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7D76BB" w:rsidRDefault="00D70D28">
      <w:pPr>
        <w:pStyle w:val="BodyText"/>
        <w:ind w:left="247"/>
        <w:rPr>
          <w:rFonts w:ascii="Times New Roman"/>
          <w:sz w:val="20"/>
        </w:rPr>
      </w:pPr>
      <w:r>
        <w:rPr>
          <w:noProof/>
          <w:lang w:val="en-AU" w:eastAsia="en-AU"/>
        </w:rPr>
        <mc:AlternateContent>
          <mc:Choice Requires="wpg">
            <w:drawing>
              <wp:anchor distT="0" distB="0" distL="114300" distR="114300" simplePos="0" relativeHeight="242071552" behindDoc="1" locked="0" layoutInCell="1" allowOverlap="1">
                <wp:simplePos x="0" y="0"/>
                <wp:positionH relativeFrom="page">
                  <wp:posOffset>0</wp:posOffset>
                </wp:positionH>
                <wp:positionV relativeFrom="page">
                  <wp:posOffset>4152900</wp:posOffset>
                </wp:positionV>
                <wp:extent cx="7560945" cy="6269990"/>
                <wp:effectExtent l="0" t="0" r="0" b="0"/>
                <wp:wrapNone/>
                <wp:docPr id="457"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6269990"/>
                          <a:chOff x="0" y="6540"/>
                          <a:chExt cx="11907" cy="9874"/>
                        </a:xfrm>
                      </wpg:grpSpPr>
                      <wps:wsp>
                        <wps:cNvPr id="458" name="AutoShape 316"/>
                        <wps:cNvSpPr>
                          <a:spLocks/>
                        </wps:cNvSpPr>
                        <wps:spPr bwMode="auto">
                          <a:xfrm>
                            <a:off x="1865" y="7502"/>
                            <a:ext cx="7355" cy="7770"/>
                          </a:xfrm>
                          <a:custGeom>
                            <a:avLst/>
                            <a:gdLst>
                              <a:gd name="T0" fmla="+- 0 4402 1865"/>
                              <a:gd name="T1" fmla="*/ T0 w 7355"/>
                              <a:gd name="T2" fmla="+- 0 13672 7502"/>
                              <a:gd name="T3" fmla="*/ 13672 h 7770"/>
                              <a:gd name="T4" fmla="+- 0 3966 1865"/>
                              <a:gd name="T5" fmla="*/ T4 w 7355"/>
                              <a:gd name="T6" fmla="+- 0 14891 7502"/>
                              <a:gd name="T7" fmla="*/ 14891 h 7770"/>
                              <a:gd name="T8" fmla="+- 0 3052 1865"/>
                              <a:gd name="T9" fmla="*/ T8 w 7355"/>
                              <a:gd name="T10" fmla="+- 0 12842 7502"/>
                              <a:gd name="T11" fmla="*/ 12842 h 7770"/>
                              <a:gd name="T12" fmla="+- 0 3707 1865"/>
                              <a:gd name="T13" fmla="*/ T12 w 7355"/>
                              <a:gd name="T14" fmla="+- 0 13272 7502"/>
                              <a:gd name="T15" fmla="*/ 13272 h 7770"/>
                              <a:gd name="T16" fmla="+- 0 4221 1865"/>
                              <a:gd name="T17" fmla="*/ T16 w 7355"/>
                              <a:gd name="T18" fmla="+- 0 13902 7502"/>
                              <a:gd name="T19" fmla="*/ 13902 h 7770"/>
                              <a:gd name="T20" fmla="+- 0 4179 1865"/>
                              <a:gd name="T21" fmla="*/ T20 w 7355"/>
                              <a:gd name="T22" fmla="+- 0 13376 7502"/>
                              <a:gd name="T23" fmla="*/ 13376 h 7770"/>
                              <a:gd name="T24" fmla="+- 0 3582 1865"/>
                              <a:gd name="T25" fmla="*/ T24 w 7355"/>
                              <a:gd name="T26" fmla="+- 0 12808 7502"/>
                              <a:gd name="T27" fmla="*/ 12808 h 7770"/>
                              <a:gd name="T28" fmla="+- 0 2904 1865"/>
                              <a:gd name="T29" fmla="*/ T28 w 7355"/>
                              <a:gd name="T30" fmla="+- 0 12491 7502"/>
                              <a:gd name="T31" fmla="*/ 12491 h 7770"/>
                              <a:gd name="T32" fmla="+- 0 2197 1865"/>
                              <a:gd name="T33" fmla="*/ T32 w 7355"/>
                              <a:gd name="T34" fmla="+- 0 12730 7502"/>
                              <a:gd name="T35" fmla="*/ 12730 h 7770"/>
                              <a:gd name="T36" fmla="+- 0 3910 1865"/>
                              <a:gd name="T37" fmla="*/ T36 w 7355"/>
                              <a:gd name="T38" fmla="+- 0 15200 7502"/>
                              <a:gd name="T39" fmla="*/ 15200 h 7770"/>
                              <a:gd name="T40" fmla="+- 0 4443 1865"/>
                              <a:gd name="T41" fmla="*/ T40 w 7355"/>
                              <a:gd name="T42" fmla="+- 0 14902 7502"/>
                              <a:gd name="T43" fmla="*/ 14902 h 7770"/>
                              <a:gd name="T44" fmla="+- 0 6264 1865"/>
                              <a:gd name="T45" fmla="*/ T44 w 7355"/>
                              <a:gd name="T46" fmla="+- 0 13068 7502"/>
                              <a:gd name="T47" fmla="*/ 13068 h 7770"/>
                              <a:gd name="T48" fmla="+- 0 6090 1865"/>
                              <a:gd name="T49" fmla="*/ T48 w 7355"/>
                              <a:gd name="T50" fmla="+- 0 12921 7502"/>
                              <a:gd name="T51" fmla="*/ 12921 h 7770"/>
                              <a:gd name="T52" fmla="+- 0 5087 1865"/>
                              <a:gd name="T53" fmla="*/ T52 w 7355"/>
                              <a:gd name="T54" fmla="+- 0 12364 7502"/>
                              <a:gd name="T55" fmla="*/ 12364 h 7770"/>
                              <a:gd name="T56" fmla="+- 0 4882 1865"/>
                              <a:gd name="T57" fmla="*/ T56 w 7355"/>
                              <a:gd name="T58" fmla="+- 0 12246 7502"/>
                              <a:gd name="T59" fmla="*/ 12246 h 7770"/>
                              <a:gd name="T60" fmla="+- 0 4752 1865"/>
                              <a:gd name="T61" fmla="*/ T60 w 7355"/>
                              <a:gd name="T62" fmla="+- 0 11737 7502"/>
                              <a:gd name="T63" fmla="*/ 11737 h 7770"/>
                              <a:gd name="T64" fmla="+- 0 4537 1865"/>
                              <a:gd name="T65" fmla="*/ T64 w 7355"/>
                              <a:gd name="T66" fmla="+- 0 12362 7502"/>
                              <a:gd name="T67" fmla="*/ 12362 h 7770"/>
                              <a:gd name="T68" fmla="+- 0 3865 1865"/>
                              <a:gd name="T69" fmla="*/ T68 w 7355"/>
                              <a:gd name="T70" fmla="+- 0 11570 7502"/>
                              <a:gd name="T71" fmla="*/ 11570 h 7770"/>
                              <a:gd name="T72" fmla="+- 0 4410 1865"/>
                              <a:gd name="T73" fmla="*/ T72 w 7355"/>
                              <a:gd name="T74" fmla="+- 0 11744 7502"/>
                              <a:gd name="T75" fmla="*/ 11744 h 7770"/>
                              <a:gd name="T76" fmla="+- 0 4614 1865"/>
                              <a:gd name="T77" fmla="*/ T76 w 7355"/>
                              <a:gd name="T78" fmla="+- 0 12163 7502"/>
                              <a:gd name="T79" fmla="*/ 12163 h 7770"/>
                              <a:gd name="T80" fmla="+- 0 4169 1865"/>
                              <a:gd name="T81" fmla="*/ T80 w 7355"/>
                              <a:gd name="T82" fmla="+- 0 11245 7502"/>
                              <a:gd name="T83" fmla="*/ 11245 h 7770"/>
                              <a:gd name="T84" fmla="+- 0 3661 1865"/>
                              <a:gd name="T85" fmla="*/ T84 w 7355"/>
                              <a:gd name="T86" fmla="+- 0 11289 7502"/>
                              <a:gd name="T87" fmla="*/ 11289 h 7770"/>
                              <a:gd name="T88" fmla="+- 0 3203 1865"/>
                              <a:gd name="T89" fmla="*/ T88 w 7355"/>
                              <a:gd name="T90" fmla="+- 0 11753 7502"/>
                              <a:gd name="T91" fmla="*/ 11753 h 7770"/>
                              <a:gd name="T92" fmla="+- 0 5380 1865"/>
                              <a:gd name="T93" fmla="*/ T92 w 7355"/>
                              <a:gd name="T94" fmla="+- 0 13959 7502"/>
                              <a:gd name="T95" fmla="*/ 13959 h 7770"/>
                              <a:gd name="T96" fmla="+- 0 5491 1865"/>
                              <a:gd name="T97" fmla="*/ T96 w 7355"/>
                              <a:gd name="T98" fmla="+- 0 13876 7502"/>
                              <a:gd name="T99" fmla="*/ 13876 h 7770"/>
                              <a:gd name="T100" fmla="+- 0 5520 1865"/>
                              <a:gd name="T101" fmla="*/ T100 w 7355"/>
                              <a:gd name="T102" fmla="+- 0 13774 7502"/>
                              <a:gd name="T103" fmla="*/ 13774 h 7770"/>
                              <a:gd name="T104" fmla="+- 0 4940 1865"/>
                              <a:gd name="T105" fmla="*/ T104 w 7355"/>
                              <a:gd name="T106" fmla="+- 0 12612 7502"/>
                              <a:gd name="T107" fmla="*/ 12612 h 7770"/>
                              <a:gd name="T108" fmla="+- 0 6037 1865"/>
                              <a:gd name="T109" fmla="*/ T108 w 7355"/>
                              <a:gd name="T110" fmla="+- 0 13212 7502"/>
                              <a:gd name="T111" fmla="*/ 13212 h 7770"/>
                              <a:gd name="T112" fmla="+- 0 6147 1865"/>
                              <a:gd name="T113" fmla="*/ T112 w 7355"/>
                              <a:gd name="T114" fmla="+- 0 13216 7502"/>
                              <a:gd name="T115" fmla="*/ 13216 h 7770"/>
                              <a:gd name="T116" fmla="+- 0 6255 1865"/>
                              <a:gd name="T117" fmla="*/ T116 w 7355"/>
                              <a:gd name="T118" fmla="+- 0 13100 7502"/>
                              <a:gd name="T119" fmla="*/ 13100 h 7770"/>
                              <a:gd name="T120" fmla="+- 0 7526 1865"/>
                              <a:gd name="T121" fmla="*/ T120 w 7355"/>
                              <a:gd name="T122" fmla="+- 0 11710 7502"/>
                              <a:gd name="T123" fmla="*/ 11710 h 7770"/>
                              <a:gd name="T124" fmla="+- 0 5152 1865"/>
                              <a:gd name="T125" fmla="*/ T124 w 7355"/>
                              <a:gd name="T126" fmla="+- 0 10583 7502"/>
                              <a:gd name="T127" fmla="*/ 10583 h 7770"/>
                              <a:gd name="T128" fmla="+- 0 4912 1865"/>
                              <a:gd name="T129" fmla="*/ T128 w 7355"/>
                              <a:gd name="T130" fmla="+- 0 10056 7502"/>
                              <a:gd name="T131" fmla="*/ 10056 h 7770"/>
                              <a:gd name="T132" fmla="+- 0 4799 1865"/>
                              <a:gd name="T133" fmla="*/ T132 w 7355"/>
                              <a:gd name="T134" fmla="+- 0 10108 7502"/>
                              <a:gd name="T135" fmla="*/ 10108 h 7770"/>
                              <a:gd name="T136" fmla="+- 0 4691 1865"/>
                              <a:gd name="T137" fmla="*/ T136 w 7355"/>
                              <a:gd name="T138" fmla="+- 0 10247 7502"/>
                              <a:gd name="T139" fmla="*/ 10247 h 7770"/>
                              <a:gd name="T140" fmla="+- 0 5459 1865"/>
                              <a:gd name="T141" fmla="*/ T140 w 7355"/>
                              <a:gd name="T142" fmla="+- 0 11497 7502"/>
                              <a:gd name="T143" fmla="*/ 11497 h 7770"/>
                              <a:gd name="T144" fmla="+- 0 6410 1865"/>
                              <a:gd name="T145" fmla="*/ T144 w 7355"/>
                              <a:gd name="T146" fmla="+- 0 12931 7502"/>
                              <a:gd name="T147" fmla="*/ 12931 h 7770"/>
                              <a:gd name="T148" fmla="+- 0 6534 1865"/>
                              <a:gd name="T149" fmla="*/ T148 w 7355"/>
                              <a:gd name="T150" fmla="+- 0 12832 7502"/>
                              <a:gd name="T151" fmla="*/ 12832 h 7770"/>
                              <a:gd name="T152" fmla="+- 0 6546 1865"/>
                              <a:gd name="T153" fmla="*/ T152 w 7355"/>
                              <a:gd name="T154" fmla="+- 0 12724 7502"/>
                              <a:gd name="T155" fmla="*/ 12724 h 7770"/>
                              <a:gd name="T156" fmla="+- 0 7401 1865"/>
                              <a:gd name="T157" fmla="*/ T156 w 7355"/>
                              <a:gd name="T158" fmla="+- 0 11938 7502"/>
                              <a:gd name="T159" fmla="*/ 11938 h 7770"/>
                              <a:gd name="T160" fmla="+- 0 7521 1865"/>
                              <a:gd name="T161" fmla="*/ T160 w 7355"/>
                              <a:gd name="T162" fmla="+- 0 11848 7502"/>
                              <a:gd name="T163" fmla="*/ 11848 h 7770"/>
                              <a:gd name="T164" fmla="+- 0 7956 1865"/>
                              <a:gd name="T165" fmla="*/ T164 w 7355"/>
                              <a:gd name="T166" fmla="+- 0 11335 7502"/>
                              <a:gd name="T167" fmla="*/ 11335 h 7770"/>
                              <a:gd name="T168" fmla="+- 0 7487 1865"/>
                              <a:gd name="T169" fmla="*/ T168 w 7355"/>
                              <a:gd name="T170" fmla="+- 0 9855 7502"/>
                              <a:gd name="T171" fmla="*/ 9855 h 7770"/>
                              <a:gd name="T172" fmla="+- 0 7361 1865"/>
                              <a:gd name="T173" fmla="*/ T172 w 7355"/>
                              <a:gd name="T174" fmla="+- 0 9717 7502"/>
                              <a:gd name="T175" fmla="*/ 9717 h 7770"/>
                              <a:gd name="T176" fmla="+- 0 7257 1865"/>
                              <a:gd name="T177" fmla="*/ T176 w 7355"/>
                              <a:gd name="T178" fmla="+- 0 9672 7502"/>
                              <a:gd name="T179" fmla="*/ 9672 h 7770"/>
                              <a:gd name="T180" fmla="+- 0 6514 1865"/>
                              <a:gd name="T181" fmla="*/ T180 w 7355"/>
                              <a:gd name="T182" fmla="+- 0 8822 7502"/>
                              <a:gd name="T183" fmla="*/ 8822 h 7770"/>
                              <a:gd name="T184" fmla="+- 0 6381 1865"/>
                              <a:gd name="T185" fmla="*/ T184 w 7355"/>
                              <a:gd name="T186" fmla="+- 0 8683 7502"/>
                              <a:gd name="T187" fmla="*/ 8683 h 7770"/>
                              <a:gd name="T188" fmla="+- 0 5661 1865"/>
                              <a:gd name="T189" fmla="*/ T188 w 7355"/>
                              <a:gd name="T190" fmla="+- 0 9266 7502"/>
                              <a:gd name="T191" fmla="*/ 9266 h 7770"/>
                              <a:gd name="T192" fmla="+- 0 7776 1865"/>
                              <a:gd name="T193" fmla="*/ T192 w 7355"/>
                              <a:gd name="T194" fmla="+- 0 11515 7502"/>
                              <a:gd name="T195" fmla="*/ 11515 h 7770"/>
                              <a:gd name="T196" fmla="+- 0 7881 1865"/>
                              <a:gd name="T197" fmla="*/ T196 w 7355"/>
                              <a:gd name="T198" fmla="+- 0 11487 7502"/>
                              <a:gd name="T199" fmla="*/ 11487 h 7770"/>
                              <a:gd name="T200" fmla="+- 0 7962 1865"/>
                              <a:gd name="T201" fmla="*/ T200 w 7355"/>
                              <a:gd name="T202" fmla="+- 0 11377 7502"/>
                              <a:gd name="T203" fmla="*/ 11377 h 7770"/>
                              <a:gd name="T204" fmla="+- 0 7674 1865"/>
                              <a:gd name="T205" fmla="*/ T204 w 7355"/>
                              <a:gd name="T206" fmla="+- 0 7738 7502"/>
                              <a:gd name="T207" fmla="*/ 7738 h 7770"/>
                              <a:gd name="T208" fmla="+- 0 7594 1865"/>
                              <a:gd name="T209" fmla="*/ T208 w 7355"/>
                              <a:gd name="T210" fmla="+- 0 7618 7502"/>
                              <a:gd name="T211" fmla="*/ 7618 h 7770"/>
                              <a:gd name="T212" fmla="+- 0 7459 1865"/>
                              <a:gd name="T213" fmla="*/ T212 w 7355"/>
                              <a:gd name="T214" fmla="+- 0 7506 7502"/>
                              <a:gd name="T215" fmla="*/ 7506 h 7770"/>
                              <a:gd name="T216" fmla="+- 0 6463 1865"/>
                              <a:gd name="T217" fmla="*/ T216 w 7355"/>
                              <a:gd name="T218" fmla="+- 0 8522 7502"/>
                              <a:gd name="T219" fmla="*/ 8522 h 7770"/>
                              <a:gd name="T220" fmla="+- 0 6583 1865"/>
                              <a:gd name="T221" fmla="*/ T220 w 7355"/>
                              <a:gd name="T222" fmla="+- 0 8659 7502"/>
                              <a:gd name="T223" fmla="*/ 8659 h 7770"/>
                              <a:gd name="T224" fmla="+- 0 6700 1865"/>
                              <a:gd name="T225" fmla="*/ T224 w 7355"/>
                              <a:gd name="T226" fmla="+- 0 8724 7502"/>
                              <a:gd name="T227" fmla="*/ 8724 h 7770"/>
                              <a:gd name="T228" fmla="+- 0 9091 1865"/>
                              <a:gd name="T229" fmla="*/ T228 w 7355"/>
                              <a:gd name="T230" fmla="+- 0 10261 7502"/>
                              <a:gd name="T231" fmla="*/ 10261 h 7770"/>
                              <a:gd name="T232" fmla="+- 0 9201 1865"/>
                              <a:gd name="T233" fmla="*/ T232 w 7355"/>
                              <a:gd name="T234" fmla="+- 0 10162 7502"/>
                              <a:gd name="T235" fmla="*/ 1016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3" y="5318"/>
                                </a:lnTo>
                                <a:lnTo>
                                  <a:pt x="1187" y="5340"/>
                                </a:lnTo>
                                <a:lnTo>
                                  <a:pt x="1256" y="5365"/>
                                </a:lnTo>
                                <a:lnTo>
                                  <a:pt x="1326" y="5395"/>
                                </a:lnTo>
                                <a:lnTo>
                                  <a:pt x="1396" y="5431"/>
                                </a:lnTo>
                                <a:lnTo>
                                  <a:pt x="1468" y="5473"/>
                                </a:lnTo>
                                <a:lnTo>
                                  <a:pt x="1540" y="5521"/>
                                </a:lnTo>
                                <a:lnTo>
                                  <a:pt x="1600"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1"/>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8"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1"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90" y="3710"/>
                                </a:lnTo>
                                <a:lnTo>
                                  <a:pt x="2133" y="3703"/>
                                </a:lnTo>
                                <a:lnTo>
                                  <a:pt x="2078" y="3701"/>
                                </a:lnTo>
                                <a:lnTo>
                                  <a:pt x="2023" y="3704"/>
                                </a:lnTo>
                                <a:lnTo>
                                  <a:pt x="1969" y="3713"/>
                                </a:lnTo>
                                <a:lnTo>
                                  <a:pt x="1916" y="3729"/>
                                </a:lnTo>
                                <a:lnTo>
                                  <a:pt x="1864" y="3750"/>
                                </a:lnTo>
                                <a:lnTo>
                                  <a:pt x="1812" y="3775"/>
                                </a:lnTo>
                                <a:lnTo>
                                  <a:pt x="1796" y="3787"/>
                                </a:lnTo>
                                <a:lnTo>
                                  <a:pt x="1778" y="3799"/>
                                </a:lnTo>
                                <a:lnTo>
                                  <a:pt x="1740" y="3827"/>
                                </a:lnTo>
                                <a:lnTo>
                                  <a:pt x="1721" y="3844"/>
                                </a:lnTo>
                                <a:lnTo>
                                  <a:pt x="1699" y="3863"/>
                                </a:lnTo>
                                <a:lnTo>
                                  <a:pt x="1675" y="3885"/>
                                </a:lnTo>
                                <a:lnTo>
                                  <a:pt x="1650" y="3910"/>
                                </a:lnTo>
                                <a:lnTo>
                                  <a:pt x="1358" y="4202"/>
                                </a:lnTo>
                                <a:lnTo>
                                  <a:pt x="1348" y="4215"/>
                                </a:lnTo>
                                <a:lnTo>
                                  <a:pt x="1341" y="4232"/>
                                </a:lnTo>
                                <a:lnTo>
                                  <a:pt x="1338" y="4251"/>
                                </a:lnTo>
                                <a:lnTo>
                                  <a:pt x="1338" y="4273"/>
                                </a:lnTo>
                                <a:lnTo>
                                  <a:pt x="1345" y="4299"/>
                                </a:lnTo>
                                <a:lnTo>
                                  <a:pt x="1359" y="4327"/>
                                </a:lnTo>
                                <a:lnTo>
                                  <a:pt x="1381"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5"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5"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8"/>
                                </a:lnTo>
                                <a:lnTo>
                                  <a:pt x="3201" y="2946"/>
                                </a:lnTo>
                                <a:lnTo>
                                  <a:pt x="4543" y="3809"/>
                                </a:lnTo>
                                <a:lnTo>
                                  <a:pt x="4543" y="3495"/>
                                </a:lnTo>
                                <a:lnTo>
                                  <a:pt x="3675" y="2946"/>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8" y="2593"/>
                                </a:lnTo>
                                <a:lnTo>
                                  <a:pt x="2934" y="2606"/>
                                </a:lnTo>
                                <a:lnTo>
                                  <a:pt x="2919" y="2621"/>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89"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4"/>
                                </a:lnTo>
                                <a:moveTo>
                                  <a:pt x="6101" y="3864"/>
                                </a:moveTo>
                                <a:lnTo>
                                  <a:pt x="6100" y="3855"/>
                                </a:lnTo>
                                <a:lnTo>
                                  <a:pt x="6095" y="3843"/>
                                </a:lnTo>
                                <a:lnTo>
                                  <a:pt x="6091" y="3833"/>
                                </a:lnTo>
                                <a:lnTo>
                                  <a:pt x="6085" y="3825"/>
                                </a:lnTo>
                                <a:lnTo>
                                  <a:pt x="5156" y="2896"/>
                                </a:lnTo>
                                <a:lnTo>
                                  <a:pt x="5400" y="2651"/>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60" y="1341"/>
                                </a:lnTo>
                                <a:lnTo>
                                  <a:pt x="4655" y="1331"/>
                                </a:lnTo>
                                <a:lnTo>
                                  <a:pt x="4649"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80"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6"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47" y="2580"/>
                                </a:lnTo>
                                <a:lnTo>
                                  <a:pt x="7340" y="2571"/>
                                </a:lnTo>
                                <a:lnTo>
                                  <a:pt x="5597" y="828"/>
                                </a:lnTo>
                                <a:lnTo>
                                  <a:pt x="5414" y="645"/>
                                </a:lnTo>
                                <a:lnTo>
                                  <a:pt x="5806" y="253"/>
                                </a:lnTo>
                                <a:lnTo>
                                  <a:pt x="5809" y="246"/>
                                </a:lnTo>
                                <a:lnTo>
                                  <a:pt x="5809" y="236"/>
                                </a:lnTo>
                                <a:lnTo>
                                  <a:pt x="5808" y="227"/>
                                </a:lnTo>
                                <a:lnTo>
                                  <a:pt x="5806" y="216"/>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69"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9" name="Picture 3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9118"/>
                            <a:ext cx="11554" cy="7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 name="Picture 3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6540"/>
                            <a:ext cx="11907" cy="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262934" id="Group 313" o:spid="_x0000_s1026" style="position:absolute;margin-left:0;margin-top:327pt;width:595.35pt;height:493.7pt;z-index:-261244928;mso-position-horizontal-relative:page;mso-position-vertical-relative:page" coordorigin=",6540" coordsize="11907,98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">
                <v:shape id="AutoShape 316" o:spid="_x0000_s1027" style="position:absolute;left:1865;top:7502;width:7355;height:7770;visibility:visible;mso-wrap-style:square;v-text-anchor:top" coordsize="7355,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" path="m2786,6837r-9,-88l2760,6658r-18,-65l2719,6526r-27,-69l2661,6388r-37,-71l2583,6244r-46,-74l2498,6113r-25,-36l2473,6777r-3,76l2457,6927r-24,71l2397,7067r-48,68l2289,7202r-188,187l380,5669,566,5483r71,-64l710,5369r75,-35l861,5314r79,-8l1020,5307r83,11l1187,5340r69,25l1326,5395r70,36l1468,5473r72,48l1600,5565r61,47l1722,5662r60,53l1842,5770r60,58l1965,5892r58,62l2079,6016r51,60l2178,6134r44,57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8,7400r9,-11l2627,7339r43,-61l2705,7215r29,-64l2756,7086r19,-80l2785,6922r1,-85m4399,5566r-1,-9l4389,5539r-8,-10l4373,5521r-8,-7l4355,5505r-12,-9l4329,5486r-17,-11l4225,5419,3700,5107r-53,-32l3563,5025r-49,-28l3422,4948r-43,-22l3337,4906r-39,-17l3259,4874r-37,-12l3186,4852r-34,-8l3127,4839r-9,-2l3087,4834r-31,-1l3026,4835r-29,4l3009,4792r8,-48l3021,4695r2,-49l3021,4597r-7,-50l3004,4496r-15,-52l2970,4393r-22,-52l2920,4288r-33,-53l2850,4182r-43,-54l2760,4073r-11,-10l2749,4661r-5,41l2735,4742r-15,41l2699,4822r-27,38l2639,4897r-179,178l1715,4330r154,-154l1895,4151r25,-23l1942,4109r21,-16l1982,4080r18,-12l2019,4059r20,-8l2101,4034r62,-4l2225,4038r63,20l2351,4090r64,41l2480,4182r65,60l2583,4282r34,41l2649,4365r28,42l2701,4450r19,43l2734,4535r9,42l2749,4619r,42l2749,4063r-31,-33l2707,4018r-58,-55l2592,3913r-58,-45l2477,3828r-58,-34l2362,3766r-58,-23l2247,3724r-57,-14l2133,3703r-55,-2l2023,3704r-54,9l1916,3729r-52,21l1812,3775r-16,12l1778,3799r-38,28l1721,3844r-22,19l1675,3885r-25,25l1358,4202r-10,13l1341,4232r-3,19l1338,4273r7,26l1359,4327r22,30l1410,4390,3465,6445r10,7l3495,6460r10,1l3515,6457r10,-3l3535,6451r10,-5l3556,6440r10,-8l3578,6423r12,-11l3603,6400r12,-13l3626,6374r10,-11l3644,6352r6,-11l3654,6331r3,-9l3660,6312r3,-9l3663,6292r-4,-10l3655,6272r-7,-9l2698,5312r122,-122l2852,5162r33,-22l2920,5123r36,-11l2994,5108r40,-1l3075,5110r42,9l3162,5131r45,16l3255,5166r48,23l3353,5216r51,28l3458,5275r55,33l4172,5710r12,7l4195,5722r10,4l4216,5732r13,1l4241,5731r11,-2l4262,5726r10,-5l4282,5714r10,-8l4304,5697r13,-11l4330,5673r15,-15l4357,5643r11,-13l4377,5619r8,-11l4390,5598r4,-10l4397,5579r2,-13m5703,4274r-1,-11l5699,4252r-6,-11l5685,4230r-10,-11l5661,4208r-16,-12l5627,4183r-22,-15l5334,3995,4543,3495r,314l4066,4286,3877,3995r-28,-43l3287,3081r-87,-133l3201,2946r1342,863l4543,3495,3675,2946,3091,2575r-11,-6l3068,2563r-11,-5l3047,2554r-10,-1l3027,2553r-10,1l3007,2557r-11,4l2984,2566r-11,8l2960,2583r-12,10l2934,2606r-15,15l2887,2652r-13,14l2862,2679r-10,12l2844,2702r-7,12l2832,2725r-3,10l2826,2745r-1,10l2825,2765r2,9l2830,2784r5,11l2840,2805r6,11l2976,3020r590,932l3594,3995r846,1336l4454,5352r13,19l4479,5386r12,13l4502,5410r11,8l4524,5424r10,4l4545,5429r10,-2l4567,5424r12,-7l4591,5408r12,-11l4617,5385r15,-14l4646,5356r12,-14l4669,5330r9,-12l4684,5308r5,-10l4693,5288r1,-10l4695,5266r1,-10l4690,5244r-3,-10l4681,5222r-8,-12l4296,4630r-42,-64l4534,4286r291,-291l5481,4416r14,7l5506,4428r20,7l5536,4436r11,-4l5556,4430r9,-3l5575,4421r12,-8l5598,4403r13,-11l5625,4378r15,-16l5656,4346r13,-14l5680,4318r10,-12l5697,4295r4,-11l5703,4274t398,-410l6100,3855r-5,-12l6091,3833r-6,-8l5156,2896r244,-245l5637,2415r1,-8l5638,2397r-1,-10l5634,2376r-7,-13l5622,2353r-7,-11l5607,2330r-10,-12l5586,2305r-12,-13l5560,2277r-16,-16l5527,2244r-16,-15l5496,2215r-14,-12l5470,2194r-11,-8l5449,2180r-10,-5l5427,2169r-11,-2l5407,2166r-9,2l5392,2170r-480,481l4160,1899r508,-508l4671,1385r,-10l4670,1365r-3,-11l4660,1341r-5,-10l4649,1320r-9,-12l4630,1296r-11,-13l4606,1269r-14,-16l4576,1237r-16,-16l4544,1207r-14,-13l4516,1181r-13,-10l4491,1163r-11,-8l4469,1149r-14,-7l4444,1140r-9,-1l4425,1139r-6,2l3796,1764r-11,14l3778,1794r-3,20l3776,1836r6,26l3796,1890r22,30l3847,1952,5903,4008r8,5l5921,4017r12,5l5942,4023r11,-4l5962,4017r10,-4l5983,4008r10,-6l6004,3994r12,-9l6028,3974r12,-12l6053,3949r11,-12l6073,3925r9,-11l6087,3904r5,-10l6095,3884r2,-9l6101,3864m7355,2610r,-10l7347,2580r-7,-9l5597,828,5414,645,5806,253r3,-7l5809,236r-1,-9l5806,216r-7,-14l5794,193r-7,-11l5778,170r-10,-12l5756,145r-13,-14l5729,116r-16,-16l5697,84,5682,69,5667,56,5653,44,5641,33r-12,-9l5618,17r-11,-6l5594,4,5583,1,5574,r-11,l5556,4,4590,970r-3,7l4588,986r,10l4591,1006r7,14l4604,1030r8,12l4621,1053r10,12l4643,1080r13,15l4670,1111r16,16l4702,1143r16,14l4732,1169r14,11l4758,1190r11,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2537,13672;2101,14891;1187,12842;1842,13272;2356,13902;2314,13376;1717,12808;1039,12491;332,12730;2045,15200;2578,14902;4399,13068;4225,12921;3222,12364;3017,12246;2887,11737;2672,12362;2000,11570;2545,11744;2749,12163;2304,11245;1796,11289;1338,11753;3515,13959;3626,13876;3655,13774;3075,12612;4172,13212;4282,13216;4390,13100;5661,11710;3287,10583;3047,10056;2934,10108;2826,10247;3594,11497;4545,12931;4669,12832;4681,12724;5536,11938;5656,11848;6091,11335;5622,9855;5496,9717;5392,9672;4649,8822;4516,8683;3796,9266;5911,11515;6016,11487;6097,11377;5809,7738;5729,7618;5594,7506;4598,8522;4718,8659;4835,8724;7226,10261;7336,10162" o:connectangles="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5" o:spid="_x0000_s1028" type="#_x0000_t75" style="position:absolute;top:9118;width:11554;height:7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">
                  <v:imagedata r:id="rId9" o:title=""/>
                </v:shape>
                <v:shape id="Picture 314" o:spid="_x0000_s1029" type="#_x0000_t75" style="position:absolute;top:6540;width:11907;height: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">
                  <v:imagedata r:id="rId10" o:title=""/>
                </v:shape>
                <w10:wrap anchorx="page" anchory="page"/>
              </v:group>
            </w:pict>
          </mc:Fallback>
        </mc:AlternateContent>
      </w:r>
      <w:r>
        <w:rPr>
          <w:rFonts w:ascii="Times New Roman"/>
          <w:noProof/>
          <w:sz w:val="20"/>
          <w:lang w:val="en-AU" w:eastAsia="en-AU"/>
        </w:rPr>
        <w:drawing>
          <wp:inline distT="0" distB="0" distL="0" distR="0">
            <wp:extent cx="3105460" cy="800195"/>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1" cstate="print"/>
                    <a:stretch>
                      <a:fillRect/>
                    </a:stretch>
                  </pic:blipFill>
                  <pic:spPr>
                    <a:xfrm>
                      <a:off x="0" y="0"/>
                      <a:ext cx="3105460" cy="800195"/>
                    </a:xfrm>
                    <a:prstGeom prst="rect">
                      <a:avLst/>
                    </a:prstGeom>
                  </pic:spPr>
                </pic:pic>
              </a:graphicData>
            </a:graphic>
          </wp:inline>
        </w:drawing>
      </w:r>
    </w:p>
    <w:p w:rsidR="007D76BB" w:rsidRDefault="007D76BB">
      <w:pPr>
        <w:pStyle w:val="BodyText"/>
        <w:rPr>
          <w:rFonts w:ascii="Times New Roman"/>
          <w:sz w:val="20"/>
        </w:rPr>
      </w:pPr>
    </w:p>
    <w:p w:rsidR="007D76BB" w:rsidRDefault="007D76BB">
      <w:pPr>
        <w:pStyle w:val="BodyText"/>
        <w:rPr>
          <w:rFonts w:ascii="Times New Roman"/>
          <w:sz w:val="20"/>
        </w:rPr>
      </w:pPr>
    </w:p>
    <w:p w:rsidR="007D76BB" w:rsidRDefault="007D76BB">
      <w:pPr>
        <w:pStyle w:val="BodyText"/>
        <w:spacing w:before="1"/>
        <w:rPr>
          <w:rFonts w:ascii="Times New Roman"/>
          <w:sz w:val="15"/>
        </w:rPr>
      </w:pPr>
    </w:p>
    <w:tbl>
      <w:tblPr>
        <w:tblW w:w="0" w:type="auto"/>
        <w:tblInd w:w="113" w:type="dxa"/>
        <w:tblLayout w:type="fixed"/>
        <w:tblCellMar>
          <w:left w:w="0" w:type="dxa"/>
          <w:right w:w="0" w:type="dxa"/>
        </w:tblCellMar>
        <w:tblLook w:val="01E0" w:firstRow="1" w:lastRow="1" w:firstColumn="1" w:lastColumn="1" w:noHBand="0" w:noVBand="0"/>
      </w:tblPr>
      <w:tblGrid>
        <w:gridCol w:w="8895"/>
      </w:tblGrid>
      <w:tr w:rsidR="007D76BB">
        <w:trPr>
          <w:trHeight w:val="1842"/>
        </w:trPr>
        <w:tc>
          <w:tcPr>
            <w:tcW w:w="8895" w:type="dxa"/>
          </w:tcPr>
          <w:p w:rsidR="007D76BB" w:rsidRDefault="00D70D28">
            <w:pPr>
              <w:pStyle w:val="TableParagraph"/>
              <w:spacing w:line="581" w:lineRule="exact"/>
              <w:ind w:left="200"/>
              <w:rPr>
                <w:rFonts w:ascii="Arial"/>
                <w:sz w:val="52"/>
              </w:rPr>
            </w:pPr>
            <w:bookmarkStart w:id="1" w:name="Regulation_Impact_Statement_-_Second_Pas"/>
            <w:bookmarkStart w:id="2" w:name="Proposal_to_clarify_that_certain_sports_"/>
            <w:bookmarkEnd w:id="1"/>
            <w:bookmarkEnd w:id="2"/>
            <w:r>
              <w:rPr>
                <w:rFonts w:ascii="Arial"/>
                <w:color w:val="002C46"/>
                <w:sz w:val="52"/>
              </w:rPr>
              <w:t>Proposal to clarify that certain</w:t>
            </w:r>
          </w:p>
          <w:p w:rsidR="007D76BB" w:rsidRDefault="00D70D28">
            <w:pPr>
              <w:pStyle w:val="TableParagraph"/>
              <w:ind w:left="200"/>
              <w:rPr>
                <w:rFonts w:ascii="Arial"/>
                <w:sz w:val="52"/>
              </w:rPr>
            </w:pPr>
            <w:r>
              <w:rPr>
                <w:rFonts w:ascii="Arial"/>
                <w:color w:val="002C46"/>
                <w:sz w:val="52"/>
              </w:rPr>
              <w:t>sports supplements should be regulated as therapeutic goods</w:t>
            </w:r>
          </w:p>
        </w:tc>
      </w:tr>
      <w:tr w:rsidR="007D76BB">
        <w:trPr>
          <w:trHeight w:val="1758"/>
        </w:trPr>
        <w:tc>
          <w:tcPr>
            <w:tcW w:w="8895" w:type="dxa"/>
          </w:tcPr>
          <w:p w:rsidR="007D76BB" w:rsidRDefault="00D70D28">
            <w:pPr>
              <w:pStyle w:val="TableParagraph"/>
              <w:spacing w:before="53"/>
              <w:ind w:left="200" w:right="182"/>
              <w:rPr>
                <w:rFonts w:ascii="Arial"/>
                <w:sz w:val="40"/>
              </w:rPr>
            </w:pPr>
            <w:r>
              <w:rPr>
                <w:rFonts w:ascii="Arial"/>
                <w:color w:val="006CA7"/>
                <w:sz w:val="40"/>
              </w:rPr>
              <w:t>Regulation Impact Statement for the Minister for Health</w:t>
            </w:r>
          </w:p>
          <w:p w:rsidR="007D76BB" w:rsidRDefault="00D70D28">
            <w:pPr>
              <w:pStyle w:val="TableParagraph"/>
              <w:spacing w:before="122"/>
              <w:ind w:left="200"/>
              <w:rPr>
                <w:rFonts w:ascii="Arial"/>
                <w:sz w:val="28"/>
              </w:rPr>
            </w:pPr>
            <w:r>
              <w:rPr>
                <w:rFonts w:ascii="Arial"/>
                <w:sz w:val="28"/>
              </w:rPr>
              <w:t>Office of Best Practice Regulation (OBPR) ID number: 25664</w:t>
            </w:r>
          </w:p>
        </w:tc>
      </w:tr>
      <w:tr w:rsidR="007D76BB">
        <w:trPr>
          <w:trHeight w:val="654"/>
        </w:trPr>
        <w:tc>
          <w:tcPr>
            <w:tcW w:w="8895" w:type="dxa"/>
          </w:tcPr>
          <w:p w:rsidR="007D76BB" w:rsidRDefault="007D76BB">
            <w:pPr>
              <w:pStyle w:val="TableParagraph"/>
              <w:spacing w:before="10"/>
              <w:rPr>
                <w:rFonts w:ascii="Times New Roman"/>
                <w:sz w:val="28"/>
              </w:rPr>
            </w:pPr>
          </w:p>
          <w:p w:rsidR="007D76BB" w:rsidRDefault="00D70D28">
            <w:pPr>
              <w:pStyle w:val="TableParagraph"/>
              <w:spacing w:line="302" w:lineRule="exact"/>
              <w:ind w:left="200"/>
              <w:rPr>
                <w:rFonts w:ascii="Arial"/>
                <w:sz w:val="28"/>
              </w:rPr>
            </w:pPr>
            <w:r>
              <w:rPr>
                <w:rFonts w:ascii="Arial"/>
                <w:sz w:val="28"/>
              </w:rPr>
              <w:t>Version 1.0, July 2020</w:t>
            </w:r>
          </w:p>
        </w:tc>
      </w:tr>
    </w:tbl>
    <w:p w:rsidR="007D76BB" w:rsidRDefault="007D76BB">
      <w:pPr>
        <w:spacing w:line="302" w:lineRule="exact"/>
        <w:rPr>
          <w:rFonts w:ascii="Arial"/>
          <w:sz w:val="28"/>
        </w:rPr>
        <w:sectPr w:rsidR="007D76BB">
          <w:type w:val="continuous"/>
          <w:pgSz w:w="11910" w:h="16840"/>
          <w:pgMar w:top="1220" w:right="820" w:bottom="280" w:left="1220" w:header="720" w:footer="720" w:gutter="0"/>
          <w:cols w:space="720"/>
        </w:sectPr>
      </w:pPr>
    </w:p>
    <w:p w:rsidR="007D76BB" w:rsidRDefault="007D76BB">
      <w:pPr>
        <w:pStyle w:val="BodyText"/>
        <w:spacing w:before="5"/>
        <w:rPr>
          <w:rFonts w:ascii="Times New Roman"/>
          <w:sz w:val="16"/>
        </w:rPr>
      </w:pPr>
    </w:p>
    <w:p w:rsidR="007D76BB" w:rsidRDefault="00D70D28">
      <w:pPr>
        <w:spacing w:before="100"/>
        <w:ind w:left="198"/>
        <w:rPr>
          <w:b/>
          <w:sz w:val="17"/>
        </w:rPr>
      </w:pPr>
      <w:bookmarkStart w:id="3" w:name="Copyright"/>
      <w:bookmarkEnd w:id="3"/>
      <w:r>
        <w:rPr>
          <w:b/>
          <w:sz w:val="17"/>
        </w:rPr>
        <w:t>Copyright</w:t>
      </w:r>
    </w:p>
    <w:p w:rsidR="007D76BB" w:rsidRDefault="00D70D28">
      <w:pPr>
        <w:spacing w:before="3"/>
        <w:ind w:left="198"/>
        <w:rPr>
          <w:sz w:val="17"/>
        </w:rPr>
      </w:pPr>
      <w:r>
        <w:rPr>
          <w:sz w:val="17"/>
        </w:rPr>
        <w:t>© Commonwealth of Australia 2020</w:t>
      </w:r>
    </w:p>
    <w:p w:rsidR="007D76BB" w:rsidRDefault="00D70D28">
      <w:pPr>
        <w:ind w:left="198" w:right="688"/>
        <w:rPr>
          <w:sz w:val="17"/>
        </w:rPr>
      </w:pPr>
      <w:r>
        <w:rPr>
          <w:sz w:val="17"/>
        </w:rPr>
        <w:t xml:space="preserve">This work is copyright. You may reproduce the whole or part of this work in unaltered form for your own personal use or, if you are part of an </w:t>
      </w:r>
      <w:proofErr w:type="spellStart"/>
      <w:r>
        <w:rPr>
          <w:sz w:val="17"/>
        </w:rPr>
        <w:t>organisation</w:t>
      </w:r>
      <w:proofErr w:type="spellEnd"/>
      <w:r>
        <w:rPr>
          <w:sz w:val="17"/>
        </w:rPr>
        <w:t xml:space="preserve">, for internal use within your </w:t>
      </w:r>
      <w:proofErr w:type="spellStart"/>
      <w:r>
        <w:rPr>
          <w:sz w:val="17"/>
        </w:rPr>
        <w:t>organisation</w:t>
      </w:r>
      <w:proofErr w:type="spellEnd"/>
      <w:r>
        <w:rPr>
          <w:sz w:val="17"/>
        </w:rPr>
        <w:t xml:space="preserve">, but only if you or your </w:t>
      </w:r>
      <w:proofErr w:type="spellStart"/>
      <w:r>
        <w:rPr>
          <w:sz w:val="17"/>
        </w:rPr>
        <w:t>organisation</w:t>
      </w:r>
      <w:proofErr w:type="spellEnd"/>
      <w:r>
        <w:rPr>
          <w:sz w:val="17"/>
        </w:rPr>
        <w:t xml:space="preserve"> do not use the reproduction for any commercial purpose and retain this copyright notice and all disclaimer notices as part of that reproduction. Apart from rights to use as permitted by the </w:t>
      </w:r>
      <w:r>
        <w:rPr>
          <w:i/>
          <w:sz w:val="17"/>
        </w:rPr>
        <w:t xml:space="preserve">Copyright Act 1968 </w:t>
      </w:r>
      <w:r>
        <w:rPr>
          <w:sz w:val="17"/>
        </w:rPr>
        <w:t xml:space="preserve">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Pr>
          <w:sz w:val="17"/>
        </w:rPr>
        <w:t>Woden</w:t>
      </w:r>
      <w:proofErr w:type="spellEnd"/>
      <w:r>
        <w:rPr>
          <w:sz w:val="17"/>
        </w:rPr>
        <w:t xml:space="preserve"> ACT 2606 or emailed to &lt;</w:t>
      </w:r>
      <w:hyperlink r:id="rId12">
        <w:r>
          <w:rPr>
            <w:color w:val="0000FF"/>
            <w:sz w:val="17"/>
            <w:u w:val="single" w:color="0000FF"/>
          </w:rPr>
          <w:t>tga.copyright@tga.gov.au</w:t>
        </w:r>
      </w:hyperlink>
      <w:r>
        <w:rPr>
          <w:sz w:val="17"/>
        </w:rPr>
        <w:t>&gt;.</w:t>
      </w:r>
    </w:p>
    <w:p w:rsidR="007D76BB" w:rsidRDefault="007D76BB">
      <w:pPr>
        <w:rPr>
          <w:sz w:val="17"/>
        </w:rPr>
        <w:sectPr w:rsidR="007D76BB">
          <w:headerReference w:type="default" r:id="rId13"/>
          <w:footerReference w:type="default" r:id="rId14"/>
          <w:pgSz w:w="11910" w:h="16840"/>
          <w:pgMar w:top="840" w:right="820" w:bottom="1360" w:left="1220" w:header="572" w:footer="1179" w:gutter="0"/>
          <w:pgNumType w:start="2"/>
          <w:cols w:space="720"/>
        </w:sectPr>
      </w:pPr>
    </w:p>
    <w:p w:rsidR="007D76BB" w:rsidRDefault="007D76BB">
      <w:pPr>
        <w:pStyle w:val="BodyText"/>
        <w:rPr>
          <w:sz w:val="17"/>
        </w:rPr>
      </w:pPr>
    </w:p>
    <w:p w:rsidR="007D76BB" w:rsidRDefault="00D70D28">
      <w:pPr>
        <w:pStyle w:val="Heading2"/>
      </w:pPr>
      <w:bookmarkStart w:id="4" w:name="Contents"/>
      <w:bookmarkEnd w:id="4"/>
      <w:r>
        <w:t>Contents</w:t>
      </w:r>
    </w:p>
    <w:p w:rsidR="007D76BB" w:rsidRDefault="00A51832">
      <w:pPr>
        <w:pStyle w:val="Heading3"/>
        <w:tabs>
          <w:tab w:val="left" w:pos="8366"/>
        </w:tabs>
        <w:spacing w:before="183"/>
      </w:pPr>
      <w:hyperlink w:anchor="_bookmark0" w:history="1">
        <w:r w:rsidR="00D70D28">
          <w:t>Executive</w:t>
        </w:r>
        <w:r w:rsidR="00D70D28">
          <w:rPr>
            <w:spacing w:val="-1"/>
          </w:rPr>
          <w:t xml:space="preserve"> </w:t>
        </w:r>
        <w:r w:rsidR="00D70D28">
          <w:t>Summary</w:t>
        </w:r>
        <w:r w:rsidR="00D70D28">
          <w:rPr>
            <w:u w:val="thick"/>
          </w:rPr>
          <w:t xml:space="preserve"> </w:t>
        </w:r>
        <w:r w:rsidR="00D70D28">
          <w:rPr>
            <w:u w:val="thick"/>
          </w:rPr>
          <w:tab/>
        </w:r>
        <w:r w:rsidR="00D70D28">
          <w:t>5</w:t>
        </w:r>
      </w:hyperlink>
    </w:p>
    <w:p w:rsidR="007D76BB" w:rsidRDefault="007D76BB">
      <w:pPr>
        <w:pStyle w:val="BodyText"/>
        <w:spacing w:before="6"/>
        <w:rPr>
          <w:rFonts w:ascii="Arial"/>
          <w:b/>
          <w:sz w:val="9"/>
        </w:rPr>
      </w:pPr>
    </w:p>
    <w:p w:rsidR="007D76BB" w:rsidRDefault="00A51832">
      <w:pPr>
        <w:tabs>
          <w:tab w:val="left" w:pos="8188"/>
        </w:tabs>
        <w:spacing w:before="89"/>
        <w:ind w:left="198"/>
        <w:rPr>
          <w:rFonts w:ascii="Arial"/>
          <w:b/>
          <w:sz w:val="32"/>
        </w:rPr>
      </w:pPr>
      <w:hyperlink w:anchor="_bookmark1" w:history="1">
        <w:r w:rsidR="00D70D28">
          <w:rPr>
            <w:rFonts w:ascii="Arial"/>
            <w:b/>
            <w:sz w:val="32"/>
          </w:rPr>
          <w:t>Background</w:t>
        </w:r>
        <w:r w:rsidR="00D70D28">
          <w:rPr>
            <w:rFonts w:ascii="Arial"/>
            <w:b/>
            <w:sz w:val="32"/>
            <w:u w:val="thick"/>
          </w:rPr>
          <w:t xml:space="preserve"> </w:t>
        </w:r>
        <w:r w:rsidR="00D70D28">
          <w:rPr>
            <w:rFonts w:ascii="Arial"/>
            <w:b/>
            <w:sz w:val="32"/>
            <w:u w:val="thick"/>
          </w:rPr>
          <w:tab/>
        </w:r>
        <w:r w:rsidR="00D70D28">
          <w:rPr>
            <w:rFonts w:ascii="Arial"/>
            <w:b/>
            <w:sz w:val="32"/>
          </w:rPr>
          <w:t>10</w:t>
        </w:r>
      </w:hyperlink>
    </w:p>
    <w:p w:rsidR="007D76BB" w:rsidRDefault="007D76BB">
      <w:pPr>
        <w:pStyle w:val="BodyText"/>
        <w:spacing w:before="1"/>
        <w:rPr>
          <w:rFonts w:ascii="Arial"/>
          <w:b/>
          <w:sz w:val="9"/>
        </w:rPr>
      </w:pPr>
    </w:p>
    <w:p w:rsidR="007D76BB" w:rsidRDefault="007D76BB">
      <w:pPr>
        <w:rPr>
          <w:rFonts w:ascii="Arial"/>
          <w:sz w:val="9"/>
        </w:rPr>
        <w:sectPr w:rsidR="007D76BB">
          <w:pgSz w:w="11910" w:h="16840"/>
          <w:pgMar w:top="840" w:right="820" w:bottom="1460" w:left="1220" w:header="572" w:footer="1179" w:gutter="0"/>
          <w:cols w:space="720"/>
        </w:sectPr>
      </w:pPr>
    </w:p>
    <w:sdt>
      <w:sdtPr>
        <w:id w:val="-1286734519"/>
        <w:docPartObj>
          <w:docPartGallery w:val="Table of Contents"/>
          <w:docPartUnique/>
        </w:docPartObj>
      </w:sdtPr>
      <w:sdtContent>
        <w:p w:rsidR="007D76BB" w:rsidRDefault="00A51832">
          <w:pPr>
            <w:pStyle w:val="TOC2"/>
            <w:tabs>
              <w:tab w:val="right" w:leader="underscore" w:pos="8706"/>
            </w:tabs>
            <w:spacing w:before="99"/>
          </w:pPr>
          <w:hyperlink w:anchor="_bookmark2" w:history="1">
            <w:r w:rsidR="00D70D28">
              <w:t>Current regulatory systems for food and</w:t>
            </w:r>
            <w:r w:rsidR="00D70D28">
              <w:rPr>
                <w:spacing w:val="-9"/>
              </w:rPr>
              <w:t xml:space="preserve"> </w:t>
            </w:r>
            <w:r w:rsidR="00D70D28">
              <w:t>therapeutic</w:t>
            </w:r>
            <w:r w:rsidR="00D70D28">
              <w:rPr>
                <w:spacing w:val="-1"/>
              </w:rPr>
              <w:t xml:space="preserve"> </w:t>
            </w:r>
            <w:r w:rsidR="00D70D28">
              <w:t>goods</w:t>
            </w:r>
            <w:r w:rsidR="00D70D28">
              <w:tab/>
              <w:t>11</w:t>
            </w:r>
          </w:hyperlink>
        </w:p>
        <w:p w:rsidR="007D76BB" w:rsidRDefault="00A51832">
          <w:pPr>
            <w:pStyle w:val="TOC3"/>
            <w:tabs>
              <w:tab w:val="right" w:leader="hyphen" w:pos="8701"/>
            </w:tabs>
            <w:spacing w:before="120"/>
          </w:pPr>
          <w:hyperlink w:anchor="_bookmark3" w:history="1">
            <w:r w:rsidR="00D70D28">
              <w:t>Regulation of food</w:t>
            </w:r>
            <w:r w:rsidR="00D70D28">
              <w:rPr>
                <w:spacing w:val="-3"/>
              </w:rPr>
              <w:t xml:space="preserve"> </w:t>
            </w:r>
            <w:r w:rsidR="00D70D28">
              <w:t>in Australia</w:t>
            </w:r>
            <w:r w:rsidR="00D70D28">
              <w:tab/>
              <w:t>11</w:t>
            </w:r>
          </w:hyperlink>
        </w:p>
        <w:p w:rsidR="007D76BB" w:rsidRDefault="00A51832">
          <w:pPr>
            <w:pStyle w:val="TOC3"/>
            <w:tabs>
              <w:tab w:val="right" w:leader="hyphen" w:pos="8701"/>
            </w:tabs>
          </w:pPr>
          <w:hyperlink w:anchor="_bookmark4" w:history="1">
            <w:r w:rsidR="00D70D28">
              <w:t>Regulation of therapeutic goods</w:t>
            </w:r>
            <w:r w:rsidR="00D70D28">
              <w:rPr>
                <w:spacing w:val="-5"/>
              </w:rPr>
              <w:t xml:space="preserve"> </w:t>
            </w:r>
            <w:r w:rsidR="00D70D28">
              <w:t>in</w:t>
            </w:r>
            <w:r w:rsidR="00D70D28">
              <w:rPr>
                <w:spacing w:val="-1"/>
              </w:rPr>
              <w:t xml:space="preserve"> </w:t>
            </w:r>
            <w:r w:rsidR="00D70D28">
              <w:t>Australia</w:t>
            </w:r>
            <w:r w:rsidR="00D70D28">
              <w:tab/>
              <w:t>11</w:t>
            </w:r>
          </w:hyperlink>
        </w:p>
        <w:p w:rsidR="007D76BB" w:rsidRDefault="00A51832">
          <w:pPr>
            <w:pStyle w:val="TOC3"/>
            <w:tabs>
              <w:tab w:val="right" w:leader="hyphen" w:pos="8701"/>
            </w:tabs>
            <w:spacing w:before="121"/>
          </w:pPr>
          <w:hyperlink w:anchor="_bookmark5" w:history="1">
            <w:r w:rsidR="00D70D28">
              <w:t>Importation of food and medicines</w:t>
            </w:r>
            <w:r w:rsidR="00D70D28">
              <w:rPr>
                <w:spacing w:val="-8"/>
              </w:rPr>
              <w:t xml:space="preserve"> </w:t>
            </w:r>
            <w:r w:rsidR="00D70D28">
              <w:t>into</w:t>
            </w:r>
            <w:r w:rsidR="00D70D28">
              <w:rPr>
                <w:spacing w:val="-3"/>
              </w:rPr>
              <w:t xml:space="preserve"> </w:t>
            </w:r>
            <w:r w:rsidR="00D70D28">
              <w:t>Australia</w:t>
            </w:r>
            <w:r w:rsidR="00D70D28">
              <w:tab/>
              <w:t>12</w:t>
            </w:r>
          </w:hyperlink>
        </w:p>
        <w:p w:rsidR="007D76BB" w:rsidRDefault="00A51832">
          <w:pPr>
            <w:pStyle w:val="TOC3"/>
            <w:tabs>
              <w:tab w:val="right" w:leader="hyphen" w:pos="8701"/>
            </w:tabs>
          </w:pPr>
          <w:hyperlink w:anchor="_bookmark6" w:history="1">
            <w:r w:rsidR="00D70D28">
              <w:t>Different regulatory requirements for food</w:t>
            </w:r>
            <w:r w:rsidR="00D70D28">
              <w:rPr>
                <w:spacing w:val="-8"/>
              </w:rPr>
              <w:t xml:space="preserve"> </w:t>
            </w:r>
            <w:r w:rsidR="00D70D28">
              <w:t>and</w:t>
            </w:r>
            <w:r w:rsidR="00D70D28">
              <w:rPr>
                <w:spacing w:val="-4"/>
              </w:rPr>
              <w:t xml:space="preserve"> </w:t>
            </w:r>
            <w:r w:rsidR="00D70D28">
              <w:t>medicines</w:t>
            </w:r>
            <w:r w:rsidR="00D70D28">
              <w:tab/>
              <w:t>13</w:t>
            </w:r>
          </w:hyperlink>
        </w:p>
        <w:p w:rsidR="007D76BB" w:rsidRDefault="00A51832">
          <w:pPr>
            <w:pStyle w:val="TOC1"/>
            <w:tabs>
              <w:tab w:val="left" w:pos="8188"/>
            </w:tabs>
            <w:spacing w:before="119"/>
          </w:pPr>
          <w:hyperlink w:anchor="_bookmark12" w:history="1">
            <w:r w:rsidR="00D70D28">
              <w:t>The</w:t>
            </w:r>
            <w:r w:rsidR="00D70D28">
              <w:rPr>
                <w:spacing w:val="-1"/>
              </w:rPr>
              <w:t xml:space="preserve"> </w:t>
            </w:r>
            <w:r w:rsidR="00D70D28">
              <w:t>problem</w:t>
            </w:r>
            <w:r w:rsidR="00D70D28">
              <w:rPr>
                <w:u w:val="thick"/>
              </w:rPr>
              <w:t xml:space="preserve"> </w:t>
            </w:r>
            <w:r w:rsidR="00D70D28">
              <w:rPr>
                <w:u w:val="thick"/>
              </w:rPr>
              <w:tab/>
            </w:r>
            <w:r w:rsidR="00D70D28">
              <w:t>22</w:t>
            </w:r>
          </w:hyperlink>
        </w:p>
        <w:p w:rsidR="007D76BB" w:rsidRDefault="00A51832">
          <w:pPr>
            <w:pStyle w:val="TOC2"/>
            <w:tabs>
              <w:tab w:val="right" w:leader="underscore" w:pos="8706"/>
            </w:tabs>
            <w:spacing w:before="203"/>
          </w:pPr>
          <w:hyperlink w:anchor="_bookmark13" w:history="1">
            <w:r w:rsidR="00D70D28">
              <w:t>The</w:t>
            </w:r>
            <w:r w:rsidR="00D70D28">
              <w:rPr>
                <w:spacing w:val="-2"/>
              </w:rPr>
              <w:t xml:space="preserve"> </w:t>
            </w:r>
            <w:r w:rsidR="00D70D28">
              <w:t>consumer problem</w:t>
            </w:r>
            <w:r w:rsidR="00D70D28">
              <w:tab/>
              <w:t>22</w:t>
            </w:r>
          </w:hyperlink>
        </w:p>
        <w:p w:rsidR="007D76BB" w:rsidRDefault="00A51832">
          <w:pPr>
            <w:pStyle w:val="TOC3"/>
            <w:tabs>
              <w:tab w:val="right" w:leader="hyphen" w:pos="8701"/>
            </w:tabs>
            <w:spacing w:before="117"/>
          </w:pPr>
          <w:hyperlink w:anchor="_bookmark14" w:history="1">
            <w:r w:rsidR="00D70D28">
              <w:t>Consumer use of sports supplements</w:t>
            </w:r>
            <w:r w:rsidR="00D70D28">
              <w:rPr>
                <w:spacing w:val="-10"/>
              </w:rPr>
              <w:t xml:space="preserve"> </w:t>
            </w:r>
            <w:r w:rsidR="00D70D28">
              <w:t>in Australia</w:t>
            </w:r>
            <w:r w:rsidR="00D70D28">
              <w:tab/>
              <w:t>24</w:t>
            </w:r>
          </w:hyperlink>
        </w:p>
        <w:p w:rsidR="007D76BB" w:rsidRDefault="00A51832">
          <w:pPr>
            <w:pStyle w:val="TOC3"/>
            <w:tabs>
              <w:tab w:val="right" w:leader="hyphen" w:pos="8701"/>
            </w:tabs>
            <w:spacing w:before="121"/>
          </w:pPr>
          <w:hyperlink w:anchor="_bookmark15" w:history="1">
            <w:r w:rsidR="00D70D28">
              <w:t>Adverse events related to</w:t>
            </w:r>
            <w:r w:rsidR="00D70D28">
              <w:rPr>
                <w:spacing w:val="-7"/>
              </w:rPr>
              <w:t xml:space="preserve"> </w:t>
            </w:r>
            <w:r w:rsidR="00D70D28">
              <w:t>sports</w:t>
            </w:r>
            <w:r w:rsidR="00D70D28">
              <w:rPr>
                <w:spacing w:val="-2"/>
              </w:rPr>
              <w:t xml:space="preserve"> </w:t>
            </w:r>
            <w:r w:rsidR="00D70D28">
              <w:t>supplements</w:t>
            </w:r>
            <w:r w:rsidR="00D70D28">
              <w:tab/>
              <w:t>25</w:t>
            </w:r>
          </w:hyperlink>
        </w:p>
        <w:p w:rsidR="007D76BB" w:rsidRDefault="00A51832">
          <w:pPr>
            <w:pStyle w:val="TOC3"/>
            <w:tabs>
              <w:tab w:val="right" w:leader="hyphen" w:pos="8701"/>
            </w:tabs>
          </w:pPr>
          <w:hyperlink w:anchor="_bookmark18" w:history="1">
            <w:r w:rsidR="00D70D28">
              <w:t>Ingredients of concern in</w:t>
            </w:r>
            <w:r w:rsidR="00D70D28">
              <w:rPr>
                <w:spacing w:val="-4"/>
              </w:rPr>
              <w:t xml:space="preserve"> </w:t>
            </w:r>
            <w:r w:rsidR="00D70D28">
              <w:t>sports</w:t>
            </w:r>
            <w:r w:rsidR="00D70D28">
              <w:rPr>
                <w:spacing w:val="-3"/>
              </w:rPr>
              <w:t xml:space="preserve"> </w:t>
            </w:r>
            <w:r w:rsidR="00D70D28">
              <w:t>supplements</w:t>
            </w:r>
            <w:r w:rsidR="00D70D28">
              <w:tab/>
              <w:t>29</w:t>
            </w:r>
          </w:hyperlink>
        </w:p>
        <w:p w:rsidR="007D76BB" w:rsidRDefault="00A51832">
          <w:pPr>
            <w:pStyle w:val="TOC3"/>
            <w:tabs>
              <w:tab w:val="right" w:leader="hyphen" w:pos="8701"/>
            </w:tabs>
            <w:spacing w:before="122"/>
          </w:pPr>
          <w:hyperlink w:anchor="_bookmark24" w:history="1">
            <w:r w:rsidR="00D70D28">
              <w:t>Presentations of concern in</w:t>
            </w:r>
            <w:r w:rsidR="00D70D28">
              <w:rPr>
                <w:spacing w:val="-5"/>
              </w:rPr>
              <w:t xml:space="preserve"> </w:t>
            </w:r>
            <w:r w:rsidR="00D70D28">
              <w:t>sports</w:t>
            </w:r>
            <w:r w:rsidR="00D70D28">
              <w:rPr>
                <w:spacing w:val="-2"/>
              </w:rPr>
              <w:t xml:space="preserve"> </w:t>
            </w:r>
            <w:r w:rsidR="00D70D28">
              <w:t>supplements</w:t>
            </w:r>
            <w:r w:rsidR="00D70D28">
              <w:tab/>
              <w:t>37</w:t>
            </w:r>
          </w:hyperlink>
        </w:p>
        <w:p w:rsidR="007D76BB" w:rsidRDefault="00A51832">
          <w:pPr>
            <w:pStyle w:val="TOC2"/>
            <w:tabs>
              <w:tab w:val="right" w:leader="underscore" w:pos="8706"/>
            </w:tabs>
          </w:pPr>
          <w:hyperlink w:anchor="_bookmark27" w:history="1">
            <w:r w:rsidR="00D70D28">
              <w:t>The problem with</w:t>
            </w:r>
            <w:r w:rsidR="00D70D28">
              <w:rPr>
                <w:spacing w:val="-2"/>
              </w:rPr>
              <w:t xml:space="preserve"> </w:t>
            </w:r>
            <w:r w:rsidR="00D70D28">
              <w:t>current</w:t>
            </w:r>
            <w:r w:rsidR="00D70D28">
              <w:rPr>
                <w:spacing w:val="-1"/>
              </w:rPr>
              <w:t xml:space="preserve"> </w:t>
            </w:r>
            <w:r w:rsidR="00D70D28">
              <w:t>legislation</w:t>
            </w:r>
            <w:r w:rsidR="00D70D28">
              <w:tab/>
              <w:t>39</w:t>
            </w:r>
          </w:hyperlink>
        </w:p>
        <w:p w:rsidR="007D76BB" w:rsidRDefault="00A51832">
          <w:pPr>
            <w:pStyle w:val="TOC2"/>
            <w:tabs>
              <w:tab w:val="right" w:leader="underscore" w:pos="8706"/>
            </w:tabs>
            <w:spacing w:before="120"/>
          </w:pPr>
          <w:hyperlink w:anchor="_bookmark29" w:history="1">
            <w:r w:rsidR="00D70D28">
              <w:t>The sports supplement industry</w:t>
            </w:r>
            <w:r w:rsidR="00D70D28">
              <w:rPr>
                <w:spacing w:val="-4"/>
              </w:rPr>
              <w:t xml:space="preserve"> </w:t>
            </w:r>
            <w:r w:rsidR="00D70D28">
              <w:t>in</w:t>
            </w:r>
            <w:r w:rsidR="00D70D28">
              <w:rPr>
                <w:spacing w:val="-1"/>
              </w:rPr>
              <w:t xml:space="preserve"> </w:t>
            </w:r>
            <w:r w:rsidR="00D70D28">
              <w:t>Australia</w:t>
            </w:r>
            <w:r w:rsidR="00D70D28">
              <w:tab/>
              <w:t>43</w:t>
            </w:r>
          </w:hyperlink>
        </w:p>
        <w:p w:rsidR="007D76BB" w:rsidRDefault="00A51832">
          <w:pPr>
            <w:pStyle w:val="TOC2"/>
            <w:tabs>
              <w:tab w:val="right" w:leader="underscore" w:pos="8706"/>
            </w:tabs>
          </w:pPr>
          <w:hyperlink w:anchor="_bookmark30" w:history="1">
            <w:r w:rsidR="00D70D28">
              <w:t>International problems associated with</w:t>
            </w:r>
            <w:r w:rsidR="00D70D28">
              <w:rPr>
                <w:spacing w:val="-8"/>
              </w:rPr>
              <w:t xml:space="preserve"> </w:t>
            </w:r>
            <w:r w:rsidR="00D70D28">
              <w:t>sports</w:t>
            </w:r>
            <w:r w:rsidR="00D70D28">
              <w:rPr>
                <w:spacing w:val="-2"/>
              </w:rPr>
              <w:t xml:space="preserve"> </w:t>
            </w:r>
            <w:r w:rsidR="00D70D28">
              <w:t>supplements</w:t>
            </w:r>
            <w:r w:rsidR="00D70D28">
              <w:tab/>
              <w:t>44</w:t>
            </w:r>
          </w:hyperlink>
        </w:p>
        <w:p w:rsidR="007D76BB" w:rsidRDefault="00A51832">
          <w:pPr>
            <w:pStyle w:val="TOC1"/>
            <w:tabs>
              <w:tab w:val="left" w:pos="8188"/>
            </w:tabs>
            <w:spacing w:before="120" w:line="369" w:lineRule="auto"/>
            <w:ind w:right="1160"/>
            <w:jc w:val="both"/>
          </w:pPr>
          <w:hyperlink w:anchor="_bookmark32" w:history="1">
            <w:r w:rsidR="00D70D28">
              <w:t>Need for</w:t>
            </w:r>
            <w:r w:rsidR="00D70D28">
              <w:rPr>
                <w:spacing w:val="-4"/>
              </w:rPr>
              <w:t xml:space="preserve"> </w:t>
            </w:r>
            <w:r w:rsidR="00D70D28">
              <w:t>government</w:t>
            </w:r>
            <w:r w:rsidR="00D70D28">
              <w:rPr>
                <w:spacing w:val="-4"/>
              </w:rPr>
              <w:t xml:space="preserve"> </w:t>
            </w:r>
            <w:r w:rsidR="00D70D28">
              <w:rPr>
                <w:spacing w:val="3"/>
              </w:rPr>
              <w:t>action</w:t>
            </w:r>
            <w:r w:rsidR="00D70D28">
              <w:rPr>
                <w:spacing w:val="3"/>
                <w:u w:val="thick"/>
              </w:rPr>
              <w:t xml:space="preserve"> </w:t>
            </w:r>
            <w:r w:rsidR="00D70D28">
              <w:rPr>
                <w:spacing w:val="3"/>
                <w:u w:val="thick"/>
              </w:rPr>
              <w:tab/>
            </w:r>
            <w:r w:rsidR="00D70D28">
              <w:rPr>
                <w:spacing w:val="-9"/>
              </w:rPr>
              <w:t>46</w:t>
            </w:r>
          </w:hyperlink>
          <w:r w:rsidR="00D70D28">
            <w:rPr>
              <w:spacing w:val="-9"/>
            </w:rPr>
            <w:t xml:space="preserve"> </w:t>
          </w:r>
          <w:hyperlink w:anchor="_bookmark33" w:history="1">
            <w:r w:rsidR="00D70D28">
              <w:t>Consultation</w:t>
            </w:r>
            <w:r w:rsidR="00D70D28">
              <w:rPr>
                <w:u w:val="thick"/>
              </w:rPr>
              <w:t xml:space="preserve"> </w:t>
            </w:r>
            <w:r w:rsidR="00D70D28">
              <w:rPr>
                <w:u w:val="thick"/>
              </w:rPr>
              <w:tab/>
            </w:r>
            <w:r w:rsidR="00D70D28">
              <w:rPr>
                <w:spacing w:val="-9"/>
              </w:rPr>
              <w:t>47</w:t>
            </w:r>
          </w:hyperlink>
          <w:r w:rsidR="00D70D28">
            <w:rPr>
              <w:spacing w:val="-9"/>
            </w:rPr>
            <w:t xml:space="preserve"> </w:t>
          </w:r>
          <w:hyperlink w:anchor="_bookmark35" w:history="1">
            <w:r w:rsidR="00D70D28">
              <w:t>Policy</w:t>
            </w:r>
            <w:r w:rsidR="00D70D28">
              <w:rPr>
                <w:spacing w:val="-7"/>
              </w:rPr>
              <w:t xml:space="preserve"> </w:t>
            </w:r>
            <w:r w:rsidR="00D70D28">
              <w:t>options</w:t>
            </w:r>
            <w:r w:rsidR="00D70D28">
              <w:rPr>
                <w:spacing w:val="-3"/>
              </w:rPr>
              <w:t xml:space="preserve"> </w:t>
            </w:r>
            <w:r w:rsidR="00D70D28">
              <w:t>considered</w:t>
            </w:r>
            <w:r w:rsidR="00D70D28">
              <w:rPr>
                <w:u w:val="thick"/>
              </w:rPr>
              <w:t xml:space="preserve"> </w:t>
            </w:r>
            <w:r w:rsidR="00D70D28">
              <w:rPr>
                <w:u w:val="thick"/>
              </w:rPr>
              <w:tab/>
            </w:r>
            <w:r w:rsidR="00D70D28">
              <w:rPr>
                <w:spacing w:val="-8"/>
              </w:rPr>
              <w:t>53</w:t>
            </w:r>
          </w:hyperlink>
        </w:p>
        <w:p w:rsidR="007D76BB" w:rsidRDefault="00A51832">
          <w:pPr>
            <w:pStyle w:val="TOC2"/>
            <w:tabs>
              <w:tab w:val="left" w:leader="underscore" w:pos="8408"/>
            </w:tabs>
            <w:spacing w:before="6"/>
          </w:pPr>
          <w:hyperlink w:anchor="_bookmark36" w:history="1">
            <w:r w:rsidR="00D70D28">
              <w:t>Criteria for</w:t>
            </w:r>
            <w:r w:rsidR="00D70D28">
              <w:rPr>
                <w:spacing w:val="-5"/>
              </w:rPr>
              <w:t xml:space="preserve"> </w:t>
            </w:r>
            <w:r w:rsidR="00D70D28">
              <w:t>assessing</w:t>
            </w:r>
            <w:r w:rsidR="00D70D28">
              <w:rPr>
                <w:spacing w:val="-5"/>
              </w:rPr>
              <w:t xml:space="preserve"> </w:t>
            </w:r>
            <w:r w:rsidR="00D70D28">
              <w:t>options</w:t>
            </w:r>
            <w:r w:rsidR="00D70D28">
              <w:tab/>
              <w:t>54</w:t>
            </w:r>
          </w:hyperlink>
        </w:p>
        <w:p w:rsidR="007D76BB" w:rsidRDefault="00A51832">
          <w:pPr>
            <w:pStyle w:val="TOC2"/>
            <w:tabs>
              <w:tab w:val="left" w:leader="underscore" w:pos="8408"/>
            </w:tabs>
            <w:spacing w:before="120"/>
          </w:pPr>
          <w:hyperlink w:anchor="_bookmark37" w:history="1">
            <w:r w:rsidR="00D70D28">
              <w:t>Option 1.</w:t>
            </w:r>
            <w:r w:rsidR="00D70D28">
              <w:rPr>
                <w:spacing w:val="-4"/>
              </w:rPr>
              <w:t xml:space="preserve"> </w:t>
            </w:r>
            <w:r w:rsidR="00D70D28">
              <w:t>Status</w:t>
            </w:r>
            <w:r w:rsidR="00D70D28">
              <w:rPr>
                <w:spacing w:val="-1"/>
              </w:rPr>
              <w:t xml:space="preserve"> </w:t>
            </w:r>
            <w:r w:rsidR="00D70D28">
              <w:t>Quo</w:t>
            </w:r>
            <w:r w:rsidR="00D70D28">
              <w:tab/>
              <w:t>54</w:t>
            </w:r>
          </w:hyperlink>
        </w:p>
        <w:p w:rsidR="007D76BB" w:rsidRDefault="00A51832">
          <w:pPr>
            <w:pStyle w:val="TOC2"/>
            <w:tabs>
              <w:tab w:val="left" w:leader="underscore" w:pos="8408"/>
            </w:tabs>
            <w:spacing w:before="120"/>
            <w:ind w:right="778"/>
          </w:pPr>
          <w:hyperlink w:anchor="_bookmark38" w:history="1">
            <w:r w:rsidR="00D70D28">
              <w:t>Option 2A. Declare that sports supplements including substances (in the</w:t>
            </w:r>
          </w:hyperlink>
          <w:r w:rsidR="00D70D28">
            <w:t xml:space="preserve"> </w:t>
          </w:r>
          <w:hyperlink w:anchor="_bookmark38" w:history="1">
            <w:r w:rsidR="00D70D28">
              <w:t>Poisons Standard, WADC or Relevant substance lists) and/or presented as</w:t>
            </w:r>
          </w:hyperlink>
          <w:r w:rsidR="00D70D28">
            <w:t xml:space="preserve"> </w:t>
          </w:r>
          <w:hyperlink w:anchor="_bookmark38" w:history="1">
            <w:r w:rsidR="00D70D28">
              <w:t>medicines are</w:t>
            </w:r>
            <w:r w:rsidR="00D70D28">
              <w:rPr>
                <w:spacing w:val="-7"/>
              </w:rPr>
              <w:t xml:space="preserve"> </w:t>
            </w:r>
            <w:r w:rsidR="00D70D28">
              <w:t>therapeutic</w:t>
            </w:r>
            <w:r w:rsidR="00D70D28">
              <w:rPr>
                <w:spacing w:val="-3"/>
              </w:rPr>
              <w:t xml:space="preserve"> </w:t>
            </w:r>
            <w:r w:rsidR="00D70D28">
              <w:t>goods</w:t>
            </w:r>
            <w:r w:rsidR="00D70D28">
              <w:tab/>
              <w:t>5</w:t>
            </w:r>
            <w:r w:rsidR="00D70D28">
              <w:lastRenderedPageBreak/>
              <w:t>6</w:t>
            </w:r>
          </w:hyperlink>
        </w:p>
        <w:p w:rsidR="007D76BB" w:rsidRDefault="00A51832">
          <w:pPr>
            <w:pStyle w:val="TOC3"/>
            <w:tabs>
              <w:tab w:val="left" w:leader="hyphen" w:pos="8442"/>
            </w:tabs>
          </w:pPr>
          <w:hyperlink w:anchor="_bookmark39" w:history="1">
            <w:r w:rsidR="00D70D28">
              <w:t>Elements of</w:t>
            </w:r>
            <w:r w:rsidR="00D70D28">
              <w:rPr>
                <w:spacing w:val="-4"/>
              </w:rPr>
              <w:t xml:space="preserve"> </w:t>
            </w:r>
            <w:r w:rsidR="00D70D28">
              <w:t>Option</w:t>
            </w:r>
            <w:r w:rsidR="00D70D28">
              <w:rPr>
                <w:spacing w:val="-1"/>
              </w:rPr>
              <w:t xml:space="preserve"> </w:t>
            </w:r>
            <w:r w:rsidR="00D70D28">
              <w:t>2A</w:t>
            </w:r>
            <w:r w:rsidR="00D70D28">
              <w:tab/>
              <w:t>56</w:t>
            </w:r>
          </w:hyperlink>
        </w:p>
        <w:p w:rsidR="007D76BB" w:rsidRDefault="00A51832">
          <w:pPr>
            <w:pStyle w:val="TOC3"/>
            <w:spacing w:before="121" w:line="257" w:lineRule="exact"/>
          </w:pPr>
          <w:hyperlink w:anchor="_bookmark41" w:history="1">
            <w:r w:rsidR="00D70D28">
              <w:t>How Option 2A will mitigate the risk associated with certain sports supplements</w:t>
            </w:r>
          </w:hyperlink>
        </w:p>
        <w:p w:rsidR="007D76BB" w:rsidRDefault="00A51832">
          <w:pPr>
            <w:pStyle w:val="TOC3"/>
            <w:spacing w:before="0" w:line="257" w:lineRule="exact"/>
            <w:ind w:left="1086"/>
          </w:pPr>
          <w:hyperlink w:anchor="_bookmark41" w:history="1">
            <w:r w:rsidR="00D70D28">
              <w:t>--------------------------------------------------------------------------------------------------</w:t>
            </w:r>
            <w:r w:rsidR="00D70D28">
              <w:rPr>
                <w:spacing w:val="38"/>
              </w:rPr>
              <w:t xml:space="preserve"> </w:t>
            </w:r>
            <w:r w:rsidR="00D70D28">
              <w:t>58</w:t>
            </w:r>
          </w:hyperlink>
        </w:p>
        <w:p w:rsidR="007D76BB" w:rsidRDefault="00A51832">
          <w:pPr>
            <w:pStyle w:val="TOC3"/>
            <w:tabs>
              <w:tab w:val="left" w:leader="hyphen" w:pos="8442"/>
            </w:tabs>
            <w:spacing w:before="121"/>
          </w:pPr>
          <w:hyperlink w:anchor="_bookmark42" w:history="1">
            <w:r w:rsidR="00D70D28">
              <w:t>Impacts of</w:t>
            </w:r>
            <w:r w:rsidR="00D70D28">
              <w:rPr>
                <w:spacing w:val="-4"/>
              </w:rPr>
              <w:t xml:space="preserve"> </w:t>
            </w:r>
            <w:r w:rsidR="00D70D28">
              <w:t>Option</w:t>
            </w:r>
            <w:r w:rsidR="00D70D28">
              <w:rPr>
                <w:spacing w:val="-1"/>
              </w:rPr>
              <w:t xml:space="preserve"> </w:t>
            </w:r>
            <w:r w:rsidR="00D70D28">
              <w:t>2A</w:t>
            </w:r>
            <w:r w:rsidR="00D70D28">
              <w:tab/>
              <w:t>59</w:t>
            </w:r>
          </w:hyperlink>
        </w:p>
        <w:p w:rsidR="007D76BB" w:rsidRDefault="00A51832">
          <w:pPr>
            <w:pStyle w:val="TOC2"/>
            <w:tabs>
              <w:tab w:val="left" w:leader="underscore" w:pos="8408"/>
            </w:tabs>
            <w:ind w:right="977"/>
          </w:pPr>
          <w:hyperlink w:anchor="_bookmark47" w:history="1">
            <w:r w:rsidR="00D70D28">
              <w:t>Option 2B. Declare that sports supplements including substances (in the</w:t>
            </w:r>
          </w:hyperlink>
          <w:r w:rsidR="00D70D28">
            <w:t xml:space="preserve"> </w:t>
          </w:r>
          <w:hyperlink w:anchor="_bookmark47" w:history="1">
            <w:r w:rsidR="00D70D28">
              <w:t>Poisons Standard or Relevant substance list) and/or presented as</w:t>
            </w:r>
          </w:hyperlink>
          <w:r w:rsidR="00D70D28">
            <w:t xml:space="preserve"> </w:t>
          </w:r>
          <w:hyperlink w:anchor="_bookmark47" w:history="1">
            <w:r w:rsidR="00D70D28">
              <w:t>medicines are</w:t>
            </w:r>
            <w:r w:rsidR="00D70D28">
              <w:rPr>
                <w:spacing w:val="-7"/>
              </w:rPr>
              <w:t xml:space="preserve"> </w:t>
            </w:r>
            <w:r w:rsidR="00D70D28">
              <w:t>therapeutic</w:t>
            </w:r>
            <w:r w:rsidR="00D70D28">
              <w:rPr>
                <w:spacing w:val="-3"/>
              </w:rPr>
              <w:t xml:space="preserve"> </w:t>
            </w:r>
            <w:r w:rsidR="00D70D28">
              <w:t>goods</w:t>
            </w:r>
            <w:r w:rsidR="00D70D28">
              <w:tab/>
              <w:t>70</w:t>
            </w:r>
          </w:hyperlink>
        </w:p>
        <w:p w:rsidR="007D76BB" w:rsidRDefault="00A51832">
          <w:pPr>
            <w:pStyle w:val="TOC3"/>
            <w:tabs>
              <w:tab w:val="left" w:leader="hyphen" w:pos="8442"/>
            </w:tabs>
          </w:pPr>
          <w:hyperlink w:anchor="_bookmark48" w:history="1">
            <w:r w:rsidR="00D70D28">
              <w:t>Elements of</w:t>
            </w:r>
            <w:r w:rsidR="00D70D28">
              <w:rPr>
                <w:spacing w:val="-4"/>
              </w:rPr>
              <w:t xml:space="preserve"> </w:t>
            </w:r>
            <w:r w:rsidR="00D70D28">
              <w:t>Option</w:t>
            </w:r>
            <w:r w:rsidR="00D70D28">
              <w:rPr>
                <w:spacing w:val="-1"/>
              </w:rPr>
              <w:t xml:space="preserve"> </w:t>
            </w:r>
            <w:r w:rsidR="00D70D28">
              <w:t>2B</w:t>
            </w:r>
            <w:r w:rsidR="00D70D28">
              <w:tab/>
              <w:t>70</w:t>
            </w:r>
          </w:hyperlink>
        </w:p>
        <w:p w:rsidR="007D76BB" w:rsidRDefault="00A51832">
          <w:pPr>
            <w:pStyle w:val="TOC3"/>
            <w:spacing w:before="124" w:line="257" w:lineRule="exact"/>
          </w:pPr>
          <w:hyperlink w:anchor="_bookmark49" w:history="1">
            <w:r w:rsidR="00D70D28">
              <w:t>How Option 2B will mitigate the risk associated with certain sports supplements</w:t>
            </w:r>
          </w:hyperlink>
        </w:p>
        <w:p w:rsidR="007D76BB" w:rsidRDefault="00A51832">
          <w:pPr>
            <w:pStyle w:val="TOC3"/>
            <w:spacing w:before="0" w:after="20" w:line="257" w:lineRule="exact"/>
            <w:ind w:left="1086"/>
          </w:pPr>
          <w:hyperlink w:anchor="_bookmark49" w:history="1">
            <w:r w:rsidR="00D70D28">
              <w:t>-------------------------------------------------------------------------------------------------- 71</w:t>
            </w:r>
          </w:hyperlink>
        </w:p>
        <w:p w:rsidR="007D76BB" w:rsidRDefault="00A51832">
          <w:pPr>
            <w:pStyle w:val="TOC3"/>
            <w:tabs>
              <w:tab w:val="left" w:leader="hyphen" w:pos="8442"/>
            </w:tabs>
            <w:spacing w:before="290"/>
          </w:pPr>
          <w:hyperlink w:anchor="_bookmark50" w:history="1">
            <w:r w:rsidR="00D70D28">
              <w:t>Impacts of</w:t>
            </w:r>
            <w:r w:rsidR="00D70D28">
              <w:rPr>
                <w:spacing w:val="-4"/>
              </w:rPr>
              <w:t xml:space="preserve"> </w:t>
            </w:r>
            <w:r w:rsidR="00D70D28">
              <w:t>Option</w:t>
            </w:r>
            <w:r w:rsidR="00D70D28">
              <w:rPr>
                <w:spacing w:val="-1"/>
              </w:rPr>
              <w:t xml:space="preserve"> </w:t>
            </w:r>
            <w:r w:rsidR="00D70D28">
              <w:t>2B</w:t>
            </w:r>
            <w:r w:rsidR="00D70D28">
              <w:tab/>
              <w:t>73</w:t>
            </w:r>
          </w:hyperlink>
        </w:p>
        <w:p w:rsidR="007D76BB" w:rsidRDefault="00A51832">
          <w:pPr>
            <w:pStyle w:val="TOC2"/>
            <w:spacing w:before="121"/>
            <w:ind w:right="595"/>
          </w:pPr>
          <w:hyperlink w:anchor="_bookmark52" w:history="1">
            <w:r w:rsidR="00D70D28">
              <w:t>Option 3: Declare that sports supplements including substances (in the</w:t>
            </w:r>
          </w:hyperlink>
          <w:r w:rsidR="00D70D28">
            <w:t xml:space="preserve"> </w:t>
          </w:r>
          <w:hyperlink w:anchor="_bookmark52" w:history="1">
            <w:r w:rsidR="00D70D28">
              <w:t>Poisons Standard, WADC or Relevant substance lists) are therapeutic goods</w:t>
            </w:r>
          </w:hyperlink>
        </w:p>
        <w:p w:rsidR="007D76BB" w:rsidRDefault="00A51832">
          <w:pPr>
            <w:pStyle w:val="TOC2"/>
            <w:spacing w:before="0" w:line="292" w:lineRule="exact"/>
            <w:ind w:left="651"/>
          </w:pPr>
          <w:hyperlink w:anchor="_bookmark52" w:history="1">
            <w:r w:rsidR="00D70D28">
              <w:t xml:space="preserve">__________________________________________________________________________________ </w:t>
            </w:r>
            <w:r w:rsidR="00D70D28">
              <w:rPr>
                <w:spacing w:val="40"/>
              </w:rPr>
              <w:t xml:space="preserve"> </w:t>
            </w:r>
            <w:r w:rsidR="00D70D28">
              <w:t>77</w:t>
            </w:r>
          </w:hyperlink>
        </w:p>
        <w:p w:rsidR="007D76BB" w:rsidRDefault="00A51832">
          <w:pPr>
            <w:pStyle w:val="TOC3"/>
            <w:tabs>
              <w:tab w:val="left" w:leader="hyphen" w:pos="8442"/>
            </w:tabs>
            <w:spacing w:before="120"/>
          </w:pPr>
          <w:hyperlink w:anchor="_bookmark53" w:history="1">
            <w:r w:rsidR="00D70D28">
              <w:t>Elements of</w:t>
            </w:r>
            <w:r w:rsidR="00D70D28">
              <w:rPr>
                <w:spacing w:val="-4"/>
              </w:rPr>
              <w:t xml:space="preserve"> </w:t>
            </w:r>
            <w:r w:rsidR="00D70D28">
              <w:t>Option 3</w:t>
            </w:r>
            <w:r w:rsidR="00D70D28">
              <w:tab/>
              <w:t>77</w:t>
            </w:r>
          </w:hyperlink>
        </w:p>
        <w:p w:rsidR="007D76BB" w:rsidRDefault="00A51832">
          <w:pPr>
            <w:pStyle w:val="TOC3"/>
            <w:spacing w:before="121" w:line="257" w:lineRule="exact"/>
          </w:pPr>
          <w:hyperlink w:anchor="_bookmark54" w:history="1">
            <w:r w:rsidR="00D70D28">
              <w:t>How Option 3 will mitigate the risk associated with certain sports supplements</w:t>
            </w:r>
          </w:hyperlink>
        </w:p>
        <w:p w:rsidR="007D76BB" w:rsidRDefault="00A51832">
          <w:pPr>
            <w:pStyle w:val="TOC3"/>
            <w:spacing w:before="0" w:line="257" w:lineRule="exact"/>
            <w:ind w:left="1086"/>
          </w:pPr>
          <w:hyperlink w:anchor="_bookmark54" w:history="1">
            <w:r w:rsidR="00D70D28">
              <w:t>--------------------------------------------------------------------------------------------------</w:t>
            </w:r>
            <w:r w:rsidR="00D70D28">
              <w:rPr>
                <w:spacing w:val="38"/>
              </w:rPr>
              <w:t xml:space="preserve"> </w:t>
            </w:r>
            <w:r w:rsidR="00D70D28">
              <w:t>78</w:t>
            </w:r>
          </w:hyperlink>
        </w:p>
        <w:p w:rsidR="007D76BB" w:rsidRDefault="00A51832">
          <w:pPr>
            <w:pStyle w:val="TOC3"/>
            <w:tabs>
              <w:tab w:val="left" w:leader="hyphen" w:pos="8442"/>
            </w:tabs>
          </w:pPr>
          <w:hyperlink w:anchor="_bookmark55" w:history="1">
            <w:r w:rsidR="00D70D28">
              <w:t>Impacts of</w:t>
            </w:r>
            <w:r w:rsidR="00D70D28">
              <w:rPr>
                <w:spacing w:val="-4"/>
              </w:rPr>
              <w:t xml:space="preserve"> </w:t>
            </w:r>
            <w:r w:rsidR="00D70D28">
              <w:t>Option 3</w:t>
            </w:r>
            <w:r w:rsidR="00D70D28">
              <w:tab/>
              <w:t>80</w:t>
            </w:r>
          </w:hyperlink>
        </w:p>
        <w:p w:rsidR="007D76BB" w:rsidRDefault="00A51832">
          <w:pPr>
            <w:pStyle w:val="TOC2"/>
            <w:tabs>
              <w:tab w:val="left" w:leader="underscore" w:pos="8408"/>
            </w:tabs>
            <w:spacing w:before="122"/>
          </w:pPr>
          <w:hyperlink w:anchor="_bookmark57" w:history="1">
            <w:r w:rsidR="00D70D28">
              <w:t>Alternative</w:t>
            </w:r>
            <w:r w:rsidR="00D70D28">
              <w:rPr>
                <w:spacing w:val="-5"/>
              </w:rPr>
              <w:t xml:space="preserve"> </w:t>
            </w:r>
            <w:r w:rsidR="00D70D28">
              <w:t>approaches</w:t>
            </w:r>
            <w:r w:rsidR="00D70D28">
              <w:rPr>
                <w:spacing w:val="-3"/>
              </w:rPr>
              <w:t xml:space="preserve"> </w:t>
            </w:r>
            <w:r w:rsidR="00D70D28">
              <w:t>considered</w:t>
            </w:r>
            <w:r w:rsidR="00D70D28">
              <w:tab/>
              <w:t>84</w:t>
            </w:r>
          </w:hyperlink>
        </w:p>
        <w:p w:rsidR="007D76BB" w:rsidRDefault="00A51832">
          <w:pPr>
            <w:pStyle w:val="TOC3"/>
            <w:tabs>
              <w:tab w:val="left" w:leader="hyphen" w:pos="8442"/>
            </w:tabs>
          </w:pPr>
          <w:hyperlink w:anchor="_bookmark58" w:history="1">
            <w:r w:rsidR="00D70D28">
              <w:t>Alternative approach 1:</w:t>
            </w:r>
            <w:r w:rsidR="00D70D28">
              <w:rPr>
                <w:spacing w:val="-11"/>
              </w:rPr>
              <w:t xml:space="preserve"> </w:t>
            </w:r>
            <w:r w:rsidR="00D70D28">
              <w:t>Non-regulatory</w:t>
            </w:r>
            <w:r w:rsidR="00D70D28">
              <w:rPr>
                <w:spacing w:val="-2"/>
              </w:rPr>
              <w:t xml:space="preserve"> </w:t>
            </w:r>
            <w:r w:rsidR="00D70D28">
              <w:t>intervention</w:t>
            </w:r>
            <w:r w:rsidR="00D70D28">
              <w:tab/>
              <w:t>84</w:t>
            </w:r>
          </w:hyperlink>
        </w:p>
        <w:p w:rsidR="007D76BB" w:rsidRDefault="00A51832">
          <w:pPr>
            <w:pStyle w:val="TOC3"/>
            <w:tabs>
              <w:tab w:val="left" w:leader="hyphen" w:pos="8442"/>
            </w:tabs>
            <w:spacing w:before="121"/>
            <w:ind w:right="887"/>
          </w:pPr>
          <w:hyperlink w:anchor="_bookmark59" w:history="1">
            <w:r w:rsidR="00D70D28">
              <w:t>Alternative approach 2: Declare that sports supplements with a broad range of</w:t>
            </w:r>
          </w:hyperlink>
          <w:r w:rsidR="00D70D28">
            <w:t xml:space="preserve"> </w:t>
          </w:r>
          <w:hyperlink w:anchor="_bookmark59" w:history="1">
            <w:r w:rsidR="00D70D28">
              <w:t>ingredients or presented as medicines are</w:t>
            </w:r>
            <w:r w:rsidR="00D70D28">
              <w:rPr>
                <w:spacing w:val="-18"/>
              </w:rPr>
              <w:t xml:space="preserve"> </w:t>
            </w:r>
            <w:r w:rsidR="00D70D28">
              <w:t>therapeutic</w:t>
            </w:r>
            <w:r w:rsidR="00D70D28">
              <w:rPr>
                <w:spacing w:val="-2"/>
              </w:rPr>
              <w:t xml:space="preserve"> </w:t>
            </w:r>
            <w:r w:rsidR="00D70D28">
              <w:t>goods</w:t>
            </w:r>
            <w:r w:rsidR="00D70D28">
              <w:tab/>
              <w:t>85</w:t>
            </w:r>
          </w:hyperlink>
        </w:p>
        <w:p w:rsidR="007D76BB" w:rsidRDefault="00A51832">
          <w:pPr>
            <w:pStyle w:val="TOC1"/>
            <w:tabs>
              <w:tab w:val="left" w:pos="8189"/>
            </w:tabs>
            <w:spacing w:line="372" w:lineRule="auto"/>
            <w:ind w:right="1181"/>
          </w:pPr>
          <w:hyperlink w:anchor="_bookmark60" w:history="1">
            <w:r w:rsidR="00D70D28">
              <w:t>Recommended</w:t>
            </w:r>
            <w:r w:rsidR="00D70D28">
              <w:rPr>
                <w:spacing w:val="-1"/>
              </w:rPr>
              <w:t xml:space="preserve"> </w:t>
            </w:r>
            <w:r w:rsidR="00D70D28">
              <w:rPr>
                <w:spacing w:val="2"/>
              </w:rPr>
              <w:t>option</w:t>
            </w:r>
            <w:r w:rsidR="00D70D28">
              <w:rPr>
                <w:spacing w:val="2"/>
                <w:u w:val="thick"/>
              </w:rPr>
              <w:t xml:space="preserve"> </w:t>
            </w:r>
            <w:r w:rsidR="00D70D28">
              <w:rPr>
                <w:spacing w:val="2"/>
                <w:u w:val="thick"/>
              </w:rPr>
              <w:tab/>
            </w:r>
            <w:r w:rsidR="00D70D28">
              <w:rPr>
                <w:spacing w:val="-9"/>
              </w:rPr>
              <w:t>86</w:t>
            </w:r>
          </w:hyperlink>
          <w:r w:rsidR="00D70D28">
            <w:rPr>
              <w:spacing w:val="-9"/>
            </w:rPr>
            <w:t xml:space="preserve"> </w:t>
          </w:r>
          <w:hyperlink w:anchor="_bookmark61" w:history="1">
            <w:r w:rsidR="00D70D28">
              <w:t>Implementation</w:t>
            </w:r>
            <w:r w:rsidR="00D70D28">
              <w:rPr>
                <w:spacing w:val="-2"/>
              </w:rPr>
              <w:t xml:space="preserve"> </w:t>
            </w:r>
            <w:r w:rsidR="00D70D28">
              <w:t>and</w:t>
            </w:r>
            <w:r w:rsidR="00D70D28">
              <w:rPr>
                <w:spacing w:val="-4"/>
              </w:rPr>
              <w:t xml:space="preserve"> </w:t>
            </w:r>
            <w:r w:rsidR="00D70D28">
              <w:t>evaluation</w:t>
            </w:r>
            <w:r w:rsidR="00D70D28">
              <w:rPr>
                <w:u w:val="thick"/>
              </w:rPr>
              <w:t xml:space="preserve"> </w:t>
            </w:r>
            <w:r w:rsidR="00D70D28">
              <w:rPr>
                <w:u w:val="thick"/>
              </w:rPr>
              <w:tab/>
            </w:r>
            <w:r w:rsidR="00D70D28">
              <w:rPr>
                <w:spacing w:val="-9"/>
              </w:rPr>
              <w:t>90</w:t>
            </w:r>
          </w:hyperlink>
        </w:p>
        <w:p w:rsidR="007D76BB" w:rsidRDefault="00A51832">
          <w:pPr>
            <w:pStyle w:val="TOC2"/>
            <w:tabs>
              <w:tab w:val="right" w:leader="underscore" w:pos="8706"/>
            </w:tabs>
            <w:spacing w:before="0" w:line="293" w:lineRule="exact"/>
          </w:pPr>
          <w:hyperlink w:anchor="_bookmark62" w:history="1">
            <w:r w:rsidR="00D70D28">
              <w:t>Implementation</w:t>
            </w:r>
            <w:r w:rsidR="00D70D28">
              <w:tab/>
              <w:t>90</w:t>
            </w:r>
          </w:hyperlink>
        </w:p>
        <w:p w:rsidR="007D76BB" w:rsidRDefault="00A51832">
          <w:pPr>
            <w:pStyle w:val="TOC2"/>
            <w:tabs>
              <w:tab w:val="right" w:leader="underscore" w:pos="8706"/>
            </w:tabs>
          </w:pPr>
          <w:hyperlink w:anchor="_bookmark63" w:history="1">
            <w:r w:rsidR="00D70D28">
              <w:t>Evaluation</w:t>
            </w:r>
            <w:r w:rsidR="00D70D28">
              <w:tab/>
              <w:t>91</w:t>
            </w:r>
          </w:hyperlink>
        </w:p>
      </w:sdtContent>
    </w:sdt>
    <w:p w:rsidR="007D76BB" w:rsidRDefault="007D76BB">
      <w:pPr>
        <w:sectPr w:rsidR="007D76BB">
          <w:type w:val="continuous"/>
          <w:pgSz w:w="11910" w:h="16840"/>
          <w:pgMar w:top="844" w:right="820" w:bottom="1460" w:left="1220" w:header="720" w:footer="720" w:gutter="0"/>
          <w:cols w:space="720"/>
        </w:sectPr>
      </w:pPr>
    </w:p>
    <w:p w:rsidR="007D76BB" w:rsidRDefault="00A51832">
      <w:pPr>
        <w:tabs>
          <w:tab w:val="left" w:pos="8191"/>
        </w:tabs>
        <w:spacing w:before="118"/>
        <w:ind w:left="198"/>
        <w:rPr>
          <w:rFonts w:ascii="Arial"/>
          <w:b/>
          <w:sz w:val="32"/>
        </w:rPr>
      </w:pPr>
      <w:hyperlink w:anchor="_bookmark67" w:history="1">
        <w:r w:rsidR="00D70D28">
          <w:rPr>
            <w:rFonts w:ascii="Arial"/>
            <w:b/>
            <w:sz w:val="32"/>
          </w:rPr>
          <w:t>Appendix 1 Regulatory</w:t>
        </w:r>
        <w:r w:rsidR="00D70D28">
          <w:rPr>
            <w:rFonts w:ascii="Arial"/>
            <w:b/>
            <w:spacing w:val="-11"/>
            <w:sz w:val="32"/>
          </w:rPr>
          <w:t xml:space="preserve"> </w:t>
        </w:r>
        <w:r w:rsidR="00D70D28">
          <w:rPr>
            <w:rFonts w:ascii="Arial"/>
            <w:b/>
            <w:sz w:val="32"/>
          </w:rPr>
          <w:t>Burden</w:t>
        </w:r>
        <w:r w:rsidR="00D70D28">
          <w:rPr>
            <w:rFonts w:ascii="Arial"/>
            <w:b/>
            <w:spacing w:val="-1"/>
            <w:sz w:val="32"/>
          </w:rPr>
          <w:t xml:space="preserve"> </w:t>
        </w:r>
        <w:r w:rsidR="00D70D28">
          <w:rPr>
            <w:rFonts w:ascii="Arial"/>
            <w:b/>
            <w:sz w:val="32"/>
          </w:rPr>
          <w:t>costings</w:t>
        </w:r>
        <w:r w:rsidR="00D70D28">
          <w:rPr>
            <w:rFonts w:ascii="Arial"/>
            <w:b/>
            <w:sz w:val="32"/>
            <w:u w:val="thick"/>
          </w:rPr>
          <w:t xml:space="preserve"> </w:t>
        </w:r>
        <w:r w:rsidR="00D70D28">
          <w:rPr>
            <w:rFonts w:ascii="Arial"/>
            <w:b/>
            <w:sz w:val="32"/>
            <w:u w:val="thick"/>
          </w:rPr>
          <w:tab/>
        </w:r>
        <w:r w:rsidR="00D70D28">
          <w:rPr>
            <w:rFonts w:ascii="Arial"/>
            <w:b/>
            <w:sz w:val="32"/>
          </w:rPr>
          <w:t>94</w:t>
        </w:r>
      </w:hyperlink>
    </w:p>
    <w:p w:rsidR="007D76BB" w:rsidRDefault="00A51832">
      <w:pPr>
        <w:spacing w:before="198"/>
        <w:ind w:left="198"/>
        <w:rPr>
          <w:rFonts w:ascii="Arial"/>
          <w:b/>
          <w:sz w:val="32"/>
        </w:rPr>
      </w:pPr>
      <w:hyperlink w:anchor="_bookmark88" w:history="1">
        <w:r w:rsidR="00D70D28">
          <w:rPr>
            <w:rFonts w:ascii="Arial"/>
            <w:b/>
            <w:sz w:val="32"/>
          </w:rPr>
          <w:t>Appendix 2: Examples of ingredients in sports</w:t>
        </w:r>
      </w:hyperlink>
    </w:p>
    <w:p w:rsidR="007D76BB" w:rsidRDefault="007D76BB">
      <w:pPr>
        <w:rPr>
          <w:rFonts w:ascii="Arial"/>
          <w:sz w:val="32"/>
        </w:rPr>
        <w:sectPr w:rsidR="007D76BB">
          <w:type w:val="continuous"/>
          <w:pgSz w:w="11910" w:h="16840"/>
          <w:pgMar w:top="840" w:right="820" w:bottom="1360" w:left="1220" w:header="720" w:footer="720" w:gutter="0"/>
          <w:cols w:space="720"/>
        </w:sectPr>
      </w:pPr>
    </w:p>
    <w:p w:rsidR="007D76BB" w:rsidRDefault="00A51832">
      <w:pPr>
        <w:tabs>
          <w:tab w:val="left" w:pos="8010"/>
        </w:tabs>
        <w:spacing w:before="2" w:line="372" w:lineRule="auto"/>
        <w:ind w:left="198"/>
        <w:rPr>
          <w:rFonts w:ascii="Arial"/>
          <w:b/>
          <w:sz w:val="32"/>
        </w:rPr>
      </w:pPr>
      <w:hyperlink w:anchor="_bookmark88" w:history="1">
        <w:proofErr w:type="gramStart"/>
        <w:r w:rsidR="00D70D28">
          <w:rPr>
            <w:rFonts w:ascii="Arial"/>
            <w:b/>
            <w:sz w:val="32"/>
          </w:rPr>
          <w:t>supplements</w:t>
        </w:r>
        <w:proofErr w:type="gramEnd"/>
        <w:r w:rsidR="00D70D28">
          <w:rPr>
            <w:rFonts w:ascii="Arial"/>
            <w:b/>
            <w:sz w:val="32"/>
            <w:u w:val="thick"/>
          </w:rPr>
          <w:tab/>
        </w:r>
      </w:hyperlink>
      <w:r w:rsidR="00D70D28">
        <w:rPr>
          <w:rFonts w:ascii="Arial"/>
          <w:b/>
          <w:sz w:val="32"/>
        </w:rPr>
        <w:t xml:space="preserve"> </w:t>
      </w:r>
      <w:hyperlink w:anchor="_bookmark89" w:history="1">
        <w:r w:rsidR="00D70D28">
          <w:rPr>
            <w:rFonts w:ascii="Arial"/>
            <w:b/>
            <w:sz w:val="32"/>
          </w:rPr>
          <w:t>References</w:t>
        </w:r>
        <w:r w:rsidR="00D70D28">
          <w:rPr>
            <w:rFonts w:ascii="Arial"/>
            <w:b/>
            <w:spacing w:val="-34"/>
            <w:sz w:val="32"/>
          </w:rPr>
          <w:t xml:space="preserve"> </w:t>
        </w:r>
        <w:r w:rsidR="00D70D28">
          <w:rPr>
            <w:rFonts w:ascii="Arial"/>
            <w:b/>
            <w:w w:val="99"/>
            <w:sz w:val="32"/>
            <w:u w:val="thick"/>
          </w:rPr>
          <w:t xml:space="preserve"> </w:t>
        </w:r>
        <w:r w:rsidR="00D70D28">
          <w:rPr>
            <w:rFonts w:ascii="Arial"/>
            <w:b/>
            <w:sz w:val="32"/>
            <w:u w:val="thick"/>
          </w:rPr>
          <w:tab/>
        </w:r>
      </w:hyperlink>
    </w:p>
    <w:p w:rsidR="007D76BB" w:rsidRDefault="00D70D28">
      <w:pPr>
        <w:spacing w:before="2"/>
        <w:ind w:left="119"/>
        <w:rPr>
          <w:rFonts w:ascii="Arial"/>
          <w:b/>
          <w:sz w:val="32"/>
        </w:rPr>
      </w:pPr>
      <w:r>
        <w:br w:type="column"/>
      </w:r>
      <w:hyperlink w:anchor="_bookmark88" w:history="1">
        <w:r>
          <w:rPr>
            <w:rFonts w:ascii="Arial"/>
            <w:b/>
            <w:sz w:val="32"/>
          </w:rPr>
          <w:t>140</w:t>
        </w:r>
      </w:hyperlink>
    </w:p>
    <w:p w:rsidR="007D76BB" w:rsidRDefault="00A51832">
      <w:pPr>
        <w:pStyle w:val="Heading3"/>
        <w:spacing w:before="200"/>
        <w:ind w:left="119"/>
      </w:pPr>
      <w:hyperlink w:anchor="_bookmark89" w:history="1">
        <w:r w:rsidR="00D70D28">
          <w:t>143</w:t>
        </w:r>
      </w:hyperlink>
    </w:p>
    <w:p w:rsidR="007D76BB" w:rsidRDefault="007D76BB">
      <w:pPr>
        <w:sectPr w:rsidR="007D76BB">
          <w:type w:val="continuous"/>
          <w:pgSz w:w="11910" w:h="16840"/>
          <w:pgMar w:top="1220" w:right="820" w:bottom="280" w:left="1220" w:header="720" w:footer="720" w:gutter="0"/>
          <w:cols w:num="2" w:space="720" w:equalWidth="0">
            <w:col w:w="8012" w:space="40"/>
            <w:col w:w="1818"/>
          </w:cols>
        </w:sectPr>
      </w:pPr>
    </w:p>
    <w:p w:rsidR="007D76BB" w:rsidRDefault="00D70D28">
      <w:pPr>
        <w:spacing w:before="286"/>
        <w:ind w:left="198"/>
        <w:rPr>
          <w:rFonts w:ascii="Arial"/>
          <w:b/>
          <w:sz w:val="38"/>
        </w:rPr>
      </w:pPr>
      <w:bookmarkStart w:id="5" w:name="Executive_Summary"/>
      <w:bookmarkStart w:id="6" w:name="_bookmark0"/>
      <w:bookmarkEnd w:id="5"/>
      <w:bookmarkEnd w:id="6"/>
      <w:r>
        <w:rPr>
          <w:rFonts w:ascii="Arial"/>
          <w:b/>
          <w:sz w:val="38"/>
        </w:rPr>
        <w:lastRenderedPageBreak/>
        <w:t>Executive Summary</w:t>
      </w:r>
    </w:p>
    <w:p w:rsidR="007D76BB" w:rsidRDefault="00D70D28">
      <w:pPr>
        <w:pStyle w:val="BodyText"/>
        <w:spacing w:before="126"/>
        <w:ind w:left="197" w:right="620"/>
      </w:pPr>
      <w:r>
        <w:t>The Australian Government is concerned about the safety risks of some sports supplement that are readily available for sale as foods in Australia. There have been serious adverse events reported domestically and internationally associated with the use of certain sports supplements, including deaths and liver transplants. These events are not only tragic for the individuals concerned; they represent a significant cost to society as a whole - affecting the individuals’ family, friends, their immediate and broader communities, as well as posing a significant cost to the Australian healthcare system. In addition, in general, these events occur in otherwise healthy, predominantly younger people, for whom there is usually no medical reason to take the product that caused them</w:t>
      </w:r>
      <w:r>
        <w:rPr>
          <w:spacing w:val="-6"/>
        </w:rPr>
        <w:t xml:space="preserve"> </w:t>
      </w:r>
      <w:r>
        <w:t>harm.</w:t>
      </w:r>
    </w:p>
    <w:p w:rsidR="007D76BB" w:rsidRDefault="00D70D28">
      <w:pPr>
        <w:pStyle w:val="BodyText"/>
        <w:spacing w:before="180"/>
        <w:ind w:left="197" w:right="694"/>
      </w:pPr>
      <w:r>
        <w:t>The Minister for Health, the Hon. Greg Hunt MP, instigated a national roundtable in 2018 to identify measures to improve the safe use of sports supplements. Following the forum, the Minister asked the Therapeutic Goods Administration (TGA) and Food Standards Australia New Zealand (FSANZ) to investigate options to provide clarity on the regulatory status of these products to improve their safe use.</w:t>
      </w:r>
    </w:p>
    <w:p w:rsidR="007D76BB" w:rsidRDefault="00D70D28">
      <w:pPr>
        <w:pStyle w:val="BodyText"/>
        <w:spacing w:before="179"/>
        <w:ind w:left="197" w:right="647"/>
      </w:pPr>
      <w:r>
        <w:t>In Australia, food and medicines are regulated under separate legislative frameworks, commensurate with the intended use and potential risks that those products pose to public health and safety. Within the regulatory frameworks, there are different requirements for foods and medicines in relation to their manufacturing, labelling, advertising and evidence required to substantiate any claims made for the products.</w:t>
      </w:r>
    </w:p>
    <w:p w:rsidR="007D76BB" w:rsidRDefault="00D70D28">
      <w:pPr>
        <w:pStyle w:val="BodyText"/>
        <w:spacing w:before="179"/>
        <w:ind w:left="197" w:right="788" w:firstLine="47"/>
      </w:pPr>
      <w:r>
        <w:t xml:space="preserve">‘Sports supplements’ is a broad category of products that carry claims relating to sport, fitness or recreational performance. A sports supplement, like many other products for oral consumption, can be either food or a medicine in law depending on the specific combination of ingredients, claims and overall presentation. For instance, two products with the same formulation may be </w:t>
      </w:r>
      <w:proofErr w:type="spellStart"/>
      <w:r>
        <w:t>characterised</w:t>
      </w:r>
      <w:proofErr w:type="spellEnd"/>
      <w:r>
        <w:t xml:space="preserve"> differently—one as a food and the other as a medicine— depending on their claims, label artwork and other aspects of their packaging and advertising. However, a product cannot simultaneously be both a food and a medicine in law. Sports supplement products are at the interface between the food and medicine regulatory frameworks—the ‘food-medicine interface’ (‘FMI’).</w:t>
      </w:r>
    </w:p>
    <w:p w:rsidR="007D76BB" w:rsidRDefault="00D70D28">
      <w:pPr>
        <w:pStyle w:val="BodyText"/>
        <w:spacing w:before="182"/>
        <w:ind w:left="197" w:right="756"/>
      </w:pPr>
      <w:r>
        <w:t>An increasing number of sports supplements are being brought to market in Australia as foods. While this is appropriate for many of these products, some are:</w:t>
      </w:r>
    </w:p>
    <w:p w:rsidR="007D76BB" w:rsidRDefault="00D70D28">
      <w:pPr>
        <w:pStyle w:val="ListParagraph"/>
        <w:numPr>
          <w:ilvl w:val="0"/>
          <w:numId w:val="72"/>
        </w:numPr>
        <w:tabs>
          <w:tab w:val="left" w:pos="557"/>
          <w:tab w:val="left" w:pos="558"/>
        </w:tabs>
        <w:ind w:right="608" w:hanging="360"/>
      </w:pPr>
      <w:r>
        <w:t>not appropriate for food [for example: include substances such as prescription medicine ingredients included in a schedule to the</w:t>
      </w:r>
      <w:r>
        <w:rPr>
          <w:color w:val="0000FF"/>
        </w:rPr>
        <w:t xml:space="preserve"> </w:t>
      </w:r>
      <w:hyperlink r:id="rId15">
        <w:r>
          <w:rPr>
            <w:color w:val="0000FF"/>
            <w:u w:val="single" w:color="0000FF"/>
          </w:rPr>
          <w:t>Standard for the Uniform Scheduling of Poisons and</w:t>
        </w:r>
      </w:hyperlink>
      <w:hyperlink r:id="rId16">
        <w:r>
          <w:rPr>
            <w:color w:val="0000FF"/>
            <w:u w:val="single" w:color="0000FF"/>
          </w:rPr>
          <w:t xml:space="preserve"> Drugs</w:t>
        </w:r>
        <w:r>
          <w:rPr>
            <w:color w:val="0000FF"/>
          </w:rPr>
          <w:t xml:space="preserve"> </w:t>
        </w:r>
      </w:hyperlink>
      <w:r>
        <w:t>(the Poisons Standard) or substances in the</w:t>
      </w:r>
      <w:hyperlink r:id="rId17">
        <w:r>
          <w:rPr>
            <w:color w:val="0000FF"/>
          </w:rPr>
          <w:t xml:space="preserve"> </w:t>
        </w:r>
        <w:r>
          <w:rPr>
            <w:color w:val="0000FF"/>
            <w:u w:val="single" w:color="0000FF"/>
          </w:rPr>
          <w:t>World Anti-Doping Code Prohibited List</w:t>
        </w:r>
      </w:hyperlink>
      <w:r>
        <w:t xml:space="preserve"> (WADC Prohibited List)];</w:t>
      </w:r>
      <w:r>
        <w:rPr>
          <w:spacing w:val="-4"/>
        </w:rPr>
        <w:t xml:space="preserve"> </w:t>
      </w:r>
      <w:r>
        <w:t>and/or</w:t>
      </w:r>
    </w:p>
    <w:p w:rsidR="007D76BB" w:rsidRDefault="00D70D28">
      <w:pPr>
        <w:pStyle w:val="ListParagraph"/>
        <w:numPr>
          <w:ilvl w:val="0"/>
          <w:numId w:val="72"/>
        </w:numPr>
        <w:tabs>
          <w:tab w:val="left" w:pos="558"/>
          <w:tab w:val="left" w:pos="559"/>
        </w:tabs>
        <w:spacing w:before="178"/>
        <w:ind w:left="558" w:right="623"/>
      </w:pPr>
      <w:r>
        <w:t>presented as a medicine (with respect to their health claims and dosage forms such as tablet, capsule or</w:t>
      </w:r>
      <w:r>
        <w:rPr>
          <w:spacing w:val="-3"/>
        </w:rPr>
        <w:t xml:space="preserve"> </w:t>
      </w:r>
      <w:r>
        <w:t>pills)</w:t>
      </w:r>
    </w:p>
    <w:p w:rsidR="007D76BB" w:rsidRDefault="00D70D28">
      <w:pPr>
        <w:pStyle w:val="BodyText"/>
        <w:spacing w:before="180"/>
        <w:ind w:left="197" w:right="657" w:firstLine="1"/>
      </w:pPr>
      <w:r>
        <w:lastRenderedPageBreak/>
        <w:t>Currently there is a lack of legal clarity in food and therapeutic goods legislation to determine the regulatory status of these products as foods or medicines. This means that it is not clear if it is the national medicine regulator or the individual state and territory food regulators that have jurisdictional responsibility for these goods. Where significant safety concerns have arisen that require urgent enforcement activity to protect consumer safety (for example a product marketed as a food is found to contain an illegal drug) this lack of legal clarity can, and has, resulted in lengthy and costly court proceedings with lawyers arguing that (under the current legislation) these products fall outside therapeutic goods legislation. The consequence of this legal uncertainty is continued risk of consumer exposure to unsafe products and a significant waste of Government resources and taxpayer’s money in pursuing protracted legal proceedings.</w:t>
      </w:r>
    </w:p>
    <w:p w:rsidR="007D76BB" w:rsidRDefault="007D76BB">
      <w:pPr>
        <w:sectPr w:rsidR="007D76BB">
          <w:pgSz w:w="11910" w:h="16840"/>
          <w:pgMar w:top="840" w:right="820" w:bottom="1360" w:left="1220" w:header="572" w:footer="1179" w:gutter="0"/>
          <w:cols w:space="720"/>
        </w:sectPr>
      </w:pPr>
    </w:p>
    <w:p w:rsidR="007D76BB" w:rsidRDefault="007D76BB">
      <w:pPr>
        <w:pStyle w:val="BodyText"/>
        <w:spacing w:before="1"/>
        <w:rPr>
          <w:sz w:val="16"/>
        </w:rPr>
      </w:pPr>
    </w:p>
    <w:p w:rsidR="007D76BB" w:rsidRDefault="00D70D28">
      <w:pPr>
        <w:pStyle w:val="BodyText"/>
        <w:spacing w:before="101"/>
        <w:ind w:left="198" w:right="719"/>
      </w:pPr>
      <w:r>
        <w:t>There are two categories of sports supplements, currently being marketed as foods, which pose actual and potential safety concerns for consumers:</w:t>
      </w:r>
    </w:p>
    <w:p w:rsidR="007D76BB" w:rsidRDefault="00D70D28">
      <w:pPr>
        <w:pStyle w:val="ListParagraph"/>
        <w:numPr>
          <w:ilvl w:val="0"/>
          <w:numId w:val="72"/>
        </w:numPr>
        <w:tabs>
          <w:tab w:val="left" w:pos="558"/>
          <w:tab w:val="left" w:pos="559"/>
        </w:tabs>
        <w:ind w:left="558" w:right="647" w:hanging="360"/>
      </w:pPr>
      <w:r>
        <w:t>products which are either non-compliant or illegal (in relation to the ingredients they contain) but are not being sufficiently regulated (due to lack of clarity on their legal status as a food or medicine in current</w:t>
      </w:r>
      <w:r>
        <w:rPr>
          <w:spacing w:val="-11"/>
        </w:rPr>
        <w:t xml:space="preserve"> </w:t>
      </w:r>
      <w:r>
        <w:t>legislation)</w:t>
      </w:r>
    </w:p>
    <w:p w:rsidR="007D76BB" w:rsidRDefault="00D70D28">
      <w:pPr>
        <w:pStyle w:val="ListParagraph"/>
        <w:numPr>
          <w:ilvl w:val="0"/>
          <w:numId w:val="72"/>
        </w:numPr>
        <w:tabs>
          <w:tab w:val="left" w:pos="557"/>
          <w:tab w:val="left" w:pos="559"/>
        </w:tabs>
        <w:spacing w:before="182"/>
        <w:ind w:left="558" w:right="726"/>
      </w:pPr>
      <w:r>
        <w:t>other products which may not be illegal under current legislation, but present a level of risk to consumers (in relation to their ingredients or presentation as medicines) such that it is appropriate to mitigate these risks through</w:t>
      </w:r>
      <w:r>
        <w:rPr>
          <w:spacing w:val="-6"/>
        </w:rPr>
        <w:t xml:space="preserve"> </w:t>
      </w:r>
      <w:r>
        <w:t>regulation</w:t>
      </w:r>
    </w:p>
    <w:p w:rsidR="007D76BB" w:rsidRDefault="00D70D28">
      <w:pPr>
        <w:pStyle w:val="BodyText"/>
        <w:spacing w:before="179"/>
        <w:ind w:left="197" w:right="700"/>
      </w:pPr>
      <w:r>
        <w:t>Some companies may knowingly market supplements as food products, rather than therapeutic goods, to avoid appropriate regulatory scrutiny, even though they contain ingredients that may cause harm. Similarly, some consumers knowingly consume products containing high-risk ingredients for their purported performance enhancement, in spite of known health risks.</w:t>
      </w:r>
    </w:p>
    <w:p w:rsidR="007D76BB" w:rsidRDefault="00D70D28">
      <w:pPr>
        <w:pStyle w:val="BodyText"/>
        <w:spacing w:before="180"/>
        <w:ind w:left="197" w:right="844"/>
      </w:pPr>
      <w:r>
        <w:t>Conversely, other consumers are unaware of the ingredients that certain food sports supplements contain (due to the ingredients not being declared on the label or listed under different names). This is a not only a concern relating to potential adverse events, it is also of particular relevance to amateur and professional athletes who unwittingly consume WADC prohibited substances and suffer lengthy bans from their sport resulting in personal hardship, reputational damage and delayed or ruined careers.</w:t>
      </w:r>
    </w:p>
    <w:p w:rsidR="007D76BB" w:rsidRDefault="00D70D28">
      <w:pPr>
        <w:pStyle w:val="BodyText"/>
        <w:spacing w:before="181"/>
        <w:ind w:left="196" w:right="616"/>
      </w:pPr>
      <w:r>
        <w:t>In relation to food products presented in a medicinal form, a product presented as a tablet, capsule or pill and making therapeutic claims implies that the product is for therapeutic use and, is therefore a therapeutic good under current legislation. A reasonable consumer would assume that such a product is a medicine and that it is subject to an appropriate level of regulatory oversight to ensure its safety, quality and efficacy. Dosage forms such as tablets, capsules, and pills would generally provide a more concentrated version of an ingredient compared to presentation in forms traditionally aligned with foods, such as powders or bars. Manufacturing requirements for foods are not as stringent as for therapeutic goods [the latter being required to be made in accordance with good manufacturing practice (GMP) principles], which can lead to variability in dosing and an altered safety profile of the products.</w:t>
      </w:r>
    </w:p>
    <w:p w:rsidR="007D76BB" w:rsidRDefault="00D70D28">
      <w:pPr>
        <w:pStyle w:val="BodyText"/>
        <w:spacing w:before="180"/>
        <w:ind w:left="196" w:right="666"/>
      </w:pPr>
      <w:r>
        <w:t xml:space="preserve">The therapeutic goods framework provides a national system of controls to ensure consumer safety. It is in the interest of the Australian public that products, which may pose actual and potential risks to consumer health and safety, are subject to the national system of controls relating to the quality, safety and efficacy of therapeutic goods. If the therapeutic goods framework applied to certain sports supplement products (that pose actual and potential risks), it would assist industry in ensuring they meet the high levels of safety, quality and efficacy that Australian consumers expect from products marketed in Australia. Most importantly, it will enable swift action by the regulator when products pose an </w:t>
      </w:r>
      <w:r>
        <w:lastRenderedPageBreak/>
        <w:t>elevated risk to public safety.</w:t>
      </w:r>
    </w:p>
    <w:p w:rsidR="007D76BB" w:rsidRDefault="00D70D28">
      <w:pPr>
        <w:pStyle w:val="BodyText"/>
        <w:spacing w:before="179"/>
        <w:ind w:left="196" w:right="785"/>
      </w:pPr>
      <w:r>
        <w:t xml:space="preserve">In response to the Minister’s request to investigate options to provide clarity on the regulatory status of these products to improve their safe use, the TGA developed an initial proposal to declare that certain sports supplements are therapeutic goods under the existing authority provided by section 7 of the </w:t>
      </w:r>
      <w:r>
        <w:rPr>
          <w:i/>
        </w:rPr>
        <w:t xml:space="preserve">Therapeutic Goods Act 1989 </w:t>
      </w:r>
      <w:r>
        <w:t>(‘TG Act’). In developing this proposal, the TGA collaborated with other government departments/agencies, including state and territory health departments, FSANZ, the Australian Institute of Sport (AIS), the former Australian Sports Anti-Doping Agency (ASADA) and the former National Integrity Sports Unit (NICU) (now Sport Integrity Australia). The TGA then conducted a public stakeholder consultation, receiving an extensive number of submissions from consumers, retailers, manufacturers, industry bodies and health professionals.</w:t>
      </w:r>
    </w:p>
    <w:p w:rsidR="007D76BB" w:rsidRDefault="00D70D28">
      <w:pPr>
        <w:pStyle w:val="BodyText"/>
        <w:spacing w:before="180"/>
        <w:ind w:left="196" w:right="736"/>
        <w:jc w:val="both"/>
      </w:pPr>
      <w:r>
        <w:t>The insights gained from stakeholder consultation submissions led to a refinement of the initial proposal by the TGA in order to address stakeholder concerns, while still mitigating the risks of the products of concern. Further targeted stakeholder consultation (in the form of two</w:t>
      </w:r>
    </w:p>
    <w:p w:rsidR="007D76BB" w:rsidRDefault="007D76BB">
      <w:pPr>
        <w:jc w:val="both"/>
        <w:sectPr w:rsidR="007D76BB">
          <w:pgSz w:w="11910" w:h="16840"/>
          <w:pgMar w:top="840" w:right="820" w:bottom="1360" w:left="1220" w:header="572" w:footer="1179" w:gutter="0"/>
          <w:cols w:space="720"/>
        </w:sectPr>
      </w:pPr>
    </w:p>
    <w:p w:rsidR="007D76BB" w:rsidRDefault="007D76BB">
      <w:pPr>
        <w:pStyle w:val="BodyText"/>
        <w:spacing w:before="1"/>
        <w:rPr>
          <w:sz w:val="16"/>
        </w:rPr>
      </w:pPr>
    </w:p>
    <w:p w:rsidR="007D76BB" w:rsidRDefault="00D70D28">
      <w:pPr>
        <w:pStyle w:val="BodyText"/>
        <w:spacing w:before="101"/>
        <w:ind w:left="198" w:right="726"/>
      </w:pPr>
      <w:proofErr w:type="gramStart"/>
      <w:r>
        <w:t>workshops</w:t>
      </w:r>
      <w:proofErr w:type="gramEnd"/>
      <w:r>
        <w:t xml:space="preserve">) was then conducted on the refined proposal with retailers, manufacturers, consumer representative bodies, sporting associations, regulatory consultants and government bodies/ agencies. In addition, nine face-to-face interviews were conducted with key stakeholders by the Noetic Group (Noetic) to inform regulatory burden costings (refer to the Noetic Report at </w:t>
      </w:r>
      <w:hyperlink w:anchor="_bookmark67" w:history="1">
        <w:r>
          <w:rPr>
            <w:color w:val="0000FF"/>
            <w:u w:val="single" w:color="0000FF"/>
          </w:rPr>
          <w:t>Appendix 1</w:t>
        </w:r>
      </w:hyperlink>
      <w:r>
        <w:t>).</w:t>
      </w:r>
    </w:p>
    <w:p w:rsidR="007D76BB" w:rsidRDefault="00D70D28">
      <w:pPr>
        <w:pStyle w:val="BodyText"/>
        <w:spacing w:before="182"/>
        <w:ind w:left="198" w:right="616"/>
      </w:pPr>
      <w:r>
        <w:t>This extensive consultation process has been used to inform the number of options and alternative approaches examined in this RIS. The final options proposed include taking no action and three separate proposals to declare (under the authority of section 7 of the TG Act) that certain sports supplements are therapeutic goods, based on the ingredients they contain and/or their presentation in medicinal form. The initial proposed declaration, which was the subject of the 2019 public consultation, is presented in the RIS as an alternative approach that was not pursued. The key options explored in the RIS are provided in Table 1.</w:t>
      </w:r>
    </w:p>
    <w:p w:rsidR="007D76BB" w:rsidRDefault="00D70D28">
      <w:pPr>
        <w:pStyle w:val="Heading7"/>
        <w:spacing w:before="179"/>
      </w:pPr>
      <w:r>
        <w:t>Table 1: Key options explored in this RIS:</w:t>
      </w:r>
    </w:p>
    <w:p w:rsidR="007D76BB" w:rsidRDefault="007D76BB">
      <w:pPr>
        <w:pStyle w:val="BodyText"/>
        <w:spacing w:before="6"/>
        <w:rPr>
          <w:b/>
          <w:sz w:val="15"/>
        </w:rPr>
      </w:pPr>
    </w:p>
    <w:tbl>
      <w:tblPr>
        <w:tblW w:w="0" w:type="auto"/>
        <w:tblInd w:w="218" w:type="dxa"/>
        <w:tblBorders>
          <w:top w:val="single" w:sz="8" w:space="0" w:color="002C46"/>
          <w:left w:val="single" w:sz="8" w:space="0" w:color="002C46"/>
          <w:bottom w:val="single" w:sz="8" w:space="0" w:color="002C46"/>
          <w:right w:val="single" w:sz="8" w:space="0" w:color="002C46"/>
          <w:insideH w:val="single" w:sz="8" w:space="0" w:color="002C46"/>
          <w:insideV w:val="single" w:sz="8" w:space="0" w:color="002C46"/>
        </w:tblBorders>
        <w:tblLayout w:type="fixed"/>
        <w:tblCellMar>
          <w:left w:w="0" w:type="dxa"/>
          <w:right w:w="0" w:type="dxa"/>
        </w:tblCellMar>
        <w:tblLook w:val="01E0" w:firstRow="1" w:lastRow="1" w:firstColumn="1" w:lastColumn="1" w:noHBand="0" w:noVBand="0"/>
      </w:tblPr>
      <w:tblGrid>
        <w:gridCol w:w="1267"/>
        <w:gridCol w:w="7795"/>
      </w:tblGrid>
      <w:tr w:rsidR="007D76BB">
        <w:trPr>
          <w:trHeight w:val="608"/>
        </w:trPr>
        <w:tc>
          <w:tcPr>
            <w:tcW w:w="1267" w:type="dxa"/>
            <w:tcBorders>
              <w:right w:val="nil"/>
            </w:tcBorders>
            <w:shd w:val="clear" w:color="auto" w:fill="006CA7"/>
          </w:tcPr>
          <w:p w:rsidR="007D76BB" w:rsidRDefault="00D70D28">
            <w:pPr>
              <w:pStyle w:val="TableParagraph"/>
              <w:spacing w:before="120"/>
              <w:ind w:left="107"/>
              <w:rPr>
                <w:rFonts w:ascii="Arial Black"/>
              </w:rPr>
            </w:pPr>
            <w:r>
              <w:rPr>
                <w:rFonts w:ascii="Arial Black"/>
                <w:color w:val="FFFFFF"/>
              </w:rPr>
              <w:t>Option</w:t>
            </w:r>
          </w:p>
        </w:tc>
        <w:tc>
          <w:tcPr>
            <w:tcW w:w="7795" w:type="dxa"/>
            <w:tcBorders>
              <w:left w:val="nil"/>
            </w:tcBorders>
            <w:shd w:val="clear" w:color="auto" w:fill="006CA7"/>
          </w:tcPr>
          <w:p w:rsidR="007D76BB" w:rsidRDefault="00D70D28">
            <w:pPr>
              <w:pStyle w:val="TableParagraph"/>
              <w:spacing w:before="120"/>
              <w:ind w:left="115"/>
              <w:rPr>
                <w:rFonts w:ascii="Arial Black"/>
              </w:rPr>
            </w:pPr>
            <w:r>
              <w:rPr>
                <w:rFonts w:ascii="Arial Black"/>
                <w:color w:val="FFFFFF"/>
              </w:rPr>
              <w:t>Elements</w:t>
            </w:r>
          </w:p>
        </w:tc>
      </w:tr>
      <w:tr w:rsidR="007D76BB">
        <w:trPr>
          <w:trHeight w:val="558"/>
        </w:trPr>
        <w:tc>
          <w:tcPr>
            <w:tcW w:w="1267" w:type="dxa"/>
            <w:tcBorders>
              <w:bottom w:val="single" w:sz="4" w:space="0" w:color="000000"/>
            </w:tcBorders>
            <w:shd w:val="clear" w:color="auto" w:fill="D9D9D9"/>
          </w:tcPr>
          <w:p w:rsidR="007D76BB" w:rsidRDefault="00D70D28">
            <w:pPr>
              <w:pStyle w:val="TableParagraph"/>
              <w:spacing w:before="119"/>
              <w:ind w:left="107"/>
              <w:rPr>
                <w:b/>
              </w:rPr>
            </w:pPr>
            <w:r>
              <w:rPr>
                <w:b/>
              </w:rPr>
              <w:t>Option 1</w:t>
            </w:r>
          </w:p>
        </w:tc>
        <w:tc>
          <w:tcPr>
            <w:tcW w:w="7795" w:type="dxa"/>
          </w:tcPr>
          <w:p w:rsidR="007D76BB" w:rsidRDefault="00D70D28">
            <w:pPr>
              <w:pStyle w:val="TableParagraph"/>
              <w:spacing w:before="119"/>
              <w:ind w:left="105"/>
            </w:pPr>
            <w:r>
              <w:t>Maintain the status quo (no change)</w:t>
            </w:r>
          </w:p>
        </w:tc>
      </w:tr>
      <w:tr w:rsidR="007D76BB">
        <w:trPr>
          <w:trHeight w:val="3263"/>
        </w:trPr>
        <w:tc>
          <w:tcPr>
            <w:tcW w:w="1267" w:type="dxa"/>
            <w:tcBorders>
              <w:top w:val="single" w:sz="4" w:space="0" w:color="000000"/>
              <w:left w:val="single" w:sz="4" w:space="0" w:color="000000"/>
              <w:bottom w:val="single" w:sz="4" w:space="0" w:color="000000"/>
              <w:right w:val="single" w:sz="4" w:space="0" w:color="000000"/>
            </w:tcBorders>
            <w:shd w:val="clear" w:color="auto" w:fill="D9D9D9"/>
          </w:tcPr>
          <w:p w:rsidR="007D76BB" w:rsidRDefault="00D70D28">
            <w:pPr>
              <w:pStyle w:val="TableParagraph"/>
              <w:spacing w:before="119"/>
              <w:ind w:left="112"/>
              <w:rPr>
                <w:b/>
              </w:rPr>
            </w:pPr>
            <w:r>
              <w:rPr>
                <w:b/>
              </w:rPr>
              <w:t>Option 2A</w:t>
            </w:r>
          </w:p>
        </w:tc>
        <w:tc>
          <w:tcPr>
            <w:tcW w:w="7795" w:type="dxa"/>
            <w:tcBorders>
              <w:left w:val="single" w:sz="4" w:space="0" w:color="000000"/>
            </w:tcBorders>
          </w:tcPr>
          <w:p w:rsidR="007D76BB" w:rsidRDefault="00D70D28">
            <w:pPr>
              <w:pStyle w:val="TableParagraph"/>
              <w:spacing w:before="119"/>
              <w:ind w:left="110"/>
            </w:pPr>
            <w:r>
              <w:t>Declare that sports supplements are therapeutic goods if they:</w:t>
            </w:r>
          </w:p>
          <w:p w:rsidR="007D76BB" w:rsidRDefault="00D70D28">
            <w:pPr>
              <w:pStyle w:val="TableParagraph"/>
              <w:numPr>
                <w:ilvl w:val="0"/>
                <w:numId w:val="71"/>
              </w:numPr>
              <w:tabs>
                <w:tab w:val="left" w:pos="470"/>
                <w:tab w:val="left" w:pos="471"/>
              </w:tabs>
              <w:spacing w:before="181"/>
              <w:ind w:left="470"/>
            </w:pPr>
            <w:r>
              <w:t>contain ingredients that are not appropriate for a sports supplement</w:t>
            </w:r>
            <w:r>
              <w:rPr>
                <w:spacing w:val="-21"/>
              </w:rPr>
              <w:t xml:space="preserve"> </w:t>
            </w:r>
            <w:r>
              <w:t>food:</w:t>
            </w:r>
          </w:p>
          <w:p w:rsidR="007D76BB" w:rsidRDefault="00D70D28">
            <w:pPr>
              <w:pStyle w:val="TableParagraph"/>
              <w:numPr>
                <w:ilvl w:val="1"/>
                <w:numId w:val="71"/>
              </w:numPr>
              <w:tabs>
                <w:tab w:val="left" w:pos="1190"/>
                <w:tab w:val="left" w:pos="1191"/>
              </w:tabs>
              <w:spacing w:before="179"/>
              <w:ind w:left="1190" w:hanging="361"/>
            </w:pPr>
            <w:r>
              <w:t>a substance above the restrictions provided in the Poisons</w:t>
            </w:r>
            <w:r>
              <w:rPr>
                <w:spacing w:val="-19"/>
              </w:rPr>
              <w:t xml:space="preserve"> </w:t>
            </w:r>
            <w:r>
              <w:t>Standard</w:t>
            </w:r>
          </w:p>
          <w:p w:rsidR="007D76BB" w:rsidRDefault="00D70D28">
            <w:pPr>
              <w:pStyle w:val="TableParagraph"/>
              <w:numPr>
                <w:ilvl w:val="1"/>
                <w:numId w:val="71"/>
              </w:numPr>
              <w:tabs>
                <w:tab w:val="left" w:pos="1190"/>
                <w:tab w:val="left" w:pos="1191"/>
              </w:tabs>
              <w:spacing w:before="181"/>
              <w:ind w:left="1190" w:hanging="361"/>
            </w:pPr>
            <w:r>
              <w:t>a substance that is included in the WADC Prohibited</w:t>
            </w:r>
            <w:r>
              <w:rPr>
                <w:spacing w:val="-10"/>
              </w:rPr>
              <w:t xml:space="preserve"> </w:t>
            </w:r>
            <w:r>
              <w:t>List</w:t>
            </w:r>
          </w:p>
          <w:p w:rsidR="007D76BB" w:rsidRDefault="00D70D28">
            <w:pPr>
              <w:pStyle w:val="TableParagraph"/>
              <w:numPr>
                <w:ilvl w:val="1"/>
                <w:numId w:val="71"/>
              </w:numPr>
              <w:tabs>
                <w:tab w:val="left" w:pos="1189"/>
                <w:tab w:val="left" w:pos="1190"/>
              </w:tabs>
              <w:spacing w:before="179"/>
              <w:ind w:right="158"/>
            </w:pPr>
            <w:r>
              <w:t>a Relevant substance as declared by the Secretary of the Department of Health (the</w:t>
            </w:r>
            <w:r>
              <w:rPr>
                <w:spacing w:val="-3"/>
              </w:rPr>
              <w:t xml:space="preserve"> </w:t>
            </w:r>
            <w:r>
              <w:t>Secretary)</w:t>
            </w:r>
          </w:p>
          <w:p w:rsidR="007D76BB" w:rsidRDefault="00D70D28">
            <w:pPr>
              <w:pStyle w:val="TableParagraph"/>
              <w:numPr>
                <w:ilvl w:val="0"/>
                <w:numId w:val="71"/>
              </w:numPr>
              <w:tabs>
                <w:tab w:val="left" w:pos="469"/>
                <w:tab w:val="left" w:pos="470"/>
              </w:tabs>
              <w:spacing w:before="180"/>
              <w:ind w:right="202"/>
            </w:pPr>
            <w:r>
              <w:t>and/or are presented in a form associated with medicines rather than foods (i.e. a tablet, capsule or</w:t>
            </w:r>
            <w:r>
              <w:rPr>
                <w:spacing w:val="-6"/>
              </w:rPr>
              <w:t xml:space="preserve"> </w:t>
            </w:r>
            <w:r>
              <w:t>pill)</w:t>
            </w:r>
          </w:p>
        </w:tc>
      </w:tr>
      <w:tr w:rsidR="007D76BB">
        <w:trPr>
          <w:trHeight w:val="2567"/>
        </w:trPr>
        <w:tc>
          <w:tcPr>
            <w:tcW w:w="1267" w:type="dxa"/>
            <w:tcBorders>
              <w:top w:val="single" w:sz="4" w:space="0" w:color="000000"/>
              <w:left w:val="single" w:sz="4" w:space="0" w:color="000000"/>
              <w:bottom w:val="single" w:sz="4" w:space="0" w:color="000000"/>
              <w:right w:val="single" w:sz="4" w:space="0" w:color="000000"/>
            </w:tcBorders>
            <w:shd w:val="clear" w:color="auto" w:fill="D9D9D9"/>
          </w:tcPr>
          <w:p w:rsidR="007D76BB" w:rsidRDefault="00D70D28">
            <w:pPr>
              <w:pStyle w:val="TableParagraph"/>
              <w:spacing w:before="119"/>
              <w:ind w:left="112"/>
              <w:rPr>
                <w:b/>
              </w:rPr>
            </w:pPr>
            <w:r>
              <w:rPr>
                <w:b/>
              </w:rPr>
              <w:t>Option 2B</w:t>
            </w:r>
          </w:p>
        </w:tc>
        <w:tc>
          <w:tcPr>
            <w:tcW w:w="7795" w:type="dxa"/>
            <w:tcBorders>
              <w:left w:val="single" w:sz="4" w:space="0" w:color="000000"/>
            </w:tcBorders>
          </w:tcPr>
          <w:p w:rsidR="007D76BB" w:rsidRDefault="00D70D28">
            <w:pPr>
              <w:pStyle w:val="TableParagraph"/>
              <w:spacing w:before="119"/>
              <w:ind w:left="110"/>
            </w:pPr>
            <w:r>
              <w:t>Declare that sports supplements are therapeutic goods if they:</w:t>
            </w:r>
          </w:p>
          <w:p w:rsidR="007D76BB" w:rsidRDefault="00D70D28">
            <w:pPr>
              <w:pStyle w:val="TableParagraph"/>
              <w:numPr>
                <w:ilvl w:val="0"/>
                <w:numId w:val="70"/>
              </w:numPr>
              <w:tabs>
                <w:tab w:val="left" w:pos="470"/>
                <w:tab w:val="left" w:pos="471"/>
              </w:tabs>
              <w:spacing w:before="181"/>
            </w:pPr>
            <w:r>
              <w:t>contain ingredients that are not appropriate for a sports supplement</w:t>
            </w:r>
            <w:r>
              <w:rPr>
                <w:spacing w:val="-21"/>
              </w:rPr>
              <w:t xml:space="preserve"> </w:t>
            </w:r>
            <w:r>
              <w:t>food:</w:t>
            </w:r>
          </w:p>
          <w:p w:rsidR="007D76BB" w:rsidRDefault="00D70D28">
            <w:pPr>
              <w:pStyle w:val="TableParagraph"/>
              <w:numPr>
                <w:ilvl w:val="1"/>
                <w:numId w:val="70"/>
              </w:numPr>
              <w:tabs>
                <w:tab w:val="left" w:pos="1190"/>
                <w:tab w:val="left" w:pos="1191"/>
              </w:tabs>
              <w:spacing w:before="179"/>
              <w:ind w:hanging="361"/>
            </w:pPr>
            <w:r>
              <w:t>a substance above the restrictions provided in the Poisons</w:t>
            </w:r>
            <w:r>
              <w:rPr>
                <w:spacing w:val="-18"/>
              </w:rPr>
              <w:t xml:space="preserve"> </w:t>
            </w:r>
            <w:r>
              <w:t>Standard</w:t>
            </w:r>
          </w:p>
          <w:p w:rsidR="007D76BB" w:rsidRDefault="00D70D28">
            <w:pPr>
              <w:pStyle w:val="TableParagraph"/>
              <w:numPr>
                <w:ilvl w:val="1"/>
                <w:numId w:val="70"/>
              </w:numPr>
              <w:tabs>
                <w:tab w:val="left" w:pos="1190"/>
                <w:tab w:val="left" w:pos="1191"/>
              </w:tabs>
              <w:spacing w:before="181"/>
              <w:ind w:hanging="361"/>
            </w:pPr>
            <w:r>
              <w:t>a Relevant substance as declared by the</w:t>
            </w:r>
            <w:r>
              <w:rPr>
                <w:spacing w:val="-9"/>
              </w:rPr>
              <w:t xml:space="preserve"> </w:t>
            </w:r>
            <w:r>
              <w:t>Secretary</w:t>
            </w:r>
          </w:p>
          <w:p w:rsidR="007D76BB" w:rsidRDefault="00D70D28">
            <w:pPr>
              <w:pStyle w:val="TableParagraph"/>
              <w:numPr>
                <w:ilvl w:val="0"/>
                <w:numId w:val="70"/>
              </w:numPr>
              <w:tabs>
                <w:tab w:val="left" w:pos="470"/>
                <w:tab w:val="left" w:pos="471"/>
              </w:tabs>
              <w:spacing w:before="179"/>
              <w:ind w:right="200"/>
            </w:pPr>
            <w:r>
              <w:t>and/or are presented in a form associated with medicines rather than foods (i.e. a tablet, capsule or</w:t>
            </w:r>
            <w:r>
              <w:rPr>
                <w:spacing w:val="-6"/>
              </w:rPr>
              <w:t xml:space="preserve"> </w:t>
            </w:r>
            <w:r>
              <w:t>pill)</w:t>
            </w:r>
          </w:p>
        </w:tc>
      </w:tr>
      <w:tr w:rsidR="007D76BB">
        <w:trPr>
          <w:trHeight w:val="2130"/>
        </w:trPr>
        <w:tc>
          <w:tcPr>
            <w:tcW w:w="1267" w:type="dxa"/>
            <w:tcBorders>
              <w:top w:val="single" w:sz="4" w:space="0" w:color="000000"/>
            </w:tcBorders>
            <w:shd w:val="clear" w:color="auto" w:fill="D9D9D9"/>
          </w:tcPr>
          <w:p w:rsidR="007D76BB" w:rsidRDefault="00D70D28">
            <w:pPr>
              <w:pStyle w:val="TableParagraph"/>
              <w:spacing w:before="119"/>
              <w:ind w:left="107"/>
              <w:rPr>
                <w:b/>
              </w:rPr>
            </w:pPr>
            <w:r>
              <w:rPr>
                <w:b/>
              </w:rPr>
              <w:t>Option 3</w:t>
            </w:r>
          </w:p>
        </w:tc>
        <w:tc>
          <w:tcPr>
            <w:tcW w:w="7795" w:type="dxa"/>
          </w:tcPr>
          <w:p w:rsidR="007D76BB" w:rsidRDefault="00D70D28">
            <w:pPr>
              <w:pStyle w:val="TableParagraph"/>
              <w:spacing w:before="119"/>
              <w:ind w:left="105" w:right="1123"/>
            </w:pPr>
            <w:r>
              <w:t>Declare that sports supplements are therapeutic goods if they contain ingredients that are not appropriate for a sports supplement food:</w:t>
            </w:r>
          </w:p>
          <w:p w:rsidR="007D76BB" w:rsidRDefault="00D70D28">
            <w:pPr>
              <w:pStyle w:val="TableParagraph"/>
              <w:numPr>
                <w:ilvl w:val="0"/>
                <w:numId w:val="69"/>
              </w:numPr>
              <w:tabs>
                <w:tab w:val="left" w:pos="465"/>
                <w:tab w:val="left" w:pos="466"/>
              </w:tabs>
              <w:spacing w:before="180"/>
            </w:pPr>
            <w:r>
              <w:t>a substance above the restrictions provided in the Poisons</w:t>
            </w:r>
            <w:r>
              <w:rPr>
                <w:spacing w:val="-14"/>
              </w:rPr>
              <w:t xml:space="preserve"> </w:t>
            </w:r>
            <w:r>
              <w:t>Standard</w:t>
            </w:r>
          </w:p>
          <w:p w:rsidR="007D76BB" w:rsidRDefault="00D70D28">
            <w:pPr>
              <w:pStyle w:val="TableParagraph"/>
              <w:numPr>
                <w:ilvl w:val="0"/>
                <w:numId w:val="69"/>
              </w:numPr>
              <w:tabs>
                <w:tab w:val="left" w:pos="465"/>
                <w:tab w:val="left" w:pos="466"/>
              </w:tabs>
              <w:spacing w:before="181"/>
            </w:pPr>
            <w:r>
              <w:t>a substance that is included in the WADC Prohibited</w:t>
            </w:r>
            <w:r>
              <w:rPr>
                <w:spacing w:val="-10"/>
              </w:rPr>
              <w:t xml:space="preserve"> </w:t>
            </w:r>
            <w:r>
              <w:t>List</w:t>
            </w:r>
          </w:p>
          <w:p w:rsidR="007D76BB" w:rsidRDefault="00D70D28">
            <w:pPr>
              <w:pStyle w:val="TableParagraph"/>
              <w:numPr>
                <w:ilvl w:val="0"/>
                <w:numId w:val="69"/>
              </w:numPr>
              <w:tabs>
                <w:tab w:val="left" w:pos="465"/>
                <w:tab w:val="left" w:pos="466"/>
              </w:tabs>
              <w:spacing w:before="179"/>
            </w:pPr>
            <w:r>
              <w:t>a Relevant substance as declared by the</w:t>
            </w:r>
            <w:r>
              <w:rPr>
                <w:spacing w:val="-8"/>
              </w:rPr>
              <w:t xml:space="preserve"> </w:t>
            </w:r>
            <w:r>
              <w:t>Secretary</w:t>
            </w:r>
          </w:p>
        </w:tc>
      </w:tr>
    </w:tbl>
    <w:p w:rsidR="007D76BB" w:rsidRDefault="00D70D28">
      <w:pPr>
        <w:pStyle w:val="BodyText"/>
        <w:spacing w:before="119"/>
        <w:ind w:left="198" w:right="710"/>
      </w:pPr>
      <w:r>
        <w:t>Option 1 (status quo) would fail to address the actual and potential safety concerns for consumers and fail to resolve the issues relating to product classification (i.e. as either a food or</w:t>
      </w:r>
    </w:p>
    <w:p w:rsidR="007D76BB" w:rsidRDefault="007D76BB">
      <w:pPr>
        <w:sectPr w:rsidR="007D76BB">
          <w:pgSz w:w="11910" w:h="16840"/>
          <w:pgMar w:top="840" w:right="820" w:bottom="1360" w:left="1220" w:header="572" w:footer="1179" w:gutter="0"/>
          <w:cols w:space="720"/>
        </w:sectPr>
      </w:pPr>
    </w:p>
    <w:p w:rsidR="007D76BB" w:rsidRDefault="007D76BB">
      <w:pPr>
        <w:pStyle w:val="BodyText"/>
        <w:spacing w:before="1"/>
        <w:rPr>
          <w:sz w:val="16"/>
        </w:rPr>
      </w:pPr>
    </w:p>
    <w:p w:rsidR="007D76BB" w:rsidRDefault="00D70D28">
      <w:pPr>
        <w:pStyle w:val="BodyText"/>
        <w:spacing w:before="101"/>
        <w:ind w:left="198" w:right="832"/>
      </w:pPr>
      <w:proofErr w:type="gramStart"/>
      <w:r>
        <w:t>a</w:t>
      </w:r>
      <w:proofErr w:type="gramEnd"/>
      <w:r>
        <w:t xml:space="preserve"> therapeutic good) that make regulatory enforcement actions inefficient and cause prolonged legal proceedings.</w:t>
      </w:r>
    </w:p>
    <w:p w:rsidR="007D76BB" w:rsidRDefault="00D70D28">
      <w:pPr>
        <w:pStyle w:val="BodyText"/>
        <w:spacing w:before="180"/>
        <w:ind w:left="197" w:right="1130"/>
      </w:pPr>
      <w:r>
        <w:t xml:space="preserve">Option 2A proposes to declare that sports supplements containing certain ingredients (i.e. substances in the Poisons Standard, WADC Prohibited list or in the </w:t>
      </w:r>
      <w:proofErr w:type="gramStart"/>
      <w:r>
        <w:t>Relevant</w:t>
      </w:r>
      <w:proofErr w:type="gramEnd"/>
      <w:r>
        <w:t xml:space="preserve"> substance list) and/or that are presented in the form of a tablet, capsule or pill are therapeutic goods. This option has been extensively consulted on and is considered to address many of the safety concerns surrounding the use of sports supplements.</w:t>
      </w:r>
    </w:p>
    <w:p w:rsidR="007D76BB" w:rsidRDefault="00D70D28">
      <w:pPr>
        <w:pStyle w:val="BodyText"/>
        <w:spacing w:before="182"/>
        <w:ind w:left="197" w:right="689"/>
      </w:pPr>
      <w:r>
        <w:t>Option 2A will not affect those sports supplements that contain only appropriate food ingredients and that are presented for sale in the manner of food products, for example: meal replacement shakes, muesli bars, protein powders. These will continue to be regulated as foods.</w:t>
      </w:r>
    </w:p>
    <w:p w:rsidR="007D76BB" w:rsidRDefault="00D70D28">
      <w:pPr>
        <w:pStyle w:val="BodyText"/>
        <w:spacing w:before="179"/>
        <w:ind w:left="197" w:right="619"/>
      </w:pPr>
      <w:r>
        <w:t>If Option 2A is implemented, manufacturers/ suppliers of sports supplements in scope of the proposal who wish their products to be marketed as foods, will need to consider changing, as applicable, the product’s claims; and/or ingredients; and/or dosage forms. Alternatively, if the products are to be maintained on the market as medicines, the products would need to be entered in the Australian Register of Therapeutic Goods (ARTG) and the sponsor of the medicine will need to ensure that the products meet the applicable legislative requirements for manufacturing, formulation, labelling, evidence and/or advertising.</w:t>
      </w:r>
    </w:p>
    <w:p w:rsidR="007D76BB" w:rsidRDefault="00D70D28">
      <w:pPr>
        <w:pStyle w:val="BodyText"/>
        <w:spacing w:before="179"/>
        <w:ind w:left="196" w:right="612"/>
      </w:pPr>
      <w:r>
        <w:t>If sports supplements are regulated as lower risk listed medicines in the ARTG, those supplements may be self-selected by consumers without the restrictions required for higher risk over-the-counter or prescription medicines. For sports supplements that include high-risk substances and require registration in the ARTG, these supplements would undergo a full TGA pre-market evaluation of safety, quality and efficacy.</w:t>
      </w:r>
    </w:p>
    <w:p w:rsidR="007D76BB" w:rsidRDefault="00D70D28">
      <w:pPr>
        <w:pStyle w:val="BodyText"/>
        <w:spacing w:before="182"/>
        <w:ind w:left="196" w:right="766"/>
      </w:pPr>
      <w:r>
        <w:t>However, if sports supplements (in scope of the proposal) cannot be reformulated to be marketed as foods or the manufacturer/supplier does not want the products to be regulated as therapeutic goods, then these products would have to be removed from the marketplace.</w:t>
      </w:r>
    </w:p>
    <w:p w:rsidR="007D76BB" w:rsidRDefault="00D70D28">
      <w:pPr>
        <w:pStyle w:val="BodyText"/>
        <w:spacing w:before="179"/>
        <w:ind w:left="195" w:right="614"/>
      </w:pPr>
      <w:r>
        <w:t>While Option 2A will pose a regulatory burden to affected stakeholders, it is considered the minimal necessary regulatory burden to reduce the risk posed to consumers by these products. Regulating such products as medicines is expected to significantly reduce the risk to public health in relation to sports supplements and provide consumers with greater confidence in the safety of the products they are using. This will be enabled by swift compliance and enforcement action by the relevant authorities when safety concerns are identified (which is not currently possible, given the present legal ambiguity around the regulatory status of such products) and ensure that sports supplements that are on the market are being subject to controls commensurate with their level of risk. In addition, by being subject to the labelling and advertising standards for therapeutic goods, consumers would also be aided in making informed decisions when self-selecting these goods.</w:t>
      </w:r>
    </w:p>
    <w:p w:rsidR="007D76BB" w:rsidRDefault="00D70D28">
      <w:pPr>
        <w:pStyle w:val="BodyText"/>
        <w:spacing w:before="180"/>
        <w:ind w:left="195" w:right="615"/>
      </w:pPr>
      <w:r>
        <w:lastRenderedPageBreak/>
        <w:t>Option 2B is similar to Option 2A, but the criterion of the WADC Prohibited List has been removed, in consideration of feedback from a small number of stakeholders. However, Option 2B is not preferred due to the potential safety concerns associated with these substances. There is a high correlation between substances included in the WADC Prohibited List and those in a schedule to the Poisons Standard. Many, but not all, WADC prohibited substances are included in a schedule to the Poisons Standard either explicitly or under scheduled drug classes (such as ‘androgenic steroidal agents’). Those substances in the WADC Prohibited List that are not included in a schedule to the Poisons Standard appear to possess similar characteristics to other scheduled substances and therefore may meet the requirements to be included in the Poisons Standard (but inclusion of a substance is not automatic – it requires an application to amend the Poisons</w:t>
      </w:r>
      <w:r>
        <w:rPr>
          <w:spacing w:val="-3"/>
        </w:rPr>
        <w:t xml:space="preserve"> </w:t>
      </w:r>
      <w:r>
        <w:t>Standard).</w:t>
      </w:r>
    </w:p>
    <w:p w:rsidR="007D76BB" w:rsidRDefault="00D70D28">
      <w:pPr>
        <w:pStyle w:val="BodyText"/>
        <w:spacing w:before="179"/>
        <w:ind w:left="195" w:right="587"/>
      </w:pPr>
      <w:r>
        <w:t>Option 2B would, in effect, equate to the same level of regulatory burden as Option 2A, given that substances from the WADC Prohibited List identified with a significant health risk (that are not</w:t>
      </w:r>
    </w:p>
    <w:p w:rsidR="007D76BB" w:rsidRDefault="007D76BB">
      <w:pPr>
        <w:sectPr w:rsidR="007D76BB">
          <w:pgSz w:w="11910" w:h="16840"/>
          <w:pgMar w:top="840" w:right="820" w:bottom="1360" w:left="1220" w:header="572" w:footer="1179" w:gutter="0"/>
          <w:cols w:space="720"/>
        </w:sectPr>
      </w:pPr>
    </w:p>
    <w:p w:rsidR="007D76BB" w:rsidRDefault="007D76BB">
      <w:pPr>
        <w:pStyle w:val="BodyText"/>
        <w:spacing w:before="1"/>
        <w:rPr>
          <w:sz w:val="16"/>
        </w:rPr>
      </w:pPr>
    </w:p>
    <w:p w:rsidR="007D76BB" w:rsidRDefault="00D70D28">
      <w:pPr>
        <w:pStyle w:val="BodyText"/>
        <w:spacing w:before="101"/>
        <w:ind w:left="198" w:right="636"/>
      </w:pPr>
      <w:proofErr w:type="gramStart"/>
      <w:r>
        <w:t>already</w:t>
      </w:r>
      <w:proofErr w:type="gramEnd"/>
      <w:r>
        <w:t xml:space="preserve"> expressly included in a schedule to the Poisons Standard) may be included in the Relevant substance list by the Secretary of the Department of Health (the Secretary) or included in the Poisons Standard (via an amendment application). It would however, require significantly more Government resources to complete either of these processes and the likely delays may result in a continued risk of exposure to consumers to potentially hazardous substances. There may also be some substances that are prohibited by the WADC that are not considered appropriate for inclusion in the Poisons Standard, however, it would seem inconsistent that if a substance is considered by WADC to be inappropriate for use in athletes that it should be available in sports food supplements designed for use by athletes.</w:t>
      </w:r>
    </w:p>
    <w:p w:rsidR="007D76BB" w:rsidRDefault="00D70D28">
      <w:pPr>
        <w:pStyle w:val="BodyText"/>
        <w:spacing w:before="182"/>
        <w:ind w:left="198" w:right="684"/>
      </w:pPr>
      <w:r>
        <w:t>In addition to the safety risks to consumers, the presence of a WADC prohibited substance in a supplement may result in an anti-doping rule violation for an athlete, whether its use was intentional or unintentional, resulting in bans of up to four years from their sport and ensuing personal hardship. In addition, Australia is a state party to the United Nations Educational, Scientific and Cultural Organization (UNESCO) Convention against Doping in Sport and has an obligation to limit the availability of prohibited substances in order to restrict their use in sport. Option 2B may be seen as failing to meet this obligation.</w:t>
      </w:r>
    </w:p>
    <w:p w:rsidR="007D76BB" w:rsidRDefault="00D70D28">
      <w:pPr>
        <w:pStyle w:val="BodyText"/>
        <w:spacing w:before="180"/>
        <w:ind w:left="198" w:right="590"/>
      </w:pPr>
      <w:r>
        <w:t>Option 3 is similar Option 2A, but the criterion of product presentation in a form associated with medicines rather than foods (i.e. a tablet, capsule or pill) has been removed in consideration of feedback from some stakeholders. However, Option 3 is not preferred due to the potential of risk that sports supplements presented in a medicinal form may pose to consumers.</w:t>
      </w:r>
    </w:p>
    <w:p w:rsidR="007D76BB" w:rsidRDefault="00D70D28">
      <w:pPr>
        <w:pStyle w:val="BodyText"/>
        <w:spacing w:before="180"/>
        <w:ind w:left="197" w:right="599"/>
      </w:pPr>
      <w:r>
        <w:t>An analysis of the presentation of sports supplement products by the Noetic Group (Noetic) (</w:t>
      </w:r>
      <w:hyperlink w:anchor="_bookmark67" w:history="1">
        <w:r>
          <w:rPr>
            <w:color w:val="0000FF"/>
            <w:u w:val="single" w:color="0000FF"/>
          </w:rPr>
          <w:t>Appendix 1</w:t>
        </w:r>
      </w:hyperlink>
      <w:r>
        <w:t xml:space="preserve">) shows that the product category known as ‘fat burners’ represents the largest portion of sports supplement products being presented as tablets, capsules or pills in Australia. Noetic estimate that 51% of fat burner products are in the presentation of tablets, capsules or pills, compared to 6% post-workout products and 3% of pre-workout products (the basis for the calculation of these figures is explained further within the Noetic Report at </w:t>
      </w:r>
      <w:hyperlink w:anchor="_bookmark67" w:history="1">
        <w:r>
          <w:rPr>
            <w:color w:val="0000FF"/>
            <w:u w:val="single" w:color="0000FF"/>
          </w:rPr>
          <w:t>Appendix 1</w:t>
        </w:r>
      </w:hyperlink>
      <w:r>
        <w:t>). The significance of this analysis is that, the product category of ‘fat burners’ (the largest portion of products presented as tablets, capsules or pills,) has been linked to serious events in Australia. In 2018, the NSW Ministry of Health advised of significant adverse events from the category of products known as ‘fat burners’ or ‘shredders’ and urged the public to avoid any product from an unverified source being promoted as a weight-loss agent (24). It is also of interest to note that there are a number of ‘fat burner’ products presented in tablet, capsule or pill dosage forms already included in the ARTG by sponsors who consider that their products are appropriately regulated as therapeutic</w:t>
      </w:r>
      <w:r>
        <w:rPr>
          <w:spacing w:val="-2"/>
        </w:rPr>
        <w:t xml:space="preserve"> </w:t>
      </w:r>
      <w:r>
        <w:t>goods.</w:t>
      </w:r>
    </w:p>
    <w:p w:rsidR="007D76BB" w:rsidRDefault="00D70D28">
      <w:pPr>
        <w:pStyle w:val="BodyText"/>
        <w:spacing w:before="179"/>
        <w:ind w:left="198" w:right="629"/>
      </w:pPr>
      <w:r>
        <w:t xml:space="preserve">Option 3 is not preferred as it is considered that products making therapeutic indications, with a potential for having higher risk ingredients (i.e. that require accurate dosage forms) and presented in a medicinal form (i.e. a tablet, capsule or pill) more closely align </w:t>
      </w:r>
      <w:r>
        <w:lastRenderedPageBreak/>
        <w:t>with being regulated under the therapeutic goods framework.</w:t>
      </w:r>
    </w:p>
    <w:p w:rsidR="007D76BB" w:rsidRDefault="00D70D28">
      <w:pPr>
        <w:pStyle w:val="BodyText"/>
        <w:spacing w:before="180"/>
        <w:ind w:left="198" w:right="675"/>
      </w:pPr>
      <w:r>
        <w:t>This Regulation Impact Statement (RIS) is intended to assist the Australian Government in reaching a decision to address the issues relating to the safe use of sports supplements in Australia. The evidence presented in this RIS does not support the wholesale removal of all food sports supplement products from sale (which is, in any event, is not the intent of any of the options proposed), but does support a greater degree of regulatory oversight for higher-risk products in relation to their product formulation, presentation, manufacture and post-market surveillance.</w:t>
      </w:r>
    </w:p>
    <w:p w:rsidR="007D76BB" w:rsidRDefault="007D76BB">
      <w:pPr>
        <w:sectPr w:rsidR="007D76BB">
          <w:pgSz w:w="11910" w:h="16840"/>
          <w:pgMar w:top="840" w:right="820" w:bottom="1360" w:left="1220" w:header="572" w:footer="1179" w:gutter="0"/>
          <w:cols w:space="720"/>
        </w:sectPr>
      </w:pPr>
    </w:p>
    <w:p w:rsidR="007D76BB" w:rsidRDefault="007D76BB">
      <w:pPr>
        <w:pStyle w:val="BodyText"/>
        <w:rPr>
          <w:sz w:val="20"/>
        </w:rPr>
      </w:pPr>
    </w:p>
    <w:p w:rsidR="007D76BB" w:rsidRDefault="007D76BB">
      <w:pPr>
        <w:pStyle w:val="BodyText"/>
        <w:spacing w:before="8"/>
        <w:rPr>
          <w:sz w:val="27"/>
        </w:rPr>
      </w:pPr>
    </w:p>
    <w:p w:rsidR="007D76BB" w:rsidRDefault="00D70D28">
      <w:pPr>
        <w:pStyle w:val="Heading2"/>
      </w:pPr>
      <w:bookmarkStart w:id="7" w:name="Background"/>
      <w:bookmarkStart w:id="8" w:name="_bookmark1"/>
      <w:bookmarkEnd w:id="7"/>
      <w:bookmarkEnd w:id="8"/>
      <w:r>
        <w:t>Background</w:t>
      </w:r>
    </w:p>
    <w:p w:rsidR="007D76BB" w:rsidRDefault="00D70D28">
      <w:pPr>
        <w:pStyle w:val="BodyText"/>
        <w:spacing w:before="126"/>
        <w:ind w:left="198" w:right="649"/>
      </w:pPr>
      <w:r>
        <w:t xml:space="preserve">In 2018, a roundtable on the ‘Regulation of Sport Supplements’ was convened by the Australian Government Department of Health, on behalf of the Food Regulation Standing Committee (1). This was at the request of the Australian Government Minister for Health, the Hon. Greg Hunt MP, following the death of a woman in Western Australia in 2018, attributed to her use of sports supplements. The woman had an underlying metabolic disorder - Urea Cycle Disorder - where her body was unable to </w:t>
      </w:r>
      <w:proofErr w:type="spellStart"/>
      <w:r>
        <w:t>metabolise</w:t>
      </w:r>
      <w:proofErr w:type="spellEnd"/>
      <w:r>
        <w:t xml:space="preserve"> her high protein diet (including protein rich foods and various sports supplement protein powders).</w:t>
      </w:r>
    </w:p>
    <w:p w:rsidR="007D76BB" w:rsidRDefault="00D70D28">
      <w:pPr>
        <w:pStyle w:val="BodyText"/>
        <w:spacing w:before="179"/>
        <w:ind w:left="197" w:right="717"/>
      </w:pPr>
      <w:r>
        <w:t xml:space="preserve">Attendees at the roundtable included representatives from Australian Government agencies, state and territory governments, public health </w:t>
      </w:r>
      <w:proofErr w:type="spellStart"/>
      <w:r>
        <w:t>organisations</w:t>
      </w:r>
      <w:proofErr w:type="spellEnd"/>
      <w:r>
        <w:t xml:space="preserve"> and industry. The purpose of the roundtable, which was broader than a consideration of issues relating to high protein sports supplements, was to investigate opportunities at the Commonwealth and/or state and territory levels to enhance the safety of consumers who choose to use all types of sports supplements.</w:t>
      </w:r>
    </w:p>
    <w:p w:rsidR="007D76BB" w:rsidRDefault="00D70D28">
      <w:pPr>
        <w:pStyle w:val="BodyText"/>
        <w:spacing w:before="180"/>
        <w:ind w:left="197" w:right="1079"/>
      </w:pPr>
      <w:r>
        <w:t>Following the roundtable, the Minister tasked the TGA to investigate options under the therapeutic goods regulatory framework to provide clarity on the regulatory status of these goods with the aim of improving their safe use.</w:t>
      </w:r>
    </w:p>
    <w:p w:rsidR="007D76BB" w:rsidRDefault="00D70D28">
      <w:pPr>
        <w:pStyle w:val="BodyText"/>
        <w:spacing w:before="181"/>
        <w:ind w:left="197" w:right="879"/>
      </w:pPr>
      <w:r>
        <w:t xml:space="preserve">Section 7 of the </w:t>
      </w:r>
      <w:r>
        <w:rPr>
          <w:i/>
        </w:rPr>
        <w:t xml:space="preserve">Therapeutic Goods Act 1989 </w:t>
      </w:r>
      <w:r>
        <w:t>(the TG Act) provides the Secretary of the Department of Health (the Secretary) or his/her delegate, the power to declare that goods are or, are not, therapeutic goods generally or when used, advertised or presented for supply in a particular manner. Section 7 declarations are made to provide clarity for consumers, industry and regulators about whether a product is a therapeutic good.</w:t>
      </w:r>
    </w:p>
    <w:p w:rsidR="007D76BB" w:rsidRDefault="00D70D28">
      <w:pPr>
        <w:pStyle w:val="BodyText"/>
        <w:spacing w:before="179"/>
        <w:ind w:left="198" w:right="594"/>
      </w:pPr>
      <w:r>
        <w:t xml:space="preserve">A draft proposal to declare (via a section 7 declaration under the TG Act) that certain sports supplements are therapeutic goods, was presented for discussion to the July 2019 meeting of the Food Regulation Standing Committee's Implementation Subcommittee for Food Regulation (ISFR). A subsequent September 2019 workshop was held by TGA with representatives from other government </w:t>
      </w:r>
      <w:proofErr w:type="spellStart"/>
      <w:r>
        <w:t>organisations</w:t>
      </w:r>
      <w:proofErr w:type="spellEnd"/>
      <w:r>
        <w:t xml:space="preserve"> and state and territory health departments.</w:t>
      </w:r>
    </w:p>
    <w:p w:rsidR="007D76BB" w:rsidRDefault="00D70D28">
      <w:pPr>
        <w:pStyle w:val="BodyText"/>
        <w:spacing w:before="179"/>
        <w:ind w:left="198" w:right="587"/>
      </w:pPr>
      <w:r>
        <w:t xml:space="preserve">A consultation paper on a </w:t>
      </w:r>
      <w:hyperlink r:id="rId18">
        <w:proofErr w:type="gramStart"/>
        <w:r>
          <w:rPr>
            <w:color w:val="0000FF"/>
            <w:u w:val="single" w:color="0000FF"/>
          </w:rPr>
          <w:t>Proposed</w:t>
        </w:r>
        <w:proofErr w:type="gramEnd"/>
        <w:r>
          <w:rPr>
            <w:color w:val="0000FF"/>
            <w:u w:val="single" w:color="0000FF"/>
          </w:rPr>
          <w:t xml:space="preserve"> clarification that certain sports supplements are therapeutic</w:t>
        </w:r>
      </w:hyperlink>
      <w:r>
        <w:rPr>
          <w:color w:val="0000FF"/>
        </w:rPr>
        <w:t xml:space="preserve"> </w:t>
      </w:r>
      <w:hyperlink r:id="rId19">
        <w:r>
          <w:rPr>
            <w:color w:val="0000FF"/>
            <w:u w:val="single" w:color="0000FF"/>
          </w:rPr>
          <w:t>goods</w:t>
        </w:r>
        <w:r>
          <w:rPr>
            <w:color w:val="0000FF"/>
          </w:rPr>
          <w:t xml:space="preserve"> </w:t>
        </w:r>
      </w:hyperlink>
      <w:r>
        <w:t xml:space="preserve">(by way of a declaration) was released for public comment on 22 October 2019. The consultation received a significant amount of stakeholder feedback (for details refer to </w:t>
      </w:r>
      <w:hyperlink w:anchor="_bookmark34" w:history="1">
        <w:r>
          <w:rPr>
            <w:color w:val="0000FF"/>
            <w:u w:val="single" w:color="0000FF"/>
          </w:rPr>
          <w:t>Consultation</w:t>
        </w:r>
      </w:hyperlink>
      <w:r>
        <w:t xml:space="preserve">). In consideration of stakeholder feedback, the proposed declaration was refined and clarified and was the subject of additional targeted stakeholder consultations (in the form of two workshops) in early 2020. In addition, nine face-to-face interviews were conducted with key stakeholders by the Noetic Group (Noetic) to inform regulatory burden costings (refer to the Noetic Report at </w:t>
      </w:r>
      <w:hyperlink w:anchor="_bookmark65" w:history="1">
        <w:r>
          <w:rPr>
            <w:color w:val="0000FF"/>
            <w:u w:val="single" w:color="0000FF"/>
          </w:rPr>
          <w:t>Appendix 1</w:t>
        </w:r>
      </w:hyperlink>
      <w:r>
        <w:t>).</w:t>
      </w:r>
    </w:p>
    <w:p w:rsidR="007D76BB" w:rsidRDefault="00D70D28">
      <w:pPr>
        <w:pStyle w:val="BodyText"/>
        <w:spacing w:before="181"/>
        <w:ind w:left="198" w:right="984"/>
        <w:jc w:val="both"/>
      </w:pPr>
      <w:r>
        <w:t xml:space="preserve">The consultation process has informed the options proposed in </w:t>
      </w:r>
      <w:r>
        <w:lastRenderedPageBreak/>
        <w:t>this RIS to address the safety concerns surrounding the use of sports supplements, while imposing the minimal necessary regulatory burden.</w:t>
      </w:r>
    </w:p>
    <w:p w:rsidR="007D76BB" w:rsidRDefault="007D76BB">
      <w:pPr>
        <w:jc w:val="both"/>
        <w:sectPr w:rsidR="007D76BB">
          <w:headerReference w:type="default" r:id="rId20"/>
          <w:footerReference w:type="default" r:id="rId21"/>
          <w:pgSz w:w="11910" w:h="16840"/>
          <w:pgMar w:top="840" w:right="820" w:bottom="1360" w:left="1220" w:header="572" w:footer="1179" w:gutter="0"/>
          <w:pgNumType w:start="10"/>
          <w:cols w:space="720"/>
        </w:sectPr>
      </w:pPr>
    </w:p>
    <w:p w:rsidR="007D76BB" w:rsidRDefault="007D76BB">
      <w:pPr>
        <w:pStyle w:val="BodyText"/>
        <w:spacing w:before="9"/>
        <w:rPr>
          <w:sz w:val="16"/>
        </w:rPr>
      </w:pPr>
    </w:p>
    <w:p w:rsidR="007D76BB" w:rsidRDefault="00D70D28">
      <w:pPr>
        <w:pStyle w:val="Heading3"/>
        <w:spacing w:before="89"/>
      </w:pPr>
      <w:bookmarkStart w:id="9" w:name="Current_regulatory_systems_for_food_and_"/>
      <w:bookmarkStart w:id="10" w:name="_bookmark2"/>
      <w:bookmarkEnd w:id="9"/>
      <w:bookmarkEnd w:id="10"/>
      <w:r>
        <w:t>Current regulatory systems for food and therapeutic goods</w:t>
      </w:r>
    </w:p>
    <w:p w:rsidR="007D76BB" w:rsidRDefault="007D76BB">
      <w:pPr>
        <w:pStyle w:val="BodyText"/>
        <w:spacing w:before="8"/>
        <w:rPr>
          <w:rFonts w:ascii="Arial"/>
          <w:b/>
          <w:sz w:val="31"/>
        </w:rPr>
      </w:pPr>
    </w:p>
    <w:p w:rsidR="007D76BB" w:rsidRDefault="00D70D28">
      <w:pPr>
        <w:pStyle w:val="Heading5"/>
        <w:rPr>
          <w:rFonts w:ascii="Arial"/>
        </w:rPr>
      </w:pPr>
      <w:bookmarkStart w:id="11" w:name="Regulation_of_food_in_Australia"/>
      <w:bookmarkStart w:id="12" w:name="_bookmark3"/>
      <w:bookmarkEnd w:id="11"/>
      <w:bookmarkEnd w:id="12"/>
      <w:r>
        <w:rPr>
          <w:rFonts w:ascii="Arial"/>
        </w:rPr>
        <w:t>Regulation of food in Australia</w:t>
      </w:r>
    </w:p>
    <w:p w:rsidR="007D76BB" w:rsidRDefault="00D70D28">
      <w:pPr>
        <w:pStyle w:val="BodyText"/>
        <w:spacing w:before="120"/>
        <w:ind w:left="198" w:right="6446"/>
      </w:pPr>
      <w:r>
        <w:rPr>
          <w:noProof/>
          <w:lang w:val="en-AU" w:eastAsia="en-AU"/>
        </w:rPr>
        <mc:AlternateContent>
          <mc:Choice Requires="wpg">
            <w:drawing>
              <wp:anchor distT="0" distB="0" distL="114300" distR="114300" simplePos="0" relativeHeight="251659264" behindDoc="0" locked="0" layoutInCell="1" allowOverlap="1">
                <wp:simplePos x="0" y="0"/>
                <wp:positionH relativeFrom="page">
                  <wp:posOffset>3090545</wp:posOffset>
                </wp:positionH>
                <wp:positionV relativeFrom="paragraph">
                  <wp:posOffset>117475</wp:posOffset>
                </wp:positionV>
                <wp:extent cx="3691255" cy="2472055"/>
                <wp:effectExtent l="0" t="0" r="0" b="0"/>
                <wp:wrapNone/>
                <wp:docPr id="450"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1255" cy="2472055"/>
                          <a:chOff x="4867" y="185"/>
                          <a:chExt cx="5813" cy="3893"/>
                        </a:xfrm>
                      </wpg:grpSpPr>
                      <pic:pic xmlns:pic="http://schemas.openxmlformats.org/drawingml/2006/picture">
                        <pic:nvPicPr>
                          <pic:cNvPr id="451" name="Picture 3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876" y="756"/>
                            <a:ext cx="5804" cy="3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2" name="Picture 3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924" y="802"/>
                            <a:ext cx="5624" cy="3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Rectangle 310"/>
                        <wps:cNvSpPr>
                          <a:spLocks noChangeArrowheads="1"/>
                        </wps:cNvSpPr>
                        <wps:spPr bwMode="auto">
                          <a:xfrm>
                            <a:off x="4921" y="799"/>
                            <a:ext cx="5629" cy="3149"/>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4" name="Picture 3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867" y="185"/>
                            <a:ext cx="5806"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 name="Picture 3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913" y="231"/>
                            <a:ext cx="5629"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6" name="Rectangle 307"/>
                        <wps:cNvSpPr>
                          <a:spLocks noChangeArrowheads="1"/>
                        </wps:cNvSpPr>
                        <wps:spPr bwMode="auto">
                          <a:xfrm>
                            <a:off x="4910" y="228"/>
                            <a:ext cx="5634" cy="56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73EF3" id="Group 306" o:spid="_x0000_s1026" style="position:absolute;margin-left:243.35pt;margin-top:9.25pt;width:290.65pt;height:194.65pt;z-index:251659264;mso-position-horizontal-relative:page" coordorigin="4867,185" coordsize="5813,38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">
                <v:shape id="Picture 312" o:spid="_x0000_s1027" type="#_x0000_t75" style="position:absolute;left:4876;top:756;width:5804;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">
                  <v:imagedata r:id="rId26" o:title=""/>
                </v:shape>
                <v:shape id="Picture 311" o:spid="_x0000_s1028" type="#_x0000_t75" style="position:absolute;left:4924;top:802;width:5624;height:3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">
                  <v:imagedata r:id="rId27" o:title=""/>
                </v:shape>
                <v:rect id="Rectangle 310" o:spid="_x0000_s1029" style="position:absolute;left:4921;top:799;width:5629;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" filled="f" strokeweight=".25pt"/>
                <v:shape id="Picture 309" o:spid="_x0000_s1030" type="#_x0000_t75" style="position:absolute;left:4867;top:185;width:5806;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">
                  <v:imagedata r:id="rId28" o:title=""/>
                </v:shape>
                <v:shape id="Picture 308" o:spid="_x0000_s1031" type="#_x0000_t75" style="position:absolute;left:4913;top:231;width:5629;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">
                  <v:imagedata r:id="rId29" o:title=""/>
                </v:shape>
                <v:rect id="Rectangle 307" o:spid="_x0000_s1032" style="position:absolute;left:4910;top:228;width:5634;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" filled="f" strokeweight=".25pt"/>
                <w10:wrap anchorx="page"/>
              </v:group>
            </w:pict>
          </mc:Fallback>
        </mc:AlternateContent>
      </w:r>
      <w:r>
        <w:t>The regulation of food in Australia is a joint responsibility of the Commonwealth and the states and</w:t>
      </w:r>
      <w:r>
        <w:rPr>
          <w:spacing w:val="-2"/>
        </w:rPr>
        <w:t xml:space="preserve"> </w:t>
      </w:r>
      <w:r>
        <w:t>territories.</w:t>
      </w:r>
    </w:p>
    <w:p w:rsidR="007D76BB" w:rsidRDefault="00D70D28">
      <w:pPr>
        <w:spacing w:before="180"/>
        <w:ind w:left="197" w:right="6481"/>
      </w:pPr>
      <w:r>
        <w:t xml:space="preserve">FSANZ is responsible for the </w:t>
      </w:r>
      <w:hyperlink r:id="rId30">
        <w:r>
          <w:rPr>
            <w:color w:val="0000FF"/>
            <w:u w:val="single" w:color="0000FF"/>
          </w:rPr>
          <w:t>Australia New Zealand Food</w:t>
        </w:r>
      </w:hyperlink>
      <w:r>
        <w:rPr>
          <w:color w:val="0000FF"/>
        </w:rPr>
        <w:t xml:space="preserve"> </w:t>
      </w:r>
      <w:hyperlink r:id="rId31">
        <w:r>
          <w:rPr>
            <w:color w:val="0000FF"/>
            <w:u w:val="single" w:color="0000FF"/>
          </w:rPr>
          <w:t>Standards Code</w:t>
        </w:r>
        <w:r>
          <w:rPr>
            <w:color w:val="0000FF"/>
          </w:rPr>
          <w:t xml:space="preserve"> </w:t>
        </w:r>
      </w:hyperlink>
      <w:r>
        <w:t xml:space="preserve">(the Code), which is a set of bi-national standards for food made under the </w:t>
      </w:r>
      <w:r>
        <w:rPr>
          <w:i/>
        </w:rPr>
        <w:t>Food Standards Australia New Zealand Act 1991</w:t>
      </w:r>
      <w:r>
        <w:t>.</w:t>
      </w:r>
    </w:p>
    <w:p w:rsidR="007D76BB" w:rsidRDefault="00D70D28">
      <w:pPr>
        <w:pStyle w:val="BodyText"/>
        <w:spacing w:before="182"/>
        <w:ind w:left="198" w:right="6441"/>
      </w:pPr>
      <w:r>
        <w:t xml:space="preserve">State and territory government food authorities </w:t>
      </w:r>
      <w:r>
        <w:lastRenderedPageBreak/>
        <w:t>and local councils enforce the Code, deal with complaints about food and</w:t>
      </w:r>
    </w:p>
    <w:p w:rsidR="007D76BB" w:rsidRDefault="00D70D28">
      <w:pPr>
        <w:pStyle w:val="BodyText"/>
        <w:spacing w:line="256" w:lineRule="exact"/>
        <w:ind w:left="198"/>
      </w:pPr>
      <w:proofErr w:type="gramStart"/>
      <w:r>
        <w:t>investigate</w:t>
      </w:r>
      <w:proofErr w:type="gramEnd"/>
      <w:r>
        <w:t xml:space="preserve"> food safety issues through their respective legislation.</w:t>
      </w:r>
    </w:p>
    <w:p w:rsidR="007D76BB" w:rsidRDefault="007D76BB">
      <w:pPr>
        <w:pStyle w:val="BodyText"/>
        <w:spacing w:before="8"/>
        <w:rPr>
          <w:sz w:val="30"/>
        </w:rPr>
      </w:pPr>
    </w:p>
    <w:p w:rsidR="007D76BB" w:rsidRDefault="00D70D28">
      <w:pPr>
        <w:pStyle w:val="Heading5"/>
        <w:rPr>
          <w:rFonts w:ascii="Arial"/>
        </w:rPr>
      </w:pPr>
      <w:bookmarkStart w:id="13" w:name="Regulation_of_therapeutic_goods_in_Austr"/>
      <w:bookmarkStart w:id="14" w:name="_bookmark4"/>
      <w:bookmarkEnd w:id="13"/>
      <w:bookmarkEnd w:id="14"/>
      <w:r>
        <w:rPr>
          <w:rFonts w:ascii="Arial"/>
        </w:rPr>
        <w:t>Regulation of therapeutic goods in Australia</w:t>
      </w:r>
    </w:p>
    <w:p w:rsidR="007D76BB" w:rsidRDefault="00D70D28">
      <w:pPr>
        <w:pStyle w:val="BodyText"/>
        <w:spacing w:before="120"/>
        <w:ind w:left="198" w:right="4949"/>
      </w:pPr>
      <w:r>
        <w:rPr>
          <w:noProof/>
          <w:lang w:val="en-AU" w:eastAsia="en-AU"/>
        </w:rPr>
        <mc:AlternateContent>
          <mc:Choice Requires="wpg">
            <w:drawing>
              <wp:anchor distT="0" distB="0" distL="114300" distR="114300" simplePos="0" relativeHeight="251660288" behindDoc="0" locked="0" layoutInCell="1" allowOverlap="1">
                <wp:simplePos x="0" y="0"/>
                <wp:positionH relativeFrom="page">
                  <wp:posOffset>4039870</wp:posOffset>
                </wp:positionH>
                <wp:positionV relativeFrom="paragraph">
                  <wp:posOffset>204470</wp:posOffset>
                </wp:positionV>
                <wp:extent cx="2682240" cy="3858895"/>
                <wp:effectExtent l="0" t="0" r="0" b="0"/>
                <wp:wrapNone/>
                <wp:docPr id="446"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2240" cy="3858895"/>
                          <a:chOff x="6362" y="322"/>
                          <a:chExt cx="4224" cy="6077"/>
                        </a:xfrm>
                      </wpg:grpSpPr>
                      <pic:pic xmlns:pic="http://schemas.openxmlformats.org/drawingml/2006/picture">
                        <pic:nvPicPr>
                          <pic:cNvPr id="447" name="Picture 3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362" y="321"/>
                            <a:ext cx="4224" cy="6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8" name="Picture 3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410" y="369"/>
                            <a:ext cx="4044" cy="5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9" name="Rectangle 303"/>
                        <wps:cNvSpPr>
                          <a:spLocks noChangeArrowheads="1"/>
                        </wps:cNvSpPr>
                        <wps:spPr bwMode="auto">
                          <a:xfrm>
                            <a:off x="6407" y="366"/>
                            <a:ext cx="4049" cy="5903"/>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B4AA8" id="Group 302" o:spid="_x0000_s1026" style="position:absolute;margin-left:318.1pt;margin-top:16.1pt;width:211.2pt;height:303.85pt;z-index:251660288;mso-position-horizontal-relative:page" coordorigin="6362,322" coordsize="4224,6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">
                <v:shape id="Picture 305" o:spid="_x0000_s1027" type="#_x0000_t75" style="position:absolute;left:6362;top:321;width:4224;height:6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">
                  <v:imagedata r:id="rId34" o:title=""/>
                </v:shape>
                <v:shape id="Picture 304" o:spid="_x0000_s1028" type="#_x0000_t75" style="position:absolute;left:6410;top:369;width:4044;height:5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">
                  <v:imagedata r:id="rId35" o:title=""/>
                </v:shape>
                <v:rect id="Rectangle 303" o:spid="_x0000_s1029" style="position:absolute;left:6407;top:366;width:4049;height:5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" filled="f" strokeweight=".25pt"/>
                <w10:wrap anchorx="page"/>
              </v:group>
            </w:pict>
          </mc:Fallback>
        </mc:AlternateContent>
      </w:r>
      <w:r>
        <w:t>The TGA, part of the Commonwealth Department of Health, is responsible for regulating therapeutic goods (including medicines, medical devices and biological products) under the TG Act and relevant regulations to ensure those goods are of acceptable quality, safety and</w:t>
      </w:r>
      <w:r>
        <w:rPr>
          <w:spacing w:val="-8"/>
        </w:rPr>
        <w:t xml:space="preserve"> </w:t>
      </w:r>
      <w:r>
        <w:t>efficacy.</w:t>
      </w:r>
    </w:p>
    <w:p w:rsidR="007D76BB" w:rsidRDefault="00D70D28">
      <w:pPr>
        <w:pStyle w:val="BodyText"/>
        <w:spacing w:before="181"/>
        <w:ind w:left="197" w:right="5037"/>
      </w:pPr>
      <w:r>
        <w:t>Therapeutic goods must be included in the Australian Register of Therapeutic Goods (ARTG) to be lawfully supplied in, imported into, or exported from Australia, unless those goods are otherwise the subject of an exemption, approval or authority under the TG Act.</w:t>
      </w:r>
    </w:p>
    <w:p w:rsidR="007D76BB" w:rsidRDefault="00D70D28">
      <w:pPr>
        <w:pStyle w:val="BodyText"/>
        <w:spacing w:before="180"/>
        <w:ind w:left="197" w:right="5009"/>
      </w:pPr>
      <w:r>
        <w:t xml:space="preserve">There are two tiers </w:t>
      </w:r>
      <w:r>
        <w:lastRenderedPageBreak/>
        <w:t>of regulatory requirements that medicines must meet in order to be included in the ARTG, corresponding with the degree of risk based on a product’s ingredients, therapeutic indications (claimed health benefits) and presentation:</w:t>
      </w:r>
    </w:p>
    <w:p w:rsidR="007D76BB" w:rsidRDefault="00D70D28">
      <w:pPr>
        <w:pStyle w:val="ListParagraph"/>
        <w:numPr>
          <w:ilvl w:val="0"/>
          <w:numId w:val="72"/>
        </w:numPr>
        <w:tabs>
          <w:tab w:val="left" w:pos="557"/>
          <w:tab w:val="left" w:pos="558"/>
        </w:tabs>
        <w:spacing w:before="181"/>
        <w:ind w:left="557" w:right="5254"/>
      </w:pPr>
      <w:r>
        <w:t xml:space="preserve">Lower risk medicines (for example most complementary medicines such as vitamin and mineral supplements) are </w:t>
      </w:r>
      <w:r>
        <w:rPr>
          <w:i/>
        </w:rPr>
        <w:t xml:space="preserve">listed </w:t>
      </w:r>
      <w:r>
        <w:t xml:space="preserve">in the ARTG. These are identified by an AUST L or AUST </w:t>
      </w:r>
      <w:proofErr w:type="gramStart"/>
      <w:r>
        <w:t>L(</w:t>
      </w:r>
      <w:proofErr w:type="gramEnd"/>
      <w:r>
        <w:t>A) number on their label and are available for self-selection by</w:t>
      </w:r>
      <w:r>
        <w:rPr>
          <w:spacing w:val="-9"/>
        </w:rPr>
        <w:t xml:space="preserve"> </w:t>
      </w:r>
      <w:r>
        <w:t>consumers.</w:t>
      </w:r>
    </w:p>
    <w:p w:rsidR="007D76BB" w:rsidRDefault="00D70D28">
      <w:pPr>
        <w:pStyle w:val="ListParagraph"/>
        <w:numPr>
          <w:ilvl w:val="0"/>
          <w:numId w:val="72"/>
        </w:numPr>
        <w:tabs>
          <w:tab w:val="left" w:pos="557"/>
          <w:tab w:val="left" w:pos="558"/>
        </w:tabs>
        <w:ind w:left="557" w:right="876"/>
      </w:pPr>
      <w:r>
        <w:t xml:space="preserve">Higher risk medicines (for example all prescription medicines) are </w:t>
      </w:r>
      <w:r>
        <w:rPr>
          <w:i/>
        </w:rPr>
        <w:t xml:space="preserve">registered </w:t>
      </w:r>
      <w:r>
        <w:t>in the ARTG. These are identified by an AUST R number on their label and may be accessed over-the- counter or with a prescription in</w:t>
      </w:r>
      <w:r>
        <w:rPr>
          <w:spacing w:val="-14"/>
        </w:rPr>
        <w:t xml:space="preserve"> </w:t>
      </w:r>
      <w:r>
        <w:t>pharmacies.</w:t>
      </w:r>
    </w:p>
    <w:p w:rsidR="007D76BB" w:rsidRDefault="007D76BB">
      <w:pPr>
        <w:sectPr w:rsidR="007D76BB">
          <w:pgSz w:w="11910" w:h="16840"/>
          <w:pgMar w:top="840" w:right="820" w:bottom="1360" w:left="1220" w:header="572" w:footer="1179" w:gutter="0"/>
          <w:cols w:space="720"/>
        </w:sectPr>
      </w:pPr>
    </w:p>
    <w:p w:rsidR="007D76BB" w:rsidRDefault="007D76BB">
      <w:pPr>
        <w:pStyle w:val="BodyText"/>
        <w:spacing w:before="1"/>
        <w:rPr>
          <w:sz w:val="16"/>
        </w:rPr>
      </w:pPr>
    </w:p>
    <w:p w:rsidR="007D76BB" w:rsidRDefault="00D70D28">
      <w:pPr>
        <w:pStyle w:val="BodyText"/>
        <w:spacing w:before="101"/>
        <w:ind w:left="198"/>
      </w:pPr>
      <w:r>
        <w:t>The regulatory requirements for medicines include:</w:t>
      </w:r>
    </w:p>
    <w:p w:rsidR="007D76BB" w:rsidRDefault="00D70D28">
      <w:pPr>
        <w:pStyle w:val="ListParagraph"/>
        <w:numPr>
          <w:ilvl w:val="0"/>
          <w:numId w:val="72"/>
        </w:numPr>
        <w:tabs>
          <w:tab w:val="left" w:pos="558"/>
          <w:tab w:val="left" w:pos="559"/>
        </w:tabs>
        <w:spacing w:before="182"/>
        <w:ind w:left="558" w:right="928"/>
      </w:pPr>
      <w:r>
        <w:t>licensing or approval of manufacturing facilities to ensure medicines are manufactured in accordance with good manufacturing practice</w:t>
      </w:r>
      <w:r>
        <w:rPr>
          <w:spacing w:val="-8"/>
        </w:rPr>
        <w:t xml:space="preserve"> </w:t>
      </w:r>
      <w:r>
        <w:t>(GMP)</w:t>
      </w:r>
    </w:p>
    <w:p w:rsidR="007D76BB" w:rsidRDefault="00D70D28">
      <w:pPr>
        <w:pStyle w:val="ListParagraph"/>
        <w:numPr>
          <w:ilvl w:val="0"/>
          <w:numId w:val="72"/>
        </w:numPr>
        <w:tabs>
          <w:tab w:val="left" w:pos="558"/>
          <w:tab w:val="left" w:pos="559"/>
        </w:tabs>
        <w:ind w:left="558" w:right="634"/>
      </w:pPr>
      <w:r>
        <w:t>restrictions over the types and amounts of ingredients to ensure medicines are acceptable in terms of safety and quality prior to marketing and supply, for</w:t>
      </w:r>
      <w:r>
        <w:rPr>
          <w:spacing w:val="-17"/>
        </w:rPr>
        <w:t xml:space="preserve"> </w:t>
      </w:r>
      <w:r>
        <w:t>example:</w:t>
      </w:r>
    </w:p>
    <w:p w:rsidR="007D76BB" w:rsidRDefault="00D70D28">
      <w:pPr>
        <w:pStyle w:val="ListParagraph"/>
        <w:numPr>
          <w:ilvl w:val="1"/>
          <w:numId w:val="72"/>
        </w:numPr>
        <w:tabs>
          <w:tab w:val="left" w:pos="1279"/>
        </w:tabs>
        <w:ind w:right="845"/>
        <w:jc w:val="both"/>
      </w:pPr>
      <w:r>
        <w:t>listed medicines are only permitted to contain certain low risk ingredients that are specified in a legislative instrument known as the</w:t>
      </w:r>
      <w:r>
        <w:rPr>
          <w:color w:val="0000FF"/>
        </w:rPr>
        <w:t xml:space="preserve"> </w:t>
      </w:r>
      <w:hyperlink r:id="rId36" w:anchor="pi">
        <w:r>
          <w:rPr>
            <w:color w:val="0000FF"/>
            <w:u w:val="single" w:color="0000FF"/>
          </w:rPr>
          <w:t>Therapeutic Goods (Permissible</w:t>
        </w:r>
      </w:hyperlink>
      <w:hyperlink r:id="rId37" w:anchor="pi">
        <w:r>
          <w:rPr>
            <w:color w:val="0000FF"/>
            <w:u w:val="single" w:color="0000FF"/>
          </w:rPr>
          <w:t xml:space="preserve"> Ingredients) Determination</w:t>
        </w:r>
        <w:r>
          <w:rPr>
            <w:color w:val="0000FF"/>
          </w:rPr>
          <w:t xml:space="preserve"> </w:t>
        </w:r>
      </w:hyperlink>
      <w:r>
        <w:t>(‘the Permissible Ingredients</w:t>
      </w:r>
      <w:r>
        <w:rPr>
          <w:spacing w:val="-12"/>
        </w:rPr>
        <w:t xml:space="preserve"> </w:t>
      </w:r>
      <w:r>
        <w:t>Determination’)</w:t>
      </w:r>
    </w:p>
    <w:p w:rsidR="007D76BB" w:rsidRDefault="00D70D28">
      <w:pPr>
        <w:pStyle w:val="ListParagraph"/>
        <w:numPr>
          <w:ilvl w:val="1"/>
          <w:numId w:val="72"/>
        </w:numPr>
        <w:tabs>
          <w:tab w:val="left" w:pos="1278"/>
          <w:tab w:val="left" w:pos="1279"/>
        </w:tabs>
        <w:spacing w:before="179"/>
        <w:ind w:right="766"/>
      </w:pPr>
      <w:r>
        <w:t>only registered medicines may be permitted to contain a substance included in a Schedule to the</w:t>
      </w:r>
      <w:r>
        <w:rPr>
          <w:color w:val="0000FF"/>
        </w:rPr>
        <w:t xml:space="preserve"> </w:t>
      </w:r>
      <w:hyperlink r:id="rId38">
        <w:r>
          <w:rPr>
            <w:color w:val="0000FF"/>
            <w:u w:val="single" w:color="0000FF"/>
          </w:rPr>
          <w:t>Poisons Standard</w:t>
        </w:r>
        <w:r>
          <w:t xml:space="preserve">, </w:t>
        </w:r>
      </w:hyperlink>
      <w:r>
        <w:t>a legislative instrument that consists of decisions regarding the classification of medicines and poisons into schedules for inclusion in the relevant legislation of the states and</w:t>
      </w:r>
      <w:r>
        <w:rPr>
          <w:spacing w:val="-8"/>
        </w:rPr>
        <w:t xml:space="preserve"> </w:t>
      </w:r>
      <w:r>
        <w:t>territories</w:t>
      </w:r>
    </w:p>
    <w:p w:rsidR="007D76BB" w:rsidRDefault="00D70D28">
      <w:pPr>
        <w:pStyle w:val="ListParagraph"/>
        <w:numPr>
          <w:ilvl w:val="0"/>
          <w:numId w:val="72"/>
        </w:numPr>
        <w:tabs>
          <w:tab w:val="left" w:pos="558"/>
          <w:tab w:val="left" w:pos="559"/>
        </w:tabs>
        <w:ind w:left="558" w:right="1149"/>
      </w:pPr>
      <w:r>
        <w:t>sponsors must have evidence to support the indications (specific therapeutic uses) and claims for the medicine (that it does what it says it</w:t>
      </w:r>
      <w:r>
        <w:rPr>
          <w:spacing w:val="-12"/>
        </w:rPr>
        <w:t xml:space="preserve"> </w:t>
      </w:r>
      <w:r>
        <w:t>does)</w:t>
      </w:r>
    </w:p>
    <w:p w:rsidR="007D76BB" w:rsidRDefault="00D70D28">
      <w:pPr>
        <w:pStyle w:val="ListParagraph"/>
        <w:numPr>
          <w:ilvl w:val="0"/>
          <w:numId w:val="72"/>
        </w:numPr>
        <w:tabs>
          <w:tab w:val="left" w:pos="558"/>
          <w:tab w:val="left" w:pos="559"/>
        </w:tabs>
        <w:ind w:left="558"/>
      </w:pPr>
      <w:r>
        <w:t>labelling that supports safe and effective use of medicines by</w:t>
      </w:r>
      <w:r>
        <w:rPr>
          <w:spacing w:val="-18"/>
        </w:rPr>
        <w:t xml:space="preserve"> </w:t>
      </w:r>
      <w:r>
        <w:t>consumers</w:t>
      </w:r>
    </w:p>
    <w:p w:rsidR="007D76BB" w:rsidRDefault="00D70D28">
      <w:pPr>
        <w:pStyle w:val="ListParagraph"/>
        <w:numPr>
          <w:ilvl w:val="0"/>
          <w:numId w:val="72"/>
        </w:numPr>
        <w:tabs>
          <w:tab w:val="left" w:pos="558"/>
          <w:tab w:val="left" w:pos="559"/>
        </w:tabs>
        <w:spacing w:before="179"/>
        <w:ind w:left="558"/>
      </w:pPr>
      <w:r>
        <w:t>advertising that is not misleading or suggests unsafe product</w:t>
      </w:r>
      <w:r>
        <w:rPr>
          <w:spacing w:val="-18"/>
        </w:rPr>
        <w:t xml:space="preserve"> </w:t>
      </w:r>
      <w:r>
        <w:t>use</w:t>
      </w:r>
    </w:p>
    <w:p w:rsidR="007D76BB" w:rsidRDefault="00D70D28">
      <w:pPr>
        <w:pStyle w:val="BodyText"/>
        <w:spacing w:before="181"/>
        <w:ind w:left="198" w:right="709"/>
      </w:pPr>
      <w:r>
        <w:t>The TG Act also provides for post-market monitoring of complaints about advertising, medicine defects and adverse events.</w:t>
      </w:r>
    </w:p>
    <w:p w:rsidR="007D76BB" w:rsidRDefault="00D70D28">
      <w:pPr>
        <w:pStyle w:val="BodyText"/>
        <w:spacing w:before="181"/>
        <w:ind w:left="198" w:right="812"/>
      </w:pPr>
      <w:r>
        <w:t>Further detail of the regulatory requirements for therapeutic goods and a comparison to those for foods are provided below.</w:t>
      </w:r>
    </w:p>
    <w:p w:rsidR="007D76BB" w:rsidRDefault="007D76BB">
      <w:pPr>
        <w:pStyle w:val="BodyText"/>
        <w:spacing w:before="7"/>
        <w:rPr>
          <w:sz w:val="30"/>
        </w:rPr>
      </w:pPr>
    </w:p>
    <w:p w:rsidR="007D76BB" w:rsidRDefault="00D70D28">
      <w:pPr>
        <w:pStyle w:val="Heading5"/>
        <w:rPr>
          <w:rFonts w:ascii="Arial"/>
        </w:rPr>
      </w:pPr>
      <w:bookmarkStart w:id="15" w:name="Importation_of_food_and_medicines_into_A"/>
      <w:bookmarkStart w:id="16" w:name="_bookmark5"/>
      <w:bookmarkEnd w:id="15"/>
      <w:bookmarkEnd w:id="16"/>
      <w:r>
        <w:rPr>
          <w:rFonts w:ascii="Arial"/>
        </w:rPr>
        <w:t>Importation of food and medicines into Australia</w:t>
      </w:r>
    </w:p>
    <w:p w:rsidR="007D76BB" w:rsidRDefault="00A51832">
      <w:pPr>
        <w:pStyle w:val="BodyText"/>
        <w:spacing w:before="120"/>
        <w:ind w:left="198" w:right="628"/>
      </w:pPr>
      <w:hyperlink r:id="rId39">
        <w:r w:rsidR="00D70D28">
          <w:rPr>
            <w:color w:val="0000FF"/>
            <w:u w:val="single" w:color="0000FF"/>
          </w:rPr>
          <w:t xml:space="preserve">The Department of Agriculture, Water and </w:t>
        </w:r>
      </w:hyperlink>
      <w:r w:rsidR="00D70D28">
        <w:rPr>
          <w:color w:val="0000FF"/>
          <w:u w:val="single" w:color="0000FF"/>
        </w:rPr>
        <w:t>the Environment</w:t>
      </w:r>
      <w:r w:rsidR="00D70D28">
        <w:rPr>
          <w:color w:val="0000FF"/>
        </w:rPr>
        <w:t xml:space="preserve"> </w:t>
      </w:r>
      <w:r w:rsidR="00D70D28">
        <w:t xml:space="preserve">(DWE) administers the </w:t>
      </w:r>
      <w:hyperlink r:id="rId40">
        <w:r w:rsidR="00D70D28">
          <w:rPr>
            <w:i/>
            <w:color w:val="0000FF"/>
            <w:u w:val="single" w:color="0000FF"/>
          </w:rPr>
          <w:t>Imported</w:t>
        </w:r>
      </w:hyperlink>
      <w:r w:rsidR="00D70D28">
        <w:rPr>
          <w:i/>
          <w:color w:val="0000FF"/>
        </w:rPr>
        <w:t xml:space="preserve"> </w:t>
      </w:r>
      <w:hyperlink r:id="rId41">
        <w:r w:rsidR="00D70D28">
          <w:rPr>
            <w:i/>
            <w:color w:val="0000FF"/>
            <w:u w:val="single" w:color="0000FF"/>
          </w:rPr>
          <w:t>Food Control Act 1992</w:t>
        </w:r>
        <w:r w:rsidR="00D70D28">
          <w:rPr>
            <w:i/>
            <w:color w:val="0000FF"/>
          </w:rPr>
          <w:t xml:space="preserve"> </w:t>
        </w:r>
      </w:hyperlink>
      <w:r w:rsidR="00D70D28">
        <w:t xml:space="preserve">and enforces food laws at Australia’s borders in relation to imported food. All imported food must meet the conditions imposed under the </w:t>
      </w:r>
      <w:hyperlink r:id="rId42">
        <w:r w:rsidR="00D70D28">
          <w:rPr>
            <w:i/>
            <w:color w:val="0000FF"/>
            <w:u w:val="single" w:color="0000FF"/>
          </w:rPr>
          <w:t>Biosecurity Act 2015</w:t>
        </w:r>
        <w:r w:rsidR="00D70D28">
          <w:rPr>
            <w:i/>
            <w:color w:val="0000FF"/>
          </w:rPr>
          <w:t xml:space="preserve"> </w:t>
        </w:r>
      </w:hyperlink>
      <w:r w:rsidR="00D70D28">
        <w:t>to be allowed into the country. Once imported food has met these requirements, food is monitored for safety and compliance to the Code and the Country of Origin Food Labelling Information Standard 2016.</w:t>
      </w:r>
    </w:p>
    <w:p w:rsidR="007D76BB" w:rsidRDefault="00D70D28">
      <w:pPr>
        <w:pStyle w:val="BodyText"/>
        <w:spacing w:before="180"/>
        <w:ind w:left="198" w:right="626"/>
      </w:pPr>
      <w:r>
        <w:t xml:space="preserve">In relation to food imported from New Zealand, the </w:t>
      </w:r>
      <w:hyperlink r:id="rId43">
        <w:r>
          <w:rPr>
            <w:color w:val="0000FF"/>
            <w:u w:val="single" w:color="0000FF"/>
          </w:rPr>
          <w:t>Trans-Tasman Mutual Recognition</w:t>
        </w:r>
      </w:hyperlink>
      <w:r>
        <w:rPr>
          <w:color w:val="0000FF"/>
        </w:rPr>
        <w:t xml:space="preserve"> </w:t>
      </w:r>
      <w:hyperlink r:id="rId44">
        <w:r>
          <w:rPr>
            <w:color w:val="0000FF"/>
            <w:u w:val="single" w:color="0000FF"/>
          </w:rPr>
          <w:t>Arrangement</w:t>
        </w:r>
        <w:r>
          <w:rPr>
            <w:color w:val="0000FF"/>
          </w:rPr>
          <w:t xml:space="preserve"> </w:t>
        </w:r>
      </w:hyperlink>
      <w:r>
        <w:t>(TTMRA) is a non-treaty arrangement between New Zealand and Australian Commonwealth, state and territory governments, which allows for goods (excluding therapeutic goods) legally sold in New Zealand to be sold in Australia. This means that foods that are compliant with the supplementary food standards and dietary supplements regulation in NZ can legally enter Australia.</w:t>
      </w:r>
    </w:p>
    <w:p w:rsidR="007D76BB" w:rsidRDefault="00D70D28">
      <w:pPr>
        <w:pStyle w:val="BodyText"/>
        <w:spacing w:before="181"/>
        <w:ind w:left="198" w:right="855"/>
      </w:pPr>
      <w:r>
        <w:t xml:space="preserve">The </w:t>
      </w:r>
      <w:hyperlink r:id="rId45">
        <w:r>
          <w:rPr>
            <w:color w:val="0000FF"/>
            <w:u w:val="single" w:color="0000FF"/>
          </w:rPr>
          <w:t>Australian Border Force</w:t>
        </w:r>
        <w:r>
          <w:rPr>
            <w:color w:val="0000FF"/>
          </w:rPr>
          <w:t xml:space="preserve"> </w:t>
        </w:r>
      </w:hyperlink>
      <w:r>
        <w:t xml:space="preserve">enforces the laws relating to the </w:t>
      </w:r>
      <w:r>
        <w:lastRenderedPageBreak/>
        <w:t>importation of medicines across Australia’s borders.</w:t>
      </w:r>
    </w:p>
    <w:p w:rsidR="007D76BB" w:rsidRDefault="00D70D28">
      <w:pPr>
        <w:pStyle w:val="BodyText"/>
        <w:spacing w:before="180"/>
        <w:ind w:left="198" w:right="608"/>
        <w:jc w:val="both"/>
      </w:pPr>
      <w:r>
        <w:t>There are limitations on the type, quantity and intended consumer of imported medicines. Some medicines can only be imported with a valid prescription, some medicines may only be imported by a medical professional and some substances may not be imported at all.</w:t>
      </w:r>
    </w:p>
    <w:p w:rsidR="007D76BB" w:rsidRDefault="00D70D28">
      <w:pPr>
        <w:pStyle w:val="BodyText"/>
        <w:spacing w:before="179"/>
        <w:ind w:left="198" w:right="747"/>
      </w:pPr>
      <w:r>
        <w:t xml:space="preserve">Under the </w:t>
      </w:r>
      <w:hyperlink r:id="rId46">
        <w:r>
          <w:rPr>
            <w:color w:val="0000FF"/>
            <w:u w:val="single" w:color="0000FF"/>
          </w:rPr>
          <w:t>Personal Importation Scheme</w:t>
        </w:r>
        <w:r>
          <w:rPr>
            <w:color w:val="0000FF"/>
          </w:rPr>
          <w:t xml:space="preserve"> </w:t>
        </w:r>
      </w:hyperlink>
      <w:r>
        <w:t>a person may import a 3 month supply at the one time (at the maximum dose recommended by the manufacturer) of unapproved therapeutic goods into Australia without any approval required by the TGA provided they meet a number of requirements, including that:</w:t>
      </w:r>
    </w:p>
    <w:p w:rsidR="007D76BB" w:rsidRDefault="00D70D28">
      <w:pPr>
        <w:pStyle w:val="ListParagraph"/>
        <w:numPr>
          <w:ilvl w:val="0"/>
          <w:numId w:val="72"/>
        </w:numPr>
        <w:tabs>
          <w:tab w:val="left" w:pos="558"/>
          <w:tab w:val="left" w:pos="559"/>
        </w:tabs>
        <w:ind w:left="558"/>
      </w:pPr>
      <w:r>
        <w:t>they do not supply (sell or give) the medicine to any other</w:t>
      </w:r>
      <w:r>
        <w:rPr>
          <w:spacing w:val="-22"/>
        </w:rPr>
        <w:t xml:space="preserve"> </w:t>
      </w:r>
      <w:r>
        <w:t>person</w:t>
      </w:r>
    </w:p>
    <w:p w:rsidR="007D76BB" w:rsidRDefault="007D76BB">
      <w:pPr>
        <w:sectPr w:rsidR="007D76BB">
          <w:pgSz w:w="11910" w:h="16840"/>
          <w:pgMar w:top="840" w:right="820" w:bottom="1360" w:left="1220" w:header="572" w:footer="1179" w:gutter="0"/>
          <w:cols w:space="720"/>
        </w:sectPr>
      </w:pPr>
    </w:p>
    <w:p w:rsidR="007D76BB" w:rsidRDefault="007D76BB">
      <w:pPr>
        <w:pStyle w:val="BodyText"/>
        <w:spacing w:before="1"/>
        <w:rPr>
          <w:sz w:val="16"/>
        </w:rPr>
      </w:pPr>
    </w:p>
    <w:p w:rsidR="007D76BB" w:rsidRDefault="00D70D28">
      <w:pPr>
        <w:pStyle w:val="ListParagraph"/>
        <w:numPr>
          <w:ilvl w:val="0"/>
          <w:numId w:val="72"/>
        </w:numPr>
        <w:tabs>
          <w:tab w:val="left" w:pos="558"/>
          <w:tab w:val="left" w:pos="559"/>
        </w:tabs>
        <w:spacing w:before="101"/>
        <w:ind w:left="558" w:right="773"/>
      </w:pPr>
      <w:r>
        <w:t>the goods are not restricted under Australian Customs controls or quarantine rules and the goods do not contain a controlled</w:t>
      </w:r>
      <w:r>
        <w:rPr>
          <w:spacing w:val="-9"/>
        </w:rPr>
        <w:t xml:space="preserve"> </w:t>
      </w:r>
      <w:r>
        <w:t>substance</w:t>
      </w:r>
    </w:p>
    <w:p w:rsidR="007D76BB" w:rsidRDefault="00D70D28">
      <w:pPr>
        <w:pStyle w:val="ListParagraph"/>
        <w:numPr>
          <w:ilvl w:val="0"/>
          <w:numId w:val="72"/>
        </w:numPr>
        <w:tabs>
          <w:tab w:val="left" w:pos="558"/>
          <w:tab w:val="left" w:pos="559"/>
        </w:tabs>
        <w:ind w:left="558" w:right="717"/>
      </w:pPr>
      <w:r>
        <w:t>if the goods are medicines in Schedule 4 or 8 of the Poisons Standard a prescription from an Australian-registered medical practitioner is held for the</w:t>
      </w:r>
      <w:r>
        <w:rPr>
          <w:spacing w:val="-11"/>
        </w:rPr>
        <w:t xml:space="preserve"> </w:t>
      </w:r>
      <w:r>
        <w:t>medicines</w:t>
      </w:r>
    </w:p>
    <w:p w:rsidR="007D76BB" w:rsidRDefault="00D70D28">
      <w:pPr>
        <w:pStyle w:val="BodyText"/>
        <w:spacing w:before="181"/>
        <w:ind w:left="198" w:right="837"/>
      </w:pPr>
      <w:r>
        <w:t>Persons cannot import more than a 3-month supply at the one time under the personal importation scheme. If more than 3 months’ supply are to be imported at the one time into Australia, an Australian-registered doctor will first need to apply to the TGA for Special Access Scheme approval.</w:t>
      </w:r>
    </w:p>
    <w:p w:rsidR="007D76BB" w:rsidRDefault="00D70D28">
      <w:pPr>
        <w:pStyle w:val="BodyText"/>
        <w:spacing w:before="180"/>
        <w:ind w:left="198" w:right="900"/>
      </w:pPr>
      <w:r>
        <w:t>If an import of therapeutic goods is made that does not comply with the rules of the Personal Importation Scheme, and without any other relevant approval, the importation can be seized and destroyed at customs and the importer may be charged with an offence under the TG Act, which can carries significant fines, or even result in imprisonment.</w:t>
      </w:r>
    </w:p>
    <w:p w:rsidR="007D76BB" w:rsidRDefault="007D76BB">
      <w:pPr>
        <w:pStyle w:val="BodyText"/>
        <w:spacing w:before="7"/>
        <w:rPr>
          <w:sz w:val="30"/>
        </w:rPr>
      </w:pPr>
    </w:p>
    <w:p w:rsidR="007D76BB" w:rsidRDefault="00D70D28">
      <w:pPr>
        <w:pStyle w:val="Heading5"/>
        <w:rPr>
          <w:rFonts w:ascii="Arial"/>
        </w:rPr>
      </w:pPr>
      <w:bookmarkStart w:id="17" w:name="Different_regulatory_requirements_for_fo"/>
      <w:bookmarkStart w:id="18" w:name="_bookmark6"/>
      <w:bookmarkEnd w:id="17"/>
      <w:bookmarkEnd w:id="18"/>
      <w:r>
        <w:rPr>
          <w:rFonts w:ascii="Arial"/>
        </w:rPr>
        <w:t>Different regulatory requirements for food and medicines</w:t>
      </w:r>
    </w:p>
    <w:p w:rsidR="007D76BB" w:rsidRDefault="00D70D28">
      <w:pPr>
        <w:pStyle w:val="BodyText"/>
        <w:spacing w:before="123"/>
        <w:ind w:left="198" w:right="1181"/>
      </w:pPr>
      <w:r>
        <w:t>There are different requirements for foods and medicines in relation to ingredients, health claims/indications, labelling, manufacturing and advertising.</w:t>
      </w:r>
    </w:p>
    <w:p w:rsidR="007D76BB" w:rsidRDefault="00D70D28">
      <w:pPr>
        <w:pStyle w:val="BodyText"/>
        <w:spacing w:before="180"/>
        <w:ind w:left="198" w:right="642"/>
      </w:pPr>
      <w:r>
        <w:t>In relation to claims made for the products, while specific health claims are allowed under the Code for foods, therapeutic goods can make claims relating to therapeutic use, which are higher- level claims than permitted for foods. A food can be considered an illegal food or illegal therapeutic good if it makes claims of therapeutic use.</w:t>
      </w:r>
    </w:p>
    <w:p w:rsidR="007D76BB" w:rsidRDefault="00D70D28">
      <w:pPr>
        <w:pStyle w:val="BodyText"/>
        <w:spacing w:before="178"/>
        <w:ind w:left="198" w:right="632"/>
      </w:pPr>
      <w:r>
        <w:t>With respect to manufacturing, there are more stringent requirements for medicines than foods. For example:</w:t>
      </w:r>
    </w:p>
    <w:p w:rsidR="007D76BB" w:rsidRDefault="00D70D28">
      <w:pPr>
        <w:pStyle w:val="ListParagraph"/>
        <w:numPr>
          <w:ilvl w:val="0"/>
          <w:numId w:val="72"/>
        </w:numPr>
        <w:tabs>
          <w:tab w:val="left" w:pos="558"/>
          <w:tab w:val="left" w:pos="559"/>
        </w:tabs>
        <w:ind w:left="558" w:right="1005"/>
      </w:pPr>
      <w:r>
        <w:t>Food products are only tested in the final form, but medicinal products require testing at multiple</w:t>
      </w:r>
      <w:r>
        <w:rPr>
          <w:spacing w:val="-3"/>
        </w:rPr>
        <w:t xml:space="preserve"> </w:t>
      </w:r>
      <w:r>
        <w:t>stages.</w:t>
      </w:r>
    </w:p>
    <w:p w:rsidR="007D76BB" w:rsidRDefault="00D70D28">
      <w:pPr>
        <w:pStyle w:val="ListParagraph"/>
        <w:numPr>
          <w:ilvl w:val="0"/>
          <w:numId w:val="72"/>
        </w:numPr>
        <w:tabs>
          <w:tab w:val="left" w:pos="558"/>
          <w:tab w:val="left" w:pos="559"/>
        </w:tabs>
        <w:ind w:left="558" w:right="667"/>
      </w:pPr>
      <w:r>
        <w:t>Food products have food grade ingredients whereas medicines need to have pharmaceutical grade</w:t>
      </w:r>
      <w:r>
        <w:rPr>
          <w:spacing w:val="-2"/>
        </w:rPr>
        <w:t xml:space="preserve"> </w:t>
      </w:r>
      <w:r>
        <w:t>ingredients.</w:t>
      </w:r>
    </w:p>
    <w:p w:rsidR="007D76BB" w:rsidRDefault="00D70D28">
      <w:pPr>
        <w:pStyle w:val="ListParagraph"/>
        <w:numPr>
          <w:ilvl w:val="0"/>
          <w:numId w:val="72"/>
        </w:numPr>
        <w:tabs>
          <w:tab w:val="left" w:pos="558"/>
          <w:tab w:val="left" w:pos="559"/>
        </w:tabs>
        <w:ind w:left="558" w:right="763"/>
      </w:pPr>
      <w:r>
        <w:t xml:space="preserve">The level of </w:t>
      </w:r>
      <w:proofErr w:type="spellStart"/>
      <w:r>
        <w:t>sanitisation</w:t>
      </w:r>
      <w:proofErr w:type="spellEnd"/>
      <w:r>
        <w:t xml:space="preserve"> is different for food and therapeutic goods, requiring different air supply; filters; operating procedures; staffing skill level; storage; product dispatch; equipment validation and calibration; manufacture process validation; and product</w:t>
      </w:r>
      <w:r>
        <w:rPr>
          <w:spacing w:val="-29"/>
        </w:rPr>
        <w:t xml:space="preserve"> </w:t>
      </w:r>
      <w:r>
        <w:t>testing.</w:t>
      </w:r>
    </w:p>
    <w:p w:rsidR="007D76BB" w:rsidRDefault="00D70D28">
      <w:pPr>
        <w:pStyle w:val="BodyText"/>
        <w:spacing w:before="181"/>
        <w:ind w:left="198"/>
      </w:pPr>
      <w:r>
        <w:t>Foods and medicines have different labelling requirements with respect to:</w:t>
      </w:r>
    </w:p>
    <w:p w:rsidR="007D76BB" w:rsidRDefault="00D70D28">
      <w:pPr>
        <w:pStyle w:val="ListParagraph"/>
        <w:numPr>
          <w:ilvl w:val="0"/>
          <w:numId w:val="72"/>
        </w:numPr>
        <w:tabs>
          <w:tab w:val="left" w:pos="558"/>
          <w:tab w:val="left" w:pos="559"/>
        </w:tabs>
        <w:spacing w:before="179"/>
        <w:ind w:left="558"/>
      </w:pPr>
      <w:r>
        <w:t>label claims and warning</w:t>
      </w:r>
      <w:r>
        <w:rPr>
          <w:spacing w:val="-5"/>
        </w:rPr>
        <w:t xml:space="preserve"> </w:t>
      </w:r>
      <w:r>
        <w:t>statements</w:t>
      </w:r>
    </w:p>
    <w:p w:rsidR="007D76BB" w:rsidRDefault="00D70D28">
      <w:pPr>
        <w:pStyle w:val="ListParagraph"/>
        <w:numPr>
          <w:ilvl w:val="0"/>
          <w:numId w:val="72"/>
        </w:numPr>
        <w:tabs>
          <w:tab w:val="left" w:pos="559"/>
          <w:tab w:val="left" w:pos="560"/>
        </w:tabs>
        <w:spacing w:before="181"/>
        <w:ind w:left="559"/>
      </w:pPr>
      <w:r>
        <w:t>product identification</w:t>
      </w:r>
      <w:r>
        <w:rPr>
          <w:spacing w:val="-4"/>
        </w:rPr>
        <w:t xml:space="preserve"> </w:t>
      </w:r>
      <w:r>
        <w:t>numbers</w:t>
      </w:r>
    </w:p>
    <w:p w:rsidR="007D76BB" w:rsidRDefault="00D70D28">
      <w:pPr>
        <w:pStyle w:val="ListParagraph"/>
        <w:numPr>
          <w:ilvl w:val="0"/>
          <w:numId w:val="72"/>
        </w:numPr>
        <w:tabs>
          <w:tab w:val="left" w:pos="559"/>
          <w:tab w:val="left" w:pos="560"/>
        </w:tabs>
        <w:spacing w:before="179"/>
        <w:ind w:left="559"/>
      </w:pPr>
      <w:r>
        <w:t>nutritional information (food) or active ingredient information</w:t>
      </w:r>
      <w:r>
        <w:rPr>
          <w:spacing w:val="-13"/>
        </w:rPr>
        <w:t xml:space="preserve"> </w:t>
      </w:r>
      <w:r>
        <w:t>(medicines)</w:t>
      </w:r>
    </w:p>
    <w:p w:rsidR="007D76BB" w:rsidRDefault="00D70D28">
      <w:pPr>
        <w:pStyle w:val="BodyText"/>
        <w:spacing w:before="181"/>
        <w:ind w:left="199"/>
      </w:pPr>
      <w:r>
        <w:lastRenderedPageBreak/>
        <w:t>There are also different requirements for post market activity for food and medicines, such as:</w:t>
      </w:r>
    </w:p>
    <w:p w:rsidR="007D76BB" w:rsidRDefault="00D70D28">
      <w:pPr>
        <w:pStyle w:val="ListParagraph"/>
        <w:numPr>
          <w:ilvl w:val="0"/>
          <w:numId w:val="72"/>
        </w:numPr>
        <w:tabs>
          <w:tab w:val="left" w:pos="559"/>
          <w:tab w:val="left" w:pos="560"/>
        </w:tabs>
        <w:spacing w:before="179"/>
        <w:ind w:left="559"/>
      </w:pPr>
      <w:r>
        <w:t>adverse event</w:t>
      </w:r>
      <w:r>
        <w:rPr>
          <w:spacing w:val="-5"/>
        </w:rPr>
        <w:t xml:space="preserve"> </w:t>
      </w:r>
      <w:r>
        <w:t>monitoring</w:t>
      </w:r>
    </w:p>
    <w:p w:rsidR="007D76BB" w:rsidRDefault="00D70D28">
      <w:pPr>
        <w:pStyle w:val="ListParagraph"/>
        <w:numPr>
          <w:ilvl w:val="0"/>
          <w:numId w:val="72"/>
        </w:numPr>
        <w:tabs>
          <w:tab w:val="left" w:pos="559"/>
          <w:tab w:val="left" w:pos="560"/>
        </w:tabs>
        <w:spacing w:before="179"/>
        <w:ind w:left="559"/>
      </w:pPr>
      <w:r>
        <w:t>stability of product testing and</w:t>
      </w:r>
      <w:r>
        <w:rPr>
          <w:spacing w:val="-8"/>
        </w:rPr>
        <w:t xml:space="preserve"> </w:t>
      </w:r>
      <w:r>
        <w:t>monitoring</w:t>
      </w:r>
    </w:p>
    <w:p w:rsidR="007D76BB" w:rsidRDefault="00D70D28">
      <w:pPr>
        <w:pStyle w:val="ListParagraph"/>
        <w:numPr>
          <w:ilvl w:val="0"/>
          <w:numId w:val="72"/>
        </w:numPr>
        <w:tabs>
          <w:tab w:val="left" w:pos="559"/>
          <w:tab w:val="left" w:pos="560"/>
        </w:tabs>
        <w:spacing w:before="181"/>
        <w:ind w:left="559"/>
      </w:pPr>
      <w:r>
        <w:t>pharmacovigilance</w:t>
      </w:r>
    </w:p>
    <w:p w:rsidR="007D76BB" w:rsidRDefault="00D70D28">
      <w:pPr>
        <w:pStyle w:val="BodyText"/>
        <w:spacing w:before="179"/>
        <w:ind w:left="199" w:right="852" w:hanging="1"/>
      </w:pPr>
      <w:r>
        <w:t>Advertising requirements for both food and medicine require advertising to be truthful and to not mislead. However, there are stricter advertising requirements for medicines, with higher risk medicines not being able to be advertised at all.</w:t>
      </w:r>
    </w:p>
    <w:p w:rsidR="007D76BB" w:rsidRDefault="007D76BB">
      <w:pPr>
        <w:sectPr w:rsidR="007D76BB">
          <w:pgSz w:w="11910" w:h="16840"/>
          <w:pgMar w:top="840" w:right="820" w:bottom="1360" w:left="1220" w:header="572" w:footer="1179" w:gutter="0"/>
          <w:cols w:space="720"/>
        </w:sectPr>
      </w:pPr>
    </w:p>
    <w:p w:rsidR="007D76BB" w:rsidRDefault="007D76BB">
      <w:pPr>
        <w:pStyle w:val="BodyText"/>
        <w:spacing w:before="1"/>
        <w:rPr>
          <w:sz w:val="16"/>
        </w:rPr>
      </w:pPr>
    </w:p>
    <w:p w:rsidR="007D76BB" w:rsidRDefault="00D70D28">
      <w:pPr>
        <w:pStyle w:val="BodyText"/>
        <w:spacing w:before="101"/>
        <w:ind w:left="198"/>
      </w:pPr>
      <w:r>
        <w:t>The different requirements for food and medicines are outlined below.</w:t>
      </w:r>
    </w:p>
    <w:p w:rsidR="007D76BB" w:rsidRDefault="007D76BB">
      <w:pPr>
        <w:pStyle w:val="BodyText"/>
        <w:spacing w:before="7"/>
        <w:rPr>
          <w:sz w:val="20"/>
        </w:rPr>
      </w:pPr>
    </w:p>
    <w:p w:rsidR="007D76BB" w:rsidRDefault="00D70D28">
      <w:pPr>
        <w:pStyle w:val="Heading5"/>
      </w:pPr>
      <w:bookmarkStart w:id="19" w:name="Health_claims_for_foods_and_indications_"/>
      <w:bookmarkStart w:id="20" w:name="_bookmark7"/>
      <w:bookmarkEnd w:id="19"/>
      <w:bookmarkEnd w:id="20"/>
      <w:r>
        <w:rPr>
          <w:color w:val="001422"/>
        </w:rPr>
        <w:t>Health claims for foods and indications for medicines</w:t>
      </w:r>
    </w:p>
    <w:p w:rsidR="007D76BB" w:rsidRDefault="00D70D28">
      <w:pPr>
        <w:pStyle w:val="Heading8"/>
        <w:spacing w:before="240"/>
      </w:pPr>
      <w:bookmarkStart w:id="21" w:name="Health_claims_for_foods"/>
      <w:bookmarkEnd w:id="21"/>
      <w:r>
        <w:t>Health claims for foods</w:t>
      </w:r>
    </w:p>
    <w:p w:rsidR="007D76BB" w:rsidRDefault="00D70D28">
      <w:pPr>
        <w:pStyle w:val="BodyText"/>
        <w:spacing w:before="119"/>
        <w:ind w:left="198" w:right="4821"/>
      </w:pPr>
      <w:r>
        <w:rPr>
          <w:noProof/>
          <w:lang w:val="en-AU" w:eastAsia="en-AU"/>
        </w:rPr>
        <mc:AlternateContent>
          <mc:Choice Requires="wpg">
            <w:drawing>
              <wp:anchor distT="0" distB="0" distL="114300" distR="114300" simplePos="0" relativeHeight="251662336" behindDoc="0" locked="0" layoutInCell="1" allowOverlap="1">
                <wp:simplePos x="0" y="0"/>
                <wp:positionH relativeFrom="page">
                  <wp:posOffset>4116070</wp:posOffset>
                </wp:positionH>
                <wp:positionV relativeFrom="paragraph">
                  <wp:posOffset>112395</wp:posOffset>
                </wp:positionV>
                <wp:extent cx="2472055" cy="3663950"/>
                <wp:effectExtent l="0" t="0" r="0" b="0"/>
                <wp:wrapNone/>
                <wp:docPr id="442"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2055" cy="3663950"/>
                          <a:chOff x="6482" y="177"/>
                          <a:chExt cx="3893" cy="5770"/>
                        </a:xfrm>
                      </wpg:grpSpPr>
                      <pic:pic xmlns:pic="http://schemas.openxmlformats.org/drawingml/2006/picture">
                        <pic:nvPicPr>
                          <pic:cNvPr id="443" name="Picture 3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482" y="176"/>
                            <a:ext cx="3893" cy="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 name="Picture 3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530" y="224"/>
                            <a:ext cx="3714" cy="5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5" name="Rectangle 299"/>
                        <wps:cNvSpPr>
                          <a:spLocks noChangeArrowheads="1"/>
                        </wps:cNvSpPr>
                        <wps:spPr bwMode="auto">
                          <a:xfrm>
                            <a:off x="6527" y="221"/>
                            <a:ext cx="3719" cy="5596"/>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854AC" id="Group 298" o:spid="_x0000_s1026" style="position:absolute;margin-left:324.1pt;margin-top:8.85pt;width:194.65pt;height:288.5pt;z-index:251662336;mso-position-horizontal-relative:page" coordorigin="6482,177" coordsize="3893,5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">
                <v:shape id="Picture 301" o:spid="_x0000_s1027" type="#_x0000_t75" style="position:absolute;left:6482;top:176;width:3893;height:5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">
                  <v:imagedata r:id="rId49" o:title=""/>
                </v:shape>
                <v:shape id="Picture 300" o:spid="_x0000_s1028" type="#_x0000_t75" style="position:absolute;left:6530;top:224;width:3714;height: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">
                  <v:imagedata r:id="rId50" o:title=""/>
                </v:shape>
                <v:rect id="Rectangle 299" o:spid="_x0000_s1029" style="position:absolute;left:6527;top:221;width:3719;height:5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" filled="f" strokeweight=".25pt"/>
                <w10:wrap anchorx="page"/>
              </v:group>
            </w:pict>
          </mc:Fallback>
        </mc:AlternateContent>
      </w:r>
      <w:r>
        <w:t>A ‘claim’ is defined in Standard 1.1.2 of the Food Standards Code as an express or implied statement, representation, design or information in relation to a food or property of food which is not mandatory in the Code.</w:t>
      </w:r>
    </w:p>
    <w:p w:rsidR="007D76BB" w:rsidRDefault="00D70D28">
      <w:pPr>
        <w:pStyle w:val="BodyText"/>
        <w:spacing w:before="182"/>
        <w:ind w:left="198" w:right="5008"/>
      </w:pPr>
      <w:r>
        <w:t>Food Standard 1.2.7 regulates the following types of claims for general foods:</w:t>
      </w:r>
    </w:p>
    <w:p w:rsidR="007D76BB" w:rsidRDefault="00D70D28">
      <w:pPr>
        <w:pStyle w:val="ListParagraph"/>
        <w:numPr>
          <w:ilvl w:val="0"/>
          <w:numId w:val="72"/>
        </w:numPr>
        <w:tabs>
          <w:tab w:val="left" w:pos="558"/>
          <w:tab w:val="left" w:pos="559"/>
        </w:tabs>
        <w:ind w:left="558" w:right="4975"/>
      </w:pPr>
      <w:r>
        <w:t>nutrition content claims (claims that refer to a particular nutritional property of food being present or</w:t>
      </w:r>
      <w:r>
        <w:rPr>
          <w:spacing w:val="-3"/>
        </w:rPr>
        <w:t xml:space="preserve"> </w:t>
      </w:r>
      <w:r>
        <w:t>absent)</w:t>
      </w:r>
    </w:p>
    <w:p w:rsidR="007D76BB" w:rsidRDefault="00D70D28">
      <w:pPr>
        <w:pStyle w:val="ListParagraph"/>
        <w:numPr>
          <w:ilvl w:val="0"/>
          <w:numId w:val="72"/>
        </w:numPr>
        <w:tabs>
          <w:tab w:val="left" w:pos="558"/>
          <w:tab w:val="left" w:pos="559"/>
        </w:tabs>
        <w:spacing w:before="179"/>
        <w:ind w:left="558"/>
      </w:pPr>
      <w:r>
        <w:t>health claims, which can be</w:t>
      </w:r>
      <w:r>
        <w:rPr>
          <w:spacing w:val="-8"/>
        </w:rPr>
        <w:t xml:space="preserve"> </w:t>
      </w:r>
      <w:r>
        <w:t>either:</w:t>
      </w:r>
    </w:p>
    <w:p w:rsidR="007D76BB" w:rsidRDefault="00D70D28">
      <w:pPr>
        <w:pStyle w:val="ListParagraph"/>
        <w:numPr>
          <w:ilvl w:val="1"/>
          <w:numId w:val="72"/>
        </w:numPr>
        <w:tabs>
          <w:tab w:val="left" w:pos="1278"/>
          <w:tab w:val="left" w:pos="1279"/>
        </w:tabs>
        <w:spacing w:before="181"/>
        <w:ind w:right="4915"/>
      </w:pPr>
      <w:r>
        <w:t>high level health claims (claims that a food or a property of a food product, has or may have a health effect relating to a serious disease or biomarker of a serious</w:t>
      </w:r>
      <w:r>
        <w:rPr>
          <w:spacing w:val="-1"/>
        </w:rPr>
        <w:t xml:space="preserve"> </w:t>
      </w:r>
      <w:r>
        <w:t>disease)</w:t>
      </w:r>
    </w:p>
    <w:p w:rsidR="007D76BB" w:rsidRDefault="00D70D28">
      <w:pPr>
        <w:pStyle w:val="ListParagraph"/>
        <w:numPr>
          <w:ilvl w:val="1"/>
          <w:numId w:val="72"/>
        </w:numPr>
        <w:tabs>
          <w:tab w:val="left" w:pos="1278"/>
          <w:tab w:val="left" w:pos="1279"/>
        </w:tabs>
        <w:spacing w:before="179"/>
        <w:ind w:right="4932"/>
      </w:pPr>
      <w:r>
        <w:lastRenderedPageBreak/>
        <w:t>general level health claims (claims that a food or a property of a food product, has or may have a health effect but are not a high level health</w:t>
      </w:r>
      <w:r>
        <w:rPr>
          <w:spacing w:val="-5"/>
        </w:rPr>
        <w:t xml:space="preserve"> </w:t>
      </w:r>
      <w:r>
        <w:t>claim)</w:t>
      </w:r>
    </w:p>
    <w:p w:rsidR="007D76BB" w:rsidRDefault="00D70D28">
      <w:pPr>
        <w:pStyle w:val="BodyText"/>
        <w:spacing w:before="180"/>
        <w:ind w:left="198" w:right="596"/>
      </w:pPr>
      <w:r>
        <w:t>Health claims are only permitted on foods that meet the Nutrient Profiling Scoring Criterion (NPSC). A food-health relationship is the relationship between a food or a property of the food and a health effect. All health claims are required to be supported by scientific evidence to the same degree of certainty, whether they are pre-approved by FSANZ or self-substantiated by food businesses</w:t>
      </w:r>
      <w:hyperlink w:anchor="_bookmark8" w:history="1">
        <w:r>
          <w:rPr>
            <w:position w:val="5"/>
            <w:sz w:val="14"/>
          </w:rPr>
          <w:t>1</w:t>
        </w:r>
      </w:hyperlink>
      <w:r>
        <w:t>.</w:t>
      </w:r>
    </w:p>
    <w:p w:rsidR="007D76BB" w:rsidRDefault="00D70D28">
      <w:pPr>
        <w:pStyle w:val="BodyText"/>
        <w:spacing w:before="180"/>
        <w:ind w:left="198"/>
      </w:pPr>
      <w:r>
        <w:t>Table 2 provides example of general and high-level health claims for general foods.</w:t>
      </w:r>
    </w:p>
    <w:p w:rsidR="007D76BB" w:rsidRDefault="007D76BB">
      <w:pPr>
        <w:pStyle w:val="BodyText"/>
        <w:rPr>
          <w:sz w:val="20"/>
        </w:rPr>
      </w:pPr>
    </w:p>
    <w:p w:rsidR="007D76BB" w:rsidRDefault="007D76BB">
      <w:pPr>
        <w:pStyle w:val="BodyText"/>
        <w:rPr>
          <w:sz w:val="20"/>
        </w:rPr>
      </w:pPr>
    </w:p>
    <w:p w:rsidR="007D76BB" w:rsidRDefault="007D76BB">
      <w:pPr>
        <w:pStyle w:val="BodyText"/>
        <w:rPr>
          <w:sz w:val="20"/>
        </w:rPr>
      </w:pPr>
    </w:p>
    <w:p w:rsidR="007D76BB" w:rsidRDefault="007D76BB">
      <w:pPr>
        <w:pStyle w:val="BodyText"/>
        <w:rPr>
          <w:sz w:val="20"/>
        </w:rPr>
      </w:pPr>
    </w:p>
    <w:p w:rsidR="007D76BB" w:rsidRDefault="007D76BB">
      <w:pPr>
        <w:pStyle w:val="BodyText"/>
        <w:rPr>
          <w:sz w:val="20"/>
        </w:rPr>
      </w:pPr>
    </w:p>
    <w:p w:rsidR="007D76BB" w:rsidRDefault="007D76BB">
      <w:pPr>
        <w:pStyle w:val="BodyText"/>
        <w:rPr>
          <w:sz w:val="20"/>
        </w:rPr>
      </w:pPr>
    </w:p>
    <w:p w:rsidR="007D76BB" w:rsidRDefault="007D76BB">
      <w:pPr>
        <w:pStyle w:val="BodyText"/>
        <w:rPr>
          <w:sz w:val="20"/>
        </w:rPr>
      </w:pPr>
    </w:p>
    <w:p w:rsidR="007D76BB" w:rsidRDefault="007D76BB">
      <w:pPr>
        <w:pStyle w:val="BodyText"/>
        <w:rPr>
          <w:sz w:val="20"/>
        </w:rPr>
      </w:pPr>
    </w:p>
    <w:p w:rsidR="007D76BB" w:rsidRDefault="007D76BB">
      <w:pPr>
        <w:pStyle w:val="BodyText"/>
        <w:rPr>
          <w:sz w:val="20"/>
        </w:rPr>
      </w:pPr>
    </w:p>
    <w:p w:rsidR="007D76BB" w:rsidRDefault="007D76BB">
      <w:pPr>
        <w:pStyle w:val="BodyText"/>
        <w:rPr>
          <w:sz w:val="20"/>
        </w:rPr>
      </w:pPr>
    </w:p>
    <w:p w:rsidR="007D76BB" w:rsidRDefault="007D76BB">
      <w:pPr>
        <w:pStyle w:val="BodyText"/>
        <w:rPr>
          <w:sz w:val="20"/>
        </w:rPr>
      </w:pPr>
    </w:p>
    <w:p w:rsidR="007D76BB" w:rsidRDefault="007D76BB">
      <w:pPr>
        <w:pStyle w:val="BodyText"/>
        <w:rPr>
          <w:sz w:val="20"/>
        </w:rPr>
      </w:pPr>
    </w:p>
    <w:p w:rsidR="007D76BB" w:rsidRDefault="007D76BB">
      <w:pPr>
        <w:pStyle w:val="BodyText"/>
        <w:rPr>
          <w:sz w:val="20"/>
        </w:rPr>
      </w:pPr>
    </w:p>
    <w:p w:rsidR="007D76BB" w:rsidRDefault="007D76BB">
      <w:pPr>
        <w:pStyle w:val="BodyText"/>
        <w:rPr>
          <w:sz w:val="20"/>
        </w:rPr>
      </w:pPr>
    </w:p>
    <w:p w:rsidR="007D76BB" w:rsidRDefault="007D76BB">
      <w:pPr>
        <w:pStyle w:val="BodyText"/>
        <w:rPr>
          <w:sz w:val="20"/>
        </w:rPr>
      </w:pPr>
    </w:p>
    <w:p w:rsidR="007D76BB" w:rsidRDefault="007D76BB">
      <w:pPr>
        <w:pStyle w:val="BodyText"/>
        <w:rPr>
          <w:sz w:val="20"/>
        </w:rPr>
      </w:pPr>
    </w:p>
    <w:p w:rsidR="007D76BB" w:rsidRDefault="007D76BB">
      <w:pPr>
        <w:pStyle w:val="BodyText"/>
        <w:rPr>
          <w:sz w:val="20"/>
        </w:rPr>
      </w:pPr>
    </w:p>
    <w:p w:rsidR="007D76BB" w:rsidRDefault="00D70D28">
      <w:pPr>
        <w:pStyle w:val="BodyText"/>
        <w:spacing w:before="2"/>
        <w:rPr>
          <w:sz w:val="21"/>
        </w:rPr>
      </w:pPr>
      <w:r>
        <w:rPr>
          <w:noProof/>
          <w:lang w:val="en-AU" w:eastAsia="en-AU"/>
        </w:rPr>
        <mc:AlternateContent>
          <mc:Choice Requires="wps">
            <w:drawing>
              <wp:anchor distT="0" distB="0" distL="0" distR="0" simplePos="0" relativeHeight="251661312" behindDoc="1" locked="0" layoutInCell="1" allowOverlap="1">
                <wp:simplePos x="0" y="0"/>
                <wp:positionH relativeFrom="page">
                  <wp:posOffset>900430</wp:posOffset>
                </wp:positionH>
                <wp:positionV relativeFrom="paragraph">
                  <wp:posOffset>186690</wp:posOffset>
                </wp:positionV>
                <wp:extent cx="1828800" cy="1270"/>
                <wp:effectExtent l="0" t="0" r="0" b="0"/>
                <wp:wrapTopAndBottom/>
                <wp:docPr id="441"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9B903" id="Freeform 297" o:spid="_x0000_s1026" style="position:absolute;margin-left:70.9pt;margin-top:14.7pt;width:2in;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" path="m,l2880,e" filled="f" strokeweight=".6pt">
                <v:path arrowok="t" o:connecttype="custom" o:connectlocs="0,0;1828800,0" o:connectangles="0,0"/>
                <w10:wrap type="topAndBottom" anchorx="page"/>
              </v:shape>
            </w:pict>
          </mc:Fallback>
        </mc:AlternateContent>
      </w:r>
    </w:p>
    <w:p w:rsidR="007D76BB" w:rsidRDefault="00D70D28">
      <w:pPr>
        <w:spacing w:before="88" w:line="276" w:lineRule="auto"/>
        <w:ind w:left="198" w:right="1078"/>
        <w:rPr>
          <w:sz w:val="18"/>
        </w:rPr>
      </w:pPr>
      <w:bookmarkStart w:id="22" w:name="_bookmark8"/>
      <w:bookmarkEnd w:id="22"/>
      <w:r>
        <w:rPr>
          <w:position w:val="5"/>
          <w:sz w:val="13"/>
        </w:rPr>
        <w:t xml:space="preserve">1 </w:t>
      </w:r>
      <w:hyperlink r:id="rId51">
        <w:r>
          <w:rPr>
            <w:color w:val="0000FF"/>
            <w:sz w:val="18"/>
            <w:u w:val="single" w:color="0000FF"/>
          </w:rPr>
          <w:t>Getting Your Claims Right - A guide to complying with the Nutrition, Health and Related Claims Standard of the</w:t>
        </w:r>
      </w:hyperlink>
      <w:r>
        <w:rPr>
          <w:color w:val="0000FF"/>
          <w:sz w:val="18"/>
        </w:rPr>
        <w:t xml:space="preserve"> </w:t>
      </w:r>
      <w:hyperlink r:id="rId52">
        <w:r>
          <w:rPr>
            <w:color w:val="0000FF"/>
            <w:sz w:val="18"/>
            <w:u w:val="double" w:color="0000FF"/>
          </w:rPr>
          <w:t>Australia N</w:t>
        </w:r>
        <w:r>
          <w:rPr>
            <w:color w:val="0000FF"/>
            <w:sz w:val="18"/>
            <w:u w:val="single" w:color="000000"/>
          </w:rPr>
          <w:t>e</w:t>
        </w:r>
        <w:r>
          <w:rPr>
            <w:color w:val="0000FF"/>
            <w:sz w:val="18"/>
          </w:rPr>
          <w:t>w Zealand Food Standar</w:t>
        </w:r>
        <w:r>
          <w:rPr>
            <w:color w:val="0000FF"/>
            <w:sz w:val="18"/>
            <w:u w:val="single" w:color="000000"/>
          </w:rPr>
          <w:t>d</w:t>
        </w:r>
        <w:r>
          <w:rPr>
            <w:color w:val="0000FF"/>
            <w:sz w:val="18"/>
          </w:rPr>
          <w:t>s Code</w:t>
        </w:r>
      </w:hyperlink>
    </w:p>
    <w:p w:rsidR="007D76BB" w:rsidRDefault="007D76BB">
      <w:pPr>
        <w:spacing w:line="276" w:lineRule="auto"/>
        <w:rPr>
          <w:sz w:val="18"/>
        </w:rPr>
        <w:sectPr w:rsidR="007D76BB">
          <w:headerReference w:type="default" r:id="rId53"/>
          <w:footerReference w:type="default" r:id="rId54"/>
          <w:pgSz w:w="11910" w:h="16840"/>
          <w:pgMar w:top="840" w:right="820" w:bottom="1360" w:left="1220" w:header="572" w:footer="1167" w:gutter="0"/>
          <w:pgNumType w:start="14"/>
          <w:cols w:space="720"/>
        </w:sectPr>
      </w:pPr>
    </w:p>
    <w:p w:rsidR="007D76BB" w:rsidRDefault="007D76BB">
      <w:pPr>
        <w:pStyle w:val="BodyText"/>
        <w:spacing w:before="1"/>
        <w:rPr>
          <w:sz w:val="16"/>
        </w:rPr>
      </w:pPr>
    </w:p>
    <w:p w:rsidR="007D76BB" w:rsidRDefault="00D70D28">
      <w:pPr>
        <w:spacing w:before="101"/>
        <w:ind w:left="198"/>
        <w:rPr>
          <w:b/>
        </w:rPr>
      </w:pPr>
      <w:r>
        <w:rPr>
          <w:b/>
        </w:rPr>
        <w:t>Table 2: Food Standard 1.2.7 Food Health claims</w:t>
      </w:r>
    </w:p>
    <w:p w:rsidR="007D76BB" w:rsidRDefault="007D76BB">
      <w:pPr>
        <w:pStyle w:val="BodyText"/>
        <w:spacing w:before="6"/>
        <w:rPr>
          <w:b/>
          <w:sz w:val="15"/>
        </w:rPr>
      </w:pPr>
    </w:p>
    <w:tbl>
      <w:tblPr>
        <w:tblW w:w="0" w:type="auto"/>
        <w:tblInd w:w="208" w:type="dxa"/>
        <w:tblBorders>
          <w:top w:val="single" w:sz="8" w:space="0" w:color="002C46"/>
          <w:left w:val="single" w:sz="8" w:space="0" w:color="002C46"/>
          <w:bottom w:val="single" w:sz="8" w:space="0" w:color="002C46"/>
          <w:right w:val="single" w:sz="8" w:space="0" w:color="002C46"/>
          <w:insideH w:val="single" w:sz="8" w:space="0" w:color="002C46"/>
          <w:insideV w:val="single" w:sz="8" w:space="0" w:color="002C46"/>
        </w:tblBorders>
        <w:tblLayout w:type="fixed"/>
        <w:tblCellMar>
          <w:left w:w="0" w:type="dxa"/>
          <w:right w:w="0" w:type="dxa"/>
        </w:tblCellMar>
        <w:tblLook w:val="01E0" w:firstRow="1" w:lastRow="1" w:firstColumn="1" w:lastColumn="1" w:noHBand="0" w:noVBand="0"/>
      </w:tblPr>
      <w:tblGrid>
        <w:gridCol w:w="5671"/>
        <w:gridCol w:w="3389"/>
      </w:tblGrid>
      <w:tr w:rsidR="007D76BB">
        <w:trPr>
          <w:trHeight w:val="920"/>
        </w:trPr>
        <w:tc>
          <w:tcPr>
            <w:tcW w:w="9060" w:type="dxa"/>
            <w:gridSpan w:val="2"/>
            <w:shd w:val="clear" w:color="auto" w:fill="006CA7"/>
          </w:tcPr>
          <w:p w:rsidR="007D76BB" w:rsidRDefault="00D70D28">
            <w:pPr>
              <w:pStyle w:val="TableParagraph"/>
              <w:spacing w:before="120"/>
              <w:ind w:left="107" w:right="332"/>
              <w:rPr>
                <w:rFonts w:ascii="Arial Black"/>
              </w:rPr>
            </w:pPr>
            <w:r>
              <w:rPr>
                <w:rFonts w:ascii="Arial Black"/>
                <w:color w:val="FFFFFF"/>
              </w:rPr>
              <w:t>Food Standard 1.2.7 permits the following health claims where specific nutrient or substance requirements are met in a food</w:t>
            </w:r>
          </w:p>
        </w:tc>
      </w:tr>
      <w:tr w:rsidR="007D76BB">
        <w:trPr>
          <w:trHeight w:val="3059"/>
        </w:trPr>
        <w:tc>
          <w:tcPr>
            <w:tcW w:w="5671" w:type="dxa"/>
          </w:tcPr>
          <w:p w:rsidR="007D76BB" w:rsidRDefault="00D70D28">
            <w:pPr>
              <w:pStyle w:val="TableParagraph"/>
              <w:spacing w:before="119"/>
              <w:ind w:left="107" w:right="447"/>
            </w:pPr>
            <w:r>
              <w:rPr>
                <w:b/>
              </w:rPr>
              <w:t xml:space="preserve">General level health claims </w:t>
            </w:r>
            <w:r>
              <w:t>refer to a nutrient or substance in a food, or the food itself, and its effect on health. They must not refer to a serious disease or to a biomarker of a serious disease.</w:t>
            </w:r>
          </w:p>
          <w:p w:rsidR="007D76BB" w:rsidRDefault="00D70D28">
            <w:pPr>
              <w:pStyle w:val="TableParagraph"/>
              <w:spacing w:before="180" w:line="257" w:lineRule="exact"/>
              <w:ind w:left="107"/>
              <w:rPr>
                <w:b/>
              </w:rPr>
            </w:pPr>
            <w:r>
              <w:t xml:space="preserve">Food businesses making </w:t>
            </w:r>
            <w:r>
              <w:rPr>
                <w:b/>
              </w:rPr>
              <w:t>general level health</w:t>
            </w:r>
          </w:p>
          <w:p w:rsidR="007D76BB" w:rsidRDefault="00D70D28">
            <w:pPr>
              <w:pStyle w:val="TableParagraph"/>
              <w:ind w:left="107" w:right="89"/>
            </w:pPr>
            <w:proofErr w:type="gramStart"/>
            <w:r>
              <w:rPr>
                <w:b/>
              </w:rPr>
              <w:t>claims</w:t>
            </w:r>
            <w:proofErr w:type="gramEnd"/>
            <w:r>
              <w:rPr>
                <w:b/>
              </w:rPr>
              <w:t xml:space="preserve"> </w:t>
            </w:r>
            <w:r>
              <w:t>are able to base their claims on one of the more than 200 pre-approved food-health relationships in the Standard or self-substantiate a food-health relationship in accordance with detailed requirements set out in the Standard, including notifying FSANZ.</w:t>
            </w:r>
          </w:p>
        </w:tc>
        <w:tc>
          <w:tcPr>
            <w:tcW w:w="3389" w:type="dxa"/>
          </w:tcPr>
          <w:p w:rsidR="007D76BB" w:rsidRDefault="00D70D28">
            <w:pPr>
              <w:pStyle w:val="TableParagraph"/>
              <w:spacing w:before="119"/>
              <w:ind w:left="105"/>
            </w:pPr>
            <w:r>
              <w:t>For example:</w:t>
            </w:r>
          </w:p>
          <w:p w:rsidR="007D76BB" w:rsidRDefault="00D70D28">
            <w:pPr>
              <w:pStyle w:val="TableParagraph"/>
              <w:spacing w:before="181"/>
              <w:ind w:left="105" w:right="357"/>
            </w:pPr>
            <w:r>
              <w:t>‘Calcium for healthy bones and teeth.’</w:t>
            </w:r>
          </w:p>
        </w:tc>
      </w:tr>
      <w:tr w:rsidR="007D76BB">
        <w:trPr>
          <w:trHeight w:val="2286"/>
        </w:trPr>
        <w:tc>
          <w:tcPr>
            <w:tcW w:w="5671" w:type="dxa"/>
          </w:tcPr>
          <w:p w:rsidR="007D76BB" w:rsidRDefault="00D70D28">
            <w:pPr>
              <w:pStyle w:val="TableParagraph"/>
              <w:spacing w:before="119"/>
              <w:ind w:left="107" w:right="143"/>
            </w:pPr>
            <w:r>
              <w:rPr>
                <w:b/>
              </w:rPr>
              <w:t xml:space="preserve">High level health claims </w:t>
            </w:r>
            <w:r>
              <w:t>refer to a nutrient or substance in a food and its relationship to a serious disease or to a biomarker of a serious disease</w:t>
            </w:r>
          </w:p>
          <w:p w:rsidR="007D76BB" w:rsidRDefault="00D70D28">
            <w:pPr>
              <w:pStyle w:val="TableParagraph"/>
              <w:spacing w:before="181"/>
              <w:ind w:left="107" w:right="116"/>
            </w:pPr>
            <w:r>
              <w:rPr>
                <w:b/>
              </w:rPr>
              <w:t xml:space="preserve">High-level health claims </w:t>
            </w:r>
            <w:r>
              <w:t>must be based on a food-health relationship pre-approved by FSANZ. There are currently 13 pre-approved food-health relationships for high-level health claims listed in the Standard.</w:t>
            </w:r>
          </w:p>
        </w:tc>
        <w:tc>
          <w:tcPr>
            <w:tcW w:w="3389" w:type="dxa"/>
          </w:tcPr>
          <w:p w:rsidR="007D76BB" w:rsidRDefault="00D70D28">
            <w:pPr>
              <w:pStyle w:val="TableParagraph"/>
              <w:spacing w:before="119"/>
              <w:ind w:left="105"/>
              <w:jc w:val="both"/>
            </w:pPr>
            <w:r>
              <w:t>For example:</w:t>
            </w:r>
          </w:p>
          <w:p w:rsidR="007D76BB" w:rsidRDefault="00D70D28">
            <w:pPr>
              <w:pStyle w:val="TableParagraph"/>
              <w:spacing w:before="181"/>
              <w:ind w:left="105" w:right="114"/>
              <w:jc w:val="both"/>
            </w:pPr>
            <w:r>
              <w:t>‘Diets high in calcium may reduce the risk of osteoporosis in people 65 years and over.’</w:t>
            </w:r>
          </w:p>
          <w:p w:rsidR="007D76BB" w:rsidRDefault="00D70D28">
            <w:pPr>
              <w:pStyle w:val="TableParagraph"/>
              <w:spacing w:before="179"/>
              <w:ind w:left="105" w:right="280"/>
            </w:pPr>
            <w:r>
              <w:t>‘</w:t>
            </w:r>
            <w:proofErr w:type="spellStart"/>
            <w:r>
              <w:t>Phytosterols</w:t>
            </w:r>
            <w:proofErr w:type="spellEnd"/>
            <w:r>
              <w:t xml:space="preserve"> may reduce blood cholesterol.’</w:t>
            </w:r>
          </w:p>
        </w:tc>
      </w:tr>
    </w:tbl>
    <w:p w:rsidR="007D76BB" w:rsidRDefault="007D76BB">
      <w:pPr>
        <w:pStyle w:val="BodyText"/>
        <w:rPr>
          <w:b/>
          <w:sz w:val="26"/>
        </w:rPr>
      </w:pPr>
    </w:p>
    <w:p w:rsidR="007D76BB" w:rsidRDefault="007D76BB">
      <w:pPr>
        <w:pStyle w:val="BodyText"/>
        <w:spacing w:before="5"/>
        <w:rPr>
          <w:b/>
          <w:sz w:val="21"/>
        </w:rPr>
      </w:pPr>
    </w:p>
    <w:p w:rsidR="007D76BB" w:rsidRDefault="00D70D28">
      <w:pPr>
        <w:pStyle w:val="BodyText"/>
        <w:ind w:left="198" w:right="5571"/>
      </w:pPr>
      <w:r>
        <w:rPr>
          <w:noProof/>
          <w:lang w:val="en-AU" w:eastAsia="en-AU"/>
        </w:rPr>
        <mc:AlternateContent>
          <mc:Choice Requires="wpg">
            <w:drawing>
              <wp:anchor distT="0" distB="0" distL="114300" distR="114300" simplePos="0" relativeHeight="251663360" behindDoc="0" locked="0" layoutInCell="1" allowOverlap="1">
                <wp:simplePos x="0" y="0"/>
                <wp:positionH relativeFrom="page">
                  <wp:posOffset>3704590</wp:posOffset>
                </wp:positionH>
                <wp:positionV relativeFrom="paragraph">
                  <wp:posOffset>-150495</wp:posOffset>
                </wp:positionV>
                <wp:extent cx="3043555" cy="3755390"/>
                <wp:effectExtent l="0" t="0" r="0" b="0"/>
                <wp:wrapNone/>
                <wp:docPr id="437"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3555" cy="3755390"/>
                          <a:chOff x="5834" y="-237"/>
                          <a:chExt cx="4793" cy="5914"/>
                        </a:xfrm>
                      </wpg:grpSpPr>
                      <pic:pic xmlns:pic="http://schemas.openxmlformats.org/drawingml/2006/picture">
                        <pic:nvPicPr>
                          <pic:cNvPr id="438" name="Picture 29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834" y="-238"/>
                            <a:ext cx="4793" cy="5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9" name="Picture 29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896" y="-176"/>
                            <a:ext cx="4584" cy="5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0" name="Rectangle 294"/>
                        <wps:cNvSpPr>
                          <a:spLocks noChangeArrowheads="1"/>
                        </wps:cNvSpPr>
                        <wps:spPr bwMode="auto">
                          <a:xfrm>
                            <a:off x="5886" y="-186"/>
                            <a:ext cx="4604" cy="572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A0CEFD" id="Group 293" o:spid="_x0000_s1026" style="position:absolute;margin-left:291.7pt;margin-top:-11.85pt;width:239.65pt;height:295.7pt;z-index:251663360;mso-position-horizontal-relative:page" coordorigin="5834,-237" coordsize="4793,5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">
                <v:shape id="Picture 296" o:spid="_x0000_s1027" type="#_x0000_t75" style="position:absolute;left:5834;top:-238;width:4793;height:5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">
                  <v:imagedata r:id="rId57" o:title=""/>
                </v:shape>
                <v:shape id="Picture 295" o:spid="_x0000_s1028" type="#_x0000_t75" style="position:absolute;left:5896;top:-176;width:4584;height:5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">
                  <v:imagedata r:id="rId58" o:title=""/>
                </v:shape>
                <v:rect id="Rectangle 294" o:spid="_x0000_s1029" style="position:absolute;left:5886;top:-186;width:4604;height:5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" filled="f" strokeweight="1pt"/>
                <w10:wrap anchorx="page"/>
              </v:group>
            </w:pict>
          </mc:Fallback>
        </mc:AlternateContent>
      </w:r>
      <w:r>
        <w:t>Alternatively, Part 2.9 of the Code provides standards for ‘special purpose foods’ [including Food Standard 2.9.4 Formulated Supplementary Sports Foods (FSSF)] which allows products complying with the requirements of these standards to make specific health claims.</w:t>
      </w:r>
    </w:p>
    <w:p w:rsidR="007D76BB" w:rsidRDefault="00D70D28">
      <w:pPr>
        <w:pStyle w:val="BodyText"/>
        <w:spacing w:before="180"/>
        <w:ind w:left="198" w:right="5623" w:hanging="1"/>
      </w:pPr>
      <w:r>
        <w:t>Table 3 provides examples of health claims allowed for FSSFs compliant with the requirements of Food Standard 2.9.4.</w:t>
      </w:r>
    </w:p>
    <w:p w:rsidR="007D76BB" w:rsidRDefault="007D76BB">
      <w:pPr>
        <w:sectPr w:rsidR="007D76BB">
          <w:headerReference w:type="default" r:id="rId59"/>
          <w:footerReference w:type="default" r:id="rId60"/>
          <w:pgSz w:w="11910" w:h="16840"/>
          <w:pgMar w:top="840" w:right="820" w:bottom="1360" w:left="1220" w:header="572" w:footer="1178" w:gutter="0"/>
          <w:pgNumType w:start="15"/>
          <w:cols w:space="720"/>
        </w:sectPr>
      </w:pPr>
    </w:p>
    <w:p w:rsidR="007D76BB" w:rsidRDefault="007D76BB">
      <w:pPr>
        <w:pStyle w:val="BodyText"/>
        <w:spacing w:before="1"/>
        <w:rPr>
          <w:sz w:val="16"/>
        </w:rPr>
      </w:pPr>
    </w:p>
    <w:p w:rsidR="007D76BB" w:rsidRDefault="00D70D28">
      <w:pPr>
        <w:pStyle w:val="Heading7"/>
        <w:spacing w:before="101"/>
      </w:pPr>
      <w:r>
        <w:t>Table 3: FSSF health claims</w:t>
      </w:r>
    </w:p>
    <w:p w:rsidR="007D76BB" w:rsidRDefault="007D76BB">
      <w:pPr>
        <w:pStyle w:val="BodyText"/>
        <w:spacing w:before="6"/>
        <w:rPr>
          <w:b/>
          <w:sz w:val="15"/>
        </w:rPr>
      </w:pPr>
    </w:p>
    <w:tbl>
      <w:tblPr>
        <w:tblW w:w="0" w:type="auto"/>
        <w:tblInd w:w="208" w:type="dxa"/>
        <w:tblBorders>
          <w:top w:val="single" w:sz="8" w:space="0" w:color="002C46"/>
          <w:left w:val="single" w:sz="8" w:space="0" w:color="002C46"/>
          <w:bottom w:val="single" w:sz="8" w:space="0" w:color="002C46"/>
          <w:right w:val="single" w:sz="8" w:space="0" w:color="002C46"/>
          <w:insideH w:val="single" w:sz="8" w:space="0" w:color="002C46"/>
          <w:insideV w:val="single" w:sz="8" w:space="0" w:color="002C46"/>
        </w:tblBorders>
        <w:tblLayout w:type="fixed"/>
        <w:tblCellMar>
          <w:left w:w="0" w:type="dxa"/>
          <w:right w:w="0" w:type="dxa"/>
        </w:tblCellMar>
        <w:tblLook w:val="01E0" w:firstRow="1" w:lastRow="1" w:firstColumn="1" w:lastColumn="1" w:noHBand="0" w:noVBand="0"/>
      </w:tblPr>
      <w:tblGrid>
        <w:gridCol w:w="2551"/>
        <w:gridCol w:w="6379"/>
      </w:tblGrid>
      <w:tr w:rsidR="007D76BB">
        <w:trPr>
          <w:trHeight w:val="1230"/>
        </w:trPr>
        <w:tc>
          <w:tcPr>
            <w:tcW w:w="8930" w:type="dxa"/>
            <w:gridSpan w:val="2"/>
            <w:shd w:val="clear" w:color="auto" w:fill="006CA7"/>
          </w:tcPr>
          <w:p w:rsidR="007D76BB" w:rsidRDefault="00D70D28">
            <w:pPr>
              <w:pStyle w:val="TableParagraph"/>
              <w:spacing w:before="120"/>
              <w:ind w:left="107" w:right="226"/>
              <w:rPr>
                <w:rFonts w:ascii="Arial Black" w:hAnsi="Arial Black"/>
              </w:rPr>
            </w:pPr>
            <w:r>
              <w:rPr>
                <w:rFonts w:ascii="Arial Black" w:hAnsi="Arial Black"/>
                <w:color w:val="FFFFFF"/>
              </w:rPr>
              <w:t>Food Standard 2.9.4 – Formulated Supplementary Sports Foods permits the following health claims where specific nutrient or substance requirements are met in a food</w:t>
            </w:r>
          </w:p>
        </w:tc>
      </w:tr>
      <w:tr w:rsidR="007D76BB">
        <w:trPr>
          <w:trHeight w:val="1254"/>
        </w:trPr>
        <w:tc>
          <w:tcPr>
            <w:tcW w:w="2551" w:type="dxa"/>
            <w:shd w:val="clear" w:color="auto" w:fill="F1F1F1"/>
          </w:tcPr>
          <w:p w:rsidR="007D76BB" w:rsidRDefault="00D70D28">
            <w:pPr>
              <w:pStyle w:val="TableParagraph"/>
              <w:spacing w:before="119"/>
              <w:ind w:left="107"/>
              <w:rPr>
                <w:b/>
              </w:rPr>
            </w:pPr>
            <w:r>
              <w:rPr>
                <w:b/>
              </w:rPr>
              <w:t>Energy supplement</w:t>
            </w:r>
          </w:p>
        </w:tc>
        <w:tc>
          <w:tcPr>
            <w:tcW w:w="6379" w:type="dxa"/>
          </w:tcPr>
          <w:p w:rsidR="007D76BB" w:rsidRDefault="00D70D28">
            <w:pPr>
              <w:pStyle w:val="TableParagraph"/>
              <w:numPr>
                <w:ilvl w:val="0"/>
                <w:numId w:val="68"/>
              </w:numPr>
              <w:tabs>
                <w:tab w:val="left" w:pos="467"/>
                <w:tab w:val="left" w:pos="468"/>
              </w:tabs>
              <w:spacing w:before="119"/>
              <w:ind w:right="285"/>
            </w:pPr>
            <w:r>
              <w:t>‘May assist in supplementing the diet with an energy source as may be required during</w:t>
            </w:r>
            <w:r>
              <w:rPr>
                <w:spacing w:val="-7"/>
              </w:rPr>
              <w:t xml:space="preserve"> </w:t>
            </w:r>
            <w:r>
              <w:t>training.’</w:t>
            </w:r>
          </w:p>
          <w:p w:rsidR="007D76BB" w:rsidRDefault="00D70D28">
            <w:pPr>
              <w:pStyle w:val="TableParagraph"/>
              <w:numPr>
                <w:ilvl w:val="0"/>
                <w:numId w:val="68"/>
              </w:numPr>
              <w:tabs>
                <w:tab w:val="left" w:pos="467"/>
                <w:tab w:val="left" w:pos="468"/>
              </w:tabs>
              <w:spacing w:before="180"/>
            </w:pPr>
            <w:r>
              <w:t>‘Useful before, during or after sustained strenuous</w:t>
            </w:r>
            <w:r>
              <w:rPr>
                <w:spacing w:val="-14"/>
              </w:rPr>
              <w:t xml:space="preserve"> </w:t>
            </w:r>
            <w:r>
              <w:t>exercise.’</w:t>
            </w:r>
          </w:p>
        </w:tc>
      </w:tr>
      <w:tr w:rsidR="007D76BB">
        <w:trPr>
          <w:trHeight w:val="2387"/>
        </w:trPr>
        <w:tc>
          <w:tcPr>
            <w:tcW w:w="2551" w:type="dxa"/>
            <w:shd w:val="clear" w:color="auto" w:fill="F1F1F1"/>
          </w:tcPr>
          <w:p w:rsidR="007D76BB" w:rsidRDefault="00D70D28">
            <w:pPr>
              <w:pStyle w:val="TableParagraph"/>
              <w:spacing w:before="119"/>
              <w:ind w:left="107" w:right="895"/>
              <w:rPr>
                <w:b/>
              </w:rPr>
            </w:pPr>
            <w:r>
              <w:rPr>
                <w:b/>
              </w:rPr>
              <w:t>Protein energy supplement</w:t>
            </w:r>
          </w:p>
        </w:tc>
        <w:tc>
          <w:tcPr>
            <w:tcW w:w="6379" w:type="dxa"/>
          </w:tcPr>
          <w:p w:rsidR="007D76BB" w:rsidRDefault="00D70D28">
            <w:pPr>
              <w:pStyle w:val="TableParagraph"/>
              <w:numPr>
                <w:ilvl w:val="0"/>
                <w:numId w:val="67"/>
              </w:numPr>
              <w:tabs>
                <w:tab w:val="left" w:pos="467"/>
                <w:tab w:val="left" w:pos="468"/>
              </w:tabs>
              <w:spacing w:before="119"/>
              <w:ind w:right="367"/>
            </w:pPr>
            <w:r>
              <w:t>‘May assist in providing a low-bulk diet as may be required during</w:t>
            </w:r>
            <w:r>
              <w:rPr>
                <w:spacing w:val="-3"/>
              </w:rPr>
              <w:t xml:space="preserve"> </w:t>
            </w:r>
            <w:r>
              <w:t>training.’</w:t>
            </w:r>
          </w:p>
          <w:p w:rsidR="007D76BB" w:rsidRDefault="00D70D28">
            <w:pPr>
              <w:pStyle w:val="TableParagraph"/>
              <w:numPr>
                <w:ilvl w:val="0"/>
                <w:numId w:val="67"/>
              </w:numPr>
              <w:tabs>
                <w:tab w:val="left" w:pos="468"/>
                <w:tab w:val="left" w:pos="469"/>
              </w:tabs>
              <w:spacing w:before="180"/>
              <w:ind w:left="468" w:right="624"/>
            </w:pPr>
            <w:r>
              <w:t>‘May assist in supplementing the diet with a high energy source as may be required during</w:t>
            </w:r>
            <w:r>
              <w:rPr>
                <w:spacing w:val="-9"/>
              </w:rPr>
              <w:t xml:space="preserve"> </w:t>
            </w:r>
            <w:r>
              <w:t>training.’</w:t>
            </w:r>
          </w:p>
          <w:p w:rsidR="007D76BB" w:rsidRDefault="00D70D28">
            <w:pPr>
              <w:pStyle w:val="TableParagraph"/>
              <w:numPr>
                <w:ilvl w:val="0"/>
                <w:numId w:val="67"/>
              </w:numPr>
              <w:tabs>
                <w:tab w:val="left" w:pos="468"/>
                <w:tab w:val="left" w:pos="469"/>
              </w:tabs>
              <w:spacing w:before="180"/>
              <w:ind w:left="468"/>
            </w:pPr>
            <w:r>
              <w:t>‘May assist in the development of muscle</w:t>
            </w:r>
            <w:r>
              <w:rPr>
                <w:spacing w:val="-14"/>
              </w:rPr>
              <w:t xml:space="preserve"> </w:t>
            </w:r>
            <w:r>
              <w:t>bulk.’</w:t>
            </w:r>
          </w:p>
          <w:p w:rsidR="007D76BB" w:rsidRDefault="00D70D28">
            <w:pPr>
              <w:pStyle w:val="TableParagraph"/>
              <w:numPr>
                <w:ilvl w:val="0"/>
                <w:numId w:val="67"/>
              </w:numPr>
              <w:tabs>
                <w:tab w:val="left" w:pos="468"/>
                <w:tab w:val="left" w:pos="469"/>
              </w:tabs>
              <w:spacing w:before="179"/>
              <w:ind w:left="468"/>
            </w:pPr>
            <w:r>
              <w:t>‘Useful before, during, or after sustained strenuous</w:t>
            </w:r>
            <w:r>
              <w:rPr>
                <w:spacing w:val="-16"/>
              </w:rPr>
              <w:t xml:space="preserve"> </w:t>
            </w:r>
            <w:r>
              <w:t>exercise.’</w:t>
            </w:r>
          </w:p>
        </w:tc>
      </w:tr>
      <w:tr w:rsidR="007D76BB">
        <w:trPr>
          <w:trHeight w:val="1254"/>
        </w:trPr>
        <w:tc>
          <w:tcPr>
            <w:tcW w:w="2551" w:type="dxa"/>
            <w:shd w:val="clear" w:color="auto" w:fill="F1F1F1"/>
          </w:tcPr>
          <w:p w:rsidR="007D76BB" w:rsidRDefault="00D70D28">
            <w:pPr>
              <w:pStyle w:val="TableParagraph"/>
              <w:spacing w:before="119"/>
              <w:ind w:left="107" w:right="508"/>
              <w:rPr>
                <w:b/>
              </w:rPr>
            </w:pPr>
            <w:r>
              <w:rPr>
                <w:b/>
              </w:rPr>
              <w:t>High carbohydrate supplement</w:t>
            </w:r>
          </w:p>
        </w:tc>
        <w:tc>
          <w:tcPr>
            <w:tcW w:w="6379" w:type="dxa"/>
          </w:tcPr>
          <w:p w:rsidR="007D76BB" w:rsidRDefault="00D70D28">
            <w:pPr>
              <w:pStyle w:val="TableParagraph"/>
              <w:numPr>
                <w:ilvl w:val="0"/>
                <w:numId w:val="66"/>
              </w:numPr>
              <w:tabs>
                <w:tab w:val="left" w:pos="467"/>
                <w:tab w:val="left" w:pos="468"/>
              </w:tabs>
              <w:spacing w:before="119"/>
              <w:ind w:left="467"/>
            </w:pPr>
            <w:r>
              <w:t>‘Useful before, during, or after sustained strenuous</w:t>
            </w:r>
            <w:r>
              <w:rPr>
                <w:spacing w:val="-16"/>
              </w:rPr>
              <w:t xml:space="preserve"> </w:t>
            </w:r>
            <w:r>
              <w:t>exercise.’</w:t>
            </w:r>
          </w:p>
          <w:p w:rsidR="007D76BB" w:rsidRDefault="00D70D28">
            <w:pPr>
              <w:pStyle w:val="TableParagraph"/>
              <w:numPr>
                <w:ilvl w:val="0"/>
                <w:numId w:val="66"/>
              </w:numPr>
              <w:tabs>
                <w:tab w:val="left" w:pos="468"/>
                <w:tab w:val="left" w:pos="469"/>
              </w:tabs>
              <w:spacing w:before="181"/>
              <w:ind w:right="1084"/>
            </w:pPr>
            <w:r>
              <w:t>‘May assist in the provision of energy in the form of carbohydrates.’</w:t>
            </w:r>
          </w:p>
        </w:tc>
      </w:tr>
    </w:tbl>
    <w:p w:rsidR="007D76BB" w:rsidRDefault="007D76BB">
      <w:pPr>
        <w:pStyle w:val="BodyText"/>
        <w:spacing w:before="5"/>
        <w:rPr>
          <w:b/>
          <w:sz w:val="20"/>
        </w:rPr>
      </w:pPr>
    </w:p>
    <w:p w:rsidR="007D76BB" w:rsidRDefault="00D70D28">
      <w:pPr>
        <w:pStyle w:val="Heading8"/>
      </w:pPr>
      <w:bookmarkStart w:id="23" w:name="Indications_for_medicines"/>
      <w:bookmarkEnd w:id="23"/>
      <w:r>
        <w:t>Indications for medicines</w:t>
      </w:r>
    </w:p>
    <w:p w:rsidR="007D76BB" w:rsidRDefault="00D70D28">
      <w:pPr>
        <w:pStyle w:val="BodyText"/>
        <w:spacing w:before="119"/>
        <w:ind w:left="198" w:right="672"/>
      </w:pPr>
      <w:r>
        <w:t>“Indications” for a medicine means the therapeutic use for the product. For medicines, therapeutic use means ‘preventing, diagnosing, curing or alleviating a disease, ailment, defect or injury in persons; or influencing, inhibiting or modifying a physiological process in persons’.</w:t>
      </w:r>
    </w:p>
    <w:p w:rsidR="007D76BB" w:rsidRDefault="00D70D28">
      <w:pPr>
        <w:pStyle w:val="BodyText"/>
        <w:spacing w:before="181"/>
        <w:ind w:left="198" w:right="1190" w:hanging="1"/>
      </w:pPr>
      <w:r>
        <w:t>Indications for medicines vary depending on the risk of the product. The risk hierarchy for indications is shown in Table 4.</w:t>
      </w:r>
    </w:p>
    <w:p w:rsidR="007D76BB" w:rsidRDefault="00D70D28">
      <w:pPr>
        <w:pStyle w:val="BodyText"/>
        <w:spacing w:before="181"/>
        <w:ind w:left="197" w:right="928"/>
      </w:pPr>
      <w:r>
        <w:t>Sponsors must hold evidence to support their medicine’s indications; however, this is only evaluated pre-market by the TGA for ‘listed assessed’ and registered medicines. In the case of listed medicines, this evidence may be evaluated as part of a post-market random or targeted compliance review.</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Heading7"/>
        <w:spacing w:before="101"/>
      </w:pPr>
      <w:r>
        <w:t>Table 4: Indication risk hierarchy</w:t>
      </w:r>
    </w:p>
    <w:p w:rsidR="007D76BB" w:rsidRDefault="007D76BB">
      <w:pPr>
        <w:pStyle w:val="BodyText"/>
        <w:spacing w:before="6"/>
        <w:rPr>
          <w:b/>
          <w:sz w:val="15"/>
        </w:rPr>
      </w:pPr>
    </w:p>
    <w:tbl>
      <w:tblPr>
        <w:tblW w:w="0" w:type="auto"/>
        <w:tblInd w:w="208" w:type="dxa"/>
        <w:tblBorders>
          <w:top w:val="single" w:sz="8" w:space="0" w:color="002C46"/>
          <w:left w:val="single" w:sz="8" w:space="0" w:color="002C46"/>
          <w:bottom w:val="single" w:sz="8" w:space="0" w:color="002C46"/>
          <w:right w:val="single" w:sz="8" w:space="0" w:color="002C46"/>
          <w:insideH w:val="single" w:sz="8" w:space="0" w:color="002C46"/>
          <w:insideV w:val="single" w:sz="8" w:space="0" w:color="002C46"/>
        </w:tblBorders>
        <w:tblLayout w:type="fixed"/>
        <w:tblCellMar>
          <w:left w:w="0" w:type="dxa"/>
          <w:right w:w="0" w:type="dxa"/>
        </w:tblCellMar>
        <w:tblLook w:val="01E0" w:firstRow="1" w:lastRow="1" w:firstColumn="1" w:lastColumn="1" w:noHBand="0" w:noVBand="0"/>
      </w:tblPr>
      <w:tblGrid>
        <w:gridCol w:w="1380"/>
        <w:gridCol w:w="2590"/>
        <w:gridCol w:w="2976"/>
        <w:gridCol w:w="2069"/>
      </w:tblGrid>
      <w:tr w:rsidR="007D76BB">
        <w:trPr>
          <w:trHeight w:val="1230"/>
        </w:trPr>
        <w:tc>
          <w:tcPr>
            <w:tcW w:w="1380" w:type="dxa"/>
            <w:tcBorders>
              <w:right w:val="nil"/>
            </w:tcBorders>
            <w:shd w:val="clear" w:color="auto" w:fill="006CA7"/>
          </w:tcPr>
          <w:p w:rsidR="007D76BB" w:rsidRDefault="007D76BB">
            <w:pPr>
              <w:pStyle w:val="TableParagraph"/>
              <w:rPr>
                <w:rFonts w:ascii="Times New Roman"/>
                <w:sz w:val="20"/>
              </w:rPr>
            </w:pPr>
          </w:p>
        </w:tc>
        <w:tc>
          <w:tcPr>
            <w:tcW w:w="2590" w:type="dxa"/>
            <w:tcBorders>
              <w:left w:val="nil"/>
              <w:right w:val="nil"/>
            </w:tcBorders>
            <w:shd w:val="clear" w:color="auto" w:fill="006CA7"/>
          </w:tcPr>
          <w:p w:rsidR="007D76BB" w:rsidRDefault="00D70D28">
            <w:pPr>
              <w:pStyle w:val="TableParagraph"/>
              <w:spacing w:before="120"/>
              <w:ind w:left="117" w:right="399"/>
              <w:rPr>
                <w:rFonts w:ascii="Arial Black"/>
              </w:rPr>
            </w:pPr>
            <w:r>
              <w:rPr>
                <w:rFonts w:ascii="Arial Black"/>
                <w:color w:val="FFFFFF"/>
              </w:rPr>
              <w:t>Listed medicines (AUST L)</w:t>
            </w:r>
          </w:p>
        </w:tc>
        <w:tc>
          <w:tcPr>
            <w:tcW w:w="2976" w:type="dxa"/>
            <w:tcBorders>
              <w:left w:val="nil"/>
              <w:right w:val="nil"/>
            </w:tcBorders>
            <w:shd w:val="clear" w:color="auto" w:fill="006CA7"/>
          </w:tcPr>
          <w:p w:rsidR="007D76BB" w:rsidRDefault="00D70D28">
            <w:pPr>
              <w:pStyle w:val="TableParagraph"/>
              <w:spacing w:before="120"/>
              <w:ind w:left="117" w:right="125"/>
              <w:rPr>
                <w:rFonts w:ascii="Arial Black"/>
              </w:rPr>
            </w:pPr>
            <w:r>
              <w:rPr>
                <w:rFonts w:ascii="Arial Black"/>
                <w:color w:val="FFFFFF"/>
              </w:rPr>
              <w:t>Assessed listed medicines [AUST L(A)]</w:t>
            </w:r>
          </w:p>
        </w:tc>
        <w:tc>
          <w:tcPr>
            <w:tcW w:w="2069" w:type="dxa"/>
            <w:tcBorders>
              <w:left w:val="nil"/>
            </w:tcBorders>
            <w:shd w:val="clear" w:color="auto" w:fill="006CA7"/>
          </w:tcPr>
          <w:p w:rsidR="007D76BB" w:rsidRDefault="00D70D28">
            <w:pPr>
              <w:pStyle w:val="TableParagraph"/>
              <w:spacing w:before="120"/>
              <w:ind w:left="117" w:right="629"/>
              <w:jc w:val="both"/>
              <w:rPr>
                <w:rFonts w:ascii="Arial Black"/>
              </w:rPr>
            </w:pPr>
            <w:r>
              <w:rPr>
                <w:rFonts w:ascii="Arial Black"/>
                <w:color w:val="FFFFFF"/>
              </w:rPr>
              <w:t>Registered medicines (AUST R)</w:t>
            </w:r>
          </w:p>
        </w:tc>
      </w:tr>
      <w:tr w:rsidR="007D76BB">
        <w:trPr>
          <w:trHeight w:val="1331"/>
        </w:trPr>
        <w:tc>
          <w:tcPr>
            <w:tcW w:w="1380" w:type="dxa"/>
            <w:shd w:val="clear" w:color="auto" w:fill="F1F1F1"/>
          </w:tcPr>
          <w:p w:rsidR="007D76BB" w:rsidRDefault="00D70D28">
            <w:pPr>
              <w:pStyle w:val="TableParagraph"/>
              <w:spacing w:before="119"/>
              <w:ind w:left="107" w:right="83"/>
              <w:rPr>
                <w:b/>
              </w:rPr>
            </w:pPr>
            <w:r>
              <w:rPr>
                <w:b/>
              </w:rPr>
              <w:t>Pre- market assessment by the TGA</w:t>
            </w:r>
          </w:p>
        </w:tc>
        <w:tc>
          <w:tcPr>
            <w:tcW w:w="2590" w:type="dxa"/>
          </w:tcPr>
          <w:p w:rsidR="007D76BB" w:rsidRDefault="00D70D28">
            <w:pPr>
              <w:pStyle w:val="TableParagraph"/>
              <w:spacing w:before="119"/>
              <w:ind w:left="107" w:right="981"/>
            </w:pPr>
            <w:r>
              <w:t>Not pre-market assessed.</w:t>
            </w:r>
          </w:p>
        </w:tc>
        <w:tc>
          <w:tcPr>
            <w:tcW w:w="2976" w:type="dxa"/>
          </w:tcPr>
          <w:p w:rsidR="007D76BB" w:rsidRDefault="00D70D28">
            <w:pPr>
              <w:pStyle w:val="TableParagraph"/>
              <w:spacing w:before="119"/>
              <w:ind w:left="107" w:right="560"/>
            </w:pPr>
            <w:r>
              <w:t>Pre-market assessed for efficacy.</w:t>
            </w:r>
          </w:p>
        </w:tc>
        <w:tc>
          <w:tcPr>
            <w:tcW w:w="2069" w:type="dxa"/>
          </w:tcPr>
          <w:p w:rsidR="007D76BB" w:rsidRDefault="00D70D28">
            <w:pPr>
              <w:pStyle w:val="TableParagraph"/>
              <w:spacing w:before="119"/>
              <w:ind w:left="107" w:right="152"/>
            </w:pPr>
            <w:r>
              <w:t>Fully pre-market assessed – quality, safety and efficacy.</w:t>
            </w:r>
          </w:p>
        </w:tc>
      </w:tr>
      <w:tr w:rsidR="007D76BB">
        <w:trPr>
          <w:trHeight w:val="4451"/>
        </w:trPr>
        <w:tc>
          <w:tcPr>
            <w:tcW w:w="1380" w:type="dxa"/>
            <w:shd w:val="clear" w:color="auto" w:fill="F1F1F1"/>
          </w:tcPr>
          <w:p w:rsidR="007D76BB" w:rsidRDefault="00D70D28">
            <w:pPr>
              <w:pStyle w:val="TableParagraph"/>
              <w:spacing w:before="121"/>
              <w:ind w:left="107" w:right="93"/>
              <w:rPr>
                <w:b/>
              </w:rPr>
            </w:pPr>
            <w:r>
              <w:rPr>
                <w:b/>
              </w:rPr>
              <w:t>Indications able to be used</w:t>
            </w:r>
          </w:p>
        </w:tc>
        <w:tc>
          <w:tcPr>
            <w:tcW w:w="2590" w:type="dxa"/>
          </w:tcPr>
          <w:p w:rsidR="007D76BB" w:rsidRDefault="00D70D28">
            <w:pPr>
              <w:pStyle w:val="TableParagraph"/>
              <w:spacing w:before="121"/>
              <w:ind w:left="107" w:right="454"/>
              <w:rPr>
                <w:b/>
              </w:rPr>
            </w:pPr>
            <w:r>
              <w:rPr>
                <w:u w:val="single"/>
              </w:rPr>
              <w:t xml:space="preserve">Low level </w:t>
            </w:r>
            <w:r>
              <w:t xml:space="preserve">indications that </w:t>
            </w:r>
            <w:r>
              <w:rPr>
                <w:b/>
              </w:rPr>
              <w:t>only refer to:</w:t>
            </w:r>
          </w:p>
          <w:p w:rsidR="007D76BB" w:rsidRDefault="00D70D28">
            <w:pPr>
              <w:pStyle w:val="TableParagraph"/>
              <w:numPr>
                <w:ilvl w:val="0"/>
                <w:numId w:val="65"/>
              </w:numPr>
              <w:tabs>
                <w:tab w:val="left" w:pos="467"/>
                <w:tab w:val="left" w:pos="468"/>
              </w:tabs>
              <w:spacing w:before="181"/>
            </w:pPr>
            <w:r>
              <w:t>health</w:t>
            </w:r>
            <w:r>
              <w:rPr>
                <w:spacing w:val="-4"/>
              </w:rPr>
              <w:t xml:space="preserve"> </w:t>
            </w:r>
            <w:r>
              <w:t>enhancement</w:t>
            </w:r>
          </w:p>
          <w:p w:rsidR="007D76BB" w:rsidRDefault="00D70D28">
            <w:pPr>
              <w:pStyle w:val="TableParagraph"/>
              <w:numPr>
                <w:ilvl w:val="0"/>
                <w:numId w:val="65"/>
              </w:numPr>
              <w:tabs>
                <w:tab w:val="left" w:pos="467"/>
                <w:tab w:val="left" w:pos="468"/>
              </w:tabs>
              <w:spacing w:before="178"/>
            </w:pPr>
            <w:r>
              <w:t>health</w:t>
            </w:r>
            <w:r>
              <w:rPr>
                <w:spacing w:val="-4"/>
              </w:rPr>
              <w:t xml:space="preserve"> </w:t>
            </w:r>
            <w:r>
              <w:t>maintenance</w:t>
            </w:r>
          </w:p>
          <w:p w:rsidR="007D76BB" w:rsidRDefault="00D70D28">
            <w:pPr>
              <w:pStyle w:val="TableParagraph"/>
              <w:numPr>
                <w:ilvl w:val="0"/>
                <w:numId w:val="65"/>
              </w:numPr>
              <w:tabs>
                <w:tab w:val="left" w:pos="467"/>
                <w:tab w:val="left" w:pos="468"/>
              </w:tabs>
              <w:spacing w:before="179"/>
              <w:ind w:right="105"/>
            </w:pPr>
            <w:r>
              <w:t>prevention of dietary deficiency</w:t>
            </w:r>
          </w:p>
          <w:p w:rsidR="007D76BB" w:rsidRDefault="00D70D28">
            <w:pPr>
              <w:pStyle w:val="TableParagraph"/>
              <w:numPr>
                <w:ilvl w:val="0"/>
                <w:numId w:val="65"/>
              </w:numPr>
              <w:tabs>
                <w:tab w:val="left" w:pos="468"/>
                <w:tab w:val="left" w:pos="469"/>
              </w:tabs>
              <w:spacing w:before="180"/>
              <w:ind w:right="161" w:hanging="360"/>
            </w:pPr>
            <w:r>
              <w:t>a non-serious</w:t>
            </w:r>
            <w:hyperlink w:anchor="_bookmark9" w:history="1">
              <w:r>
                <w:rPr>
                  <w:position w:val="5"/>
                  <w:sz w:val="14"/>
                </w:rPr>
                <w:t>2</w:t>
              </w:r>
            </w:hyperlink>
            <w:r>
              <w:rPr>
                <w:position w:val="5"/>
                <w:sz w:val="14"/>
              </w:rPr>
              <w:t xml:space="preserve"> </w:t>
            </w:r>
            <w:r>
              <w:t>form of a disease, ailment, defect or</w:t>
            </w:r>
            <w:r>
              <w:rPr>
                <w:spacing w:val="-3"/>
              </w:rPr>
              <w:t xml:space="preserve"> </w:t>
            </w:r>
            <w:r>
              <w:t>injury</w:t>
            </w:r>
          </w:p>
        </w:tc>
        <w:tc>
          <w:tcPr>
            <w:tcW w:w="2976" w:type="dxa"/>
          </w:tcPr>
          <w:p w:rsidR="007D76BB" w:rsidRDefault="00D70D28">
            <w:pPr>
              <w:pStyle w:val="TableParagraph"/>
              <w:spacing w:before="121"/>
              <w:ind w:left="107" w:right="200"/>
            </w:pPr>
            <w:r>
              <w:t>Indications that are not appropriate for permitted indications, but are not high level indications.</w:t>
            </w:r>
          </w:p>
          <w:p w:rsidR="007D76BB" w:rsidRDefault="00D70D28">
            <w:pPr>
              <w:pStyle w:val="TableParagraph"/>
              <w:spacing w:before="178"/>
              <w:ind w:left="107" w:right="436"/>
              <w:rPr>
                <w:b/>
              </w:rPr>
            </w:pPr>
            <w:r>
              <w:rPr>
                <w:u w:val="single"/>
              </w:rPr>
              <w:t>Intermediate level</w:t>
            </w:r>
            <w:r>
              <w:t xml:space="preserve"> indications </w:t>
            </w:r>
            <w:r>
              <w:rPr>
                <w:b/>
              </w:rPr>
              <w:t>may refer to:</w:t>
            </w:r>
          </w:p>
          <w:p w:rsidR="007D76BB" w:rsidRDefault="00D70D28">
            <w:pPr>
              <w:pStyle w:val="TableParagraph"/>
              <w:numPr>
                <w:ilvl w:val="0"/>
                <w:numId w:val="64"/>
              </w:numPr>
              <w:tabs>
                <w:tab w:val="left" w:pos="467"/>
                <w:tab w:val="left" w:pos="468"/>
              </w:tabs>
              <w:spacing w:before="180"/>
              <w:ind w:right="230"/>
            </w:pPr>
            <w:r>
              <w:t xml:space="preserve">the </w:t>
            </w:r>
            <w:r>
              <w:rPr>
                <w:u w:val="single"/>
              </w:rPr>
              <w:t>prevention, alleviation, or cure</w:t>
            </w:r>
            <w:r>
              <w:t xml:space="preserve"> of a</w:t>
            </w:r>
            <w:r>
              <w:rPr>
                <w:u w:val="single"/>
              </w:rPr>
              <w:t xml:space="preserve"> non-serious</w:t>
            </w:r>
            <w:r>
              <w:t xml:space="preserve"> disease, ailment, defect or</w:t>
            </w:r>
            <w:r>
              <w:rPr>
                <w:spacing w:val="-8"/>
              </w:rPr>
              <w:t xml:space="preserve"> </w:t>
            </w:r>
            <w:r>
              <w:t>injury</w:t>
            </w:r>
          </w:p>
          <w:p w:rsidR="007D76BB" w:rsidRDefault="00D70D28">
            <w:pPr>
              <w:pStyle w:val="TableParagraph"/>
              <w:numPr>
                <w:ilvl w:val="0"/>
                <w:numId w:val="64"/>
              </w:numPr>
              <w:tabs>
                <w:tab w:val="left" w:pos="467"/>
                <w:tab w:val="left" w:pos="468"/>
              </w:tabs>
              <w:spacing w:before="181"/>
              <w:ind w:right="356"/>
            </w:pPr>
            <w:r>
              <w:t>restricted representations</w:t>
            </w:r>
            <w:hyperlink w:anchor="_bookmark10" w:history="1">
              <w:r>
                <w:rPr>
                  <w:position w:val="5"/>
                  <w:sz w:val="14"/>
                </w:rPr>
                <w:t>3</w:t>
              </w:r>
            </w:hyperlink>
            <w:r>
              <w:rPr>
                <w:position w:val="5"/>
                <w:sz w:val="14"/>
              </w:rPr>
              <w:t xml:space="preserve"> </w:t>
            </w:r>
            <w:r>
              <w:t>(i.e. a serious form of a disease)</w:t>
            </w:r>
          </w:p>
        </w:tc>
        <w:tc>
          <w:tcPr>
            <w:tcW w:w="2069" w:type="dxa"/>
          </w:tcPr>
          <w:p w:rsidR="007D76BB" w:rsidRDefault="00D70D28">
            <w:pPr>
              <w:pStyle w:val="TableParagraph"/>
              <w:spacing w:before="121"/>
              <w:ind w:left="107" w:right="109"/>
            </w:pPr>
            <w:r>
              <w:t xml:space="preserve">Indications that refer to the </w:t>
            </w:r>
            <w:r>
              <w:rPr>
                <w:u w:val="single"/>
              </w:rPr>
              <w:t>prevention,</w:t>
            </w:r>
            <w:r>
              <w:t xml:space="preserve"> </w:t>
            </w:r>
            <w:r>
              <w:rPr>
                <w:u w:val="single"/>
              </w:rPr>
              <w:t>alleviation or cure</w:t>
            </w:r>
            <w:r>
              <w:t xml:space="preserve"> of a </w:t>
            </w:r>
            <w:r>
              <w:rPr>
                <w:u w:val="single"/>
              </w:rPr>
              <w:t xml:space="preserve">serious form </w:t>
            </w:r>
            <w:r>
              <w:t>of a disease, ailment or injury (i.e. restricted representations).</w:t>
            </w:r>
          </w:p>
        </w:tc>
      </w:tr>
    </w:tbl>
    <w:p w:rsidR="007D76BB" w:rsidRDefault="00D70D28">
      <w:pPr>
        <w:pStyle w:val="BodyText"/>
        <w:spacing w:before="119"/>
        <w:ind w:left="198" w:right="688"/>
      </w:pPr>
      <w:r>
        <w:t xml:space="preserve">All permitted indications for listed medicines and their requirements are contained in a legislative instrument called the </w:t>
      </w:r>
      <w:hyperlink r:id="rId61">
        <w:r>
          <w:rPr>
            <w:color w:val="0000FF"/>
            <w:u w:val="single" w:color="0000FF"/>
          </w:rPr>
          <w:t>Permissible Indications Determination.</w:t>
        </w:r>
      </w:hyperlink>
      <w:r>
        <w:rPr>
          <w:color w:val="0000FF"/>
        </w:rPr>
        <w:t xml:space="preserve"> </w:t>
      </w:r>
      <w:r>
        <w:t>Table 5 provides examples of permitted indications referring to sports-related activity.</w:t>
      </w:r>
    </w:p>
    <w:p w:rsidR="007D76BB" w:rsidRDefault="00D70D28">
      <w:pPr>
        <w:pStyle w:val="Heading7"/>
        <w:spacing w:before="182"/>
        <w:ind w:right="841"/>
      </w:pPr>
      <w:r>
        <w:t>Table 5: Example of permitted indications that refer to maintenance or enhancement of sports related activity that may be selected for listed medicines</w:t>
      </w:r>
    </w:p>
    <w:p w:rsidR="007D76BB" w:rsidRDefault="007D76BB">
      <w:pPr>
        <w:pStyle w:val="BodyText"/>
        <w:spacing w:before="4"/>
        <w:rPr>
          <w:b/>
          <w:sz w:val="15"/>
        </w:rPr>
      </w:pPr>
    </w:p>
    <w:tbl>
      <w:tblPr>
        <w:tblW w:w="0" w:type="auto"/>
        <w:tblInd w:w="218" w:type="dxa"/>
        <w:tblBorders>
          <w:top w:val="single" w:sz="8" w:space="0" w:color="002C46"/>
          <w:left w:val="single" w:sz="8" w:space="0" w:color="002C46"/>
          <w:bottom w:val="single" w:sz="8" w:space="0" w:color="002C46"/>
          <w:right w:val="single" w:sz="8" w:space="0" w:color="002C46"/>
          <w:insideH w:val="single" w:sz="8" w:space="0" w:color="002C46"/>
          <w:insideV w:val="single" w:sz="8" w:space="0" w:color="002C46"/>
        </w:tblBorders>
        <w:tblLayout w:type="fixed"/>
        <w:tblCellMar>
          <w:left w:w="0" w:type="dxa"/>
          <w:right w:w="0" w:type="dxa"/>
        </w:tblCellMar>
        <w:tblLook w:val="01E0" w:firstRow="1" w:lastRow="1" w:firstColumn="1" w:lastColumn="1" w:noHBand="0" w:noVBand="0"/>
      </w:tblPr>
      <w:tblGrid>
        <w:gridCol w:w="9050"/>
      </w:tblGrid>
      <w:tr w:rsidR="007D76BB">
        <w:trPr>
          <w:trHeight w:val="608"/>
        </w:trPr>
        <w:tc>
          <w:tcPr>
            <w:tcW w:w="9050" w:type="dxa"/>
            <w:shd w:val="clear" w:color="auto" w:fill="006CA7"/>
          </w:tcPr>
          <w:p w:rsidR="007D76BB" w:rsidRDefault="00D70D28">
            <w:pPr>
              <w:pStyle w:val="TableParagraph"/>
              <w:spacing w:before="120"/>
              <w:ind w:left="107"/>
              <w:rPr>
                <w:rFonts w:ascii="Arial Black"/>
              </w:rPr>
            </w:pPr>
            <w:r>
              <w:rPr>
                <w:rFonts w:ascii="Arial Black"/>
                <w:color w:val="FFFFFF"/>
              </w:rPr>
              <w:t>Permitted indications for sports related activity</w:t>
            </w:r>
          </w:p>
        </w:tc>
      </w:tr>
      <w:tr w:rsidR="007D76BB">
        <w:trPr>
          <w:trHeight w:val="558"/>
        </w:trPr>
        <w:tc>
          <w:tcPr>
            <w:tcW w:w="9050" w:type="dxa"/>
          </w:tcPr>
          <w:p w:rsidR="007D76BB" w:rsidRDefault="00D70D28">
            <w:pPr>
              <w:pStyle w:val="TableParagraph"/>
              <w:spacing w:before="121"/>
              <w:ind w:left="107"/>
            </w:pPr>
            <w:r>
              <w:t>Enhance/promote energy levels</w:t>
            </w:r>
          </w:p>
        </w:tc>
      </w:tr>
      <w:tr w:rsidR="007D76BB">
        <w:trPr>
          <w:trHeight w:val="558"/>
        </w:trPr>
        <w:tc>
          <w:tcPr>
            <w:tcW w:w="9050" w:type="dxa"/>
          </w:tcPr>
          <w:p w:rsidR="007D76BB" w:rsidRDefault="00D70D28">
            <w:pPr>
              <w:pStyle w:val="TableParagraph"/>
              <w:spacing w:before="121"/>
              <w:ind w:left="107"/>
            </w:pPr>
            <w:r>
              <w:t>Helps enhance/promote calorie burning</w:t>
            </w:r>
          </w:p>
        </w:tc>
      </w:tr>
      <w:tr w:rsidR="007D76BB">
        <w:trPr>
          <w:trHeight w:val="558"/>
        </w:trPr>
        <w:tc>
          <w:tcPr>
            <w:tcW w:w="9050" w:type="dxa"/>
          </w:tcPr>
          <w:p w:rsidR="007D76BB" w:rsidRDefault="00D70D28">
            <w:pPr>
              <w:pStyle w:val="TableParagraph"/>
              <w:spacing w:before="119"/>
              <w:ind w:left="107"/>
            </w:pPr>
            <w:r>
              <w:t>Maintain/support physical endurance/capacity/stamina</w:t>
            </w:r>
          </w:p>
        </w:tc>
      </w:tr>
      <w:tr w:rsidR="007D76BB">
        <w:trPr>
          <w:trHeight w:val="558"/>
        </w:trPr>
        <w:tc>
          <w:tcPr>
            <w:tcW w:w="9050" w:type="dxa"/>
          </w:tcPr>
          <w:p w:rsidR="007D76BB" w:rsidRDefault="00D70D28">
            <w:pPr>
              <w:pStyle w:val="TableParagraph"/>
              <w:spacing w:before="119"/>
              <w:ind w:left="107"/>
            </w:pPr>
            <w:r>
              <w:t>Maintain/support heat/energy production/thermogenesis</w:t>
            </w:r>
          </w:p>
        </w:tc>
      </w:tr>
      <w:tr w:rsidR="007D76BB">
        <w:trPr>
          <w:trHeight w:val="558"/>
        </w:trPr>
        <w:tc>
          <w:tcPr>
            <w:tcW w:w="9050" w:type="dxa"/>
          </w:tcPr>
          <w:p w:rsidR="007D76BB" w:rsidRDefault="00D70D28">
            <w:pPr>
              <w:pStyle w:val="TableParagraph"/>
              <w:spacing w:before="119"/>
              <w:ind w:left="107"/>
            </w:pPr>
            <w:r>
              <w:t>Helps enhance/promote/increase weight loss</w:t>
            </w:r>
          </w:p>
        </w:tc>
      </w:tr>
    </w:tbl>
    <w:p w:rsidR="007D76BB" w:rsidRDefault="007D76BB">
      <w:pPr>
        <w:pStyle w:val="BodyText"/>
        <w:rPr>
          <w:b/>
          <w:sz w:val="20"/>
        </w:rPr>
      </w:pPr>
    </w:p>
    <w:p w:rsidR="007D76BB" w:rsidRDefault="007D76BB">
      <w:pPr>
        <w:pStyle w:val="BodyText"/>
        <w:rPr>
          <w:b/>
          <w:sz w:val="20"/>
        </w:rPr>
      </w:pPr>
    </w:p>
    <w:p w:rsidR="007D76BB" w:rsidRDefault="00D70D28">
      <w:pPr>
        <w:pStyle w:val="BodyText"/>
        <w:spacing w:before="5"/>
        <w:rPr>
          <w:b/>
          <w:sz w:val="26"/>
        </w:rPr>
      </w:pPr>
      <w:r>
        <w:rPr>
          <w:noProof/>
          <w:lang w:val="en-AU" w:eastAsia="en-AU"/>
        </w:rPr>
        <mc:AlternateContent>
          <mc:Choice Requires="wps">
            <w:drawing>
              <wp:anchor distT="0" distB="0" distL="0" distR="0" simplePos="0" relativeHeight="251664384" behindDoc="1" locked="0" layoutInCell="1" allowOverlap="1">
                <wp:simplePos x="0" y="0"/>
                <wp:positionH relativeFrom="page">
                  <wp:posOffset>900430</wp:posOffset>
                </wp:positionH>
                <wp:positionV relativeFrom="paragraph">
                  <wp:posOffset>225425</wp:posOffset>
                </wp:positionV>
                <wp:extent cx="1828800" cy="1270"/>
                <wp:effectExtent l="0" t="0" r="0" b="0"/>
                <wp:wrapTopAndBottom/>
                <wp:docPr id="436"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31ABE" id="Freeform 292" o:spid="_x0000_s1026" style="position:absolute;margin-left:70.9pt;margin-top:17.75pt;width:2in;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" path="m,l2880,e" filled="f" strokeweight=".6pt">
                <v:path arrowok="t" o:connecttype="custom" o:connectlocs="0,0;1828800,0" o:connectangles="0,0"/>
                <w10:wrap type="topAndBottom" anchorx="page"/>
              </v:shape>
            </w:pict>
          </mc:Fallback>
        </mc:AlternateContent>
      </w:r>
    </w:p>
    <w:p w:rsidR="007D76BB" w:rsidRDefault="00D70D28">
      <w:pPr>
        <w:spacing w:before="71"/>
        <w:ind w:left="198"/>
        <w:rPr>
          <w:sz w:val="20"/>
        </w:rPr>
      </w:pPr>
      <w:bookmarkStart w:id="24" w:name="_bookmark9"/>
      <w:bookmarkEnd w:id="24"/>
      <w:r>
        <w:rPr>
          <w:position w:val="5"/>
          <w:sz w:val="13"/>
        </w:rPr>
        <w:t xml:space="preserve">2 </w:t>
      </w:r>
      <w:r>
        <w:rPr>
          <w:sz w:val="20"/>
        </w:rPr>
        <w:t>As defined in the Therapeutic Goods Advertising</w:t>
      </w:r>
      <w:r>
        <w:rPr>
          <w:spacing w:val="-12"/>
          <w:sz w:val="20"/>
        </w:rPr>
        <w:t xml:space="preserve"> </w:t>
      </w:r>
      <w:r>
        <w:rPr>
          <w:sz w:val="20"/>
        </w:rPr>
        <w:t>code</w:t>
      </w:r>
    </w:p>
    <w:p w:rsidR="007D76BB" w:rsidRDefault="00D70D28">
      <w:pPr>
        <w:spacing w:before="6"/>
        <w:ind w:left="198"/>
        <w:rPr>
          <w:sz w:val="20"/>
        </w:rPr>
      </w:pPr>
      <w:bookmarkStart w:id="25" w:name="_bookmark10"/>
      <w:bookmarkEnd w:id="25"/>
      <w:r>
        <w:rPr>
          <w:position w:val="5"/>
          <w:sz w:val="13"/>
        </w:rPr>
        <w:t xml:space="preserve">3 </w:t>
      </w:r>
      <w:r>
        <w:rPr>
          <w:sz w:val="20"/>
        </w:rPr>
        <w:t>As defined in the Therapeutic Goods Advertising</w:t>
      </w:r>
      <w:r>
        <w:rPr>
          <w:spacing w:val="-12"/>
          <w:sz w:val="20"/>
        </w:rPr>
        <w:t xml:space="preserve"> </w:t>
      </w:r>
      <w:r>
        <w:rPr>
          <w:sz w:val="20"/>
        </w:rPr>
        <w:t>code</w:t>
      </w:r>
    </w:p>
    <w:p w:rsidR="007D76BB" w:rsidRDefault="007D76BB">
      <w:pPr>
        <w:rPr>
          <w:sz w:val="20"/>
        </w:rPr>
        <w:sectPr w:rsidR="007D76BB">
          <w:pgSz w:w="11910" w:h="16840"/>
          <w:pgMar w:top="840" w:right="820" w:bottom="1360" w:left="1220" w:header="572" w:footer="1178" w:gutter="0"/>
          <w:cols w:space="720"/>
        </w:sectPr>
      </w:pPr>
    </w:p>
    <w:p w:rsidR="007D76BB" w:rsidRDefault="007D76BB">
      <w:pPr>
        <w:pStyle w:val="BodyText"/>
        <w:spacing w:before="9"/>
        <w:rPr>
          <w:sz w:val="24"/>
        </w:rPr>
      </w:pPr>
    </w:p>
    <w:tbl>
      <w:tblPr>
        <w:tblW w:w="0" w:type="auto"/>
        <w:tblInd w:w="218" w:type="dxa"/>
        <w:tblBorders>
          <w:top w:val="single" w:sz="8" w:space="0" w:color="002C46"/>
          <w:left w:val="single" w:sz="8" w:space="0" w:color="002C46"/>
          <w:bottom w:val="single" w:sz="8" w:space="0" w:color="002C46"/>
          <w:right w:val="single" w:sz="8" w:space="0" w:color="002C46"/>
          <w:insideH w:val="single" w:sz="8" w:space="0" w:color="002C46"/>
          <w:insideV w:val="single" w:sz="8" w:space="0" w:color="002C46"/>
        </w:tblBorders>
        <w:tblLayout w:type="fixed"/>
        <w:tblCellMar>
          <w:left w:w="0" w:type="dxa"/>
          <w:right w:w="0" w:type="dxa"/>
        </w:tblCellMar>
        <w:tblLook w:val="01E0" w:firstRow="1" w:lastRow="1" w:firstColumn="1" w:lastColumn="1" w:noHBand="0" w:noVBand="0"/>
      </w:tblPr>
      <w:tblGrid>
        <w:gridCol w:w="9050"/>
      </w:tblGrid>
      <w:tr w:rsidR="007D76BB">
        <w:trPr>
          <w:trHeight w:val="611"/>
        </w:trPr>
        <w:tc>
          <w:tcPr>
            <w:tcW w:w="9050" w:type="dxa"/>
            <w:shd w:val="clear" w:color="auto" w:fill="006CA7"/>
          </w:tcPr>
          <w:p w:rsidR="007D76BB" w:rsidRDefault="00D70D28">
            <w:pPr>
              <w:pStyle w:val="TableParagraph"/>
              <w:spacing w:before="122"/>
              <w:ind w:left="107"/>
              <w:rPr>
                <w:rFonts w:ascii="Arial Black"/>
              </w:rPr>
            </w:pPr>
            <w:r>
              <w:rPr>
                <w:rFonts w:ascii="Arial Black"/>
                <w:color w:val="FFFFFF"/>
              </w:rPr>
              <w:t>Permitted indications for sports related activity</w:t>
            </w:r>
          </w:p>
        </w:tc>
      </w:tr>
      <w:tr w:rsidR="007D76BB">
        <w:trPr>
          <w:trHeight w:val="558"/>
        </w:trPr>
        <w:tc>
          <w:tcPr>
            <w:tcW w:w="9050" w:type="dxa"/>
          </w:tcPr>
          <w:p w:rsidR="007D76BB" w:rsidRDefault="00D70D28">
            <w:pPr>
              <w:pStyle w:val="TableParagraph"/>
              <w:spacing w:before="119"/>
              <w:ind w:left="107"/>
            </w:pPr>
            <w:r>
              <w:t>Maintain/support healthy body fat/muscle composition</w:t>
            </w:r>
          </w:p>
        </w:tc>
      </w:tr>
      <w:tr w:rsidR="007D76BB">
        <w:trPr>
          <w:trHeight w:val="558"/>
        </w:trPr>
        <w:tc>
          <w:tcPr>
            <w:tcW w:w="9050" w:type="dxa"/>
          </w:tcPr>
          <w:p w:rsidR="007D76BB" w:rsidRDefault="00D70D28">
            <w:pPr>
              <w:pStyle w:val="TableParagraph"/>
              <w:spacing w:before="119"/>
              <w:ind w:left="107"/>
            </w:pPr>
            <w:r>
              <w:t>Helps in the maintenance of lean body mass</w:t>
            </w:r>
          </w:p>
        </w:tc>
      </w:tr>
      <w:tr w:rsidR="007D76BB">
        <w:trPr>
          <w:trHeight w:val="555"/>
        </w:trPr>
        <w:tc>
          <w:tcPr>
            <w:tcW w:w="9050" w:type="dxa"/>
          </w:tcPr>
          <w:p w:rsidR="007D76BB" w:rsidRDefault="00D70D28">
            <w:pPr>
              <w:pStyle w:val="TableParagraph"/>
              <w:spacing w:before="119"/>
              <w:ind w:left="107"/>
            </w:pPr>
            <w:r>
              <w:t>Aid/assist/helps post exercise recovery</w:t>
            </w:r>
          </w:p>
        </w:tc>
      </w:tr>
      <w:tr w:rsidR="007D76BB">
        <w:trPr>
          <w:trHeight w:val="560"/>
        </w:trPr>
        <w:tc>
          <w:tcPr>
            <w:tcW w:w="9050" w:type="dxa"/>
          </w:tcPr>
          <w:p w:rsidR="007D76BB" w:rsidRDefault="00D70D28">
            <w:pPr>
              <w:pStyle w:val="TableParagraph"/>
              <w:spacing w:before="121"/>
              <w:ind w:left="107"/>
            </w:pPr>
            <w:r>
              <w:t>Helps enhance/improve/promote/increase physical/exercise performance</w:t>
            </w:r>
          </w:p>
        </w:tc>
      </w:tr>
    </w:tbl>
    <w:p w:rsidR="007D76BB" w:rsidRDefault="00D70D28">
      <w:pPr>
        <w:pStyle w:val="BodyText"/>
        <w:spacing w:before="119"/>
        <w:ind w:left="198" w:right="846"/>
      </w:pPr>
      <w:r>
        <w:t>When selecting indications in the electronic application form, applicants can also select from a drop-down list of ‘indication qualifiers’ to add to the indication in order for the indication to align with the evidence they hold, for example:</w:t>
      </w:r>
    </w:p>
    <w:p w:rsidR="007D76BB" w:rsidRDefault="00D70D28">
      <w:pPr>
        <w:pStyle w:val="ListParagraph"/>
        <w:numPr>
          <w:ilvl w:val="0"/>
          <w:numId w:val="72"/>
        </w:numPr>
        <w:tabs>
          <w:tab w:val="left" w:pos="558"/>
          <w:tab w:val="left" w:pos="559"/>
        </w:tabs>
        <w:spacing w:before="179"/>
        <w:ind w:left="558"/>
      </w:pPr>
      <w:r>
        <w:t>‘in</w:t>
      </w:r>
      <w:r>
        <w:rPr>
          <w:spacing w:val="-2"/>
        </w:rPr>
        <w:t xml:space="preserve"> </w:t>
      </w:r>
      <w:r>
        <w:t>athletes’</w:t>
      </w:r>
    </w:p>
    <w:p w:rsidR="007D76BB" w:rsidRDefault="00D70D28">
      <w:pPr>
        <w:pStyle w:val="ListParagraph"/>
        <w:numPr>
          <w:ilvl w:val="0"/>
          <w:numId w:val="72"/>
        </w:numPr>
        <w:tabs>
          <w:tab w:val="left" w:pos="558"/>
          <w:tab w:val="left" w:pos="559"/>
        </w:tabs>
        <w:spacing w:before="179"/>
        <w:ind w:left="558"/>
      </w:pPr>
      <w:r>
        <w:t>‘after</w:t>
      </w:r>
      <w:r>
        <w:rPr>
          <w:spacing w:val="-2"/>
        </w:rPr>
        <w:t xml:space="preserve"> </w:t>
      </w:r>
      <w:r>
        <w:t>exercise’</w:t>
      </w:r>
    </w:p>
    <w:p w:rsidR="007D76BB" w:rsidRDefault="00D70D28">
      <w:pPr>
        <w:pStyle w:val="ListParagraph"/>
        <w:numPr>
          <w:ilvl w:val="0"/>
          <w:numId w:val="72"/>
        </w:numPr>
        <w:tabs>
          <w:tab w:val="left" w:pos="558"/>
          <w:tab w:val="left" w:pos="559"/>
        </w:tabs>
        <w:spacing w:before="182"/>
        <w:ind w:left="558"/>
      </w:pPr>
      <w:r>
        <w:t>‘before</w:t>
      </w:r>
      <w:r>
        <w:rPr>
          <w:spacing w:val="-2"/>
        </w:rPr>
        <w:t xml:space="preserve"> </w:t>
      </w:r>
      <w:r>
        <w:t>exercise’</w:t>
      </w:r>
    </w:p>
    <w:p w:rsidR="007D76BB" w:rsidRDefault="007D76BB">
      <w:pPr>
        <w:pStyle w:val="BodyText"/>
        <w:spacing w:before="4"/>
        <w:rPr>
          <w:sz w:val="20"/>
        </w:rPr>
      </w:pPr>
    </w:p>
    <w:p w:rsidR="007D76BB" w:rsidRDefault="00D70D28">
      <w:pPr>
        <w:pStyle w:val="Heading5"/>
      </w:pPr>
      <w:bookmarkStart w:id="26" w:name="Ingredients_for_food_and_medicines"/>
      <w:bookmarkEnd w:id="26"/>
      <w:r>
        <w:rPr>
          <w:color w:val="001422"/>
        </w:rPr>
        <w:t>Ingredients for food and medicines</w:t>
      </w:r>
    </w:p>
    <w:p w:rsidR="007D76BB" w:rsidRDefault="00D70D28">
      <w:pPr>
        <w:pStyle w:val="Heading8"/>
        <w:spacing w:before="240"/>
      </w:pPr>
      <w:bookmarkStart w:id="27" w:name="Ingredients_in_food"/>
      <w:bookmarkEnd w:id="27"/>
      <w:r>
        <w:t>Ingredients in food</w:t>
      </w:r>
    </w:p>
    <w:p w:rsidR="007D76BB" w:rsidRDefault="00D70D28">
      <w:pPr>
        <w:pStyle w:val="BodyText"/>
        <w:spacing w:before="121"/>
        <w:ind w:left="198" w:right="672"/>
      </w:pPr>
      <w:r>
        <w:t xml:space="preserve">FSANZ develops standards that regulate the use of ingredients, processing aids, </w:t>
      </w:r>
      <w:proofErr w:type="spellStart"/>
      <w:r>
        <w:t>colourings</w:t>
      </w:r>
      <w:proofErr w:type="spellEnd"/>
      <w:r>
        <w:t>, additives, vitamins and minerals. The Food Standards Code also covers the composition of some foods, for example: dairy, meat and beverages as well as foods developed by new technologies such as genetically modified foods.</w:t>
      </w:r>
    </w:p>
    <w:p w:rsidR="007D76BB" w:rsidRDefault="007D76BB">
      <w:pPr>
        <w:pStyle w:val="BodyText"/>
        <w:spacing w:before="6"/>
        <w:rPr>
          <w:sz w:val="20"/>
        </w:rPr>
      </w:pPr>
    </w:p>
    <w:p w:rsidR="007D76BB" w:rsidRDefault="00D70D28">
      <w:pPr>
        <w:pStyle w:val="Heading8"/>
      </w:pPr>
      <w:bookmarkStart w:id="28" w:name="Ingredients_in_medicines"/>
      <w:bookmarkEnd w:id="28"/>
      <w:r>
        <w:t>Ingredients in medicines</w:t>
      </w:r>
    </w:p>
    <w:p w:rsidR="007D76BB" w:rsidRDefault="00D70D28">
      <w:pPr>
        <w:pStyle w:val="BodyText"/>
        <w:spacing w:before="119"/>
        <w:ind w:left="198"/>
      </w:pPr>
      <w:r>
        <w:t>Table 6 provides a comparison of the different ingredients in medicines.</w:t>
      </w:r>
    </w:p>
    <w:p w:rsidR="007D76BB" w:rsidRDefault="00D70D28">
      <w:pPr>
        <w:spacing w:before="181"/>
        <w:ind w:left="198"/>
        <w:rPr>
          <w:b/>
        </w:rPr>
      </w:pPr>
      <w:r>
        <w:rPr>
          <w:b/>
        </w:rPr>
        <w:t>Table 6: Comparison of ingredients in medicines</w:t>
      </w:r>
    </w:p>
    <w:p w:rsidR="007D76BB" w:rsidRDefault="007D76BB">
      <w:pPr>
        <w:pStyle w:val="BodyText"/>
        <w:spacing w:before="3" w:after="1"/>
        <w:rPr>
          <w:b/>
          <w:sz w:val="15"/>
        </w:rPr>
      </w:pPr>
    </w:p>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0"/>
        <w:gridCol w:w="1188"/>
        <w:gridCol w:w="1452"/>
        <w:gridCol w:w="2086"/>
        <w:gridCol w:w="1524"/>
        <w:gridCol w:w="1670"/>
      </w:tblGrid>
      <w:tr w:rsidR="007D76BB">
        <w:trPr>
          <w:trHeight w:val="1230"/>
        </w:trPr>
        <w:tc>
          <w:tcPr>
            <w:tcW w:w="1610" w:type="dxa"/>
            <w:shd w:val="clear" w:color="auto" w:fill="006CA7"/>
          </w:tcPr>
          <w:p w:rsidR="007D76BB" w:rsidRDefault="007D76BB">
            <w:pPr>
              <w:pStyle w:val="TableParagraph"/>
              <w:rPr>
                <w:rFonts w:ascii="Times New Roman"/>
                <w:sz w:val="20"/>
              </w:rPr>
            </w:pPr>
          </w:p>
        </w:tc>
        <w:tc>
          <w:tcPr>
            <w:tcW w:w="1188" w:type="dxa"/>
            <w:shd w:val="clear" w:color="auto" w:fill="006CA7"/>
          </w:tcPr>
          <w:p w:rsidR="007D76BB" w:rsidRDefault="00D70D28">
            <w:pPr>
              <w:pStyle w:val="TableParagraph"/>
              <w:spacing w:before="120"/>
              <w:ind w:left="113"/>
              <w:rPr>
                <w:rFonts w:ascii="Arial Black"/>
              </w:rPr>
            </w:pPr>
            <w:r>
              <w:rPr>
                <w:rFonts w:ascii="Arial Black"/>
                <w:color w:val="FFFFFF"/>
              </w:rPr>
              <w:t>Food</w:t>
            </w:r>
          </w:p>
        </w:tc>
        <w:tc>
          <w:tcPr>
            <w:tcW w:w="1452" w:type="dxa"/>
            <w:shd w:val="clear" w:color="auto" w:fill="006CA7"/>
          </w:tcPr>
          <w:p w:rsidR="007D76BB" w:rsidRDefault="00D70D28">
            <w:pPr>
              <w:pStyle w:val="TableParagraph"/>
              <w:spacing w:before="120"/>
              <w:ind w:left="112" w:right="75"/>
              <w:rPr>
                <w:rFonts w:ascii="Arial Black"/>
              </w:rPr>
            </w:pPr>
            <w:r>
              <w:rPr>
                <w:rFonts w:ascii="Arial Black"/>
                <w:color w:val="FFFFFF"/>
              </w:rPr>
              <w:t>Listed medicines</w:t>
            </w:r>
          </w:p>
        </w:tc>
        <w:tc>
          <w:tcPr>
            <w:tcW w:w="2086" w:type="dxa"/>
            <w:shd w:val="clear" w:color="auto" w:fill="006CA7"/>
          </w:tcPr>
          <w:p w:rsidR="007D76BB" w:rsidRDefault="00D70D28">
            <w:pPr>
              <w:pStyle w:val="TableParagraph"/>
              <w:spacing w:before="120"/>
              <w:ind w:left="110" w:right="75"/>
              <w:rPr>
                <w:rFonts w:ascii="Arial Black"/>
              </w:rPr>
            </w:pPr>
            <w:r>
              <w:rPr>
                <w:rFonts w:ascii="Arial Black"/>
                <w:color w:val="FFFFFF"/>
              </w:rPr>
              <w:t>Registered complementary medicines</w:t>
            </w:r>
          </w:p>
        </w:tc>
        <w:tc>
          <w:tcPr>
            <w:tcW w:w="1524" w:type="dxa"/>
            <w:shd w:val="clear" w:color="auto" w:fill="006CA7"/>
          </w:tcPr>
          <w:p w:rsidR="007D76BB" w:rsidRDefault="00D70D28">
            <w:pPr>
              <w:pStyle w:val="TableParagraph"/>
              <w:spacing w:before="120"/>
              <w:ind w:left="112" w:right="74"/>
              <w:rPr>
                <w:rFonts w:ascii="Arial Black"/>
              </w:rPr>
            </w:pPr>
            <w:r>
              <w:rPr>
                <w:rFonts w:ascii="Arial Black"/>
                <w:color w:val="FFFFFF"/>
              </w:rPr>
              <w:t>Registered OTC</w:t>
            </w:r>
          </w:p>
          <w:p w:rsidR="007D76BB" w:rsidRDefault="00D70D28">
            <w:pPr>
              <w:pStyle w:val="TableParagraph"/>
              <w:spacing w:before="1"/>
              <w:ind w:left="112"/>
              <w:rPr>
                <w:rFonts w:ascii="Arial Black"/>
              </w:rPr>
            </w:pPr>
            <w:r>
              <w:rPr>
                <w:rFonts w:ascii="Arial Black"/>
                <w:color w:val="FFFFFF"/>
              </w:rPr>
              <w:t>medicines</w:t>
            </w:r>
          </w:p>
        </w:tc>
        <w:tc>
          <w:tcPr>
            <w:tcW w:w="1670" w:type="dxa"/>
            <w:shd w:val="clear" w:color="auto" w:fill="006CA7"/>
          </w:tcPr>
          <w:p w:rsidR="007D76BB" w:rsidRDefault="00D70D28">
            <w:pPr>
              <w:pStyle w:val="TableParagraph"/>
              <w:spacing w:before="120"/>
              <w:ind w:left="112" w:right="73"/>
              <w:rPr>
                <w:rFonts w:ascii="Arial Black"/>
              </w:rPr>
            </w:pPr>
            <w:r>
              <w:rPr>
                <w:rFonts w:ascii="Arial Black"/>
                <w:color w:val="FFFFFF"/>
              </w:rPr>
              <w:t>Registered prescription medicines</w:t>
            </w:r>
          </w:p>
        </w:tc>
      </w:tr>
      <w:tr w:rsidR="007D76BB">
        <w:trPr>
          <w:trHeight w:val="377"/>
        </w:trPr>
        <w:tc>
          <w:tcPr>
            <w:tcW w:w="1610" w:type="dxa"/>
            <w:tcBorders>
              <w:left w:val="single" w:sz="8" w:space="0" w:color="002C46"/>
              <w:bottom w:val="nil"/>
              <w:right w:val="single" w:sz="8" w:space="0" w:color="002C46"/>
            </w:tcBorders>
            <w:shd w:val="clear" w:color="auto" w:fill="EBEDEE"/>
          </w:tcPr>
          <w:p w:rsidR="007D76BB" w:rsidRDefault="007D76BB">
            <w:pPr>
              <w:pStyle w:val="TableParagraph"/>
              <w:rPr>
                <w:rFonts w:ascii="Times New Roman"/>
                <w:sz w:val="20"/>
              </w:rPr>
            </w:pPr>
          </w:p>
        </w:tc>
        <w:tc>
          <w:tcPr>
            <w:tcW w:w="1188" w:type="dxa"/>
            <w:tcBorders>
              <w:left w:val="single" w:sz="8" w:space="0" w:color="002C46"/>
              <w:bottom w:val="nil"/>
              <w:right w:val="single" w:sz="8" w:space="0" w:color="002C46"/>
            </w:tcBorders>
          </w:tcPr>
          <w:p w:rsidR="007D76BB" w:rsidRDefault="00D70D28">
            <w:pPr>
              <w:pStyle w:val="TableParagraph"/>
              <w:spacing w:before="119" w:line="238" w:lineRule="exact"/>
              <w:ind w:left="108"/>
            </w:pPr>
            <w:r>
              <w:t>Compliant</w:t>
            </w:r>
          </w:p>
        </w:tc>
        <w:tc>
          <w:tcPr>
            <w:tcW w:w="1452" w:type="dxa"/>
            <w:tcBorders>
              <w:left w:val="single" w:sz="8" w:space="0" w:color="002C46"/>
              <w:bottom w:val="nil"/>
              <w:right w:val="single" w:sz="8" w:space="0" w:color="002C46"/>
            </w:tcBorders>
          </w:tcPr>
          <w:p w:rsidR="007D76BB" w:rsidRDefault="00D70D28">
            <w:pPr>
              <w:pStyle w:val="TableParagraph"/>
              <w:spacing w:before="119" w:line="238" w:lineRule="exact"/>
              <w:ind w:left="107"/>
            </w:pPr>
            <w:r>
              <w:t>Cannot</w:t>
            </w:r>
          </w:p>
        </w:tc>
        <w:tc>
          <w:tcPr>
            <w:tcW w:w="2086" w:type="dxa"/>
            <w:tcBorders>
              <w:left w:val="single" w:sz="8" w:space="0" w:color="002C46"/>
              <w:bottom w:val="nil"/>
              <w:right w:val="single" w:sz="8" w:space="0" w:color="002C46"/>
            </w:tcBorders>
          </w:tcPr>
          <w:p w:rsidR="007D76BB" w:rsidRDefault="00D70D28">
            <w:pPr>
              <w:pStyle w:val="TableParagraph"/>
              <w:spacing w:before="119" w:line="238" w:lineRule="exact"/>
              <w:ind w:left="105"/>
            </w:pPr>
            <w:r>
              <w:t>May include a</w:t>
            </w:r>
          </w:p>
        </w:tc>
        <w:tc>
          <w:tcPr>
            <w:tcW w:w="1524" w:type="dxa"/>
            <w:tcBorders>
              <w:left w:val="single" w:sz="8" w:space="0" w:color="002C46"/>
              <w:bottom w:val="nil"/>
              <w:right w:val="single" w:sz="8" w:space="0" w:color="002C46"/>
            </w:tcBorders>
          </w:tcPr>
          <w:p w:rsidR="007D76BB" w:rsidRDefault="00D70D28">
            <w:pPr>
              <w:pStyle w:val="TableParagraph"/>
              <w:spacing w:before="119" w:line="238" w:lineRule="exact"/>
              <w:ind w:left="107"/>
            </w:pPr>
            <w:r>
              <w:t>May include a</w:t>
            </w:r>
          </w:p>
        </w:tc>
        <w:tc>
          <w:tcPr>
            <w:tcW w:w="1670" w:type="dxa"/>
            <w:tcBorders>
              <w:left w:val="single" w:sz="8" w:space="0" w:color="002C46"/>
              <w:bottom w:val="nil"/>
              <w:right w:val="single" w:sz="8" w:space="0" w:color="002C46"/>
            </w:tcBorders>
          </w:tcPr>
          <w:p w:rsidR="007D76BB" w:rsidRDefault="00D70D28">
            <w:pPr>
              <w:pStyle w:val="TableParagraph"/>
              <w:spacing w:before="119" w:line="238" w:lineRule="exact"/>
              <w:ind w:left="107"/>
            </w:pPr>
            <w:r>
              <w:t>May include a</w:t>
            </w:r>
          </w:p>
        </w:tc>
      </w:tr>
      <w:tr w:rsidR="007D76BB">
        <w:trPr>
          <w:trHeight w:val="774"/>
        </w:trPr>
        <w:tc>
          <w:tcPr>
            <w:tcW w:w="1610" w:type="dxa"/>
            <w:tcBorders>
              <w:top w:val="nil"/>
              <w:left w:val="single" w:sz="8" w:space="0" w:color="002C46"/>
              <w:bottom w:val="nil"/>
              <w:right w:val="single" w:sz="8" w:space="0" w:color="002C46"/>
            </w:tcBorders>
            <w:shd w:val="clear" w:color="auto" w:fill="EBEDEE"/>
          </w:tcPr>
          <w:p w:rsidR="007D76BB" w:rsidRDefault="00D70D28">
            <w:pPr>
              <w:pStyle w:val="TableParagraph"/>
              <w:spacing w:before="181"/>
              <w:ind w:left="107" w:right="69"/>
              <w:rPr>
                <w:b/>
              </w:rPr>
            </w:pPr>
            <w:r>
              <w:rPr>
                <w:b/>
              </w:rPr>
              <w:t>Ingredient requirements</w:t>
            </w:r>
          </w:p>
        </w:tc>
        <w:tc>
          <w:tcPr>
            <w:tcW w:w="1188" w:type="dxa"/>
            <w:tcBorders>
              <w:top w:val="nil"/>
              <w:left w:val="single" w:sz="8" w:space="0" w:color="002C46"/>
              <w:bottom w:val="nil"/>
              <w:right w:val="single" w:sz="8" w:space="0" w:color="002C46"/>
            </w:tcBorders>
          </w:tcPr>
          <w:p w:rsidR="007D76BB" w:rsidRDefault="00D70D28">
            <w:pPr>
              <w:pStyle w:val="TableParagraph"/>
              <w:spacing w:before="1"/>
              <w:ind w:left="108" w:right="261"/>
            </w:pPr>
            <w:r>
              <w:t>with the Food</w:t>
            </w:r>
          </w:p>
          <w:p w:rsidR="007D76BB" w:rsidRDefault="00D70D28">
            <w:pPr>
              <w:pStyle w:val="TableParagraph"/>
              <w:spacing w:line="237" w:lineRule="exact"/>
              <w:ind w:left="108"/>
            </w:pPr>
            <w:r>
              <w:t>Standards</w:t>
            </w:r>
          </w:p>
        </w:tc>
        <w:tc>
          <w:tcPr>
            <w:tcW w:w="1452" w:type="dxa"/>
            <w:tcBorders>
              <w:top w:val="nil"/>
              <w:left w:val="single" w:sz="8" w:space="0" w:color="002C46"/>
              <w:bottom w:val="nil"/>
              <w:right w:val="single" w:sz="8" w:space="0" w:color="002C46"/>
            </w:tcBorders>
          </w:tcPr>
          <w:p w:rsidR="007D76BB" w:rsidRDefault="00D70D28">
            <w:pPr>
              <w:pStyle w:val="TableParagraph"/>
              <w:spacing w:before="1"/>
              <w:ind w:left="107" w:right="365"/>
            </w:pPr>
            <w:r>
              <w:t>contain a substance</w:t>
            </w:r>
          </w:p>
          <w:p w:rsidR="007D76BB" w:rsidRDefault="00D70D28">
            <w:pPr>
              <w:pStyle w:val="TableParagraph"/>
              <w:spacing w:line="237" w:lineRule="exact"/>
              <w:ind w:left="107"/>
            </w:pPr>
            <w:r>
              <w:t>included in a</w:t>
            </w:r>
          </w:p>
        </w:tc>
        <w:tc>
          <w:tcPr>
            <w:tcW w:w="2086" w:type="dxa"/>
            <w:tcBorders>
              <w:top w:val="nil"/>
              <w:left w:val="single" w:sz="8" w:space="0" w:color="002C46"/>
              <w:bottom w:val="nil"/>
              <w:right w:val="single" w:sz="8" w:space="0" w:color="002C46"/>
            </w:tcBorders>
          </w:tcPr>
          <w:p w:rsidR="007D76BB" w:rsidRDefault="00D70D28">
            <w:pPr>
              <w:pStyle w:val="TableParagraph"/>
              <w:spacing w:before="1"/>
              <w:ind w:left="105" w:right="19"/>
            </w:pPr>
            <w:r>
              <w:t xml:space="preserve">substance </w:t>
            </w:r>
            <w:r>
              <w:rPr>
                <w:spacing w:val="-3"/>
              </w:rPr>
              <w:t xml:space="preserve">included </w:t>
            </w:r>
            <w:r>
              <w:t>in Schedules 2 or</w:t>
            </w:r>
            <w:r>
              <w:rPr>
                <w:spacing w:val="-6"/>
              </w:rPr>
              <w:t xml:space="preserve"> </w:t>
            </w:r>
            <w:r>
              <w:t>3</w:t>
            </w:r>
          </w:p>
          <w:p w:rsidR="007D76BB" w:rsidRDefault="00D70D28">
            <w:pPr>
              <w:pStyle w:val="TableParagraph"/>
              <w:spacing w:line="237" w:lineRule="exact"/>
              <w:ind w:left="105"/>
            </w:pPr>
            <w:r>
              <w:t>(not Schedules 4,</w:t>
            </w:r>
            <w:r>
              <w:rPr>
                <w:spacing w:val="-7"/>
              </w:rPr>
              <w:t xml:space="preserve"> </w:t>
            </w:r>
            <w:r>
              <w:t>8</w:t>
            </w:r>
          </w:p>
        </w:tc>
        <w:tc>
          <w:tcPr>
            <w:tcW w:w="1524" w:type="dxa"/>
            <w:tcBorders>
              <w:top w:val="nil"/>
              <w:left w:val="single" w:sz="8" w:space="0" w:color="002C46"/>
              <w:bottom w:val="nil"/>
              <w:right w:val="single" w:sz="8" w:space="0" w:color="002C46"/>
            </w:tcBorders>
          </w:tcPr>
          <w:p w:rsidR="007D76BB" w:rsidRDefault="00D70D28">
            <w:pPr>
              <w:pStyle w:val="TableParagraph"/>
              <w:spacing w:before="1"/>
              <w:ind w:left="107"/>
            </w:pPr>
            <w:r>
              <w:t>substance included</w:t>
            </w:r>
            <w:r>
              <w:rPr>
                <w:spacing w:val="3"/>
              </w:rPr>
              <w:t xml:space="preserve"> </w:t>
            </w:r>
            <w:r>
              <w:rPr>
                <w:spacing w:val="-8"/>
              </w:rPr>
              <w:t>in</w:t>
            </w:r>
          </w:p>
          <w:p w:rsidR="007D76BB" w:rsidRDefault="00D70D28">
            <w:pPr>
              <w:pStyle w:val="TableParagraph"/>
              <w:spacing w:line="237" w:lineRule="exact"/>
              <w:ind w:left="107"/>
            </w:pPr>
            <w:r>
              <w:t>Schedules</w:t>
            </w:r>
            <w:r>
              <w:rPr>
                <w:spacing w:val="-3"/>
              </w:rPr>
              <w:t xml:space="preserve"> </w:t>
            </w:r>
            <w:r>
              <w:t>2</w:t>
            </w:r>
          </w:p>
        </w:tc>
        <w:tc>
          <w:tcPr>
            <w:tcW w:w="1670" w:type="dxa"/>
            <w:tcBorders>
              <w:top w:val="nil"/>
              <w:left w:val="single" w:sz="8" w:space="0" w:color="002C46"/>
              <w:bottom w:val="nil"/>
              <w:right w:val="single" w:sz="8" w:space="0" w:color="002C46"/>
            </w:tcBorders>
          </w:tcPr>
          <w:p w:rsidR="007D76BB" w:rsidRDefault="00D70D28">
            <w:pPr>
              <w:pStyle w:val="TableParagraph"/>
              <w:spacing w:before="1"/>
              <w:ind w:left="107" w:right="477"/>
            </w:pPr>
            <w:r>
              <w:t>substance included in</w:t>
            </w:r>
          </w:p>
          <w:p w:rsidR="007D76BB" w:rsidRDefault="00D70D28">
            <w:pPr>
              <w:pStyle w:val="TableParagraph"/>
              <w:spacing w:line="237" w:lineRule="exact"/>
              <w:ind w:left="107"/>
            </w:pPr>
            <w:r>
              <w:t>Schedules 4, 8</w:t>
            </w:r>
          </w:p>
        </w:tc>
      </w:tr>
      <w:tr w:rsidR="007D76BB">
        <w:trPr>
          <w:trHeight w:val="257"/>
        </w:trPr>
        <w:tc>
          <w:tcPr>
            <w:tcW w:w="1610" w:type="dxa"/>
            <w:tcBorders>
              <w:top w:val="nil"/>
              <w:left w:val="single" w:sz="8" w:space="0" w:color="002C46"/>
              <w:bottom w:val="nil"/>
              <w:right w:val="single" w:sz="8" w:space="0" w:color="002C46"/>
            </w:tcBorders>
            <w:shd w:val="clear" w:color="auto" w:fill="EBEDEE"/>
          </w:tcPr>
          <w:p w:rsidR="007D76BB" w:rsidRDefault="007D76BB">
            <w:pPr>
              <w:pStyle w:val="TableParagraph"/>
              <w:rPr>
                <w:rFonts w:ascii="Times New Roman"/>
                <w:sz w:val="18"/>
              </w:rPr>
            </w:pPr>
          </w:p>
        </w:tc>
        <w:tc>
          <w:tcPr>
            <w:tcW w:w="1188" w:type="dxa"/>
            <w:tcBorders>
              <w:top w:val="nil"/>
              <w:left w:val="single" w:sz="8" w:space="0" w:color="002C46"/>
              <w:bottom w:val="nil"/>
              <w:right w:val="single" w:sz="8" w:space="0" w:color="002C46"/>
            </w:tcBorders>
          </w:tcPr>
          <w:p w:rsidR="007D76BB" w:rsidRDefault="00D70D28">
            <w:pPr>
              <w:pStyle w:val="TableParagraph"/>
              <w:spacing w:line="238" w:lineRule="exact"/>
              <w:ind w:left="108"/>
            </w:pPr>
            <w:r>
              <w:t>Code</w:t>
            </w:r>
          </w:p>
        </w:tc>
        <w:tc>
          <w:tcPr>
            <w:tcW w:w="1452" w:type="dxa"/>
            <w:tcBorders>
              <w:top w:val="nil"/>
              <w:left w:val="single" w:sz="8" w:space="0" w:color="002C46"/>
              <w:bottom w:val="nil"/>
              <w:right w:val="single" w:sz="8" w:space="0" w:color="002C46"/>
            </w:tcBorders>
          </w:tcPr>
          <w:p w:rsidR="007D76BB" w:rsidRDefault="00D70D28">
            <w:pPr>
              <w:pStyle w:val="TableParagraph"/>
              <w:spacing w:line="238" w:lineRule="exact"/>
              <w:ind w:left="107"/>
            </w:pPr>
            <w:r>
              <w:t>Schedule to</w:t>
            </w:r>
          </w:p>
        </w:tc>
        <w:tc>
          <w:tcPr>
            <w:tcW w:w="2086" w:type="dxa"/>
            <w:tcBorders>
              <w:top w:val="nil"/>
              <w:left w:val="single" w:sz="8" w:space="0" w:color="002C46"/>
              <w:bottom w:val="nil"/>
              <w:right w:val="single" w:sz="8" w:space="0" w:color="002C46"/>
            </w:tcBorders>
          </w:tcPr>
          <w:p w:rsidR="007D76BB" w:rsidRDefault="00D70D28">
            <w:pPr>
              <w:pStyle w:val="TableParagraph"/>
              <w:spacing w:line="238" w:lineRule="exact"/>
              <w:ind w:left="105"/>
            </w:pPr>
            <w:r>
              <w:t>and 9) or an</w:t>
            </w:r>
          </w:p>
        </w:tc>
        <w:tc>
          <w:tcPr>
            <w:tcW w:w="1524" w:type="dxa"/>
            <w:tcBorders>
              <w:top w:val="nil"/>
              <w:left w:val="single" w:sz="8" w:space="0" w:color="002C46"/>
              <w:bottom w:val="nil"/>
              <w:right w:val="single" w:sz="8" w:space="0" w:color="002C46"/>
            </w:tcBorders>
          </w:tcPr>
          <w:p w:rsidR="007D76BB" w:rsidRDefault="00D70D28">
            <w:pPr>
              <w:pStyle w:val="TableParagraph"/>
              <w:spacing w:line="238" w:lineRule="exact"/>
              <w:ind w:left="107"/>
            </w:pPr>
            <w:r>
              <w:t>or 3 (not</w:t>
            </w:r>
          </w:p>
        </w:tc>
        <w:tc>
          <w:tcPr>
            <w:tcW w:w="1670" w:type="dxa"/>
            <w:tcBorders>
              <w:top w:val="nil"/>
              <w:left w:val="single" w:sz="8" w:space="0" w:color="002C46"/>
              <w:bottom w:val="nil"/>
              <w:right w:val="single" w:sz="8" w:space="0" w:color="002C46"/>
            </w:tcBorders>
          </w:tcPr>
          <w:p w:rsidR="007D76BB" w:rsidRDefault="00D70D28">
            <w:pPr>
              <w:pStyle w:val="TableParagraph"/>
              <w:spacing w:line="238" w:lineRule="exact"/>
              <w:ind w:left="107"/>
            </w:pPr>
            <w:r>
              <w:t>and 9 of the</w:t>
            </w:r>
          </w:p>
        </w:tc>
      </w:tr>
      <w:tr w:rsidR="007D76BB">
        <w:trPr>
          <w:trHeight w:val="258"/>
        </w:trPr>
        <w:tc>
          <w:tcPr>
            <w:tcW w:w="1610" w:type="dxa"/>
            <w:tcBorders>
              <w:top w:val="nil"/>
              <w:left w:val="single" w:sz="8" w:space="0" w:color="002C46"/>
              <w:bottom w:val="nil"/>
              <w:right w:val="single" w:sz="8" w:space="0" w:color="002C46"/>
            </w:tcBorders>
            <w:shd w:val="clear" w:color="auto" w:fill="EBEDEE"/>
          </w:tcPr>
          <w:p w:rsidR="007D76BB" w:rsidRDefault="007D76BB">
            <w:pPr>
              <w:pStyle w:val="TableParagraph"/>
              <w:rPr>
                <w:rFonts w:ascii="Times New Roman"/>
                <w:sz w:val="18"/>
              </w:rPr>
            </w:pPr>
          </w:p>
        </w:tc>
        <w:tc>
          <w:tcPr>
            <w:tcW w:w="1188" w:type="dxa"/>
            <w:tcBorders>
              <w:top w:val="nil"/>
              <w:left w:val="single" w:sz="8" w:space="0" w:color="002C46"/>
              <w:bottom w:val="nil"/>
              <w:right w:val="single" w:sz="8" w:space="0" w:color="002C46"/>
            </w:tcBorders>
          </w:tcPr>
          <w:p w:rsidR="007D76BB" w:rsidRDefault="007D76BB">
            <w:pPr>
              <w:pStyle w:val="TableParagraph"/>
              <w:rPr>
                <w:rFonts w:ascii="Times New Roman"/>
                <w:sz w:val="18"/>
              </w:rPr>
            </w:pPr>
          </w:p>
        </w:tc>
        <w:tc>
          <w:tcPr>
            <w:tcW w:w="1452" w:type="dxa"/>
            <w:tcBorders>
              <w:top w:val="nil"/>
              <w:left w:val="single" w:sz="8" w:space="0" w:color="002C46"/>
              <w:bottom w:val="nil"/>
              <w:right w:val="single" w:sz="8" w:space="0" w:color="002C46"/>
            </w:tcBorders>
          </w:tcPr>
          <w:p w:rsidR="007D76BB" w:rsidRDefault="00D70D28">
            <w:pPr>
              <w:pStyle w:val="TableParagraph"/>
              <w:spacing w:before="1" w:line="237" w:lineRule="exact"/>
              <w:ind w:left="107"/>
            </w:pPr>
            <w:r>
              <w:t>the Poisons</w:t>
            </w:r>
          </w:p>
        </w:tc>
        <w:tc>
          <w:tcPr>
            <w:tcW w:w="2086" w:type="dxa"/>
            <w:tcBorders>
              <w:top w:val="nil"/>
              <w:left w:val="single" w:sz="8" w:space="0" w:color="002C46"/>
              <w:bottom w:val="nil"/>
              <w:right w:val="single" w:sz="8" w:space="0" w:color="002C46"/>
            </w:tcBorders>
          </w:tcPr>
          <w:p w:rsidR="007D76BB" w:rsidRDefault="00D70D28">
            <w:pPr>
              <w:pStyle w:val="TableParagraph"/>
              <w:spacing w:before="1" w:line="237" w:lineRule="exact"/>
              <w:ind w:left="105"/>
            </w:pPr>
            <w:r>
              <w:t>appendix of the</w:t>
            </w:r>
          </w:p>
        </w:tc>
        <w:tc>
          <w:tcPr>
            <w:tcW w:w="1524" w:type="dxa"/>
            <w:tcBorders>
              <w:top w:val="nil"/>
              <w:left w:val="single" w:sz="8" w:space="0" w:color="002C46"/>
              <w:bottom w:val="nil"/>
              <w:right w:val="single" w:sz="8" w:space="0" w:color="002C46"/>
            </w:tcBorders>
          </w:tcPr>
          <w:p w:rsidR="007D76BB" w:rsidRDefault="00D70D28">
            <w:pPr>
              <w:pStyle w:val="TableParagraph"/>
              <w:spacing w:before="1" w:line="237" w:lineRule="exact"/>
              <w:ind w:left="107"/>
            </w:pPr>
            <w:r>
              <w:t>Schedules 4,</w:t>
            </w:r>
          </w:p>
        </w:tc>
        <w:tc>
          <w:tcPr>
            <w:tcW w:w="1670" w:type="dxa"/>
            <w:tcBorders>
              <w:top w:val="nil"/>
              <w:left w:val="single" w:sz="8" w:space="0" w:color="002C46"/>
              <w:bottom w:val="nil"/>
              <w:right w:val="single" w:sz="8" w:space="0" w:color="002C46"/>
            </w:tcBorders>
          </w:tcPr>
          <w:p w:rsidR="007D76BB" w:rsidRDefault="00A51832">
            <w:pPr>
              <w:pStyle w:val="TableParagraph"/>
              <w:spacing w:before="1" w:line="237" w:lineRule="exact"/>
              <w:ind w:left="107"/>
            </w:pPr>
            <w:hyperlink r:id="rId62">
              <w:r w:rsidR="00D70D28">
                <w:rPr>
                  <w:color w:val="0000FF"/>
                  <w:u w:val="single" w:color="0000FF"/>
                </w:rPr>
                <w:t>Poisons</w:t>
              </w:r>
            </w:hyperlink>
          </w:p>
        </w:tc>
      </w:tr>
      <w:tr w:rsidR="007D76BB">
        <w:trPr>
          <w:trHeight w:val="258"/>
        </w:trPr>
        <w:tc>
          <w:tcPr>
            <w:tcW w:w="1610" w:type="dxa"/>
            <w:tcBorders>
              <w:top w:val="nil"/>
              <w:left w:val="single" w:sz="8" w:space="0" w:color="002C46"/>
              <w:bottom w:val="nil"/>
              <w:right w:val="single" w:sz="8" w:space="0" w:color="002C46"/>
            </w:tcBorders>
            <w:shd w:val="clear" w:color="auto" w:fill="EBEDEE"/>
          </w:tcPr>
          <w:p w:rsidR="007D76BB" w:rsidRDefault="007D76BB">
            <w:pPr>
              <w:pStyle w:val="TableParagraph"/>
              <w:rPr>
                <w:rFonts w:ascii="Times New Roman"/>
                <w:sz w:val="18"/>
              </w:rPr>
            </w:pPr>
          </w:p>
        </w:tc>
        <w:tc>
          <w:tcPr>
            <w:tcW w:w="1188" w:type="dxa"/>
            <w:tcBorders>
              <w:top w:val="nil"/>
              <w:left w:val="single" w:sz="8" w:space="0" w:color="002C46"/>
              <w:bottom w:val="nil"/>
              <w:right w:val="single" w:sz="8" w:space="0" w:color="002C46"/>
            </w:tcBorders>
          </w:tcPr>
          <w:p w:rsidR="007D76BB" w:rsidRDefault="007D76BB">
            <w:pPr>
              <w:pStyle w:val="TableParagraph"/>
              <w:rPr>
                <w:rFonts w:ascii="Times New Roman"/>
                <w:sz w:val="18"/>
              </w:rPr>
            </w:pPr>
          </w:p>
        </w:tc>
        <w:tc>
          <w:tcPr>
            <w:tcW w:w="1452" w:type="dxa"/>
            <w:tcBorders>
              <w:top w:val="nil"/>
              <w:left w:val="single" w:sz="8" w:space="0" w:color="002C46"/>
              <w:bottom w:val="nil"/>
              <w:right w:val="single" w:sz="8" w:space="0" w:color="002C46"/>
            </w:tcBorders>
          </w:tcPr>
          <w:p w:rsidR="007D76BB" w:rsidRDefault="00D70D28">
            <w:pPr>
              <w:pStyle w:val="TableParagraph"/>
              <w:spacing w:line="238" w:lineRule="exact"/>
              <w:ind w:left="107"/>
            </w:pPr>
            <w:r>
              <w:t>Standard.</w:t>
            </w:r>
          </w:p>
        </w:tc>
        <w:tc>
          <w:tcPr>
            <w:tcW w:w="2086" w:type="dxa"/>
            <w:tcBorders>
              <w:top w:val="nil"/>
              <w:left w:val="single" w:sz="8" w:space="0" w:color="002C46"/>
              <w:bottom w:val="nil"/>
              <w:right w:val="single" w:sz="8" w:space="0" w:color="002C46"/>
            </w:tcBorders>
          </w:tcPr>
          <w:p w:rsidR="007D76BB" w:rsidRDefault="00A51832">
            <w:pPr>
              <w:pStyle w:val="TableParagraph"/>
              <w:spacing w:line="238" w:lineRule="exact"/>
              <w:ind w:left="105"/>
            </w:pPr>
            <w:hyperlink r:id="rId63">
              <w:r w:rsidR="00D70D28">
                <w:rPr>
                  <w:color w:val="0000FF"/>
                  <w:u w:val="single" w:color="0000FF"/>
                </w:rPr>
                <w:t>Poisons Standard</w:t>
              </w:r>
            </w:hyperlink>
          </w:p>
        </w:tc>
        <w:tc>
          <w:tcPr>
            <w:tcW w:w="1524" w:type="dxa"/>
            <w:tcBorders>
              <w:top w:val="nil"/>
              <w:left w:val="single" w:sz="8" w:space="0" w:color="002C46"/>
              <w:bottom w:val="nil"/>
              <w:right w:val="single" w:sz="8" w:space="0" w:color="002C46"/>
            </w:tcBorders>
          </w:tcPr>
          <w:p w:rsidR="007D76BB" w:rsidRDefault="00D70D28">
            <w:pPr>
              <w:pStyle w:val="TableParagraph"/>
              <w:spacing w:line="238" w:lineRule="exact"/>
              <w:ind w:left="107"/>
            </w:pPr>
            <w:r>
              <w:t>8 and 9) or</w:t>
            </w:r>
          </w:p>
        </w:tc>
        <w:tc>
          <w:tcPr>
            <w:tcW w:w="1670" w:type="dxa"/>
            <w:tcBorders>
              <w:top w:val="nil"/>
              <w:left w:val="single" w:sz="8" w:space="0" w:color="002C46"/>
              <w:bottom w:val="nil"/>
              <w:right w:val="single" w:sz="8" w:space="0" w:color="002C46"/>
            </w:tcBorders>
          </w:tcPr>
          <w:p w:rsidR="007D76BB" w:rsidRDefault="00A51832">
            <w:pPr>
              <w:pStyle w:val="TableParagraph"/>
              <w:spacing w:line="238" w:lineRule="exact"/>
              <w:ind w:left="107"/>
            </w:pPr>
            <w:hyperlink r:id="rId64">
              <w:r w:rsidR="00D70D28">
                <w:rPr>
                  <w:color w:val="0000FF"/>
                  <w:u w:val="single" w:color="0000FF"/>
                </w:rPr>
                <w:t>Standard</w:t>
              </w:r>
            </w:hyperlink>
          </w:p>
        </w:tc>
      </w:tr>
      <w:tr w:rsidR="007D76BB">
        <w:trPr>
          <w:trHeight w:val="258"/>
        </w:trPr>
        <w:tc>
          <w:tcPr>
            <w:tcW w:w="1610" w:type="dxa"/>
            <w:tcBorders>
              <w:top w:val="nil"/>
              <w:left w:val="single" w:sz="8" w:space="0" w:color="002C46"/>
              <w:bottom w:val="nil"/>
              <w:right w:val="single" w:sz="8" w:space="0" w:color="002C46"/>
            </w:tcBorders>
            <w:shd w:val="clear" w:color="auto" w:fill="EBEDEE"/>
          </w:tcPr>
          <w:p w:rsidR="007D76BB" w:rsidRDefault="007D76BB">
            <w:pPr>
              <w:pStyle w:val="TableParagraph"/>
              <w:rPr>
                <w:rFonts w:ascii="Times New Roman"/>
                <w:sz w:val="18"/>
              </w:rPr>
            </w:pPr>
          </w:p>
        </w:tc>
        <w:tc>
          <w:tcPr>
            <w:tcW w:w="1188" w:type="dxa"/>
            <w:tcBorders>
              <w:top w:val="nil"/>
              <w:left w:val="single" w:sz="8" w:space="0" w:color="002C46"/>
              <w:bottom w:val="nil"/>
              <w:right w:val="single" w:sz="8" w:space="0" w:color="002C46"/>
            </w:tcBorders>
          </w:tcPr>
          <w:p w:rsidR="007D76BB" w:rsidRDefault="007D76BB">
            <w:pPr>
              <w:pStyle w:val="TableParagraph"/>
              <w:rPr>
                <w:rFonts w:ascii="Times New Roman"/>
                <w:sz w:val="18"/>
              </w:rPr>
            </w:pPr>
          </w:p>
        </w:tc>
        <w:tc>
          <w:tcPr>
            <w:tcW w:w="1452" w:type="dxa"/>
            <w:tcBorders>
              <w:top w:val="nil"/>
              <w:left w:val="single" w:sz="8" w:space="0" w:color="002C46"/>
              <w:bottom w:val="nil"/>
              <w:right w:val="single" w:sz="8" w:space="0" w:color="002C46"/>
            </w:tcBorders>
          </w:tcPr>
          <w:p w:rsidR="007D76BB" w:rsidRDefault="00D70D28">
            <w:pPr>
              <w:pStyle w:val="TableParagraph"/>
              <w:spacing w:before="1" w:line="237" w:lineRule="exact"/>
              <w:ind w:left="107"/>
            </w:pPr>
            <w:r>
              <w:t>Can only use</w:t>
            </w:r>
          </w:p>
        </w:tc>
        <w:tc>
          <w:tcPr>
            <w:tcW w:w="2086" w:type="dxa"/>
            <w:tcBorders>
              <w:top w:val="nil"/>
              <w:left w:val="single" w:sz="8" w:space="0" w:color="002C46"/>
              <w:bottom w:val="nil"/>
              <w:right w:val="single" w:sz="8" w:space="0" w:color="002C46"/>
            </w:tcBorders>
          </w:tcPr>
          <w:p w:rsidR="007D76BB" w:rsidRDefault="007D76BB">
            <w:pPr>
              <w:pStyle w:val="TableParagraph"/>
              <w:rPr>
                <w:rFonts w:ascii="Times New Roman"/>
                <w:sz w:val="18"/>
              </w:rPr>
            </w:pPr>
          </w:p>
        </w:tc>
        <w:tc>
          <w:tcPr>
            <w:tcW w:w="1524" w:type="dxa"/>
            <w:tcBorders>
              <w:top w:val="nil"/>
              <w:left w:val="single" w:sz="8" w:space="0" w:color="002C46"/>
              <w:bottom w:val="nil"/>
              <w:right w:val="single" w:sz="8" w:space="0" w:color="002C46"/>
            </w:tcBorders>
          </w:tcPr>
          <w:p w:rsidR="007D76BB" w:rsidRDefault="00D70D28">
            <w:pPr>
              <w:pStyle w:val="TableParagraph"/>
              <w:spacing w:before="1" w:line="237" w:lineRule="exact"/>
              <w:ind w:left="107"/>
            </w:pPr>
            <w:r>
              <w:t>an appendix</w:t>
            </w:r>
          </w:p>
        </w:tc>
        <w:tc>
          <w:tcPr>
            <w:tcW w:w="1670" w:type="dxa"/>
            <w:tcBorders>
              <w:top w:val="nil"/>
              <w:left w:val="single" w:sz="8" w:space="0" w:color="002C46"/>
              <w:bottom w:val="nil"/>
              <w:right w:val="single" w:sz="8" w:space="0" w:color="002C46"/>
            </w:tcBorders>
          </w:tcPr>
          <w:p w:rsidR="007D76BB" w:rsidRDefault="007D76BB">
            <w:pPr>
              <w:pStyle w:val="TableParagraph"/>
              <w:rPr>
                <w:rFonts w:ascii="Times New Roman"/>
                <w:sz w:val="18"/>
              </w:rPr>
            </w:pPr>
          </w:p>
        </w:tc>
      </w:tr>
      <w:tr w:rsidR="007D76BB">
        <w:trPr>
          <w:trHeight w:val="256"/>
        </w:trPr>
        <w:tc>
          <w:tcPr>
            <w:tcW w:w="1610" w:type="dxa"/>
            <w:tcBorders>
              <w:top w:val="nil"/>
              <w:left w:val="single" w:sz="8" w:space="0" w:color="002C46"/>
              <w:bottom w:val="nil"/>
              <w:right w:val="single" w:sz="8" w:space="0" w:color="002C46"/>
            </w:tcBorders>
            <w:shd w:val="clear" w:color="auto" w:fill="EBEDEE"/>
          </w:tcPr>
          <w:p w:rsidR="007D76BB" w:rsidRDefault="007D76BB">
            <w:pPr>
              <w:pStyle w:val="TableParagraph"/>
              <w:rPr>
                <w:rFonts w:ascii="Times New Roman"/>
                <w:sz w:val="18"/>
              </w:rPr>
            </w:pPr>
          </w:p>
        </w:tc>
        <w:tc>
          <w:tcPr>
            <w:tcW w:w="1188" w:type="dxa"/>
            <w:tcBorders>
              <w:top w:val="nil"/>
              <w:left w:val="single" w:sz="8" w:space="0" w:color="002C46"/>
              <w:bottom w:val="nil"/>
              <w:right w:val="single" w:sz="8" w:space="0" w:color="002C46"/>
            </w:tcBorders>
          </w:tcPr>
          <w:p w:rsidR="007D76BB" w:rsidRDefault="007D76BB">
            <w:pPr>
              <w:pStyle w:val="TableParagraph"/>
              <w:rPr>
                <w:rFonts w:ascii="Times New Roman"/>
                <w:sz w:val="18"/>
              </w:rPr>
            </w:pPr>
          </w:p>
        </w:tc>
        <w:tc>
          <w:tcPr>
            <w:tcW w:w="1452" w:type="dxa"/>
            <w:tcBorders>
              <w:top w:val="nil"/>
              <w:left w:val="single" w:sz="8" w:space="0" w:color="002C46"/>
              <w:bottom w:val="nil"/>
              <w:right w:val="single" w:sz="8" w:space="0" w:color="002C46"/>
            </w:tcBorders>
          </w:tcPr>
          <w:p w:rsidR="007D76BB" w:rsidRDefault="00D70D28">
            <w:pPr>
              <w:pStyle w:val="TableParagraph"/>
              <w:spacing w:line="237" w:lineRule="exact"/>
              <w:ind w:left="107"/>
            </w:pPr>
            <w:r>
              <w:t>ingredients</w:t>
            </w:r>
          </w:p>
        </w:tc>
        <w:tc>
          <w:tcPr>
            <w:tcW w:w="2086" w:type="dxa"/>
            <w:tcBorders>
              <w:top w:val="nil"/>
              <w:left w:val="single" w:sz="8" w:space="0" w:color="002C46"/>
              <w:bottom w:val="nil"/>
              <w:right w:val="single" w:sz="8" w:space="0" w:color="002C46"/>
            </w:tcBorders>
          </w:tcPr>
          <w:p w:rsidR="007D76BB" w:rsidRDefault="007D76BB">
            <w:pPr>
              <w:pStyle w:val="TableParagraph"/>
              <w:rPr>
                <w:rFonts w:ascii="Times New Roman"/>
                <w:sz w:val="18"/>
              </w:rPr>
            </w:pPr>
          </w:p>
        </w:tc>
        <w:tc>
          <w:tcPr>
            <w:tcW w:w="1524" w:type="dxa"/>
            <w:tcBorders>
              <w:top w:val="nil"/>
              <w:left w:val="single" w:sz="8" w:space="0" w:color="002C46"/>
              <w:bottom w:val="nil"/>
              <w:right w:val="single" w:sz="8" w:space="0" w:color="002C46"/>
            </w:tcBorders>
          </w:tcPr>
          <w:p w:rsidR="007D76BB" w:rsidRDefault="00D70D28">
            <w:pPr>
              <w:pStyle w:val="TableParagraph"/>
              <w:spacing w:line="237" w:lineRule="exact"/>
              <w:ind w:left="107"/>
            </w:pPr>
            <w:r>
              <w:t>of the</w:t>
            </w:r>
          </w:p>
        </w:tc>
        <w:tc>
          <w:tcPr>
            <w:tcW w:w="1670" w:type="dxa"/>
            <w:tcBorders>
              <w:top w:val="nil"/>
              <w:left w:val="single" w:sz="8" w:space="0" w:color="002C46"/>
              <w:bottom w:val="nil"/>
              <w:right w:val="single" w:sz="8" w:space="0" w:color="002C46"/>
            </w:tcBorders>
          </w:tcPr>
          <w:p w:rsidR="007D76BB" w:rsidRDefault="007D76BB">
            <w:pPr>
              <w:pStyle w:val="TableParagraph"/>
              <w:rPr>
                <w:rFonts w:ascii="Times New Roman"/>
                <w:sz w:val="18"/>
              </w:rPr>
            </w:pPr>
          </w:p>
        </w:tc>
      </w:tr>
      <w:tr w:rsidR="007D76BB">
        <w:trPr>
          <w:trHeight w:val="257"/>
        </w:trPr>
        <w:tc>
          <w:tcPr>
            <w:tcW w:w="1610" w:type="dxa"/>
            <w:tcBorders>
              <w:top w:val="nil"/>
              <w:left w:val="single" w:sz="8" w:space="0" w:color="002C46"/>
              <w:bottom w:val="nil"/>
              <w:right w:val="single" w:sz="8" w:space="0" w:color="002C46"/>
            </w:tcBorders>
            <w:shd w:val="clear" w:color="auto" w:fill="EBEDEE"/>
          </w:tcPr>
          <w:p w:rsidR="007D76BB" w:rsidRDefault="007D76BB">
            <w:pPr>
              <w:pStyle w:val="TableParagraph"/>
              <w:rPr>
                <w:rFonts w:ascii="Times New Roman"/>
                <w:sz w:val="18"/>
              </w:rPr>
            </w:pPr>
          </w:p>
        </w:tc>
        <w:tc>
          <w:tcPr>
            <w:tcW w:w="1188" w:type="dxa"/>
            <w:tcBorders>
              <w:top w:val="nil"/>
              <w:left w:val="single" w:sz="8" w:space="0" w:color="002C46"/>
              <w:bottom w:val="nil"/>
              <w:right w:val="single" w:sz="8" w:space="0" w:color="002C46"/>
            </w:tcBorders>
          </w:tcPr>
          <w:p w:rsidR="007D76BB" w:rsidRDefault="007D76BB">
            <w:pPr>
              <w:pStyle w:val="TableParagraph"/>
              <w:rPr>
                <w:rFonts w:ascii="Times New Roman"/>
                <w:sz w:val="18"/>
              </w:rPr>
            </w:pPr>
          </w:p>
        </w:tc>
        <w:tc>
          <w:tcPr>
            <w:tcW w:w="1452" w:type="dxa"/>
            <w:tcBorders>
              <w:top w:val="nil"/>
              <w:left w:val="single" w:sz="8" w:space="0" w:color="002C46"/>
              <w:bottom w:val="nil"/>
              <w:right w:val="single" w:sz="8" w:space="0" w:color="002C46"/>
            </w:tcBorders>
          </w:tcPr>
          <w:p w:rsidR="007D76BB" w:rsidRDefault="00D70D28">
            <w:pPr>
              <w:pStyle w:val="TableParagraph"/>
              <w:spacing w:line="238" w:lineRule="exact"/>
              <w:ind w:left="107"/>
            </w:pPr>
            <w:r>
              <w:t>from a list of</w:t>
            </w:r>
          </w:p>
        </w:tc>
        <w:tc>
          <w:tcPr>
            <w:tcW w:w="2086" w:type="dxa"/>
            <w:tcBorders>
              <w:top w:val="nil"/>
              <w:left w:val="single" w:sz="8" w:space="0" w:color="002C46"/>
              <w:bottom w:val="nil"/>
              <w:right w:val="single" w:sz="8" w:space="0" w:color="002C46"/>
            </w:tcBorders>
          </w:tcPr>
          <w:p w:rsidR="007D76BB" w:rsidRDefault="007D76BB">
            <w:pPr>
              <w:pStyle w:val="TableParagraph"/>
              <w:rPr>
                <w:rFonts w:ascii="Times New Roman"/>
                <w:sz w:val="18"/>
              </w:rPr>
            </w:pPr>
          </w:p>
        </w:tc>
        <w:tc>
          <w:tcPr>
            <w:tcW w:w="1524" w:type="dxa"/>
            <w:tcBorders>
              <w:top w:val="nil"/>
              <w:left w:val="single" w:sz="8" w:space="0" w:color="002C46"/>
              <w:bottom w:val="nil"/>
              <w:right w:val="single" w:sz="8" w:space="0" w:color="002C46"/>
            </w:tcBorders>
          </w:tcPr>
          <w:p w:rsidR="007D76BB" w:rsidRDefault="00A51832">
            <w:pPr>
              <w:pStyle w:val="TableParagraph"/>
              <w:spacing w:line="238" w:lineRule="exact"/>
              <w:ind w:left="107"/>
            </w:pPr>
            <w:hyperlink r:id="rId65">
              <w:r w:rsidR="00D70D28">
                <w:rPr>
                  <w:color w:val="0000FF"/>
                  <w:u w:val="single" w:color="0000FF"/>
                </w:rPr>
                <w:t>Poisons</w:t>
              </w:r>
            </w:hyperlink>
          </w:p>
        </w:tc>
        <w:tc>
          <w:tcPr>
            <w:tcW w:w="1670" w:type="dxa"/>
            <w:tcBorders>
              <w:top w:val="nil"/>
              <w:left w:val="single" w:sz="8" w:space="0" w:color="002C46"/>
              <w:bottom w:val="nil"/>
              <w:right w:val="single" w:sz="8" w:space="0" w:color="002C46"/>
            </w:tcBorders>
          </w:tcPr>
          <w:p w:rsidR="007D76BB" w:rsidRDefault="007D76BB">
            <w:pPr>
              <w:pStyle w:val="TableParagraph"/>
              <w:rPr>
                <w:rFonts w:ascii="Times New Roman"/>
                <w:sz w:val="18"/>
              </w:rPr>
            </w:pPr>
          </w:p>
        </w:tc>
      </w:tr>
      <w:tr w:rsidR="007D76BB">
        <w:trPr>
          <w:trHeight w:val="696"/>
        </w:trPr>
        <w:tc>
          <w:tcPr>
            <w:tcW w:w="1610" w:type="dxa"/>
            <w:tcBorders>
              <w:top w:val="nil"/>
              <w:left w:val="single" w:sz="8" w:space="0" w:color="002C46"/>
              <w:bottom w:val="single" w:sz="8" w:space="0" w:color="002C46"/>
              <w:right w:val="single" w:sz="8" w:space="0" w:color="002C46"/>
            </w:tcBorders>
            <w:shd w:val="clear" w:color="auto" w:fill="EBEDEE"/>
          </w:tcPr>
          <w:p w:rsidR="007D76BB" w:rsidRDefault="007D76BB">
            <w:pPr>
              <w:pStyle w:val="TableParagraph"/>
              <w:rPr>
                <w:rFonts w:ascii="Times New Roman"/>
                <w:sz w:val="20"/>
              </w:rPr>
            </w:pPr>
          </w:p>
        </w:tc>
        <w:tc>
          <w:tcPr>
            <w:tcW w:w="1188" w:type="dxa"/>
            <w:tcBorders>
              <w:top w:val="nil"/>
              <w:left w:val="single" w:sz="8" w:space="0" w:color="002C46"/>
              <w:bottom w:val="single" w:sz="8" w:space="0" w:color="002C46"/>
              <w:right w:val="single" w:sz="8" w:space="0" w:color="002C46"/>
            </w:tcBorders>
          </w:tcPr>
          <w:p w:rsidR="007D76BB" w:rsidRDefault="007D76BB">
            <w:pPr>
              <w:pStyle w:val="TableParagraph"/>
              <w:rPr>
                <w:rFonts w:ascii="Times New Roman"/>
                <w:sz w:val="20"/>
              </w:rPr>
            </w:pPr>
          </w:p>
        </w:tc>
        <w:tc>
          <w:tcPr>
            <w:tcW w:w="1452" w:type="dxa"/>
            <w:tcBorders>
              <w:top w:val="nil"/>
              <w:left w:val="single" w:sz="8" w:space="0" w:color="002C46"/>
              <w:bottom w:val="single" w:sz="8" w:space="0" w:color="002C46"/>
              <w:right w:val="single" w:sz="8" w:space="0" w:color="002C46"/>
            </w:tcBorders>
          </w:tcPr>
          <w:p w:rsidR="007D76BB" w:rsidRDefault="00D70D28">
            <w:pPr>
              <w:pStyle w:val="TableParagraph"/>
              <w:spacing w:before="1"/>
              <w:ind w:left="107" w:right="231"/>
            </w:pPr>
            <w:r>
              <w:t>permitted ingredients</w:t>
            </w:r>
          </w:p>
        </w:tc>
        <w:tc>
          <w:tcPr>
            <w:tcW w:w="2086" w:type="dxa"/>
            <w:tcBorders>
              <w:top w:val="nil"/>
              <w:left w:val="single" w:sz="8" w:space="0" w:color="002C46"/>
              <w:bottom w:val="single" w:sz="8" w:space="0" w:color="002C46"/>
              <w:right w:val="single" w:sz="8" w:space="0" w:color="002C46"/>
            </w:tcBorders>
          </w:tcPr>
          <w:p w:rsidR="007D76BB" w:rsidRDefault="007D76BB">
            <w:pPr>
              <w:pStyle w:val="TableParagraph"/>
              <w:rPr>
                <w:rFonts w:ascii="Times New Roman"/>
                <w:sz w:val="20"/>
              </w:rPr>
            </w:pPr>
          </w:p>
        </w:tc>
        <w:tc>
          <w:tcPr>
            <w:tcW w:w="1524" w:type="dxa"/>
            <w:tcBorders>
              <w:top w:val="nil"/>
              <w:left w:val="single" w:sz="8" w:space="0" w:color="002C46"/>
              <w:bottom w:val="single" w:sz="8" w:space="0" w:color="002C46"/>
              <w:right w:val="single" w:sz="8" w:space="0" w:color="002C46"/>
            </w:tcBorders>
          </w:tcPr>
          <w:p w:rsidR="007D76BB" w:rsidRDefault="00A51832">
            <w:pPr>
              <w:pStyle w:val="TableParagraph"/>
              <w:spacing w:before="1"/>
              <w:ind w:left="107"/>
            </w:pPr>
            <w:hyperlink r:id="rId66">
              <w:r w:rsidR="00D70D28">
                <w:rPr>
                  <w:color w:val="0000FF"/>
                  <w:u w:val="single" w:color="0000FF"/>
                </w:rPr>
                <w:t>Standard</w:t>
              </w:r>
            </w:hyperlink>
          </w:p>
        </w:tc>
        <w:tc>
          <w:tcPr>
            <w:tcW w:w="1670" w:type="dxa"/>
            <w:tcBorders>
              <w:top w:val="nil"/>
              <w:left w:val="single" w:sz="8" w:space="0" w:color="002C46"/>
              <w:bottom w:val="single" w:sz="8" w:space="0" w:color="002C46"/>
              <w:right w:val="single" w:sz="8" w:space="0" w:color="002C46"/>
            </w:tcBorders>
          </w:tcPr>
          <w:p w:rsidR="007D76BB" w:rsidRDefault="007D76BB">
            <w:pPr>
              <w:pStyle w:val="TableParagraph"/>
              <w:rPr>
                <w:rFonts w:ascii="Times New Roman"/>
                <w:sz w:val="20"/>
              </w:rPr>
            </w:pPr>
          </w:p>
        </w:tc>
      </w:tr>
    </w:tbl>
    <w:p w:rsidR="007D76BB" w:rsidRDefault="00D70D28">
      <w:pPr>
        <w:tabs>
          <w:tab w:val="left" w:pos="7400"/>
        </w:tabs>
        <w:spacing w:before="41"/>
        <w:ind w:left="848"/>
        <w:rPr>
          <w:rFonts w:ascii="Arial"/>
          <w:b/>
          <w:sz w:val="24"/>
        </w:rPr>
      </w:pPr>
      <w:r>
        <w:rPr>
          <w:noProof/>
          <w:lang w:val="en-AU" w:eastAsia="en-AU"/>
        </w:rPr>
        <mc:AlternateContent>
          <mc:Choice Requires="wpg">
            <w:drawing>
              <wp:anchor distT="0" distB="0" distL="114300" distR="114300" simplePos="0" relativeHeight="251665408" behindDoc="0" locked="0" layoutInCell="1" allowOverlap="1">
                <wp:simplePos x="0" y="0"/>
                <wp:positionH relativeFrom="page">
                  <wp:posOffset>900430</wp:posOffset>
                </wp:positionH>
                <wp:positionV relativeFrom="paragraph">
                  <wp:posOffset>182245</wp:posOffset>
                </wp:positionV>
                <wp:extent cx="6062345" cy="282575"/>
                <wp:effectExtent l="0" t="0" r="0" b="0"/>
                <wp:wrapNone/>
                <wp:docPr id="430"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2345" cy="282575"/>
                          <a:chOff x="1418" y="287"/>
                          <a:chExt cx="9547" cy="445"/>
                        </a:xfrm>
                      </wpg:grpSpPr>
                      <wps:wsp>
                        <wps:cNvPr id="431" name="Line 291"/>
                        <wps:cNvCnPr>
                          <a:cxnSpLocks noChangeShapeType="1"/>
                        </wps:cNvCnPr>
                        <wps:spPr bwMode="auto">
                          <a:xfrm>
                            <a:off x="1418" y="727"/>
                            <a:ext cx="734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 name="Rectangle 290"/>
                        <wps:cNvSpPr>
                          <a:spLocks noChangeArrowheads="1"/>
                        </wps:cNvSpPr>
                        <wps:spPr bwMode="auto">
                          <a:xfrm>
                            <a:off x="8757" y="7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Line 289"/>
                        <wps:cNvCnPr>
                          <a:cxnSpLocks noChangeShapeType="1"/>
                        </wps:cNvCnPr>
                        <wps:spPr bwMode="auto">
                          <a:xfrm>
                            <a:off x="8767" y="727"/>
                            <a:ext cx="1371"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4" name="Picture 28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447" y="304"/>
                            <a:ext cx="9500"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5" name="Freeform 287"/>
                        <wps:cNvSpPr>
                          <a:spLocks/>
                        </wps:cNvSpPr>
                        <wps:spPr bwMode="auto">
                          <a:xfrm>
                            <a:off x="1450" y="307"/>
                            <a:ext cx="9495" cy="389"/>
                          </a:xfrm>
                          <a:custGeom>
                            <a:avLst/>
                            <a:gdLst>
                              <a:gd name="T0" fmla="+- 0 1450 1450"/>
                              <a:gd name="T1" fmla="*/ T0 w 9495"/>
                              <a:gd name="T2" fmla="+- 0 405 307"/>
                              <a:gd name="T3" fmla="*/ 405 h 389"/>
                              <a:gd name="T4" fmla="+- 0 10751 1450"/>
                              <a:gd name="T5" fmla="*/ T4 w 9495"/>
                              <a:gd name="T6" fmla="+- 0 405 307"/>
                              <a:gd name="T7" fmla="*/ 405 h 389"/>
                              <a:gd name="T8" fmla="+- 0 10751 1450"/>
                              <a:gd name="T9" fmla="*/ T8 w 9495"/>
                              <a:gd name="T10" fmla="+- 0 307 307"/>
                              <a:gd name="T11" fmla="*/ 307 h 389"/>
                              <a:gd name="T12" fmla="+- 0 10945 1450"/>
                              <a:gd name="T13" fmla="*/ T12 w 9495"/>
                              <a:gd name="T14" fmla="+- 0 502 307"/>
                              <a:gd name="T15" fmla="*/ 502 h 389"/>
                              <a:gd name="T16" fmla="+- 0 10751 1450"/>
                              <a:gd name="T17" fmla="*/ T16 w 9495"/>
                              <a:gd name="T18" fmla="+- 0 696 307"/>
                              <a:gd name="T19" fmla="*/ 696 h 389"/>
                              <a:gd name="T20" fmla="+- 0 10751 1450"/>
                              <a:gd name="T21" fmla="*/ T20 w 9495"/>
                              <a:gd name="T22" fmla="+- 0 599 307"/>
                              <a:gd name="T23" fmla="*/ 599 h 389"/>
                              <a:gd name="T24" fmla="+- 0 1450 1450"/>
                              <a:gd name="T25" fmla="*/ T24 w 9495"/>
                              <a:gd name="T26" fmla="+- 0 599 307"/>
                              <a:gd name="T27" fmla="*/ 599 h 389"/>
                              <a:gd name="T28" fmla="+- 0 1450 1450"/>
                              <a:gd name="T29" fmla="*/ T28 w 9495"/>
                              <a:gd name="T30" fmla="+- 0 405 307"/>
                              <a:gd name="T31" fmla="*/ 405 h 3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95" h="389">
                                <a:moveTo>
                                  <a:pt x="0" y="98"/>
                                </a:moveTo>
                                <a:lnTo>
                                  <a:pt x="9301" y="98"/>
                                </a:lnTo>
                                <a:lnTo>
                                  <a:pt x="9301" y="0"/>
                                </a:lnTo>
                                <a:lnTo>
                                  <a:pt x="9495" y="195"/>
                                </a:lnTo>
                                <a:lnTo>
                                  <a:pt x="9301" y="389"/>
                                </a:lnTo>
                                <a:lnTo>
                                  <a:pt x="9301" y="292"/>
                                </a:lnTo>
                                <a:lnTo>
                                  <a:pt x="0" y="292"/>
                                </a:lnTo>
                                <a:lnTo>
                                  <a:pt x="0" y="98"/>
                                </a:lnTo>
                                <a:close/>
                              </a:path>
                            </a:pathLst>
                          </a:custGeom>
                          <a:noFill/>
                          <a:ln w="25400">
                            <a:solidFill>
                              <a:srgbClr val="004F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DD89F" id="Group 286" o:spid="_x0000_s1026" style="position:absolute;margin-left:70.9pt;margin-top:14.35pt;width:477.35pt;height:22.25pt;z-index:251665408;mso-position-horizontal-relative:page" coordorigin="1418,287" coordsize="9547,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">
                <v:line id="Line 291" o:spid="_x0000_s1027" style="position:absolute;visibility:visible;mso-wrap-style:square" from="1418,727" to="8758,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" strokeweight=".16969mm"/>
                <v:rect id="Rectangle 290" o:spid="_x0000_s1028" style="position:absolute;left:8757;top:72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" fillcolor="black" stroked="f"/>
                <v:line id="Line 289" o:spid="_x0000_s1029" style="position:absolute;visibility:visible;mso-wrap-style:square" from="8767,727" to="10138,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" strokeweight=".16969mm"/>
                <v:shape id="Picture 288" o:spid="_x0000_s1030" type="#_x0000_t75" style="position:absolute;left:1447;top:304;width:9500;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">
                  <v:imagedata r:id="rId68" o:title=""/>
                </v:shape>
                <v:shape id="Freeform 287" o:spid="_x0000_s1031" style="position:absolute;left:1450;top:307;width:9495;height:389;visibility:visible;mso-wrap-style:square;v-text-anchor:top" coordsize="949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" path="m,98r9301,l9301,r194,195l9301,389r,-97l,292,,98xe" filled="f" strokecolor="#004f79" strokeweight="2pt">
                  <v:path arrowok="t" o:connecttype="custom" o:connectlocs="0,405;9301,405;9301,307;9495,502;9301,696;9301,599;0,599;0,405" o:connectangles="0,0,0,0,0,0,0,0"/>
                </v:shape>
                <w10:wrap anchorx="page"/>
              </v:group>
            </w:pict>
          </mc:Fallback>
        </mc:AlternateContent>
      </w:r>
      <w:r>
        <w:rPr>
          <w:rFonts w:ascii="Arial"/>
          <w:b/>
          <w:color w:val="002C46"/>
          <w:sz w:val="24"/>
        </w:rPr>
        <w:t>Lower</w:t>
      </w:r>
      <w:r>
        <w:rPr>
          <w:rFonts w:ascii="Arial"/>
          <w:b/>
          <w:color w:val="002C46"/>
          <w:spacing w:val="-3"/>
          <w:sz w:val="24"/>
        </w:rPr>
        <w:t xml:space="preserve"> </w:t>
      </w:r>
      <w:r>
        <w:rPr>
          <w:rFonts w:ascii="Arial"/>
          <w:b/>
          <w:color w:val="002C46"/>
          <w:sz w:val="24"/>
        </w:rPr>
        <w:t>risk</w:t>
      </w:r>
      <w:r>
        <w:rPr>
          <w:rFonts w:ascii="Arial"/>
          <w:b/>
          <w:color w:val="002C46"/>
          <w:sz w:val="24"/>
        </w:rPr>
        <w:tab/>
      </w:r>
      <w:proofErr w:type="gramStart"/>
      <w:r>
        <w:rPr>
          <w:rFonts w:ascii="Arial"/>
          <w:b/>
          <w:color w:val="002C46"/>
          <w:position w:val="1"/>
          <w:sz w:val="24"/>
        </w:rPr>
        <w:t>Higher</w:t>
      </w:r>
      <w:proofErr w:type="gramEnd"/>
      <w:r>
        <w:rPr>
          <w:rFonts w:ascii="Arial"/>
          <w:b/>
          <w:color w:val="002C46"/>
          <w:position w:val="1"/>
          <w:sz w:val="24"/>
        </w:rPr>
        <w:t xml:space="preserve"> risk</w:t>
      </w:r>
    </w:p>
    <w:p w:rsidR="007D76BB" w:rsidRDefault="007D76BB">
      <w:pPr>
        <w:rPr>
          <w:rFonts w:ascii="Arial"/>
          <w:sz w:val="24"/>
        </w:rPr>
        <w:sectPr w:rsidR="007D76BB">
          <w:headerReference w:type="default" r:id="rId69"/>
          <w:footerReference w:type="default" r:id="rId70"/>
          <w:pgSz w:w="11910" w:h="16840"/>
          <w:pgMar w:top="840" w:right="820" w:bottom="1360" w:left="1220" w:header="572" w:footer="1167" w:gutter="0"/>
          <w:pgNumType w:start="18"/>
          <w:cols w:space="720"/>
        </w:sectPr>
      </w:pPr>
    </w:p>
    <w:p w:rsidR="007D76BB" w:rsidRDefault="007D76BB">
      <w:pPr>
        <w:pStyle w:val="BodyText"/>
        <w:spacing w:before="7"/>
        <w:rPr>
          <w:rFonts w:ascii="Arial"/>
          <w:b/>
          <w:sz w:val="16"/>
        </w:rPr>
      </w:pPr>
    </w:p>
    <w:p w:rsidR="007D76BB" w:rsidRDefault="00D70D28">
      <w:pPr>
        <w:pStyle w:val="Heading5"/>
        <w:spacing w:before="99"/>
      </w:pPr>
      <w:bookmarkStart w:id="29" w:name="Manufacturing_requirements_for_foods_and"/>
      <w:bookmarkEnd w:id="29"/>
      <w:r>
        <w:rPr>
          <w:color w:val="001422"/>
        </w:rPr>
        <w:t>Manufacturing requirements for foods and medicines</w:t>
      </w:r>
    </w:p>
    <w:p w:rsidR="007D76BB" w:rsidRDefault="00D70D28">
      <w:pPr>
        <w:pStyle w:val="BodyText"/>
        <w:spacing w:before="122"/>
        <w:ind w:left="198" w:right="950"/>
      </w:pPr>
      <w:r>
        <w:t>The Code provides standards for the processing of food. State and Territory food regulatory authorities enforce the Code within their own jurisdictions. The manufacturing principles for food are provided in:</w:t>
      </w:r>
    </w:p>
    <w:p w:rsidR="007D76BB" w:rsidRDefault="00D70D28">
      <w:pPr>
        <w:pStyle w:val="ListParagraph"/>
        <w:numPr>
          <w:ilvl w:val="0"/>
          <w:numId w:val="72"/>
        </w:numPr>
        <w:tabs>
          <w:tab w:val="left" w:pos="558"/>
          <w:tab w:val="left" w:pos="559"/>
        </w:tabs>
        <w:spacing w:before="179"/>
        <w:ind w:left="558"/>
      </w:pPr>
      <w:r>
        <w:t>FSANZ 3.1.1, 3.2.1 -</w:t>
      </w:r>
      <w:r>
        <w:rPr>
          <w:spacing w:val="-4"/>
        </w:rPr>
        <w:t xml:space="preserve"> </w:t>
      </w:r>
      <w:r>
        <w:t>3.2.3</w:t>
      </w:r>
    </w:p>
    <w:p w:rsidR="007D76BB" w:rsidRDefault="00D70D28">
      <w:pPr>
        <w:pStyle w:val="ListParagraph"/>
        <w:numPr>
          <w:ilvl w:val="0"/>
          <w:numId w:val="72"/>
        </w:numPr>
        <w:tabs>
          <w:tab w:val="left" w:pos="558"/>
          <w:tab w:val="left" w:pos="559"/>
        </w:tabs>
        <w:spacing w:before="179"/>
        <w:ind w:left="558"/>
      </w:pPr>
      <w:r>
        <w:t>HACCP –Hazard Analysis Critical Control</w:t>
      </w:r>
      <w:r>
        <w:rPr>
          <w:spacing w:val="-10"/>
        </w:rPr>
        <w:t xml:space="preserve"> </w:t>
      </w:r>
      <w:r>
        <w:t>Points</w:t>
      </w:r>
    </w:p>
    <w:p w:rsidR="007D76BB" w:rsidRDefault="00D70D28">
      <w:pPr>
        <w:pStyle w:val="BodyText"/>
        <w:spacing w:before="181"/>
        <w:ind w:left="198" w:right="592"/>
      </w:pPr>
      <w:r>
        <w:t>In Australia, food manufacturers and retailers must comply with the food safety standards (of which standards 3.1.1. (Interpretation and Application), 3.2.2 (Food Safety Practices and General Requirements) and 3.2.3 (Food Premises and Equipment) are mandatory. These Standards are detailed in the ‘Safe Food Australia’ guide.</w:t>
      </w:r>
    </w:p>
    <w:p w:rsidR="007D76BB" w:rsidRDefault="00D70D28">
      <w:pPr>
        <w:pStyle w:val="BodyText"/>
        <w:spacing w:before="181"/>
        <w:ind w:left="198" w:right="905"/>
      </w:pPr>
      <w:r>
        <w:t>Food manufacturers may also seek to be certified under the Hazard Analysis Critical Control Point (HACCP) food safety program or ISO 22000, which sets out the requirements for a food safety management system. Additionally, those food manufacturers exporting products to the United States of America will need to be audited against the Food and Drug Administration (FDA) Current Good Manufacturing Practice (CGMP) regulation for food.</w:t>
      </w:r>
    </w:p>
    <w:p w:rsidR="007D76BB" w:rsidRDefault="00D70D28">
      <w:pPr>
        <w:pStyle w:val="BodyText"/>
        <w:spacing w:before="179"/>
        <w:ind w:left="198" w:right="660"/>
      </w:pPr>
      <w:r>
        <w:t xml:space="preserve">For therapeutic goods, Section 36 of the Act allows the Minister for Health to determine manufacturing principles that are to be applied in the manufacture of therapeutic goods. The current </w:t>
      </w:r>
      <w:hyperlink r:id="rId71">
        <w:r>
          <w:rPr>
            <w:color w:val="0000FF"/>
            <w:u w:val="single" w:color="0000FF"/>
          </w:rPr>
          <w:t>Therapeutic Goods (Manufacturing Principles) Determination specifies</w:t>
        </w:r>
        <w:r>
          <w:rPr>
            <w:color w:val="0000FF"/>
          </w:rPr>
          <w:t xml:space="preserve"> </w:t>
        </w:r>
      </w:hyperlink>
      <w:r>
        <w:t xml:space="preserve">that medicinal products supplied in Australia have to meet the </w:t>
      </w:r>
      <w:r>
        <w:rPr>
          <w:color w:val="0000FF"/>
          <w:u w:val="single" w:color="0000FF"/>
        </w:rPr>
        <w:t>Pharmaceutical Inspection Convention and</w:t>
      </w:r>
      <w:r>
        <w:rPr>
          <w:color w:val="0000FF"/>
        </w:rPr>
        <w:t xml:space="preserve"> </w:t>
      </w:r>
      <w:r>
        <w:rPr>
          <w:color w:val="0000FF"/>
          <w:u w:val="single" w:color="0000FF"/>
        </w:rPr>
        <w:t>Pharmaceutical Inspection Co-Operation Scheme - PIC/S Guide to Good Manufacturing Practice</w:t>
      </w:r>
      <w:r>
        <w:rPr>
          <w:color w:val="0000FF"/>
        </w:rPr>
        <w:t xml:space="preserve"> </w:t>
      </w:r>
      <w:r>
        <w:rPr>
          <w:color w:val="0000FF"/>
          <w:u w:val="single" w:color="0000FF"/>
        </w:rPr>
        <w:t>(GMP)</w:t>
      </w:r>
      <w:r>
        <w:rPr>
          <w:color w:val="0000FF"/>
        </w:rPr>
        <w:t xml:space="preserve"> </w:t>
      </w:r>
      <w:r>
        <w:t>as adopted by Australia. Through the operation of section 36 and other provisions within the Act, the PIC/S Guide to GMP has legal force in Australia.</w:t>
      </w:r>
    </w:p>
    <w:p w:rsidR="007D76BB" w:rsidRDefault="00D70D28">
      <w:pPr>
        <w:pStyle w:val="BodyText"/>
        <w:spacing w:before="179"/>
        <w:ind w:left="198" w:right="687"/>
      </w:pPr>
      <w:r>
        <w:t>Good Manufacturing Practice (GMP) describes a set of principles and procedures that when followed helps ensure that therapeutic goods are of high quality. Table 7 provides a comparison of manufacturing requirements for foods and medicines.</w:t>
      </w:r>
    </w:p>
    <w:p w:rsidR="007D76BB" w:rsidRDefault="00D70D28">
      <w:pPr>
        <w:pStyle w:val="Heading7"/>
        <w:spacing w:before="182"/>
      </w:pPr>
      <w:r>
        <w:t>Table 7: Comparison of manufacturing requirements for foods and medicines</w:t>
      </w:r>
    </w:p>
    <w:p w:rsidR="007D76BB" w:rsidRDefault="007D76BB">
      <w:pPr>
        <w:pStyle w:val="BodyText"/>
        <w:spacing w:before="3"/>
        <w:rPr>
          <w:b/>
          <w:sz w:val="15"/>
        </w:rPr>
      </w:pPr>
    </w:p>
    <w:tbl>
      <w:tblPr>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2768"/>
        <w:gridCol w:w="3464"/>
      </w:tblGrid>
      <w:tr w:rsidR="007D76BB">
        <w:trPr>
          <w:trHeight w:val="702"/>
        </w:trPr>
        <w:tc>
          <w:tcPr>
            <w:tcW w:w="2830" w:type="dxa"/>
            <w:shd w:val="clear" w:color="auto" w:fill="006FB5"/>
          </w:tcPr>
          <w:p w:rsidR="007D76BB" w:rsidRDefault="00D70D28">
            <w:pPr>
              <w:pStyle w:val="TableParagraph"/>
              <w:spacing w:before="191"/>
              <w:ind w:left="143"/>
              <w:rPr>
                <w:b/>
              </w:rPr>
            </w:pPr>
            <w:r>
              <w:rPr>
                <w:b/>
                <w:color w:val="FFFFFF"/>
              </w:rPr>
              <w:t>Item</w:t>
            </w:r>
          </w:p>
        </w:tc>
        <w:tc>
          <w:tcPr>
            <w:tcW w:w="2768" w:type="dxa"/>
            <w:shd w:val="clear" w:color="auto" w:fill="006FB5"/>
          </w:tcPr>
          <w:p w:rsidR="007D76BB" w:rsidRDefault="00D70D28">
            <w:pPr>
              <w:pStyle w:val="TableParagraph"/>
              <w:spacing w:before="191"/>
              <w:ind w:left="143"/>
              <w:rPr>
                <w:b/>
              </w:rPr>
            </w:pPr>
            <w:r>
              <w:rPr>
                <w:b/>
                <w:color w:val="FFFFFF"/>
              </w:rPr>
              <w:t>Food</w:t>
            </w:r>
          </w:p>
        </w:tc>
        <w:tc>
          <w:tcPr>
            <w:tcW w:w="3464" w:type="dxa"/>
            <w:shd w:val="clear" w:color="auto" w:fill="006FB5"/>
          </w:tcPr>
          <w:p w:rsidR="007D76BB" w:rsidRDefault="00D70D28">
            <w:pPr>
              <w:pStyle w:val="TableParagraph"/>
              <w:spacing w:before="191"/>
              <w:ind w:left="142"/>
              <w:rPr>
                <w:b/>
              </w:rPr>
            </w:pPr>
            <w:r>
              <w:rPr>
                <w:b/>
                <w:color w:val="FFFFFF"/>
              </w:rPr>
              <w:t>Therapeutic Good</w:t>
            </w:r>
          </w:p>
        </w:tc>
      </w:tr>
      <w:tr w:rsidR="007D76BB">
        <w:trPr>
          <w:trHeight w:val="959"/>
        </w:trPr>
        <w:tc>
          <w:tcPr>
            <w:tcW w:w="2830" w:type="dxa"/>
            <w:shd w:val="clear" w:color="auto" w:fill="EBEDEE"/>
          </w:tcPr>
          <w:p w:rsidR="007D76BB" w:rsidRDefault="00D70D28">
            <w:pPr>
              <w:pStyle w:val="TableParagraph"/>
              <w:spacing w:before="191"/>
              <w:ind w:left="143" w:right="593"/>
              <w:rPr>
                <w:b/>
              </w:rPr>
            </w:pPr>
            <w:r>
              <w:rPr>
                <w:b/>
              </w:rPr>
              <w:t>Responsible parts of Government</w:t>
            </w:r>
          </w:p>
        </w:tc>
        <w:tc>
          <w:tcPr>
            <w:tcW w:w="2768" w:type="dxa"/>
          </w:tcPr>
          <w:p w:rsidR="007D76BB" w:rsidRDefault="00D70D28">
            <w:pPr>
              <w:pStyle w:val="TableParagraph"/>
              <w:spacing w:before="191"/>
              <w:ind w:left="143"/>
            </w:pPr>
            <w:r>
              <w:t>FSANZ</w:t>
            </w:r>
          </w:p>
        </w:tc>
        <w:tc>
          <w:tcPr>
            <w:tcW w:w="3464" w:type="dxa"/>
          </w:tcPr>
          <w:p w:rsidR="007D76BB" w:rsidRDefault="00D70D28">
            <w:pPr>
              <w:pStyle w:val="TableParagraph"/>
              <w:spacing w:before="191"/>
              <w:ind w:left="142"/>
            </w:pPr>
            <w:r>
              <w:t>TGA</w:t>
            </w:r>
          </w:p>
        </w:tc>
      </w:tr>
      <w:tr w:rsidR="007D76BB">
        <w:trPr>
          <w:trHeight w:val="959"/>
        </w:trPr>
        <w:tc>
          <w:tcPr>
            <w:tcW w:w="2830" w:type="dxa"/>
            <w:shd w:val="clear" w:color="auto" w:fill="EBEDEE"/>
          </w:tcPr>
          <w:p w:rsidR="007D76BB" w:rsidRDefault="00D70D28">
            <w:pPr>
              <w:pStyle w:val="TableParagraph"/>
              <w:spacing w:before="191"/>
              <w:ind w:left="143"/>
              <w:rPr>
                <w:b/>
              </w:rPr>
            </w:pPr>
            <w:r>
              <w:rPr>
                <w:b/>
              </w:rPr>
              <w:t>Regulators</w:t>
            </w:r>
          </w:p>
        </w:tc>
        <w:tc>
          <w:tcPr>
            <w:tcW w:w="2768" w:type="dxa"/>
          </w:tcPr>
          <w:p w:rsidR="007D76BB" w:rsidRDefault="00D70D28">
            <w:pPr>
              <w:pStyle w:val="TableParagraph"/>
              <w:spacing w:before="191"/>
              <w:ind w:left="143" w:right="125"/>
            </w:pPr>
            <w:r>
              <w:t>State and Territories Food Regulators</w:t>
            </w:r>
          </w:p>
        </w:tc>
        <w:tc>
          <w:tcPr>
            <w:tcW w:w="3464" w:type="dxa"/>
          </w:tcPr>
          <w:p w:rsidR="007D76BB" w:rsidRDefault="00D70D28">
            <w:pPr>
              <w:pStyle w:val="TableParagraph"/>
              <w:spacing w:before="191"/>
              <w:ind w:left="142"/>
            </w:pPr>
            <w:r>
              <w:t>TGA</w:t>
            </w:r>
          </w:p>
        </w:tc>
      </w:tr>
      <w:tr w:rsidR="007D76BB">
        <w:trPr>
          <w:trHeight w:val="1734"/>
        </w:trPr>
        <w:tc>
          <w:tcPr>
            <w:tcW w:w="2830" w:type="dxa"/>
            <w:shd w:val="clear" w:color="auto" w:fill="EBEDEE"/>
          </w:tcPr>
          <w:p w:rsidR="007D76BB" w:rsidRDefault="00D70D28">
            <w:pPr>
              <w:pStyle w:val="TableParagraph"/>
              <w:spacing w:before="191"/>
              <w:ind w:left="143" w:right="506"/>
              <w:rPr>
                <w:b/>
              </w:rPr>
            </w:pPr>
            <w:r>
              <w:rPr>
                <w:b/>
              </w:rPr>
              <w:t>Manufacturing standards/principles</w:t>
            </w:r>
          </w:p>
        </w:tc>
        <w:tc>
          <w:tcPr>
            <w:tcW w:w="2768" w:type="dxa"/>
          </w:tcPr>
          <w:p w:rsidR="007D76BB" w:rsidRDefault="00D70D28">
            <w:pPr>
              <w:pStyle w:val="TableParagraph"/>
              <w:spacing w:before="191"/>
              <w:ind w:left="143"/>
            </w:pPr>
            <w:r>
              <w:t>FSANZ 3.1.1, 3.2.1- 3.2.3</w:t>
            </w:r>
          </w:p>
          <w:p w:rsidR="007D76BB" w:rsidRDefault="00D70D28">
            <w:pPr>
              <w:pStyle w:val="TableParagraph"/>
              <w:spacing w:before="2" w:line="257" w:lineRule="exact"/>
              <w:ind w:left="191"/>
            </w:pPr>
            <w:r>
              <w:t>and</w:t>
            </w:r>
          </w:p>
          <w:p w:rsidR="007D76BB" w:rsidRDefault="00D70D28">
            <w:pPr>
              <w:pStyle w:val="TableParagraph"/>
              <w:ind w:left="143" w:right="260"/>
            </w:pPr>
            <w:r>
              <w:t>HACCP –Hazard Analysis Critical Control Points</w:t>
            </w:r>
          </w:p>
        </w:tc>
        <w:tc>
          <w:tcPr>
            <w:tcW w:w="3464" w:type="dxa"/>
          </w:tcPr>
          <w:p w:rsidR="007D76BB" w:rsidRDefault="00D70D28">
            <w:pPr>
              <w:pStyle w:val="TableParagraph"/>
              <w:spacing w:before="191"/>
              <w:ind w:left="142" w:right="726"/>
            </w:pPr>
            <w:r>
              <w:t>GMP – Good Manufacturing Practice.</w:t>
            </w:r>
          </w:p>
          <w:p w:rsidR="007D76BB" w:rsidRDefault="00D70D28">
            <w:pPr>
              <w:pStyle w:val="TableParagraph"/>
              <w:ind w:left="142" w:right="221"/>
            </w:pPr>
            <w:r>
              <w:t>Therapeutic Goods Manufacturing Principles). PIC/S PE009-13; Part I, II and Annexes.</w:t>
            </w:r>
          </w:p>
        </w:tc>
      </w:tr>
    </w:tbl>
    <w:p w:rsidR="007D76BB" w:rsidRDefault="007D76BB">
      <w:pPr>
        <w:sectPr w:rsidR="007D76BB">
          <w:headerReference w:type="default" r:id="rId72"/>
          <w:footerReference w:type="default" r:id="rId73"/>
          <w:pgSz w:w="11910" w:h="16840"/>
          <w:pgMar w:top="840" w:right="820" w:bottom="1360" w:left="1220" w:header="572" w:footer="1179" w:gutter="0"/>
          <w:pgNumType w:start="19"/>
          <w:cols w:space="720"/>
        </w:sectPr>
      </w:pPr>
    </w:p>
    <w:p w:rsidR="007D76BB" w:rsidRDefault="007D76BB">
      <w:pPr>
        <w:pStyle w:val="BodyText"/>
        <w:spacing w:before="3"/>
        <w:rPr>
          <w:b/>
          <w:sz w:val="16"/>
        </w:rPr>
      </w:pPr>
    </w:p>
    <w:p w:rsidR="007D76BB" w:rsidRDefault="00D70D28">
      <w:pPr>
        <w:spacing w:before="100"/>
        <w:ind w:left="198"/>
        <w:rPr>
          <w:b/>
          <w:sz w:val="26"/>
        </w:rPr>
      </w:pPr>
      <w:bookmarkStart w:id="30" w:name="Labelling_requirements_for_food_and_medi"/>
      <w:bookmarkEnd w:id="30"/>
      <w:r>
        <w:rPr>
          <w:b/>
          <w:color w:val="001422"/>
          <w:sz w:val="26"/>
        </w:rPr>
        <w:t>Labelling requirements for food and medicines</w:t>
      </w:r>
    </w:p>
    <w:p w:rsidR="007D76BB" w:rsidRDefault="00D70D28">
      <w:pPr>
        <w:pStyle w:val="Heading8"/>
        <w:spacing w:before="242"/>
      </w:pPr>
      <w:bookmarkStart w:id="31" w:name="Labelling_requirements_for_food"/>
      <w:bookmarkStart w:id="32" w:name="_bookmark11"/>
      <w:bookmarkEnd w:id="31"/>
      <w:bookmarkEnd w:id="32"/>
      <w:r>
        <w:t>Labelling requirements for food</w:t>
      </w:r>
    </w:p>
    <w:p w:rsidR="007D76BB" w:rsidRDefault="00D70D28">
      <w:pPr>
        <w:pStyle w:val="BodyText"/>
        <w:spacing w:before="119"/>
        <w:ind w:left="198" w:right="582"/>
      </w:pPr>
      <w:r>
        <w:t>FSANZ is responsible for labelling requirements for packaged and unpackaged food, for example: specific mandatory warnings or advisory labels and nutrition panels as provided in the Code.</w:t>
      </w:r>
    </w:p>
    <w:p w:rsidR="007D76BB" w:rsidRDefault="00D70D28">
      <w:pPr>
        <w:pStyle w:val="BodyText"/>
        <w:spacing w:before="180"/>
        <w:ind w:left="198" w:right="979"/>
      </w:pPr>
      <w:r>
        <w:t>Some of the standards require certain statements and others prohibit certain claims. In particular, a product can only be claimed to be a Formulated Supplementary Sports Food if it complies with the requirements specified in Standard 2.9.4.</w:t>
      </w:r>
    </w:p>
    <w:p w:rsidR="007D76BB" w:rsidRDefault="00D70D28">
      <w:pPr>
        <w:pStyle w:val="BodyText"/>
        <w:spacing w:before="179"/>
        <w:ind w:left="198" w:right="1439" w:hanging="1"/>
      </w:pPr>
      <w:r>
        <w:t>Unless exempt under the Code, all food for retail sale must include a statement (list) of ingredients on the label. All ingredients in the food must be declared in the statement of ingredients for the food using one of the following:</w:t>
      </w:r>
    </w:p>
    <w:p w:rsidR="007D76BB" w:rsidRDefault="00D70D28">
      <w:pPr>
        <w:pStyle w:val="ListParagraph"/>
        <w:numPr>
          <w:ilvl w:val="0"/>
          <w:numId w:val="63"/>
        </w:numPr>
        <w:tabs>
          <w:tab w:val="left" w:pos="623"/>
          <w:tab w:val="left" w:pos="624"/>
        </w:tabs>
        <w:spacing w:before="181"/>
        <w:ind w:hanging="426"/>
      </w:pPr>
      <w:r>
        <w:t>The common name of the</w:t>
      </w:r>
      <w:r>
        <w:rPr>
          <w:spacing w:val="-8"/>
        </w:rPr>
        <w:t xml:space="preserve"> </w:t>
      </w:r>
      <w:r>
        <w:t>ingredient.</w:t>
      </w:r>
    </w:p>
    <w:p w:rsidR="007D76BB" w:rsidRDefault="00D70D28">
      <w:pPr>
        <w:pStyle w:val="ListParagraph"/>
        <w:numPr>
          <w:ilvl w:val="0"/>
          <w:numId w:val="63"/>
        </w:numPr>
        <w:tabs>
          <w:tab w:val="left" w:pos="623"/>
          <w:tab w:val="left" w:pos="624"/>
        </w:tabs>
        <w:spacing w:before="179"/>
        <w:ind w:hanging="426"/>
      </w:pPr>
      <w:r>
        <w:t>A name that describes the true nature of the</w:t>
      </w:r>
      <w:r>
        <w:rPr>
          <w:spacing w:val="-12"/>
        </w:rPr>
        <w:t xml:space="preserve"> </w:t>
      </w:r>
      <w:r>
        <w:t>ingredient.</w:t>
      </w:r>
    </w:p>
    <w:p w:rsidR="007D76BB" w:rsidRDefault="00D70D28">
      <w:pPr>
        <w:pStyle w:val="ListParagraph"/>
        <w:numPr>
          <w:ilvl w:val="0"/>
          <w:numId w:val="63"/>
        </w:numPr>
        <w:tabs>
          <w:tab w:val="left" w:pos="623"/>
          <w:tab w:val="left" w:pos="624"/>
        </w:tabs>
        <w:spacing w:before="181"/>
        <w:ind w:hanging="426"/>
      </w:pPr>
      <w:r>
        <w:t>A generic name for the</w:t>
      </w:r>
      <w:r>
        <w:rPr>
          <w:spacing w:val="-6"/>
        </w:rPr>
        <w:t xml:space="preserve"> </w:t>
      </w:r>
      <w:r>
        <w:t>ingredient.</w:t>
      </w:r>
    </w:p>
    <w:p w:rsidR="007D76BB" w:rsidRDefault="00D70D28">
      <w:pPr>
        <w:pStyle w:val="BodyText"/>
        <w:spacing w:before="179"/>
        <w:ind w:left="198" w:right="623"/>
      </w:pPr>
      <w:r>
        <w:t>The names of ingredients should be accurate and sufficiently detailed to ensure that they are not false, misleading or deceptive, or likely to mislead or deceive. The use of certain terms or ingredient names can be prohibited by the Code.</w:t>
      </w:r>
    </w:p>
    <w:p w:rsidR="007D76BB" w:rsidRDefault="00D70D28">
      <w:pPr>
        <w:pStyle w:val="BodyText"/>
        <w:spacing w:before="182"/>
        <w:ind w:left="198" w:right="784"/>
      </w:pPr>
      <w:r>
        <w:t xml:space="preserve">However, where an ingredient has separate, but valid, synonyms (for example </w:t>
      </w:r>
      <w:proofErr w:type="spellStart"/>
      <w:r>
        <w:t>oxedrine</w:t>
      </w:r>
      <w:proofErr w:type="spellEnd"/>
      <w:r>
        <w:t>/</w:t>
      </w:r>
      <w:proofErr w:type="spellStart"/>
      <w:r>
        <w:t>synephrine</w:t>
      </w:r>
      <w:proofErr w:type="spellEnd"/>
      <w:r>
        <w:t>) any of those synonyms can be used on the label as long as it is accurate and does not mislead. This means that two (or more) products can use different synonyms for the same ingredient and still be compliant and only a consumer aware of each synonym will be able to know that these refer to the same substance.</w:t>
      </w:r>
    </w:p>
    <w:p w:rsidR="007D76BB" w:rsidRDefault="00D70D28">
      <w:pPr>
        <w:pStyle w:val="BodyText"/>
        <w:spacing w:before="179"/>
        <w:ind w:left="198" w:right="631"/>
      </w:pPr>
      <w:r>
        <w:t>For substances which may be added as an individual ingredient but that also may be present within herbal sources (for example caffeine which may be present in ‘</w:t>
      </w:r>
      <w:r>
        <w:rPr>
          <w:i/>
        </w:rPr>
        <w:t xml:space="preserve">Camellia </w:t>
      </w:r>
      <w:proofErr w:type="spellStart"/>
      <w:r>
        <w:rPr>
          <w:i/>
        </w:rPr>
        <w:t>sinensis</w:t>
      </w:r>
      <w:proofErr w:type="spellEnd"/>
      <w:r>
        <w:rPr>
          <w:i/>
        </w:rPr>
        <w:t xml:space="preserve">’ </w:t>
      </w:r>
      <w:r>
        <w:t>or ‘green coffee bean extract’), there is no requirement for the label to declare the amount of the ingredient present in the natural sources. Therefore, in this example, where caffeine has been added as an ingredient this amount must be declared, but inclusion of a natural source of caffeine can mean that the label is not required to state the total amount of caffeine present (and the same for other plant-derived compounds).</w:t>
      </w:r>
    </w:p>
    <w:p w:rsidR="007D76BB" w:rsidRDefault="007D76BB">
      <w:pPr>
        <w:pStyle w:val="BodyText"/>
        <w:spacing w:before="4"/>
        <w:rPr>
          <w:sz w:val="20"/>
        </w:rPr>
      </w:pPr>
    </w:p>
    <w:p w:rsidR="007D76BB" w:rsidRDefault="00D70D28">
      <w:pPr>
        <w:pStyle w:val="Heading8"/>
        <w:spacing w:before="1"/>
      </w:pPr>
      <w:bookmarkStart w:id="33" w:name="Labelling_requirements_for_medicines"/>
      <w:bookmarkEnd w:id="33"/>
      <w:r>
        <w:t>Labelling requirements for medicines</w:t>
      </w:r>
    </w:p>
    <w:p w:rsidR="007D76BB" w:rsidRDefault="00D70D28">
      <w:pPr>
        <w:pStyle w:val="BodyText"/>
        <w:spacing w:before="121"/>
        <w:ind w:left="198" w:right="639"/>
      </w:pPr>
      <w:r>
        <w:t>A product’s ‘label’ includes the label attached to the container (for example bottle, tube, sachet or blister pack) and the primary pack (for example carton). Sponsors must ensure the product label and any printed information supplied with the medicine (for example a package insert) complies with all relevant legislation before it can be supplied in Australia, including advertising requirements.</w:t>
      </w:r>
    </w:p>
    <w:p w:rsidR="007D76BB" w:rsidRDefault="00D70D28">
      <w:pPr>
        <w:pStyle w:val="BodyText"/>
        <w:spacing w:before="179"/>
        <w:ind w:left="198"/>
      </w:pPr>
      <w:r>
        <w:t>Specific documents relating to medicine labelling requirements</w:t>
      </w:r>
      <w:r>
        <w:rPr>
          <w:spacing w:val="-25"/>
        </w:rPr>
        <w:t xml:space="preserve"> </w:t>
      </w:r>
      <w:r>
        <w:t>include:</w:t>
      </w:r>
    </w:p>
    <w:p w:rsidR="007D76BB" w:rsidRDefault="00D70D28">
      <w:pPr>
        <w:pStyle w:val="ListParagraph"/>
        <w:numPr>
          <w:ilvl w:val="0"/>
          <w:numId w:val="72"/>
        </w:numPr>
        <w:tabs>
          <w:tab w:val="left" w:pos="558"/>
          <w:tab w:val="left" w:pos="559"/>
        </w:tabs>
        <w:spacing w:before="179"/>
        <w:ind w:left="558"/>
      </w:pPr>
      <w:r>
        <w:t>the</w:t>
      </w:r>
      <w:r>
        <w:rPr>
          <w:color w:val="0000FF"/>
        </w:rPr>
        <w:t xml:space="preserve"> </w:t>
      </w:r>
      <w:hyperlink r:id="rId74">
        <w:r>
          <w:rPr>
            <w:color w:val="0000FF"/>
            <w:u w:val="single" w:color="0000FF"/>
          </w:rPr>
          <w:t>Therapeutic Goods Labelling Order</w:t>
        </w:r>
        <w:r>
          <w:rPr>
            <w:color w:val="0000FF"/>
          </w:rPr>
          <w:t xml:space="preserve"> </w:t>
        </w:r>
      </w:hyperlink>
      <w:r>
        <w:t>as current and in</w:t>
      </w:r>
      <w:r>
        <w:rPr>
          <w:spacing w:val="-24"/>
        </w:rPr>
        <w:t xml:space="preserve"> </w:t>
      </w:r>
      <w:r>
        <w:t>force</w:t>
      </w:r>
    </w:p>
    <w:p w:rsidR="007D76BB" w:rsidRDefault="00D70D28">
      <w:pPr>
        <w:pStyle w:val="ListParagraph"/>
        <w:numPr>
          <w:ilvl w:val="0"/>
          <w:numId w:val="72"/>
        </w:numPr>
        <w:tabs>
          <w:tab w:val="left" w:pos="558"/>
          <w:tab w:val="left" w:pos="559"/>
        </w:tabs>
        <w:spacing w:before="181"/>
        <w:ind w:left="558"/>
        <w:rPr>
          <w:i/>
        </w:rPr>
      </w:pPr>
      <w:r>
        <w:lastRenderedPageBreak/>
        <w:t>Part 5-1 (Advertising and generic information) of the</w:t>
      </w:r>
      <w:r>
        <w:rPr>
          <w:color w:val="0000FF"/>
        </w:rPr>
        <w:t xml:space="preserve"> </w:t>
      </w:r>
      <w:hyperlink r:id="rId75">
        <w:r>
          <w:rPr>
            <w:i/>
            <w:color w:val="0000FF"/>
            <w:u w:val="single" w:color="0000FF"/>
          </w:rPr>
          <w:t>Therapeutic Goods Act</w:t>
        </w:r>
        <w:r>
          <w:rPr>
            <w:i/>
            <w:color w:val="0000FF"/>
            <w:spacing w:val="-16"/>
            <w:u w:val="single" w:color="0000FF"/>
          </w:rPr>
          <w:t xml:space="preserve"> </w:t>
        </w:r>
        <w:r>
          <w:rPr>
            <w:i/>
            <w:color w:val="0000FF"/>
            <w:u w:val="single" w:color="0000FF"/>
          </w:rPr>
          <w:t>1989</w:t>
        </w:r>
      </w:hyperlink>
    </w:p>
    <w:p w:rsidR="007D76BB" w:rsidRDefault="00A51832">
      <w:pPr>
        <w:pStyle w:val="ListParagraph"/>
        <w:numPr>
          <w:ilvl w:val="0"/>
          <w:numId w:val="72"/>
        </w:numPr>
        <w:tabs>
          <w:tab w:val="left" w:pos="558"/>
          <w:tab w:val="left" w:pos="559"/>
        </w:tabs>
        <w:spacing w:before="179"/>
        <w:ind w:left="558"/>
      </w:pPr>
      <w:hyperlink r:id="rId76">
        <w:r w:rsidR="00D70D28">
          <w:rPr>
            <w:color w:val="0000FF"/>
            <w:u w:val="single" w:color="0000FF"/>
          </w:rPr>
          <w:t>Therapeutic Goods Advertising</w:t>
        </w:r>
        <w:r w:rsidR="00D70D28">
          <w:rPr>
            <w:color w:val="0000FF"/>
            <w:spacing w:val="-12"/>
            <w:u w:val="single" w:color="0000FF"/>
          </w:rPr>
          <w:t xml:space="preserve"> </w:t>
        </w:r>
        <w:r w:rsidR="00D70D28">
          <w:rPr>
            <w:color w:val="0000FF"/>
            <w:u w:val="single" w:color="0000FF"/>
          </w:rPr>
          <w:t>Code</w:t>
        </w:r>
      </w:hyperlink>
    </w:p>
    <w:p w:rsidR="007D76BB" w:rsidRDefault="00A51832">
      <w:pPr>
        <w:pStyle w:val="ListParagraph"/>
        <w:numPr>
          <w:ilvl w:val="0"/>
          <w:numId w:val="72"/>
        </w:numPr>
        <w:tabs>
          <w:tab w:val="left" w:pos="558"/>
          <w:tab w:val="left" w:pos="559"/>
        </w:tabs>
        <w:spacing w:before="182"/>
        <w:ind w:left="558"/>
      </w:pPr>
      <w:hyperlink r:id="rId77">
        <w:r w:rsidR="00D70D28">
          <w:rPr>
            <w:color w:val="0000FF"/>
            <w:u w:val="single" w:color="0000FF"/>
          </w:rPr>
          <w:t>Therapeutic Goods Regulations</w:t>
        </w:r>
        <w:r w:rsidR="00D70D28">
          <w:rPr>
            <w:color w:val="0000FF"/>
            <w:spacing w:val="-9"/>
            <w:u w:val="single" w:color="0000FF"/>
          </w:rPr>
          <w:t xml:space="preserve"> </w:t>
        </w:r>
        <w:r w:rsidR="00D70D28">
          <w:rPr>
            <w:color w:val="0000FF"/>
            <w:u w:val="single" w:color="0000FF"/>
          </w:rPr>
          <w:t>1990</w:t>
        </w:r>
      </w:hyperlink>
    </w:p>
    <w:p w:rsidR="007D76BB" w:rsidRDefault="00A51832">
      <w:pPr>
        <w:pStyle w:val="ListParagraph"/>
        <w:numPr>
          <w:ilvl w:val="0"/>
          <w:numId w:val="72"/>
        </w:numPr>
        <w:tabs>
          <w:tab w:val="left" w:pos="558"/>
          <w:tab w:val="left" w:pos="559"/>
        </w:tabs>
        <w:spacing w:before="178"/>
        <w:ind w:left="558"/>
      </w:pPr>
      <w:hyperlink r:id="rId78" w:anchor="pi">
        <w:r w:rsidR="00D70D28">
          <w:rPr>
            <w:color w:val="0000FF"/>
            <w:u w:val="single" w:color="0000FF"/>
          </w:rPr>
          <w:t>Therapeutic Goods (Permissible Ingredients)</w:t>
        </w:r>
        <w:r w:rsidR="00D70D28">
          <w:rPr>
            <w:color w:val="0000FF"/>
            <w:spacing w:val="-17"/>
            <w:u w:val="single" w:color="0000FF"/>
          </w:rPr>
          <w:t xml:space="preserve"> </w:t>
        </w:r>
        <w:r w:rsidR="00D70D28">
          <w:rPr>
            <w:color w:val="0000FF"/>
            <w:u w:val="single" w:color="0000FF"/>
          </w:rPr>
          <w:t>Determination</w:t>
        </w:r>
      </w:hyperlink>
    </w:p>
    <w:p w:rsidR="007D76BB" w:rsidRDefault="00A51832">
      <w:pPr>
        <w:pStyle w:val="ListParagraph"/>
        <w:numPr>
          <w:ilvl w:val="0"/>
          <w:numId w:val="72"/>
        </w:numPr>
        <w:tabs>
          <w:tab w:val="left" w:pos="558"/>
          <w:tab w:val="left" w:pos="559"/>
        </w:tabs>
        <w:spacing w:before="182"/>
        <w:ind w:left="558"/>
      </w:pPr>
      <w:hyperlink r:id="rId79" w:anchor="pi">
        <w:r w:rsidR="00D70D28">
          <w:rPr>
            <w:color w:val="0000FF"/>
            <w:u w:val="single" w:color="0000FF"/>
          </w:rPr>
          <w:t>Therapeutic Goods (Permissible Indications)</w:t>
        </w:r>
        <w:r w:rsidR="00D70D28">
          <w:rPr>
            <w:color w:val="0000FF"/>
            <w:spacing w:val="-17"/>
            <w:u w:val="single" w:color="0000FF"/>
          </w:rPr>
          <w:t xml:space="preserve"> </w:t>
        </w:r>
        <w:r w:rsidR="00D70D28">
          <w:rPr>
            <w:color w:val="0000FF"/>
            <w:u w:val="single" w:color="0000FF"/>
          </w:rPr>
          <w:t>Determination</w:t>
        </w:r>
      </w:hyperlink>
    </w:p>
    <w:p w:rsidR="007D76BB" w:rsidRDefault="007D76BB">
      <w:pPr>
        <w:sectPr w:rsidR="007D76BB">
          <w:pgSz w:w="11910" w:h="16840"/>
          <w:pgMar w:top="840" w:right="820" w:bottom="1360" w:left="1220" w:header="572" w:footer="1179" w:gutter="0"/>
          <w:cols w:space="720"/>
        </w:sectPr>
      </w:pPr>
    </w:p>
    <w:p w:rsidR="007D76BB" w:rsidRDefault="007D76BB">
      <w:pPr>
        <w:pStyle w:val="BodyText"/>
        <w:spacing w:before="1"/>
        <w:rPr>
          <w:sz w:val="16"/>
        </w:rPr>
      </w:pPr>
    </w:p>
    <w:p w:rsidR="007D76BB" w:rsidRDefault="00A51832">
      <w:pPr>
        <w:pStyle w:val="ListParagraph"/>
        <w:numPr>
          <w:ilvl w:val="0"/>
          <w:numId w:val="72"/>
        </w:numPr>
        <w:tabs>
          <w:tab w:val="left" w:pos="558"/>
          <w:tab w:val="left" w:pos="559"/>
        </w:tabs>
        <w:spacing w:before="101"/>
        <w:ind w:left="558"/>
      </w:pPr>
      <w:hyperlink r:id="rId80">
        <w:r w:rsidR="00D70D28">
          <w:rPr>
            <w:color w:val="0000FF"/>
            <w:u w:val="single" w:color="0000FF"/>
          </w:rPr>
          <w:t>Required Advisory Statements for medicine Labels</w:t>
        </w:r>
        <w:r w:rsidR="00D70D28">
          <w:rPr>
            <w:color w:val="0000FF"/>
            <w:spacing w:val="-7"/>
            <w:u w:val="single" w:color="0000FF"/>
          </w:rPr>
          <w:t xml:space="preserve"> </w:t>
        </w:r>
        <w:r w:rsidR="00D70D28">
          <w:rPr>
            <w:color w:val="0000FF"/>
            <w:u w:val="single" w:color="0000FF"/>
          </w:rPr>
          <w:t>(RASML)</w:t>
        </w:r>
      </w:hyperlink>
    </w:p>
    <w:p w:rsidR="007D76BB" w:rsidRDefault="00D70D28">
      <w:pPr>
        <w:pStyle w:val="ListParagraph"/>
        <w:numPr>
          <w:ilvl w:val="0"/>
          <w:numId w:val="72"/>
        </w:numPr>
        <w:tabs>
          <w:tab w:val="left" w:pos="558"/>
          <w:tab w:val="left" w:pos="559"/>
        </w:tabs>
        <w:spacing w:before="182"/>
        <w:ind w:left="558" w:right="766" w:hanging="360"/>
      </w:pPr>
      <w:r>
        <w:t>the</w:t>
      </w:r>
      <w:r>
        <w:rPr>
          <w:color w:val="0000FF"/>
        </w:rPr>
        <w:t xml:space="preserve"> </w:t>
      </w:r>
      <w:hyperlink r:id="rId81">
        <w:r>
          <w:rPr>
            <w:color w:val="0000FF"/>
            <w:u w:val="single" w:color="0000FF"/>
          </w:rPr>
          <w:t>Poisons Standard</w:t>
        </w:r>
        <w:r>
          <w:rPr>
            <w:color w:val="0000FF"/>
          </w:rPr>
          <w:t xml:space="preserve"> </w:t>
        </w:r>
      </w:hyperlink>
      <w:r>
        <w:t>(note: Australian states and territories vary in the way they adopt the Poisons</w:t>
      </w:r>
      <w:r>
        <w:rPr>
          <w:spacing w:val="-3"/>
        </w:rPr>
        <w:t xml:space="preserve"> </w:t>
      </w:r>
      <w:r>
        <w:t>Standard)</w:t>
      </w:r>
    </w:p>
    <w:p w:rsidR="007D76BB" w:rsidRDefault="00A51832">
      <w:pPr>
        <w:pStyle w:val="ListParagraph"/>
        <w:numPr>
          <w:ilvl w:val="0"/>
          <w:numId w:val="72"/>
        </w:numPr>
        <w:tabs>
          <w:tab w:val="left" w:pos="558"/>
          <w:tab w:val="left" w:pos="559"/>
        </w:tabs>
        <w:ind w:left="558"/>
      </w:pPr>
      <w:hyperlink r:id="rId82">
        <w:r w:rsidR="00D70D28">
          <w:rPr>
            <w:color w:val="0000FF"/>
            <w:u w:val="single" w:color="0000FF"/>
          </w:rPr>
          <w:t>TGA approved terminology for</w:t>
        </w:r>
        <w:r w:rsidR="00D70D28">
          <w:rPr>
            <w:color w:val="0000FF"/>
            <w:spacing w:val="-7"/>
            <w:u w:val="single" w:color="0000FF"/>
          </w:rPr>
          <w:t xml:space="preserve"> </w:t>
        </w:r>
        <w:r w:rsidR="00D70D28">
          <w:rPr>
            <w:color w:val="0000FF"/>
            <w:u w:val="single" w:color="0000FF"/>
          </w:rPr>
          <w:t>medicines</w:t>
        </w:r>
      </w:hyperlink>
    </w:p>
    <w:p w:rsidR="007D76BB" w:rsidRDefault="00D70D28">
      <w:pPr>
        <w:pStyle w:val="BodyText"/>
        <w:spacing w:before="179"/>
        <w:ind w:left="198" w:right="746"/>
      </w:pPr>
      <w:r>
        <w:t xml:space="preserve">For ingredients, all active ingredients must be declared on the medicine label and must use the names stipulated in the TGA approved terminology for medicines, for example: </w:t>
      </w:r>
      <w:proofErr w:type="gramStart"/>
      <w:r>
        <w:t>a</w:t>
      </w:r>
      <w:proofErr w:type="gramEnd"/>
      <w:r>
        <w:t xml:space="preserve"> herbal extract must use the botanical binomial, plant part and preparation on the medicine label. Similarly, where plant ingredients may contain certain substances, such as caffeine, the TGA can require that the total amount of that substance be provided on the label through restrictions placed on the herbal ingredient. This allows consumers to understand the total dose of such substances that they are consuming, which is in contrast to the presence of such substances not being required to be calculated for food labels.</w:t>
      </w:r>
    </w:p>
    <w:p w:rsidR="007D76BB" w:rsidRDefault="007D76BB">
      <w:pPr>
        <w:pStyle w:val="BodyText"/>
        <w:rPr>
          <w:sz w:val="26"/>
        </w:rPr>
      </w:pPr>
    </w:p>
    <w:p w:rsidR="007D76BB" w:rsidRDefault="00D70D28">
      <w:pPr>
        <w:pStyle w:val="Heading3"/>
        <w:spacing w:before="171"/>
      </w:pPr>
      <w:bookmarkStart w:id="34" w:name="Advertising_requirements_for_foods_and_t"/>
      <w:bookmarkEnd w:id="34"/>
      <w:r>
        <w:t>Advertising requirements for foods and therapeutic goods</w:t>
      </w:r>
    </w:p>
    <w:p w:rsidR="007D76BB" w:rsidRDefault="00D70D28">
      <w:pPr>
        <w:pStyle w:val="Heading5"/>
        <w:spacing w:before="244"/>
      </w:pPr>
      <w:bookmarkStart w:id="35" w:name="Advertising_requirements_for_foods"/>
      <w:bookmarkEnd w:id="35"/>
      <w:r>
        <w:rPr>
          <w:color w:val="001422"/>
        </w:rPr>
        <w:t>Advertising requirements for foods</w:t>
      </w:r>
    </w:p>
    <w:p w:rsidR="007D76BB" w:rsidRDefault="00D70D28">
      <w:pPr>
        <w:pStyle w:val="BodyText"/>
        <w:spacing w:before="120"/>
        <w:ind w:left="198" w:right="816"/>
      </w:pPr>
      <w:r>
        <w:t>Standard 1.2.7 –Nutrition, Health and Related Claims of the Code sets out the requirements for making nutrition content and health claims on food. These claims are voluntary statements made by food businesses on labels and in advertising about the content of certain nutrients or substances in a food, or the relationship between food and health.</w:t>
      </w:r>
    </w:p>
    <w:p w:rsidR="007D76BB" w:rsidRDefault="00D70D28">
      <w:pPr>
        <w:pStyle w:val="BodyText"/>
        <w:spacing w:before="180"/>
        <w:ind w:left="198" w:right="795"/>
        <w:rPr>
          <w:rFonts w:ascii="Arial"/>
          <w:sz w:val="24"/>
        </w:rPr>
      </w:pPr>
      <w:r>
        <w:t>Also, if a label on or relating to food is prohibited by the Code from including a statement, information, a design or a representation, an advertisement for that food must not include that statement, information, design or representation</w:t>
      </w:r>
      <w:r>
        <w:rPr>
          <w:rFonts w:ascii="Arial"/>
          <w:sz w:val="24"/>
        </w:rPr>
        <w:t>.</w:t>
      </w:r>
    </w:p>
    <w:p w:rsidR="007D76BB" w:rsidRDefault="00D70D28">
      <w:pPr>
        <w:pStyle w:val="BodyText"/>
        <w:spacing w:before="120"/>
        <w:ind w:left="198" w:right="794"/>
      </w:pPr>
      <w:r>
        <w:t>Australia has a self-regulatory system for food and beverage advertising. Self-regulatory Codes and Initiatives that apply to food and beverage advertising are:</w:t>
      </w:r>
    </w:p>
    <w:p w:rsidR="007D76BB" w:rsidRDefault="00A51832">
      <w:pPr>
        <w:pStyle w:val="ListParagraph"/>
        <w:numPr>
          <w:ilvl w:val="0"/>
          <w:numId w:val="72"/>
        </w:numPr>
        <w:tabs>
          <w:tab w:val="left" w:pos="558"/>
          <w:tab w:val="left" w:pos="559"/>
        </w:tabs>
        <w:spacing w:before="120"/>
        <w:ind w:left="558"/>
      </w:pPr>
      <w:hyperlink r:id="rId83">
        <w:r w:rsidR="00D70D28">
          <w:rPr>
            <w:color w:val="0000FF"/>
            <w:u w:val="single" w:color="0000FF"/>
          </w:rPr>
          <w:t>AANA Code of</w:t>
        </w:r>
        <w:r w:rsidR="00D70D28">
          <w:rPr>
            <w:color w:val="0000FF"/>
            <w:spacing w:val="-5"/>
            <w:u w:val="single" w:color="0000FF"/>
          </w:rPr>
          <w:t xml:space="preserve"> </w:t>
        </w:r>
        <w:r w:rsidR="00D70D28">
          <w:rPr>
            <w:color w:val="0000FF"/>
            <w:u w:val="single" w:color="0000FF"/>
          </w:rPr>
          <w:t>Ethics</w:t>
        </w:r>
      </w:hyperlink>
    </w:p>
    <w:p w:rsidR="007D76BB" w:rsidRDefault="00A51832">
      <w:pPr>
        <w:pStyle w:val="ListParagraph"/>
        <w:numPr>
          <w:ilvl w:val="0"/>
          <w:numId w:val="72"/>
        </w:numPr>
        <w:tabs>
          <w:tab w:val="left" w:pos="558"/>
          <w:tab w:val="left" w:pos="559"/>
        </w:tabs>
        <w:spacing w:before="182"/>
        <w:ind w:left="558"/>
      </w:pPr>
      <w:hyperlink r:id="rId84">
        <w:r w:rsidR="00D70D28">
          <w:rPr>
            <w:color w:val="0000FF"/>
            <w:u w:val="single" w:color="0000FF"/>
          </w:rPr>
          <w:t>AANA Food and Beverages Advertising and Marketing Communications</w:t>
        </w:r>
        <w:r w:rsidR="00D70D28">
          <w:rPr>
            <w:color w:val="0000FF"/>
            <w:spacing w:val="-13"/>
            <w:u w:val="single" w:color="0000FF"/>
          </w:rPr>
          <w:t xml:space="preserve"> </w:t>
        </w:r>
        <w:r w:rsidR="00D70D28">
          <w:rPr>
            <w:color w:val="0000FF"/>
            <w:u w:val="single" w:color="0000FF"/>
          </w:rPr>
          <w:t>Code</w:t>
        </w:r>
      </w:hyperlink>
    </w:p>
    <w:p w:rsidR="007D76BB" w:rsidRDefault="00A51832">
      <w:pPr>
        <w:pStyle w:val="ListParagraph"/>
        <w:numPr>
          <w:ilvl w:val="0"/>
          <w:numId w:val="72"/>
        </w:numPr>
        <w:tabs>
          <w:tab w:val="left" w:pos="558"/>
          <w:tab w:val="left" w:pos="559"/>
        </w:tabs>
        <w:spacing w:before="178"/>
        <w:ind w:left="558"/>
      </w:pPr>
      <w:hyperlink r:id="rId85">
        <w:r w:rsidR="00D70D28">
          <w:rPr>
            <w:color w:val="0000FF"/>
            <w:u w:val="single" w:color="0000FF"/>
          </w:rPr>
          <w:t>AANA Code for Advertising and Marketing Communications to</w:t>
        </w:r>
        <w:r w:rsidR="00D70D28">
          <w:rPr>
            <w:color w:val="0000FF"/>
            <w:spacing w:val="-12"/>
            <w:u w:val="single" w:color="0000FF"/>
          </w:rPr>
          <w:t xml:space="preserve"> </w:t>
        </w:r>
        <w:r w:rsidR="00D70D28">
          <w:rPr>
            <w:color w:val="0000FF"/>
            <w:u w:val="single" w:color="0000FF"/>
          </w:rPr>
          <w:t>Children</w:t>
        </w:r>
      </w:hyperlink>
    </w:p>
    <w:p w:rsidR="007D76BB" w:rsidRDefault="00A51832">
      <w:pPr>
        <w:pStyle w:val="ListParagraph"/>
        <w:numPr>
          <w:ilvl w:val="0"/>
          <w:numId w:val="72"/>
        </w:numPr>
        <w:tabs>
          <w:tab w:val="left" w:pos="558"/>
          <w:tab w:val="left" w:pos="559"/>
        </w:tabs>
        <w:spacing w:before="182"/>
        <w:ind w:left="558" w:right="1096" w:hanging="360"/>
      </w:pPr>
      <w:hyperlink r:id="rId86">
        <w:r w:rsidR="00D70D28">
          <w:rPr>
            <w:color w:val="0000FF"/>
            <w:u w:val="single" w:color="0000FF"/>
          </w:rPr>
          <w:t>AFGC Responsible Children's Marketing Initiative (RCMI) for of the Australian Food and</w:t>
        </w:r>
      </w:hyperlink>
      <w:hyperlink r:id="rId87">
        <w:r w:rsidR="00D70D28">
          <w:rPr>
            <w:color w:val="0000FF"/>
            <w:u w:val="single" w:color="0000FF"/>
          </w:rPr>
          <w:t xml:space="preserve"> Beverage</w:t>
        </w:r>
        <w:r w:rsidR="00D70D28">
          <w:rPr>
            <w:color w:val="0000FF"/>
            <w:spacing w:val="-2"/>
            <w:u w:val="single" w:color="0000FF"/>
          </w:rPr>
          <w:t xml:space="preserve"> </w:t>
        </w:r>
        <w:r w:rsidR="00D70D28">
          <w:rPr>
            <w:color w:val="0000FF"/>
            <w:u w:val="single" w:color="0000FF"/>
          </w:rPr>
          <w:t>Industry</w:t>
        </w:r>
      </w:hyperlink>
    </w:p>
    <w:p w:rsidR="007D76BB" w:rsidRDefault="00A51832">
      <w:pPr>
        <w:pStyle w:val="ListParagraph"/>
        <w:numPr>
          <w:ilvl w:val="0"/>
          <w:numId w:val="72"/>
        </w:numPr>
        <w:tabs>
          <w:tab w:val="left" w:pos="558"/>
          <w:tab w:val="left" w:pos="559"/>
        </w:tabs>
        <w:spacing w:before="178"/>
        <w:ind w:left="558" w:right="948" w:hanging="360"/>
      </w:pPr>
      <w:hyperlink r:id="rId88">
        <w:r w:rsidR="00D70D28">
          <w:rPr>
            <w:color w:val="0000FF"/>
            <w:u w:val="single" w:color="0000FF"/>
          </w:rPr>
          <w:t>AFGC Australian Quick Service Restaurant Industry Initiative for Responsible Advertising</w:t>
        </w:r>
      </w:hyperlink>
      <w:hyperlink r:id="rId89">
        <w:r w:rsidR="00D70D28">
          <w:rPr>
            <w:color w:val="0000FF"/>
            <w:u w:val="single" w:color="0000FF"/>
          </w:rPr>
          <w:t xml:space="preserve"> and Marketing to Children</w:t>
        </w:r>
        <w:r w:rsidR="00D70D28">
          <w:rPr>
            <w:color w:val="0000FF"/>
            <w:spacing w:val="-7"/>
            <w:u w:val="single" w:color="0000FF"/>
          </w:rPr>
          <w:t xml:space="preserve"> </w:t>
        </w:r>
        <w:r w:rsidR="00D70D28">
          <w:rPr>
            <w:color w:val="0000FF"/>
            <w:u w:val="single" w:color="0000FF"/>
          </w:rPr>
          <w:t>(QSRI)</w:t>
        </w:r>
      </w:hyperlink>
    </w:p>
    <w:p w:rsidR="007D76BB" w:rsidRDefault="00D70D28">
      <w:pPr>
        <w:pStyle w:val="BodyText"/>
        <w:spacing w:before="180"/>
        <w:ind w:left="198" w:right="718"/>
      </w:pPr>
      <w:r>
        <w:t>These Codes and Initiatives have been negotiated with government, industry and advertisers to</w:t>
      </w:r>
      <w:bookmarkStart w:id="36" w:name="Advertising_requirements_for_therapeutic"/>
      <w:bookmarkEnd w:id="36"/>
      <w:r>
        <w:t xml:space="preserve"> ensure appropriate advertising of food choices.</w:t>
      </w:r>
    </w:p>
    <w:p w:rsidR="007D76BB" w:rsidRDefault="007D76BB">
      <w:pPr>
        <w:pStyle w:val="BodyText"/>
        <w:spacing w:before="6"/>
        <w:rPr>
          <w:sz w:val="20"/>
        </w:rPr>
      </w:pPr>
    </w:p>
    <w:p w:rsidR="007D76BB" w:rsidRDefault="00D70D28">
      <w:pPr>
        <w:pStyle w:val="Heading5"/>
      </w:pPr>
      <w:r>
        <w:rPr>
          <w:color w:val="001422"/>
        </w:rPr>
        <w:t>Advertising requirements for therapeutic goods</w:t>
      </w:r>
    </w:p>
    <w:p w:rsidR="007D76BB" w:rsidRDefault="00A51832">
      <w:pPr>
        <w:pStyle w:val="BodyText"/>
        <w:spacing w:before="119"/>
        <w:ind w:left="198" w:right="689"/>
      </w:pPr>
      <w:hyperlink r:id="rId90">
        <w:r w:rsidR="00D70D28">
          <w:rPr>
            <w:color w:val="0000FF"/>
            <w:u w:val="single" w:color="0000FF"/>
          </w:rPr>
          <w:t>Therapeutic Goods Advertising Code (the Code)</w:t>
        </w:r>
        <w:r w:rsidR="00D70D28">
          <w:rPr>
            <w:color w:val="0000FF"/>
          </w:rPr>
          <w:t xml:space="preserve"> </w:t>
        </w:r>
      </w:hyperlink>
      <w:r w:rsidR="00D70D28">
        <w:t>sets the requirements advertisers must meet to ensure the marketing and advertising of their therapeutic goods is conducted in a manner that promotes the quality use of the product, is socially responsible and does not mislead or deceive the consumer.</w:t>
      </w:r>
    </w:p>
    <w:p w:rsidR="007D76BB" w:rsidRDefault="007D76BB">
      <w:pPr>
        <w:sectPr w:rsidR="007D76BB">
          <w:pgSz w:w="11910" w:h="16840"/>
          <w:pgMar w:top="840" w:right="820" w:bottom="1360" w:left="1220" w:header="572" w:footer="1179" w:gutter="0"/>
          <w:cols w:space="720"/>
        </w:sectPr>
      </w:pPr>
    </w:p>
    <w:p w:rsidR="007D76BB" w:rsidRDefault="007D76BB">
      <w:pPr>
        <w:pStyle w:val="BodyText"/>
        <w:rPr>
          <w:sz w:val="20"/>
        </w:rPr>
      </w:pPr>
    </w:p>
    <w:p w:rsidR="007D76BB" w:rsidRDefault="007D76BB">
      <w:pPr>
        <w:pStyle w:val="BodyText"/>
        <w:spacing w:before="7"/>
      </w:pPr>
    </w:p>
    <w:p w:rsidR="007D76BB" w:rsidRDefault="00D70D28">
      <w:pPr>
        <w:pStyle w:val="Heading2"/>
      </w:pPr>
      <w:bookmarkStart w:id="37" w:name="The_problem"/>
      <w:bookmarkStart w:id="38" w:name="_bookmark12"/>
      <w:bookmarkEnd w:id="37"/>
      <w:bookmarkEnd w:id="38"/>
      <w:r>
        <w:t>The problem</w:t>
      </w:r>
    </w:p>
    <w:p w:rsidR="007D76BB" w:rsidRDefault="00D70D28">
      <w:pPr>
        <w:pStyle w:val="BodyText"/>
        <w:spacing w:before="1"/>
        <w:rPr>
          <w:rFonts w:ascii="Arial"/>
          <w:b/>
          <w:sz w:val="21"/>
        </w:rPr>
      </w:pPr>
      <w:r>
        <w:rPr>
          <w:noProof/>
          <w:lang w:val="en-AU" w:eastAsia="en-AU"/>
        </w:rPr>
        <mc:AlternateContent>
          <mc:Choice Requires="wps">
            <w:drawing>
              <wp:anchor distT="0" distB="0" distL="0" distR="0" simplePos="0" relativeHeight="251666432" behindDoc="1" locked="0" layoutInCell="1" allowOverlap="1">
                <wp:simplePos x="0" y="0"/>
                <wp:positionH relativeFrom="page">
                  <wp:posOffset>903605</wp:posOffset>
                </wp:positionH>
                <wp:positionV relativeFrom="paragraph">
                  <wp:posOffset>182245</wp:posOffset>
                </wp:positionV>
                <wp:extent cx="5850890" cy="3420110"/>
                <wp:effectExtent l="0" t="0" r="0" b="0"/>
                <wp:wrapTopAndBottom/>
                <wp:docPr id="429"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890" cy="3420110"/>
                        </a:xfrm>
                        <a:prstGeom prst="rect">
                          <a:avLst/>
                        </a:prstGeom>
                        <a:solidFill>
                          <a:srgbClr val="D9D9D9"/>
                        </a:solidFill>
                        <a:ln w="6096">
                          <a:solidFill>
                            <a:srgbClr val="000000"/>
                          </a:solidFill>
                          <a:prstDash val="solid"/>
                          <a:miter lim="800000"/>
                          <a:headEnd/>
                          <a:tailEnd/>
                        </a:ln>
                      </wps:spPr>
                      <wps:txbx>
                        <w:txbxContent>
                          <w:p w:rsidR="00A51832" w:rsidRDefault="00A51832">
                            <w:pPr>
                              <w:pStyle w:val="BodyText"/>
                              <w:spacing w:before="3"/>
                              <w:rPr>
                                <w:rFonts w:ascii="Arial"/>
                                <w:b/>
                              </w:rPr>
                            </w:pPr>
                          </w:p>
                          <w:p w:rsidR="00A51832" w:rsidRDefault="00A51832">
                            <w:pPr>
                              <w:ind w:left="103"/>
                              <w:rPr>
                                <w:b/>
                              </w:rPr>
                            </w:pPr>
                            <w:r>
                              <w:rPr>
                                <w:b/>
                              </w:rPr>
                              <w:t>Summary:</w:t>
                            </w:r>
                          </w:p>
                          <w:p w:rsidR="00A51832" w:rsidRDefault="00A51832">
                            <w:pPr>
                              <w:pStyle w:val="BodyText"/>
                              <w:numPr>
                                <w:ilvl w:val="0"/>
                                <w:numId w:val="62"/>
                              </w:numPr>
                              <w:tabs>
                                <w:tab w:val="left" w:pos="463"/>
                                <w:tab w:val="left" w:pos="464"/>
                              </w:tabs>
                              <w:spacing w:before="122"/>
                              <w:ind w:right="330" w:hanging="360"/>
                            </w:pPr>
                            <w:r>
                              <w:t>The Australian Government is concerned about safety risks to the Australian public posed by some sports supplements that are readily available as foods in</w:t>
                            </w:r>
                            <w:r>
                              <w:rPr>
                                <w:spacing w:val="-18"/>
                              </w:rPr>
                              <w:t xml:space="preserve"> </w:t>
                            </w:r>
                            <w:r>
                              <w:t>Australia.</w:t>
                            </w:r>
                          </w:p>
                          <w:p w:rsidR="00A51832" w:rsidRDefault="00A51832">
                            <w:pPr>
                              <w:pStyle w:val="BodyText"/>
                              <w:numPr>
                                <w:ilvl w:val="0"/>
                                <w:numId w:val="62"/>
                              </w:numPr>
                              <w:tabs>
                                <w:tab w:val="left" w:pos="463"/>
                                <w:tab w:val="left" w:pos="464"/>
                              </w:tabs>
                              <w:spacing w:before="180"/>
                              <w:ind w:right="331" w:hanging="360"/>
                            </w:pPr>
                            <w:r>
                              <w:t>Confusion regarding the legal status of sports supplements as foods or therapeutic goods significantly delays appropriate and timely action, even where there are significant health and safety concerns for</w:t>
                            </w:r>
                            <w:r>
                              <w:rPr>
                                <w:spacing w:val="-6"/>
                              </w:rPr>
                              <w:t xml:space="preserve"> </w:t>
                            </w:r>
                            <w:r>
                              <w:t>consumers.</w:t>
                            </w:r>
                          </w:p>
                          <w:p w:rsidR="00A51832" w:rsidRDefault="00A51832">
                            <w:pPr>
                              <w:pStyle w:val="BodyText"/>
                              <w:numPr>
                                <w:ilvl w:val="0"/>
                                <w:numId w:val="62"/>
                              </w:numPr>
                              <w:tabs>
                                <w:tab w:val="left" w:pos="463"/>
                                <w:tab w:val="left" w:pos="464"/>
                              </w:tabs>
                              <w:spacing w:before="179"/>
                              <w:ind w:right="295" w:hanging="360"/>
                            </w:pPr>
                            <w:r>
                              <w:t>There are two categories of sports supplements, currently being marketed as foods, which pose both actual and potential safety concerns for</w:t>
                            </w:r>
                            <w:r>
                              <w:rPr>
                                <w:spacing w:val="-10"/>
                              </w:rPr>
                              <w:t xml:space="preserve"> </w:t>
                            </w:r>
                            <w:r>
                              <w:t>consumers:</w:t>
                            </w:r>
                          </w:p>
                          <w:p w:rsidR="00A51832" w:rsidRDefault="00A51832">
                            <w:pPr>
                              <w:pStyle w:val="BodyText"/>
                              <w:numPr>
                                <w:ilvl w:val="1"/>
                                <w:numId w:val="62"/>
                              </w:numPr>
                              <w:tabs>
                                <w:tab w:val="left" w:pos="1184"/>
                              </w:tabs>
                              <w:spacing w:before="180"/>
                              <w:ind w:right="212"/>
                              <w:jc w:val="both"/>
                            </w:pPr>
                            <w:r>
                              <w:t>products which are either non-compliant or unlawful (in relation to the ingredients they contain) but are not being sufficiently regulated (due to lack of clarity on their legal status as a food or medicine in current</w:t>
                            </w:r>
                            <w:r>
                              <w:rPr>
                                <w:spacing w:val="-11"/>
                              </w:rPr>
                              <w:t xml:space="preserve"> </w:t>
                            </w:r>
                            <w:r>
                              <w:t>legislation)</w:t>
                            </w:r>
                          </w:p>
                          <w:p w:rsidR="00A51832" w:rsidRDefault="00A51832">
                            <w:pPr>
                              <w:pStyle w:val="BodyText"/>
                              <w:numPr>
                                <w:ilvl w:val="1"/>
                                <w:numId w:val="62"/>
                              </w:numPr>
                              <w:tabs>
                                <w:tab w:val="left" w:pos="1183"/>
                                <w:tab w:val="left" w:pos="1184"/>
                              </w:tabs>
                              <w:spacing w:before="179"/>
                              <w:ind w:right="310"/>
                            </w:pPr>
                            <w:r>
                              <w:t>other products which may not be unlawful under current legislation, but present a level of risk to consumers (in relation to their health claims, ingredients or presentation in medicinal forms such as tablets, capsules and pills,) such that it is appropriate to mitigate these risks through</w:t>
                            </w:r>
                            <w:r>
                              <w:rPr>
                                <w:spacing w:val="-6"/>
                              </w:rPr>
                              <w:t xml:space="preserve"> </w:t>
                            </w:r>
                            <w:r>
                              <w:t>regulation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 o:spid="_x0000_s1026" type="#_x0000_t202" style="position:absolute;margin-left:71.15pt;margin-top:14.35pt;width:460.7pt;height:269.3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" fillcolor="#d9d9d9" strokeweight=".48pt">
                <v:textbox inset="0,0,0,0">
                  <w:txbxContent>
                    <w:p w:rsidR="00A51832" w:rsidRDefault="00A51832">
                      <w:pPr>
                        <w:pStyle w:val="BodyText"/>
                        <w:spacing w:before="3"/>
                        <w:rPr>
                          <w:rFonts w:ascii="Arial"/>
                          <w:b/>
                        </w:rPr>
                      </w:pPr>
                    </w:p>
                    <w:p w:rsidR="00A51832" w:rsidRDefault="00A51832">
                      <w:pPr>
                        <w:ind w:left="103"/>
                        <w:rPr>
                          <w:b/>
                        </w:rPr>
                      </w:pPr>
                      <w:r>
                        <w:rPr>
                          <w:b/>
                        </w:rPr>
                        <w:t>Summary:</w:t>
                      </w:r>
                    </w:p>
                    <w:p w:rsidR="00A51832" w:rsidRDefault="00A51832">
                      <w:pPr>
                        <w:pStyle w:val="BodyText"/>
                        <w:numPr>
                          <w:ilvl w:val="0"/>
                          <w:numId w:val="62"/>
                        </w:numPr>
                        <w:tabs>
                          <w:tab w:val="left" w:pos="463"/>
                          <w:tab w:val="left" w:pos="464"/>
                        </w:tabs>
                        <w:spacing w:before="122"/>
                        <w:ind w:right="330" w:hanging="360"/>
                      </w:pPr>
                      <w:r>
                        <w:t>The Australian Government is concerned about safety risks to the Australian public posed by some sports supplements that are readily available as foods in</w:t>
                      </w:r>
                      <w:r>
                        <w:rPr>
                          <w:spacing w:val="-18"/>
                        </w:rPr>
                        <w:t xml:space="preserve"> </w:t>
                      </w:r>
                      <w:r>
                        <w:t>Australia.</w:t>
                      </w:r>
                    </w:p>
                    <w:p w:rsidR="00A51832" w:rsidRDefault="00A51832">
                      <w:pPr>
                        <w:pStyle w:val="BodyText"/>
                        <w:numPr>
                          <w:ilvl w:val="0"/>
                          <w:numId w:val="62"/>
                        </w:numPr>
                        <w:tabs>
                          <w:tab w:val="left" w:pos="463"/>
                          <w:tab w:val="left" w:pos="464"/>
                        </w:tabs>
                        <w:spacing w:before="180"/>
                        <w:ind w:right="331" w:hanging="360"/>
                      </w:pPr>
                      <w:r>
                        <w:t>Confusion regarding the legal status of sports supplements as foods or therapeutic goods significantly delays appropriate and timely action, even where there are significant health and safety concerns for</w:t>
                      </w:r>
                      <w:r>
                        <w:rPr>
                          <w:spacing w:val="-6"/>
                        </w:rPr>
                        <w:t xml:space="preserve"> </w:t>
                      </w:r>
                      <w:r>
                        <w:t>consumers.</w:t>
                      </w:r>
                    </w:p>
                    <w:p w:rsidR="00A51832" w:rsidRDefault="00A51832">
                      <w:pPr>
                        <w:pStyle w:val="BodyText"/>
                        <w:numPr>
                          <w:ilvl w:val="0"/>
                          <w:numId w:val="62"/>
                        </w:numPr>
                        <w:tabs>
                          <w:tab w:val="left" w:pos="463"/>
                          <w:tab w:val="left" w:pos="464"/>
                        </w:tabs>
                        <w:spacing w:before="179"/>
                        <w:ind w:right="295" w:hanging="360"/>
                      </w:pPr>
                      <w:r>
                        <w:t>There are two categories of sports supplements, currently being marketed as foods, which pose both actual and potential safety concerns for</w:t>
                      </w:r>
                      <w:r>
                        <w:rPr>
                          <w:spacing w:val="-10"/>
                        </w:rPr>
                        <w:t xml:space="preserve"> </w:t>
                      </w:r>
                      <w:r>
                        <w:t>consumers:</w:t>
                      </w:r>
                    </w:p>
                    <w:p w:rsidR="00A51832" w:rsidRDefault="00A51832">
                      <w:pPr>
                        <w:pStyle w:val="BodyText"/>
                        <w:numPr>
                          <w:ilvl w:val="1"/>
                          <w:numId w:val="62"/>
                        </w:numPr>
                        <w:tabs>
                          <w:tab w:val="left" w:pos="1184"/>
                        </w:tabs>
                        <w:spacing w:before="180"/>
                        <w:ind w:right="212"/>
                        <w:jc w:val="both"/>
                      </w:pPr>
                      <w:r>
                        <w:t>products which are either non-compliant or unlawful (in relation to the ingredients they contain) but are not being sufficiently regulated (due to lack of clarity on their legal status as a food or medicine in current</w:t>
                      </w:r>
                      <w:r>
                        <w:rPr>
                          <w:spacing w:val="-11"/>
                        </w:rPr>
                        <w:t xml:space="preserve"> </w:t>
                      </w:r>
                      <w:r>
                        <w:t>legislation)</w:t>
                      </w:r>
                    </w:p>
                    <w:p w:rsidR="00A51832" w:rsidRDefault="00A51832">
                      <w:pPr>
                        <w:pStyle w:val="BodyText"/>
                        <w:numPr>
                          <w:ilvl w:val="1"/>
                          <w:numId w:val="62"/>
                        </w:numPr>
                        <w:tabs>
                          <w:tab w:val="left" w:pos="1183"/>
                          <w:tab w:val="left" w:pos="1184"/>
                        </w:tabs>
                        <w:spacing w:before="179"/>
                        <w:ind w:right="310"/>
                      </w:pPr>
                      <w:r>
                        <w:t>other products which may not be unlawful under current legislation, but present a level of risk to consumers (in relation to their health claims, ingredients or presentation in medicinal forms such as tablets, capsules and pills,) such that it is appropriate to mitigate these risks through</w:t>
                      </w:r>
                      <w:r>
                        <w:rPr>
                          <w:spacing w:val="-6"/>
                        </w:rPr>
                        <w:t xml:space="preserve"> </w:t>
                      </w:r>
                      <w:r>
                        <w:t>regulation</w:t>
                      </w:r>
                    </w:p>
                  </w:txbxContent>
                </v:textbox>
                <w10:wrap type="topAndBottom" anchorx="page"/>
              </v:shape>
            </w:pict>
          </mc:Fallback>
        </mc:AlternateContent>
      </w:r>
    </w:p>
    <w:p w:rsidR="007D76BB" w:rsidRDefault="007D76BB">
      <w:pPr>
        <w:pStyle w:val="BodyText"/>
        <w:spacing w:before="8"/>
        <w:rPr>
          <w:rFonts w:ascii="Arial"/>
          <w:b/>
          <w:sz w:val="38"/>
        </w:rPr>
      </w:pPr>
    </w:p>
    <w:p w:rsidR="007D76BB" w:rsidRDefault="00D70D28">
      <w:pPr>
        <w:pStyle w:val="Heading3"/>
        <w:spacing w:before="1"/>
      </w:pPr>
      <w:bookmarkStart w:id="39" w:name="The_consumer_problem"/>
      <w:bookmarkStart w:id="40" w:name="_bookmark13"/>
      <w:bookmarkEnd w:id="39"/>
      <w:bookmarkEnd w:id="40"/>
      <w:r>
        <w:t>The consumer problem</w:t>
      </w:r>
    </w:p>
    <w:p w:rsidR="007D76BB" w:rsidRDefault="00D70D28">
      <w:pPr>
        <w:pStyle w:val="BodyText"/>
        <w:spacing w:before="126"/>
        <w:ind w:left="198" w:right="668"/>
      </w:pPr>
      <w:r>
        <w:t>In Australia, there is a diverse range of consumers that use sports supplement products, including those that research available information, assess personal risks and do not experience significant adverse events. Many sports supplements contain only food ingredients, are presented in the manner of food products (for example: meal replacement shakes, nutritional bars) and these are appropriate to be sold as foods, commensurate with their low risk profile.</w:t>
      </w:r>
    </w:p>
    <w:p w:rsidR="007D76BB" w:rsidRDefault="00D70D28">
      <w:pPr>
        <w:pStyle w:val="BodyText"/>
        <w:spacing w:before="179"/>
        <w:ind w:left="198" w:right="745"/>
      </w:pPr>
      <w:r>
        <w:t xml:space="preserve">However, many studies have found that this product category possesses a concerning rate of either intentional or unintentional adulteration, often with substances such as stimulants and anabolic steroids. A study on products within Australia have found that up to 19% of products containing substances banned in sport (2) which demonstrates the consumer health risk posed by some sports supplements available in Australia containing high-risk ingredients – for more information refer to </w:t>
      </w:r>
      <w:hyperlink w:anchor="_bookmark23" w:history="1">
        <w:r>
          <w:rPr>
            <w:color w:val="0000FF"/>
            <w:u w:val="single" w:color="0000FF"/>
          </w:rPr>
          <w:t>Analysis of ingredients in sports supplements available in Australia</w:t>
        </w:r>
        <w:r>
          <w:t>.</w:t>
        </w:r>
      </w:hyperlink>
    </w:p>
    <w:p w:rsidR="007D76BB" w:rsidRDefault="00D70D28">
      <w:pPr>
        <w:pStyle w:val="BodyText"/>
        <w:spacing w:before="181"/>
        <w:ind w:left="198" w:right="769"/>
      </w:pPr>
      <w:r>
        <w:t xml:space="preserve">A number of serious adverse events related to sports supplements have occurred in Australia and internationally – refer to </w:t>
      </w:r>
      <w:hyperlink w:anchor="_bookmark15" w:history="1">
        <w:proofErr w:type="gramStart"/>
        <w:r>
          <w:rPr>
            <w:color w:val="0000FF"/>
            <w:u w:val="single" w:color="0000FF"/>
          </w:rPr>
          <w:t>Adverse</w:t>
        </w:r>
        <w:proofErr w:type="gramEnd"/>
        <w:r>
          <w:rPr>
            <w:color w:val="0000FF"/>
            <w:u w:val="single" w:color="0000FF"/>
          </w:rPr>
          <w:t xml:space="preserve"> events to sports supplements</w:t>
        </w:r>
        <w:r>
          <w:t xml:space="preserve">. </w:t>
        </w:r>
      </w:hyperlink>
      <w:r>
        <w:t xml:space="preserve">In general, the products associated with serious adverse events have contained ingredients that are not appropriate for food, such as prescription medicine ingredients – for information on these ingredients refer to </w:t>
      </w:r>
      <w:hyperlink w:anchor="_bookmark19" w:history="1">
        <w:r>
          <w:rPr>
            <w:color w:val="0000FF"/>
            <w:u w:val="single" w:color="0000FF"/>
          </w:rPr>
          <w:t>Substances included in a Schedule to the Poisons Standard</w:t>
        </w:r>
        <w:r>
          <w:t>.</w:t>
        </w:r>
      </w:hyperlink>
    </w:p>
    <w:p w:rsidR="007D76BB" w:rsidRDefault="00D70D28">
      <w:pPr>
        <w:pStyle w:val="BodyText"/>
        <w:spacing w:before="179"/>
        <w:ind w:left="198" w:right="620"/>
      </w:pPr>
      <w:r>
        <w:t>There is a growing body of case reports and studies into adverse effects related to the use of sports supplements (3; 4; 5; 6; 7; 8; 9; 10; 11; 12) (13; 14; 15; 16). While there are many adverse events reported for sports supplements, there are also studies revealing that adverse events are often under reported for this category of products (17).</w:t>
      </w:r>
    </w:p>
    <w:p w:rsidR="007D76BB" w:rsidRDefault="00D70D28">
      <w:pPr>
        <w:pStyle w:val="BodyText"/>
        <w:spacing w:before="180"/>
        <w:ind w:left="197" w:right="648"/>
      </w:pPr>
      <w:r>
        <w:t>Case studies report instances of renal failure and exercise related rhabdomyolysis (damage and subsequent breakdown of skeletal muscle); liver damage and failure; lupus-like syndrome (an auto-</w:t>
      </w:r>
      <w:r>
        <w:lastRenderedPageBreak/>
        <w:t>immune syndrome with joint and muscle pain, fatigue and inflammation to the lining of the</w:t>
      </w:r>
    </w:p>
    <w:p w:rsidR="007D76BB" w:rsidRDefault="007D76BB">
      <w:pPr>
        <w:sectPr w:rsidR="007D76BB">
          <w:pgSz w:w="11910" w:h="16840"/>
          <w:pgMar w:top="840" w:right="820" w:bottom="1360" w:left="1220" w:header="572" w:footer="1179" w:gutter="0"/>
          <w:cols w:space="720"/>
        </w:sectPr>
      </w:pPr>
    </w:p>
    <w:p w:rsidR="007D76BB" w:rsidRDefault="007D76BB">
      <w:pPr>
        <w:pStyle w:val="BodyText"/>
        <w:spacing w:before="1"/>
        <w:rPr>
          <w:sz w:val="16"/>
        </w:rPr>
      </w:pPr>
    </w:p>
    <w:p w:rsidR="007D76BB" w:rsidRDefault="00D70D28">
      <w:pPr>
        <w:pStyle w:val="BodyText"/>
        <w:spacing w:before="101"/>
        <w:ind w:left="198" w:right="836"/>
        <w:jc w:val="both"/>
      </w:pPr>
      <w:r>
        <w:t xml:space="preserve">heart and lungs); interstitial nephritis (hindering the ability of the kidneys to work properly); cardiac toxicities; compartment syndrome (muscle pressure build up resulting in severe pain and weakness); and </w:t>
      </w:r>
      <w:proofErr w:type="spellStart"/>
      <w:r>
        <w:t>haemorrhagic</w:t>
      </w:r>
      <w:proofErr w:type="spellEnd"/>
      <w:r>
        <w:t xml:space="preserve"> stroke among other sequelae (8; 10; 11; 12; 18; 19; 15; 16).</w:t>
      </w:r>
    </w:p>
    <w:p w:rsidR="007D76BB" w:rsidRDefault="00D70D28">
      <w:pPr>
        <w:pStyle w:val="BodyText"/>
        <w:spacing w:before="182"/>
        <w:ind w:left="198" w:right="728"/>
      </w:pPr>
      <w:r>
        <w:t xml:space="preserve">The range of products and substances implicated is diverse, including both commonly used and undeclared substances such as caffeine, ephedrine, other amphetamine-like stimulants, </w:t>
      </w:r>
      <w:proofErr w:type="spellStart"/>
      <w:r>
        <w:t>yohimbine</w:t>
      </w:r>
      <w:proofErr w:type="spellEnd"/>
      <w:r>
        <w:t xml:space="preserve"> and anabolic steroidal agents.</w:t>
      </w:r>
    </w:p>
    <w:p w:rsidR="007D76BB" w:rsidRDefault="00D70D28">
      <w:pPr>
        <w:pStyle w:val="BodyText"/>
        <w:spacing w:before="179"/>
        <w:ind w:left="198" w:right="878"/>
      </w:pPr>
      <w:r>
        <w:t>In general, these events occur in otherwise healthy, predominantly younger people, for whom there has usually been no medical reason to take the product that caused them harm. The popularity of sports supplements is prevalent and continuing to grow in younger generations (20; 21), putting this cohort at increasing risk to serious adverse events.</w:t>
      </w:r>
    </w:p>
    <w:p w:rsidR="007D76BB" w:rsidRDefault="00D70D28">
      <w:pPr>
        <w:pStyle w:val="BodyText"/>
        <w:spacing w:before="180"/>
        <w:ind w:left="197" w:right="595"/>
      </w:pPr>
      <w:r>
        <w:t xml:space="preserve">These events are not only tragic for the individuals; they represent a significant cost to society as a whole - affecting the individuals’ family, friends, their immediate and broader communities, as well as posing a significant cost to the Australian healthcare system. Based on 2014/2015 data, the NSW Ministry of Health estimated the hospital cost of a liver transplant procedure (i.e. hospital costs) to be $153,200, the cost of a kidney transplant procedure to be $43,700, treatment of kidney failure $8,900 and a single session of </w:t>
      </w:r>
      <w:proofErr w:type="spellStart"/>
      <w:r>
        <w:t>haemodialysis</w:t>
      </w:r>
      <w:proofErr w:type="spellEnd"/>
      <w:r>
        <w:t xml:space="preserve"> to be $400 (22). These costs do not take into account other costs to the patient, such as: medication costs; medical consultations; pathology; loss of income; reduced quality of life; or impact on life expectancy. A 2019 article by ASADA (23) referred to 18 cases of liver damage in recent years, which would translate to $2.8 million in direct hospital costs. A case study of fulminant liver failure and transplantation after use of dietary supplements is described in more detail in the medical literature by Smith et al. (2016) (15).</w:t>
      </w:r>
    </w:p>
    <w:p w:rsidR="007D76BB" w:rsidRDefault="00D70D28">
      <w:pPr>
        <w:pStyle w:val="BodyText"/>
        <w:spacing w:before="181"/>
        <w:ind w:left="197" w:right="646"/>
      </w:pPr>
      <w:r>
        <w:t>In relation to the cost to society of an individual death associated with the use of sports supplements, the Office of Best Practice Regulation’s advice to policy makers is to use estimates derived by Abelson (2007) (24)</w:t>
      </w:r>
      <w:r>
        <w:rPr>
          <w:sz w:val="16"/>
        </w:rPr>
        <w:t xml:space="preserve">, </w:t>
      </w:r>
      <w:r>
        <w:t>adjusted for current day costs, which equate to a Value of Statistical Life (VSL) of $4.9 million in 2019 dollars (25). The NSW Poisons Information Centre reports that since 2015, 4 people have died in Australia from taking supplements containing the ‘fat shredder’ ingredient 2</w:t>
      </w:r>
      <w:proofErr w:type="gramStart"/>
      <w:r>
        <w:t>,4</w:t>
      </w:r>
      <w:proofErr w:type="gramEnd"/>
      <w:r>
        <w:t>-dinitrophenol (DNP). Extrapolating the VSL to these cases, the cost of the loss of these individuals’ lives in the last 5 years is $19.6 million. For the regulatory options proposed in this RIS (to address safety concerns associated with certain sports supplements), Noetic (</w:t>
      </w:r>
      <w:hyperlink w:anchor="_bookmark67" w:history="1">
        <w:r>
          <w:rPr>
            <w:color w:val="0000FF"/>
            <w:u w:val="single" w:color="0000FF"/>
          </w:rPr>
          <w:t>Appendix 1</w:t>
        </w:r>
      </w:hyperlink>
      <w:r>
        <w:t>) estimates the average annual regulatory impact over a 10- year period for industry for the highest cost options to be $0.22 million. Therefore, if one single death was avoided (by the proposal to regulate certain sports supplements as medicines), this would save society $4.9 million compared to the potential highest regulatory burden to industry of $2.2 million (over 10 years).</w:t>
      </w:r>
    </w:p>
    <w:p w:rsidR="007D76BB" w:rsidRDefault="00D70D28">
      <w:pPr>
        <w:pStyle w:val="BodyText"/>
        <w:spacing w:before="180"/>
        <w:ind w:left="197" w:right="610"/>
      </w:pPr>
      <w:r>
        <w:t>It must be acknowledged that some individuals knowingly con</w:t>
      </w:r>
      <w:r>
        <w:lastRenderedPageBreak/>
        <w:t>sume products containing high- risk ingredients (such as prescription medicine ingredients or substances in the WADC Prohibited List) for their purported performance enhancement, in spite of the known health risks. These consumers know which ingredients will provide the effect they are seeking as well as what food sports supplements contain these ingredients. These consumers believe it is their right to have access to these products because they have made their own personal assessment of their health risks compared to the potential benefit to their performance. This could also be compared to other consumers who consider it is their consumer right to consume psychoactive substances for recreational purposes, based on their own personal risk benefit assessment.</w:t>
      </w:r>
    </w:p>
    <w:p w:rsidR="007D76BB" w:rsidRDefault="00D70D28">
      <w:pPr>
        <w:pStyle w:val="BodyText"/>
        <w:ind w:left="197" w:right="856"/>
      </w:pPr>
      <w:r>
        <w:t xml:space="preserve">However, the costs of adverse events associated with consumption of these substances, including </w:t>
      </w:r>
      <w:proofErr w:type="spellStart"/>
      <w:r>
        <w:t>hospitalisation</w:t>
      </w:r>
      <w:proofErr w:type="spellEnd"/>
      <w:r>
        <w:t>, are largely met by public monies. Government has a role to regulate, and does so, to control access to poisons in consideration of their detrimental effects at a community level even if that denies the individual consumer’s right to consume them.</w:t>
      </w:r>
    </w:p>
    <w:p w:rsidR="007D76BB" w:rsidRDefault="00D70D28">
      <w:pPr>
        <w:pStyle w:val="BodyText"/>
        <w:spacing w:before="180"/>
        <w:ind w:left="197" w:right="796"/>
        <w:jc w:val="both"/>
      </w:pPr>
      <w:r>
        <w:t xml:space="preserve">Some consumers are unaware of the ingredients that certain food sports supplements contain (due to the ingredients not being declared on the label or listed under different names) or the </w:t>
      </w:r>
      <w:r>
        <w:rPr>
          <w:u w:val="single"/>
        </w:rPr>
        <w:t>consequences of their consumption. This is a not only a concern relating to adverse events th</w:t>
      </w:r>
      <w:r>
        <w:t>at</w:t>
      </w:r>
    </w:p>
    <w:p w:rsidR="007D76BB" w:rsidRDefault="007D76BB">
      <w:pPr>
        <w:jc w:val="both"/>
        <w:sectPr w:rsidR="007D76BB">
          <w:headerReference w:type="default" r:id="rId91"/>
          <w:footerReference w:type="default" r:id="rId92"/>
          <w:pgSz w:w="11910" w:h="16840"/>
          <w:pgMar w:top="840" w:right="820" w:bottom="1360" w:left="1220" w:header="572" w:footer="1167" w:gutter="0"/>
          <w:pgNumType w:start="23"/>
          <w:cols w:space="720"/>
        </w:sectPr>
      </w:pPr>
    </w:p>
    <w:p w:rsidR="007D76BB" w:rsidRDefault="007D76BB">
      <w:pPr>
        <w:pStyle w:val="BodyText"/>
        <w:spacing w:before="1"/>
        <w:rPr>
          <w:sz w:val="16"/>
        </w:rPr>
      </w:pPr>
    </w:p>
    <w:p w:rsidR="007D76BB" w:rsidRDefault="00D70D28">
      <w:pPr>
        <w:pStyle w:val="BodyText"/>
        <w:spacing w:before="101"/>
        <w:ind w:left="198" w:right="645"/>
      </w:pPr>
      <w:proofErr w:type="gramStart"/>
      <w:r>
        <w:t>pose</w:t>
      </w:r>
      <w:proofErr w:type="gramEnd"/>
      <w:r>
        <w:t xml:space="preserve"> a risk to consumer health, but also to amateur and professional athletes who may unwittingly consume WADC prohibited substances and suffer lengthy bans from their sport resulting in personal hardship, reputational damage and ruined careers - see </w:t>
      </w:r>
      <w:hyperlink w:anchor="_bookmark21" w:history="1">
        <w:r>
          <w:rPr>
            <w:color w:val="0000FF"/>
            <w:u w:val="single" w:color="0000FF"/>
          </w:rPr>
          <w:t>Substances in the</w:t>
        </w:r>
      </w:hyperlink>
      <w:r>
        <w:rPr>
          <w:color w:val="0000FF"/>
        </w:rPr>
        <w:t xml:space="preserve"> </w:t>
      </w:r>
      <w:hyperlink w:anchor="_bookmark21" w:history="1">
        <w:r>
          <w:rPr>
            <w:color w:val="0000FF"/>
            <w:u w:val="single" w:color="0000FF"/>
          </w:rPr>
          <w:t>WADC Prohibited List</w:t>
        </w:r>
        <w:r>
          <w:t xml:space="preserve">. </w:t>
        </w:r>
      </w:hyperlink>
      <w:r>
        <w:t>The cost of this to an athlete is difficult to measure, as it is difficult to quantify the financial outlay, physical commitment and personal sacrifices an individual athlete has had to endure to reach an elite level in their sport. The subsequent costs of the loss of their career is also difficult to quantify in relation to the athlete’s mental, physical and financial health for the many years following the incident.</w:t>
      </w:r>
    </w:p>
    <w:p w:rsidR="007D76BB" w:rsidRDefault="00D70D28">
      <w:pPr>
        <w:pStyle w:val="BodyText"/>
        <w:spacing w:before="181"/>
        <w:ind w:left="198" w:right="660"/>
      </w:pPr>
      <w:r>
        <w:t>In addition to the costs to the individual, , there are also societal impacts of unintentional dosing such as the undermining of the reputation of Australian sports and Australia’s standing on the international stage, thereby diminishing potential economic gains (such as the wider economic benefits from being selected to host elite sporting events) that relies on Australia’s pre-eminent sporting reputation.</w:t>
      </w:r>
    </w:p>
    <w:p w:rsidR="007D76BB" w:rsidRDefault="00D70D28">
      <w:pPr>
        <w:pStyle w:val="BodyText"/>
        <w:spacing w:before="182"/>
        <w:ind w:left="197" w:right="605" w:firstLine="1"/>
      </w:pPr>
      <w:r>
        <w:t xml:space="preserve">It is apparent that the presence of high risk ingredients, whether declared or undeclared on the label of the product pose actual risks to consumers. There is also a potential risk to consumers from products marketed as foods that make therapeutic claims, contain active ingredients and are presented in a medicinal dosage form (such as tablets, capsules and pills), but have not been subject to the regulatory controls of therapeutic goods. This potential risk is posed, in part, by the lower sample testing requirements for foods and the potential for dose variability between product batches – see </w:t>
      </w:r>
      <w:hyperlink w:anchor="_bookmark24" w:history="1">
        <w:r>
          <w:rPr>
            <w:color w:val="0000FF"/>
            <w:u w:val="single" w:color="0000FF"/>
          </w:rPr>
          <w:t xml:space="preserve">Presentation of concern </w:t>
        </w:r>
      </w:hyperlink>
      <w:r>
        <w:rPr>
          <w:color w:val="0000FF"/>
          <w:u w:val="single" w:color="0000FF"/>
        </w:rPr>
        <w:t>in sports supplements</w:t>
      </w:r>
      <w:r>
        <w:t>. Where a substance requires a specific dose for both safety and efficacy, as can be assumed is the case for sport supplements presented in this dosage form, changes in the levels of those ingredients could have deleterious effects for consumer health.</w:t>
      </w:r>
    </w:p>
    <w:p w:rsidR="007D76BB" w:rsidRDefault="00D70D28">
      <w:pPr>
        <w:pStyle w:val="BodyText"/>
        <w:spacing w:before="178"/>
        <w:ind w:left="198" w:right="600"/>
      </w:pPr>
      <w:r>
        <w:t xml:space="preserve">While many manufacturers produce safe sports supplement products that are appropriately marketed as foods or medicines in Australia, some companies knowingly market supplements as food products, rather than therapeutic goods, to avoid appropriate regulatory scrutiny, even though they contain ingredients that may cause harm. A driver for this is the product revenue to be gained from increased consumer demand for products with a reputation for providing the desired performance enhancement. It is unlikely that a non-regulatory approach would have any effect on this </w:t>
      </w:r>
      <w:proofErr w:type="spellStart"/>
      <w:r>
        <w:t>behaviour</w:t>
      </w:r>
      <w:proofErr w:type="spellEnd"/>
      <w:r>
        <w:t xml:space="preserve">. The TGA has published warnings about such products over the last decade as well as communicated the hazards associated with them through the mass media but with little effect on the </w:t>
      </w:r>
      <w:proofErr w:type="spellStart"/>
      <w:r>
        <w:t>behaviour</w:t>
      </w:r>
      <w:proofErr w:type="spellEnd"/>
      <w:r>
        <w:t xml:space="preserve"> of these companies.</w:t>
      </w:r>
    </w:p>
    <w:p w:rsidR="007D76BB" w:rsidRDefault="00D70D28">
      <w:pPr>
        <w:pStyle w:val="BodyText"/>
        <w:spacing w:before="179"/>
        <w:ind w:left="198" w:right="627"/>
      </w:pPr>
      <w:r>
        <w:t xml:space="preserve">There is a growing trend in Australia for improvement of health and wellbeing, with an increasing number of Australians attending fitness classes and weight training. This trend is particularly embraced by younger generations, which supports growing sales in sports nutrition products to support intensive training routines – see </w:t>
      </w:r>
      <w:hyperlink w:anchor="_bookmark14" w:history="1">
        <w:r>
          <w:rPr>
            <w:color w:val="0000FF"/>
            <w:u w:val="single" w:color="0000FF"/>
          </w:rPr>
          <w:t>Consumer use of sports supplements in</w:t>
        </w:r>
      </w:hyperlink>
      <w:r>
        <w:rPr>
          <w:color w:val="0000FF"/>
        </w:rPr>
        <w:t xml:space="preserve"> </w:t>
      </w:r>
      <w:hyperlink w:anchor="_bookmark14" w:history="1">
        <w:r>
          <w:rPr>
            <w:color w:val="0000FF"/>
            <w:u w:val="single" w:color="0000FF"/>
          </w:rPr>
          <w:t>Australia</w:t>
        </w:r>
        <w:r>
          <w:t xml:space="preserve">. </w:t>
        </w:r>
      </w:hyperlink>
      <w:r>
        <w:t>While many food sports supplements pose no safety concern, some contain in</w:t>
      </w:r>
      <w:r>
        <w:lastRenderedPageBreak/>
        <w:t>gredients of high risk to consumers, whether intentionally or unintentionally consumed by the consumer. As the use of sports supplements continues to increase, the actual and potential risks of these products to consumers could also correspondingly increase.</w:t>
      </w:r>
    </w:p>
    <w:p w:rsidR="007D76BB" w:rsidRDefault="007D76BB">
      <w:pPr>
        <w:pStyle w:val="BodyText"/>
        <w:spacing w:before="8"/>
        <w:rPr>
          <w:sz w:val="30"/>
        </w:rPr>
      </w:pPr>
    </w:p>
    <w:p w:rsidR="007D76BB" w:rsidRDefault="00D70D28">
      <w:pPr>
        <w:pStyle w:val="Heading5"/>
        <w:rPr>
          <w:rFonts w:ascii="Arial"/>
        </w:rPr>
      </w:pPr>
      <w:bookmarkStart w:id="41" w:name="Consumer_use_of_sports_supplements_in_Au"/>
      <w:bookmarkStart w:id="42" w:name="_bookmark14"/>
      <w:bookmarkEnd w:id="41"/>
      <w:bookmarkEnd w:id="42"/>
      <w:r>
        <w:rPr>
          <w:rFonts w:ascii="Arial"/>
        </w:rPr>
        <w:t>Consumer use of sports supplements in Australia</w:t>
      </w:r>
    </w:p>
    <w:p w:rsidR="007D76BB" w:rsidRDefault="00D70D28">
      <w:pPr>
        <w:pStyle w:val="BodyText"/>
        <w:spacing w:before="122"/>
        <w:ind w:left="198" w:right="644"/>
      </w:pPr>
      <w:proofErr w:type="spellStart"/>
      <w:r>
        <w:t>Euromonitor’s</w:t>
      </w:r>
      <w:proofErr w:type="spellEnd"/>
      <w:r>
        <w:t xml:space="preserve"> 2019 Consumer Health in Australia report (21) states that in the last five years in Australia gym memberships have increased due to personal wellbeing trends and an increasing number of consumers participating in fitness classes and weight training. Younger generations of Australians are engaging the most in regular intensive fitness training. This trend supports growing sales in sports nutrition products to support intensive training routines.</w:t>
      </w:r>
    </w:p>
    <w:p w:rsidR="007D76BB" w:rsidRDefault="00D70D28">
      <w:pPr>
        <w:pStyle w:val="BodyText"/>
        <w:spacing w:before="120"/>
        <w:ind w:left="197" w:right="688"/>
      </w:pPr>
      <w:r>
        <w:t>The 2019 IBISWorld report (26) on vitamin and supplement manufacturing in Australia states that sports and nutrition supplements comprised 24.5% and weight loss products 11% of the</w:t>
      </w:r>
    </w:p>
    <w:p w:rsidR="007D76BB" w:rsidRDefault="00D70D28">
      <w:pPr>
        <w:pStyle w:val="BodyText"/>
        <w:ind w:left="197"/>
      </w:pPr>
      <w:r>
        <w:t>$159.2m online sales of vitamin and supplements in Australia in 2019.</w:t>
      </w:r>
    </w:p>
    <w:p w:rsidR="007D76BB" w:rsidRDefault="007D76BB">
      <w:pPr>
        <w:sectPr w:rsidR="007D76BB">
          <w:headerReference w:type="default" r:id="rId93"/>
          <w:footerReference w:type="default" r:id="rId94"/>
          <w:pgSz w:w="11910" w:h="16840"/>
          <w:pgMar w:top="840" w:right="820" w:bottom="1360" w:left="1220" w:header="572" w:footer="1179" w:gutter="0"/>
          <w:pgNumType w:start="24"/>
          <w:cols w:space="720"/>
        </w:sectPr>
      </w:pPr>
    </w:p>
    <w:p w:rsidR="007D76BB" w:rsidRDefault="007D76BB">
      <w:pPr>
        <w:pStyle w:val="BodyText"/>
        <w:spacing w:before="1"/>
        <w:rPr>
          <w:sz w:val="16"/>
        </w:rPr>
      </w:pPr>
    </w:p>
    <w:p w:rsidR="007D76BB" w:rsidRDefault="00D70D28">
      <w:pPr>
        <w:pStyle w:val="BodyText"/>
        <w:spacing w:before="101"/>
        <w:ind w:left="198" w:right="678"/>
      </w:pPr>
      <w:r>
        <w:t>In the last five years there has also been a strong growth in the popularity of protein powders, which are used by consumers for muscle growth, muscle regeneration and weight management</w:t>
      </w:r>
      <w:r>
        <w:rPr>
          <w:i/>
        </w:rPr>
        <w:t xml:space="preserve">. </w:t>
      </w:r>
      <w:r>
        <w:t>In particular, there has been an increased demand for protein sports supplements linked to the ‘</w:t>
      </w:r>
      <w:proofErr w:type="spellStart"/>
      <w:r>
        <w:t>keto</w:t>
      </w:r>
      <w:proofErr w:type="spellEnd"/>
      <w:r>
        <w:t xml:space="preserve"> diet’, which involves a diet that is high in protein and low in carbohydrates to force the body into ketosis, the process through which the body begins to consume excess body fat (21).</w:t>
      </w:r>
    </w:p>
    <w:p w:rsidR="007D76BB" w:rsidRDefault="00D70D28">
      <w:pPr>
        <w:pStyle w:val="BodyText"/>
        <w:spacing w:before="182"/>
        <w:ind w:left="198" w:right="622"/>
      </w:pPr>
      <w:r>
        <w:t>Weight management products include appetite suppressants, energy boosters and various meal replacements, including low-carbohydrate and protein bar supplements. The IBISWorld October 2019 report stated that while sales of weight management products increased marginally in 2019, Australian consumers are shifting towards a more holistic approach to weight loss and weight management. In 2019, supplement nutrition drinks was the only weight management category to register sales growth (26).</w:t>
      </w:r>
    </w:p>
    <w:p w:rsidR="007D76BB" w:rsidRDefault="00D70D28">
      <w:pPr>
        <w:pStyle w:val="BodyText"/>
        <w:spacing w:before="180"/>
        <w:ind w:left="197" w:right="604"/>
      </w:pPr>
      <w:r>
        <w:t>In 2019, Baker et al. (3) conducted a survey on the use of dietary and nutritional supplements in 2162 Australian army personnel (1833 males and 296 females). 76.4% of males and 86.8% of females used more than one supplement per week. The most popular types of combination products were ‘pre-workout’/’intra-workout’ supplements (n = 602; 28%), ‘fat burner’/’</w:t>
      </w:r>
      <w:proofErr w:type="spellStart"/>
      <w:r>
        <w:t>thermogenic</w:t>
      </w:r>
      <w:proofErr w:type="spellEnd"/>
      <w:r>
        <w:t>’ supplements (n = 252; 12%), and ‘post-workout’ supplements (n = 234; 11%). The authors stated that the highest use of dietary supplements was in those aged between 23 and 27yrs.</w:t>
      </w:r>
    </w:p>
    <w:p w:rsidR="007D76BB" w:rsidRDefault="00D70D28">
      <w:pPr>
        <w:pStyle w:val="BodyText"/>
        <w:spacing w:before="180"/>
        <w:ind w:left="197" w:right="849"/>
      </w:pPr>
      <w:proofErr w:type="spellStart"/>
      <w:r>
        <w:t>Yager</w:t>
      </w:r>
      <w:proofErr w:type="spellEnd"/>
      <w:r>
        <w:t xml:space="preserve"> et al. (2020) conducted a study on use of muscle building supplement by 237 Australian adolescent boys aged 14–16 years from an independent boy’s school in Melbourne (20). The study found that:</w:t>
      </w:r>
    </w:p>
    <w:p w:rsidR="007D76BB" w:rsidRDefault="00D70D28">
      <w:pPr>
        <w:pStyle w:val="ListParagraph"/>
        <w:numPr>
          <w:ilvl w:val="0"/>
          <w:numId w:val="72"/>
        </w:numPr>
        <w:tabs>
          <w:tab w:val="left" w:pos="557"/>
          <w:tab w:val="left" w:pos="558"/>
        </w:tabs>
        <w:spacing w:before="179"/>
        <w:ind w:left="557"/>
      </w:pPr>
      <w:r>
        <w:t>50% of boys (n=118) currently used, and 62% (n=147) intended to use protein</w:t>
      </w:r>
      <w:r>
        <w:rPr>
          <w:spacing w:val="-24"/>
        </w:rPr>
        <w:t xml:space="preserve"> </w:t>
      </w:r>
      <w:r>
        <w:t>powder</w:t>
      </w:r>
    </w:p>
    <w:p w:rsidR="007D76BB" w:rsidRDefault="00D70D28">
      <w:pPr>
        <w:pStyle w:val="ListParagraph"/>
        <w:numPr>
          <w:ilvl w:val="0"/>
          <w:numId w:val="72"/>
        </w:numPr>
        <w:tabs>
          <w:tab w:val="left" w:pos="557"/>
          <w:tab w:val="left" w:pos="558"/>
        </w:tabs>
        <w:spacing w:before="181"/>
        <w:ind w:left="557"/>
      </w:pPr>
      <w:r>
        <w:t>8.4% (n=20) currently used, and 26% (n=61) intended to use</w:t>
      </w:r>
      <w:r>
        <w:rPr>
          <w:spacing w:val="-16"/>
        </w:rPr>
        <w:t xml:space="preserve"> </w:t>
      </w:r>
      <w:r>
        <w:t>creatinine</w:t>
      </w:r>
    </w:p>
    <w:p w:rsidR="007D76BB" w:rsidRDefault="00D70D28">
      <w:pPr>
        <w:pStyle w:val="ListParagraph"/>
        <w:numPr>
          <w:ilvl w:val="0"/>
          <w:numId w:val="72"/>
        </w:numPr>
        <w:tabs>
          <w:tab w:val="left" w:pos="557"/>
          <w:tab w:val="left" w:pos="558"/>
        </w:tabs>
        <w:spacing w:before="36" w:line="440" w:lineRule="exact"/>
        <w:ind w:left="197" w:right="1656" w:firstLine="0"/>
      </w:pPr>
      <w:r>
        <w:t>4.2% (n=10) currently used, and 10%(n=24) intended to use anabolic steroids The authors state that gender is commonly accepted as a predictor of muscle</w:t>
      </w:r>
      <w:r>
        <w:rPr>
          <w:spacing w:val="-26"/>
        </w:rPr>
        <w:t xml:space="preserve"> </w:t>
      </w:r>
      <w:r>
        <w:t>building</w:t>
      </w:r>
    </w:p>
    <w:p w:rsidR="007D76BB" w:rsidRDefault="00D70D28">
      <w:pPr>
        <w:pStyle w:val="BodyText"/>
        <w:spacing w:line="217" w:lineRule="exact"/>
        <w:ind w:left="197"/>
      </w:pPr>
      <w:proofErr w:type="gramStart"/>
      <w:r>
        <w:t>supplement</w:t>
      </w:r>
      <w:proofErr w:type="gramEnd"/>
      <w:r>
        <w:t xml:space="preserve"> use, in that males are much more likely to use supplements and steroids than</w:t>
      </w:r>
    </w:p>
    <w:p w:rsidR="007D76BB" w:rsidRDefault="00D70D28">
      <w:pPr>
        <w:pStyle w:val="BodyText"/>
        <w:spacing w:before="1"/>
        <w:ind w:left="197" w:right="608"/>
      </w:pPr>
      <w:proofErr w:type="gramStart"/>
      <w:r>
        <w:t>females</w:t>
      </w:r>
      <w:proofErr w:type="gramEnd"/>
      <w:r>
        <w:t xml:space="preserve">. Higher levels of drive for muscularity, participation in weight training, and playing a sports increased the desire to use sports supplements. </w:t>
      </w:r>
      <w:proofErr w:type="spellStart"/>
      <w:r>
        <w:t>Yager</w:t>
      </w:r>
      <w:proofErr w:type="spellEnd"/>
      <w:r>
        <w:t xml:space="preserve"> et al. concluded that the prevalence of muscle building supplement use was relatively high among this adolescent population and that their research has implications for prevention programs to educate young boys about muscle building supplements to reduce negative physical and psychological health effects of their use (20).</w:t>
      </w:r>
    </w:p>
    <w:p w:rsidR="007D76BB" w:rsidRDefault="00D70D28">
      <w:pPr>
        <w:pStyle w:val="BodyText"/>
        <w:spacing w:before="178"/>
        <w:ind w:left="196" w:right="1393"/>
      </w:pPr>
      <w:r>
        <w:t xml:space="preserve">These studies and reports demonstrate the growing popularity of sports supplements in Australia, in line with the </w:t>
      </w:r>
      <w:r>
        <w:lastRenderedPageBreak/>
        <w:t>growth of personal wellbeing trends. The popularity of sports supplements is especially prevalent in younger generations.</w:t>
      </w:r>
    </w:p>
    <w:p w:rsidR="007D76BB" w:rsidRDefault="007D76BB">
      <w:pPr>
        <w:pStyle w:val="BodyText"/>
        <w:spacing w:before="9"/>
        <w:rPr>
          <w:sz w:val="30"/>
        </w:rPr>
      </w:pPr>
    </w:p>
    <w:p w:rsidR="007D76BB" w:rsidRDefault="00D70D28">
      <w:pPr>
        <w:pStyle w:val="Heading5"/>
        <w:rPr>
          <w:rFonts w:ascii="Arial"/>
        </w:rPr>
      </w:pPr>
      <w:bookmarkStart w:id="43" w:name="_bookmark15"/>
      <w:bookmarkEnd w:id="43"/>
      <w:r>
        <w:rPr>
          <w:rFonts w:ascii="Arial"/>
        </w:rPr>
        <w:t>Adverse events related to sports supplements</w:t>
      </w:r>
    </w:p>
    <w:p w:rsidR="007D76BB" w:rsidRDefault="00D70D28">
      <w:pPr>
        <w:spacing w:before="240"/>
        <w:ind w:left="198"/>
        <w:rPr>
          <w:b/>
          <w:sz w:val="26"/>
        </w:rPr>
      </w:pPr>
      <w:bookmarkStart w:id="44" w:name="Adverse_events_related_to_sports_supplem"/>
      <w:bookmarkEnd w:id="44"/>
      <w:r>
        <w:rPr>
          <w:b/>
          <w:color w:val="001422"/>
          <w:sz w:val="26"/>
        </w:rPr>
        <w:t>Adverse events related to sports supplements reported in Australia</w:t>
      </w:r>
    </w:p>
    <w:p w:rsidR="007D76BB" w:rsidRDefault="00D70D28">
      <w:pPr>
        <w:pStyle w:val="Heading7"/>
        <w:spacing w:before="120"/>
      </w:pPr>
      <w:r>
        <w:t>NSW Poisons Information Centre warning (2020)</w:t>
      </w:r>
    </w:p>
    <w:p w:rsidR="007D76BB" w:rsidRDefault="00D70D28">
      <w:pPr>
        <w:pStyle w:val="BodyText"/>
        <w:spacing w:before="181"/>
        <w:ind w:left="198" w:right="669"/>
      </w:pPr>
      <w:r>
        <w:t xml:space="preserve">In a letter to the editor of the </w:t>
      </w:r>
      <w:r>
        <w:rPr>
          <w:i/>
        </w:rPr>
        <w:t xml:space="preserve">Australian Medical Journal, </w:t>
      </w:r>
      <w:r>
        <w:t>published May 2020, researchers from the NSW Poisons Information Centre warn that the banned ‘fat shredder’ 2,4-dinitrophenol (DNP) is experiencing a resurgence in Australia as an illicit body building supplement. The researchers state it is available in Australia and overseas, often being sold online and labelled as ‘turmeric’ (27).</w:t>
      </w:r>
    </w:p>
    <w:p w:rsidR="007D76BB" w:rsidRDefault="00D70D28">
      <w:pPr>
        <w:pStyle w:val="BodyText"/>
        <w:spacing w:before="179"/>
        <w:ind w:left="198" w:right="770" w:hanging="1"/>
      </w:pPr>
      <w:r>
        <w:t>From 2002 to 2016, the NSW Poisons Information Centre received 1- 4 annual calls concerning DNP exposures. In 2018, this number increased to 10 annual calls.</w:t>
      </w:r>
    </w:p>
    <w:p w:rsidR="007D76BB" w:rsidRDefault="007D76BB">
      <w:pPr>
        <w:sectPr w:rsidR="007D76BB">
          <w:pgSz w:w="11910" w:h="16840"/>
          <w:pgMar w:top="840" w:right="820" w:bottom="1360" w:left="1220" w:header="572" w:footer="1179" w:gutter="0"/>
          <w:cols w:space="720"/>
        </w:sectPr>
      </w:pPr>
    </w:p>
    <w:p w:rsidR="007D76BB" w:rsidRDefault="007D76BB">
      <w:pPr>
        <w:pStyle w:val="BodyText"/>
        <w:spacing w:before="1"/>
        <w:rPr>
          <w:sz w:val="16"/>
        </w:rPr>
      </w:pPr>
    </w:p>
    <w:p w:rsidR="007D76BB" w:rsidRDefault="00D70D28">
      <w:pPr>
        <w:pStyle w:val="BodyText"/>
        <w:spacing w:before="101"/>
        <w:ind w:left="197" w:right="630"/>
      </w:pPr>
      <w:r>
        <w:t>The authors advise that since 2015, four patients have died in Australia after using DNP. Two of the four deaths occurred after 2017, after DNP was included in schedule 10 of the Poisons Standard (banning its use in all circumstances, including clinical trials, which is a stricter control than for illicit drugs such as cocaine).</w:t>
      </w:r>
    </w:p>
    <w:p w:rsidR="007D76BB" w:rsidRDefault="00D70D28">
      <w:pPr>
        <w:pStyle w:val="BodyText"/>
        <w:spacing w:before="181"/>
        <w:ind w:left="197" w:right="941"/>
      </w:pPr>
      <w:r>
        <w:t>The authors suggest that awareness campaigns specifically targeting gyms and body building communities should be undertaken to stop people taking the drug.</w:t>
      </w:r>
    </w:p>
    <w:p w:rsidR="007D76BB" w:rsidRDefault="00D70D28">
      <w:pPr>
        <w:pStyle w:val="Heading7"/>
        <w:ind w:left="197"/>
        <w:rPr>
          <w:b w:val="0"/>
        </w:rPr>
      </w:pPr>
      <w:r>
        <w:t xml:space="preserve">NSW Health Authority warning (2018) </w:t>
      </w:r>
      <w:r>
        <w:rPr>
          <w:b w:val="0"/>
        </w:rPr>
        <w:t>(28)</w:t>
      </w:r>
    </w:p>
    <w:p w:rsidR="007D76BB" w:rsidRDefault="00D70D28">
      <w:pPr>
        <w:pStyle w:val="BodyText"/>
        <w:spacing w:before="181"/>
        <w:ind w:left="197" w:right="719"/>
      </w:pPr>
      <w:r>
        <w:t>In 2018, the New South Wales Health Authority also issued warnings about sports supplements containing DNP, advising it had contributed to deaths locally and overseas. The products containing the chemical were weight loss agents, commonly known as ‘Shredders’ marketed to fitness communities.</w:t>
      </w:r>
    </w:p>
    <w:p w:rsidR="007D76BB" w:rsidRDefault="00D70D28">
      <w:pPr>
        <w:pStyle w:val="BodyText"/>
        <w:spacing w:before="180"/>
        <w:ind w:left="197" w:right="606"/>
      </w:pPr>
      <w:r>
        <w:t>NSW Health advised that DNP prevents energy being stored as fat, causing the energy to instead be released as heat. This increases body temperature, which can damage the cells of organs such as muscles, kidneys and the brain. People can become seriously unwell within hours of ingesting DNP. There is no antidote for DNP and, even with the best medical care, people have died after using products containing this chemical. NSW Health urge the public to avoid products marketed online that name this chemical, or any product from an unverified source being promoted as a weight-loss agent.</w:t>
      </w:r>
    </w:p>
    <w:p w:rsidR="007D76BB" w:rsidRDefault="00D70D28">
      <w:pPr>
        <w:pStyle w:val="Heading7"/>
        <w:ind w:left="197"/>
        <w:rPr>
          <w:b w:val="0"/>
        </w:rPr>
      </w:pPr>
      <w:r>
        <w:t xml:space="preserve">Wang et al. study 2020 </w:t>
      </w:r>
      <w:r>
        <w:rPr>
          <w:b w:val="0"/>
        </w:rPr>
        <w:t>(9)</w:t>
      </w:r>
    </w:p>
    <w:p w:rsidR="007D76BB" w:rsidRDefault="00D70D28">
      <w:pPr>
        <w:pStyle w:val="BodyText"/>
        <w:spacing w:before="178"/>
        <w:ind w:left="197" w:right="961"/>
      </w:pPr>
      <w:r>
        <w:t xml:space="preserve">An Australian case study in 2020 reports of an otherwise healthy, 33-year old female who presented to the emergency department with acute cardiac </w:t>
      </w:r>
      <w:proofErr w:type="spellStart"/>
      <w:r>
        <w:t>ischaemia</w:t>
      </w:r>
      <w:proofErr w:type="spellEnd"/>
      <w:r>
        <w:t xml:space="preserve"> following the consumption of a pre-workout/weight loss supplement and a strenuous exercise session (9).</w:t>
      </w:r>
    </w:p>
    <w:p w:rsidR="007D76BB" w:rsidRDefault="00D70D28">
      <w:pPr>
        <w:pStyle w:val="Heading7"/>
        <w:spacing w:before="182"/>
        <w:ind w:left="197"/>
        <w:rPr>
          <w:b w:val="0"/>
        </w:rPr>
      </w:pPr>
      <w:r>
        <w:t xml:space="preserve">Baker et al study (2019) </w:t>
      </w:r>
      <w:r>
        <w:rPr>
          <w:b w:val="0"/>
        </w:rPr>
        <w:t>(3)</w:t>
      </w:r>
    </w:p>
    <w:p w:rsidR="007D76BB" w:rsidRDefault="00D70D28">
      <w:pPr>
        <w:pStyle w:val="BodyText"/>
        <w:spacing w:before="179"/>
        <w:ind w:left="197" w:right="754"/>
      </w:pPr>
      <w:r>
        <w:t>In 2019, Baker et al. conducted a survey on the use of dietary and nutritional supplements in 2162 Australian army personnel (1833 males and 296 females). Of these, 267 respondents reported suffering side effects from the use of supplements (approximately 16 of every 100 persons), with the most common adverse effects being palpitations (10.6%), tingling or numbness in the face, ﬁngers, arms, or legs (5.5%), tremors or shaking (2.9%), ﬂushing (2.3%), headache (2.0%), abdominal pain (1.6%), anxiety (1.4%), and dizziness or confusion (0.9%).</w:t>
      </w:r>
    </w:p>
    <w:p w:rsidR="007D76BB" w:rsidRDefault="00D70D28">
      <w:pPr>
        <w:pStyle w:val="Heading7"/>
        <w:ind w:left="196"/>
        <w:rPr>
          <w:b w:val="0"/>
        </w:rPr>
      </w:pPr>
      <w:r>
        <w:t xml:space="preserve">Smith et al. Study (2016) </w:t>
      </w:r>
      <w:r>
        <w:rPr>
          <w:b w:val="0"/>
        </w:rPr>
        <w:t>(15)</w:t>
      </w:r>
    </w:p>
    <w:p w:rsidR="007D76BB" w:rsidRDefault="00D70D28">
      <w:pPr>
        <w:pStyle w:val="BodyText"/>
        <w:spacing w:before="179"/>
        <w:ind w:left="195" w:right="643" w:firstLine="1"/>
      </w:pPr>
      <w:r>
        <w:t xml:space="preserve">In 2016, Smith et al. reported the case of a 26 year-old man who required a liver transplant after consuming 2 weight loss supplements. One supplement was a whey protein powder with multiple ingredients, including </w:t>
      </w:r>
      <w:r>
        <w:rPr>
          <w:i/>
        </w:rPr>
        <w:t xml:space="preserve">Camellia </w:t>
      </w:r>
      <w:proofErr w:type="spellStart"/>
      <w:r>
        <w:rPr>
          <w:i/>
        </w:rPr>
        <w:t>sinensis</w:t>
      </w:r>
      <w:proofErr w:type="spellEnd"/>
      <w:r>
        <w:rPr>
          <w:i/>
        </w:rPr>
        <w:t xml:space="preserve"> </w:t>
      </w:r>
      <w:r>
        <w:t xml:space="preserve">and the other supplement contained 70% </w:t>
      </w:r>
      <w:r>
        <w:rPr>
          <w:i/>
        </w:rPr>
        <w:t xml:space="preserve">Garcinia </w:t>
      </w:r>
      <w:proofErr w:type="spellStart"/>
      <w:r>
        <w:rPr>
          <w:i/>
        </w:rPr>
        <w:t>cambogia</w:t>
      </w:r>
      <w:proofErr w:type="spellEnd"/>
      <w:r>
        <w:t xml:space="preserve">, which were identified by the authors as the likely agents associated with hepatotoxicity. The man had no previous medical history, was healthy prior to consuming the supplements and the authors report there were no </w:t>
      </w:r>
      <w:r>
        <w:lastRenderedPageBreak/>
        <w:t>clinical features to suggest chronic liver impairment prior to the presentation. The man received a liver transplant 2 months after presentation and will require lifelong clinical management, including immunosuppression therapy to prevent transplant rejection.</w:t>
      </w:r>
    </w:p>
    <w:p w:rsidR="007D76BB" w:rsidRDefault="00D70D28">
      <w:pPr>
        <w:pStyle w:val="BodyText"/>
        <w:spacing w:before="182"/>
        <w:ind w:left="195" w:right="807"/>
      </w:pPr>
      <w:r>
        <w:t>Separate to the case study, in a statement to the media, the father of two stated: "I didn't think something you could buy online or just over the counter did the damage that it did to me. They didn't say anything about ‘could cause liver failure’”</w:t>
      </w:r>
      <w:hyperlink w:anchor="_bookmark16" w:history="1">
        <w:r>
          <w:rPr>
            <w:position w:val="5"/>
            <w:sz w:val="14"/>
          </w:rPr>
          <w:t>4</w:t>
        </w:r>
      </w:hyperlink>
      <w:r>
        <w:t>.</w:t>
      </w:r>
    </w:p>
    <w:p w:rsidR="007D76BB" w:rsidRDefault="007D76BB">
      <w:pPr>
        <w:pStyle w:val="BodyText"/>
        <w:rPr>
          <w:sz w:val="20"/>
        </w:rPr>
      </w:pPr>
    </w:p>
    <w:p w:rsidR="007D76BB" w:rsidRDefault="007D76BB">
      <w:pPr>
        <w:pStyle w:val="BodyText"/>
        <w:rPr>
          <w:sz w:val="20"/>
        </w:rPr>
      </w:pPr>
    </w:p>
    <w:p w:rsidR="007D76BB" w:rsidRDefault="00D70D28">
      <w:pPr>
        <w:pStyle w:val="BodyText"/>
        <w:spacing w:before="10"/>
        <w:rPr>
          <w:sz w:val="28"/>
        </w:rPr>
      </w:pPr>
      <w:r>
        <w:rPr>
          <w:noProof/>
          <w:lang w:val="en-AU" w:eastAsia="en-AU"/>
        </w:rPr>
        <mc:AlternateContent>
          <mc:Choice Requires="wps">
            <w:drawing>
              <wp:anchor distT="0" distB="0" distL="0" distR="0" simplePos="0" relativeHeight="251667456" behindDoc="1" locked="0" layoutInCell="1" allowOverlap="1">
                <wp:simplePos x="0" y="0"/>
                <wp:positionH relativeFrom="page">
                  <wp:posOffset>900430</wp:posOffset>
                </wp:positionH>
                <wp:positionV relativeFrom="paragraph">
                  <wp:posOffset>243840</wp:posOffset>
                </wp:positionV>
                <wp:extent cx="1828800" cy="1270"/>
                <wp:effectExtent l="0" t="0" r="0" b="0"/>
                <wp:wrapTopAndBottom/>
                <wp:docPr id="428"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92807" id="Freeform 284" o:spid="_x0000_s1026" style="position:absolute;margin-left:70.9pt;margin-top:19.2pt;width:2in;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" path="m,l2880,e" filled="f" strokeweight=".6pt">
                <v:path arrowok="t" o:connecttype="custom" o:connectlocs="0,0;1828800,0" o:connectangles="0,0"/>
                <w10:wrap type="topAndBottom" anchorx="page"/>
              </v:shape>
            </w:pict>
          </mc:Fallback>
        </mc:AlternateContent>
      </w:r>
    </w:p>
    <w:p w:rsidR="007D76BB" w:rsidRDefault="00D70D28">
      <w:pPr>
        <w:spacing w:before="71"/>
        <w:ind w:left="198"/>
        <w:rPr>
          <w:sz w:val="20"/>
        </w:rPr>
      </w:pPr>
      <w:bookmarkStart w:id="45" w:name="_bookmark16"/>
      <w:bookmarkEnd w:id="45"/>
      <w:r>
        <w:rPr>
          <w:position w:val="5"/>
          <w:sz w:val="13"/>
        </w:rPr>
        <w:t xml:space="preserve">4 </w:t>
      </w:r>
      <w:r>
        <w:rPr>
          <w:sz w:val="20"/>
        </w:rPr>
        <w:t>http</w:t>
      </w:r>
      <w:hyperlink r:id="rId95">
        <w:r>
          <w:rPr>
            <w:sz w:val="20"/>
          </w:rPr>
          <w:t>s</w:t>
        </w:r>
        <w:proofErr w:type="gramStart"/>
        <w:r>
          <w:rPr>
            <w:sz w:val="20"/>
          </w:rPr>
          <w:t>:/</w:t>
        </w:r>
        <w:proofErr w:type="gramEnd"/>
        <w:r>
          <w:rPr>
            <w:sz w:val="20"/>
          </w:rPr>
          <w:t>/w</w:t>
        </w:r>
      </w:hyperlink>
      <w:r>
        <w:rPr>
          <w:sz w:val="20"/>
        </w:rPr>
        <w:t>ww</w:t>
      </w:r>
      <w:hyperlink r:id="rId96">
        <w:r>
          <w:rPr>
            <w:sz w:val="20"/>
          </w:rPr>
          <w:t>.abc.net.au/news/2016-02-14/man-faced-death-after-taking-popular-weight-loss-</w:t>
        </w:r>
      </w:hyperlink>
    </w:p>
    <w:p w:rsidR="007D76BB" w:rsidRDefault="00D70D28">
      <w:pPr>
        <w:tabs>
          <w:tab w:val="left" w:pos="8917"/>
        </w:tabs>
        <w:spacing w:before="6"/>
        <w:ind w:left="197"/>
        <w:rPr>
          <w:sz w:val="20"/>
        </w:rPr>
      </w:pPr>
      <w:proofErr w:type="gramStart"/>
      <w:r>
        <w:rPr>
          <w:sz w:val="20"/>
          <w:u w:val="single"/>
        </w:rPr>
        <w:t>product/7162378?</w:t>
      </w:r>
      <w:proofErr w:type="gramEnd"/>
      <w:r>
        <w:rPr>
          <w:sz w:val="20"/>
          <w:u w:val="single"/>
        </w:rPr>
        <w:t>nw=0</w:t>
      </w:r>
      <w:r>
        <w:rPr>
          <w:sz w:val="20"/>
          <w:u w:val="single"/>
        </w:rPr>
        <w:tab/>
      </w:r>
    </w:p>
    <w:p w:rsidR="007D76BB" w:rsidRDefault="007D76BB">
      <w:pPr>
        <w:rPr>
          <w:sz w:val="20"/>
        </w:rPr>
        <w:sectPr w:rsidR="007D76BB">
          <w:headerReference w:type="default" r:id="rId97"/>
          <w:footerReference w:type="default" r:id="rId98"/>
          <w:pgSz w:w="11910" w:h="16840"/>
          <w:pgMar w:top="840" w:right="820" w:bottom="1360" w:left="1220" w:header="572" w:footer="1167" w:gutter="0"/>
          <w:cols w:space="720"/>
        </w:sectPr>
      </w:pPr>
    </w:p>
    <w:p w:rsidR="007D76BB" w:rsidRDefault="007D76BB">
      <w:pPr>
        <w:pStyle w:val="BodyText"/>
        <w:spacing w:before="1"/>
        <w:rPr>
          <w:sz w:val="16"/>
        </w:rPr>
      </w:pPr>
    </w:p>
    <w:p w:rsidR="007D76BB" w:rsidRDefault="00D70D28">
      <w:pPr>
        <w:pStyle w:val="Heading7"/>
        <w:spacing w:before="101"/>
      </w:pPr>
      <w:r>
        <w:t>Other deaths reported in Australia</w:t>
      </w:r>
    </w:p>
    <w:p w:rsidR="007D76BB" w:rsidRDefault="00D70D28">
      <w:pPr>
        <w:pStyle w:val="BodyText"/>
        <w:spacing w:before="182"/>
        <w:ind w:left="198" w:right="694"/>
      </w:pPr>
      <w:r>
        <w:t xml:space="preserve">In 2018, a 21 year-old male died in NSW from caffeine toxicity after adding a pure caffeine powder to a protein shake. This tragic incident led to the recent inclusion of caffeine in the </w:t>
      </w:r>
      <w:hyperlink r:id="rId99">
        <w:r>
          <w:rPr>
            <w:color w:val="0000FF"/>
            <w:u w:val="single" w:color="0000FF"/>
          </w:rPr>
          <w:t>Standard for the Uniform Scheduling of Medicines and Poisons</w:t>
        </w:r>
        <w:r>
          <w:rPr>
            <w:color w:val="0000FF"/>
          </w:rPr>
          <w:t xml:space="preserve"> </w:t>
        </w:r>
      </w:hyperlink>
      <w:r>
        <w:t>(SUSMP or Poisons Standard) by the National Drugs and Poisons and Scheduling Committee</w:t>
      </w:r>
      <w:hyperlink w:anchor="_bookmark17" w:history="1">
        <w:r>
          <w:rPr>
            <w:position w:val="5"/>
            <w:sz w:val="14"/>
          </w:rPr>
          <w:t>5</w:t>
        </w:r>
      </w:hyperlink>
      <w:r>
        <w:t>.</w:t>
      </w:r>
    </w:p>
    <w:p w:rsidR="007D76BB" w:rsidRDefault="00D70D28">
      <w:pPr>
        <w:pStyle w:val="BodyText"/>
        <w:spacing w:before="180"/>
        <w:ind w:left="198" w:right="698"/>
      </w:pPr>
      <w:r>
        <w:t xml:space="preserve">Also in 2018, a woman’s death in Western Australia was partially attributed to her use of sports supplements. The woman had an underlying metabolic disorder - Urea Cycle Disorder - where her body was unable to </w:t>
      </w:r>
      <w:proofErr w:type="spellStart"/>
      <w:r>
        <w:t>metabolise</w:t>
      </w:r>
      <w:proofErr w:type="spellEnd"/>
      <w:r>
        <w:t xml:space="preserve"> her high protein diet (including protein rich foods and various sports supplement protein powders).</w:t>
      </w:r>
    </w:p>
    <w:p w:rsidR="007D76BB" w:rsidRDefault="007D76BB">
      <w:pPr>
        <w:pStyle w:val="BodyText"/>
        <w:spacing w:before="6"/>
        <w:rPr>
          <w:sz w:val="20"/>
        </w:rPr>
      </w:pPr>
    </w:p>
    <w:p w:rsidR="007D76BB" w:rsidRDefault="00D70D28">
      <w:pPr>
        <w:pStyle w:val="Heading5"/>
      </w:pPr>
      <w:bookmarkStart w:id="46" w:name="Adverse_events_reported_in_the_US"/>
      <w:bookmarkEnd w:id="46"/>
      <w:r>
        <w:rPr>
          <w:color w:val="001422"/>
        </w:rPr>
        <w:t>Adverse events reported in the US</w:t>
      </w:r>
    </w:p>
    <w:p w:rsidR="007D76BB" w:rsidRDefault="00D70D28">
      <w:pPr>
        <w:pStyle w:val="Heading7"/>
        <w:spacing w:before="120"/>
        <w:rPr>
          <w:b w:val="0"/>
        </w:rPr>
      </w:pPr>
      <w:proofErr w:type="spellStart"/>
      <w:r>
        <w:t>Amatto</w:t>
      </w:r>
      <w:proofErr w:type="spellEnd"/>
      <w:r>
        <w:t xml:space="preserve"> et al. case report (2020) </w:t>
      </w:r>
      <w:r>
        <w:rPr>
          <w:b w:val="0"/>
        </w:rPr>
        <w:t>(16)</w:t>
      </w:r>
    </w:p>
    <w:p w:rsidR="007D76BB" w:rsidRDefault="00D70D28">
      <w:pPr>
        <w:pStyle w:val="BodyText"/>
        <w:spacing w:before="179"/>
        <w:ind w:left="197" w:right="644"/>
      </w:pPr>
      <w:proofErr w:type="spellStart"/>
      <w:r>
        <w:t>Amatto</w:t>
      </w:r>
      <w:proofErr w:type="spellEnd"/>
      <w:r>
        <w:t xml:space="preserve"> et al. (2020) report a case study involving a previously healthy 24-year-old man, with no apparent risk factors, who presented with a </w:t>
      </w:r>
      <w:proofErr w:type="spellStart"/>
      <w:r>
        <w:t>haemorrhagic</w:t>
      </w:r>
      <w:proofErr w:type="spellEnd"/>
      <w:r>
        <w:t xml:space="preserve"> stroke the morning after he consumed pre-workout supplementation and participated in high intensity exercise. The authors state that this is the fourth report in the literature of </w:t>
      </w:r>
      <w:proofErr w:type="spellStart"/>
      <w:r>
        <w:t>haemorrhagic</w:t>
      </w:r>
      <w:proofErr w:type="spellEnd"/>
      <w:r>
        <w:t xml:space="preserve"> stroke associated with pre-workout supplementation. The authors considered that the supplements consumed by the patient included various potential causative agents, including: caffeine, </w:t>
      </w:r>
      <w:proofErr w:type="spellStart"/>
      <w:r>
        <w:t>creatine</w:t>
      </w:r>
      <w:proofErr w:type="spellEnd"/>
      <w:r>
        <w:t xml:space="preserve">, taurine, tyrosine, </w:t>
      </w:r>
      <w:proofErr w:type="spellStart"/>
      <w:r>
        <w:t>hordenine</w:t>
      </w:r>
      <w:proofErr w:type="spellEnd"/>
      <w:r>
        <w:t xml:space="preserve"> and dendrobium</w:t>
      </w:r>
      <w:r>
        <w:rPr>
          <w:spacing w:val="-4"/>
        </w:rPr>
        <w:t xml:space="preserve"> </w:t>
      </w:r>
      <w:r>
        <w:t>extract.</w:t>
      </w:r>
    </w:p>
    <w:p w:rsidR="007D76BB" w:rsidRDefault="00D70D28">
      <w:pPr>
        <w:pStyle w:val="BodyText"/>
        <w:spacing w:before="179"/>
        <w:ind w:left="197" w:right="603"/>
      </w:pPr>
      <w:r>
        <w:t>Six months following presentation, the patient had persistent sensory deficits to his right thigh and trunk, but improved sensation to the feet and improving neuropathic pain. At this time, the patient was advised he could gradually return to exercise and the patient questioned which pre- workout supplements he could resume taking. The authors conclude with their recommendation that, for any individual planning to consume pre-workout supplementation, a thorough review of ingredients should be undertaken to avoid any sympathomimetic agent or other</w:t>
      </w:r>
      <w:r>
        <w:rPr>
          <w:spacing w:val="-26"/>
        </w:rPr>
        <w:t xml:space="preserve"> </w:t>
      </w:r>
      <w:r>
        <w:t>stimulants.</w:t>
      </w:r>
    </w:p>
    <w:p w:rsidR="007D76BB" w:rsidRDefault="00D70D28">
      <w:pPr>
        <w:pStyle w:val="Heading7"/>
        <w:ind w:left="197"/>
        <w:rPr>
          <w:b w:val="0"/>
        </w:rPr>
      </w:pPr>
      <w:r>
        <w:t xml:space="preserve">Geller et al. study (2015) </w:t>
      </w:r>
      <w:r>
        <w:rPr>
          <w:b w:val="0"/>
        </w:rPr>
        <w:t>(29)</w:t>
      </w:r>
    </w:p>
    <w:p w:rsidR="007D76BB" w:rsidRDefault="00D70D28">
      <w:pPr>
        <w:pStyle w:val="BodyText"/>
        <w:spacing w:before="182"/>
        <w:ind w:left="197" w:right="701"/>
      </w:pPr>
      <w:r>
        <w:t xml:space="preserve">Geller et al. (2015) calculated an average of 23,005 emergency department visits in the USA annually related to dietary supplement adverse events, which the authors estimated to result in an average of 2154 </w:t>
      </w:r>
      <w:proofErr w:type="spellStart"/>
      <w:r>
        <w:t>hospitalisations</w:t>
      </w:r>
      <w:proofErr w:type="spellEnd"/>
      <w:r>
        <w:t>. The most common category of product implicated was weight loss products (25.5%) followed by energy supplements (10% - which may include pre- workout products). Specific body building products made up 2.2% of overall cases. The most common adverse events experienced resulting from weight loss or energy products were palpitations, chest pain or tachycardia (in 42% and 46% of cases respectively) followed by headache, dizziness, pre-syncope, or other acute sensory or motor impairment (32.1% and 34.3% respectively). 4.2% of weight loss product related adverse events were severe allergic reactions and another 4% were seizure, syncope or loss of consciousness (29).</w:t>
      </w:r>
    </w:p>
    <w:p w:rsidR="007D76BB" w:rsidRDefault="00D70D28">
      <w:pPr>
        <w:pStyle w:val="Heading7"/>
        <w:spacing w:before="178"/>
        <w:ind w:left="197"/>
        <w:rPr>
          <w:b w:val="0"/>
        </w:rPr>
      </w:pPr>
      <w:r>
        <w:lastRenderedPageBreak/>
        <w:t xml:space="preserve">United States Food and Drug Administration report 2016 </w:t>
      </w:r>
      <w:r>
        <w:rPr>
          <w:b w:val="0"/>
        </w:rPr>
        <w:t>(30; 31)</w:t>
      </w:r>
    </w:p>
    <w:p w:rsidR="007D76BB" w:rsidRDefault="00D70D28">
      <w:pPr>
        <w:pStyle w:val="BodyText"/>
        <w:spacing w:before="181"/>
        <w:ind w:left="196" w:right="715"/>
      </w:pPr>
      <w:r>
        <w:t xml:space="preserve">A review by the US Food and Drug Administration (FDA) of adverse event reports submitted to the FDA from 1 July 2009 to 31 December 2016, found 35 cases involving men (ages 20-48) presenting with serious liver injury (reported as </w:t>
      </w:r>
      <w:proofErr w:type="spellStart"/>
      <w:r>
        <w:t>hospitalisation</w:t>
      </w:r>
      <w:proofErr w:type="spellEnd"/>
      <w:r>
        <w:t>/life-threatening) associated with body-building products that are labelled or suspected to contain steroids or steroid alternatives. The FDA states that drug-induced liver injury is a known possible harmful effect of using anabolic steroid-containing products. In addition, anabolic steroids may cause other serious adverse effects such as abnormal fat and cholesterol in the blood, mood disorders,</w:t>
      </w:r>
    </w:p>
    <w:p w:rsidR="007D76BB" w:rsidRDefault="007D76BB">
      <w:pPr>
        <w:pStyle w:val="BodyText"/>
        <w:rPr>
          <w:sz w:val="20"/>
        </w:rPr>
      </w:pPr>
    </w:p>
    <w:p w:rsidR="007D76BB" w:rsidRDefault="007D76BB">
      <w:pPr>
        <w:pStyle w:val="BodyText"/>
        <w:rPr>
          <w:sz w:val="20"/>
        </w:rPr>
      </w:pPr>
    </w:p>
    <w:p w:rsidR="007D76BB" w:rsidRDefault="007D76BB">
      <w:pPr>
        <w:pStyle w:val="BodyText"/>
        <w:spacing w:before="8"/>
      </w:pPr>
    </w:p>
    <w:p w:rsidR="007D76BB" w:rsidRDefault="00D70D28">
      <w:pPr>
        <w:spacing w:before="100"/>
        <w:ind w:left="198"/>
        <w:rPr>
          <w:sz w:val="20"/>
        </w:rPr>
      </w:pPr>
      <w:bookmarkStart w:id="47" w:name="_bookmark17"/>
      <w:bookmarkEnd w:id="47"/>
      <w:r>
        <w:rPr>
          <w:position w:val="5"/>
          <w:sz w:val="13"/>
        </w:rPr>
        <w:t>5</w:t>
      </w:r>
      <w:hyperlink r:id="rId100">
        <w:r>
          <w:rPr>
            <w:color w:val="0000FF"/>
            <w:sz w:val="20"/>
            <w:u w:val="single" w:color="0000FF"/>
          </w:rPr>
          <w:t>https://www.tga.gov.au/consultation-invitation/consultation-proposed-amendments-poisons-standard-</w:t>
        </w:r>
      </w:hyperlink>
    </w:p>
    <w:p w:rsidR="007D76BB" w:rsidRDefault="00A51832">
      <w:pPr>
        <w:spacing w:before="5"/>
        <w:ind w:left="198"/>
        <w:rPr>
          <w:sz w:val="20"/>
        </w:rPr>
      </w:pPr>
      <w:hyperlink r:id="rId101">
        <w:proofErr w:type="gramStart"/>
        <w:r w:rsidR="00D70D28">
          <w:rPr>
            <w:color w:val="0000FF"/>
            <w:sz w:val="20"/>
            <w:u w:val="double" w:color="0000FF"/>
          </w:rPr>
          <w:t>acms-and-joint-accsacms-meetings-november-2019</w:t>
        </w:r>
        <w:proofErr w:type="gramEnd"/>
      </w:hyperlink>
    </w:p>
    <w:p w:rsidR="007D76BB" w:rsidRDefault="007D76BB">
      <w:pPr>
        <w:rPr>
          <w:sz w:val="20"/>
        </w:rPr>
        <w:sectPr w:rsidR="007D76BB">
          <w:headerReference w:type="default" r:id="rId102"/>
          <w:footerReference w:type="default" r:id="rId103"/>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8" w:right="1082"/>
      </w:pPr>
      <w:proofErr w:type="gramStart"/>
      <w:r>
        <w:t>androgenic</w:t>
      </w:r>
      <w:proofErr w:type="gramEnd"/>
      <w:r>
        <w:t xml:space="preserve"> effects (acnes, baldness, excessive hair growth in females), gonadal suppression (decreased sperm count, testicular atrophy) and enlarged breasts.</w:t>
      </w:r>
    </w:p>
    <w:p w:rsidR="007D76BB" w:rsidRDefault="00D70D28">
      <w:pPr>
        <w:pStyle w:val="Heading7"/>
        <w:rPr>
          <w:b w:val="0"/>
        </w:rPr>
      </w:pPr>
      <w:r>
        <w:t xml:space="preserve">Pascale et al. study 2016 </w:t>
      </w:r>
      <w:r>
        <w:rPr>
          <w:b w:val="0"/>
        </w:rPr>
        <w:t>(17)</w:t>
      </w:r>
    </w:p>
    <w:p w:rsidR="007D76BB" w:rsidRDefault="00D70D28">
      <w:pPr>
        <w:pStyle w:val="BodyText"/>
        <w:spacing w:before="182"/>
        <w:ind w:left="197" w:right="642"/>
      </w:pPr>
      <w:r>
        <w:t xml:space="preserve">A survey of US sports medicine medical practitioners investigated the practitioner’s knowledge of dietary supplement adverse events and the likelihood of the practitioner to report these events to the FDA. The survey found that a high number of practitioners had encountered patient cases of adverse events associated dietary supplements (71% of respondents), with a concerning under-reporting of these events by the practitioners (less than 10% of those who had encountered them). The authors concluded that, given concerns relating to the lack of safety data for many products and substances, impediments to post-market surveillance (such as under-reporting) increases the risk of significant safety signals going </w:t>
      </w:r>
      <w:proofErr w:type="spellStart"/>
      <w:r>
        <w:t>unrecognised</w:t>
      </w:r>
      <w:proofErr w:type="spellEnd"/>
      <w:r>
        <w:t xml:space="preserve"> (17).</w:t>
      </w:r>
    </w:p>
    <w:p w:rsidR="007D76BB" w:rsidRDefault="00D70D28">
      <w:pPr>
        <w:pStyle w:val="Heading7"/>
        <w:ind w:left="197"/>
        <w:rPr>
          <w:b w:val="0"/>
        </w:rPr>
      </w:pPr>
      <w:r>
        <w:t xml:space="preserve">Or et al. study 2019 </w:t>
      </w:r>
      <w:r>
        <w:rPr>
          <w:b w:val="0"/>
        </w:rPr>
        <w:t>(32)</w:t>
      </w:r>
    </w:p>
    <w:p w:rsidR="007D76BB" w:rsidRDefault="00D70D28">
      <w:pPr>
        <w:pStyle w:val="BodyText"/>
        <w:spacing w:before="179"/>
        <w:ind w:left="197" w:right="751"/>
      </w:pPr>
      <w:r>
        <w:t>An observational study over an 11-year period on the relationship between supplement categories and adverse events in patients under 25 years of age found 977 single supplement- related adverse drug reactions with a mean patient age of 16.5 years. Of note, the study found that supplements sold for muscle building, energy and weight loss were associated with almost three time the risk for severe medical events in this age group when compared with vitamins (32).</w:t>
      </w:r>
    </w:p>
    <w:p w:rsidR="007D76BB" w:rsidRDefault="00D70D28">
      <w:pPr>
        <w:pStyle w:val="Heading7"/>
        <w:spacing w:before="181"/>
        <w:rPr>
          <w:b w:val="0"/>
        </w:rPr>
      </w:pPr>
      <w:r>
        <w:t xml:space="preserve">Schmitz et al study (2018) </w:t>
      </w:r>
      <w:r>
        <w:rPr>
          <w:b w:val="0"/>
        </w:rPr>
        <w:t>(4)</w:t>
      </w:r>
    </w:p>
    <w:p w:rsidR="007D76BB" w:rsidRDefault="00D70D28">
      <w:pPr>
        <w:pStyle w:val="BodyText"/>
        <w:spacing w:before="178"/>
        <w:ind w:left="198" w:right="909"/>
      </w:pPr>
      <w:r>
        <w:t>Schmitz et al. (2018) reviewed 41,121 unique adverse event cases reported to two large, U.S</w:t>
      </w:r>
      <w:proofErr w:type="gramStart"/>
      <w:r>
        <w:t>.-</w:t>
      </w:r>
      <w:proofErr w:type="gramEnd"/>
      <w:r>
        <w:t xml:space="preserve"> based dietary supplement marketers from 1 March 2014 to 31 August 2016.</w:t>
      </w:r>
    </w:p>
    <w:p w:rsidR="007D76BB" w:rsidRDefault="00D70D28">
      <w:pPr>
        <w:pStyle w:val="BodyText"/>
        <w:spacing w:before="181"/>
        <w:ind w:left="198" w:right="920"/>
      </w:pPr>
      <w:r>
        <w:t xml:space="preserve">Of the 41,121 cases reported, 203 (0.48%) were classified as serious adverse events (SAE’s). </w:t>
      </w:r>
      <w:proofErr w:type="spellStart"/>
      <w:r>
        <w:t>Thermogenic</w:t>
      </w:r>
      <w:proofErr w:type="spellEnd"/>
      <w:r>
        <w:t xml:space="preserve"> fat burners (35.5%) and non-</w:t>
      </w:r>
      <w:proofErr w:type="spellStart"/>
      <w:r>
        <w:t>thermogenic</w:t>
      </w:r>
      <w:proofErr w:type="spellEnd"/>
      <w:r>
        <w:t xml:space="preserve"> weight-loss agents (33.5%) were the most frequent types of dietary supplements reported with SAEs, followed by glucose control/insulin management agents (19.2%) and digestive aids. The serious adverse events occurred most commonly in the cardiovascular, gastrointestinal, and nervous systems.</w:t>
      </w:r>
    </w:p>
    <w:p w:rsidR="007D76BB" w:rsidRDefault="007D76BB">
      <w:pPr>
        <w:pStyle w:val="BodyText"/>
        <w:spacing w:before="7"/>
        <w:rPr>
          <w:sz w:val="20"/>
        </w:rPr>
      </w:pPr>
    </w:p>
    <w:p w:rsidR="007D76BB" w:rsidRDefault="00D70D28">
      <w:pPr>
        <w:pStyle w:val="Heading5"/>
      </w:pPr>
      <w:bookmarkStart w:id="48" w:name="Limitations_of_studies"/>
      <w:bookmarkEnd w:id="48"/>
      <w:r>
        <w:rPr>
          <w:color w:val="001422"/>
        </w:rPr>
        <w:t>Limitations of studies</w:t>
      </w:r>
    </w:p>
    <w:p w:rsidR="007D76BB" w:rsidRDefault="00D70D28">
      <w:pPr>
        <w:pStyle w:val="BodyText"/>
        <w:spacing w:before="120"/>
        <w:ind w:left="198" w:right="670"/>
      </w:pPr>
      <w:r>
        <w:t xml:space="preserve">The length of safety studies commonly performed was raised as a concern by </w:t>
      </w:r>
      <w:proofErr w:type="spellStart"/>
      <w:r>
        <w:t>Harty</w:t>
      </w:r>
      <w:proofErr w:type="spellEnd"/>
      <w:r>
        <w:t xml:space="preserve"> et al. (2018) in a study into multi-ingredient pre-workout supplements. The authors state that while the available evidence suggests a low occurrence of adverse events and apparent relative safety of consumption, most studies examining the effects of these products were considered short (less than 8 weeks), especially when compared to the often long-term usage by consumers, particularly gym enthusiasts (5). They also noted that many safety studies reviews often reported on mean changes across the entire sample in measures such as heart rate, blood pressure or </w:t>
      </w:r>
      <w:proofErr w:type="spellStart"/>
      <w:r>
        <w:t>haematological</w:t>
      </w:r>
      <w:proofErr w:type="spellEnd"/>
      <w:r>
        <w:t xml:space="preserve"> markers, an approach that may mask </w:t>
      </w:r>
      <w:r>
        <w:lastRenderedPageBreak/>
        <w:t>significant individual variations from these measures as a result of an adverse event (5).</w:t>
      </w:r>
    </w:p>
    <w:p w:rsidR="007D76BB" w:rsidRDefault="00D70D28">
      <w:pPr>
        <w:pStyle w:val="BodyText"/>
        <w:spacing w:before="179"/>
        <w:ind w:left="198" w:right="710"/>
      </w:pPr>
      <w:r>
        <w:t>While the evidence presented in this RIS would similarly benefit from larger sample sizes and longer-term studies, the aggregate results provide an evidence landscape that supposes this product category has the potential to pose a degree of safety and regulatory risk that is not fully commensurate with the risk profile that Australian consumers expect from a food. It is reasonable for consumers to expect that foods are safe for general consumption and that the safety risks from food are negligible for the whole population, and in particular, younger generations for whom the consumption of sports supplements is the most prevalent.</w:t>
      </w:r>
    </w:p>
    <w:p w:rsidR="007D76BB" w:rsidRDefault="007D76BB">
      <w:pPr>
        <w:pStyle w:val="BodyText"/>
        <w:rPr>
          <w:sz w:val="20"/>
        </w:rPr>
      </w:pPr>
    </w:p>
    <w:p w:rsidR="007D76BB" w:rsidRDefault="007D76BB">
      <w:pPr>
        <w:pStyle w:val="BodyText"/>
        <w:rPr>
          <w:sz w:val="20"/>
        </w:rPr>
      </w:pPr>
    </w:p>
    <w:p w:rsidR="007D76BB" w:rsidRDefault="007D76BB">
      <w:pPr>
        <w:pStyle w:val="BodyText"/>
        <w:rPr>
          <w:sz w:val="20"/>
        </w:rPr>
      </w:pPr>
    </w:p>
    <w:p w:rsidR="007D76BB" w:rsidRDefault="007D76BB">
      <w:pPr>
        <w:pStyle w:val="BodyText"/>
        <w:rPr>
          <w:sz w:val="20"/>
        </w:rPr>
      </w:pPr>
    </w:p>
    <w:p w:rsidR="007D76BB" w:rsidRDefault="00D70D28">
      <w:pPr>
        <w:pStyle w:val="BodyText"/>
        <w:spacing w:before="2"/>
        <w:rPr>
          <w:sz w:val="28"/>
        </w:rPr>
      </w:pPr>
      <w:r>
        <w:rPr>
          <w:noProof/>
          <w:lang w:val="en-AU" w:eastAsia="en-AU"/>
        </w:rPr>
        <mc:AlternateContent>
          <mc:Choice Requires="wpg">
            <w:drawing>
              <wp:anchor distT="0" distB="0" distL="0" distR="0" simplePos="0" relativeHeight="251668480" behindDoc="1" locked="0" layoutInCell="1" allowOverlap="1">
                <wp:simplePos x="0" y="0"/>
                <wp:positionH relativeFrom="page">
                  <wp:posOffset>900430</wp:posOffset>
                </wp:positionH>
                <wp:positionV relativeFrom="paragraph">
                  <wp:posOffset>234950</wp:posOffset>
                </wp:positionV>
                <wp:extent cx="5537200" cy="6350"/>
                <wp:effectExtent l="0" t="0" r="0" b="0"/>
                <wp:wrapTopAndBottom/>
                <wp:docPr id="424"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0" cy="6350"/>
                          <a:chOff x="1418" y="370"/>
                          <a:chExt cx="8720" cy="10"/>
                        </a:xfrm>
                      </wpg:grpSpPr>
                      <wps:wsp>
                        <wps:cNvPr id="425" name="Line 283"/>
                        <wps:cNvCnPr>
                          <a:cxnSpLocks noChangeShapeType="1"/>
                        </wps:cNvCnPr>
                        <wps:spPr bwMode="auto">
                          <a:xfrm>
                            <a:off x="1418" y="375"/>
                            <a:ext cx="734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 name="Rectangle 282"/>
                        <wps:cNvSpPr>
                          <a:spLocks noChangeArrowheads="1"/>
                        </wps:cNvSpPr>
                        <wps:spPr bwMode="auto">
                          <a:xfrm>
                            <a:off x="8757" y="37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Line 281"/>
                        <wps:cNvCnPr>
                          <a:cxnSpLocks noChangeShapeType="1"/>
                        </wps:cNvCnPr>
                        <wps:spPr bwMode="auto">
                          <a:xfrm>
                            <a:off x="8767" y="375"/>
                            <a:ext cx="1371"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8C5868" id="Group 280" o:spid="_x0000_s1026" style="position:absolute;margin-left:70.9pt;margin-top:18.5pt;width:436pt;height:.5pt;z-index:-251648000;mso-wrap-distance-left:0;mso-wrap-distance-right:0;mso-position-horizontal-relative:page" coordorigin="1418,370" coordsize="87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">
                <v:line id="Line 283" o:spid="_x0000_s1027" style="position:absolute;visibility:visible;mso-wrap-style:square" from="1418,375" to="8758,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" strokeweight=".16969mm"/>
                <v:rect id="Rectangle 282" o:spid="_x0000_s1028" style="position:absolute;left:8757;top:37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" fillcolor="black" stroked="f"/>
                <v:line id="Line 281" o:spid="_x0000_s1029" style="position:absolute;visibility:visible;mso-wrap-style:square" from="8767,375" to="10138,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" strokeweight=".16969mm"/>
                <w10:wrap type="topAndBottom" anchorx="page"/>
              </v:group>
            </w:pict>
          </mc:Fallback>
        </mc:AlternateContent>
      </w:r>
    </w:p>
    <w:p w:rsidR="007D76BB" w:rsidRDefault="007D76BB">
      <w:pPr>
        <w:rPr>
          <w:sz w:val="28"/>
        </w:rPr>
        <w:sectPr w:rsidR="007D76BB">
          <w:headerReference w:type="default" r:id="rId104"/>
          <w:footerReference w:type="default" r:id="rId105"/>
          <w:pgSz w:w="11910" w:h="16840"/>
          <w:pgMar w:top="840" w:right="820" w:bottom="1360" w:left="1220" w:header="572" w:footer="1167" w:gutter="0"/>
          <w:pgNumType w:start="28"/>
          <w:cols w:space="720"/>
        </w:sectPr>
      </w:pPr>
    </w:p>
    <w:p w:rsidR="007D76BB" w:rsidRDefault="007D76BB">
      <w:pPr>
        <w:pStyle w:val="BodyText"/>
        <w:spacing w:before="10"/>
        <w:rPr>
          <w:sz w:val="16"/>
        </w:rPr>
      </w:pPr>
    </w:p>
    <w:p w:rsidR="007D76BB" w:rsidRDefault="00D70D28">
      <w:pPr>
        <w:pStyle w:val="Heading5"/>
        <w:spacing w:before="91"/>
        <w:rPr>
          <w:rFonts w:ascii="Arial"/>
        </w:rPr>
      </w:pPr>
      <w:bookmarkStart w:id="49" w:name="Ingredients_of_concern_in_sports_supplem"/>
      <w:bookmarkStart w:id="50" w:name="_bookmark18"/>
      <w:bookmarkEnd w:id="49"/>
      <w:bookmarkEnd w:id="50"/>
      <w:r>
        <w:rPr>
          <w:rFonts w:ascii="Arial"/>
        </w:rPr>
        <w:t>Ingredients of concern in sports supplements</w:t>
      </w:r>
    </w:p>
    <w:p w:rsidR="007D76BB" w:rsidRDefault="00D70D28">
      <w:pPr>
        <w:pStyle w:val="BodyText"/>
        <w:spacing w:before="122"/>
        <w:ind w:left="198" w:right="722"/>
      </w:pPr>
      <w:r>
        <w:t>The ingredients of concern for public health in sports supplements are substances included in a Schedule to the Poisons Standard and substances included in the World Anti-Doping Code Prohibited List (the WADC Prohibited List)</w:t>
      </w:r>
      <w:hyperlink w:anchor="_bookmark20" w:history="1">
        <w:r>
          <w:rPr>
            <w:position w:val="5"/>
            <w:sz w:val="14"/>
          </w:rPr>
          <w:t>6</w:t>
        </w:r>
      </w:hyperlink>
      <w:r>
        <w:t>.</w:t>
      </w:r>
    </w:p>
    <w:p w:rsidR="007D76BB" w:rsidRDefault="00A51832">
      <w:pPr>
        <w:pStyle w:val="BodyText"/>
        <w:spacing w:before="179"/>
        <w:ind w:left="198" w:right="656" w:hanging="1"/>
      </w:pPr>
      <w:hyperlink w:anchor="_bookmark88" w:history="1">
        <w:r w:rsidR="00D70D28">
          <w:rPr>
            <w:color w:val="0000FF"/>
            <w:u w:val="single" w:color="0000FF"/>
          </w:rPr>
          <w:t>Appendix 2</w:t>
        </w:r>
        <w:r w:rsidR="00D70D28">
          <w:rPr>
            <w:color w:val="0000FF"/>
          </w:rPr>
          <w:t xml:space="preserve"> </w:t>
        </w:r>
      </w:hyperlink>
      <w:r w:rsidR="00D70D28">
        <w:t xml:space="preserve">provides examples of different ingredients used in sports supplements in Australia and overseas. For information on ingredients of concern detected or that may be present in sports supplements available in Australia, refer to </w:t>
      </w:r>
      <w:hyperlink w:anchor="_bookmark23" w:history="1">
        <w:r w:rsidR="00D70D28">
          <w:rPr>
            <w:color w:val="0000FF"/>
            <w:u w:val="single" w:color="0000FF"/>
          </w:rPr>
          <w:t>Analysis of ingredients in sports supplements</w:t>
        </w:r>
      </w:hyperlink>
      <w:r w:rsidR="00D70D28">
        <w:rPr>
          <w:color w:val="0000FF"/>
        </w:rPr>
        <w:t xml:space="preserve"> </w:t>
      </w:r>
      <w:hyperlink w:anchor="_bookmark23" w:history="1">
        <w:r w:rsidR="00D70D28">
          <w:rPr>
            <w:color w:val="0000FF"/>
            <w:u w:val="single" w:color="0000FF"/>
          </w:rPr>
          <w:t>available in Australia</w:t>
        </w:r>
        <w:r w:rsidR="00D70D28">
          <w:t>.</w:t>
        </w:r>
      </w:hyperlink>
    </w:p>
    <w:p w:rsidR="007D76BB" w:rsidRDefault="007D76BB">
      <w:pPr>
        <w:pStyle w:val="BodyText"/>
        <w:spacing w:before="6"/>
        <w:rPr>
          <w:sz w:val="20"/>
        </w:rPr>
      </w:pPr>
    </w:p>
    <w:p w:rsidR="007D76BB" w:rsidRDefault="00D70D28">
      <w:pPr>
        <w:pStyle w:val="Heading5"/>
        <w:spacing w:before="1"/>
      </w:pPr>
      <w:bookmarkStart w:id="51" w:name="Substances_included_in_a_Schedule_to_the"/>
      <w:bookmarkStart w:id="52" w:name="_bookmark19"/>
      <w:bookmarkEnd w:id="51"/>
      <w:bookmarkEnd w:id="52"/>
      <w:r>
        <w:rPr>
          <w:color w:val="001422"/>
        </w:rPr>
        <w:t>Substances included in a Schedule to the Poisons Standard</w:t>
      </w:r>
    </w:p>
    <w:p w:rsidR="007D76BB" w:rsidRDefault="00D70D28">
      <w:pPr>
        <w:pStyle w:val="BodyText"/>
        <w:spacing w:before="119"/>
        <w:ind w:left="198" w:right="636"/>
      </w:pPr>
      <w:r>
        <w:t xml:space="preserve">In Australia, the </w:t>
      </w:r>
      <w:r>
        <w:rPr>
          <w:i/>
        </w:rPr>
        <w:t xml:space="preserve">Scheduling Policy Framework </w:t>
      </w:r>
      <w:r>
        <w:t xml:space="preserve">(Scheduling Policy) sets out the national policy for applying access restrictions on all ‘poisons’ according to the risk of harm and the level of access control required to protect consumers. As defined in the </w:t>
      </w:r>
      <w:hyperlink r:id="rId106">
        <w:r>
          <w:rPr>
            <w:color w:val="0000FF"/>
            <w:u w:val="single" w:color="0000FF"/>
          </w:rPr>
          <w:t>Poisons Standard</w:t>
        </w:r>
        <w:r>
          <w:t xml:space="preserve">, </w:t>
        </w:r>
      </w:hyperlink>
      <w:r>
        <w:t>poisons include medicines for human therapeutic use; veterinary medicines; and agricultural, domestic and industrial chemicals where there is a potential risk to public health and safety.</w:t>
      </w:r>
    </w:p>
    <w:p w:rsidR="007D76BB" w:rsidRDefault="00D70D28">
      <w:pPr>
        <w:pStyle w:val="BodyText"/>
        <w:spacing w:before="182"/>
        <w:ind w:left="198" w:right="636"/>
      </w:pPr>
      <w:r>
        <w:t>Scheduling is a national classification system that controls how medicines and poisons are available to the public. Medicines and poisons are classified into schedules according to the level of regulatory control over access to the poison required to protect public health and safety. The schedules are published in the Poisons Standard and are given legal effect through state and territory legislation. State and territory governments are responsible for imposing legislative controls on the supply of poisons.</w:t>
      </w:r>
    </w:p>
    <w:p w:rsidR="007D76BB" w:rsidRDefault="00D70D28">
      <w:pPr>
        <w:pStyle w:val="BodyText"/>
        <w:spacing w:before="178"/>
        <w:ind w:left="198" w:right="734" w:hanging="1"/>
      </w:pPr>
      <w:r>
        <w:t xml:space="preserve">Some of the substance restrictions in the schedules only apply above a certain quantity. For example, the stimulant </w:t>
      </w:r>
      <w:proofErr w:type="spellStart"/>
      <w:r>
        <w:t>oxedrine</w:t>
      </w:r>
      <w:proofErr w:type="spellEnd"/>
      <w:r>
        <w:t xml:space="preserve"> (or </w:t>
      </w:r>
      <w:proofErr w:type="spellStart"/>
      <w:r>
        <w:t>synephrine</w:t>
      </w:r>
      <w:proofErr w:type="spellEnd"/>
      <w:r>
        <w:t xml:space="preserve">, a component of Bitter orange extract) is included in Schedule 4 of the Poisons Standard when the preparation has a recommended daily dose of more than 30mg of </w:t>
      </w:r>
      <w:proofErr w:type="spellStart"/>
      <w:r>
        <w:t>oxedrine</w:t>
      </w:r>
      <w:proofErr w:type="spellEnd"/>
      <w:r>
        <w:t>.</w:t>
      </w:r>
    </w:p>
    <w:p w:rsidR="007D76BB" w:rsidRDefault="00D70D28">
      <w:pPr>
        <w:pStyle w:val="BodyText"/>
        <w:spacing w:before="180"/>
        <w:ind w:left="198" w:right="710"/>
      </w:pPr>
      <w:r>
        <w:t xml:space="preserve">An application to amend the Poisons Standard (for example to include a new entry or amend an existing entry) can be made to the Secretary of the Department of Health (the Secretary) under section 52EAA of the TG Act. Individuals, stakeholder </w:t>
      </w:r>
      <w:proofErr w:type="spellStart"/>
      <w:r>
        <w:t>organisations</w:t>
      </w:r>
      <w:proofErr w:type="spellEnd"/>
      <w:r>
        <w:t xml:space="preserve"> or Government bodies can submit applications. The Secretary also has the power under the TG Act to amend the Poisons Standard on his/her own initiative. For more information, refer to </w:t>
      </w:r>
      <w:hyperlink r:id="rId107">
        <w:r>
          <w:rPr>
            <w:color w:val="0000FF"/>
            <w:u w:val="single" w:color="0000FF"/>
          </w:rPr>
          <w:t>Scheduling handbook:</w:t>
        </w:r>
      </w:hyperlink>
      <w:r>
        <w:rPr>
          <w:color w:val="0000FF"/>
        </w:rPr>
        <w:t xml:space="preserve"> </w:t>
      </w:r>
      <w:hyperlink r:id="rId108">
        <w:r>
          <w:rPr>
            <w:color w:val="0000FF"/>
            <w:u w:val="single" w:color="0000FF"/>
          </w:rPr>
          <w:t>Guidance for amending the Poisons Standard</w:t>
        </w:r>
        <w:r>
          <w:t>.</w:t>
        </w:r>
      </w:hyperlink>
    </w:p>
    <w:p w:rsidR="007D76BB" w:rsidRDefault="00D70D28">
      <w:pPr>
        <w:pStyle w:val="BodyText"/>
        <w:spacing w:before="181"/>
        <w:ind w:left="198"/>
      </w:pPr>
      <w:r>
        <w:t>The schedules and some substance examples are provided in Table 8.</w:t>
      </w:r>
    </w:p>
    <w:p w:rsidR="007D76BB" w:rsidRDefault="00D70D28">
      <w:pPr>
        <w:pStyle w:val="Heading7"/>
        <w:spacing w:before="181"/>
      </w:pPr>
      <w:r>
        <w:t>Table 8: Poisons Standard Schedules and examples</w:t>
      </w:r>
    </w:p>
    <w:p w:rsidR="007D76BB" w:rsidRDefault="007D76BB">
      <w:pPr>
        <w:pStyle w:val="BodyText"/>
        <w:spacing w:before="3"/>
        <w:rPr>
          <w:b/>
          <w:sz w:val="15"/>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4"/>
        <w:gridCol w:w="3266"/>
        <w:gridCol w:w="4536"/>
      </w:tblGrid>
      <w:tr w:rsidR="007D76BB">
        <w:trPr>
          <w:trHeight w:val="558"/>
        </w:trPr>
        <w:tc>
          <w:tcPr>
            <w:tcW w:w="1274" w:type="dxa"/>
            <w:shd w:val="clear" w:color="auto" w:fill="006FB5"/>
          </w:tcPr>
          <w:p w:rsidR="007D76BB" w:rsidRDefault="00D70D28">
            <w:pPr>
              <w:pStyle w:val="TableParagraph"/>
              <w:spacing w:before="119"/>
              <w:ind w:left="107"/>
              <w:rPr>
                <w:b/>
              </w:rPr>
            </w:pPr>
            <w:r>
              <w:rPr>
                <w:b/>
                <w:color w:val="FFFFFF"/>
              </w:rPr>
              <w:t>Schedule</w:t>
            </w:r>
          </w:p>
        </w:tc>
        <w:tc>
          <w:tcPr>
            <w:tcW w:w="3266" w:type="dxa"/>
            <w:shd w:val="clear" w:color="auto" w:fill="006FB5"/>
          </w:tcPr>
          <w:p w:rsidR="007D76BB" w:rsidRDefault="00D70D28">
            <w:pPr>
              <w:pStyle w:val="TableParagraph"/>
              <w:spacing w:before="119"/>
              <w:ind w:left="108"/>
              <w:rPr>
                <w:b/>
              </w:rPr>
            </w:pPr>
            <w:r>
              <w:rPr>
                <w:b/>
                <w:color w:val="FFFFFF"/>
              </w:rPr>
              <w:t>Signal words required</w:t>
            </w:r>
          </w:p>
        </w:tc>
        <w:tc>
          <w:tcPr>
            <w:tcW w:w="4536" w:type="dxa"/>
            <w:shd w:val="clear" w:color="auto" w:fill="006FB5"/>
          </w:tcPr>
          <w:p w:rsidR="007D76BB" w:rsidRDefault="00D70D28">
            <w:pPr>
              <w:pStyle w:val="TableParagraph"/>
              <w:spacing w:before="119"/>
              <w:ind w:left="5"/>
              <w:rPr>
                <w:b/>
              </w:rPr>
            </w:pPr>
            <w:r>
              <w:rPr>
                <w:b/>
                <w:color w:val="FFFFFF"/>
              </w:rPr>
              <w:t>Example</w:t>
            </w:r>
          </w:p>
        </w:tc>
      </w:tr>
      <w:tr w:rsidR="007D76BB">
        <w:trPr>
          <w:trHeight w:val="556"/>
        </w:trPr>
        <w:tc>
          <w:tcPr>
            <w:tcW w:w="1274" w:type="dxa"/>
          </w:tcPr>
          <w:p w:rsidR="007D76BB" w:rsidRDefault="00D70D28">
            <w:pPr>
              <w:pStyle w:val="TableParagraph"/>
              <w:spacing w:before="119"/>
              <w:ind w:left="107"/>
            </w:pPr>
            <w:r>
              <w:t>1</w:t>
            </w:r>
          </w:p>
        </w:tc>
        <w:tc>
          <w:tcPr>
            <w:tcW w:w="7802" w:type="dxa"/>
            <w:gridSpan w:val="2"/>
          </w:tcPr>
          <w:p w:rsidR="007D76BB" w:rsidRDefault="00D70D28">
            <w:pPr>
              <w:pStyle w:val="TableParagraph"/>
              <w:spacing w:before="119"/>
              <w:ind w:left="108"/>
            </w:pPr>
            <w:r>
              <w:t>Not currently in use</w:t>
            </w:r>
          </w:p>
        </w:tc>
      </w:tr>
      <w:tr w:rsidR="007D76BB">
        <w:trPr>
          <w:trHeight w:val="558"/>
        </w:trPr>
        <w:tc>
          <w:tcPr>
            <w:tcW w:w="1274" w:type="dxa"/>
          </w:tcPr>
          <w:p w:rsidR="007D76BB" w:rsidRDefault="00D70D28">
            <w:pPr>
              <w:pStyle w:val="TableParagraph"/>
              <w:spacing w:before="122"/>
              <w:ind w:left="107"/>
            </w:pPr>
            <w:r>
              <w:t>2</w:t>
            </w:r>
          </w:p>
        </w:tc>
        <w:tc>
          <w:tcPr>
            <w:tcW w:w="3266" w:type="dxa"/>
          </w:tcPr>
          <w:p w:rsidR="007D76BB" w:rsidRDefault="00D70D28">
            <w:pPr>
              <w:pStyle w:val="TableParagraph"/>
              <w:spacing w:before="122"/>
              <w:ind w:left="108"/>
              <w:rPr>
                <w:b/>
              </w:rPr>
            </w:pPr>
            <w:r>
              <w:rPr>
                <w:b/>
              </w:rPr>
              <w:t>Pharmacy medicine</w:t>
            </w:r>
          </w:p>
        </w:tc>
        <w:tc>
          <w:tcPr>
            <w:tcW w:w="4536" w:type="dxa"/>
          </w:tcPr>
          <w:p w:rsidR="007D76BB" w:rsidRDefault="00D70D28">
            <w:pPr>
              <w:pStyle w:val="TableParagraph"/>
              <w:spacing w:before="122"/>
              <w:ind w:left="5"/>
            </w:pPr>
            <w:proofErr w:type="spellStart"/>
            <w:r>
              <w:t>Bromhexine</w:t>
            </w:r>
            <w:proofErr w:type="spellEnd"/>
          </w:p>
        </w:tc>
      </w:tr>
      <w:tr w:rsidR="007D76BB">
        <w:trPr>
          <w:trHeight w:val="1074"/>
        </w:trPr>
        <w:tc>
          <w:tcPr>
            <w:tcW w:w="1274" w:type="dxa"/>
          </w:tcPr>
          <w:p w:rsidR="007D76BB" w:rsidRDefault="00D70D28">
            <w:pPr>
              <w:pStyle w:val="TableParagraph"/>
              <w:spacing w:before="119"/>
              <w:ind w:left="107"/>
            </w:pPr>
            <w:r>
              <w:lastRenderedPageBreak/>
              <w:t>3</w:t>
            </w:r>
          </w:p>
        </w:tc>
        <w:tc>
          <w:tcPr>
            <w:tcW w:w="3266" w:type="dxa"/>
          </w:tcPr>
          <w:p w:rsidR="007D76BB" w:rsidRDefault="00D70D28">
            <w:pPr>
              <w:pStyle w:val="TableParagraph"/>
              <w:spacing w:before="119"/>
              <w:ind w:left="108"/>
              <w:rPr>
                <w:b/>
              </w:rPr>
            </w:pPr>
            <w:r>
              <w:rPr>
                <w:b/>
              </w:rPr>
              <w:t>Pharmacist only medicine</w:t>
            </w:r>
          </w:p>
        </w:tc>
        <w:tc>
          <w:tcPr>
            <w:tcW w:w="4536" w:type="dxa"/>
          </w:tcPr>
          <w:p w:rsidR="007D76BB" w:rsidRDefault="00D70D28">
            <w:pPr>
              <w:pStyle w:val="TableParagraph"/>
              <w:spacing w:before="119"/>
              <w:ind w:left="5" w:right="182"/>
              <w:jc w:val="both"/>
            </w:pPr>
            <w:proofErr w:type="spellStart"/>
            <w:r>
              <w:t>Doxylamine</w:t>
            </w:r>
            <w:proofErr w:type="spellEnd"/>
            <w:r>
              <w:t xml:space="preserve"> in oral preparations except: when included in Schedule 2; or for the treatment of children under 2 years of age</w:t>
            </w:r>
          </w:p>
        </w:tc>
      </w:tr>
    </w:tbl>
    <w:p w:rsidR="007D76BB" w:rsidRDefault="007D76BB">
      <w:pPr>
        <w:pStyle w:val="BodyText"/>
        <w:rPr>
          <w:b/>
          <w:sz w:val="20"/>
        </w:rPr>
      </w:pPr>
    </w:p>
    <w:p w:rsidR="007D76BB" w:rsidRDefault="007D76BB">
      <w:pPr>
        <w:pStyle w:val="BodyText"/>
        <w:rPr>
          <w:b/>
          <w:sz w:val="20"/>
        </w:rPr>
      </w:pPr>
    </w:p>
    <w:p w:rsidR="007D76BB" w:rsidRDefault="00D70D28">
      <w:pPr>
        <w:pStyle w:val="BodyText"/>
        <w:spacing w:before="2"/>
        <w:rPr>
          <w:b/>
          <w:sz w:val="23"/>
        </w:rPr>
      </w:pPr>
      <w:r>
        <w:rPr>
          <w:noProof/>
          <w:lang w:val="en-AU" w:eastAsia="en-AU"/>
        </w:rPr>
        <mc:AlternateContent>
          <mc:Choice Requires="wps">
            <w:drawing>
              <wp:anchor distT="0" distB="0" distL="0" distR="0" simplePos="0" relativeHeight="251669504" behindDoc="1" locked="0" layoutInCell="1" allowOverlap="1">
                <wp:simplePos x="0" y="0"/>
                <wp:positionH relativeFrom="page">
                  <wp:posOffset>900430</wp:posOffset>
                </wp:positionH>
                <wp:positionV relativeFrom="paragraph">
                  <wp:posOffset>201295</wp:posOffset>
                </wp:positionV>
                <wp:extent cx="1828800" cy="1270"/>
                <wp:effectExtent l="0" t="0" r="0" b="0"/>
                <wp:wrapTopAndBottom/>
                <wp:docPr id="423"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7FF2E" id="Freeform 279" o:spid="_x0000_s1026" style="position:absolute;margin-left:70.9pt;margin-top:15.85pt;width:2in;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" path="m,l2880,e" filled="f" strokeweight=".6pt">
                <v:path arrowok="t" o:connecttype="custom" o:connectlocs="0,0;1828800,0" o:connectangles="0,0"/>
                <w10:wrap type="topAndBottom" anchorx="page"/>
              </v:shape>
            </w:pict>
          </mc:Fallback>
        </mc:AlternateContent>
      </w:r>
    </w:p>
    <w:p w:rsidR="007D76BB" w:rsidRDefault="00D70D28">
      <w:pPr>
        <w:tabs>
          <w:tab w:val="left" w:pos="8917"/>
        </w:tabs>
        <w:spacing w:before="71" w:line="244" w:lineRule="auto"/>
        <w:ind w:left="198" w:right="749"/>
        <w:rPr>
          <w:sz w:val="20"/>
        </w:rPr>
      </w:pPr>
      <w:bookmarkStart w:id="53" w:name="_bookmark20"/>
      <w:bookmarkEnd w:id="53"/>
      <w:r>
        <w:rPr>
          <w:position w:val="5"/>
          <w:sz w:val="13"/>
        </w:rPr>
        <w:t xml:space="preserve">6 </w:t>
      </w:r>
      <w:r>
        <w:rPr>
          <w:sz w:val="20"/>
        </w:rPr>
        <w:t xml:space="preserve">The list of substances and methods prohibited in Sport under the World Anti-Doping Code and UNESCO </w:t>
      </w:r>
      <w:r>
        <w:rPr>
          <w:sz w:val="20"/>
          <w:u w:val="single"/>
        </w:rPr>
        <w:t>International Convention against Doping in</w:t>
      </w:r>
      <w:r>
        <w:rPr>
          <w:spacing w:val="-22"/>
          <w:sz w:val="20"/>
          <w:u w:val="single"/>
        </w:rPr>
        <w:t xml:space="preserve"> </w:t>
      </w:r>
      <w:r>
        <w:rPr>
          <w:sz w:val="20"/>
          <w:u w:val="single"/>
        </w:rPr>
        <w:t>Sport</w:t>
      </w:r>
      <w:r>
        <w:rPr>
          <w:sz w:val="20"/>
          <w:u w:val="single"/>
        </w:rPr>
        <w:tab/>
      </w:r>
    </w:p>
    <w:p w:rsidR="007D76BB" w:rsidRDefault="007D76BB">
      <w:pPr>
        <w:spacing w:line="244" w:lineRule="auto"/>
        <w:rPr>
          <w:sz w:val="20"/>
        </w:rPr>
        <w:sectPr w:rsidR="007D76BB">
          <w:pgSz w:w="11910" w:h="16840"/>
          <w:pgMar w:top="840" w:right="820" w:bottom="1360" w:left="1220" w:header="572" w:footer="1167" w:gutter="0"/>
          <w:cols w:space="720"/>
        </w:sectPr>
      </w:pPr>
    </w:p>
    <w:p w:rsidR="007D76BB" w:rsidRDefault="007D76BB">
      <w:pPr>
        <w:pStyle w:val="BodyText"/>
        <w:spacing w:before="9"/>
        <w:rPr>
          <w:sz w:val="24"/>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4"/>
        <w:gridCol w:w="3266"/>
        <w:gridCol w:w="4536"/>
      </w:tblGrid>
      <w:tr w:rsidR="007D76BB">
        <w:trPr>
          <w:trHeight w:val="558"/>
        </w:trPr>
        <w:tc>
          <w:tcPr>
            <w:tcW w:w="1274" w:type="dxa"/>
            <w:shd w:val="clear" w:color="auto" w:fill="006FB5"/>
          </w:tcPr>
          <w:p w:rsidR="007D76BB" w:rsidRDefault="00D70D28">
            <w:pPr>
              <w:pStyle w:val="TableParagraph"/>
              <w:spacing w:before="122"/>
              <w:ind w:left="107"/>
              <w:rPr>
                <w:b/>
              </w:rPr>
            </w:pPr>
            <w:r>
              <w:rPr>
                <w:b/>
                <w:color w:val="FFFFFF"/>
              </w:rPr>
              <w:t>Schedule</w:t>
            </w:r>
          </w:p>
        </w:tc>
        <w:tc>
          <w:tcPr>
            <w:tcW w:w="3266" w:type="dxa"/>
            <w:shd w:val="clear" w:color="auto" w:fill="006FB5"/>
          </w:tcPr>
          <w:p w:rsidR="007D76BB" w:rsidRDefault="00D70D28">
            <w:pPr>
              <w:pStyle w:val="TableParagraph"/>
              <w:spacing w:before="122"/>
              <w:ind w:left="108"/>
              <w:rPr>
                <w:b/>
              </w:rPr>
            </w:pPr>
            <w:r>
              <w:rPr>
                <w:b/>
                <w:color w:val="FFFFFF"/>
              </w:rPr>
              <w:t>Signal words required</w:t>
            </w:r>
          </w:p>
        </w:tc>
        <w:tc>
          <w:tcPr>
            <w:tcW w:w="4536" w:type="dxa"/>
            <w:shd w:val="clear" w:color="auto" w:fill="006FB5"/>
          </w:tcPr>
          <w:p w:rsidR="007D76BB" w:rsidRDefault="00D70D28">
            <w:pPr>
              <w:pStyle w:val="TableParagraph"/>
              <w:spacing w:before="122"/>
              <w:ind w:left="5"/>
              <w:rPr>
                <w:b/>
              </w:rPr>
            </w:pPr>
            <w:r>
              <w:rPr>
                <w:b/>
                <w:color w:val="FFFFFF"/>
              </w:rPr>
              <w:t>Example</w:t>
            </w:r>
          </w:p>
        </w:tc>
      </w:tr>
      <w:tr w:rsidR="007D76BB">
        <w:trPr>
          <w:trHeight w:val="558"/>
        </w:trPr>
        <w:tc>
          <w:tcPr>
            <w:tcW w:w="1274" w:type="dxa"/>
          </w:tcPr>
          <w:p w:rsidR="007D76BB" w:rsidRDefault="00D70D28">
            <w:pPr>
              <w:pStyle w:val="TableParagraph"/>
              <w:spacing w:before="119"/>
              <w:ind w:left="107"/>
            </w:pPr>
            <w:r>
              <w:t>4</w:t>
            </w:r>
          </w:p>
        </w:tc>
        <w:tc>
          <w:tcPr>
            <w:tcW w:w="3266" w:type="dxa"/>
          </w:tcPr>
          <w:p w:rsidR="007D76BB" w:rsidRDefault="00D70D28">
            <w:pPr>
              <w:pStyle w:val="TableParagraph"/>
              <w:spacing w:before="119"/>
              <w:ind w:left="108"/>
              <w:rPr>
                <w:b/>
              </w:rPr>
            </w:pPr>
            <w:r>
              <w:rPr>
                <w:b/>
              </w:rPr>
              <w:t>Prescription only medicine</w:t>
            </w:r>
          </w:p>
        </w:tc>
        <w:tc>
          <w:tcPr>
            <w:tcW w:w="4536" w:type="dxa"/>
          </w:tcPr>
          <w:p w:rsidR="007D76BB" w:rsidRDefault="00D70D28">
            <w:pPr>
              <w:pStyle w:val="TableParagraph"/>
              <w:spacing w:before="119"/>
              <w:ind w:left="5"/>
            </w:pPr>
            <w:r>
              <w:t>Insulin</w:t>
            </w:r>
          </w:p>
        </w:tc>
      </w:tr>
      <w:tr w:rsidR="007D76BB">
        <w:trPr>
          <w:trHeight w:val="556"/>
        </w:trPr>
        <w:tc>
          <w:tcPr>
            <w:tcW w:w="1274" w:type="dxa"/>
          </w:tcPr>
          <w:p w:rsidR="007D76BB" w:rsidRDefault="00D70D28">
            <w:pPr>
              <w:pStyle w:val="TableParagraph"/>
              <w:spacing w:before="119"/>
              <w:ind w:left="107"/>
            </w:pPr>
            <w:r>
              <w:t>5</w:t>
            </w:r>
          </w:p>
        </w:tc>
        <w:tc>
          <w:tcPr>
            <w:tcW w:w="3266" w:type="dxa"/>
          </w:tcPr>
          <w:p w:rsidR="007D76BB" w:rsidRDefault="00D70D28">
            <w:pPr>
              <w:pStyle w:val="TableParagraph"/>
              <w:spacing w:before="119"/>
              <w:ind w:left="108"/>
              <w:rPr>
                <w:b/>
              </w:rPr>
            </w:pPr>
            <w:r>
              <w:rPr>
                <w:b/>
              </w:rPr>
              <w:t>Caution</w:t>
            </w:r>
          </w:p>
        </w:tc>
        <w:tc>
          <w:tcPr>
            <w:tcW w:w="4536" w:type="dxa"/>
          </w:tcPr>
          <w:p w:rsidR="007D76BB" w:rsidRDefault="00D70D28">
            <w:pPr>
              <w:pStyle w:val="TableParagraph"/>
              <w:spacing w:before="119"/>
              <w:ind w:left="5"/>
            </w:pPr>
            <w:proofErr w:type="spellStart"/>
            <w:r>
              <w:t>Cambendazole</w:t>
            </w:r>
            <w:proofErr w:type="spellEnd"/>
          </w:p>
        </w:tc>
      </w:tr>
      <w:tr w:rsidR="007D76BB">
        <w:trPr>
          <w:trHeight w:val="558"/>
        </w:trPr>
        <w:tc>
          <w:tcPr>
            <w:tcW w:w="1274" w:type="dxa"/>
          </w:tcPr>
          <w:p w:rsidR="007D76BB" w:rsidRDefault="00D70D28">
            <w:pPr>
              <w:pStyle w:val="TableParagraph"/>
              <w:spacing w:before="122"/>
              <w:ind w:left="107"/>
            </w:pPr>
            <w:r>
              <w:t>6</w:t>
            </w:r>
          </w:p>
        </w:tc>
        <w:tc>
          <w:tcPr>
            <w:tcW w:w="3266" w:type="dxa"/>
          </w:tcPr>
          <w:p w:rsidR="007D76BB" w:rsidRDefault="00D70D28">
            <w:pPr>
              <w:pStyle w:val="TableParagraph"/>
              <w:spacing w:before="122"/>
              <w:ind w:left="108"/>
              <w:rPr>
                <w:b/>
              </w:rPr>
            </w:pPr>
            <w:r>
              <w:rPr>
                <w:b/>
              </w:rPr>
              <w:t>Poison</w:t>
            </w:r>
          </w:p>
        </w:tc>
        <w:tc>
          <w:tcPr>
            <w:tcW w:w="4536" w:type="dxa"/>
          </w:tcPr>
          <w:p w:rsidR="007D76BB" w:rsidRDefault="00D70D28">
            <w:pPr>
              <w:pStyle w:val="TableParagraph"/>
              <w:spacing w:before="122"/>
              <w:ind w:left="5"/>
            </w:pPr>
            <w:proofErr w:type="spellStart"/>
            <w:r>
              <w:t>Pindone</w:t>
            </w:r>
            <w:proofErr w:type="spellEnd"/>
          </w:p>
        </w:tc>
      </w:tr>
      <w:tr w:rsidR="007D76BB">
        <w:trPr>
          <w:trHeight w:val="558"/>
        </w:trPr>
        <w:tc>
          <w:tcPr>
            <w:tcW w:w="1274" w:type="dxa"/>
          </w:tcPr>
          <w:p w:rsidR="007D76BB" w:rsidRDefault="00D70D28">
            <w:pPr>
              <w:pStyle w:val="TableParagraph"/>
              <w:spacing w:before="119"/>
              <w:ind w:left="107"/>
            </w:pPr>
            <w:r>
              <w:t>7</w:t>
            </w:r>
          </w:p>
        </w:tc>
        <w:tc>
          <w:tcPr>
            <w:tcW w:w="3266" w:type="dxa"/>
          </w:tcPr>
          <w:p w:rsidR="007D76BB" w:rsidRDefault="00D70D28">
            <w:pPr>
              <w:pStyle w:val="TableParagraph"/>
              <w:spacing w:before="119"/>
              <w:ind w:left="108"/>
              <w:rPr>
                <w:b/>
              </w:rPr>
            </w:pPr>
            <w:r>
              <w:rPr>
                <w:b/>
              </w:rPr>
              <w:t>Dangerous poison</w:t>
            </w:r>
          </w:p>
        </w:tc>
        <w:tc>
          <w:tcPr>
            <w:tcW w:w="4536" w:type="dxa"/>
          </w:tcPr>
          <w:p w:rsidR="007D76BB" w:rsidRDefault="00D70D28">
            <w:pPr>
              <w:pStyle w:val="TableParagraph"/>
              <w:spacing w:before="119"/>
              <w:ind w:left="5"/>
            </w:pPr>
            <w:proofErr w:type="spellStart"/>
            <w:r>
              <w:t>Fluoroacetic</w:t>
            </w:r>
            <w:proofErr w:type="spellEnd"/>
            <w:r>
              <w:t xml:space="preserve"> Acid</w:t>
            </w:r>
          </w:p>
        </w:tc>
      </w:tr>
      <w:tr w:rsidR="007D76BB">
        <w:trPr>
          <w:trHeight w:val="556"/>
        </w:trPr>
        <w:tc>
          <w:tcPr>
            <w:tcW w:w="1274" w:type="dxa"/>
          </w:tcPr>
          <w:p w:rsidR="007D76BB" w:rsidRDefault="00D70D28">
            <w:pPr>
              <w:pStyle w:val="TableParagraph"/>
              <w:spacing w:before="119"/>
              <w:ind w:left="107"/>
            </w:pPr>
            <w:r>
              <w:t>8</w:t>
            </w:r>
          </w:p>
        </w:tc>
        <w:tc>
          <w:tcPr>
            <w:tcW w:w="3266" w:type="dxa"/>
          </w:tcPr>
          <w:p w:rsidR="007D76BB" w:rsidRDefault="00D70D28">
            <w:pPr>
              <w:pStyle w:val="TableParagraph"/>
              <w:spacing w:before="119"/>
              <w:ind w:left="108"/>
              <w:rPr>
                <w:b/>
              </w:rPr>
            </w:pPr>
            <w:r>
              <w:rPr>
                <w:b/>
              </w:rPr>
              <w:t>Controlled drug</w:t>
            </w:r>
          </w:p>
        </w:tc>
        <w:tc>
          <w:tcPr>
            <w:tcW w:w="4536" w:type="dxa"/>
          </w:tcPr>
          <w:p w:rsidR="007D76BB" w:rsidRDefault="00D70D28">
            <w:pPr>
              <w:pStyle w:val="TableParagraph"/>
              <w:spacing w:before="119"/>
              <w:ind w:left="5"/>
            </w:pPr>
            <w:r>
              <w:t>Methadone</w:t>
            </w:r>
          </w:p>
        </w:tc>
      </w:tr>
      <w:tr w:rsidR="007D76BB">
        <w:trPr>
          <w:trHeight w:val="558"/>
        </w:trPr>
        <w:tc>
          <w:tcPr>
            <w:tcW w:w="1274" w:type="dxa"/>
          </w:tcPr>
          <w:p w:rsidR="007D76BB" w:rsidRDefault="00D70D28">
            <w:pPr>
              <w:pStyle w:val="TableParagraph"/>
              <w:spacing w:before="119"/>
              <w:ind w:left="107"/>
            </w:pPr>
            <w:r>
              <w:t>9</w:t>
            </w:r>
          </w:p>
        </w:tc>
        <w:tc>
          <w:tcPr>
            <w:tcW w:w="3266" w:type="dxa"/>
          </w:tcPr>
          <w:p w:rsidR="007D76BB" w:rsidRDefault="00D70D28">
            <w:pPr>
              <w:pStyle w:val="TableParagraph"/>
              <w:spacing w:before="119"/>
              <w:ind w:left="108"/>
              <w:rPr>
                <w:b/>
              </w:rPr>
            </w:pPr>
            <w:r>
              <w:rPr>
                <w:b/>
              </w:rPr>
              <w:t>Prohibited substances</w:t>
            </w:r>
          </w:p>
        </w:tc>
        <w:tc>
          <w:tcPr>
            <w:tcW w:w="4536" w:type="dxa"/>
          </w:tcPr>
          <w:p w:rsidR="007D76BB" w:rsidRDefault="00D70D28">
            <w:pPr>
              <w:pStyle w:val="TableParagraph"/>
              <w:spacing w:before="119"/>
              <w:ind w:left="5"/>
            </w:pPr>
            <w:r>
              <w:t>Heroin</w:t>
            </w:r>
          </w:p>
        </w:tc>
      </w:tr>
      <w:tr w:rsidR="007D76BB">
        <w:trPr>
          <w:trHeight w:val="1331"/>
        </w:trPr>
        <w:tc>
          <w:tcPr>
            <w:tcW w:w="1274" w:type="dxa"/>
          </w:tcPr>
          <w:p w:rsidR="007D76BB" w:rsidRDefault="00D70D28">
            <w:pPr>
              <w:pStyle w:val="TableParagraph"/>
              <w:spacing w:before="119"/>
              <w:ind w:left="107"/>
            </w:pPr>
            <w:r>
              <w:t>10</w:t>
            </w:r>
          </w:p>
        </w:tc>
        <w:tc>
          <w:tcPr>
            <w:tcW w:w="3266" w:type="dxa"/>
          </w:tcPr>
          <w:p w:rsidR="007D76BB" w:rsidRDefault="00D70D28">
            <w:pPr>
              <w:pStyle w:val="TableParagraph"/>
              <w:spacing w:before="119"/>
              <w:ind w:left="108" w:right="223"/>
              <w:rPr>
                <w:b/>
              </w:rPr>
            </w:pPr>
            <w:r>
              <w:rPr>
                <w:b/>
              </w:rPr>
              <w:t>Substances of such danger to health as to warrant prohibition of sale, supply and use</w:t>
            </w:r>
          </w:p>
        </w:tc>
        <w:tc>
          <w:tcPr>
            <w:tcW w:w="4536" w:type="dxa"/>
          </w:tcPr>
          <w:p w:rsidR="007D76BB" w:rsidRDefault="00D70D28">
            <w:pPr>
              <w:pStyle w:val="TableParagraph"/>
              <w:spacing w:before="119"/>
              <w:ind w:left="5"/>
            </w:pPr>
            <w:r>
              <w:t>1,3-Dimethylamylamine (DMAA)</w:t>
            </w:r>
          </w:p>
        </w:tc>
      </w:tr>
    </w:tbl>
    <w:p w:rsidR="007D76BB" w:rsidRDefault="00D70D28">
      <w:pPr>
        <w:pStyle w:val="BodyText"/>
        <w:spacing w:before="119"/>
        <w:ind w:left="198" w:right="613"/>
      </w:pPr>
      <w:r>
        <w:t>The access restrictions placed on poisons in the Poisons Standard are to protect public safety. It is therefore not appropriate for a food to contain an ingredient that is restricted in the Poisons Standard and not be legally compliant with the access restrictions for that substance. Substances such as prescription medicines require appropriate medical management and monitoring, as they pose significant risks to the individuals who take them. For example, Selective Androgen Receptor Modulators (SARMs) are included in Schedule 4 of the Poisons Standard and can only be accessed with a prescription from a medical doctor. SARMs are associated with serious safety concerns including liver toxicity and increased risk of heart attack and stroke (33).</w:t>
      </w:r>
    </w:p>
    <w:p w:rsidR="007D76BB" w:rsidRDefault="00D70D28">
      <w:pPr>
        <w:pStyle w:val="BodyText"/>
        <w:spacing w:before="181"/>
        <w:ind w:left="197" w:right="639"/>
      </w:pPr>
      <w:r>
        <w:t xml:space="preserve">Substances that are scheduled in the Poisons Standard have frequently been detected in sports supplements (2; 34). There have been instances of commonly used substances in sports supplements being scheduled based on safety concerns, such as was the case with 1,3- </w:t>
      </w:r>
      <w:proofErr w:type="spellStart"/>
      <w:r>
        <w:t>dimethylamylamine</w:t>
      </w:r>
      <w:proofErr w:type="spellEnd"/>
      <w:r>
        <w:t xml:space="preserve"> (DMAA) which was moved from being an unscheduled substance to being included in Schedule 10 (previously called Appendix C) of the Poisons Standard due to emerging safety concerns associated with its use.</w:t>
      </w:r>
    </w:p>
    <w:p w:rsidR="007D76BB" w:rsidRDefault="00D70D28">
      <w:pPr>
        <w:pStyle w:val="BodyText"/>
        <w:spacing w:before="181"/>
        <w:ind w:left="197" w:right="681"/>
      </w:pPr>
      <w:r>
        <w:t>It is illegal for supplements containing Schedule 4 substances to be supplied by supplement stores and illegal for consumers to possess these products without a prescription. It is also illegal for supplement stores to supply and consumers to possess Schedule 9 and 10 substances.</w:t>
      </w:r>
    </w:p>
    <w:p w:rsidR="007D76BB" w:rsidRDefault="00D70D28">
      <w:pPr>
        <w:pStyle w:val="BodyText"/>
        <w:spacing w:before="179"/>
        <w:ind w:left="197" w:right="833"/>
      </w:pPr>
      <w:r>
        <w:t xml:space="preserve">While it is clear that products including Scheduled substances require regulatory enforcement activity, the current legal uncertainty in relation to these goods makes it unclear who has jurisdictional responsibility for them and delays timely enforcement action (refer to </w:t>
      </w:r>
      <w:hyperlink w:anchor="_bookmark27" w:history="1">
        <w:proofErr w:type="gramStart"/>
        <w:r>
          <w:rPr>
            <w:color w:val="0000FF"/>
            <w:u w:val="single" w:color="0000FF"/>
          </w:rPr>
          <w:t>The</w:t>
        </w:r>
        <w:proofErr w:type="gramEnd"/>
      </w:hyperlink>
      <w:r>
        <w:rPr>
          <w:color w:val="0000FF"/>
        </w:rPr>
        <w:t xml:space="preserve"> </w:t>
      </w:r>
      <w:hyperlink w:anchor="_bookmark27" w:history="1">
        <w:r>
          <w:rPr>
            <w:color w:val="0000FF"/>
            <w:u w:val="single" w:color="0000FF"/>
          </w:rPr>
          <w:t>problem with current legislation</w:t>
        </w:r>
        <w:r>
          <w:t>).</w:t>
        </w:r>
      </w:hyperlink>
    </w:p>
    <w:p w:rsidR="007D76BB" w:rsidRDefault="007D76BB">
      <w:pPr>
        <w:pStyle w:val="BodyText"/>
        <w:spacing w:before="6"/>
        <w:rPr>
          <w:sz w:val="20"/>
        </w:rPr>
      </w:pPr>
    </w:p>
    <w:p w:rsidR="007D76BB" w:rsidRDefault="00D70D28">
      <w:pPr>
        <w:pStyle w:val="Heading5"/>
      </w:pPr>
      <w:bookmarkStart w:id="54" w:name="Substances_in_the_WADC_Prohibited_List"/>
      <w:bookmarkStart w:id="55" w:name="_bookmark21"/>
      <w:bookmarkEnd w:id="54"/>
      <w:bookmarkEnd w:id="55"/>
      <w:r>
        <w:rPr>
          <w:color w:val="001422"/>
        </w:rPr>
        <w:t>Substances in the WADC Prohibited List</w:t>
      </w:r>
    </w:p>
    <w:p w:rsidR="007D76BB" w:rsidRDefault="00D70D28">
      <w:pPr>
        <w:pStyle w:val="BodyText"/>
        <w:spacing w:before="119"/>
        <w:ind w:left="198" w:right="610"/>
      </w:pPr>
      <w:r>
        <w:t xml:space="preserve">The </w:t>
      </w:r>
      <w:hyperlink r:id="rId109">
        <w:r>
          <w:rPr>
            <w:color w:val="0000FF"/>
            <w:u w:val="single" w:color="0000FF"/>
          </w:rPr>
          <w:t>World Anti-Doping Agency</w:t>
        </w:r>
        <w:r>
          <w:rPr>
            <w:color w:val="0000FF"/>
          </w:rPr>
          <w:t xml:space="preserve"> </w:t>
        </w:r>
      </w:hyperlink>
      <w:r>
        <w:t xml:space="preserve">(WADA) is an international independent agency composed and funded equally by the sport movement and governments of the world. Its key activities include scientific research, education, development of anti-doping capacities, and monitoring of the World Anti-Doping Code (the WAD Code). The WAD Code is a collaborative and shared document that is developed with input from all anti-doping stakeholders in order to </w:t>
      </w:r>
      <w:proofErr w:type="spellStart"/>
      <w:r>
        <w:t>harmonise</w:t>
      </w:r>
      <w:proofErr w:type="spellEnd"/>
      <w:r>
        <w:t xml:space="preserve"> anti-doping policies in all sports and all countries. As part of the WAD Code, WADA maintains an annually updated </w:t>
      </w:r>
      <w:hyperlink r:id="rId110">
        <w:r>
          <w:rPr>
            <w:color w:val="0000FF"/>
            <w:u w:val="single" w:color="0000FF"/>
          </w:rPr>
          <w:t>World Anti-Doping Code Prohibited List (WADC Prohibited</w:t>
        </w:r>
        <w:r>
          <w:rPr>
            <w:color w:val="0000FF"/>
            <w:spacing w:val="-14"/>
            <w:u w:val="single" w:color="0000FF"/>
          </w:rPr>
          <w:t xml:space="preserve"> </w:t>
        </w:r>
        <w:r>
          <w:rPr>
            <w:color w:val="0000FF"/>
            <w:u w:val="single" w:color="0000FF"/>
          </w:rPr>
          <w:t>List)</w:t>
        </w:r>
        <w:r>
          <w:t>.</w:t>
        </w:r>
      </w:hyperlink>
    </w:p>
    <w:p w:rsidR="007D76BB" w:rsidRDefault="007D76BB">
      <w:pPr>
        <w:sectPr w:rsidR="007D76BB">
          <w:headerReference w:type="default" r:id="rId111"/>
          <w:footerReference w:type="default" r:id="rId112"/>
          <w:pgSz w:w="11910" w:h="16840"/>
          <w:pgMar w:top="840" w:right="820" w:bottom="1360" w:left="1220" w:header="572" w:footer="1178" w:gutter="0"/>
          <w:pgNumType w:start="30"/>
          <w:cols w:space="720"/>
        </w:sectPr>
      </w:pPr>
    </w:p>
    <w:p w:rsidR="007D76BB" w:rsidRDefault="007D76BB">
      <w:pPr>
        <w:pStyle w:val="BodyText"/>
        <w:spacing w:before="1"/>
        <w:rPr>
          <w:sz w:val="16"/>
        </w:rPr>
      </w:pPr>
    </w:p>
    <w:p w:rsidR="007D76BB" w:rsidRDefault="00D70D28">
      <w:pPr>
        <w:pStyle w:val="BodyText"/>
        <w:spacing w:before="101"/>
        <w:ind w:left="198" w:right="694"/>
      </w:pPr>
      <w:r>
        <w:t xml:space="preserve">Australia is a State Party to the </w:t>
      </w:r>
      <w:hyperlink r:id="rId113">
        <w:r>
          <w:rPr>
            <w:color w:val="0000FF"/>
            <w:u w:val="single" w:color="0000FF"/>
          </w:rPr>
          <w:t>United Nations Educational, Scientific and Cultural Organization</w:t>
        </w:r>
      </w:hyperlink>
      <w:r>
        <w:rPr>
          <w:color w:val="0000FF"/>
        </w:rPr>
        <w:t xml:space="preserve"> </w:t>
      </w:r>
      <w:hyperlink r:id="rId114">
        <w:r>
          <w:rPr>
            <w:color w:val="0000FF"/>
            <w:u w:val="single" w:color="0000FF"/>
          </w:rPr>
          <w:t>(UNESCO) International Convention against Doping in Sport</w:t>
        </w:r>
        <w:r>
          <w:rPr>
            <w:color w:val="0000FF"/>
          </w:rPr>
          <w:t xml:space="preserve"> </w:t>
        </w:r>
      </w:hyperlink>
      <w:r>
        <w:t>(‘the Convention’). Australia’s anti- doping obligations are derived from being a State Party to the Convention, which requires governments to adopt appropriate measures at the national and international levels, consistent with the principles of the WAD Code. The Convention places obligations on State Parties to limit the availability of prohibited substances and methods in order to restrict their use in sport (Article 8) and, to encourage producers and distributors of nutritional supplements to establish best practices in the marketing and distribution of nutritional supplements, including information about their composition and quality assurance (Article 10).</w:t>
      </w:r>
    </w:p>
    <w:p w:rsidR="007D76BB" w:rsidRDefault="00D70D28">
      <w:pPr>
        <w:pStyle w:val="BodyText"/>
        <w:spacing w:before="182"/>
        <w:ind w:left="197" w:right="827"/>
      </w:pPr>
      <w:r>
        <w:t xml:space="preserve">The WADC Prohibited List forms part of the Convention as Annexure 1. Australia formally </w:t>
      </w:r>
      <w:proofErr w:type="spellStart"/>
      <w:r>
        <w:t>recognises</w:t>
      </w:r>
      <w:proofErr w:type="spellEnd"/>
      <w:r>
        <w:t xml:space="preserve"> annual updates to Annexure 1 as a minor treaty action through the Joint Standing Committee on Treaties (JSCOT). There are currently two Australians, in the capacity of individual experts, on WADA’s Prohibited List Expert Group, which provides expert advice, recommendations and guidance to the Health, Medical and Research Committee on the overall publication, management and maintenance of its annual International Standard of the WADC Prohibited List.</w:t>
      </w:r>
    </w:p>
    <w:p w:rsidR="007D76BB" w:rsidRDefault="00D70D28">
      <w:pPr>
        <w:pStyle w:val="BodyText"/>
        <w:spacing w:before="180"/>
        <w:ind w:left="198" w:right="941"/>
      </w:pPr>
      <w:r>
        <w:t xml:space="preserve">Article 4.3 of the WAD Code stipulates that a substance or method must satisfy at </w:t>
      </w:r>
      <w:r>
        <w:rPr>
          <w:u w:val="single"/>
        </w:rPr>
        <w:t>least two</w:t>
      </w:r>
      <w:r>
        <w:t xml:space="preserve"> of three criteria to be included on the list. These criteria are:</w:t>
      </w:r>
    </w:p>
    <w:p w:rsidR="007D76BB" w:rsidRDefault="00D70D28">
      <w:pPr>
        <w:pStyle w:val="ListParagraph"/>
        <w:numPr>
          <w:ilvl w:val="0"/>
          <w:numId w:val="63"/>
        </w:numPr>
        <w:tabs>
          <w:tab w:val="left" w:pos="623"/>
          <w:tab w:val="left" w:pos="624"/>
        </w:tabs>
        <w:ind w:hanging="426"/>
      </w:pPr>
      <w:r>
        <w:t>It has the potential to enhance or enhances sport</w:t>
      </w:r>
      <w:r>
        <w:rPr>
          <w:spacing w:val="-9"/>
        </w:rPr>
        <w:t xml:space="preserve"> </w:t>
      </w:r>
      <w:r>
        <w:t>performance.</w:t>
      </w:r>
    </w:p>
    <w:p w:rsidR="007D76BB" w:rsidRDefault="00D70D28">
      <w:pPr>
        <w:pStyle w:val="ListParagraph"/>
        <w:numPr>
          <w:ilvl w:val="0"/>
          <w:numId w:val="63"/>
        </w:numPr>
        <w:tabs>
          <w:tab w:val="left" w:pos="623"/>
          <w:tab w:val="left" w:pos="624"/>
        </w:tabs>
        <w:spacing w:before="179"/>
        <w:ind w:hanging="426"/>
      </w:pPr>
      <w:r>
        <w:t>It represents an actual or potential health risk to the</w:t>
      </w:r>
      <w:r>
        <w:rPr>
          <w:spacing w:val="-15"/>
        </w:rPr>
        <w:t xml:space="preserve"> </w:t>
      </w:r>
      <w:r>
        <w:t>athlete.</w:t>
      </w:r>
    </w:p>
    <w:p w:rsidR="007D76BB" w:rsidRDefault="00D70D28">
      <w:pPr>
        <w:pStyle w:val="ListParagraph"/>
        <w:numPr>
          <w:ilvl w:val="0"/>
          <w:numId w:val="63"/>
        </w:numPr>
        <w:tabs>
          <w:tab w:val="left" w:pos="623"/>
          <w:tab w:val="left" w:pos="624"/>
        </w:tabs>
        <w:spacing w:before="181"/>
        <w:ind w:hanging="426"/>
      </w:pPr>
      <w:r>
        <w:t>It violates the spirit of</w:t>
      </w:r>
      <w:r>
        <w:rPr>
          <w:spacing w:val="-9"/>
        </w:rPr>
        <w:t xml:space="preserve"> </w:t>
      </w:r>
      <w:r>
        <w:t>sport.</w:t>
      </w:r>
    </w:p>
    <w:p w:rsidR="007D76BB" w:rsidRDefault="00D70D28">
      <w:pPr>
        <w:pStyle w:val="BodyText"/>
        <w:spacing w:before="179"/>
        <w:ind w:left="198" w:right="1530"/>
      </w:pPr>
      <w:r>
        <w:t>Table 9 provides the substance categories in the WADC Prohibited list and examples of substances, with a comparison to the Poisons Standard.</w:t>
      </w:r>
    </w:p>
    <w:p w:rsidR="007D76BB" w:rsidRDefault="007D76BB">
      <w:pPr>
        <w:pStyle w:val="BodyText"/>
        <w:spacing w:before="1"/>
      </w:pPr>
    </w:p>
    <w:p w:rsidR="007D76BB" w:rsidRDefault="00D70D28">
      <w:pPr>
        <w:pStyle w:val="Heading7"/>
        <w:spacing w:before="0"/>
        <w:ind w:right="627"/>
      </w:pPr>
      <w:r>
        <w:t>Table 9: Categories of substances included in the WADC Prohibited list and comparison to Poisons Standard</w:t>
      </w:r>
    </w:p>
    <w:tbl>
      <w:tblPr>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3828"/>
        <w:gridCol w:w="1982"/>
        <w:gridCol w:w="1552"/>
      </w:tblGrid>
      <w:tr w:rsidR="007D76BB">
        <w:trPr>
          <w:trHeight w:val="1475"/>
        </w:trPr>
        <w:tc>
          <w:tcPr>
            <w:tcW w:w="1697" w:type="dxa"/>
            <w:shd w:val="clear" w:color="auto" w:fill="006FB5"/>
          </w:tcPr>
          <w:p w:rsidR="007D76BB" w:rsidRDefault="00D70D28">
            <w:pPr>
              <w:pStyle w:val="TableParagraph"/>
              <w:spacing w:before="191"/>
              <w:ind w:left="143"/>
              <w:rPr>
                <w:b/>
              </w:rPr>
            </w:pPr>
            <w:r>
              <w:rPr>
                <w:b/>
                <w:color w:val="FFFFFF"/>
              </w:rPr>
              <w:t>Category</w:t>
            </w:r>
          </w:p>
        </w:tc>
        <w:tc>
          <w:tcPr>
            <w:tcW w:w="3828" w:type="dxa"/>
            <w:shd w:val="clear" w:color="auto" w:fill="006FB5"/>
          </w:tcPr>
          <w:p w:rsidR="007D76BB" w:rsidRDefault="00D70D28">
            <w:pPr>
              <w:pStyle w:val="TableParagraph"/>
              <w:spacing w:before="191"/>
              <w:ind w:left="143"/>
              <w:rPr>
                <w:b/>
              </w:rPr>
            </w:pPr>
            <w:r>
              <w:rPr>
                <w:b/>
                <w:color w:val="FFFFFF"/>
              </w:rPr>
              <w:t>Substances</w:t>
            </w:r>
          </w:p>
        </w:tc>
        <w:tc>
          <w:tcPr>
            <w:tcW w:w="1982" w:type="dxa"/>
            <w:shd w:val="clear" w:color="auto" w:fill="006FB5"/>
          </w:tcPr>
          <w:p w:rsidR="007D76BB" w:rsidRDefault="00D70D28">
            <w:pPr>
              <w:pStyle w:val="TableParagraph"/>
              <w:spacing w:before="191"/>
              <w:ind w:left="143" w:right="563"/>
              <w:rPr>
                <w:b/>
              </w:rPr>
            </w:pPr>
            <w:r>
              <w:rPr>
                <w:b/>
                <w:color w:val="FFFFFF"/>
              </w:rPr>
              <w:t>Presence in schedules of Poisons Standard</w:t>
            </w:r>
          </w:p>
        </w:tc>
        <w:tc>
          <w:tcPr>
            <w:tcW w:w="1552" w:type="dxa"/>
            <w:shd w:val="clear" w:color="auto" w:fill="006FB5"/>
          </w:tcPr>
          <w:p w:rsidR="007D76BB" w:rsidRDefault="00D70D28">
            <w:pPr>
              <w:pStyle w:val="TableParagraph"/>
              <w:spacing w:before="191"/>
              <w:ind w:left="144" w:right="321"/>
              <w:rPr>
                <w:b/>
              </w:rPr>
            </w:pPr>
            <w:r>
              <w:rPr>
                <w:b/>
                <w:color w:val="FFFFFF"/>
              </w:rPr>
              <w:t>Where legally allowed to be sold</w:t>
            </w:r>
          </w:p>
        </w:tc>
      </w:tr>
      <w:tr w:rsidR="007D76BB">
        <w:trPr>
          <w:trHeight w:val="2248"/>
        </w:trPr>
        <w:tc>
          <w:tcPr>
            <w:tcW w:w="1697" w:type="dxa"/>
          </w:tcPr>
          <w:p w:rsidR="007D76BB" w:rsidRDefault="00D70D28">
            <w:pPr>
              <w:pStyle w:val="TableParagraph"/>
              <w:spacing w:before="191"/>
              <w:ind w:left="143" w:right="187"/>
              <w:rPr>
                <w:b/>
              </w:rPr>
            </w:pPr>
            <w:r>
              <w:rPr>
                <w:b/>
              </w:rPr>
              <w:t>Prohibited at all times</w:t>
            </w:r>
          </w:p>
        </w:tc>
        <w:tc>
          <w:tcPr>
            <w:tcW w:w="3828" w:type="dxa"/>
          </w:tcPr>
          <w:p w:rsidR="007D76BB" w:rsidRDefault="00D70D28">
            <w:pPr>
              <w:pStyle w:val="TableParagraph"/>
              <w:spacing w:before="191"/>
              <w:ind w:left="143" w:right="206"/>
            </w:pPr>
            <w:r>
              <w:t>Non approved substances for human use, for example:</w:t>
            </w:r>
          </w:p>
          <w:p w:rsidR="007D76BB" w:rsidRDefault="00D70D28">
            <w:pPr>
              <w:pStyle w:val="TableParagraph"/>
              <w:ind w:left="143" w:right="405"/>
            </w:pPr>
            <w:r>
              <w:t>anabolic agents; testosterone; peptide hormones; growth factors; beta-2 agonists;</w:t>
            </w:r>
          </w:p>
          <w:p w:rsidR="007D76BB" w:rsidRDefault="00D70D28">
            <w:pPr>
              <w:pStyle w:val="TableParagraph"/>
              <w:ind w:left="143" w:right="225"/>
            </w:pPr>
            <w:r>
              <w:t>hormone and metabolic modulators; diuretic and masking agents</w:t>
            </w:r>
          </w:p>
        </w:tc>
        <w:tc>
          <w:tcPr>
            <w:tcW w:w="1982" w:type="dxa"/>
          </w:tcPr>
          <w:p w:rsidR="007D76BB" w:rsidRDefault="00D70D28">
            <w:pPr>
              <w:pStyle w:val="TableParagraph"/>
              <w:spacing w:before="191"/>
              <w:ind w:left="143"/>
            </w:pPr>
            <w:r>
              <w:t>Schedules 3/4/8</w:t>
            </w:r>
          </w:p>
        </w:tc>
        <w:tc>
          <w:tcPr>
            <w:tcW w:w="1552" w:type="dxa"/>
          </w:tcPr>
          <w:p w:rsidR="007D76BB" w:rsidRDefault="00D70D28">
            <w:pPr>
              <w:pStyle w:val="TableParagraph"/>
              <w:spacing w:before="191"/>
              <w:ind w:left="144" w:right="216"/>
            </w:pPr>
            <w:r>
              <w:t>Pharmacy only/ prescription</w:t>
            </w:r>
          </w:p>
        </w:tc>
      </w:tr>
      <w:tr w:rsidR="007D76BB">
        <w:trPr>
          <w:trHeight w:val="1734"/>
        </w:trPr>
        <w:tc>
          <w:tcPr>
            <w:tcW w:w="1697" w:type="dxa"/>
          </w:tcPr>
          <w:p w:rsidR="007D76BB" w:rsidRDefault="00D70D28">
            <w:pPr>
              <w:pStyle w:val="TableParagraph"/>
              <w:spacing w:before="191"/>
              <w:ind w:left="143" w:right="183"/>
              <w:rPr>
                <w:b/>
              </w:rPr>
            </w:pPr>
            <w:r>
              <w:rPr>
                <w:b/>
              </w:rPr>
              <w:t>Prohibited in competition</w:t>
            </w:r>
          </w:p>
        </w:tc>
        <w:tc>
          <w:tcPr>
            <w:tcW w:w="3828" w:type="dxa"/>
          </w:tcPr>
          <w:p w:rsidR="007D76BB" w:rsidRDefault="00D70D28">
            <w:pPr>
              <w:pStyle w:val="TableParagraph"/>
              <w:spacing w:before="191"/>
              <w:ind w:left="143" w:right="2193"/>
            </w:pPr>
            <w:r>
              <w:t>Stimulants Narcotics Cannabinoids Glucocorticoids</w:t>
            </w:r>
          </w:p>
        </w:tc>
        <w:tc>
          <w:tcPr>
            <w:tcW w:w="1982" w:type="dxa"/>
          </w:tcPr>
          <w:p w:rsidR="007D76BB" w:rsidRDefault="00D70D28">
            <w:pPr>
              <w:pStyle w:val="TableParagraph"/>
              <w:spacing w:before="191" w:line="408" w:lineRule="auto"/>
              <w:ind w:left="143" w:right="347"/>
            </w:pPr>
            <w:r>
              <w:t>Schedules 4/8 Schedules 9/10</w:t>
            </w:r>
          </w:p>
        </w:tc>
        <w:tc>
          <w:tcPr>
            <w:tcW w:w="1552" w:type="dxa"/>
          </w:tcPr>
          <w:p w:rsidR="007D76BB" w:rsidRDefault="00D70D28">
            <w:pPr>
              <w:pStyle w:val="TableParagraph"/>
              <w:spacing w:before="191"/>
              <w:ind w:left="144"/>
            </w:pPr>
            <w:r>
              <w:t>4/8:</w:t>
            </w:r>
          </w:p>
          <w:p w:rsidR="007D76BB" w:rsidRDefault="00D70D28">
            <w:pPr>
              <w:pStyle w:val="TableParagraph"/>
              <w:spacing w:before="2"/>
              <w:ind w:left="144" w:right="195"/>
            </w:pPr>
            <w:r>
              <w:t>Prescription 9/10: Not permitted to be sold</w:t>
            </w:r>
          </w:p>
        </w:tc>
      </w:tr>
    </w:tbl>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9"/>
        <w:rPr>
          <w:b/>
          <w:sz w:val="24"/>
        </w:rPr>
      </w:pPr>
    </w:p>
    <w:tbl>
      <w:tblPr>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3828"/>
        <w:gridCol w:w="1982"/>
        <w:gridCol w:w="1552"/>
      </w:tblGrid>
      <w:tr w:rsidR="007D76BB">
        <w:trPr>
          <w:trHeight w:val="1477"/>
        </w:trPr>
        <w:tc>
          <w:tcPr>
            <w:tcW w:w="1697" w:type="dxa"/>
            <w:shd w:val="clear" w:color="auto" w:fill="006FB5"/>
          </w:tcPr>
          <w:p w:rsidR="007D76BB" w:rsidRDefault="00D70D28">
            <w:pPr>
              <w:pStyle w:val="TableParagraph"/>
              <w:spacing w:before="194"/>
              <w:ind w:left="143"/>
              <w:rPr>
                <w:b/>
              </w:rPr>
            </w:pPr>
            <w:r>
              <w:rPr>
                <w:b/>
                <w:color w:val="FFFFFF"/>
              </w:rPr>
              <w:t>Category</w:t>
            </w:r>
          </w:p>
        </w:tc>
        <w:tc>
          <w:tcPr>
            <w:tcW w:w="3828" w:type="dxa"/>
            <w:shd w:val="clear" w:color="auto" w:fill="006FB5"/>
          </w:tcPr>
          <w:p w:rsidR="007D76BB" w:rsidRDefault="00D70D28">
            <w:pPr>
              <w:pStyle w:val="TableParagraph"/>
              <w:spacing w:before="194"/>
              <w:ind w:left="143"/>
              <w:rPr>
                <w:b/>
              </w:rPr>
            </w:pPr>
            <w:r>
              <w:rPr>
                <w:b/>
                <w:color w:val="FFFFFF"/>
              </w:rPr>
              <w:t>Substances</w:t>
            </w:r>
          </w:p>
        </w:tc>
        <w:tc>
          <w:tcPr>
            <w:tcW w:w="1982" w:type="dxa"/>
            <w:shd w:val="clear" w:color="auto" w:fill="006FB5"/>
          </w:tcPr>
          <w:p w:rsidR="007D76BB" w:rsidRDefault="00D70D28">
            <w:pPr>
              <w:pStyle w:val="TableParagraph"/>
              <w:spacing w:before="194"/>
              <w:ind w:left="143" w:right="563"/>
              <w:rPr>
                <w:b/>
              </w:rPr>
            </w:pPr>
            <w:r>
              <w:rPr>
                <w:b/>
                <w:color w:val="FFFFFF"/>
              </w:rPr>
              <w:t>Presence in schedules of Poisons Standard</w:t>
            </w:r>
          </w:p>
        </w:tc>
        <w:tc>
          <w:tcPr>
            <w:tcW w:w="1552" w:type="dxa"/>
            <w:shd w:val="clear" w:color="auto" w:fill="006FB5"/>
          </w:tcPr>
          <w:p w:rsidR="007D76BB" w:rsidRDefault="00D70D28">
            <w:pPr>
              <w:pStyle w:val="TableParagraph"/>
              <w:spacing w:before="194"/>
              <w:ind w:left="144" w:right="321"/>
              <w:rPr>
                <w:b/>
              </w:rPr>
            </w:pPr>
            <w:r>
              <w:rPr>
                <w:b/>
                <w:color w:val="FFFFFF"/>
              </w:rPr>
              <w:t>Where legally allowed to be sold</w:t>
            </w:r>
          </w:p>
        </w:tc>
      </w:tr>
      <w:tr w:rsidR="007D76BB">
        <w:trPr>
          <w:trHeight w:val="1216"/>
        </w:trPr>
        <w:tc>
          <w:tcPr>
            <w:tcW w:w="1697" w:type="dxa"/>
          </w:tcPr>
          <w:p w:rsidR="007D76BB" w:rsidRDefault="00D70D28">
            <w:pPr>
              <w:pStyle w:val="TableParagraph"/>
              <w:spacing w:before="191"/>
              <w:ind w:left="143" w:right="183"/>
              <w:rPr>
                <w:b/>
              </w:rPr>
            </w:pPr>
            <w:r>
              <w:rPr>
                <w:b/>
              </w:rPr>
              <w:t>Prohibited in particular sports</w:t>
            </w:r>
          </w:p>
        </w:tc>
        <w:tc>
          <w:tcPr>
            <w:tcW w:w="3828" w:type="dxa"/>
          </w:tcPr>
          <w:p w:rsidR="007D76BB" w:rsidRDefault="00D70D28">
            <w:pPr>
              <w:pStyle w:val="TableParagraph"/>
              <w:spacing w:before="191"/>
              <w:ind w:left="143"/>
            </w:pPr>
            <w:r>
              <w:t>Beta-blockers</w:t>
            </w:r>
          </w:p>
        </w:tc>
        <w:tc>
          <w:tcPr>
            <w:tcW w:w="1982" w:type="dxa"/>
          </w:tcPr>
          <w:p w:rsidR="007D76BB" w:rsidRDefault="00D70D28">
            <w:pPr>
              <w:pStyle w:val="TableParagraph"/>
              <w:spacing w:before="191"/>
              <w:ind w:left="143"/>
            </w:pPr>
            <w:r>
              <w:t>Schedule 4</w:t>
            </w:r>
          </w:p>
        </w:tc>
        <w:tc>
          <w:tcPr>
            <w:tcW w:w="1552" w:type="dxa"/>
          </w:tcPr>
          <w:p w:rsidR="007D76BB" w:rsidRDefault="00D70D28">
            <w:pPr>
              <w:pStyle w:val="TableParagraph"/>
              <w:spacing w:before="191"/>
              <w:ind w:left="144" w:right="146"/>
            </w:pPr>
            <w:r>
              <w:t>Pharmacy on prescription</w:t>
            </w:r>
          </w:p>
        </w:tc>
      </w:tr>
    </w:tbl>
    <w:p w:rsidR="007D76BB" w:rsidRDefault="00D70D28">
      <w:pPr>
        <w:pStyle w:val="BodyText"/>
        <w:spacing w:before="119"/>
        <w:ind w:left="197" w:right="613"/>
      </w:pPr>
      <w:r>
        <w:t>As outlined in Table 9, many substances included in the WADC Prohibited List are already included in a schedule to the Poisons Standard either explicitly or under scheduled drug classes [such as ‘androgenic steroidal agents’ (Schedule 4) or ‘</w:t>
      </w:r>
      <w:proofErr w:type="spellStart"/>
      <w:r>
        <w:t>alkoxyamfetamines</w:t>
      </w:r>
      <w:proofErr w:type="spellEnd"/>
      <w:r>
        <w:t xml:space="preserve">’ (Schedule 9)]. Those substances in the WADC Prohibited List that are not included in a schedule to the Poisons Standard appear to be from similar classes (or possess similar characteristics to other scheduled substances) and would likely meet the requirements to be a scheduled substance (but have not yet been the subject of an application to amend the Poisons standard – refer to </w:t>
      </w:r>
      <w:hyperlink w:anchor="_bookmark28" w:history="1">
        <w:r>
          <w:rPr>
            <w:color w:val="0000FF"/>
            <w:u w:val="single" w:color="0000FF"/>
          </w:rPr>
          <w:t>Poisons Standard</w:t>
        </w:r>
      </w:hyperlink>
      <w:r>
        <w:rPr>
          <w:color w:val="0000FF"/>
        </w:rPr>
        <w:t xml:space="preserve"> </w:t>
      </w:r>
      <w:hyperlink w:anchor="_bookmark28" w:history="1">
        <w:r>
          <w:rPr>
            <w:color w:val="0000FF"/>
            <w:u w:val="single" w:color="0000FF"/>
          </w:rPr>
          <w:t>substances</w:t>
        </w:r>
      </w:hyperlink>
      <w:r>
        <w:t>).</w:t>
      </w:r>
    </w:p>
    <w:p w:rsidR="007D76BB" w:rsidRDefault="00D70D28">
      <w:pPr>
        <w:pStyle w:val="BodyText"/>
        <w:spacing w:before="181"/>
        <w:ind w:left="197" w:right="736"/>
      </w:pPr>
      <w:r>
        <w:t>In addition to some prohibited substances posing serious health risks for athletes, the presence of a WADC prohibited substance in a supplement may result in an anti-doping rule violation for an athlete, whether its use was intentional or unintentional. Under the WAD Code’s strict liability principle, athletes are ultimately responsible for any substance found in their body, regardless of how it got there. Products containing a WADC prohibited substance can result in bans for athletes of up to four years.</w:t>
      </w:r>
    </w:p>
    <w:p w:rsidR="007D76BB" w:rsidRDefault="00D70D28">
      <w:pPr>
        <w:pStyle w:val="BodyText"/>
        <w:spacing w:before="181"/>
        <w:ind w:left="197" w:right="665"/>
      </w:pPr>
      <w:r>
        <w:t>The TGA received numerous submissions to the October-December 2019 consultation on sports supplements from individual Australian athletes who had suffered severe reputational and career damage from unknowingly consuming WADC prohibited substances in the sports supplements they consumed.</w:t>
      </w:r>
    </w:p>
    <w:p w:rsidR="007D76BB" w:rsidRDefault="00D70D28">
      <w:pPr>
        <w:pStyle w:val="BodyText"/>
        <w:spacing w:before="180"/>
        <w:ind w:left="197" w:right="694"/>
      </w:pPr>
      <w:r>
        <w:t>In 2017, an Australian athlete competing at the World Roller Games tested positive for 1</w:t>
      </w:r>
      <w:proofErr w:type="gramStart"/>
      <w:r>
        <w:t>,3</w:t>
      </w:r>
      <w:proofErr w:type="gramEnd"/>
      <w:r>
        <w:t xml:space="preserve">- </w:t>
      </w:r>
      <w:proofErr w:type="spellStart"/>
      <w:r>
        <w:t>Dimethylbutylamine</w:t>
      </w:r>
      <w:proofErr w:type="spellEnd"/>
      <w:r>
        <w:t xml:space="preserve"> (DMBA), a stimulant banned in competition under the WADA 2017 Prohibited List. The substance was detected in a sports supplement the athlete advised he was taking at the time of testing. DMBA was not explicitly named in the ingredients; however, it may have been in the supplement in the form of </w:t>
      </w:r>
      <w:proofErr w:type="spellStart"/>
      <w:r>
        <w:t>Pouchong</w:t>
      </w:r>
      <w:proofErr w:type="spellEnd"/>
      <w:r>
        <w:t xml:space="preserve"> Tea extract (AMP Citrate). The World Skate Doping Review Panel determined that the athlete did not intend to dope and therefore banned the athlete from competition for only one year, rather than the maximum penalty of 4 years (35).</w:t>
      </w:r>
    </w:p>
    <w:p w:rsidR="007D76BB" w:rsidRDefault="00A51832">
      <w:pPr>
        <w:pStyle w:val="BodyText"/>
        <w:spacing w:before="178"/>
        <w:ind w:left="197" w:right="654" w:hanging="1"/>
      </w:pPr>
      <w:hyperlink r:id="rId115">
        <w:r w:rsidR="00D70D28">
          <w:rPr>
            <w:color w:val="0000FF"/>
            <w:u w:val="single" w:color="0000FF"/>
          </w:rPr>
          <w:t>Sport Integrity Australia</w:t>
        </w:r>
        <w:r w:rsidR="00D70D28">
          <w:rPr>
            <w:color w:val="0000FF"/>
          </w:rPr>
          <w:t xml:space="preserve"> </w:t>
        </w:r>
      </w:hyperlink>
      <w:r w:rsidR="00D70D28">
        <w:t>[previously Australian Sports Anti-Doping Authority (ASADA)] administers the National Anti-Doping Scheme (NAD Scheme). They advise athletes that the sports supplement industry is poorly regulated and that the ingredient list of a product does not always match the product contents. Banned substances can be added deliberately during the manufacturing process, or added accidentally through contamination. It is for these reasons Sport Integrity Australia will not guarantee whether a specific supplement is safe to use.</w:t>
      </w:r>
    </w:p>
    <w:p w:rsidR="007D76BB" w:rsidRDefault="00D70D28">
      <w:pPr>
        <w:pStyle w:val="BodyText"/>
        <w:spacing w:before="1"/>
        <w:ind w:left="198" w:right="631"/>
      </w:pPr>
      <w:r>
        <w:t xml:space="preserve">ASADA’s long standing advice has been that no supplement is safe to use and athletes should not risk their careers by taking one </w:t>
      </w:r>
      <w:r>
        <w:lastRenderedPageBreak/>
        <w:t>(36).</w:t>
      </w:r>
    </w:p>
    <w:p w:rsidR="007D76BB" w:rsidRDefault="00A51832">
      <w:pPr>
        <w:pStyle w:val="BodyText"/>
        <w:spacing w:before="180"/>
        <w:ind w:left="198" w:right="632"/>
      </w:pPr>
      <w:hyperlink r:id="rId116">
        <w:r w:rsidR="00D70D28">
          <w:rPr>
            <w:color w:val="0000FF"/>
            <w:u w:val="single" w:color="0000FF"/>
          </w:rPr>
          <w:t>Sport Integrity Australia</w:t>
        </w:r>
        <w:r w:rsidR="00D70D28">
          <w:rPr>
            <w:color w:val="0000FF"/>
          </w:rPr>
          <w:t xml:space="preserve"> </w:t>
        </w:r>
      </w:hyperlink>
      <w:r w:rsidR="00D70D28">
        <w:t xml:space="preserve">also advises athletes that athletes should be aware that supplement manufacturers might use alternate names for WADC prohibited substances. For example, the WADC banned substance </w:t>
      </w:r>
      <w:proofErr w:type="spellStart"/>
      <w:r w:rsidR="00D70D28">
        <w:t>higenamine</w:t>
      </w:r>
      <w:proofErr w:type="spellEnd"/>
      <w:r w:rsidR="00D70D28">
        <w:t xml:space="preserve"> is a beta 2 agonist and can be known by at least 15 different names including: </w:t>
      </w:r>
      <w:proofErr w:type="spellStart"/>
      <w:r w:rsidR="00D70D28">
        <w:rPr>
          <w:i/>
        </w:rPr>
        <w:t>Tinospora</w:t>
      </w:r>
      <w:proofErr w:type="spellEnd"/>
      <w:r w:rsidR="00D70D28">
        <w:rPr>
          <w:i/>
        </w:rPr>
        <w:t xml:space="preserve"> </w:t>
      </w:r>
      <w:proofErr w:type="spellStart"/>
      <w:r w:rsidR="00D70D28">
        <w:rPr>
          <w:i/>
        </w:rPr>
        <w:t>crispa</w:t>
      </w:r>
      <w:proofErr w:type="spellEnd"/>
      <w:r w:rsidR="00D70D28">
        <w:t xml:space="preserve">, aconite root, </w:t>
      </w:r>
      <w:proofErr w:type="spellStart"/>
      <w:r w:rsidR="00D70D28">
        <w:rPr>
          <w:i/>
        </w:rPr>
        <w:t>Nelumbo</w:t>
      </w:r>
      <w:proofErr w:type="spellEnd"/>
      <w:r w:rsidR="00D70D28">
        <w:rPr>
          <w:i/>
        </w:rPr>
        <w:t xml:space="preserve"> </w:t>
      </w:r>
      <w:proofErr w:type="spellStart"/>
      <w:r w:rsidR="00D70D28">
        <w:rPr>
          <w:i/>
        </w:rPr>
        <w:t>nucifera</w:t>
      </w:r>
      <w:proofErr w:type="spellEnd"/>
      <w:r w:rsidR="00D70D28">
        <w:t xml:space="preserve">. As discussed in </w:t>
      </w:r>
      <w:hyperlink w:anchor="_bookmark11" w:history="1">
        <w:r w:rsidR="00D70D28">
          <w:t>‘</w:t>
        </w:r>
        <w:r w:rsidR="00D70D28">
          <w:rPr>
            <w:color w:val="0000FF"/>
            <w:u w:val="single" w:color="0000FF"/>
          </w:rPr>
          <w:t>Labelling requirements for food</w:t>
        </w:r>
      </w:hyperlink>
      <w:r w:rsidR="00D70D28">
        <w:t>’, use of different synonyms for ingredients is permissible under the Food Standards Code.</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8" w:right="607"/>
      </w:pPr>
      <w:r>
        <w:t xml:space="preserve">In routine drug testing in 2017, an Australian elite runner tested positive for </w:t>
      </w:r>
      <w:proofErr w:type="spellStart"/>
      <w:r>
        <w:t>higenamine</w:t>
      </w:r>
      <w:proofErr w:type="spellEnd"/>
      <w:r>
        <w:t xml:space="preserve">. After investigation by ASADA (now Sports Integrity Australia), it was found that a supplement the athlete declared she was taking at the time of testing contained </w:t>
      </w:r>
      <w:proofErr w:type="spellStart"/>
      <w:r>
        <w:t>higenamine</w:t>
      </w:r>
      <w:proofErr w:type="spellEnd"/>
      <w:r>
        <w:t>, which was labelled on the product as ‘</w:t>
      </w:r>
      <w:proofErr w:type="spellStart"/>
      <w:r>
        <w:t>Nardinia</w:t>
      </w:r>
      <w:proofErr w:type="spellEnd"/>
      <w:r>
        <w:t xml:space="preserve"> fruit extract’. The athlete was banned from competition for 9 months and missed her opportunity to compete at the 2018 Commonwealth games. The athlete advises that, “A positive test affects more than just you. It affects your team, your coach, your family. It’s not just the athlete that suffers, it’s everyone around them” </w:t>
      </w:r>
      <w:hyperlink w:anchor="_bookmark22" w:history="1">
        <w:r>
          <w:rPr>
            <w:position w:val="5"/>
            <w:sz w:val="14"/>
          </w:rPr>
          <w:t>7</w:t>
        </w:r>
      </w:hyperlink>
      <w:r>
        <w:t>.</w:t>
      </w:r>
    </w:p>
    <w:p w:rsidR="007D76BB" w:rsidRDefault="00D70D28">
      <w:pPr>
        <w:pStyle w:val="BodyText"/>
        <w:spacing w:before="182"/>
        <w:ind w:left="198" w:right="689"/>
      </w:pPr>
      <w:r>
        <w:t xml:space="preserve">The </w:t>
      </w:r>
      <w:hyperlink r:id="rId117">
        <w:r>
          <w:rPr>
            <w:color w:val="0000FF"/>
            <w:u w:val="single" w:color="0000FF"/>
          </w:rPr>
          <w:t>Australian Institute of Sport</w:t>
        </w:r>
        <w:r>
          <w:rPr>
            <w:color w:val="0000FF"/>
          </w:rPr>
          <w:t xml:space="preserve"> </w:t>
        </w:r>
      </w:hyperlink>
      <w:r>
        <w:t>(AIS) (37) advises that all athletes should be aware of the risks involved in taking supplements and provides an athlete guide to assist in their decision-making. The AIS’s ABCD System ranks sports foods and supplement ingredients into four groups according to scientific evidence and other practical considerations that determine whether a product is safe, permitted and effective in improving sports performance.</w:t>
      </w:r>
    </w:p>
    <w:p w:rsidR="007D76BB" w:rsidRDefault="00D70D28">
      <w:pPr>
        <w:pStyle w:val="BodyText"/>
        <w:spacing w:before="179"/>
        <w:ind w:left="197" w:right="720"/>
      </w:pPr>
      <w:r>
        <w:t>The AIS advises that multi-ingredient supplements (for example, products commonly marketed as ‘pre-workouts’) raise specific concerns. These products contain a long list of individual ingredients and, in some cases, the quantity of these ingredients are not stated on the label because the formulation is claimed to be a ‘proprietary blend’ over which the manufacturer has ownership. AIS concerns about these products include: the lack of an effective dose of some active ingredients (for example, inadequate amounts or poor timing of intake relative to exercise); potential for harmful interactions between ingredients; and the increased risk of inadvertent contamination due to the sourcing of ingredients from various producers. The AIS advises that athletes should not take any supplements without first consulting their Sports Doctor or Accredited Sports Dietitian.</w:t>
      </w:r>
    </w:p>
    <w:p w:rsidR="007D76BB" w:rsidRDefault="00D70D28">
      <w:pPr>
        <w:pStyle w:val="BodyText"/>
        <w:spacing w:before="181"/>
        <w:ind w:left="198" w:right="1014" w:hanging="1"/>
      </w:pPr>
      <w:r>
        <w:t xml:space="preserve">In 2018, the </w:t>
      </w:r>
      <w:hyperlink r:id="rId118">
        <w:r>
          <w:rPr>
            <w:color w:val="0000FF"/>
            <w:u w:val="single" w:color="0000FF"/>
          </w:rPr>
          <w:t>International Olympic Committee</w:t>
        </w:r>
        <w:r>
          <w:rPr>
            <w:color w:val="0000FF"/>
          </w:rPr>
          <w:t xml:space="preserve"> </w:t>
        </w:r>
      </w:hyperlink>
      <w:r>
        <w:t xml:space="preserve">(IOC) (38) </w:t>
      </w:r>
      <w:hyperlink r:id="rId119">
        <w:r>
          <w:t>released a consensus statement on</w:t>
        </w:r>
      </w:hyperlink>
      <w:r>
        <w:t xml:space="preserve"> </w:t>
      </w:r>
      <w:hyperlink r:id="rId120">
        <w:r>
          <w:t>dietary supplements and high-performance athlete</w:t>
        </w:r>
      </w:hyperlink>
      <w:r>
        <w:t>s:</w:t>
      </w:r>
    </w:p>
    <w:p w:rsidR="007D76BB" w:rsidRDefault="00D70D28">
      <w:pPr>
        <w:spacing w:before="180"/>
        <w:ind w:left="558" w:right="686"/>
        <w:rPr>
          <w:i/>
        </w:rPr>
      </w:pPr>
      <w:r>
        <w:rPr>
          <w:i/>
        </w:rPr>
        <w:t xml:space="preserve">“Supplements intended to enhance performance should be thoroughly </w:t>
      </w:r>
      <w:proofErr w:type="spellStart"/>
      <w:r>
        <w:rPr>
          <w:i/>
        </w:rPr>
        <w:t>trialled</w:t>
      </w:r>
      <w:proofErr w:type="spellEnd"/>
      <w:r>
        <w:rPr>
          <w:i/>
        </w:rPr>
        <w:t xml:space="preserve"> in training or simulated competition before being used in competition. Inadvertent ingestion of substances prohibited under the anti-doping codes that govern elite sport is a known risk of taking some supplements. Protection of the athlete's health and awareness of the potential for harm must be paramount; expert professional opinion and assistance is strongly advised before an athlete embarks on supplement use”.</w:t>
      </w:r>
    </w:p>
    <w:p w:rsidR="007D76BB" w:rsidRDefault="00D70D28">
      <w:pPr>
        <w:pStyle w:val="BodyText"/>
        <w:spacing w:before="178"/>
        <w:ind w:left="198" w:right="662"/>
      </w:pPr>
      <w:r>
        <w:t xml:space="preserve">It is a common misconception that only elite level athletes are subject to the NAD Scheme. The NAD Scheme, as outlined in the </w:t>
      </w:r>
      <w:hyperlink r:id="rId121">
        <w:r>
          <w:rPr>
            <w:color w:val="0000FF"/>
            <w:u w:val="single" w:color="0000FF"/>
          </w:rPr>
          <w:t>Sport Integrity Australia</w:t>
        </w:r>
        <w:r>
          <w:rPr>
            <w:color w:val="0000FF"/>
          </w:rPr>
          <w:t xml:space="preserve"> </w:t>
        </w:r>
      </w:hyperlink>
      <w:r>
        <w:t xml:space="preserve">Regulations, applies to a broad range of athletes. It captures any athlete who competes in a sport with an Anti-Doping policy. This includes recreational, national and international level athletes. </w:t>
      </w:r>
      <w:hyperlink r:id="rId122">
        <w:r>
          <w:rPr>
            <w:color w:val="0000FF"/>
            <w:u w:val="single" w:color="0000FF"/>
          </w:rPr>
          <w:t>Sport Integrity Australia</w:t>
        </w:r>
        <w:r>
          <w:rPr>
            <w:color w:val="0000FF"/>
          </w:rPr>
          <w:t xml:space="preserve"> </w:t>
        </w:r>
      </w:hyperlink>
      <w:r>
        <w:t xml:space="preserve">has Anti-Doping policies with 122 sporting administration bodies; this includes National Sporting </w:t>
      </w:r>
      <w:proofErr w:type="spellStart"/>
      <w:r>
        <w:t>Organisations</w:t>
      </w:r>
      <w:proofErr w:type="spellEnd"/>
      <w:r>
        <w:t xml:space="preserve">, Institutes of Sport and other sporting </w:t>
      </w:r>
      <w:proofErr w:type="spellStart"/>
      <w:r>
        <w:t>organisations</w:t>
      </w:r>
      <w:proofErr w:type="spellEnd"/>
      <w:r>
        <w:t>. All athletes including</w:t>
      </w:r>
    </w:p>
    <w:p w:rsidR="007D76BB" w:rsidRDefault="00D70D28">
      <w:pPr>
        <w:pStyle w:val="BodyText"/>
        <w:spacing w:before="1"/>
        <w:ind w:left="198" w:right="591"/>
      </w:pPr>
      <w:proofErr w:type="gramStart"/>
      <w:r>
        <w:t>local/recreational</w:t>
      </w:r>
      <w:proofErr w:type="gramEnd"/>
      <w:r>
        <w:t xml:space="preserve"> and junior athletes who participate under these </w:t>
      </w:r>
      <w:r>
        <w:lastRenderedPageBreak/>
        <w:t>bodies are subject to the Anti- Doping policy of that sport and as such the NAD Scheme.</w:t>
      </w:r>
    </w:p>
    <w:p w:rsidR="007D76BB" w:rsidRDefault="00D70D28">
      <w:pPr>
        <w:pStyle w:val="BodyText"/>
        <w:spacing w:before="180"/>
        <w:ind w:left="198" w:right="620"/>
      </w:pPr>
      <w:r>
        <w:t xml:space="preserve">In addition, a number of professions in Australia have strict anti- doping policies, the violation of which can be grounds for dismissal. In some jobs, such as road and rail transport, maritime and mining occupations, the law may prohibit a worker from being affected by any drugs—legal or illegal (39). The Australian </w:t>
      </w:r>
      <w:proofErr w:type="spellStart"/>
      <w:r>
        <w:t>Defence</w:t>
      </w:r>
      <w:proofErr w:type="spellEnd"/>
      <w:r>
        <w:t xml:space="preserve"> Force has a Prohibited Substance Testing Program to deter </w:t>
      </w:r>
      <w:proofErr w:type="spellStart"/>
      <w:r>
        <w:t>Defence</w:t>
      </w:r>
      <w:proofErr w:type="spellEnd"/>
      <w:r>
        <w:t xml:space="preserve"> members from using prohibited substances, with testing conducted on a random and a targeted basis. If personnel test positive for a WADC prohibited substance this can be grounds for dismissal (3).</w:t>
      </w:r>
    </w:p>
    <w:p w:rsidR="007D76BB" w:rsidRDefault="00D70D28">
      <w:pPr>
        <w:pStyle w:val="BodyText"/>
        <w:spacing w:before="179"/>
        <w:ind w:left="198" w:right="895"/>
      </w:pPr>
      <w:r>
        <w:t>The high correlation between substances included in the WADC Prohibited List and those in a Schedule to the Poisons Standard, combined with the resulting increased risk posed by these</w:t>
      </w:r>
    </w:p>
    <w:p w:rsidR="007D76BB" w:rsidRDefault="00D70D28">
      <w:pPr>
        <w:pStyle w:val="BodyText"/>
        <w:spacing w:before="5"/>
        <w:rPr>
          <w:sz w:val="20"/>
        </w:rPr>
      </w:pPr>
      <w:r>
        <w:rPr>
          <w:noProof/>
          <w:lang w:val="en-AU" w:eastAsia="en-AU"/>
        </w:rPr>
        <mc:AlternateContent>
          <mc:Choice Requires="wps">
            <w:drawing>
              <wp:anchor distT="0" distB="0" distL="0" distR="0" simplePos="0" relativeHeight="251670528" behindDoc="1" locked="0" layoutInCell="1" allowOverlap="1">
                <wp:simplePos x="0" y="0"/>
                <wp:positionH relativeFrom="page">
                  <wp:posOffset>900430</wp:posOffset>
                </wp:positionH>
                <wp:positionV relativeFrom="paragraph">
                  <wp:posOffset>180975</wp:posOffset>
                </wp:positionV>
                <wp:extent cx="1828800" cy="1270"/>
                <wp:effectExtent l="0" t="0" r="0" b="0"/>
                <wp:wrapTopAndBottom/>
                <wp:docPr id="422"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F49DF" id="Freeform 278" o:spid="_x0000_s1026" style="position:absolute;margin-left:70.9pt;margin-top:14.25pt;width:2in;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" path="m,l2880,e" filled="f" strokeweight=".6pt">
                <v:path arrowok="t" o:connecttype="custom" o:connectlocs="0,0;1828800,0" o:connectangles="0,0"/>
                <w10:wrap type="topAndBottom" anchorx="page"/>
              </v:shape>
            </w:pict>
          </mc:Fallback>
        </mc:AlternateContent>
      </w:r>
    </w:p>
    <w:p w:rsidR="007D76BB" w:rsidRDefault="00D70D28">
      <w:pPr>
        <w:spacing w:before="71"/>
        <w:ind w:left="198"/>
        <w:rPr>
          <w:sz w:val="20"/>
        </w:rPr>
      </w:pPr>
      <w:bookmarkStart w:id="56" w:name="_bookmark22"/>
      <w:bookmarkEnd w:id="56"/>
      <w:r>
        <w:rPr>
          <w:position w:val="5"/>
          <w:sz w:val="13"/>
        </w:rPr>
        <w:t xml:space="preserve">7 </w:t>
      </w:r>
      <w:hyperlink r:id="rId123">
        <w:r>
          <w:rPr>
            <w:color w:val="0000FF"/>
            <w:sz w:val="20"/>
            <w:u w:val="single" w:color="0000FF"/>
          </w:rPr>
          <w:t>https://www.sportintegrity.gov.au/what-we-do/supplements-sport</w:t>
        </w:r>
      </w:hyperlink>
    </w:p>
    <w:p w:rsidR="007D76BB" w:rsidRDefault="007D76BB">
      <w:pPr>
        <w:rPr>
          <w:sz w:val="20"/>
        </w:r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8" w:right="1373"/>
      </w:pPr>
      <w:proofErr w:type="gramStart"/>
      <w:r>
        <w:t>substances</w:t>
      </w:r>
      <w:proofErr w:type="gramEnd"/>
      <w:r>
        <w:t xml:space="preserve"> to all athletes and other consumers, supports that these products should be subjected to an appropriate level of regulatory control to ensure their safety and quality.</w:t>
      </w:r>
    </w:p>
    <w:p w:rsidR="007D76BB" w:rsidRDefault="007D76BB">
      <w:pPr>
        <w:pStyle w:val="BodyText"/>
        <w:spacing w:before="6"/>
        <w:rPr>
          <w:sz w:val="20"/>
        </w:rPr>
      </w:pPr>
    </w:p>
    <w:p w:rsidR="007D76BB" w:rsidRDefault="00D70D28">
      <w:pPr>
        <w:pStyle w:val="Heading5"/>
      </w:pPr>
      <w:bookmarkStart w:id="57" w:name="Analysis_of_ingredients_in_sports_supple"/>
      <w:bookmarkStart w:id="58" w:name="_bookmark23"/>
      <w:bookmarkEnd w:id="57"/>
      <w:bookmarkEnd w:id="58"/>
      <w:r>
        <w:rPr>
          <w:color w:val="001422"/>
        </w:rPr>
        <w:t>Analysis of ingredients in sports supplements available in Australia</w:t>
      </w:r>
    </w:p>
    <w:p w:rsidR="007D76BB" w:rsidRDefault="00D70D28">
      <w:pPr>
        <w:pStyle w:val="BodyText"/>
        <w:spacing w:before="120"/>
        <w:ind w:left="198" w:right="739"/>
      </w:pPr>
      <w:r>
        <w:t xml:space="preserve">There have been many studies into the presence of undeclared substances in food sports supplements, both within Australia and internationally. Many of these studies have found that this product category possesses a concerning rate of either intentional or unintentional adulteration, often with substances such as stimulants, </w:t>
      </w:r>
      <w:proofErr w:type="spellStart"/>
      <w:r>
        <w:t>oestrogenic</w:t>
      </w:r>
      <w:proofErr w:type="spellEnd"/>
      <w:r>
        <w:t xml:space="preserve"> agents, anabolic steroidal agents and diuretics (8; 10; 11; 12; 18; 19; 27). Studies into the potential safety of different compounds (such as BMPEA (40), SARMs (41) and others), as well as sports supplements more generally note the lack of safety data for many substances found to be commonly in use (4; 42; 43; 44; 5).</w:t>
      </w:r>
    </w:p>
    <w:p w:rsidR="007D76BB" w:rsidRDefault="00D70D28">
      <w:pPr>
        <w:pStyle w:val="BodyText"/>
        <w:spacing w:before="181"/>
        <w:ind w:left="198" w:right="903"/>
      </w:pPr>
      <w:r>
        <w:t>These studies (outlined below) demonstrate the actual risk to consumers of some food sports supplements containing undeclared high-risk ingredients, in particular, substances that are included in a schedule to the Poisons Standard. The availability of these substances in food means that consumers are exposed to such substances without the required medical management to monitor the significant risks they pose to the individual.</w:t>
      </w:r>
    </w:p>
    <w:p w:rsidR="007D76BB" w:rsidRDefault="00D70D28">
      <w:pPr>
        <w:pStyle w:val="Heading7"/>
        <w:spacing w:before="181"/>
      </w:pPr>
      <w:r>
        <w:t>TGA Laboratory testing</w:t>
      </w:r>
    </w:p>
    <w:p w:rsidR="007D76BB" w:rsidRDefault="00D70D28">
      <w:pPr>
        <w:pStyle w:val="BodyText"/>
        <w:spacing w:before="179"/>
        <w:ind w:left="198" w:right="760"/>
      </w:pPr>
      <w:r>
        <w:t>The TGA laboratories tested 10 samples of seven different imported sports supplements in late 2018/early 2019. The products were all found to contain scheduled substances, including:</w:t>
      </w:r>
    </w:p>
    <w:p w:rsidR="007D76BB" w:rsidRDefault="00D70D28">
      <w:pPr>
        <w:pStyle w:val="ListParagraph"/>
        <w:numPr>
          <w:ilvl w:val="0"/>
          <w:numId w:val="72"/>
        </w:numPr>
        <w:tabs>
          <w:tab w:val="left" w:pos="558"/>
          <w:tab w:val="left" w:pos="559"/>
        </w:tabs>
        <w:ind w:left="558"/>
      </w:pPr>
      <w:r>
        <w:t>Schedule 4 substances (prescription-only</w:t>
      </w:r>
      <w:r>
        <w:rPr>
          <w:spacing w:val="-5"/>
        </w:rPr>
        <w:t xml:space="preserve"> </w:t>
      </w:r>
      <w:r>
        <w:t>medicines):</w:t>
      </w:r>
    </w:p>
    <w:p w:rsidR="007D76BB" w:rsidRDefault="00D70D28">
      <w:pPr>
        <w:pStyle w:val="ListParagraph"/>
        <w:numPr>
          <w:ilvl w:val="1"/>
          <w:numId w:val="72"/>
        </w:numPr>
        <w:tabs>
          <w:tab w:val="left" w:pos="1278"/>
          <w:tab w:val="left" w:pos="1279"/>
        </w:tabs>
        <w:spacing w:before="179"/>
        <w:ind w:hanging="361"/>
      </w:pPr>
      <w:proofErr w:type="spellStart"/>
      <w:r>
        <w:t>synephrine</w:t>
      </w:r>
      <w:proofErr w:type="spellEnd"/>
      <w:r>
        <w:rPr>
          <w:spacing w:val="-2"/>
        </w:rPr>
        <w:t xml:space="preserve"> </w:t>
      </w:r>
      <w:r>
        <w:t>(</w:t>
      </w:r>
      <w:proofErr w:type="spellStart"/>
      <w:r>
        <w:t>oxedrine</w:t>
      </w:r>
      <w:proofErr w:type="spellEnd"/>
      <w:r>
        <w:t>)</w:t>
      </w:r>
    </w:p>
    <w:p w:rsidR="007D76BB" w:rsidRDefault="00D70D28">
      <w:pPr>
        <w:pStyle w:val="ListParagraph"/>
        <w:numPr>
          <w:ilvl w:val="1"/>
          <w:numId w:val="72"/>
        </w:numPr>
        <w:tabs>
          <w:tab w:val="left" w:pos="1278"/>
          <w:tab w:val="left" w:pos="1279"/>
        </w:tabs>
        <w:spacing w:before="181"/>
        <w:ind w:hanging="361"/>
      </w:pPr>
      <w:r>
        <w:t>4-hydroxyephedrine</w:t>
      </w:r>
    </w:p>
    <w:p w:rsidR="007D76BB" w:rsidRDefault="00D70D28">
      <w:pPr>
        <w:pStyle w:val="ListParagraph"/>
        <w:numPr>
          <w:ilvl w:val="1"/>
          <w:numId w:val="72"/>
        </w:numPr>
        <w:tabs>
          <w:tab w:val="left" w:pos="1278"/>
          <w:tab w:val="left" w:pos="1279"/>
        </w:tabs>
        <w:spacing w:before="179"/>
        <w:ind w:hanging="361"/>
      </w:pPr>
      <w:r>
        <w:t>theophylline</w:t>
      </w:r>
    </w:p>
    <w:p w:rsidR="007D76BB" w:rsidRDefault="00D70D28">
      <w:pPr>
        <w:pStyle w:val="ListParagraph"/>
        <w:numPr>
          <w:ilvl w:val="1"/>
          <w:numId w:val="72"/>
        </w:numPr>
        <w:tabs>
          <w:tab w:val="left" w:pos="1278"/>
          <w:tab w:val="left" w:pos="1279"/>
        </w:tabs>
        <w:spacing w:before="181"/>
        <w:ind w:hanging="361"/>
      </w:pPr>
      <w:proofErr w:type="spellStart"/>
      <w:r>
        <w:t>yohimbine</w:t>
      </w:r>
      <w:proofErr w:type="spellEnd"/>
    </w:p>
    <w:p w:rsidR="007D76BB" w:rsidRDefault="00D70D28">
      <w:pPr>
        <w:pStyle w:val="ListParagraph"/>
        <w:numPr>
          <w:ilvl w:val="1"/>
          <w:numId w:val="72"/>
        </w:numPr>
        <w:tabs>
          <w:tab w:val="left" w:pos="1277"/>
          <w:tab w:val="left" w:pos="1278"/>
        </w:tabs>
        <w:spacing w:before="179"/>
        <w:ind w:left="1277" w:hanging="361"/>
      </w:pPr>
      <w:proofErr w:type="spellStart"/>
      <w:r>
        <w:t>deanol</w:t>
      </w:r>
      <w:proofErr w:type="spellEnd"/>
      <w:r>
        <w:rPr>
          <w:spacing w:val="-2"/>
        </w:rPr>
        <w:t xml:space="preserve"> </w:t>
      </w:r>
      <w:r>
        <w:t>(</w:t>
      </w:r>
      <w:proofErr w:type="spellStart"/>
      <w:r>
        <w:t>diethylaminoethanol</w:t>
      </w:r>
      <w:proofErr w:type="spellEnd"/>
      <w:r>
        <w:t>)</w:t>
      </w:r>
    </w:p>
    <w:p w:rsidR="007D76BB" w:rsidRDefault="00D70D28">
      <w:pPr>
        <w:pStyle w:val="ListParagraph"/>
        <w:numPr>
          <w:ilvl w:val="1"/>
          <w:numId w:val="72"/>
        </w:numPr>
        <w:tabs>
          <w:tab w:val="left" w:pos="1277"/>
          <w:tab w:val="left" w:pos="1278"/>
        </w:tabs>
        <w:spacing w:before="181"/>
        <w:ind w:left="1277" w:hanging="361"/>
      </w:pPr>
      <w:r>
        <w:t>levodopa</w:t>
      </w:r>
    </w:p>
    <w:p w:rsidR="007D76BB" w:rsidRDefault="00D70D28">
      <w:pPr>
        <w:pStyle w:val="ListParagraph"/>
        <w:numPr>
          <w:ilvl w:val="1"/>
          <w:numId w:val="72"/>
        </w:numPr>
        <w:tabs>
          <w:tab w:val="left" w:pos="1325"/>
          <w:tab w:val="left" w:pos="1326"/>
        </w:tabs>
        <w:spacing w:before="179"/>
        <w:ind w:left="1277" w:right="615"/>
      </w:pPr>
      <w:r>
        <w:tab/>
        <w:t>5-hydroxytryptophan (S4 as a derivative of tryptophan when present in &gt;100mg per daily dose, calculated as equivalent weight of</w:t>
      </w:r>
      <w:r>
        <w:rPr>
          <w:spacing w:val="-10"/>
        </w:rPr>
        <w:t xml:space="preserve"> </w:t>
      </w:r>
      <w:r>
        <w:t>tryptophan).</w:t>
      </w:r>
    </w:p>
    <w:p w:rsidR="007D76BB" w:rsidRDefault="00D70D28">
      <w:pPr>
        <w:pStyle w:val="ListParagraph"/>
        <w:numPr>
          <w:ilvl w:val="0"/>
          <w:numId w:val="72"/>
        </w:numPr>
        <w:tabs>
          <w:tab w:val="left" w:pos="557"/>
          <w:tab w:val="left" w:pos="558"/>
        </w:tabs>
        <w:ind w:left="557"/>
      </w:pPr>
      <w:r>
        <w:t>Schedule 9 prohibited</w:t>
      </w:r>
      <w:r>
        <w:rPr>
          <w:spacing w:val="-4"/>
        </w:rPr>
        <w:t xml:space="preserve"> </w:t>
      </w:r>
      <w:r>
        <w:t>substance:</w:t>
      </w:r>
    </w:p>
    <w:p w:rsidR="007D76BB" w:rsidRDefault="00D70D28">
      <w:pPr>
        <w:pStyle w:val="ListParagraph"/>
        <w:numPr>
          <w:ilvl w:val="1"/>
          <w:numId w:val="72"/>
        </w:numPr>
        <w:tabs>
          <w:tab w:val="left" w:pos="1277"/>
          <w:tab w:val="left" w:pos="1278"/>
        </w:tabs>
        <w:spacing w:before="182"/>
        <w:ind w:left="1277" w:hanging="361"/>
      </w:pPr>
      <w:proofErr w:type="spellStart"/>
      <w:r>
        <w:t>phenibut</w:t>
      </w:r>
      <w:proofErr w:type="spellEnd"/>
    </w:p>
    <w:p w:rsidR="007D76BB" w:rsidRDefault="00D70D28">
      <w:pPr>
        <w:pStyle w:val="ListParagraph"/>
        <w:numPr>
          <w:ilvl w:val="0"/>
          <w:numId w:val="72"/>
        </w:numPr>
        <w:tabs>
          <w:tab w:val="left" w:pos="557"/>
          <w:tab w:val="left" w:pos="558"/>
        </w:tabs>
        <w:spacing w:before="178"/>
        <w:ind w:left="557"/>
      </w:pPr>
      <w:r>
        <w:t>Schedule 10 substance (dangerous/prohibited</w:t>
      </w:r>
      <w:r>
        <w:rPr>
          <w:spacing w:val="-5"/>
        </w:rPr>
        <w:t xml:space="preserve"> </w:t>
      </w:r>
      <w:r>
        <w:t>substances):</w:t>
      </w:r>
    </w:p>
    <w:p w:rsidR="007D76BB" w:rsidRDefault="00D70D28">
      <w:pPr>
        <w:pStyle w:val="ListParagraph"/>
        <w:numPr>
          <w:ilvl w:val="1"/>
          <w:numId w:val="72"/>
        </w:numPr>
        <w:tabs>
          <w:tab w:val="left" w:pos="1277"/>
          <w:tab w:val="left" w:pos="1278"/>
        </w:tabs>
        <w:spacing w:before="182"/>
        <w:ind w:left="1277" w:hanging="361"/>
      </w:pPr>
      <w:r>
        <w:t>1,3-dimethylamylamine</w:t>
      </w:r>
      <w:r>
        <w:rPr>
          <w:spacing w:val="-11"/>
        </w:rPr>
        <w:t xml:space="preserve"> </w:t>
      </w:r>
      <w:r>
        <w:t>(1,3-DMAA)</w:t>
      </w:r>
    </w:p>
    <w:p w:rsidR="007D76BB" w:rsidRDefault="00D70D28">
      <w:pPr>
        <w:pStyle w:val="ListParagraph"/>
        <w:numPr>
          <w:ilvl w:val="1"/>
          <w:numId w:val="72"/>
        </w:numPr>
        <w:tabs>
          <w:tab w:val="left" w:pos="1276"/>
          <w:tab w:val="left" w:pos="1277"/>
        </w:tabs>
        <w:spacing w:before="178"/>
        <w:ind w:left="1276" w:hanging="361"/>
      </w:pPr>
      <w:r>
        <w:t>1,4-dimethylbutylamine</w:t>
      </w:r>
      <w:r>
        <w:rPr>
          <w:spacing w:val="-10"/>
        </w:rPr>
        <w:t xml:space="preserve"> </w:t>
      </w:r>
      <w:r>
        <w:t>(1,4-DMBA)</w:t>
      </w:r>
    </w:p>
    <w:p w:rsidR="007D76BB" w:rsidRDefault="00D70D28">
      <w:pPr>
        <w:pStyle w:val="BodyText"/>
        <w:spacing w:before="179"/>
        <w:ind w:left="196" w:right="597"/>
      </w:pPr>
      <w:r>
        <w:lastRenderedPageBreak/>
        <w:t>Most, but not all, the scheduled ingredients were listed as ingredients on the product label, albeit sometimes as synonyms. Despite the presence of illegal substances, the ambiguity of the products’ status in law as either food or therapeutic goods has protracted any potential legal action by the TGA.</w:t>
      </w:r>
    </w:p>
    <w:p w:rsidR="007D76BB" w:rsidRDefault="00D70D28">
      <w:pPr>
        <w:pStyle w:val="BodyText"/>
        <w:spacing w:before="181"/>
        <w:ind w:left="196" w:right="622"/>
      </w:pPr>
      <w:r>
        <w:t>Other studies on products within Australia have found rates of up to 19% of products containing substances banned in sport (2) and another study found 16% of products reviewed to contain WADC banned substances that were not declared on the product label (45). These studies</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7" w:right="1236"/>
      </w:pPr>
      <w:r>
        <w:t>(</w:t>
      </w:r>
      <w:proofErr w:type="gramStart"/>
      <w:r>
        <w:t>outlined</w:t>
      </w:r>
      <w:proofErr w:type="gramEnd"/>
      <w:r>
        <w:t xml:space="preserve"> below) demonstrate the consumer health risk posed by some sports available in Australia containing high-risk ingredients.</w:t>
      </w:r>
    </w:p>
    <w:p w:rsidR="007D76BB" w:rsidRDefault="00D70D28">
      <w:pPr>
        <w:pStyle w:val="Heading7"/>
        <w:ind w:left="197"/>
        <w:rPr>
          <w:b w:val="0"/>
        </w:rPr>
      </w:pPr>
      <w:r>
        <w:t xml:space="preserve">LGC study (2016) </w:t>
      </w:r>
      <w:r>
        <w:rPr>
          <w:b w:val="0"/>
        </w:rPr>
        <w:t>(2)</w:t>
      </w:r>
    </w:p>
    <w:p w:rsidR="007D76BB" w:rsidRDefault="00D70D28">
      <w:pPr>
        <w:pStyle w:val="BodyText"/>
        <w:spacing w:before="182"/>
        <w:ind w:left="197" w:right="816" w:hanging="1"/>
      </w:pPr>
      <w:r>
        <w:t>In 2016, LGC</w:t>
      </w:r>
      <w:r>
        <w:rPr>
          <w:b/>
        </w:rPr>
        <w:t xml:space="preserve">, </w:t>
      </w:r>
      <w:r>
        <w:t xml:space="preserve">an international life sciences measurements and testing company, </w:t>
      </w:r>
      <w:proofErr w:type="spellStart"/>
      <w:r>
        <w:t>analysed</w:t>
      </w:r>
      <w:proofErr w:type="spellEnd"/>
      <w:r>
        <w:t xml:space="preserve"> 67 market-leading sports supplements available in Australia from a range of internet sites and retail stores. Products known to be part of an existing testing program were excluded from the survey. The products were selected from a range of categories and a variety of presentations such as bars, capsules, gels, liquids, powders and tablets.</w:t>
      </w:r>
    </w:p>
    <w:p w:rsidR="007D76BB" w:rsidRDefault="00D70D28">
      <w:pPr>
        <w:pStyle w:val="BodyText"/>
        <w:spacing w:before="179"/>
        <w:ind w:left="197"/>
      </w:pPr>
      <w:r>
        <w:t>Findings included:</w:t>
      </w:r>
    </w:p>
    <w:p w:rsidR="007D76BB" w:rsidRDefault="00D70D28">
      <w:pPr>
        <w:pStyle w:val="ListParagraph"/>
        <w:numPr>
          <w:ilvl w:val="0"/>
          <w:numId w:val="72"/>
        </w:numPr>
        <w:tabs>
          <w:tab w:val="left" w:pos="557"/>
          <w:tab w:val="left" w:pos="558"/>
        </w:tabs>
        <w:spacing w:before="181"/>
        <w:ind w:left="557" w:right="1172"/>
      </w:pPr>
      <w:r>
        <w:t>of the 67 products tested, 13 (19%) contained one or more substances which would be considered prohibited within</w:t>
      </w:r>
      <w:r>
        <w:rPr>
          <w:spacing w:val="-5"/>
        </w:rPr>
        <w:t xml:space="preserve"> </w:t>
      </w:r>
      <w:r>
        <w:t>sport</w:t>
      </w:r>
    </w:p>
    <w:p w:rsidR="007D76BB" w:rsidRDefault="00D70D28">
      <w:pPr>
        <w:pStyle w:val="ListParagraph"/>
        <w:numPr>
          <w:ilvl w:val="0"/>
          <w:numId w:val="72"/>
        </w:numPr>
        <w:tabs>
          <w:tab w:val="left" w:pos="557"/>
          <w:tab w:val="left" w:pos="558"/>
        </w:tabs>
        <w:ind w:left="557" w:right="1106"/>
      </w:pPr>
      <w:r>
        <w:t>the stimulant 1,3-dimethylbutylamine (AMP Citrate) was present in 7 products (10% of findings)</w:t>
      </w:r>
    </w:p>
    <w:p w:rsidR="007D76BB" w:rsidRDefault="00D70D28">
      <w:pPr>
        <w:pStyle w:val="ListParagraph"/>
        <w:numPr>
          <w:ilvl w:val="0"/>
          <w:numId w:val="72"/>
        </w:numPr>
        <w:tabs>
          <w:tab w:val="left" w:pos="557"/>
          <w:tab w:val="left" w:pos="558"/>
        </w:tabs>
        <w:ind w:left="557"/>
      </w:pPr>
      <w:r>
        <w:t>anabolic steroids were present in 25% of</w:t>
      </w:r>
      <w:r>
        <w:rPr>
          <w:spacing w:val="-7"/>
        </w:rPr>
        <w:t xml:space="preserve"> </w:t>
      </w:r>
      <w:r>
        <w:t>products</w:t>
      </w:r>
    </w:p>
    <w:p w:rsidR="007D76BB" w:rsidRDefault="00D70D28">
      <w:pPr>
        <w:pStyle w:val="ListParagraph"/>
        <w:numPr>
          <w:ilvl w:val="0"/>
          <w:numId w:val="72"/>
        </w:numPr>
        <w:tabs>
          <w:tab w:val="left" w:pos="557"/>
          <w:tab w:val="left" w:pos="559"/>
        </w:tabs>
        <w:spacing w:before="179"/>
        <w:ind w:left="558" w:right="630"/>
      </w:pPr>
      <w:r>
        <w:t xml:space="preserve">two products (pre-workout and weight management products) were found to contain the </w:t>
      </w:r>
      <w:proofErr w:type="spellStart"/>
      <w:r>
        <w:t>unlabelled</w:t>
      </w:r>
      <w:proofErr w:type="spellEnd"/>
      <w:r>
        <w:t xml:space="preserve"> stimulants 1,3-dimethylbutylamine and </w:t>
      </w:r>
      <w:proofErr w:type="spellStart"/>
      <w:r>
        <w:t>methylhexeanamine</w:t>
      </w:r>
      <w:proofErr w:type="spellEnd"/>
      <w:r>
        <w:t xml:space="preserve"> at such high levels that they were considered to pose a significant health risk to athletes and a significant risk of failing a doping</w:t>
      </w:r>
      <w:r>
        <w:rPr>
          <w:spacing w:val="-5"/>
        </w:rPr>
        <w:t xml:space="preserve"> </w:t>
      </w:r>
      <w:r>
        <w:t>test</w:t>
      </w:r>
    </w:p>
    <w:p w:rsidR="007D76BB" w:rsidRDefault="00D70D28">
      <w:pPr>
        <w:pStyle w:val="BodyText"/>
        <w:spacing w:before="180"/>
        <w:ind w:left="198" w:right="992"/>
      </w:pPr>
      <w:r>
        <w:t>The substances identified belonged to either stimulants (75% of findings) or anabolic agents (25% of findings). These substances are listed below:</w:t>
      </w:r>
    </w:p>
    <w:p w:rsidR="007D76BB" w:rsidRDefault="00D70D28">
      <w:pPr>
        <w:pStyle w:val="BodyText"/>
        <w:spacing w:before="181"/>
        <w:ind w:left="198"/>
      </w:pPr>
      <w:r>
        <w:t>Stimulants found in products tested:</w:t>
      </w:r>
    </w:p>
    <w:p w:rsidR="007D76BB" w:rsidRDefault="00D70D28">
      <w:pPr>
        <w:pStyle w:val="ListParagraph"/>
        <w:numPr>
          <w:ilvl w:val="0"/>
          <w:numId w:val="72"/>
        </w:numPr>
        <w:tabs>
          <w:tab w:val="left" w:pos="558"/>
          <w:tab w:val="left" w:pos="559"/>
        </w:tabs>
        <w:spacing w:before="178"/>
        <w:ind w:left="558"/>
      </w:pPr>
      <w:r>
        <w:t>1,3-dimethylbutylamine</w:t>
      </w:r>
    </w:p>
    <w:p w:rsidR="007D76BB" w:rsidRDefault="00D70D28">
      <w:pPr>
        <w:pStyle w:val="ListParagraph"/>
        <w:numPr>
          <w:ilvl w:val="0"/>
          <w:numId w:val="72"/>
        </w:numPr>
        <w:tabs>
          <w:tab w:val="left" w:pos="558"/>
          <w:tab w:val="left" w:pos="559"/>
        </w:tabs>
        <w:spacing w:before="182"/>
        <w:ind w:left="558"/>
      </w:pPr>
      <w:r>
        <w:t>Methamphetamine</w:t>
      </w:r>
    </w:p>
    <w:p w:rsidR="007D76BB" w:rsidRDefault="00D70D28">
      <w:pPr>
        <w:pStyle w:val="ListParagraph"/>
        <w:numPr>
          <w:ilvl w:val="0"/>
          <w:numId w:val="72"/>
        </w:numPr>
        <w:tabs>
          <w:tab w:val="left" w:pos="558"/>
          <w:tab w:val="left" w:pos="559"/>
        </w:tabs>
        <w:spacing w:before="178"/>
        <w:ind w:left="558"/>
      </w:pPr>
      <w:proofErr w:type="spellStart"/>
      <w:r>
        <w:t>Methylephedrine</w:t>
      </w:r>
      <w:proofErr w:type="spellEnd"/>
    </w:p>
    <w:p w:rsidR="007D76BB" w:rsidRDefault="00D70D28">
      <w:pPr>
        <w:pStyle w:val="ListParagraph"/>
        <w:numPr>
          <w:ilvl w:val="0"/>
          <w:numId w:val="72"/>
        </w:numPr>
        <w:tabs>
          <w:tab w:val="left" w:pos="558"/>
          <w:tab w:val="left" w:pos="559"/>
        </w:tabs>
        <w:spacing w:before="182"/>
        <w:ind w:left="558"/>
      </w:pPr>
      <w:proofErr w:type="spellStart"/>
      <w:r>
        <w:t>Methylhexaneamine</w:t>
      </w:r>
      <w:proofErr w:type="spellEnd"/>
    </w:p>
    <w:p w:rsidR="007D76BB" w:rsidRDefault="00D70D28">
      <w:pPr>
        <w:pStyle w:val="ListParagraph"/>
        <w:numPr>
          <w:ilvl w:val="0"/>
          <w:numId w:val="72"/>
        </w:numPr>
        <w:tabs>
          <w:tab w:val="left" w:pos="559"/>
          <w:tab w:val="left" w:pos="560"/>
        </w:tabs>
        <w:spacing w:before="179"/>
        <w:ind w:left="559"/>
      </w:pPr>
      <w:proofErr w:type="spellStart"/>
      <w:r>
        <w:t>Nopseudoephedrine</w:t>
      </w:r>
      <w:proofErr w:type="spellEnd"/>
    </w:p>
    <w:p w:rsidR="007D76BB" w:rsidRDefault="00D70D28">
      <w:pPr>
        <w:pStyle w:val="ListParagraph"/>
        <w:numPr>
          <w:ilvl w:val="0"/>
          <w:numId w:val="72"/>
        </w:numPr>
        <w:tabs>
          <w:tab w:val="left" w:pos="559"/>
          <w:tab w:val="left" w:pos="560"/>
        </w:tabs>
        <w:spacing w:before="181"/>
        <w:ind w:left="559"/>
      </w:pPr>
      <w:proofErr w:type="spellStart"/>
      <w:r>
        <w:t>Oxilofrine</w:t>
      </w:r>
      <w:proofErr w:type="spellEnd"/>
    </w:p>
    <w:p w:rsidR="007D76BB" w:rsidRDefault="00D70D28">
      <w:pPr>
        <w:pStyle w:val="ListParagraph"/>
        <w:numPr>
          <w:ilvl w:val="0"/>
          <w:numId w:val="72"/>
        </w:numPr>
        <w:tabs>
          <w:tab w:val="left" w:pos="559"/>
          <w:tab w:val="left" w:pos="560"/>
        </w:tabs>
        <w:spacing w:before="179"/>
        <w:ind w:left="559"/>
      </w:pPr>
      <w:proofErr w:type="spellStart"/>
      <w:r>
        <w:t>Selegiline</w:t>
      </w:r>
      <w:proofErr w:type="spellEnd"/>
    </w:p>
    <w:p w:rsidR="007D76BB" w:rsidRDefault="00D70D28">
      <w:pPr>
        <w:pStyle w:val="ListParagraph"/>
        <w:numPr>
          <w:ilvl w:val="0"/>
          <w:numId w:val="72"/>
        </w:numPr>
        <w:tabs>
          <w:tab w:val="left" w:pos="559"/>
          <w:tab w:val="left" w:pos="560"/>
        </w:tabs>
        <w:spacing w:before="181"/>
        <w:ind w:left="559"/>
      </w:pPr>
      <w:r>
        <w:t>Strychnine</w:t>
      </w:r>
    </w:p>
    <w:p w:rsidR="007D76BB" w:rsidRDefault="00D70D28">
      <w:pPr>
        <w:pStyle w:val="ListParagraph"/>
        <w:numPr>
          <w:ilvl w:val="0"/>
          <w:numId w:val="72"/>
        </w:numPr>
        <w:tabs>
          <w:tab w:val="left" w:pos="559"/>
          <w:tab w:val="left" w:pos="560"/>
        </w:tabs>
        <w:spacing w:before="179"/>
        <w:ind w:left="559"/>
      </w:pPr>
      <w:r>
        <w:t>Anabolic agents found in products</w:t>
      </w:r>
      <w:r>
        <w:rPr>
          <w:spacing w:val="-6"/>
        </w:rPr>
        <w:t xml:space="preserve"> </w:t>
      </w:r>
      <w:r>
        <w:t>tested:</w:t>
      </w:r>
    </w:p>
    <w:p w:rsidR="007D76BB" w:rsidRDefault="00D70D28">
      <w:pPr>
        <w:pStyle w:val="ListParagraph"/>
        <w:numPr>
          <w:ilvl w:val="0"/>
          <w:numId w:val="72"/>
        </w:numPr>
        <w:tabs>
          <w:tab w:val="left" w:pos="559"/>
          <w:tab w:val="left" w:pos="560"/>
        </w:tabs>
        <w:spacing w:before="178"/>
        <w:ind w:left="559"/>
      </w:pPr>
      <w:r>
        <w:t>1,4-androstadiene-3,17-dione</w:t>
      </w:r>
    </w:p>
    <w:p w:rsidR="007D76BB" w:rsidRDefault="00D70D28">
      <w:pPr>
        <w:pStyle w:val="ListParagraph"/>
        <w:numPr>
          <w:ilvl w:val="0"/>
          <w:numId w:val="72"/>
        </w:numPr>
        <w:tabs>
          <w:tab w:val="left" w:pos="559"/>
          <w:tab w:val="left" w:pos="560"/>
        </w:tabs>
        <w:spacing w:before="182"/>
        <w:ind w:left="559"/>
      </w:pPr>
      <w:r>
        <w:t>5(6)-androstene-3,17-dione</w:t>
      </w:r>
    </w:p>
    <w:p w:rsidR="007D76BB" w:rsidRDefault="00D70D28">
      <w:pPr>
        <w:pStyle w:val="ListParagraph"/>
        <w:numPr>
          <w:ilvl w:val="0"/>
          <w:numId w:val="72"/>
        </w:numPr>
        <w:tabs>
          <w:tab w:val="left" w:pos="559"/>
          <w:tab w:val="left" w:pos="561"/>
        </w:tabs>
        <w:spacing w:before="179"/>
        <w:ind w:left="560" w:hanging="362"/>
      </w:pPr>
      <w:r>
        <w:t>DHEA</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Heading7"/>
        <w:spacing w:before="101"/>
        <w:rPr>
          <w:b w:val="0"/>
        </w:rPr>
      </w:pPr>
      <w:r>
        <w:t xml:space="preserve">Cooper et al. study (2018) </w:t>
      </w:r>
      <w:r>
        <w:rPr>
          <w:b w:val="0"/>
        </w:rPr>
        <w:t>(46)</w:t>
      </w:r>
    </w:p>
    <w:p w:rsidR="007D76BB" w:rsidRDefault="00D70D28">
      <w:pPr>
        <w:pStyle w:val="BodyText"/>
        <w:spacing w:before="182"/>
        <w:ind w:left="198" w:right="862"/>
      </w:pPr>
      <w:r>
        <w:t xml:space="preserve">In 2018, Cooper et al. </w:t>
      </w:r>
      <w:proofErr w:type="spellStart"/>
      <w:r>
        <w:t>analysed</w:t>
      </w:r>
      <w:proofErr w:type="spellEnd"/>
      <w:r>
        <w:t xml:space="preserve"> 112 sports supplements available for sale in Australia, either over the counter or via the internet, including protein powders, pre-workout formulations, fat </w:t>
      </w:r>
      <w:proofErr w:type="spellStart"/>
      <w:r>
        <w:t>metabolisers</w:t>
      </w:r>
      <w:proofErr w:type="spellEnd"/>
      <w:r>
        <w:t>, vitamins and herbal extracts.</w:t>
      </w:r>
    </w:p>
    <w:p w:rsidR="007D76BB" w:rsidRDefault="00D70D28">
      <w:pPr>
        <w:pStyle w:val="BodyText"/>
        <w:spacing w:before="179"/>
        <w:ind w:left="198" w:right="600"/>
      </w:pPr>
      <w:r>
        <w:t>Six of the 112 supplements demonstrated strong androgenic activity and contained anabolic steroids that were not declared on the product labels. The report’s authors state that while many supplements contain ingredients that may have useful properties, there are supplements that are contaminated with compounds that are banned for use in sport or have been deliberately adulterated to fortify a supplement with an ingredient that will produce the advertised</w:t>
      </w:r>
      <w:r>
        <w:rPr>
          <w:spacing w:val="-28"/>
        </w:rPr>
        <w:t xml:space="preserve"> </w:t>
      </w:r>
      <w:r>
        <w:t>effect.</w:t>
      </w:r>
    </w:p>
    <w:p w:rsidR="007D76BB" w:rsidRDefault="00D70D28">
      <w:pPr>
        <w:pStyle w:val="BodyText"/>
        <w:spacing w:before="1"/>
        <w:ind w:left="198" w:right="808"/>
      </w:pPr>
      <w:r>
        <w:t>The researchers concluded that there is a real health risk and doping violation risk for athletes consuming sports supplements.</w:t>
      </w:r>
    </w:p>
    <w:p w:rsidR="007D76BB" w:rsidRDefault="00D70D28">
      <w:pPr>
        <w:pStyle w:val="Heading7"/>
        <w:rPr>
          <w:b w:val="0"/>
        </w:rPr>
      </w:pPr>
      <w:r>
        <w:t xml:space="preserve">HASTA study (2015) </w:t>
      </w:r>
      <w:r>
        <w:rPr>
          <w:b w:val="0"/>
        </w:rPr>
        <w:t>(45)</w:t>
      </w:r>
    </w:p>
    <w:p w:rsidR="007D76BB" w:rsidRDefault="00D70D28">
      <w:pPr>
        <w:pStyle w:val="BodyText"/>
        <w:spacing w:before="179"/>
        <w:ind w:left="198" w:right="719"/>
      </w:pPr>
      <w:r>
        <w:t xml:space="preserve">Human and Supplement Testing Australia (HASTA) conducted a survey of supplements in the Australian marketplace in October 2015. The survey included products targeted at athletes that were purchased from a variety of retail and online stores. Product categories included protein products (weight gainers, post-workout recovery, muscle builders); energy products (carbohydrate-based products, stimulants, energy gels); and others (including </w:t>
      </w:r>
      <w:proofErr w:type="spellStart"/>
      <w:r>
        <w:t>creatine</w:t>
      </w:r>
      <w:proofErr w:type="spellEnd"/>
      <w:r>
        <w:t>, testosterone boosters, multivitamins, joint support formulations). Product presentations included powders, capsules, tablets, gels, bars and milk drinks.</w:t>
      </w:r>
    </w:p>
    <w:p w:rsidR="007D76BB" w:rsidRDefault="00D70D28">
      <w:pPr>
        <w:pStyle w:val="BodyText"/>
        <w:spacing w:before="179"/>
        <w:ind w:left="198" w:right="799"/>
      </w:pPr>
      <w:r>
        <w:t xml:space="preserve">Of 63 samples </w:t>
      </w:r>
      <w:proofErr w:type="spellStart"/>
      <w:r>
        <w:t>analysed</w:t>
      </w:r>
      <w:proofErr w:type="spellEnd"/>
      <w:r>
        <w:t>: 16% (10 samples) were found to contain substances in the WADC Prohibited List that were not declared on the label; 10% (six samples) were positive for one or more stimulants; and 6% (four samples) were positive for one or more steroids.</w:t>
      </w:r>
    </w:p>
    <w:p w:rsidR="007D76BB" w:rsidRDefault="00D70D28">
      <w:pPr>
        <w:pStyle w:val="BodyText"/>
        <w:spacing w:before="182"/>
        <w:ind w:left="198"/>
      </w:pPr>
      <w:r>
        <w:t>Of the 10 samples that tested positive for substances in the WADC Prohibited List:</w:t>
      </w:r>
    </w:p>
    <w:p w:rsidR="007D76BB" w:rsidRDefault="00D70D28">
      <w:pPr>
        <w:pStyle w:val="ListParagraph"/>
        <w:numPr>
          <w:ilvl w:val="0"/>
          <w:numId w:val="72"/>
        </w:numPr>
        <w:tabs>
          <w:tab w:val="left" w:pos="558"/>
          <w:tab w:val="left" w:pos="559"/>
        </w:tabs>
        <w:spacing w:before="179"/>
        <w:ind w:left="558"/>
      </w:pPr>
      <w:r>
        <w:t>the majority were made in the USA, however two were listed medicines in the</w:t>
      </w:r>
      <w:r>
        <w:rPr>
          <w:spacing w:val="-26"/>
        </w:rPr>
        <w:t xml:space="preserve"> </w:t>
      </w:r>
      <w:r>
        <w:t>ARTG</w:t>
      </w:r>
    </w:p>
    <w:p w:rsidR="007D76BB" w:rsidRDefault="00D70D28">
      <w:pPr>
        <w:pStyle w:val="ListParagraph"/>
        <w:numPr>
          <w:ilvl w:val="0"/>
          <w:numId w:val="72"/>
        </w:numPr>
        <w:tabs>
          <w:tab w:val="left" w:pos="558"/>
          <w:tab w:val="left" w:pos="559"/>
        </w:tabs>
        <w:spacing w:before="181"/>
        <w:ind w:left="558" w:right="860"/>
      </w:pPr>
      <w:r>
        <w:t xml:space="preserve">the most common stimulant identified was </w:t>
      </w:r>
      <w:proofErr w:type="spellStart"/>
      <w:r>
        <w:t>methylhexanamine</w:t>
      </w:r>
      <w:proofErr w:type="spellEnd"/>
      <w:r>
        <w:t xml:space="preserve"> (DMAA) (banned for use in therapeutic and food products in both Australia and the</w:t>
      </w:r>
      <w:r>
        <w:rPr>
          <w:spacing w:val="-9"/>
        </w:rPr>
        <w:t xml:space="preserve"> </w:t>
      </w:r>
      <w:r>
        <w:t>US)</w:t>
      </w:r>
    </w:p>
    <w:p w:rsidR="007D76BB" w:rsidRDefault="00D70D28">
      <w:pPr>
        <w:pStyle w:val="ListParagraph"/>
        <w:numPr>
          <w:ilvl w:val="0"/>
          <w:numId w:val="72"/>
        </w:numPr>
        <w:tabs>
          <w:tab w:val="left" w:pos="558"/>
          <w:tab w:val="left" w:pos="559"/>
        </w:tabs>
        <w:ind w:left="558"/>
      </w:pPr>
      <w:r>
        <w:t>the next most common stimulant was</w:t>
      </w:r>
      <w:r>
        <w:rPr>
          <w:spacing w:val="-9"/>
        </w:rPr>
        <w:t xml:space="preserve"> </w:t>
      </w:r>
      <w:r>
        <w:t>ephedrine</w:t>
      </w:r>
    </w:p>
    <w:p w:rsidR="007D76BB" w:rsidRDefault="00D70D28">
      <w:pPr>
        <w:pStyle w:val="ListParagraph"/>
        <w:numPr>
          <w:ilvl w:val="0"/>
          <w:numId w:val="72"/>
        </w:numPr>
        <w:tabs>
          <w:tab w:val="left" w:pos="558"/>
          <w:tab w:val="left" w:pos="559"/>
        </w:tabs>
        <w:spacing w:before="179"/>
        <w:ind w:left="558"/>
      </w:pPr>
      <w:r>
        <w:t xml:space="preserve">the most frequently identified steroid was </w:t>
      </w:r>
      <w:proofErr w:type="spellStart"/>
      <w:r>
        <w:t>boldione</w:t>
      </w:r>
      <w:proofErr w:type="spellEnd"/>
      <w:r>
        <w:t>, a precursor to</w:t>
      </w:r>
      <w:r>
        <w:rPr>
          <w:spacing w:val="-16"/>
        </w:rPr>
        <w:t xml:space="preserve"> </w:t>
      </w:r>
      <w:proofErr w:type="spellStart"/>
      <w:r>
        <w:t>boldenone</w:t>
      </w:r>
      <w:proofErr w:type="spellEnd"/>
    </w:p>
    <w:p w:rsidR="007D76BB" w:rsidRDefault="00D70D28">
      <w:pPr>
        <w:pStyle w:val="ListParagraph"/>
        <w:numPr>
          <w:ilvl w:val="0"/>
          <w:numId w:val="72"/>
        </w:numPr>
        <w:tabs>
          <w:tab w:val="left" w:pos="558"/>
          <w:tab w:val="left" w:pos="559"/>
        </w:tabs>
        <w:spacing w:before="181"/>
        <w:ind w:left="558" w:right="777"/>
      </w:pPr>
      <w:r>
        <w:t xml:space="preserve">one product that contained significant amounts of </w:t>
      </w:r>
      <w:proofErr w:type="spellStart"/>
      <w:r>
        <w:t>cyproheptadine</w:t>
      </w:r>
      <w:proofErr w:type="spellEnd"/>
      <w:r>
        <w:t>, which is included in Schedule 3 of the Poisons Standard (pharmacist only medicine), which was not declared on the</w:t>
      </w:r>
      <w:r>
        <w:rPr>
          <w:spacing w:val="-1"/>
        </w:rPr>
        <w:t xml:space="preserve"> </w:t>
      </w:r>
      <w:r>
        <w:t>label</w:t>
      </w:r>
    </w:p>
    <w:p w:rsidR="007D76BB" w:rsidRDefault="00D70D28">
      <w:pPr>
        <w:pStyle w:val="ListParagraph"/>
        <w:numPr>
          <w:ilvl w:val="0"/>
          <w:numId w:val="72"/>
        </w:numPr>
        <w:tabs>
          <w:tab w:val="left" w:pos="558"/>
          <w:tab w:val="left" w:pos="559"/>
        </w:tabs>
        <w:spacing w:before="179"/>
        <w:ind w:left="558" w:right="651"/>
      </w:pPr>
      <w:r>
        <w:t xml:space="preserve">a number of milk-based products (such as whey powders and high protein UHT milk drinks) tested positive for low levels </w:t>
      </w:r>
      <w:r>
        <w:lastRenderedPageBreak/>
        <w:t>(&lt;10ng/g) of Androstenedione, a known factor in</w:t>
      </w:r>
      <w:r>
        <w:rPr>
          <w:spacing w:val="-21"/>
        </w:rPr>
        <w:t xml:space="preserve"> </w:t>
      </w:r>
      <w:r>
        <w:t>milk</w:t>
      </w:r>
    </w:p>
    <w:p w:rsidR="007D76BB" w:rsidRDefault="00D70D28">
      <w:pPr>
        <w:pStyle w:val="BodyText"/>
        <w:spacing w:before="180"/>
        <w:ind w:left="198" w:right="681"/>
      </w:pPr>
      <w:r>
        <w:t>The most common presentation for contamination in this study was powders, followed by capsules. This is in contrast to other studies, where it has been predominantly capsules. HASTA considered that this might be due to the substantial growth in the supplement industry over the last 10 years and the proliferation of powders for pre and post-workouts.</w:t>
      </w:r>
    </w:p>
    <w:p w:rsidR="007D76BB" w:rsidRDefault="00D70D28">
      <w:pPr>
        <w:pStyle w:val="BodyText"/>
        <w:spacing w:before="181"/>
        <w:ind w:left="198" w:right="840"/>
      </w:pPr>
      <w:r>
        <w:t>HASTA concluded that supplements that are readily available in store and online to Australian consumers continue to pose a significant threat to athletes, due to the presence of substances included in the WADC Prohibited List.</w:t>
      </w:r>
    </w:p>
    <w:p w:rsidR="007D76BB" w:rsidRDefault="00D70D28">
      <w:pPr>
        <w:pStyle w:val="Heading7"/>
        <w:spacing w:before="179"/>
        <w:rPr>
          <w:b w:val="0"/>
        </w:rPr>
      </w:pPr>
      <w:r>
        <w:t xml:space="preserve">The Australian Capital Territory Health Protection Service </w:t>
      </w:r>
      <w:r>
        <w:rPr>
          <w:b w:val="0"/>
        </w:rPr>
        <w:t>(34)</w:t>
      </w:r>
    </w:p>
    <w:p w:rsidR="007D76BB" w:rsidRDefault="00D70D28">
      <w:pPr>
        <w:pStyle w:val="BodyText"/>
        <w:spacing w:before="181"/>
        <w:ind w:left="198" w:right="613"/>
      </w:pPr>
      <w:r>
        <w:t>The ACT Health Protection Service (HPS) published an information sheet in 2018 warning consumers that some sports supplements sold in the ACT through retail supplement stores were found to contain substances included in a Schedule to the Poisons Standard, including the</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8" w:right="1436"/>
      </w:pPr>
      <w:proofErr w:type="gramStart"/>
      <w:r>
        <w:t>following</w:t>
      </w:r>
      <w:proofErr w:type="gramEnd"/>
      <w:r>
        <w:t xml:space="preserve"> SARMs: </w:t>
      </w:r>
      <w:proofErr w:type="spellStart"/>
      <w:r>
        <w:t>stenabolic</w:t>
      </w:r>
      <w:proofErr w:type="spellEnd"/>
      <w:r>
        <w:t xml:space="preserve">; </w:t>
      </w:r>
      <w:proofErr w:type="spellStart"/>
      <w:r>
        <w:t>ibutamoren</w:t>
      </w:r>
      <w:proofErr w:type="spellEnd"/>
      <w:r>
        <w:t xml:space="preserve">; </w:t>
      </w:r>
      <w:proofErr w:type="spellStart"/>
      <w:r>
        <w:t>cardarine</w:t>
      </w:r>
      <w:proofErr w:type="spellEnd"/>
      <w:r>
        <w:t xml:space="preserve">; </w:t>
      </w:r>
      <w:proofErr w:type="spellStart"/>
      <w:r>
        <w:t>tadalafil</w:t>
      </w:r>
      <w:proofErr w:type="spellEnd"/>
      <w:r>
        <w:t xml:space="preserve">; </w:t>
      </w:r>
      <w:proofErr w:type="spellStart"/>
      <w:r>
        <w:t>oxedrine</w:t>
      </w:r>
      <w:proofErr w:type="spellEnd"/>
      <w:r>
        <w:t xml:space="preserve">; melatonin; and </w:t>
      </w:r>
      <w:proofErr w:type="spellStart"/>
      <w:r>
        <w:t>phenibut</w:t>
      </w:r>
      <w:proofErr w:type="spellEnd"/>
      <w:r>
        <w:t>. Other substances found in some sports supplements sold in the ACT were:</w:t>
      </w:r>
    </w:p>
    <w:p w:rsidR="007D76BB" w:rsidRDefault="00D70D28">
      <w:pPr>
        <w:pStyle w:val="ListParagraph"/>
        <w:numPr>
          <w:ilvl w:val="0"/>
          <w:numId w:val="72"/>
        </w:numPr>
        <w:tabs>
          <w:tab w:val="left" w:pos="558"/>
          <w:tab w:val="left" w:pos="559"/>
        </w:tabs>
        <w:ind w:left="558"/>
      </w:pPr>
      <w:proofErr w:type="spellStart"/>
      <w:r>
        <w:t>Stenabolic</w:t>
      </w:r>
      <w:proofErr w:type="spellEnd"/>
      <w:r>
        <w:t xml:space="preserve"> (Schedule 4: Prescription</w:t>
      </w:r>
      <w:r>
        <w:rPr>
          <w:spacing w:val="-6"/>
        </w:rPr>
        <w:t xml:space="preserve"> </w:t>
      </w:r>
      <w:r>
        <w:t>only)</w:t>
      </w:r>
    </w:p>
    <w:p w:rsidR="007D76BB" w:rsidRDefault="00D70D28">
      <w:pPr>
        <w:pStyle w:val="ListParagraph"/>
        <w:numPr>
          <w:ilvl w:val="0"/>
          <w:numId w:val="72"/>
        </w:numPr>
        <w:tabs>
          <w:tab w:val="left" w:pos="558"/>
          <w:tab w:val="left" w:pos="559"/>
        </w:tabs>
        <w:spacing w:before="182"/>
        <w:ind w:left="558"/>
      </w:pPr>
      <w:proofErr w:type="spellStart"/>
      <w:r>
        <w:t>Ibutamoren</w:t>
      </w:r>
      <w:proofErr w:type="spellEnd"/>
      <w:r>
        <w:t xml:space="preserve"> (Schedule 4: Prescription</w:t>
      </w:r>
      <w:r>
        <w:rPr>
          <w:spacing w:val="-10"/>
        </w:rPr>
        <w:t xml:space="preserve"> </w:t>
      </w:r>
      <w:r>
        <w:t>only)</w:t>
      </w:r>
    </w:p>
    <w:p w:rsidR="007D76BB" w:rsidRDefault="00D70D28">
      <w:pPr>
        <w:pStyle w:val="ListParagraph"/>
        <w:numPr>
          <w:ilvl w:val="0"/>
          <w:numId w:val="72"/>
        </w:numPr>
        <w:tabs>
          <w:tab w:val="left" w:pos="558"/>
          <w:tab w:val="left" w:pos="559"/>
        </w:tabs>
        <w:spacing w:before="178"/>
        <w:ind w:left="558" w:right="990"/>
      </w:pPr>
      <w:proofErr w:type="spellStart"/>
      <w:r>
        <w:t>Cardarine</w:t>
      </w:r>
      <w:proofErr w:type="spellEnd"/>
      <w:r>
        <w:t xml:space="preserve"> (Schedule 10: Substances of such danger to health as to warrant prohibition of sale, supply and</w:t>
      </w:r>
      <w:r>
        <w:rPr>
          <w:spacing w:val="-6"/>
        </w:rPr>
        <w:t xml:space="preserve"> </w:t>
      </w:r>
      <w:r>
        <w:t>use)</w:t>
      </w:r>
    </w:p>
    <w:p w:rsidR="007D76BB" w:rsidRDefault="00D70D28">
      <w:pPr>
        <w:pStyle w:val="ListParagraph"/>
        <w:numPr>
          <w:ilvl w:val="0"/>
          <w:numId w:val="72"/>
        </w:numPr>
        <w:tabs>
          <w:tab w:val="left" w:pos="558"/>
          <w:tab w:val="left" w:pos="559"/>
        </w:tabs>
        <w:spacing w:before="181"/>
        <w:ind w:left="558"/>
      </w:pPr>
      <w:proofErr w:type="spellStart"/>
      <w:r>
        <w:t>Tadalafil</w:t>
      </w:r>
      <w:proofErr w:type="spellEnd"/>
      <w:r>
        <w:t xml:space="preserve"> (Schedule 4: Prescription</w:t>
      </w:r>
      <w:r>
        <w:rPr>
          <w:spacing w:val="-7"/>
        </w:rPr>
        <w:t xml:space="preserve"> </w:t>
      </w:r>
      <w:r>
        <w:t>only)</w:t>
      </w:r>
    </w:p>
    <w:p w:rsidR="007D76BB" w:rsidRDefault="00D70D28">
      <w:pPr>
        <w:pStyle w:val="ListParagraph"/>
        <w:numPr>
          <w:ilvl w:val="0"/>
          <w:numId w:val="72"/>
        </w:numPr>
        <w:tabs>
          <w:tab w:val="left" w:pos="558"/>
          <w:tab w:val="left" w:pos="559"/>
        </w:tabs>
        <w:spacing w:before="181"/>
        <w:ind w:left="558"/>
      </w:pPr>
      <w:proofErr w:type="spellStart"/>
      <w:r>
        <w:t>Oxedrine</w:t>
      </w:r>
      <w:proofErr w:type="spellEnd"/>
      <w:r>
        <w:t xml:space="preserve"> (Schedule 4: Prescription only when daily dose is 30 mg or</w:t>
      </w:r>
      <w:r>
        <w:rPr>
          <w:spacing w:val="-22"/>
        </w:rPr>
        <w:t xml:space="preserve"> </w:t>
      </w:r>
      <w:r>
        <w:t>more)</w:t>
      </w:r>
    </w:p>
    <w:p w:rsidR="007D76BB" w:rsidRDefault="00D70D28">
      <w:pPr>
        <w:pStyle w:val="ListParagraph"/>
        <w:numPr>
          <w:ilvl w:val="0"/>
          <w:numId w:val="72"/>
        </w:numPr>
        <w:tabs>
          <w:tab w:val="left" w:pos="558"/>
          <w:tab w:val="left" w:pos="559"/>
        </w:tabs>
        <w:spacing w:before="179"/>
        <w:ind w:left="558"/>
      </w:pPr>
      <w:r>
        <w:t>Melatonin (Schedule 4: Prescription</w:t>
      </w:r>
      <w:r>
        <w:rPr>
          <w:spacing w:val="-8"/>
        </w:rPr>
        <w:t xml:space="preserve"> </w:t>
      </w:r>
      <w:r>
        <w:t>only)</w:t>
      </w:r>
    </w:p>
    <w:p w:rsidR="007D76BB" w:rsidRDefault="00D70D28">
      <w:pPr>
        <w:pStyle w:val="ListParagraph"/>
        <w:numPr>
          <w:ilvl w:val="0"/>
          <w:numId w:val="72"/>
        </w:numPr>
        <w:tabs>
          <w:tab w:val="left" w:pos="558"/>
          <w:tab w:val="left" w:pos="559"/>
        </w:tabs>
        <w:spacing w:before="181"/>
        <w:ind w:left="558"/>
      </w:pPr>
      <w:proofErr w:type="spellStart"/>
      <w:r>
        <w:t>Phenibut</w:t>
      </w:r>
      <w:proofErr w:type="spellEnd"/>
      <w:r>
        <w:t xml:space="preserve"> (Schedule 9:</w:t>
      </w:r>
      <w:r>
        <w:rPr>
          <w:spacing w:val="-5"/>
        </w:rPr>
        <w:t xml:space="preserve"> </w:t>
      </w:r>
      <w:r>
        <w:t>Prohibited)</w:t>
      </w:r>
    </w:p>
    <w:p w:rsidR="007D76BB" w:rsidRDefault="00D70D28">
      <w:pPr>
        <w:pStyle w:val="Heading7"/>
        <w:spacing w:before="179"/>
        <w:ind w:left="199"/>
        <w:rPr>
          <w:b w:val="0"/>
        </w:rPr>
      </w:pPr>
      <w:proofErr w:type="spellStart"/>
      <w:r>
        <w:t>Attipoe</w:t>
      </w:r>
      <w:proofErr w:type="spellEnd"/>
      <w:r>
        <w:t xml:space="preserve"> et al. study 2019 </w:t>
      </w:r>
      <w:r>
        <w:rPr>
          <w:b w:val="0"/>
        </w:rPr>
        <w:t>(47)</w:t>
      </w:r>
    </w:p>
    <w:p w:rsidR="007D76BB" w:rsidRDefault="00D70D28">
      <w:pPr>
        <w:pStyle w:val="BodyText"/>
        <w:spacing w:before="181"/>
        <w:ind w:left="198" w:right="705"/>
      </w:pPr>
      <w:r>
        <w:t>An Australian study that tested 15 pre-workout supplements for caffeine</w:t>
      </w:r>
      <w:hyperlink w:anchor="_bookmark25" w:history="1">
        <w:r>
          <w:rPr>
            <w:position w:val="5"/>
            <w:sz w:val="14"/>
          </w:rPr>
          <w:t>8</w:t>
        </w:r>
      </w:hyperlink>
      <w:r>
        <w:rPr>
          <w:position w:val="5"/>
          <w:sz w:val="14"/>
        </w:rPr>
        <w:t xml:space="preserve"> </w:t>
      </w:r>
      <w:r>
        <w:t>content within and between batches found only six of the 15 products specified their caffeine content on their label and that the amount of caffeine present ranged from 59% to 176% of the stated amount. Of the 15 products, 14 had variations in caffeine content between batches of over 40mg per serve.</w:t>
      </w:r>
    </w:p>
    <w:p w:rsidR="007D76BB" w:rsidRDefault="00D70D28">
      <w:pPr>
        <w:pStyle w:val="BodyText"/>
        <w:spacing w:before="178"/>
        <w:ind w:left="198" w:right="924"/>
      </w:pPr>
      <w:r>
        <w:t>Given the caffeine content of all products was between 91mg to 387mg per serve, the authors stated that variations of greater than 40mg represent a significant change in dose. Similarly, another study looked at the variability of stimulant levels in nine sports supplements over a nine-month period. In five of the six caffeinated products assessed, the variation of caffeine content was from ~7% to 266% of the baseline measurement in subsequent batches.</w:t>
      </w:r>
    </w:p>
    <w:p w:rsidR="007D76BB" w:rsidRDefault="00D70D28">
      <w:pPr>
        <w:pStyle w:val="BodyText"/>
        <w:spacing w:before="182"/>
        <w:ind w:left="198" w:right="917"/>
      </w:pPr>
      <w:r>
        <w:t>The study also reported that other stimulants (</w:t>
      </w:r>
      <w:proofErr w:type="spellStart"/>
      <w:r>
        <w:t>synephrine</w:t>
      </w:r>
      <w:proofErr w:type="spellEnd"/>
      <w:r>
        <w:t xml:space="preserve">, </w:t>
      </w:r>
      <w:proofErr w:type="spellStart"/>
      <w:r>
        <w:t>octopamine</w:t>
      </w:r>
      <w:proofErr w:type="spellEnd"/>
      <w:r>
        <w:t xml:space="preserve">, </w:t>
      </w:r>
      <w:proofErr w:type="spellStart"/>
      <w:r>
        <w:t>cathine</w:t>
      </w:r>
      <w:proofErr w:type="spellEnd"/>
      <w:r>
        <w:t xml:space="preserve">, ephedrine, pseudoephedrine, strychnine, and </w:t>
      </w:r>
      <w:proofErr w:type="spellStart"/>
      <w:r>
        <w:t>methylephedrine</w:t>
      </w:r>
      <w:proofErr w:type="spellEnd"/>
      <w:r>
        <w:t>) occurred in variable amounts in eight of the nine products (47).</w:t>
      </w:r>
    </w:p>
    <w:p w:rsidR="007D76BB" w:rsidRDefault="007D76BB">
      <w:pPr>
        <w:pStyle w:val="BodyText"/>
        <w:spacing w:before="6"/>
        <w:rPr>
          <w:sz w:val="30"/>
        </w:rPr>
      </w:pPr>
    </w:p>
    <w:p w:rsidR="007D76BB" w:rsidRDefault="00D70D28">
      <w:pPr>
        <w:pStyle w:val="Heading5"/>
        <w:rPr>
          <w:rFonts w:ascii="Arial"/>
        </w:rPr>
      </w:pPr>
      <w:bookmarkStart w:id="59" w:name="Presentations_of_concern_in_sports_suppl"/>
      <w:bookmarkStart w:id="60" w:name="_bookmark24"/>
      <w:bookmarkEnd w:id="59"/>
      <w:bookmarkEnd w:id="60"/>
      <w:r>
        <w:rPr>
          <w:rFonts w:ascii="Arial"/>
        </w:rPr>
        <w:t>Presentations of concern in sports supplements</w:t>
      </w:r>
    </w:p>
    <w:p w:rsidR="007D76BB" w:rsidRDefault="00D70D28">
      <w:pPr>
        <w:spacing w:before="243"/>
        <w:ind w:left="198"/>
        <w:rPr>
          <w:b/>
          <w:sz w:val="26"/>
        </w:rPr>
      </w:pPr>
      <w:bookmarkStart w:id="61" w:name="Tablets,_capsules_and_pills,"/>
      <w:bookmarkEnd w:id="61"/>
      <w:r>
        <w:rPr>
          <w:b/>
          <w:color w:val="001422"/>
          <w:sz w:val="26"/>
        </w:rPr>
        <w:t>Tablets, capsules and pills,</w:t>
      </w:r>
    </w:p>
    <w:p w:rsidR="007D76BB" w:rsidRDefault="00D70D28">
      <w:pPr>
        <w:pStyle w:val="BodyText"/>
        <w:spacing w:before="119"/>
        <w:ind w:left="198" w:right="715"/>
      </w:pPr>
      <w:r>
        <w:t>In relation to food products presented in a medicinal form, a product with therapeutic claims and presented as a tablet, capsule or pill implies that the product is for therapeutic use and, is therefore a therapeutic good under current legislation. A reasonable consumer would assume that a product presented as a tablet, capsule or pill and making therapeutic claims is a medicine and is subject to an appropriate level of regulatory oversight to ensure their safety, quality and efficacy.</w:t>
      </w:r>
    </w:p>
    <w:p w:rsidR="007D76BB" w:rsidRDefault="00D70D28">
      <w:pPr>
        <w:pStyle w:val="BodyText"/>
        <w:spacing w:before="181"/>
        <w:ind w:left="198" w:right="690"/>
      </w:pPr>
      <w:r>
        <w:t xml:space="preserve">A search conducted by the TGA of sports supplements sold in tablets, capsules or pills from a prominent online Australian retail </w:t>
      </w:r>
      <w:r>
        <w:lastRenderedPageBreak/>
        <w:t>store revealed a number of products (not included in the ARTG) with claims such as: ‘</w:t>
      </w:r>
      <w:proofErr w:type="spellStart"/>
      <w:r>
        <w:t>Thermogenic</w:t>
      </w:r>
      <w:proofErr w:type="spellEnd"/>
      <w:r>
        <w:t xml:space="preserve"> fat burner’, ‘Immune support’, ‘Burn subcutaneous fat molecules’ and ‘Boost testosterone’. These claims appear more aligned with therapeutic indications than the allowed health claims (as per Division 3 of Food Standard 2.9.4) for food products marketed as FSSF (refer to </w:t>
      </w:r>
      <w:hyperlink w:anchor="_bookmark7" w:history="1">
        <w:r>
          <w:rPr>
            <w:color w:val="0000FF"/>
            <w:u w:val="single" w:color="0000FF"/>
          </w:rPr>
          <w:t>Health claims for foods and indications for medicines</w:t>
        </w:r>
        <w:r>
          <w:rPr>
            <w:color w:val="0000FF"/>
          </w:rPr>
          <w:t xml:space="preserve"> </w:t>
        </w:r>
      </w:hyperlink>
      <w:r>
        <w:t>for more information). Claims made for foods outside of those allowed in the Food Standards are considered ‘non-compliant labelling’ by FSANZ.</w:t>
      </w:r>
    </w:p>
    <w:p w:rsidR="007D76BB" w:rsidRDefault="007D76BB">
      <w:pPr>
        <w:pStyle w:val="BodyText"/>
        <w:rPr>
          <w:sz w:val="20"/>
        </w:rPr>
      </w:pPr>
    </w:p>
    <w:p w:rsidR="007D76BB" w:rsidRDefault="007D76BB">
      <w:pPr>
        <w:pStyle w:val="BodyText"/>
        <w:rPr>
          <w:sz w:val="20"/>
        </w:rPr>
      </w:pPr>
    </w:p>
    <w:p w:rsidR="007D76BB" w:rsidRDefault="007D76BB">
      <w:pPr>
        <w:pStyle w:val="BodyText"/>
        <w:rPr>
          <w:sz w:val="20"/>
        </w:rPr>
      </w:pPr>
    </w:p>
    <w:p w:rsidR="007D76BB" w:rsidRDefault="00D70D28">
      <w:pPr>
        <w:pStyle w:val="BodyText"/>
        <w:rPr>
          <w:sz w:val="11"/>
        </w:rPr>
      </w:pPr>
      <w:r>
        <w:rPr>
          <w:noProof/>
          <w:lang w:val="en-AU" w:eastAsia="en-AU"/>
        </w:rPr>
        <mc:AlternateContent>
          <mc:Choice Requires="wps">
            <w:drawing>
              <wp:anchor distT="0" distB="0" distL="0" distR="0" simplePos="0" relativeHeight="251671552" behindDoc="1" locked="0" layoutInCell="1" allowOverlap="1">
                <wp:simplePos x="0" y="0"/>
                <wp:positionH relativeFrom="page">
                  <wp:posOffset>900430</wp:posOffset>
                </wp:positionH>
                <wp:positionV relativeFrom="paragraph">
                  <wp:posOffset>111125</wp:posOffset>
                </wp:positionV>
                <wp:extent cx="1828800" cy="1270"/>
                <wp:effectExtent l="0" t="0" r="0" b="0"/>
                <wp:wrapTopAndBottom/>
                <wp:docPr id="421"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903EA" id="Freeform 277" o:spid="_x0000_s1026" style="position:absolute;margin-left:70.9pt;margin-top:8.75pt;width:2in;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" path="m,l2880,e" filled="f" strokeweight=".6pt">
                <v:path arrowok="t" o:connecttype="custom" o:connectlocs="0,0;1828800,0" o:connectangles="0,0"/>
                <w10:wrap type="topAndBottom" anchorx="page"/>
              </v:shape>
            </w:pict>
          </mc:Fallback>
        </mc:AlternateContent>
      </w:r>
    </w:p>
    <w:p w:rsidR="007D76BB" w:rsidRDefault="00D70D28">
      <w:pPr>
        <w:spacing w:before="71"/>
        <w:ind w:left="198"/>
        <w:rPr>
          <w:sz w:val="20"/>
        </w:rPr>
      </w:pPr>
      <w:bookmarkStart w:id="62" w:name="_bookmark25"/>
      <w:bookmarkEnd w:id="62"/>
      <w:r>
        <w:rPr>
          <w:position w:val="5"/>
          <w:sz w:val="13"/>
        </w:rPr>
        <w:t xml:space="preserve">8 </w:t>
      </w:r>
      <w:r>
        <w:rPr>
          <w:sz w:val="20"/>
        </w:rPr>
        <w:t>Note: As of 1 June 2020, caffeine is included in Schedules 4 and 6 of the Poisons Standard.</w:t>
      </w:r>
    </w:p>
    <w:p w:rsidR="007D76BB" w:rsidRDefault="007D76BB">
      <w:pPr>
        <w:rPr>
          <w:sz w:val="20"/>
        </w:r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8" w:right="613"/>
      </w:pPr>
      <w:r>
        <w:t>It should be noted that there are products with similar ingredients, similar claims and similar presentations (i.e. forms associated with medicines) as foods marketed as FSSFs that are already included in the ARTG as medicines.</w:t>
      </w:r>
    </w:p>
    <w:p w:rsidR="007D76BB" w:rsidRDefault="00D70D28">
      <w:pPr>
        <w:pStyle w:val="BodyText"/>
        <w:spacing w:before="182"/>
        <w:ind w:left="198" w:right="652"/>
      </w:pPr>
      <w:r>
        <w:t>Tablets, capsules, and pills would generally provide a more concentrated version of an ingredient compared to presentation in forms traditionally aligned with foods, such as powders or bars. The manufacturing requirements for foods are not as stringent as for therapeutic goods [the latter being required to be made in accordance with good manufacturing principles (GMP)]. Products manufactured as foods have lower sample testing requirements than products manufactured as therapeutic goods. This means that there is a potential for food products with an ‘active’ ingredient to have variability between batches. Where a substance requires a specific dose for both safety and efficacy, as can be assumed is the case for sport supplements presented as tablets, capsules or pills, changes in the levels of those ingredients could have deleterious effects for consumer health.</w:t>
      </w:r>
    </w:p>
    <w:p w:rsidR="007D76BB" w:rsidRDefault="00D70D28">
      <w:pPr>
        <w:pStyle w:val="BodyText"/>
        <w:spacing w:before="181"/>
        <w:ind w:left="198" w:right="605"/>
      </w:pPr>
      <w:r>
        <w:t xml:space="preserve">There have been a number of small-scale studies investigating batch consistency of different supplements that have found concerning rates of variability, particularly with some higher-risk ingredients (41; 48; 47). </w:t>
      </w:r>
      <w:proofErr w:type="spellStart"/>
      <w:r>
        <w:t>Attipoe</w:t>
      </w:r>
      <w:proofErr w:type="spellEnd"/>
      <w:r>
        <w:t xml:space="preserve"> et al. (2016) (47) tested three samples of nine popular sports supplements in the US over a 9-month period. The authors found that many supplements did not contain the same number and quantity of stimulants over the period studied. In five of the six caffeinated supplements caffeine content varied widely compared with the initial measurement (-7% to +266%). In addition, stimulants (including </w:t>
      </w:r>
      <w:proofErr w:type="spellStart"/>
      <w:r>
        <w:t>synephrine</w:t>
      </w:r>
      <w:proofErr w:type="spellEnd"/>
      <w:r>
        <w:t xml:space="preserve">, </w:t>
      </w:r>
      <w:proofErr w:type="spellStart"/>
      <w:r>
        <w:t>octopamine</w:t>
      </w:r>
      <w:proofErr w:type="spellEnd"/>
      <w:r>
        <w:t xml:space="preserve">, </w:t>
      </w:r>
      <w:proofErr w:type="spellStart"/>
      <w:r>
        <w:t>cathine</w:t>
      </w:r>
      <w:proofErr w:type="spellEnd"/>
      <w:r>
        <w:t xml:space="preserve">, ephedrine, pseudoephedrine, strychnine, and </w:t>
      </w:r>
      <w:proofErr w:type="spellStart"/>
      <w:r>
        <w:t>methylephedrine</w:t>
      </w:r>
      <w:proofErr w:type="spellEnd"/>
      <w:r>
        <w:t>) occurred in variable amounts in eight of the nine</w:t>
      </w:r>
      <w:r>
        <w:rPr>
          <w:spacing w:val="-3"/>
        </w:rPr>
        <w:t xml:space="preserve"> </w:t>
      </w:r>
      <w:r>
        <w:t>products.</w:t>
      </w:r>
    </w:p>
    <w:p w:rsidR="007D76BB" w:rsidRDefault="00D70D28">
      <w:pPr>
        <w:pStyle w:val="BodyText"/>
        <w:spacing w:before="179"/>
        <w:ind w:left="198" w:right="621"/>
      </w:pPr>
      <w:proofErr w:type="spellStart"/>
      <w:r>
        <w:t>Desbrow</w:t>
      </w:r>
      <w:proofErr w:type="spellEnd"/>
      <w:r>
        <w:t xml:space="preserve"> et al. (2019) (48) studied the caffeine content within and between batches of 15 pre- workout supplements commonly used by Australian consumers. The caffeine content of selected products ranged from 91 to 387 mg serve and the percent of caffeine present ranged from 59% to 176% of packaging claims. The authors concluded that consumers are likely to be exposed to large and variable caffeine doses if ingesting pre-workout supplements and that product information panels do little to improve consumer awareness of likely caffeine intakes.</w:t>
      </w:r>
    </w:p>
    <w:p w:rsidR="007D76BB" w:rsidRDefault="00D70D28">
      <w:pPr>
        <w:pStyle w:val="BodyText"/>
        <w:spacing w:before="180"/>
        <w:ind w:left="198" w:right="599"/>
      </w:pPr>
      <w:r>
        <w:t xml:space="preserve">An analysis of the presentation of sports supplement products in Australia by Noetic (see </w:t>
      </w:r>
      <w:hyperlink w:anchor="_bookmark67" w:history="1">
        <w:r>
          <w:rPr>
            <w:color w:val="0000FF"/>
            <w:u w:val="single" w:color="0000FF"/>
          </w:rPr>
          <w:t xml:space="preserve">Appendix 1 </w:t>
        </w:r>
      </w:hyperlink>
      <w:r>
        <w:t xml:space="preserve">for further details) shows that the product category known as ‘fat burners’ represents the largest portion of products being presented as tablets, capsules or pills. Noetic </w:t>
      </w:r>
      <w:proofErr w:type="spellStart"/>
      <w:r>
        <w:t>analysed</w:t>
      </w:r>
      <w:proofErr w:type="spellEnd"/>
      <w:r>
        <w:t xml:space="preserve"> the product range of the three top industry players in Australia, with a combined total of 630 unique products, representing 80% of total market share. These figures were then extrapolated across all Australian retailers (see Tables 3 and 4 of the Noetic Report at </w:t>
      </w:r>
      <w:hyperlink w:anchor="_bookmark67" w:history="1">
        <w:r>
          <w:rPr>
            <w:color w:val="0000FF"/>
            <w:u w:val="single" w:color="0000FF"/>
          </w:rPr>
          <w:t>Appendix</w:t>
        </w:r>
      </w:hyperlink>
      <w:r>
        <w:rPr>
          <w:color w:val="0000FF"/>
        </w:rPr>
        <w:t xml:space="preserve"> </w:t>
      </w:r>
      <w:hyperlink w:anchor="_bookmark67" w:history="1">
        <w:r>
          <w:rPr>
            <w:color w:val="0000FF"/>
            <w:u w:val="single" w:color="0000FF"/>
          </w:rPr>
          <w:t>1</w:t>
        </w:r>
      </w:hyperlink>
      <w:r>
        <w:t xml:space="preserve">). The Noetic data (presented below in Table 10) demonstrates that 51% of fat burner products in Australia are in the presentation of tablet/capsules/pills, compared to 6% post workout products and 3% of pre-workout products. Note that the basis for the calculation of these figures (and any other </w:t>
      </w:r>
      <w:r>
        <w:lastRenderedPageBreak/>
        <w:t xml:space="preserve">Noetic figures referenced throughout the RIS) is explained further within the Noetic Report at </w:t>
      </w:r>
      <w:hyperlink w:anchor="_bookmark67" w:history="1">
        <w:r>
          <w:rPr>
            <w:color w:val="0000FF"/>
            <w:u w:val="single" w:color="0000FF"/>
          </w:rPr>
          <w:t>Appendix 1</w:t>
        </w:r>
        <w:r>
          <w:t>.</w:t>
        </w:r>
      </w:hyperlink>
    </w:p>
    <w:p w:rsidR="007D76BB" w:rsidRDefault="00D70D28">
      <w:pPr>
        <w:pStyle w:val="Heading7"/>
        <w:rPr>
          <w:sz w:val="14"/>
        </w:rPr>
      </w:pPr>
      <w:r>
        <w:t>Table 10: Presentation forms of product presentation across all Australian retailers</w:t>
      </w:r>
      <w:hyperlink w:anchor="_bookmark26" w:history="1">
        <w:r>
          <w:rPr>
            <w:position w:val="5"/>
            <w:sz w:val="14"/>
          </w:rPr>
          <w:t>9</w:t>
        </w:r>
      </w:hyperlink>
    </w:p>
    <w:p w:rsidR="007D76BB" w:rsidRDefault="007D76BB">
      <w:pPr>
        <w:pStyle w:val="BodyText"/>
        <w:spacing w:before="3"/>
        <w:rPr>
          <w:b/>
          <w:sz w:val="15"/>
        </w:rPr>
      </w:pPr>
    </w:p>
    <w:tbl>
      <w:tblPr>
        <w:tblW w:w="0" w:type="auto"/>
        <w:tblInd w:w="218" w:type="dxa"/>
        <w:tblBorders>
          <w:top w:val="single" w:sz="8" w:space="0" w:color="002C46"/>
          <w:left w:val="single" w:sz="8" w:space="0" w:color="002C46"/>
          <w:bottom w:val="single" w:sz="8" w:space="0" w:color="002C46"/>
          <w:right w:val="single" w:sz="8" w:space="0" w:color="002C46"/>
          <w:insideH w:val="single" w:sz="8" w:space="0" w:color="002C46"/>
          <w:insideV w:val="single" w:sz="8" w:space="0" w:color="002C46"/>
        </w:tblBorders>
        <w:tblLayout w:type="fixed"/>
        <w:tblCellMar>
          <w:left w:w="0" w:type="dxa"/>
          <w:right w:w="0" w:type="dxa"/>
        </w:tblCellMar>
        <w:tblLook w:val="01E0" w:firstRow="1" w:lastRow="1" w:firstColumn="1" w:lastColumn="1" w:noHBand="0" w:noVBand="0"/>
      </w:tblPr>
      <w:tblGrid>
        <w:gridCol w:w="3818"/>
        <w:gridCol w:w="1560"/>
        <w:gridCol w:w="1843"/>
        <w:gridCol w:w="1829"/>
      </w:tblGrid>
      <w:tr w:rsidR="007D76BB">
        <w:trPr>
          <w:trHeight w:val="920"/>
        </w:trPr>
        <w:tc>
          <w:tcPr>
            <w:tcW w:w="3818" w:type="dxa"/>
            <w:tcBorders>
              <w:right w:val="nil"/>
            </w:tcBorders>
            <w:shd w:val="clear" w:color="auto" w:fill="006CA7"/>
          </w:tcPr>
          <w:p w:rsidR="007D76BB" w:rsidRDefault="00D70D28">
            <w:pPr>
              <w:pStyle w:val="TableParagraph"/>
              <w:spacing w:before="120"/>
              <w:ind w:left="107"/>
              <w:rPr>
                <w:rFonts w:ascii="Arial Black"/>
              </w:rPr>
            </w:pPr>
            <w:r>
              <w:rPr>
                <w:rFonts w:ascii="Arial Black"/>
                <w:color w:val="FFFFFF"/>
              </w:rPr>
              <w:t>Presentation</w:t>
            </w:r>
          </w:p>
        </w:tc>
        <w:tc>
          <w:tcPr>
            <w:tcW w:w="1560" w:type="dxa"/>
            <w:tcBorders>
              <w:left w:val="nil"/>
              <w:right w:val="nil"/>
            </w:tcBorders>
            <w:shd w:val="clear" w:color="auto" w:fill="006CA7"/>
          </w:tcPr>
          <w:p w:rsidR="007D76BB" w:rsidRDefault="00D70D28">
            <w:pPr>
              <w:pStyle w:val="TableParagraph"/>
              <w:spacing w:before="120"/>
              <w:ind w:left="117" w:right="151"/>
              <w:rPr>
                <w:rFonts w:ascii="Arial Black"/>
              </w:rPr>
            </w:pPr>
            <w:r>
              <w:rPr>
                <w:rFonts w:ascii="Arial Black"/>
                <w:color w:val="FFFFFF"/>
              </w:rPr>
              <w:t>Fat Burner products</w:t>
            </w:r>
          </w:p>
        </w:tc>
        <w:tc>
          <w:tcPr>
            <w:tcW w:w="1843" w:type="dxa"/>
            <w:tcBorders>
              <w:left w:val="nil"/>
              <w:right w:val="nil"/>
            </w:tcBorders>
            <w:shd w:val="clear" w:color="auto" w:fill="006CA7"/>
          </w:tcPr>
          <w:p w:rsidR="007D76BB" w:rsidRDefault="00D70D28">
            <w:pPr>
              <w:pStyle w:val="TableParagraph"/>
              <w:spacing w:before="120"/>
              <w:ind w:left="115" w:right="107"/>
              <w:rPr>
                <w:rFonts w:ascii="Arial Black"/>
              </w:rPr>
            </w:pPr>
            <w:r>
              <w:rPr>
                <w:rFonts w:ascii="Arial Black"/>
                <w:color w:val="FFFFFF"/>
              </w:rPr>
              <w:t>Post-workout products</w:t>
            </w:r>
          </w:p>
        </w:tc>
        <w:tc>
          <w:tcPr>
            <w:tcW w:w="1829" w:type="dxa"/>
            <w:tcBorders>
              <w:left w:val="nil"/>
            </w:tcBorders>
            <w:shd w:val="clear" w:color="auto" w:fill="006CA7"/>
          </w:tcPr>
          <w:p w:rsidR="007D76BB" w:rsidRDefault="00D70D28">
            <w:pPr>
              <w:pStyle w:val="TableParagraph"/>
              <w:spacing w:before="120"/>
              <w:ind w:left="115" w:right="217"/>
              <w:rPr>
                <w:rFonts w:ascii="Arial Black"/>
              </w:rPr>
            </w:pPr>
            <w:r>
              <w:rPr>
                <w:rFonts w:ascii="Arial Black"/>
                <w:color w:val="FFFFFF"/>
              </w:rPr>
              <w:t>Pre-workout products</w:t>
            </w:r>
          </w:p>
        </w:tc>
      </w:tr>
      <w:tr w:rsidR="007D76BB">
        <w:trPr>
          <w:trHeight w:val="558"/>
        </w:trPr>
        <w:tc>
          <w:tcPr>
            <w:tcW w:w="3818" w:type="dxa"/>
          </w:tcPr>
          <w:p w:rsidR="007D76BB" w:rsidRDefault="00D70D28">
            <w:pPr>
              <w:pStyle w:val="TableParagraph"/>
              <w:spacing w:before="119"/>
              <w:ind w:left="107"/>
            </w:pPr>
            <w:r>
              <w:t>Powders, liquids, novel foods</w:t>
            </w:r>
          </w:p>
        </w:tc>
        <w:tc>
          <w:tcPr>
            <w:tcW w:w="1560" w:type="dxa"/>
          </w:tcPr>
          <w:p w:rsidR="007D76BB" w:rsidRDefault="00D70D28">
            <w:pPr>
              <w:pStyle w:val="TableParagraph"/>
              <w:spacing w:before="119"/>
              <w:ind w:left="107"/>
            </w:pPr>
            <w:r>
              <w:t>225</w:t>
            </w:r>
          </w:p>
        </w:tc>
        <w:tc>
          <w:tcPr>
            <w:tcW w:w="1843" w:type="dxa"/>
          </w:tcPr>
          <w:p w:rsidR="007D76BB" w:rsidRDefault="00D70D28">
            <w:pPr>
              <w:pStyle w:val="TableParagraph"/>
              <w:spacing w:before="119"/>
              <w:ind w:left="105"/>
            </w:pPr>
            <w:r>
              <w:t>160</w:t>
            </w:r>
          </w:p>
        </w:tc>
        <w:tc>
          <w:tcPr>
            <w:tcW w:w="1829" w:type="dxa"/>
          </w:tcPr>
          <w:p w:rsidR="007D76BB" w:rsidRDefault="00D70D28">
            <w:pPr>
              <w:pStyle w:val="TableParagraph"/>
              <w:spacing w:before="119"/>
              <w:ind w:left="105"/>
            </w:pPr>
            <w:r>
              <w:t>271</w:t>
            </w:r>
          </w:p>
        </w:tc>
      </w:tr>
      <w:tr w:rsidR="007D76BB">
        <w:trPr>
          <w:trHeight w:val="558"/>
        </w:trPr>
        <w:tc>
          <w:tcPr>
            <w:tcW w:w="3818" w:type="dxa"/>
          </w:tcPr>
          <w:p w:rsidR="007D76BB" w:rsidRDefault="00D70D28">
            <w:pPr>
              <w:pStyle w:val="TableParagraph"/>
              <w:spacing w:before="119"/>
              <w:ind w:left="107"/>
            </w:pPr>
            <w:r>
              <w:t>Tablets/capsules/pills</w:t>
            </w:r>
          </w:p>
        </w:tc>
        <w:tc>
          <w:tcPr>
            <w:tcW w:w="1560" w:type="dxa"/>
          </w:tcPr>
          <w:p w:rsidR="007D76BB" w:rsidRDefault="00D70D28">
            <w:pPr>
              <w:pStyle w:val="TableParagraph"/>
              <w:spacing w:before="119"/>
              <w:ind w:left="107"/>
            </w:pPr>
            <w:r>
              <w:t>114</w:t>
            </w:r>
          </w:p>
        </w:tc>
        <w:tc>
          <w:tcPr>
            <w:tcW w:w="1843" w:type="dxa"/>
          </w:tcPr>
          <w:p w:rsidR="007D76BB" w:rsidRDefault="00D70D28">
            <w:pPr>
              <w:pStyle w:val="TableParagraph"/>
              <w:spacing w:before="119"/>
              <w:ind w:left="105"/>
            </w:pPr>
            <w:r>
              <w:t>9</w:t>
            </w:r>
          </w:p>
        </w:tc>
        <w:tc>
          <w:tcPr>
            <w:tcW w:w="1829" w:type="dxa"/>
          </w:tcPr>
          <w:p w:rsidR="007D76BB" w:rsidRDefault="00D70D28">
            <w:pPr>
              <w:pStyle w:val="TableParagraph"/>
              <w:spacing w:before="119"/>
              <w:ind w:left="105"/>
            </w:pPr>
            <w:r>
              <w:t>9</w:t>
            </w:r>
          </w:p>
        </w:tc>
      </w:tr>
    </w:tbl>
    <w:p w:rsidR="007D76BB" w:rsidRDefault="00D70D28">
      <w:pPr>
        <w:pStyle w:val="BodyText"/>
        <w:spacing w:before="7"/>
        <w:rPr>
          <w:b/>
          <w:sz w:val="29"/>
        </w:rPr>
      </w:pPr>
      <w:r>
        <w:rPr>
          <w:noProof/>
          <w:lang w:val="en-AU" w:eastAsia="en-AU"/>
        </w:rPr>
        <mc:AlternateContent>
          <mc:Choice Requires="wps">
            <w:drawing>
              <wp:anchor distT="0" distB="0" distL="0" distR="0" simplePos="0" relativeHeight="251672576" behindDoc="1" locked="0" layoutInCell="1" allowOverlap="1">
                <wp:simplePos x="0" y="0"/>
                <wp:positionH relativeFrom="page">
                  <wp:posOffset>900430</wp:posOffset>
                </wp:positionH>
                <wp:positionV relativeFrom="paragraph">
                  <wp:posOffset>248920</wp:posOffset>
                </wp:positionV>
                <wp:extent cx="1828800" cy="1270"/>
                <wp:effectExtent l="0" t="0" r="0" b="0"/>
                <wp:wrapTopAndBottom/>
                <wp:docPr id="420" name="Freeform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3F023" id="Freeform 276" o:spid="_x0000_s1026" style="position:absolute;margin-left:70.9pt;margin-top:19.6pt;width:2in;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" path="m,l2880,e" filled="f" strokeweight=".6pt">
                <v:path arrowok="t" o:connecttype="custom" o:connectlocs="0,0;1828800,0" o:connectangles="0,0"/>
                <w10:wrap type="topAndBottom" anchorx="page"/>
              </v:shape>
            </w:pict>
          </mc:Fallback>
        </mc:AlternateContent>
      </w:r>
    </w:p>
    <w:p w:rsidR="007D76BB" w:rsidRDefault="00D70D28">
      <w:pPr>
        <w:spacing w:before="71"/>
        <w:ind w:left="198"/>
        <w:rPr>
          <w:sz w:val="20"/>
        </w:rPr>
      </w:pPr>
      <w:bookmarkStart w:id="63" w:name="_bookmark26"/>
      <w:bookmarkEnd w:id="63"/>
      <w:r>
        <w:rPr>
          <w:position w:val="5"/>
          <w:sz w:val="13"/>
        </w:rPr>
        <w:t xml:space="preserve">9 </w:t>
      </w:r>
      <w:r>
        <w:rPr>
          <w:sz w:val="20"/>
        </w:rPr>
        <w:t xml:space="preserve">Based on Noetic market analysis - see </w:t>
      </w:r>
      <w:hyperlink w:anchor="_bookmark67" w:history="1">
        <w:r>
          <w:rPr>
            <w:color w:val="0000FF"/>
            <w:sz w:val="20"/>
            <w:u w:val="single" w:color="0000FF"/>
          </w:rPr>
          <w:t>Appendix 1</w:t>
        </w:r>
      </w:hyperlink>
    </w:p>
    <w:p w:rsidR="007D76BB" w:rsidRDefault="007D76BB">
      <w:pPr>
        <w:rPr>
          <w:sz w:val="20"/>
        </w:rPr>
        <w:sectPr w:rsidR="007D76BB">
          <w:pgSz w:w="11910" w:h="16840"/>
          <w:pgMar w:top="840" w:right="820" w:bottom="1360" w:left="1220" w:header="572" w:footer="1178" w:gutter="0"/>
          <w:cols w:space="720"/>
        </w:sectPr>
      </w:pPr>
    </w:p>
    <w:p w:rsidR="007D76BB" w:rsidRDefault="007D76BB">
      <w:pPr>
        <w:pStyle w:val="BodyText"/>
        <w:spacing w:before="9"/>
        <w:rPr>
          <w:sz w:val="24"/>
        </w:rPr>
      </w:pPr>
    </w:p>
    <w:tbl>
      <w:tblPr>
        <w:tblW w:w="0" w:type="auto"/>
        <w:tblInd w:w="218" w:type="dxa"/>
        <w:tblBorders>
          <w:top w:val="single" w:sz="8" w:space="0" w:color="002C46"/>
          <w:left w:val="single" w:sz="8" w:space="0" w:color="002C46"/>
          <w:bottom w:val="single" w:sz="8" w:space="0" w:color="002C46"/>
          <w:right w:val="single" w:sz="8" w:space="0" w:color="002C46"/>
          <w:insideH w:val="single" w:sz="8" w:space="0" w:color="002C46"/>
          <w:insideV w:val="single" w:sz="8" w:space="0" w:color="002C46"/>
        </w:tblBorders>
        <w:tblLayout w:type="fixed"/>
        <w:tblCellMar>
          <w:left w:w="0" w:type="dxa"/>
          <w:right w:w="0" w:type="dxa"/>
        </w:tblCellMar>
        <w:tblLook w:val="01E0" w:firstRow="1" w:lastRow="1" w:firstColumn="1" w:lastColumn="1" w:noHBand="0" w:noVBand="0"/>
      </w:tblPr>
      <w:tblGrid>
        <w:gridCol w:w="3818"/>
        <w:gridCol w:w="1560"/>
        <w:gridCol w:w="1843"/>
        <w:gridCol w:w="1829"/>
      </w:tblGrid>
      <w:tr w:rsidR="007D76BB">
        <w:trPr>
          <w:trHeight w:val="920"/>
        </w:trPr>
        <w:tc>
          <w:tcPr>
            <w:tcW w:w="3818" w:type="dxa"/>
            <w:tcBorders>
              <w:right w:val="nil"/>
            </w:tcBorders>
            <w:shd w:val="clear" w:color="auto" w:fill="006CA7"/>
          </w:tcPr>
          <w:p w:rsidR="007D76BB" w:rsidRDefault="00D70D28">
            <w:pPr>
              <w:pStyle w:val="TableParagraph"/>
              <w:spacing w:before="122"/>
              <w:ind w:left="107"/>
              <w:rPr>
                <w:rFonts w:ascii="Arial Black"/>
              </w:rPr>
            </w:pPr>
            <w:r>
              <w:rPr>
                <w:rFonts w:ascii="Arial Black"/>
                <w:color w:val="FFFFFF"/>
              </w:rPr>
              <w:t>Presentation</w:t>
            </w:r>
          </w:p>
        </w:tc>
        <w:tc>
          <w:tcPr>
            <w:tcW w:w="1560" w:type="dxa"/>
            <w:tcBorders>
              <w:left w:val="nil"/>
              <w:right w:val="nil"/>
            </w:tcBorders>
            <w:shd w:val="clear" w:color="auto" w:fill="006CA7"/>
          </w:tcPr>
          <w:p w:rsidR="007D76BB" w:rsidRDefault="00D70D28">
            <w:pPr>
              <w:pStyle w:val="TableParagraph"/>
              <w:spacing w:before="122"/>
              <w:ind w:left="117" w:right="151"/>
              <w:rPr>
                <w:rFonts w:ascii="Arial Black"/>
              </w:rPr>
            </w:pPr>
            <w:r>
              <w:rPr>
                <w:rFonts w:ascii="Arial Black"/>
                <w:color w:val="FFFFFF"/>
              </w:rPr>
              <w:t>Fat Burner products</w:t>
            </w:r>
          </w:p>
        </w:tc>
        <w:tc>
          <w:tcPr>
            <w:tcW w:w="1843" w:type="dxa"/>
            <w:tcBorders>
              <w:left w:val="nil"/>
              <w:right w:val="nil"/>
            </w:tcBorders>
            <w:shd w:val="clear" w:color="auto" w:fill="006CA7"/>
          </w:tcPr>
          <w:p w:rsidR="007D76BB" w:rsidRDefault="00D70D28">
            <w:pPr>
              <w:pStyle w:val="TableParagraph"/>
              <w:spacing w:before="122"/>
              <w:ind w:left="115" w:right="107"/>
              <w:rPr>
                <w:rFonts w:ascii="Arial Black"/>
              </w:rPr>
            </w:pPr>
            <w:r>
              <w:rPr>
                <w:rFonts w:ascii="Arial Black"/>
                <w:color w:val="FFFFFF"/>
              </w:rPr>
              <w:t>Post-workout products</w:t>
            </w:r>
          </w:p>
        </w:tc>
        <w:tc>
          <w:tcPr>
            <w:tcW w:w="1829" w:type="dxa"/>
            <w:tcBorders>
              <w:left w:val="nil"/>
            </w:tcBorders>
            <w:shd w:val="clear" w:color="auto" w:fill="006CA7"/>
          </w:tcPr>
          <w:p w:rsidR="007D76BB" w:rsidRDefault="00D70D28">
            <w:pPr>
              <w:pStyle w:val="TableParagraph"/>
              <w:spacing w:before="122"/>
              <w:ind w:left="115" w:right="217"/>
              <w:rPr>
                <w:rFonts w:ascii="Arial Black"/>
              </w:rPr>
            </w:pPr>
            <w:r>
              <w:rPr>
                <w:rFonts w:ascii="Arial Black"/>
                <w:color w:val="FFFFFF"/>
              </w:rPr>
              <w:t>Pre-workout products</w:t>
            </w:r>
          </w:p>
        </w:tc>
      </w:tr>
      <w:tr w:rsidR="007D76BB">
        <w:trPr>
          <w:trHeight w:val="817"/>
        </w:trPr>
        <w:tc>
          <w:tcPr>
            <w:tcW w:w="3818" w:type="dxa"/>
            <w:shd w:val="clear" w:color="auto" w:fill="D9D9D9"/>
          </w:tcPr>
          <w:p w:rsidR="007D76BB" w:rsidRDefault="00D70D28">
            <w:pPr>
              <w:pStyle w:val="TableParagraph"/>
              <w:spacing w:before="121"/>
              <w:ind w:left="107" w:right="103"/>
              <w:rPr>
                <w:b/>
              </w:rPr>
            </w:pPr>
            <w:r>
              <w:rPr>
                <w:b/>
              </w:rPr>
              <w:t>Percentage of product category presented as tablets/capsules/pills</w:t>
            </w:r>
          </w:p>
        </w:tc>
        <w:tc>
          <w:tcPr>
            <w:tcW w:w="1560" w:type="dxa"/>
            <w:shd w:val="clear" w:color="auto" w:fill="D9D9D9"/>
          </w:tcPr>
          <w:p w:rsidR="007D76BB" w:rsidRDefault="00D70D28">
            <w:pPr>
              <w:pStyle w:val="TableParagraph"/>
              <w:spacing w:before="121"/>
              <w:ind w:left="107"/>
              <w:rPr>
                <w:b/>
              </w:rPr>
            </w:pPr>
            <w:r>
              <w:rPr>
                <w:b/>
              </w:rPr>
              <w:t>51%</w:t>
            </w:r>
          </w:p>
        </w:tc>
        <w:tc>
          <w:tcPr>
            <w:tcW w:w="1843" w:type="dxa"/>
            <w:shd w:val="clear" w:color="auto" w:fill="D9D9D9"/>
          </w:tcPr>
          <w:p w:rsidR="007D76BB" w:rsidRDefault="00D70D28">
            <w:pPr>
              <w:pStyle w:val="TableParagraph"/>
              <w:spacing w:before="121"/>
              <w:ind w:left="105"/>
              <w:rPr>
                <w:b/>
              </w:rPr>
            </w:pPr>
            <w:r>
              <w:rPr>
                <w:b/>
              </w:rPr>
              <w:t>6%</w:t>
            </w:r>
          </w:p>
        </w:tc>
        <w:tc>
          <w:tcPr>
            <w:tcW w:w="1829" w:type="dxa"/>
            <w:shd w:val="clear" w:color="auto" w:fill="D9D9D9"/>
          </w:tcPr>
          <w:p w:rsidR="007D76BB" w:rsidRDefault="00D70D28">
            <w:pPr>
              <w:pStyle w:val="TableParagraph"/>
              <w:spacing w:before="121"/>
              <w:ind w:left="105"/>
              <w:rPr>
                <w:b/>
              </w:rPr>
            </w:pPr>
            <w:r>
              <w:rPr>
                <w:b/>
              </w:rPr>
              <w:t>3%</w:t>
            </w:r>
          </w:p>
        </w:tc>
      </w:tr>
    </w:tbl>
    <w:p w:rsidR="007D76BB" w:rsidRDefault="00D70D28">
      <w:pPr>
        <w:pStyle w:val="BodyText"/>
        <w:spacing w:before="119"/>
        <w:ind w:left="198" w:right="639"/>
      </w:pPr>
      <w:r>
        <w:t>The significance of the above information is that, not only is the product category of ‘fat burners’ the most common sports supplement product category presented as tablets, capsules and pills, this category has also been linked to serious events in Australia. In 2018, the NSW Ministry of Health advised of significant adverse events from the category of products known as ‘fat burners’ or ‘shredders’ and urged the public to avoid any product from an unverified source being promoted as a weight-loss agent (28).</w:t>
      </w:r>
    </w:p>
    <w:p w:rsidR="007D76BB" w:rsidRDefault="00D70D28">
      <w:pPr>
        <w:pStyle w:val="BodyText"/>
        <w:spacing w:before="181"/>
        <w:ind w:left="198" w:right="623"/>
      </w:pPr>
      <w:r>
        <w:t>Due to the potential safety concerns associated with products presented as tablets, capsules and pills, sports supplement products making therapeutic indications and presented in medicinal forms should be subjected to the same manufacturing requirements of therapeutic goods to ensure their safe use. These dosage forms are generally used to deliver concentrated amounts of ‘active’ ingredients which, combined with therapeutic indications, would more closely align with their being regulated under the therapeutic goods framework to ensure their quality, safety and efficacy and protect public health.</w:t>
      </w:r>
    </w:p>
    <w:p w:rsidR="007D76BB" w:rsidRDefault="007D76BB">
      <w:pPr>
        <w:pStyle w:val="BodyText"/>
        <w:rPr>
          <w:sz w:val="26"/>
        </w:rPr>
      </w:pPr>
    </w:p>
    <w:p w:rsidR="007D76BB" w:rsidRDefault="00D70D28">
      <w:pPr>
        <w:pStyle w:val="Heading3"/>
        <w:spacing w:before="170"/>
      </w:pPr>
      <w:bookmarkStart w:id="64" w:name="The_problem_with_current_legislation"/>
      <w:bookmarkStart w:id="65" w:name="_bookmark27"/>
      <w:bookmarkEnd w:id="64"/>
      <w:bookmarkEnd w:id="65"/>
      <w:r>
        <w:t>The problem with current legislation</w:t>
      </w:r>
    </w:p>
    <w:p w:rsidR="007D76BB" w:rsidRDefault="00D70D28">
      <w:pPr>
        <w:pStyle w:val="BodyText"/>
        <w:spacing w:before="124"/>
        <w:ind w:left="198" w:right="709"/>
      </w:pPr>
      <w:r>
        <w:t xml:space="preserve">‘Sports supplements’ is a broad category of products promoted to improve or maintain physical or mental performance in sport, exercise or other recreational activity that differ markedly in terms of ingredients, instructions for use, labelling and dosage forms (for example powder, drink, tablet or capsule). A sports supplement, like many other products for oral consumption, can be either food or a medicine in law depending on the specific combination of ingredients, claims and overall presentation. For instance, two products with the same formulation may be </w:t>
      </w:r>
      <w:proofErr w:type="spellStart"/>
      <w:r>
        <w:t>characterised</w:t>
      </w:r>
      <w:proofErr w:type="spellEnd"/>
      <w:r>
        <w:t xml:space="preserve"> differently—one as a food and the other as a medicine—depending on their claims, label artwork and other aspects of their packaging and advertising. However, a product cannot simultaneously be both a food and a medicine in law. Refer to </w:t>
      </w:r>
      <w:hyperlink w:anchor="_bookmark28" w:history="1">
        <w:r>
          <w:rPr>
            <w:color w:val="0000FF"/>
            <w:u w:val="single" w:color="0000FF"/>
          </w:rPr>
          <w:t>Current regulatory</w:t>
        </w:r>
      </w:hyperlink>
      <w:r>
        <w:rPr>
          <w:color w:val="0000FF"/>
        </w:rPr>
        <w:t xml:space="preserve"> </w:t>
      </w:r>
      <w:hyperlink w:anchor="_bookmark28" w:history="1">
        <w:r>
          <w:rPr>
            <w:color w:val="0000FF"/>
            <w:u w:val="single" w:color="0000FF"/>
          </w:rPr>
          <w:t>frameworks for food and medicine</w:t>
        </w:r>
        <w:r>
          <w:rPr>
            <w:color w:val="0000FF"/>
          </w:rPr>
          <w:t xml:space="preserve"> </w:t>
        </w:r>
      </w:hyperlink>
      <w:r>
        <w:t>for information on the different regulatory frameworks for food and medicines.</w:t>
      </w:r>
    </w:p>
    <w:p w:rsidR="007D76BB" w:rsidRDefault="00D70D28">
      <w:pPr>
        <w:pStyle w:val="BodyText"/>
        <w:spacing w:before="179"/>
        <w:ind w:left="198" w:right="827"/>
      </w:pPr>
      <w:r>
        <w:t xml:space="preserve">Ambiguity as to whether products are food or medicine gives rise to the notion of the </w:t>
      </w:r>
      <w:r>
        <w:rPr>
          <w:b/>
        </w:rPr>
        <w:t xml:space="preserve">food- medicine interface </w:t>
      </w:r>
      <w:r>
        <w:t>(FMI), requiring that a detailed technical assessment of their formulation, claims and presentation is conducted to determine the regulatory status of some goods under law. Minor changes to one or more of these attributes may result in a product changing from being a medicine to a food in law, or vice versa.</w:t>
      </w:r>
    </w:p>
    <w:p w:rsidR="007D76BB" w:rsidRDefault="00D70D28">
      <w:pPr>
        <w:pStyle w:val="BodyText"/>
        <w:spacing w:before="182"/>
        <w:ind w:left="198" w:right="671"/>
      </w:pPr>
      <w:r>
        <w:t xml:space="preserve">Currently there is a lack of legal clarity in food and therapeutic goods legislation to determine the regulatory status of sports supplements as foods or medicines. This delays regulatory action where safety concerns occur, as it is not clear in law whether the </w:t>
      </w:r>
      <w:r>
        <w:lastRenderedPageBreak/>
        <w:t>therapeutic good regulator or the food regulators have jurisdictional responsibility for these products.</w:t>
      </w:r>
    </w:p>
    <w:p w:rsidR="007D76BB" w:rsidRDefault="00D70D28">
      <w:pPr>
        <w:spacing w:before="180"/>
        <w:ind w:left="198"/>
      </w:pPr>
      <w:r>
        <w:t xml:space="preserve">Sub-section 3(1) of the TG Act provides that </w:t>
      </w:r>
      <w:r>
        <w:rPr>
          <w:b/>
        </w:rPr>
        <w:t xml:space="preserve">therapeutic goods </w:t>
      </w:r>
      <w:r>
        <w:t>are:</w:t>
      </w:r>
    </w:p>
    <w:p w:rsidR="007D76BB" w:rsidRDefault="00D70D28">
      <w:pPr>
        <w:spacing w:before="186" w:line="244" w:lineRule="auto"/>
        <w:ind w:left="918" w:right="830" w:hanging="1"/>
        <w:rPr>
          <w:sz w:val="20"/>
        </w:rPr>
      </w:pPr>
      <w:r>
        <w:rPr>
          <w:i/>
          <w:sz w:val="20"/>
        </w:rPr>
        <w:t>'</w:t>
      </w:r>
      <w:proofErr w:type="gramStart"/>
      <w:r>
        <w:rPr>
          <w:i/>
          <w:sz w:val="20"/>
        </w:rPr>
        <w:t>goods</w:t>
      </w:r>
      <w:proofErr w:type="gramEnd"/>
      <w:r>
        <w:rPr>
          <w:i/>
          <w:sz w:val="20"/>
        </w:rPr>
        <w:t xml:space="preserve"> that are represented in any way to be, or that are, whether because of the way in which the goods are presented or for any other reason, likely to be taken to be for therapeutic use</w:t>
      </w:r>
      <w:r>
        <w:rPr>
          <w:sz w:val="20"/>
        </w:rPr>
        <w:t>'</w:t>
      </w:r>
    </w:p>
    <w:p w:rsidR="007D76BB" w:rsidRDefault="00D70D28">
      <w:pPr>
        <w:spacing w:before="175"/>
        <w:ind w:left="198"/>
      </w:pPr>
      <w:proofErr w:type="gramStart"/>
      <w:r>
        <w:t>with</w:t>
      </w:r>
      <w:proofErr w:type="gramEnd"/>
      <w:r>
        <w:t xml:space="preserve"> </w:t>
      </w:r>
      <w:r>
        <w:rPr>
          <w:b/>
        </w:rPr>
        <w:t xml:space="preserve">therapeutic use </w:t>
      </w:r>
      <w:r>
        <w:t>relevantly defined as:</w:t>
      </w:r>
    </w:p>
    <w:p w:rsidR="007D76BB" w:rsidRDefault="00D70D28">
      <w:pPr>
        <w:spacing w:before="188" w:line="244" w:lineRule="auto"/>
        <w:ind w:left="918" w:right="1270"/>
        <w:rPr>
          <w:i/>
          <w:sz w:val="20"/>
        </w:rPr>
      </w:pPr>
      <w:r>
        <w:rPr>
          <w:sz w:val="20"/>
        </w:rPr>
        <w:t>‘</w:t>
      </w:r>
      <w:proofErr w:type="gramStart"/>
      <w:r>
        <w:rPr>
          <w:i/>
          <w:sz w:val="20"/>
        </w:rPr>
        <w:t>use</w:t>
      </w:r>
      <w:proofErr w:type="gramEnd"/>
      <w:r>
        <w:rPr>
          <w:i/>
          <w:sz w:val="20"/>
        </w:rPr>
        <w:t xml:space="preserve"> in or in connection with </w:t>
      </w:r>
      <w:r>
        <w:rPr>
          <w:sz w:val="20"/>
        </w:rPr>
        <w:t xml:space="preserve">… </w:t>
      </w:r>
      <w:r>
        <w:rPr>
          <w:i/>
          <w:sz w:val="20"/>
        </w:rPr>
        <w:t>influencing, inhibiting or modifying a physiological process in persons’.</w:t>
      </w:r>
    </w:p>
    <w:p w:rsidR="007D76BB" w:rsidRDefault="007D76BB">
      <w:pPr>
        <w:spacing w:line="244" w:lineRule="auto"/>
        <w:rPr>
          <w:sz w:val="20"/>
        </w:rPr>
        <w:sectPr w:rsidR="007D76BB">
          <w:pgSz w:w="11910" w:h="16840"/>
          <w:pgMar w:top="840" w:right="820" w:bottom="1360" w:left="1220" w:header="572" w:footer="1178" w:gutter="0"/>
          <w:cols w:space="720"/>
        </w:sectPr>
      </w:pPr>
    </w:p>
    <w:p w:rsidR="007D76BB" w:rsidRDefault="007D76BB">
      <w:pPr>
        <w:pStyle w:val="BodyText"/>
        <w:spacing w:before="1"/>
        <w:rPr>
          <w:i/>
          <w:sz w:val="16"/>
        </w:rPr>
      </w:pPr>
    </w:p>
    <w:p w:rsidR="007D76BB" w:rsidRDefault="00D70D28">
      <w:pPr>
        <w:spacing w:before="101"/>
        <w:ind w:left="198" w:right="658"/>
      </w:pPr>
      <w:r>
        <w:t>However, the TG Act stipulates [under sub-section 3(1</w:t>
      </w:r>
      <w:proofErr w:type="gramStart"/>
      <w:r>
        <w:t>)(</w:t>
      </w:r>
      <w:proofErr w:type="gramEnd"/>
      <w:r>
        <w:t xml:space="preserve">e)] that products are </w:t>
      </w:r>
      <w:r>
        <w:rPr>
          <w:u w:val="single"/>
        </w:rPr>
        <w:t>not</w:t>
      </w:r>
      <w:r>
        <w:t xml:space="preserve"> therapeutic goods if there is an existing Food Standard for goods. The existence of Food Standard 2.9.4 – Formulated Supplementary Sports Foods can mean that a product (meeting the requirements of the Standard) that is ‘</w:t>
      </w:r>
      <w:r>
        <w:rPr>
          <w:i/>
        </w:rPr>
        <w:t xml:space="preserve">specifically formulated to assist sports people in achieving specific nutrition or performance goals’ </w:t>
      </w:r>
      <w:r>
        <w:t>is a food and therefore, falls outside the scope of the therapeutic goods regulatory framework .</w:t>
      </w:r>
    </w:p>
    <w:p w:rsidR="007D76BB" w:rsidRDefault="00D70D28">
      <w:pPr>
        <w:pStyle w:val="Heading7"/>
        <w:spacing w:before="181"/>
        <w:ind w:right="819"/>
      </w:pPr>
      <w:r>
        <w:t>Why the problems with current legislation impede appropriate regulatory enforcement to address safety concerns</w:t>
      </w:r>
    </w:p>
    <w:p w:rsidR="007D76BB" w:rsidRDefault="00D70D28">
      <w:pPr>
        <w:pStyle w:val="BodyText"/>
        <w:spacing w:before="180"/>
        <w:ind w:left="198" w:right="635"/>
      </w:pPr>
      <w:r>
        <w:t>The existence of Food Standard 2.9.4 means that sports supplements, irrespective of the ingredients they contain or their presentation, can be argued to fall out of the remit of the TGA because they can claim to be specifically formulated to assist sports people in achieving specific nutrition or performance goals. The weakness in this argument is that many of the products that are claimed to be ‘formulated supplementary sports foods’ principally or solely contain active ingredients that have no proper or legitimate use in sports nutrition. Further, some of the products principally or solely contain active ingredients the use of which is prohibited in sport. Nevertheless, the issue is open to interpretation and therefore exposes regulatory actions to the risk of delay and obfuscation through vexatious legal argument.</w:t>
      </w:r>
    </w:p>
    <w:p w:rsidR="007D76BB" w:rsidRDefault="00D70D28">
      <w:pPr>
        <w:pStyle w:val="BodyText"/>
        <w:spacing w:before="179"/>
        <w:ind w:left="198" w:right="751"/>
      </w:pPr>
      <w:r>
        <w:t>Where, for example, safety concerns have arisen that require urgent enforcement activity to address significant safety risks to consumers (such as a product marketed as a food found to contain illegal drugs, such as substances in Schedules 4, 9 and 10 to the Poisons Standard), the lack of legal clarity can result in unnecessarily lengthy and costly preparation for court proceedings intended to enforce compliance with the TG Act, which causes significant delays in action to protect consumer safety.</w:t>
      </w:r>
    </w:p>
    <w:p w:rsidR="007D76BB" w:rsidRDefault="00D70D28">
      <w:pPr>
        <w:pStyle w:val="BodyText"/>
        <w:spacing w:before="181"/>
        <w:ind w:left="198" w:right="691"/>
      </w:pPr>
      <w:r>
        <w:t xml:space="preserve">This is the case because the definition used in Food Standard 2.9.4 to describe such foods, ‘specifically formulated to assist sports people in achieving specific nutrition or performance goals’ requires that the formulation of the sports supplement be </w:t>
      </w:r>
      <w:proofErr w:type="spellStart"/>
      <w:r>
        <w:t>analysed</w:t>
      </w:r>
      <w:proofErr w:type="spellEnd"/>
      <w:r>
        <w:t xml:space="preserve"> to decide whether it does fall within the terms of the standard. This analysis needs to be performed in relation to the formulation of the product as a whole, and involves consideration of the properties of each ingredient in the product. Where the goods may be directed towards meeting a performance goal (for example, because they have no potential nutritional benefit), this is assessed in accordance with the International Olympic Committee step-by-step assessment – relevantly:</w:t>
      </w:r>
    </w:p>
    <w:p w:rsidR="007D76BB" w:rsidRDefault="00D70D28">
      <w:pPr>
        <w:pStyle w:val="ListParagraph"/>
        <w:numPr>
          <w:ilvl w:val="0"/>
          <w:numId w:val="72"/>
        </w:numPr>
        <w:tabs>
          <w:tab w:val="left" w:pos="558"/>
          <w:tab w:val="left" w:pos="559"/>
        </w:tabs>
        <w:ind w:left="558"/>
      </w:pPr>
      <w:r>
        <w:t>whether the product is safe for</w:t>
      </w:r>
      <w:r>
        <w:rPr>
          <w:spacing w:val="-11"/>
        </w:rPr>
        <w:t xml:space="preserve"> </w:t>
      </w:r>
      <w:r>
        <w:t>use</w:t>
      </w:r>
    </w:p>
    <w:p w:rsidR="007D76BB" w:rsidRDefault="00D70D28">
      <w:pPr>
        <w:pStyle w:val="ListParagraph"/>
        <w:numPr>
          <w:ilvl w:val="0"/>
          <w:numId w:val="72"/>
        </w:numPr>
        <w:tabs>
          <w:tab w:val="left" w:pos="558"/>
          <w:tab w:val="left" w:pos="559"/>
        </w:tabs>
        <w:spacing w:before="179"/>
        <w:ind w:left="558" w:right="917"/>
      </w:pPr>
      <w:r>
        <w:t>whether there is evidence that the product is effective in delivering an outcome related to performance</w:t>
      </w:r>
    </w:p>
    <w:p w:rsidR="007D76BB" w:rsidRDefault="00D70D28">
      <w:pPr>
        <w:pStyle w:val="ListParagraph"/>
        <w:numPr>
          <w:ilvl w:val="0"/>
          <w:numId w:val="72"/>
        </w:numPr>
        <w:tabs>
          <w:tab w:val="left" w:pos="558"/>
          <w:tab w:val="left" w:pos="559"/>
        </w:tabs>
        <w:ind w:left="558"/>
      </w:pPr>
      <w:r>
        <w:t>if the product is permitted to be used in</w:t>
      </w:r>
      <w:r>
        <w:rPr>
          <w:spacing w:val="-12"/>
        </w:rPr>
        <w:t xml:space="preserve"> </w:t>
      </w:r>
      <w:r>
        <w:t>sport</w:t>
      </w:r>
    </w:p>
    <w:p w:rsidR="007D76BB" w:rsidRDefault="00D70D28">
      <w:pPr>
        <w:pStyle w:val="BodyText"/>
        <w:spacing w:before="182"/>
        <w:ind w:left="198" w:right="638"/>
      </w:pPr>
      <w:r>
        <w:t xml:space="preserve">If, as is often the case, a product contains multiple active ingredients, this analysis is very time consuming, particularly if it needs </w:t>
      </w:r>
      <w:r>
        <w:lastRenderedPageBreak/>
        <w:t>to be undertaken by an independent expert witness for the purpose of litigation. Many substances used in such products may be subject to little to no reliable research, and this uncertainty increases where substances can interact in a variety of ways when consumed together, with outcomes including synergistic effects and negative effects. Burke and Peeling (2018) state that “the scientiﬁc literature, which has only just started to address supplement combinations, fails to provide evidence for an optimal protocol for combining the use of some or all of these supplements. Indeed, it would be almost impossible to conduct a study in which the independent and interactive effects of each of the combinations of these products could be tracked” (49).</w:t>
      </w:r>
    </w:p>
    <w:p w:rsidR="007D76BB" w:rsidRDefault="00D70D28">
      <w:pPr>
        <w:pStyle w:val="BodyText"/>
        <w:spacing w:before="178"/>
        <w:ind w:left="198" w:right="681"/>
      </w:pPr>
      <w:r>
        <w:t>The consequence of the above is a continued risk of consumer exposure to unsafe products, as well as a significant waste of Government resources and taxpayer’s money in pursuing legal proceedings. Any legal ambiguity increases the risk that suppliers of unsafe products will refuse</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8" w:right="671"/>
      </w:pPr>
      <w:proofErr w:type="gramStart"/>
      <w:r>
        <w:t>to</w:t>
      </w:r>
      <w:proofErr w:type="gramEnd"/>
      <w:r>
        <w:t xml:space="preserve"> comply with TGA warnings to cease supplying those products, with the result that consumers may continue to be exposed to the risks of those products for an extended period of time while the necessary steps are taken to commence court proceedings or otherwise bring an end to the supply of those products.</w:t>
      </w:r>
    </w:p>
    <w:p w:rsidR="007D76BB" w:rsidRDefault="00D70D28">
      <w:pPr>
        <w:pStyle w:val="BodyText"/>
        <w:spacing w:before="181"/>
        <w:ind w:left="198" w:right="605"/>
      </w:pPr>
      <w:r>
        <w:t>In contrast, an appropriately worded instrument under section 7 of the TG Act would clearly and irrefutably settle the parameters by which a product at the FMI is a therapeutic good with resultant improvements for safety outcomes.</w:t>
      </w:r>
    </w:p>
    <w:p w:rsidR="007D76BB" w:rsidRDefault="00D70D28">
      <w:pPr>
        <w:pStyle w:val="Heading7"/>
        <w:spacing w:before="181"/>
      </w:pPr>
      <w:r>
        <w:t>Problems with Food Standard 2.9.4</w:t>
      </w:r>
    </w:p>
    <w:p w:rsidR="007D76BB" w:rsidRDefault="00D70D28">
      <w:pPr>
        <w:pStyle w:val="BodyText"/>
        <w:spacing w:before="179"/>
        <w:ind w:left="198" w:right="737"/>
        <w:jc w:val="both"/>
      </w:pPr>
      <w:r>
        <w:t>Food Standard 2.94 provides a number of requirements for a product to be marketed as a FSSF, for example: labelling, nutritional requirements. However, it does not expressly exclude certain products from being foods, namely:</w:t>
      </w:r>
    </w:p>
    <w:p w:rsidR="007D76BB" w:rsidRDefault="00D70D28">
      <w:pPr>
        <w:pStyle w:val="ListParagraph"/>
        <w:numPr>
          <w:ilvl w:val="0"/>
          <w:numId w:val="72"/>
        </w:numPr>
        <w:tabs>
          <w:tab w:val="left" w:pos="558"/>
          <w:tab w:val="left" w:pos="559"/>
        </w:tabs>
        <w:spacing w:before="181"/>
        <w:ind w:left="558"/>
      </w:pPr>
      <w:r>
        <w:t>products with ingredients included as substances in a schedule to Poisons</w:t>
      </w:r>
      <w:r>
        <w:rPr>
          <w:spacing w:val="-16"/>
        </w:rPr>
        <w:t xml:space="preserve"> </w:t>
      </w:r>
      <w:r>
        <w:t>Standard</w:t>
      </w:r>
    </w:p>
    <w:p w:rsidR="007D76BB" w:rsidRDefault="00D70D28">
      <w:pPr>
        <w:pStyle w:val="ListParagraph"/>
        <w:numPr>
          <w:ilvl w:val="0"/>
          <w:numId w:val="72"/>
        </w:numPr>
        <w:tabs>
          <w:tab w:val="left" w:pos="558"/>
          <w:tab w:val="left" w:pos="559"/>
        </w:tabs>
        <w:spacing w:before="179"/>
        <w:ind w:left="558"/>
      </w:pPr>
      <w:r>
        <w:t>products with ingredients included in the WADC Prohibited</w:t>
      </w:r>
      <w:r>
        <w:rPr>
          <w:spacing w:val="-11"/>
        </w:rPr>
        <w:t xml:space="preserve"> </w:t>
      </w:r>
      <w:r>
        <w:t>list</w:t>
      </w:r>
    </w:p>
    <w:p w:rsidR="007D76BB" w:rsidRDefault="00D70D28">
      <w:pPr>
        <w:pStyle w:val="ListParagraph"/>
        <w:numPr>
          <w:ilvl w:val="0"/>
          <w:numId w:val="72"/>
        </w:numPr>
        <w:tabs>
          <w:tab w:val="left" w:pos="558"/>
          <w:tab w:val="left" w:pos="559"/>
        </w:tabs>
        <w:spacing w:before="181"/>
        <w:ind w:left="558"/>
      </w:pPr>
      <w:r>
        <w:t>products presented in a form associated with medicines, such as a</w:t>
      </w:r>
      <w:r>
        <w:rPr>
          <w:spacing w:val="-17"/>
        </w:rPr>
        <w:t xml:space="preserve"> </w:t>
      </w:r>
      <w:r>
        <w:t>capsule</w:t>
      </w:r>
    </w:p>
    <w:p w:rsidR="007D76BB" w:rsidRDefault="00D70D28">
      <w:pPr>
        <w:pStyle w:val="BodyText"/>
        <w:spacing w:before="179"/>
        <w:ind w:left="198" w:right="757"/>
        <w:jc w:val="both"/>
      </w:pPr>
      <w:r>
        <w:t>This means that such products, while clearly medicines due to their higher risk ingredients and presentation, could be legally argued in court to be outside the remit of the TGA.</w:t>
      </w:r>
    </w:p>
    <w:p w:rsidR="007D76BB" w:rsidRDefault="00D70D28">
      <w:pPr>
        <w:pStyle w:val="BodyText"/>
        <w:spacing w:before="180"/>
        <w:ind w:left="198" w:right="590"/>
      </w:pPr>
      <w:r>
        <w:t>Food Standard 2.9.4 was introduced in 1998 and in the past 20 years, there have been significant changes in the sports food supplement marketplace, such as:</w:t>
      </w:r>
    </w:p>
    <w:p w:rsidR="007D76BB" w:rsidRDefault="00D70D28">
      <w:pPr>
        <w:pStyle w:val="ListParagraph"/>
        <w:numPr>
          <w:ilvl w:val="0"/>
          <w:numId w:val="72"/>
        </w:numPr>
        <w:tabs>
          <w:tab w:val="left" w:pos="558"/>
          <w:tab w:val="left" w:pos="559"/>
        </w:tabs>
        <w:ind w:left="558"/>
      </w:pPr>
      <w:r>
        <w:t>expansion of the number and types of products available in the</w:t>
      </w:r>
      <w:r>
        <w:rPr>
          <w:spacing w:val="-15"/>
        </w:rPr>
        <w:t xml:space="preserve"> </w:t>
      </w:r>
      <w:r>
        <w:t>market</w:t>
      </w:r>
    </w:p>
    <w:p w:rsidR="007D76BB" w:rsidRDefault="00D70D28">
      <w:pPr>
        <w:pStyle w:val="ListParagraph"/>
        <w:numPr>
          <w:ilvl w:val="0"/>
          <w:numId w:val="72"/>
        </w:numPr>
        <w:tabs>
          <w:tab w:val="left" w:pos="559"/>
          <w:tab w:val="left" w:pos="560"/>
        </w:tabs>
        <w:spacing w:before="179"/>
        <w:ind w:left="559"/>
      </w:pPr>
      <w:r>
        <w:t>increased consumer demand for these products, particularly products to assist</w:t>
      </w:r>
      <w:r>
        <w:rPr>
          <w:spacing w:val="-18"/>
        </w:rPr>
        <w:t xml:space="preserve"> </w:t>
      </w:r>
      <w:r>
        <w:t>workouts</w:t>
      </w:r>
    </w:p>
    <w:p w:rsidR="007D76BB" w:rsidRDefault="00D70D28">
      <w:pPr>
        <w:pStyle w:val="ListParagraph"/>
        <w:numPr>
          <w:ilvl w:val="0"/>
          <w:numId w:val="72"/>
        </w:numPr>
        <w:tabs>
          <w:tab w:val="left" w:pos="559"/>
          <w:tab w:val="left" w:pos="560"/>
        </w:tabs>
        <w:spacing w:before="181"/>
        <w:ind w:left="559" w:right="1142"/>
      </w:pPr>
      <w:r>
        <w:t>products now on the market are compositionally very different from those available 20 years ago</w:t>
      </w:r>
    </w:p>
    <w:p w:rsidR="007D76BB" w:rsidRDefault="00D70D28">
      <w:pPr>
        <w:pStyle w:val="ListParagraph"/>
        <w:numPr>
          <w:ilvl w:val="0"/>
          <w:numId w:val="72"/>
        </w:numPr>
        <w:tabs>
          <w:tab w:val="left" w:pos="559"/>
          <w:tab w:val="left" w:pos="560"/>
        </w:tabs>
        <w:spacing w:before="181"/>
        <w:ind w:left="559"/>
      </w:pPr>
      <w:r>
        <w:t>internet sales are more prevalent- domestic and</w:t>
      </w:r>
      <w:r>
        <w:rPr>
          <w:spacing w:val="-7"/>
        </w:rPr>
        <w:t xml:space="preserve"> </w:t>
      </w:r>
      <w:r>
        <w:t>international</w:t>
      </w:r>
    </w:p>
    <w:p w:rsidR="007D76BB" w:rsidRDefault="00D70D28">
      <w:pPr>
        <w:pStyle w:val="ListParagraph"/>
        <w:numPr>
          <w:ilvl w:val="0"/>
          <w:numId w:val="72"/>
        </w:numPr>
        <w:tabs>
          <w:tab w:val="left" w:pos="559"/>
          <w:tab w:val="left" w:pos="560"/>
        </w:tabs>
        <w:spacing w:before="178"/>
        <w:ind w:left="559"/>
      </w:pPr>
      <w:r>
        <w:t>imports being a common source of product</w:t>
      </w:r>
      <w:r>
        <w:rPr>
          <w:spacing w:val="-9"/>
        </w:rPr>
        <w:t xml:space="preserve"> </w:t>
      </w:r>
      <w:r>
        <w:t>supply</w:t>
      </w:r>
    </w:p>
    <w:p w:rsidR="007D76BB" w:rsidRDefault="00D70D28">
      <w:pPr>
        <w:pStyle w:val="ListParagraph"/>
        <w:numPr>
          <w:ilvl w:val="0"/>
          <w:numId w:val="72"/>
        </w:numPr>
        <w:tabs>
          <w:tab w:val="left" w:pos="559"/>
          <w:tab w:val="left" w:pos="560"/>
        </w:tabs>
        <w:spacing w:before="182"/>
        <w:ind w:left="559" w:right="629"/>
      </w:pPr>
      <w:r>
        <w:t>proliferation of advertising for these products, particularly personal endorsements by media influencers in social media</w:t>
      </w:r>
      <w:r>
        <w:rPr>
          <w:spacing w:val="-7"/>
        </w:rPr>
        <w:t xml:space="preserve"> </w:t>
      </w:r>
      <w:r>
        <w:t>channels</w:t>
      </w:r>
    </w:p>
    <w:p w:rsidR="007D76BB" w:rsidRDefault="00D70D28">
      <w:pPr>
        <w:pStyle w:val="BodyText"/>
        <w:spacing w:before="180"/>
        <w:ind w:left="199" w:right="1277"/>
      </w:pPr>
      <w:r>
        <w:t>This changing landscape means that these products are now far more easily available to a broader range of consumers than was the case when the Standard was first developed.</w:t>
      </w:r>
    </w:p>
    <w:p w:rsidR="007D76BB" w:rsidRDefault="00D70D28">
      <w:pPr>
        <w:pStyle w:val="BodyText"/>
        <w:spacing w:before="180"/>
        <w:ind w:left="199" w:right="593"/>
      </w:pPr>
      <w:r>
        <w:t>At the Department of Health Sports Supplements Roundtable, held in August 2018, it was broadly agreed by participants that Standard 2.9.4 was no longer fit for purpose (1). FSANZ has now commenced a review of the Standard (50). While a review of the Stand</w:t>
      </w:r>
      <w:r>
        <w:lastRenderedPageBreak/>
        <w:t>ard will be welcomed by industry and other stakeholders, the purpose of a food standard is to set the safety standards and labelling for a food, not to explicitly determine if a good is a food or a therapeutic good in law. That given, the review of the Standard provides an opportunity to further improve the legal clarity of these</w:t>
      </w:r>
      <w:r>
        <w:rPr>
          <w:spacing w:val="-5"/>
        </w:rPr>
        <w:t xml:space="preserve"> </w:t>
      </w:r>
      <w:r>
        <w:t>goods.</w:t>
      </w:r>
    </w:p>
    <w:p w:rsidR="007D76BB" w:rsidRDefault="00D70D28">
      <w:pPr>
        <w:pStyle w:val="Heading7"/>
        <w:spacing w:before="179"/>
        <w:ind w:left="199" w:right="1726"/>
      </w:pPr>
      <w:r>
        <w:t>Problems with the Trans-Tasman Mutual Recognition Arrangement and sports supplements</w:t>
      </w:r>
    </w:p>
    <w:p w:rsidR="007D76BB" w:rsidRDefault="00D70D28">
      <w:pPr>
        <w:pStyle w:val="BodyText"/>
        <w:spacing w:before="180"/>
        <w:ind w:left="199" w:right="748"/>
      </w:pPr>
      <w:r>
        <w:t>Another problem with current legislation is associated with sports supplements and the Trans- Tasman Mutual Recognition Arrangement (TTMRA). The TTMRA is a non-treaty arrangement between New Zealand and Australia’s Commonwealth, state and territory governments, which allows for goods (excluding therapeutic goods) legally sold in New Zealand to be sold in Australia and vice-versa.</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8" w:right="585"/>
      </w:pPr>
      <w:r>
        <w:t>New Zealand has a separate Supplemented Food Standard 2016 and Dietary Supplement Regulations 1985 that differ from the Code. The TTMRA enables food that are compliant with the NZ legislation to legally enter Australia, even if they are not compliant with the Code that is applicable in Australia. This means that while food sports supplements manufactured in Australia must comply with the Code, food sports supplements imported to Australia from New Zealand do not necessarily need to comply with the Code provided they comply with the New Zealand specific legislation.</w:t>
      </w:r>
    </w:p>
    <w:p w:rsidR="007D76BB" w:rsidRDefault="00D70D28">
      <w:pPr>
        <w:pStyle w:val="BodyText"/>
        <w:spacing w:before="182"/>
        <w:ind w:left="198" w:right="613"/>
      </w:pPr>
      <w:r>
        <w:t>However, therapeutic goods are exempt from TTMRA. This means that if certain sports supplements are declared to be therapeutic goods, these products will need to be included in the ARTG to be legally supplied in Australia, irrespective of whether they have been imported in to Australia from New Zealand or any other country.</w:t>
      </w:r>
    </w:p>
    <w:p w:rsidR="007D76BB" w:rsidRDefault="00D70D28">
      <w:pPr>
        <w:pStyle w:val="BodyText"/>
        <w:spacing w:before="180"/>
        <w:ind w:left="198" w:right="1197"/>
      </w:pPr>
      <w:r>
        <w:t>It is difficult to estimate how many imported food products may be affected by a proposed declaration, however the number would be expected to be small for the following reasons:</w:t>
      </w:r>
    </w:p>
    <w:p w:rsidR="007D76BB" w:rsidRDefault="00D70D28">
      <w:pPr>
        <w:pStyle w:val="ListParagraph"/>
        <w:numPr>
          <w:ilvl w:val="0"/>
          <w:numId w:val="72"/>
        </w:numPr>
        <w:tabs>
          <w:tab w:val="left" w:pos="558"/>
          <w:tab w:val="left" w:pos="559"/>
        </w:tabs>
        <w:ind w:left="558" w:right="617"/>
      </w:pPr>
      <w:r>
        <w:t>The</w:t>
      </w:r>
      <w:r>
        <w:rPr>
          <w:color w:val="0000FF"/>
        </w:rPr>
        <w:t xml:space="preserve"> </w:t>
      </w:r>
      <w:hyperlink r:id="rId124">
        <w:r>
          <w:rPr>
            <w:i/>
            <w:color w:val="0000FF"/>
            <w:u w:val="single" w:color="0000FF"/>
          </w:rPr>
          <w:t>Food Act 2014</w:t>
        </w:r>
        <w:r>
          <w:rPr>
            <w:i/>
            <w:color w:val="0000FF"/>
          </w:rPr>
          <w:t xml:space="preserve"> </w:t>
        </w:r>
      </w:hyperlink>
      <w:r>
        <w:t>section 9 is the definition of food in New Zealand. A substance that is used only as a medicine, controlled drug or psychoactive substance cannot be presented as a</w:t>
      </w:r>
      <w:r>
        <w:rPr>
          <w:spacing w:val="-30"/>
        </w:rPr>
        <w:t xml:space="preserve"> </w:t>
      </w:r>
      <w:r>
        <w:t>food.</w:t>
      </w:r>
    </w:p>
    <w:p w:rsidR="007D76BB" w:rsidRDefault="00D70D28">
      <w:pPr>
        <w:pStyle w:val="ListParagraph"/>
        <w:numPr>
          <w:ilvl w:val="0"/>
          <w:numId w:val="72"/>
        </w:numPr>
        <w:tabs>
          <w:tab w:val="left" w:pos="558"/>
          <w:tab w:val="left" w:pos="559"/>
        </w:tabs>
        <w:spacing w:before="178"/>
        <w:ind w:left="558" w:right="844" w:hanging="360"/>
      </w:pPr>
      <w:r>
        <w:t xml:space="preserve">The Dietary Supplement Regulations 1985 have been adopted into the NZ Food Act so also cannot contain medicines, controlled drugs or </w:t>
      </w:r>
      <w:proofErr w:type="spellStart"/>
      <w:r>
        <w:t>psychoactives</w:t>
      </w:r>
      <w:proofErr w:type="spellEnd"/>
      <w:r>
        <w:t>. Similarly the NZ Food Act adopts the Food Code so anything specified in standards (e.g. sports supplements) cannot contain medicines</w:t>
      </w:r>
      <w:r>
        <w:rPr>
          <w:spacing w:val="-3"/>
        </w:rPr>
        <w:t xml:space="preserve"> </w:t>
      </w:r>
      <w:r>
        <w:t>etc.</w:t>
      </w:r>
    </w:p>
    <w:p w:rsidR="007D76BB" w:rsidRDefault="00D70D28">
      <w:pPr>
        <w:pStyle w:val="ListParagraph"/>
        <w:numPr>
          <w:ilvl w:val="0"/>
          <w:numId w:val="72"/>
        </w:numPr>
        <w:tabs>
          <w:tab w:val="left" w:pos="558"/>
          <w:tab w:val="left" w:pos="559"/>
        </w:tabs>
        <w:spacing w:before="181"/>
        <w:ind w:left="558" w:right="798" w:hanging="360"/>
        <w:rPr>
          <w:color w:val="1F487C"/>
        </w:rPr>
      </w:pPr>
      <w:r>
        <w:t xml:space="preserve">Substances that are ‘only used as a medicine’ are those that have been scheduled under the </w:t>
      </w:r>
      <w:r>
        <w:rPr>
          <w:i/>
        </w:rPr>
        <w:t>Medicines Act 1981</w:t>
      </w:r>
      <w:r>
        <w:t xml:space="preserve">. Scheduled medicines are further classified as pharmacy-only, pharmacist-only (restricted) or prescription. Similarly controlled drugs are those that are scheduled under the </w:t>
      </w:r>
      <w:r>
        <w:rPr>
          <w:i/>
        </w:rPr>
        <w:t xml:space="preserve">Misuse of Drugs Act 1975 </w:t>
      </w:r>
      <w:r>
        <w:t xml:space="preserve">and psychoactive substances are those that are included in the </w:t>
      </w:r>
      <w:r>
        <w:rPr>
          <w:i/>
        </w:rPr>
        <w:t>Psychoactive Substances Act</w:t>
      </w:r>
      <w:r>
        <w:rPr>
          <w:i/>
          <w:spacing w:val="-13"/>
        </w:rPr>
        <w:t xml:space="preserve"> </w:t>
      </w:r>
      <w:r>
        <w:rPr>
          <w:i/>
        </w:rPr>
        <w:t>2013</w:t>
      </w:r>
      <w:r>
        <w:t>.</w:t>
      </w:r>
    </w:p>
    <w:p w:rsidR="007D76BB" w:rsidRDefault="00D70D28">
      <w:pPr>
        <w:pStyle w:val="ListParagraph"/>
        <w:numPr>
          <w:ilvl w:val="0"/>
          <w:numId w:val="72"/>
        </w:numPr>
        <w:tabs>
          <w:tab w:val="left" w:pos="558"/>
          <w:tab w:val="left" w:pos="559"/>
        </w:tabs>
        <w:spacing w:before="181"/>
        <w:ind w:left="558" w:right="645"/>
      </w:pPr>
      <w:r>
        <w:t>It is also likely that ‘only used as a medicine’ would extend to any substance that is only used for a therapeutic effect irrespective of whether it has been scheduled in New Zealand or the claims made for it.  The NZ Medicines Act defines a medicine as anything that is administered to a person wholly or principally for a therapeutic</w:t>
      </w:r>
      <w:r>
        <w:rPr>
          <w:spacing w:val="-16"/>
        </w:rPr>
        <w:t xml:space="preserve"> </w:t>
      </w:r>
      <w:r>
        <w:t>purpose.</w:t>
      </w:r>
    </w:p>
    <w:p w:rsidR="007D76BB" w:rsidRDefault="00D70D28">
      <w:pPr>
        <w:pStyle w:val="Heading7"/>
        <w:ind w:right="915"/>
      </w:pPr>
      <w:r>
        <w:t>How a declaration made under section 7 of the Act will help address problems with the current legislation</w:t>
      </w:r>
    </w:p>
    <w:p w:rsidR="007D76BB" w:rsidRDefault="00D70D28">
      <w:pPr>
        <w:pStyle w:val="BodyText"/>
        <w:spacing w:before="178"/>
        <w:ind w:left="198" w:right="853"/>
      </w:pPr>
      <w:r>
        <w:t>Section 7 of the TG Act provides the Secretary the power to declare that goods are (or are not) therapeutic goods generally or when used, advertised or presented for supply in a particular manner, even if:</w:t>
      </w:r>
    </w:p>
    <w:p w:rsidR="007D76BB" w:rsidRDefault="00D70D28">
      <w:pPr>
        <w:pStyle w:val="ListParagraph"/>
        <w:numPr>
          <w:ilvl w:val="0"/>
          <w:numId w:val="72"/>
        </w:numPr>
        <w:tabs>
          <w:tab w:val="left" w:pos="558"/>
          <w:tab w:val="left" w:pos="559"/>
        </w:tabs>
        <w:spacing w:before="182"/>
        <w:ind w:left="558"/>
      </w:pPr>
      <w:r>
        <w:t>they are also goods for which there is a standard in the Code;</w:t>
      </w:r>
      <w:r>
        <w:rPr>
          <w:spacing w:val="-17"/>
        </w:rPr>
        <w:t xml:space="preserve"> </w:t>
      </w:r>
      <w:r>
        <w:t>or</w:t>
      </w:r>
    </w:p>
    <w:p w:rsidR="007D76BB" w:rsidRDefault="00D70D28">
      <w:pPr>
        <w:pStyle w:val="ListParagraph"/>
        <w:numPr>
          <w:ilvl w:val="0"/>
          <w:numId w:val="72"/>
        </w:numPr>
        <w:tabs>
          <w:tab w:val="left" w:pos="558"/>
          <w:tab w:val="left" w:pos="559"/>
        </w:tabs>
        <w:spacing w:before="178"/>
        <w:ind w:left="558" w:right="869"/>
      </w:pPr>
      <w:r>
        <w:lastRenderedPageBreak/>
        <w:t>have a tradition of use as food in the form in which they are presented in Australia or New Zealand</w:t>
      </w:r>
    </w:p>
    <w:p w:rsidR="007D76BB" w:rsidRDefault="00D70D28">
      <w:pPr>
        <w:pStyle w:val="BodyText"/>
        <w:spacing w:before="181"/>
        <w:ind w:left="198" w:right="753"/>
      </w:pPr>
      <w:r>
        <w:t>The effect is that goods that would otherwise be regulated as food, are regulated as therapeutic goods.</w:t>
      </w:r>
    </w:p>
    <w:p w:rsidR="007D76BB" w:rsidRDefault="00D70D28">
      <w:pPr>
        <w:pStyle w:val="BodyText"/>
        <w:spacing w:before="180"/>
        <w:ind w:left="198" w:right="723"/>
      </w:pPr>
      <w:r>
        <w:t>Section 7 declarations are made by the Secretary to provide clarity for consumers, industry and regulators about whether a product is a therapeutic good.</w:t>
      </w:r>
    </w:p>
    <w:p w:rsidR="007D76BB" w:rsidRDefault="00D70D28">
      <w:pPr>
        <w:pStyle w:val="BodyText"/>
        <w:spacing w:before="180"/>
        <w:ind w:left="198" w:right="908"/>
        <w:jc w:val="both"/>
      </w:pPr>
      <w:r>
        <w:t xml:space="preserve">For example, the current </w:t>
      </w:r>
      <w:hyperlink r:id="rId125">
        <w:r>
          <w:rPr>
            <w:color w:val="0000FF"/>
            <w:u w:val="single" w:color="0000FF"/>
          </w:rPr>
          <w:t>Therapeutic Goods (Declared Goods) Order</w:t>
        </w:r>
        <w:r>
          <w:rPr>
            <w:color w:val="0000FF"/>
          </w:rPr>
          <w:t xml:space="preserve"> </w:t>
        </w:r>
      </w:hyperlink>
      <w:r>
        <w:t>2019 includes an entry under Part 1(3) declaring that Beta-</w:t>
      </w:r>
      <w:proofErr w:type="spellStart"/>
      <w:r>
        <w:t>hydroxy</w:t>
      </w:r>
      <w:proofErr w:type="spellEnd"/>
      <w:r>
        <w:t>-beta-</w:t>
      </w:r>
      <w:proofErr w:type="spellStart"/>
      <w:r>
        <w:t>methylbutyrate</w:t>
      </w:r>
      <w:proofErr w:type="spellEnd"/>
      <w:r>
        <w:t xml:space="preserve"> (a metabolite of the amino acid leucine and used in sports supplements) </w:t>
      </w:r>
      <w:bookmarkStart w:id="66" w:name="_bookmark28"/>
      <w:bookmarkEnd w:id="66"/>
      <w:r>
        <w:t>is a therapeutic good when manufactured in the dosage form of a tablet, capsule, pill or powder.</w:t>
      </w:r>
    </w:p>
    <w:p w:rsidR="007D76BB" w:rsidRDefault="007D76BB">
      <w:pPr>
        <w:jc w:val="both"/>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8" w:right="683"/>
      </w:pPr>
      <w:r>
        <w:t>Providing clarity on which sports supplements are medicines or food will allow regulators—the TGA or State and Territory food authorities—to ensure that these products are regulated commensurate with the potential risks that they pose to public safety. Whether these goods are a food or medicines determines:</w:t>
      </w:r>
    </w:p>
    <w:p w:rsidR="007D76BB" w:rsidRDefault="00D70D28">
      <w:pPr>
        <w:pStyle w:val="ListParagraph"/>
        <w:numPr>
          <w:ilvl w:val="0"/>
          <w:numId w:val="72"/>
        </w:numPr>
        <w:tabs>
          <w:tab w:val="left" w:pos="625"/>
          <w:tab w:val="left" w:pos="626"/>
        </w:tabs>
        <w:spacing w:before="181"/>
        <w:ind w:left="625" w:hanging="428"/>
      </w:pPr>
      <w:r>
        <w:t>what ingredients the product can</w:t>
      </w:r>
      <w:r>
        <w:rPr>
          <w:spacing w:val="-6"/>
        </w:rPr>
        <w:t xml:space="preserve"> </w:t>
      </w:r>
      <w:r>
        <w:t>contain</w:t>
      </w:r>
    </w:p>
    <w:p w:rsidR="007D76BB" w:rsidRDefault="00D70D28">
      <w:pPr>
        <w:pStyle w:val="ListParagraph"/>
        <w:numPr>
          <w:ilvl w:val="0"/>
          <w:numId w:val="72"/>
        </w:numPr>
        <w:tabs>
          <w:tab w:val="left" w:pos="625"/>
          <w:tab w:val="left" w:pos="626"/>
        </w:tabs>
        <w:spacing w:before="181"/>
        <w:ind w:left="625" w:hanging="428"/>
      </w:pPr>
      <w:r>
        <w:t>how the product is presented for example:</w:t>
      </w:r>
      <w:r>
        <w:rPr>
          <w:spacing w:val="-8"/>
        </w:rPr>
        <w:t xml:space="preserve"> </w:t>
      </w:r>
      <w:r>
        <w:t>labelling</w:t>
      </w:r>
    </w:p>
    <w:p w:rsidR="007D76BB" w:rsidRDefault="00D70D28">
      <w:pPr>
        <w:pStyle w:val="ListParagraph"/>
        <w:numPr>
          <w:ilvl w:val="0"/>
          <w:numId w:val="72"/>
        </w:numPr>
        <w:tabs>
          <w:tab w:val="left" w:pos="625"/>
          <w:tab w:val="left" w:pos="626"/>
        </w:tabs>
        <w:spacing w:before="179"/>
        <w:ind w:left="625" w:hanging="428"/>
      </w:pPr>
      <w:r>
        <w:t>how the product is</w:t>
      </w:r>
      <w:r>
        <w:rPr>
          <w:spacing w:val="-5"/>
        </w:rPr>
        <w:t xml:space="preserve"> </w:t>
      </w:r>
      <w:r>
        <w:t>manufactured</w:t>
      </w:r>
    </w:p>
    <w:p w:rsidR="007D76BB" w:rsidRDefault="00D70D28">
      <w:pPr>
        <w:pStyle w:val="ListParagraph"/>
        <w:numPr>
          <w:ilvl w:val="0"/>
          <w:numId w:val="72"/>
        </w:numPr>
        <w:tabs>
          <w:tab w:val="left" w:pos="625"/>
          <w:tab w:val="left" w:pos="626"/>
        </w:tabs>
        <w:spacing w:before="181"/>
        <w:ind w:left="625" w:hanging="428"/>
      </w:pPr>
      <w:r>
        <w:t>what claims the product can make, including in</w:t>
      </w:r>
      <w:r>
        <w:rPr>
          <w:spacing w:val="-13"/>
        </w:rPr>
        <w:t xml:space="preserve"> </w:t>
      </w:r>
      <w:r>
        <w:t>advertising</w:t>
      </w:r>
    </w:p>
    <w:p w:rsidR="007D76BB" w:rsidRDefault="00D70D28">
      <w:pPr>
        <w:pStyle w:val="ListParagraph"/>
        <w:numPr>
          <w:ilvl w:val="0"/>
          <w:numId w:val="72"/>
        </w:numPr>
        <w:tabs>
          <w:tab w:val="left" w:pos="625"/>
          <w:tab w:val="left" w:pos="626"/>
        </w:tabs>
        <w:spacing w:before="179"/>
        <w:ind w:left="625" w:hanging="428"/>
      </w:pPr>
      <w:r>
        <w:t>what information the product owner is required to</w:t>
      </w:r>
      <w:r>
        <w:rPr>
          <w:spacing w:val="-13"/>
        </w:rPr>
        <w:t xml:space="preserve"> </w:t>
      </w:r>
      <w:r>
        <w:t>hold</w:t>
      </w:r>
    </w:p>
    <w:p w:rsidR="007D76BB" w:rsidRDefault="00D70D28">
      <w:pPr>
        <w:pStyle w:val="ListParagraph"/>
        <w:numPr>
          <w:ilvl w:val="0"/>
          <w:numId w:val="72"/>
        </w:numPr>
        <w:tabs>
          <w:tab w:val="left" w:pos="625"/>
          <w:tab w:val="left" w:pos="626"/>
        </w:tabs>
        <w:spacing w:before="181"/>
        <w:ind w:left="625" w:hanging="428"/>
      </w:pPr>
      <w:r>
        <w:t>how the product is marketed for example:</w:t>
      </w:r>
      <w:r>
        <w:rPr>
          <w:spacing w:val="-9"/>
        </w:rPr>
        <w:t xml:space="preserve"> </w:t>
      </w:r>
      <w:r>
        <w:t>advertising</w:t>
      </w:r>
    </w:p>
    <w:p w:rsidR="007D76BB" w:rsidRDefault="00D70D28">
      <w:pPr>
        <w:pStyle w:val="ListParagraph"/>
        <w:numPr>
          <w:ilvl w:val="0"/>
          <w:numId w:val="72"/>
        </w:numPr>
        <w:tabs>
          <w:tab w:val="left" w:pos="625"/>
          <w:tab w:val="left" w:pos="626"/>
        </w:tabs>
        <w:spacing w:before="179"/>
        <w:ind w:left="625" w:right="984" w:hanging="428"/>
      </w:pPr>
      <w:r>
        <w:t>who oversees adverse reactions, packaging, tampering, illegal ingredients or advertising issues</w:t>
      </w:r>
    </w:p>
    <w:p w:rsidR="007D76BB" w:rsidRDefault="00D70D28">
      <w:pPr>
        <w:pStyle w:val="BodyText"/>
        <w:spacing w:before="180"/>
        <w:ind w:left="198" w:right="738"/>
      </w:pPr>
      <w:r>
        <w:t>The clarification provided by the section 7 declaration will not only distinguish goods that are foods and medicines domestically, but also those that are imported into Australia. In relation to sports supplements, a declaration clarifying their legal status would complement the FSANZ review and update of Food Standard 2.9.4.</w:t>
      </w:r>
    </w:p>
    <w:p w:rsidR="007D76BB" w:rsidRDefault="007D76BB">
      <w:pPr>
        <w:pStyle w:val="BodyText"/>
        <w:rPr>
          <w:sz w:val="26"/>
        </w:rPr>
      </w:pPr>
    </w:p>
    <w:p w:rsidR="007D76BB" w:rsidRDefault="00D70D28">
      <w:pPr>
        <w:pStyle w:val="Heading3"/>
        <w:spacing w:before="171"/>
      </w:pPr>
      <w:bookmarkStart w:id="67" w:name="The_sports_supplement_industry_in_Austra"/>
      <w:bookmarkStart w:id="68" w:name="_bookmark29"/>
      <w:bookmarkEnd w:id="67"/>
      <w:bookmarkEnd w:id="68"/>
      <w:r>
        <w:t>The sports supplement industry in Australia</w:t>
      </w:r>
    </w:p>
    <w:p w:rsidR="007D76BB" w:rsidRDefault="00D70D28">
      <w:pPr>
        <w:pStyle w:val="BodyText"/>
        <w:spacing w:before="124"/>
        <w:ind w:left="198" w:right="623"/>
      </w:pPr>
      <w:r>
        <w:t>A 2019 IBISWorld report (26) on vitamin and supplement manufacturing in Australia states that online sales of vitamin and supplements in Australia were worth $159.2m in 2019. Sports and nutrition supplements comprised 24.5% and fitness and weight loss products 11% of this figure (26).</w:t>
      </w:r>
    </w:p>
    <w:p w:rsidR="007D76BB" w:rsidRDefault="00D70D28">
      <w:pPr>
        <w:pStyle w:val="BodyText"/>
        <w:spacing w:before="180"/>
        <w:ind w:left="198" w:right="671"/>
      </w:pPr>
      <w:r>
        <w:t>The IBISWorld report predicts that the industry revenue in Australia for vitamins and supplements in 2020 would be $1.9bn (although the actual 2020 figures are likely to be affected by the COVID-19 pandemic).</w:t>
      </w:r>
    </w:p>
    <w:p w:rsidR="007D76BB" w:rsidRDefault="00D70D28">
      <w:pPr>
        <w:pStyle w:val="BodyText"/>
        <w:spacing w:before="182"/>
        <w:ind w:left="198" w:right="647"/>
      </w:pPr>
      <w:r>
        <w:t>Sports and active nutrition products comprised 23.9% and weight management products 10.2% of total industry revenue. Sports nutrition products makeup a sizeable segment of the industry, these products include:</w:t>
      </w:r>
    </w:p>
    <w:p w:rsidR="007D76BB" w:rsidRDefault="00D70D28">
      <w:pPr>
        <w:pStyle w:val="ListParagraph"/>
        <w:numPr>
          <w:ilvl w:val="0"/>
          <w:numId w:val="72"/>
        </w:numPr>
        <w:tabs>
          <w:tab w:val="left" w:pos="918"/>
          <w:tab w:val="left" w:pos="919"/>
        </w:tabs>
        <w:spacing w:before="179"/>
        <w:ind w:left="918" w:hanging="721"/>
      </w:pPr>
      <w:r>
        <w:t>pre, post and intra-workout</w:t>
      </w:r>
      <w:r>
        <w:rPr>
          <w:spacing w:val="-7"/>
        </w:rPr>
        <w:t xml:space="preserve"> </w:t>
      </w:r>
      <w:r>
        <w:t>products</w:t>
      </w:r>
    </w:p>
    <w:p w:rsidR="007D76BB" w:rsidRDefault="00D70D28">
      <w:pPr>
        <w:pStyle w:val="ListParagraph"/>
        <w:numPr>
          <w:ilvl w:val="0"/>
          <w:numId w:val="72"/>
        </w:numPr>
        <w:tabs>
          <w:tab w:val="left" w:pos="918"/>
          <w:tab w:val="left" w:pos="919"/>
        </w:tabs>
        <w:spacing w:before="179"/>
        <w:ind w:left="918" w:hanging="721"/>
      </w:pPr>
      <w:r>
        <w:t>performance</w:t>
      </w:r>
      <w:r>
        <w:rPr>
          <w:spacing w:val="-2"/>
        </w:rPr>
        <w:t xml:space="preserve"> </w:t>
      </w:r>
      <w:r>
        <w:t>enhancers</w:t>
      </w:r>
    </w:p>
    <w:p w:rsidR="007D76BB" w:rsidRDefault="00D70D28">
      <w:pPr>
        <w:pStyle w:val="ListParagraph"/>
        <w:numPr>
          <w:ilvl w:val="0"/>
          <w:numId w:val="72"/>
        </w:numPr>
        <w:tabs>
          <w:tab w:val="left" w:pos="918"/>
          <w:tab w:val="left" w:pos="919"/>
        </w:tabs>
        <w:spacing w:before="181"/>
        <w:ind w:left="918" w:hanging="721"/>
      </w:pPr>
      <w:r>
        <w:t>fat</w:t>
      </w:r>
      <w:r>
        <w:rPr>
          <w:spacing w:val="-1"/>
        </w:rPr>
        <w:t xml:space="preserve"> </w:t>
      </w:r>
      <w:r>
        <w:t>burners</w:t>
      </w:r>
    </w:p>
    <w:p w:rsidR="007D76BB" w:rsidRDefault="00D70D28">
      <w:pPr>
        <w:pStyle w:val="ListParagraph"/>
        <w:numPr>
          <w:ilvl w:val="0"/>
          <w:numId w:val="72"/>
        </w:numPr>
        <w:tabs>
          <w:tab w:val="left" w:pos="918"/>
          <w:tab w:val="left" w:pos="919"/>
        </w:tabs>
        <w:spacing w:before="179"/>
        <w:ind w:left="918" w:hanging="721"/>
      </w:pPr>
      <w:r>
        <w:t>energy</w:t>
      </w:r>
      <w:r>
        <w:rPr>
          <w:spacing w:val="-3"/>
        </w:rPr>
        <w:t xml:space="preserve"> </w:t>
      </w:r>
      <w:r>
        <w:t>boosters</w:t>
      </w:r>
    </w:p>
    <w:p w:rsidR="007D76BB" w:rsidRDefault="00D70D28">
      <w:pPr>
        <w:pStyle w:val="ListParagraph"/>
        <w:numPr>
          <w:ilvl w:val="0"/>
          <w:numId w:val="72"/>
        </w:numPr>
        <w:tabs>
          <w:tab w:val="left" w:pos="918"/>
          <w:tab w:val="left" w:pos="919"/>
        </w:tabs>
        <w:spacing w:before="181"/>
        <w:ind w:left="918" w:hanging="721"/>
      </w:pPr>
      <w:r>
        <w:t>nutritional supplements, such as: amino acid supplements, glutamine, and</w:t>
      </w:r>
      <w:r>
        <w:rPr>
          <w:spacing w:val="-17"/>
        </w:rPr>
        <w:t xml:space="preserve"> </w:t>
      </w:r>
      <w:proofErr w:type="spellStart"/>
      <w:r>
        <w:t>creatine</w:t>
      </w:r>
      <w:proofErr w:type="spellEnd"/>
    </w:p>
    <w:p w:rsidR="007D76BB" w:rsidRDefault="00D70D28">
      <w:pPr>
        <w:pStyle w:val="BodyText"/>
        <w:spacing w:before="179"/>
        <w:ind w:left="198" w:right="690"/>
      </w:pPr>
      <w:r>
        <w:t xml:space="preserve">Weight management products include appetite suppressants, energy boosters and various meal replacements, including low-carb and protein bar supplements. The IBISWorld October 2019 report </w:t>
      </w:r>
      <w:r>
        <w:lastRenderedPageBreak/>
        <w:t>stated that while sales of weight management products increased marginally in 2019, Australian consumers are shifting towards a more holistic approach to weight loss and weight management. In 2019, supplement nutrition drinks was the only weight management category to register sales growth (26). The IBISWorld 2019 report forecast the vitamins and supplement industry to grow at 3.2% per annum over the next five years, reaching an expected revenue of</w:t>
      </w:r>
    </w:p>
    <w:p w:rsidR="007D76BB" w:rsidRDefault="00D70D28">
      <w:pPr>
        <w:pStyle w:val="BodyText"/>
        <w:spacing w:before="1"/>
        <w:ind w:left="198"/>
      </w:pPr>
      <w:r>
        <w:t>$2.2Bn in 2024-25 (26).</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8" w:right="848"/>
      </w:pPr>
      <w:r>
        <w:t xml:space="preserve">The predicted continued growth of the Australian sports supplement industry is supported by the growing consumer demand for these products, particularly by younger generations – see </w:t>
      </w:r>
      <w:hyperlink w:anchor="_bookmark14" w:history="1">
        <w:r>
          <w:rPr>
            <w:color w:val="0000FF"/>
            <w:u w:val="single" w:color="0000FF"/>
          </w:rPr>
          <w:t>Consumer use of sports supplements in Australia</w:t>
        </w:r>
        <w:r>
          <w:t>.</w:t>
        </w:r>
      </w:hyperlink>
    </w:p>
    <w:p w:rsidR="007D76BB" w:rsidRDefault="007D76BB">
      <w:pPr>
        <w:pStyle w:val="BodyText"/>
        <w:rPr>
          <w:sz w:val="20"/>
        </w:rPr>
      </w:pPr>
    </w:p>
    <w:p w:rsidR="007D76BB" w:rsidRDefault="00D70D28">
      <w:pPr>
        <w:pStyle w:val="Heading3"/>
        <w:spacing w:before="243"/>
      </w:pPr>
      <w:bookmarkStart w:id="69" w:name="International_problems_associated_with_s"/>
      <w:bookmarkStart w:id="70" w:name="_bookmark30"/>
      <w:bookmarkEnd w:id="69"/>
      <w:bookmarkEnd w:id="70"/>
      <w:r>
        <w:t>International problems associated with sports supplements</w:t>
      </w:r>
    </w:p>
    <w:p w:rsidR="007D76BB" w:rsidRDefault="00D70D28">
      <w:pPr>
        <w:pStyle w:val="BodyText"/>
        <w:spacing w:before="123"/>
        <w:ind w:left="198" w:right="582"/>
      </w:pPr>
      <w:r>
        <w:t>The risks associated with some sports supplements is not unique to Australia, it is also a recognised problem internationally, with the US Food and Drug Administration (FDA) (51) and the UK Medicines and Healthcare products Regulatory Agency (MHRA) (52) urging consumers to exercise caution when using sports supplements.</w:t>
      </w:r>
    </w:p>
    <w:p w:rsidR="007D76BB" w:rsidRDefault="00D70D28">
      <w:pPr>
        <w:pStyle w:val="BodyText"/>
        <w:spacing w:before="181"/>
        <w:ind w:left="197" w:right="663"/>
      </w:pPr>
      <w:r>
        <w:t>The FDA regulates supplements for exercise performance enhancement as dietary supplements, which can be presented in forms such as tablets, capsules, soft gels, gel caps, powders, and liquids. The FDA does not test or approve dietary supplements pre-market, but unlike drugs, supplements are not intended to treat, diagnose, prevent, or cure diseases. That means claims such as ‘reduces pain’ or ‘treats heart disease’ can only be made legitimately for drugs, not dietary supplements</w:t>
      </w:r>
      <w:hyperlink w:anchor="_bookmark31" w:history="1">
        <w:r>
          <w:rPr>
            <w:position w:val="5"/>
            <w:sz w:val="14"/>
          </w:rPr>
          <w:t>10</w:t>
        </w:r>
      </w:hyperlink>
      <w:r>
        <w:t>.</w:t>
      </w:r>
    </w:p>
    <w:p w:rsidR="007D76BB" w:rsidRDefault="00D70D28">
      <w:pPr>
        <w:pStyle w:val="BodyText"/>
        <w:spacing w:before="180"/>
        <w:ind w:left="197" w:right="710"/>
      </w:pPr>
      <w:r>
        <w:t xml:space="preserve">In an International Olympic Committee Statement, </w:t>
      </w:r>
      <w:proofErr w:type="spellStart"/>
      <w:r>
        <w:t>Maughan</w:t>
      </w:r>
      <w:proofErr w:type="spellEnd"/>
      <w:r>
        <w:t xml:space="preserve"> et al. (2018) report that similar regulations as the FDA’s apply to sports supplements in most other countries, where sports supplements are regulated in the same way as food ingredients and are not subject to the stringent regulations applied to the pharmaceutical industry. This means that there are liberal labelling requirements for these products and no requirements to prove claimed benefits, show safety or demonstrate quality. The authors state that “It is well-recognised that there are problems with some of the dietary supplements on sale, but the options open to those responsible for food safety are limited by the legislation that applies” (38).</w:t>
      </w:r>
    </w:p>
    <w:p w:rsidR="007D76BB" w:rsidRDefault="00D70D28">
      <w:pPr>
        <w:pStyle w:val="BodyText"/>
        <w:spacing w:before="181"/>
        <w:ind w:left="198" w:right="1218"/>
      </w:pPr>
      <w:r>
        <w:t>The FDA warns that some products marketed as dietary supplements to improve athletic performance might contain inappropriate, unlabeled and unlawful stimulants, steroids, hormone-like ingredients, controlled substances, prescription medications or unapproved drugs. An FDA media release in October 2017 (33) stated:</w:t>
      </w:r>
    </w:p>
    <w:p w:rsidR="007D76BB" w:rsidRDefault="007D76BB">
      <w:pPr>
        <w:pStyle w:val="BodyText"/>
        <w:spacing w:before="11"/>
        <w:rPr>
          <w:sz w:val="21"/>
        </w:rPr>
      </w:pPr>
    </w:p>
    <w:p w:rsidR="007D76BB" w:rsidRDefault="00D70D28">
      <w:pPr>
        <w:ind w:left="917" w:right="946"/>
        <w:rPr>
          <w:i/>
        </w:rPr>
      </w:pPr>
      <w:r>
        <w:rPr>
          <w:i/>
        </w:rPr>
        <w:t xml:space="preserve">We are extremely concerned about unscrupulous companies marketing body-building products with potentially dangerous ingredients. Body-building products that contain selective androgen receptor modulators, or SARMs </w:t>
      </w:r>
      <w:r>
        <w:t>(Selective Androgen Receptor Modulators</w:t>
      </w:r>
      <w:r>
        <w:rPr>
          <w:i/>
        </w:rPr>
        <w:t>), have not been approved by the FDA and are associated with serious safety concerns, including potential to increase the risk of heart attack or stroke and life threatening reactions like liver damage.</w:t>
      </w:r>
    </w:p>
    <w:p w:rsidR="007D76BB" w:rsidRDefault="00D70D28">
      <w:pPr>
        <w:pStyle w:val="BodyText"/>
        <w:spacing w:before="120"/>
        <w:ind w:left="198" w:right="710" w:hanging="1"/>
      </w:pPr>
      <w:r>
        <w:t xml:space="preserve">The </w:t>
      </w:r>
      <w:hyperlink r:id="rId126">
        <w:r>
          <w:rPr>
            <w:color w:val="0000FF"/>
            <w:u w:val="single" w:color="0000FF"/>
          </w:rPr>
          <w:t>FDA Dietary Supplement Ingredient Advisory List</w:t>
        </w:r>
        <w:r>
          <w:rPr>
            <w:color w:val="0000FF"/>
          </w:rPr>
          <w:t xml:space="preserve"> </w:t>
        </w:r>
      </w:hyperlink>
      <w:r>
        <w:t xml:space="preserve">is intended to alert the public when the FDA identifies ingredients unlawfully </w:t>
      </w:r>
      <w:r>
        <w:lastRenderedPageBreak/>
        <w:t xml:space="preserve">included in products marketed as dietary supplements. Information about other ingredients and dietary supplement products that have been the subject of FDA action and/or statements can be found on the </w:t>
      </w:r>
      <w:hyperlink r:id="rId127">
        <w:r>
          <w:rPr>
            <w:color w:val="0000FF"/>
            <w:u w:val="single" w:color="0000FF"/>
          </w:rPr>
          <w:t>FDA Dietary Supplement Products</w:t>
        </w:r>
      </w:hyperlink>
      <w:r>
        <w:rPr>
          <w:color w:val="0000FF"/>
        </w:rPr>
        <w:t xml:space="preserve"> </w:t>
      </w:r>
      <w:hyperlink r:id="rId128">
        <w:r>
          <w:rPr>
            <w:color w:val="0000FF"/>
            <w:u w:val="single" w:color="0000FF"/>
          </w:rPr>
          <w:t>&amp; Ingredients</w:t>
        </w:r>
        <w:r>
          <w:rPr>
            <w:color w:val="0000FF"/>
          </w:rPr>
          <w:t xml:space="preserve"> </w:t>
        </w:r>
      </w:hyperlink>
      <w:r>
        <w:t xml:space="preserve">page. The FDA prohibits certain ingredients in dietary supplements, such as androstenedione, </w:t>
      </w:r>
      <w:proofErr w:type="spellStart"/>
      <w:r>
        <w:t>dimethylamylamine</w:t>
      </w:r>
      <w:proofErr w:type="spellEnd"/>
      <w:r>
        <w:t xml:space="preserve"> (DMAA) and ephedra.</w:t>
      </w:r>
    </w:p>
    <w:p w:rsidR="007D76BB" w:rsidRDefault="00D70D28">
      <w:pPr>
        <w:pStyle w:val="BodyText"/>
        <w:spacing w:before="181"/>
        <w:ind w:left="198" w:right="650"/>
      </w:pPr>
      <w:r>
        <w:t xml:space="preserve">The FDA can remove a supplement from the market and regularly uses its powers to recall products in breach of the regulations, although recalls generally occur only after people have been harmed (38). For example, a range of products containing </w:t>
      </w:r>
      <w:proofErr w:type="spellStart"/>
      <w:r>
        <w:t>hydroxycitric</w:t>
      </w:r>
      <w:proofErr w:type="spellEnd"/>
      <w:r>
        <w:t xml:space="preserve"> acid were withdrawn from sale, but only after they were linked with the death of one consumer and with a substantial number of other cases of liver toxicity, cardiovascular problems and seizures (31).</w:t>
      </w:r>
    </w:p>
    <w:p w:rsidR="007D76BB" w:rsidRDefault="00D70D28">
      <w:pPr>
        <w:pStyle w:val="BodyText"/>
        <w:spacing w:before="179"/>
        <w:ind w:left="198" w:right="690"/>
      </w:pPr>
      <w:r>
        <w:t>In contrast to the US and many other countries, in Canada, dietary supplements are regulated as non-prescription drugs, known as ‘Natural Health Products’ (NHP). All NHPs must have a</w:t>
      </w:r>
    </w:p>
    <w:p w:rsidR="007D76BB" w:rsidRDefault="00D70D28">
      <w:pPr>
        <w:pStyle w:val="BodyText"/>
        <w:spacing w:before="8"/>
      </w:pPr>
      <w:r>
        <w:rPr>
          <w:noProof/>
          <w:lang w:val="en-AU" w:eastAsia="en-AU"/>
        </w:rPr>
        <mc:AlternateContent>
          <mc:Choice Requires="wps">
            <w:drawing>
              <wp:anchor distT="0" distB="0" distL="0" distR="0" simplePos="0" relativeHeight="251673600" behindDoc="1" locked="0" layoutInCell="1" allowOverlap="1">
                <wp:simplePos x="0" y="0"/>
                <wp:positionH relativeFrom="page">
                  <wp:posOffset>900430</wp:posOffset>
                </wp:positionH>
                <wp:positionV relativeFrom="paragraph">
                  <wp:posOffset>198120</wp:posOffset>
                </wp:positionV>
                <wp:extent cx="1828800" cy="1270"/>
                <wp:effectExtent l="0" t="0" r="0" b="0"/>
                <wp:wrapTopAndBottom/>
                <wp:docPr id="419"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244C1" id="Freeform 275" o:spid="_x0000_s1026" style="position:absolute;margin-left:70.9pt;margin-top:15.6pt;width:2in;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" path="m,l2880,e" filled="f" strokeweight=".6pt">
                <v:path arrowok="t" o:connecttype="custom" o:connectlocs="0,0;1828800,0" o:connectangles="0,0"/>
                <w10:wrap type="topAndBottom" anchorx="page"/>
              </v:shape>
            </w:pict>
          </mc:Fallback>
        </mc:AlternateContent>
      </w:r>
    </w:p>
    <w:p w:rsidR="007D76BB" w:rsidRDefault="00D70D28">
      <w:pPr>
        <w:spacing w:before="71"/>
        <w:ind w:left="198"/>
        <w:rPr>
          <w:sz w:val="20"/>
        </w:rPr>
      </w:pPr>
      <w:bookmarkStart w:id="71" w:name="_bookmark31"/>
      <w:bookmarkEnd w:id="71"/>
      <w:r>
        <w:rPr>
          <w:position w:val="5"/>
          <w:sz w:val="13"/>
        </w:rPr>
        <w:t xml:space="preserve">10 </w:t>
      </w:r>
      <w:hyperlink r:id="rId129">
        <w:r>
          <w:rPr>
            <w:color w:val="0000FF"/>
            <w:sz w:val="20"/>
            <w:u w:val="single" w:color="0000FF"/>
          </w:rPr>
          <w:t>https://www.tandfonline.com/doi/full/10.1080/19390211.2018.1513109</w:t>
        </w:r>
      </w:hyperlink>
    </w:p>
    <w:p w:rsidR="007D76BB" w:rsidRDefault="007D76BB">
      <w:pPr>
        <w:rPr>
          <w:sz w:val="20"/>
        </w:r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8" w:right="597"/>
      </w:pPr>
      <w:r>
        <w:rPr>
          <w:noProof/>
          <w:lang w:val="en-AU" w:eastAsia="en-AU"/>
        </w:rPr>
        <mc:AlternateContent>
          <mc:Choice Requires="wps">
            <w:drawing>
              <wp:anchor distT="0" distB="0" distL="114300" distR="114300" simplePos="0" relativeHeight="242087936" behindDoc="1" locked="0" layoutInCell="1" allowOverlap="1">
                <wp:simplePos x="0" y="0"/>
                <wp:positionH relativeFrom="page">
                  <wp:posOffset>6264910</wp:posOffset>
                </wp:positionH>
                <wp:positionV relativeFrom="paragraph">
                  <wp:posOffset>370840</wp:posOffset>
                </wp:positionV>
                <wp:extent cx="30480" cy="7620"/>
                <wp:effectExtent l="0" t="0" r="0" b="0"/>
                <wp:wrapNone/>
                <wp:docPr id="418"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385F1" id="Rectangle 274" o:spid="_x0000_s1026" style="position:absolute;margin-left:493.3pt;margin-top:29.2pt;width:2.4pt;height:.6pt;z-index:-2612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" fillcolor="black" stroked="f">
                <w10:wrap anchorx="page"/>
              </v:rect>
            </w:pict>
          </mc:Fallback>
        </mc:AlternateContent>
      </w:r>
      <w:proofErr w:type="gramStart"/>
      <w:r>
        <w:t>product</w:t>
      </w:r>
      <w:proofErr w:type="gramEnd"/>
      <w:r>
        <w:t xml:space="preserve"> </w:t>
      </w:r>
      <w:proofErr w:type="spellStart"/>
      <w:r>
        <w:t>licence</w:t>
      </w:r>
      <w:proofErr w:type="spellEnd"/>
      <w:r>
        <w:t xml:space="preserve"> before they can be sold in Canada, with varying assessment timeframes based on whether a Canadian monograph exists. There is a NHP </w:t>
      </w:r>
      <w:hyperlink r:id="rId130">
        <w:r>
          <w:rPr>
            <w:color w:val="0000FF"/>
            <w:u w:val="single" w:color="0000FF"/>
          </w:rPr>
          <w:t>monograph for sports supplements</w:t>
        </w:r>
        <w:r>
          <w:rPr>
            <w:color w:val="0000FF"/>
          </w:rPr>
          <w:t xml:space="preserve"> </w:t>
        </w:r>
      </w:hyperlink>
      <w:r>
        <w:t>(53) which provides a list of what these products can contain to be eligible for a shorter assessment timeframe.</w:t>
      </w:r>
    </w:p>
    <w:p w:rsidR="007D76BB" w:rsidRDefault="007D76BB">
      <w:pPr>
        <w:pStyle w:val="BodyText"/>
        <w:spacing w:before="2"/>
      </w:pPr>
    </w:p>
    <w:p w:rsidR="007D76BB" w:rsidRDefault="00D70D28">
      <w:pPr>
        <w:pStyle w:val="BodyText"/>
        <w:ind w:left="198" w:right="693"/>
      </w:pPr>
      <w:r>
        <w:t xml:space="preserve">In spite of sports supplements being regulated as NHPs in Canada, there are the same safety concern for sports supplements in Canada as other countries, likely due to the ease of access for Canadians to US dietary sports supplements. The Canadian Department of National </w:t>
      </w:r>
      <w:proofErr w:type="spellStart"/>
      <w:r>
        <w:t>Defence</w:t>
      </w:r>
      <w:proofErr w:type="spellEnd"/>
      <w:r>
        <w:t xml:space="preserve"> advises:</w:t>
      </w:r>
    </w:p>
    <w:p w:rsidR="007D76BB" w:rsidRDefault="007D76BB">
      <w:pPr>
        <w:pStyle w:val="BodyText"/>
        <w:spacing w:before="11"/>
        <w:rPr>
          <w:sz w:val="21"/>
        </w:rPr>
      </w:pPr>
    </w:p>
    <w:p w:rsidR="007D76BB" w:rsidRDefault="00D70D28">
      <w:pPr>
        <w:ind w:left="918" w:right="596"/>
      </w:pPr>
      <w:r>
        <w:rPr>
          <w:i/>
        </w:rPr>
        <w:t xml:space="preserve">Canadians cannot be sure of what they are actually buying in this vast array of performance-enhancing products. In fact, dietary supplements remain largely unregulated, particularly outside Canada. What you see is not always what you get when purchasing these dietary supplements; you can’t be entirely sure what many of these products actually contain. Some companies maintain high quality standards while others are less professional, so you really don’t know what you are putting into your body. Recent studies show some of these products do not always contain the ingredients listed on their content label, and often contain other ingredients that are not listed on the label. Some products have even been found to contain lead, anabolic steroids, animal </w:t>
      </w:r>
      <w:proofErr w:type="spellStart"/>
      <w:r>
        <w:rPr>
          <w:i/>
        </w:rPr>
        <w:t>faeces</w:t>
      </w:r>
      <w:proofErr w:type="spellEnd"/>
      <w:r>
        <w:rPr>
          <w:i/>
        </w:rPr>
        <w:t xml:space="preserve"> and other potentially harmful contaminants. The bottom line is that you really can’t be sure what your dietary supplement contains. </w:t>
      </w:r>
      <w:r>
        <w:t>(54)</w:t>
      </w:r>
    </w:p>
    <w:p w:rsidR="007D76BB" w:rsidRDefault="007D76BB">
      <w:pPr>
        <w:pStyle w:val="BodyText"/>
        <w:spacing w:before="1"/>
      </w:pPr>
    </w:p>
    <w:p w:rsidR="007D76BB" w:rsidRDefault="00D70D28">
      <w:pPr>
        <w:pStyle w:val="BodyText"/>
        <w:ind w:left="198" w:right="716"/>
        <w:jc w:val="both"/>
      </w:pPr>
      <w:r>
        <w:t>For member states of the European Union, sports supplements can be regulated under food law or medicines law depending on their composition (55). There are also national laws in different member states defining food supplements and these may differ between countries.</w:t>
      </w:r>
    </w:p>
    <w:p w:rsidR="007D76BB" w:rsidRDefault="00D70D28">
      <w:pPr>
        <w:pStyle w:val="BodyText"/>
        <w:spacing w:before="119"/>
        <w:ind w:left="198" w:right="729"/>
      </w:pPr>
      <w:r>
        <w:t xml:space="preserve">Various European authorities have reported finding banned substances in sports supplements. The Hungarian National Food Chain Safety Agency found nutritional supplements aimed at athletes contained creatinine nitrate and teak (a caffeine-like </w:t>
      </w:r>
      <w:proofErr w:type="spellStart"/>
      <w:r>
        <w:t>purinase</w:t>
      </w:r>
      <w:proofErr w:type="spellEnd"/>
      <w:r>
        <w:t xml:space="preserve"> alkaloid) which are both novel food ingredients and </w:t>
      </w:r>
      <w:proofErr w:type="spellStart"/>
      <w:r>
        <w:t>unauthorised</w:t>
      </w:r>
      <w:proofErr w:type="spellEnd"/>
      <w:r>
        <w:t xml:space="preserve"> for sale in Europe (52; 56).</w:t>
      </w:r>
    </w:p>
    <w:p w:rsidR="007D76BB" w:rsidRDefault="00D70D28">
      <w:pPr>
        <w:pStyle w:val="BodyText"/>
        <w:spacing w:before="180"/>
        <w:ind w:left="197" w:right="1020"/>
        <w:jc w:val="both"/>
      </w:pPr>
      <w:r>
        <w:t xml:space="preserve">In 2016, the United Kingdom’s Medicine (MRHA) (52) reviewed the product ranges of 33 UK based companies’ product ranges and found 69 </w:t>
      </w:r>
      <w:proofErr w:type="spellStart"/>
      <w:r>
        <w:t>unauthorised</w:t>
      </w:r>
      <w:proofErr w:type="spellEnd"/>
      <w:r>
        <w:t xml:space="preserve"> medicines being sold as sports supplements with16 companies found to be selling one or more </w:t>
      </w:r>
      <w:proofErr w:type="spellStart"/>
      <w:r>
        <w:t>unauthorised</w:t>
      </w:r>
      <w:proofErr w:type="spellEnd"/>
      <w:r>
        <w:t xml:space="preserve"> medicines.</w:t>
      </w:r>
    </w:p>
    <w:p w:rsidR="007D76BB" w:rsidRDefault="00D70D28">
      <w:pPr>
        <w:pStyle w:val="BodyText"/>
        <w:ind w:left="197" w:right="1219"/>
        <w:jc w:val="both"/>
      </w:pPr>
      <w:r>
        <w:t xml:space="preserve">The MHRA subsequently took action to remove </w:t>
      </w:r>
      <w:proofErr w:type="spellStart"/>
      <w:r>
        <w:t>unauthorised</w:t>
      </w:r>
      <w:proofErr w:type="spellEnd"/>
      <w:r>
        <w:t xml:space="preserve"> medicinal products from the market.</w:t>
      </w:r>
    </w:p>
    <w:p w:rsidR="007D76BB" w:rsidRDefault="007D76BB">
      <w:pPr>
        <w:pStyle w:val="BodyText"/>
        <w:spacing w:before="1"/>
      </w:pPr>
    </w:p>
    <w:p w:rsidR="007D76BB" w:rsidRDefault="00D70D28">
      <w:pPr>
        <w:pStyle w:val="BodyText"/>
        <w:ind w:left="197" w:right="657"/>
      </w:pPr>
      <w:r>
        <w:t xml:space="preserve">To reduce the risk of the presence of WADC prohibited substances in food intended for sports people, the </w:t>
      </w:r>
      <w:hyperlink r:id="rId131">
        <w:r>
          <w:rPr>
            <w:color w:val="0000FF"/>
            <w:u w:val="single" w:color="0000FF"/>
          </w:rPr>
          <w:t>European Committee for Standardization</w:t>
        </w:r>
        <w:r>
          <w:rPr>
            <w:color w:val="0000FF"/>
          </w:rPr>
          <w:t xml:space="preserve"> </w:t>
        </w:r>
      </w:hyperlink>
      <w:r>
        <w:t xml:space="preserve">have established a technical body, the ‘Dietary supplements and sports food free of doping substances’ which is currently developing a guidance document to provide the requirements for the development and manufacture of these goods. The </w:t>
      </w:r>
      <w:r>
        <w:lastRenderedPageBreak/>
        <w:t xml:space="preserve">guidance document, </w:t>
      </w:r>
      <w:hyperlink r:id="rId132">
        <w:r>
          <w:rPr>
            <w:color w:val="0000FF"/>
            <w:u w:val="single" w:color="0000FF"/>
          </w:rPr>
          <w:t>Good development and manufacturing practices aimed at</w:t>
        </w:r>
      </w:hyperlink>
      <w:r>
        <w:rPr>
          <w:color w:val="0000FF"/>
        </w:rPr>
        <w:t xml:space="preserve"> </w:t>
      </w:r>
      <w:hyperlink r:id="rId133">
        <w:r>
          <w:rPr>
            <w:color w:val="0000FF"/>
            <w:u w:val="single" w:color="0000FF"/>
          </w:rPr>
          <w:t>preventing the presence of prohibited substances in food intended for sports people and food</w:t>
        </w:r>
      </w:hyperlink>
      <w:r>
        <w:rPr>
          <w:color w:val="0000FF"/>
        </w:rPr>
        <w:t xml:space="preserve"> </w:t>
      </w:r>
      <w:hyperlink r:id="rId134">
        <w:r>
          <w:rPr>
            <w:color w:val="0000FF"/>
            <w:u w:val="single" w:color="0000FF"/>
          </w:rPr>
          <w:t>supplements</w:t>
        </w:r>
        <w:r>
          <w:t xml:space="preserve">, </w:t>
        </w:r>
      </w:hyperlink>
      <w:r>
        <w:t xml:space="preserve">is scheduled for </w:t>
      </w:r>
      <w:proofErr w:type="spellStart"/>
      <w:r>
        <w:t>finalisation</w:t>
      </w:r>
      <w:proofErr w:type="spellEnd"/>
      <w:r>
        <w:t xml:space="preserve"> in October 2020.</w:t>
      </w:r>
    </w:p>
    <w:p w:rsidR="007D76BB" w:rsidRDefault="007D76BB">
      <w:pPr>
        <w:pStyle w:val="BodyText"/>
      </w:pPr>
    </w:p>
    <w:p w:rsidR="007D76BB" w:rsidRDefault="00D70D28">
      <w:pPr>
        <w:pStyle w:val="BodyText"/>
        <w:ind w:left="198" w:right="639"/>
      </w:pPr>
      <w:r>
        <w:t xml:space="preserve">It can be seen that many countries are experiencing similar safety concerns as Australia in relation to certain sports supplements that are marketed as foods and are </w:t>
      </w:r>
      <w:proofErr w:type="spellStart"/>
      <w:r>
        <w:t>endeavouring</w:t>
      </w:r>
      <w:proofErr w:type="spellEnd"/>
      <w:r>
        <w:t xml:space="preserve"> to use a number of measures in an attempt to address these concerns.</w:t>
      </w:r>
    </w:p>
    <w:p w:rsidR="007D76BB" w:rsidRDefault="007D76BB">
      <w:pPr>
        <w:sectPr w:rsidR="007D76BB">
          <w:pgSz w:w="11910" w:h="16840"/>
          <w:pgMar w:top="840" w:right="820" w:bottom="1360" w:left="1220" w:header="572" w:footer="1178" w:gutter="0"/>
          <w:cols w:space="720"/>
        </w:sectPr>
      </w:pPr>
    </w:p>
    <w:p w:rsidR="007D76BB" w:rsidRDefault="007D76BB">
      <w:pPr>
        <w:pStyle w:val="BodyText"/>
        <w:rPr>
          <w:sz w:val="20"/>
        </w:rPr>
      </w:pPr>
    </w:p>
    <w:p w:rsidR="007D76BB" w:rsidRDefault="007D76BB">
      <w:pPr>
        <w:pStyle w:val="BodyText"/>
        <w:spacing w:before="8"/>
        <w:rPr>
          <w:sz w:val="27"/>
        </w:rPr>
      </w:pPr>
    </w:p>
    <w:p w:rsidR="007D76BB" w:rsidRDefault="00D70D28">
      <w:pPr>
        <w:pStyle w:val="Heading2"/>
      </w:pPr>
      <w:bookmarkStart w:id="72" w:name="Need_for_government_action"/>
      <w:bookmarkStart w:id="73" w:name="_bookmark32"/>
      <w:bookmarkEnd w:id="72"/>
      <w:bookmarkEnd w:id="73"/>
      <w:r>
        <w:t>Need for government action</w:t>
      </w:r>
    </w:p>
    <w:p w:rsidR="007D76BB" w:rsidRDefault="00D70D28">
      <w:pPr>
        <w:pStyle w:val="Heading7"/>
        <w:spacing w:before="126"/>
      </w:pPr>
      <w:r>
        <w:t>Why the Government should intervene</w:t>
      </w:r>
    </w:p>
    <w:p w:rsidR="007D76BB" w:rsidRDefault="00D70D28">
      <w:pPr>
        <w:pStyle w:val="BodyText"/>
        <w:spacing w:before="179"/>
        <w:ind w:left="198" w:right="610"/>
      </w:pPr>
      <w:r>
        <w:t>The TGA is committed to the Australian Government Department of Health’s strategic priority of protecting the health and safety of the Australian community through effective, timely and risk proportionate regulation of therapeutic goods. The TGA is responsible for protecting the health and safety of the community by regulating therapeutic goods for safety, efficacy and quality. This applies to goods exported, imported, supplied and manufactured in Australia.</w:t>
      </w:r>
    </w:p>
    <w:p w:rsidR="007D76BB" w:rsidRDefault="00D70D28">
      <w:pPr>
        <w:pStyle w:val="BodyText"/>
        <w:spacing w:before="179"/>
        <w:ind w:left="197" w:right="641"/>
      </w:pPr>
      <w:r>
        <w:t xml:space="preserve">It is well recognised that there are safety risks associated with the use of some sports supplements by Australian consumers (from both domestic and overseas manufacturers) (see </w:t>
      </w:r>
      <w:hyperlink w:anchor="_bookmark13" w:history="1">
        <w:proofErr w:type="gramStart"/>
        <w:r>
          <w:rPr>
            <w:color w:val="0000FF"/>
            <w:u w:val="single" w:color="0000FF"/>
          </w:rPr>
          <w:t>The</w:t>
        </w:r>
        <w:proofErr w:type="gramEnd"/>
        <w:r>
          <w:rPr>
            <w:color w:val="0000FF"/>
            <w:u w:val="single" w:color="0000FF"/>
          </w:rPr>
          <w:t xml:space="preserve"> consumer problem</w:t>
        </w:r>
      </w:hyperlink>
      <w:r>
        <w:t>). There have been deaths and serious adverse events reported with the use of certain sports supplements, which, in general, have occurred in otherwise healthy, predominantly younger people, for whom there is usually no medical reason to take the product that caused them harm. Although the frequency of serious adverse events and deaths may be low (for example, the NSW Poisons Information Centre reports 4 people have died in Australia from ‘fat shredder’ supplements in the last 5 years) the cost associated with just one mortality is very high and far outweighs the regulatory impact of any of the proposed regulatory interventions. The Value of Statistical Life in 2019 dollars is $4.9 million (24) and Noetic (</w:t>
      </w:r>
      <w:hyperlink w:anchor="_bookmark67" w:history="1">
        <w:r>
          <w:rPr>
            <w:color w:val="0000FF"/>
            <w:u w:val="single" w:color="0000FF"/>
          </w:rPr>
          <w:t>Appendix 1</w:t>
        </w:r>
      </w:hyperlink>
      <w:r>
        <w:t>) estimates the average annual regulatory impact over a 10-year period for the highest cost options proposed in this RIS to be $0.22 million. Therefore, if one single death was avoided (by the proposal to regulate certain sports supplements as medicines), this would save society $4.9 million compared to the potential highest regulatory burden to industry of $2.2 million (over 10 years).</w:t>
      </w:r>
    </w:p>
    <w:p w:rsidR="007D76BB" w:rsidRDefault="00D70D28">
      <w:pPr>
        <w:pStyle w:val="BodyText"/>
        <w:spacing w:before="180"/>
        <w:ind w:left="198" w:right="673"/>
      </w:pPr>
      <w:r>
        <w:t xml:space="preserve">Similarly, while the frequency of serious adverse events may not be high, the costs of such individual events is high. Based on 2014/2015 data, the </w:t>
      </w:r>
      <w:hyperlink r:id="rId135">
        <w:r>
          <w:rPr>
            <w:color w:val="0000FF"/>
            <w:u w:val="single" w:color="0000FF"/>
          </w:rPr>
          <w:t>NSW Ministry of Health</w:t>
        </w:r>
        <w:r>
          <w:rPr>
            <w:color w:val="0000FF"/>
          </w:rPr>
          <w:t xml:space="preserve"> </w:t>
        </w:r>
      </w:hyperlink>
      <w:r>
        <w:t>estimated the hospital cost of a liver transplant procedure (i.e. hospital costs) to be $153,200. This amount does not take into consideration other costs such as medication, pathology, ongoing monitoring, the costs of a potential organ rejection or the personal costs to the individual and their families.</w:t>
      </w:r>
    </w:p>
    <w:p w:rsidR="007D76BB" w:rsidRDefault="00D70D28">
      <w:pPr>
        <w:pStyle w:val="BodyText"/>
        <w:spacing w:before="182"/>
        <w:ind w:left="198" w:right="694"/>
      </w:pPr>
      <w:r>
        <w:t>There are two categories of sports supplements, currently being marketed as foods in Australia, which pose actual and potential safety risks to consumers:</w:t>
      </w:r>
    </w:p>
    <w:p w:rsidR="007D76BB" w:rsidRDefault="00D70D28">
      <w:pPr>
        <w:pStyle w:val="ListParagraph"/>
        <w:numPr>
          <w:ilvl w:val="0"/>
          <w:numId w:val="72"/>
        </w:numPr>
        <w:tabs>
          <w:tab w:val="left" w:pos="558"/>
          <w:tab w:val="left" w:pos="559"/>
        </w:tabs>
        <w:ind w:left="558" w:right="650"/>
      </w:pPr>
      <w:r>
        <w:t>products which are either non-compliant or illegal (in relation to the ingredients they contain) but are not being sufficiently regulated (due to lack of clarity on their legal status as a food or medicine in current</w:t>
      </w:r>
      <w:r>
        <w:rPr>
          <w:spacing w:val="-11"/>
        </w:rPr>
        <w:t xml:space="preserve"> </w:t>
      </w:r>
      <w:r>
        <w:t>legislation)</w:t>
      </w:r>
    </w:p>
    <w:p w:rsidR="007D76BB" w:rsidRDefault="00D70D28">
      <w:pPr>
        <w:pStyle w:val="ListParagraph"/>
        <w:numPr>
          <w:ilvl w:val="0"/>
          <w:numId w:val="72"/>
        </w:numPr>
        <w:tabs>
          <w:tab w:val="left" w:pos="558"/>
          <w:tab w:val="left" w:pos="559"/>
        </w:tabs>
        <w:spacing w:before="179"/>
        <w:ind w:left="558" w:right="726"/>
      </w:pPr>
      <w:r>
        <w:t xml:space="preserve">other products which may not be illegal under current legislation, but present a level of risk to consumers (in relation to their ingredients or presentation as medicines) such that it is </w:t>
      </w:r>
      <w:r>
        <w:lastRenderedPageBreak/>
        <w:t>appropriate to mitigate these risks through</w:t>
      </w:r>
      <w:r>
        <w:rPr>
          <w:spacing w:val="-6"/>
        </w:rPr>
        <w:t xml:space="preserve"> </w:t>
      </w:r>
      <w:r>
        <w:t>regulation</w:t>
      </w:r>
    </w:p>
    <w:p w:rsidR="007D76BB" w:rsidRDefault="00D70D28">
      <w:pPr>
        <w:pStyle w:val="BodyText"/>
        <w:spacing w:before="179"/>
        <w:ind w:left="198" w:right="799"/>
      </w:pPr>
      <w:r>
        <w:t xml:space="preserve">Complexity and a lack of clarity regarding the regulatory status of sports supplements as foods or medicines creates inefficiency and limits the ability of the TGA to instigate timely enforcement activities where safety concerns arise, or mitigate the potential for future safety concerns. Legal proceedings against manufacturers/importers of these products experience lengthy and costly delays due to the lack of legislative clarity - refer to (refer to </w:t>
      </w:r>
      <w:hyperlink w:anchor="_bookmark27" w:history="1">
        <w:proofErr w:type="gramStart"/>
        <w:r>
          <w:rPr>
            <w:color w:val="0000FF"/>
            <w:u w:val="single" w:color="0000FF"/>
          </w:rPr>
          <w:t>The</w:t>
        </w:r>
        <w:proofErr w:type="gramEnd"/>
        <w:r>
          <w:rPr>
            <w:color w:val="0000FF"/>
            <w:u w:val="single" w:color="0000FF"/>
          </w:rPr>
          <w:t xml:space="preserve"> problem</w:t>
        </w:r>
      </w:hyperlink>
      <w:r>
        <w:rPr>
          <w:color w:val="0000FF"/>
        </w:rPr>
        <w:t xml:space="preserve"> </w:t>
      </w:r>
      <w:hyperlink w:anchor="_bookmark27" w:history="1">
        <w:r>
          <w:rPr>
            <w:color w:val="0000FF"/>
            <w:u w:val="single" w:color="0000FF"/>
          </w:rPr>
          <w:t>with current legislation</w:t>
        </w:r>
      </w:hyperlink>
      <w:r>
        <w:t>). This poses an elevated risk to public health, given the nature and widespread use and expected continued growth of sports supplements by consumers.</w:t>
      </w:r>
    </w:p>
    <w:p w:rsidR="007D76BB" w:rsidRDefault="00D70D28">
      <w:pPr>
        <w:pStyle w:val="BodyText"/>
        <w:spacing w:before="182"/>
        <w:ind w:left="198" w:right="867"/>
      </w:pPr>
      <w:r>
        <w:t>It is in the interest of the Australian public that products, which may pose actual and potential risks to consumer health, are subject to a system of controls relating to the quality, safety and efficacy of these goods. Government action is required to provide clarity on which sports supplements are medicines or food which will enable regulators—the TGA or State and</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8" w:right="672"/>
      </w:pPr>
      <w:r>
        <w:t>Territory food authorities—to ensure that these products are regulated commensurate with the risks that they pose to public health.</w:t>
      </w:r>
    </w:p>
    <w:p w:rsidR="007D76BB" w:rsidRDefault="00D70D28">
      <w:pPr>
        <w:pStyle w:val="Heading7"/>
      </w:pPr>
      <w:r>
        <w:t>The objective of the intervention</w:t>
      </w:r>
    </w:p>
    <w:p w:rsidR="007D76BB" w:rsidRDefault="00D70D28">
      <w:pPr>
        <w:pStyle w:val="BodyText"/>
        <w:spacing w:before="122"/>
        <w:ind w:left="197" w:right="730"/>
      </w:pPr>
      <w:r>
        <w:t>The objective of the intervention is to protect the health of the Australian community by enabling the effective, timely and risk proportionate regulation of sports supplements products that pose actual and potential safety risks to consumers.</w:t>
      </w:r>
    </w:p>
    <w:p w:rsidR="007D76BB" w:rsidRDefault="00D70D28">
      <w:pPr>
        <w:pStyle w:val="Heading7"/>
        <w:spacing w:before="179"/>
        <w:ind w:left="197"/>
      </w:pPr>
      <w:r>
        <w:t>The Government has the capacity to intervene</w:t>
      </w:r>
    </w:p>
    <w:p w:rsidR="007D76BB" w:rsidRDefault="00D70D28">
      <w:pPr>
        <w:pStyle w:val="BodyText"/>
        <w:spacing w:before="181"/>
        <w:ind w:left="197" w:right="596"/>
      </w:pPr>
      <w:r>
        <w:t>The therapeutic goods framework provides a national system of controls to ensure consumer safety. If the therapeutic goods framework applied to certain sports supplement products (as identified in the proposed options), it would assist industry in ensuring they meet the high levels of safety, quality and efficacy that Australian consumers expect from products available in Australia.</w:t>
      </w:r>
    </w:p>
    <w:p w:rsidR="007D76BB" w:rsidRDefault="00D70D28">
      <w:pPr>
        <w:pStyle w:val="BodyText"/>
        <w:spacing w:before="179"/>
        <w:ind w:left="197" w:right="886"/>
      </w:pPr>
      <w:r>
        <w:t>Section 7 of the TG Act provides the Secretary of the Department of Health (the Secretary) the power to declare that goods are (or are not) therapeutic goods generally or when used, advertised or presented for supply in a particular manner, even if:</w:t>
      </w:r>
    </w:p>
    <w:p w:rsidR="007D76BB" w:rsidRDefault="00D70D28">
      <w:pPr>
        <w:pStyle w:val="ListParagraph"/>
        <w:numPr>
          <w:ilvl w:val="0"/>
          <w:numId w:val="72"/>
        </w:numPr>
        <w:tabs>
          <w:tab w:val="left" w:pos="557"/>
          <w:tab w:val="left" w:pos="559"/>
        </w:tabs>
        <w:spacing w:before="179"/>
        <w:ind w:left="558" w:hanging="362"/>
      </w:pPr>
      <w:r>
        <w:t>they are also goods for which there is a standard in the Code;</w:t>
      </w:r>
      <w:r>
        <w:rPr>
          <w:spacing w:val="-16"/>
        </w:rPr>
        <w:t xml:space="preserve"> </w:t>
      </w:r>
      <w:r>
        <w:t>or</w:t>
      </w:r>
    </w:p>
    <w:p w:rsidR="007D76BB" w:rsidRDefault="00D70D28">
      <w:pPr>
        <w:pStyle w:val="ListParagraph"/>
        <w:numPr>
          <w:ilvl w:val="0"/>
          <w:numId w:val="72"/>
        </w:numPr>
        <w:tabs>
          <w:tab w:val="left" w:pos="558"/>
          <w:tab w:val="left" w:pos="559"/>
        </w:tabs>
        <w:spacing w:before="181"/>
        <w:ind w:left="558" w:right="871"/>
      </w:pPr>
      <w:r>
        <w:t>have a tradition of use as food in the form in which they are presented in Australia or New Zealand</w:t>
      </w:r>
    </w:p>
    <w:p w:rsidR="007D76BB" w:rsidRDefault="00D70D28">
      <w:pPr>
        <w:pStyle w:val="BodyText"/>
        <w:spacing w:before="180"/>
        <w:ind w:left="198" w:right="798"/>
      </w:pPr>
      <w:r>
        <w:t>The effect is that goods that would otherwise be regulated as food are regulated as therapeutic goods. Section 7 declarations are made by the Secretary to provide clarity for consumers, industry and regulators as to whether a product is a therapeutic good or a food.</w:t>
      </w:r>
    </w:p>
    <w:p w:rsidR="007D76BB" w:rsidRDefault="00D70D28">
      <w:pPr>
        <w:pStyle w:val="Heading7"/>
        <w:spacing w:before="179"/>
      </w:pPr>
      <w:r>
        <w:t>Barriers or natural limits on what might be achieved by Government intervention</w:t>
      </w:r>
    </w:p>
    <w:p w:rsidR="007D76BB" w:rsidRDefault="00D70D28">
      <w:pPr>
        <w:pStyle w:val="BodyText"/>
        <w:spacing w:before="122"/>
        <w:ind w:left="197" w:right="595"/>
      </w:pPr>
      <w:r>
        <w:t>Even if legal clarification is provided on the status of certain sports supplements as therapeutic goods, consumers may still be exposed to higher risk goods if some companies continue to market certain supplements as food products to avoid appropriate regulatory scrutiny. This is a known issue with products from this category and there is a risk that businesses could continue this practice. However, the legal clarity will mean that timely and appropriate enforcement activity can be undertaken by the TGA against these products where they are identified. The TGA already has testing protocols in place for sports supplements, which will be increased if the regulatory clarification is implemented. It is also likely that the clarification of jurisdictional responsibility for these goods, and the resulting increased regulatory enforcement, will be a deterrent to such practices continuing in the future.</w:t>
      </w:r>
    </w:p>
    <w:p w:rsidR="007D76BB" w:rsidRDefault="007D76BB">
      <w:pPr>
        <w:pStyle w:val="BodyText"/>
        <w:rPr>
          <w:sz w:val="26"/>
        </w:rPr>
      </w:pPr>
    </w:p>
    <w:p w:rsidR="007D76BB" w:rsidRDefault="00D70D28">
      <w:pPr>
        <w:pStyle w:val="Heading2"/>
        <w:spacing w:before="170"/>
      </w:pPr>
      <w:bookmarkStart w:id="74" w:name="Consultation"/>
      <w:bookmarkStart w:id="75" w:name="_bookmark33"/>
      <w:bookmarkEnd w:id="74"/>
      <w:bookmarkEnd w:id="75"/>
      <w:r>
        <w:t>Consultation</w:t>
      </w:r>
    </w:p>
    <w:p w:rsidR="007D76BB" w:rsidRDefault="00D70D28">
      <w:pPr>
        <w:pStyle w:val="BodyText"/>
        <w:spacing w:before="123"/>
        <w:ind w:left="198" w:right="635"/>
      </w:pPr>
      <w:r>
        <w:t>This proposal has been consulted over an 18-month period. Fol</w:t>
      </w:r>
      <w:r>
        <w:lastRenderedPageBreak/>
        <w:t>lowing initial internal consultation in 2018, the proposal was discussed by the TGA and the Implementation Subcommittee for Food Regulation (ISFR) at its July 2019 meeting. ISFR members include senior officials of the Australian and New Zealand state and territory food authorities, the Australian Local Government Association and other Australian Government representatives (such as FSANZ and ASADA). Following ISFR consultation a workshop was held at the TGA in September 2019 with Commonwealth regulators and the Australian and New Zealand state and territory food regulatory bodies. This workshop aimed to generate technical input for the criteria for the proposed section 7 declaration to ensure it was appropriately scoped and fit for</w:t>
      </w:r>
      <w:r>
        <w:rPr>
          <w:spacing w:val="-23"/>
        </w:rPr>
        <w:t xml:space="preserve"> </w:t>
      </w:r>
      <w:r>
        <w:t>purpose.</w:t>
      </w:r>
    </w:p>
    <w:p w:rsidR="007D76BB" w:rsidRDefault="00D70D28">
      <w:pPr>
        <w:pStyle w:val="BodyText"/>
        <w:spacing w:before="182"/>
        <w:ind w:left="198" w:right="616"/>
      </w:pPr>
      <w:r>
        <w:t xml:space="preserve">A consultation paper on a </w:t>
      </w:r>
      <w:hyperlink r:id="rId136">
        <w:r>
          <w:rPr>
            <w:color w:val="0000FF"/>
            <w:u w:val="single" w:color="0000FF"/>
          </w:rPr>
          <w:t>proposed clarification that certain sports supplements are therapeutic</w:t>
        </w:r>
      </w:hyperlink>
      <w:r>
        <w:rPr>
          <w:color w:val="0000FF"/>
        </w:rPr>
        <w:t xml:space="preserve"> </w:t>
      </w:r>
      <w:hyperlink r:id="rId137">
        <w:r>
          <w:rPr>
            <w:color w:val="0000FF"/>
            <w:u w:val="single" w:color="0000FF"/>
          </w:rPr>
          <w:t>goods</w:t>
        </w:r>
        <w:r>
          <w:rPr>
            <w:color w:val="0000FF"/>
          </w:rPr>
          <w:t xml:space="preserve"> </w:t>
        </w:r>
      </w:hyperlink>
      <w:r>
        <w:t>was released for public comment on 22 October 2019. The consultation paper outlined</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8" w:right="618"/>
      </w:pPr>
      <w:proofErr w:type="gramStart"/>
      <w:r>
        <w:t>the</w:t>
      </w:r>
      <w:proofErr w:type="gramEnd"/>
      <w:r>
        <w:t xml:space="preserve"> regulatory complexities between foods and therapeutic goods and raised the emerging issues of consumer safety and jurisdictional responsibility associated with sports supplements. The consultation paper included a </w:t>
      </w:r>
      <w:hyperlink r:id="rId138">
        <w:r>
          <w:rPr>
            <w:color w:val="0000FF"/>
            <w:u w:val="single" w:color="0000FF"/>
          </w:rPr>
          <w:t>proposed declaration</w:t>
        </w:r>
        <w:r>
          <w:rPr>
            <w:color w:val="0000FF"/>
          </w:rPr>
          <w:t xml:space="preserve"> </w:t>
        </w:r>
      </w:hyperlink>
      <w:r>
        <w:t xml:space="preserve">under the authority of section 7 of the TG Act that certain sports supplements are therapeutic goods. The precise terms of this proposal are the same as what is in this RIS referred to as </w:t>
      </w:r>
      <w:hyperlink w:anchor="_bookmark59" w:history="1">
        <w:r>
          <w:rPr>
            <w:color w:val="0000FF"/>
            <w:u w:val="single" w:color="0000FF"/>
          </w:rPr>
          <w:t>Alternative approach</w:t>
        </w:r>
        <w:r>
          <w:rPr>
            <w:color w:val="0000FF"/>
            <w:spacing w:val="-14"/>
            <w:u w:val="single" w:color="0000FF"/>
          </w:rPr>
          <w:t xml:space="preserve"> </w:t>
        </w:r>
        <w:r>
          <w:rPr>
            <w:color w:val="0000FF"/>
            <w:u w:val="single" w:color="0000FF"/>
          </w:rPr>
          <w:t>2.</w:t>
        </w:r>
      </w:hyperlink>
    </w:p>
    <w:p w:rsidR="007D76BB" w:rsidRDefault="00D70D28">
      <w:pPr>
        <w:pStyle w:val="BodyText"/>
        <w:spacing w:before="182"/>
        <w:ind w:left="198" w:right="609"/>
      </w:pPr>
      <w:r>
        <w:t>In response to the public consultation, 43 written responses were received from a range of stakeholders including: consumers; manufacturers; industry representatives; regulatory affairs consultants; government bodies; and health professional associations. An online survey received over 5300 submissions, primarily from consumers. There was also an industry-initiated campaign ’Save Aussie Supplements’ that received over 14,000 signatures. The list of responses is provided in Table 11.</w:t>
      </w:r>
    </w:p>
    <w:p w:rsidR="007D76BB" w:rsidRDefault="00D70D28">
      <w:pPr>
        <w:pStyle w:val="Heading7"/>
      </w:pPr>
      <w:r>
        <w:t>Table 11: Stakeholder response to public consultation paper on sports supplements</w:t>
      </w:r>
    </w:p>
    <w:p w:rsidR="007D76BB" w:rsidRDefault="007D76BB">
      <w:pPr>
        <w:pStyle w:val="BodyText"/>
        <w:spacing w:before="3" w:after="1"/>
        <w:rPr>
          <w:b/>
          <w:sz w:val="15"/>
        </w:rPr>
      </w:pPr>
    </w:p>
    <w:tbl>
      <w:tblPr>
        <w:tblW w:w="0" w:type="auto"/>
        <w:tblInd w:w="218" w:type="dxa"/>
        <w:tblBorders>
          <w:top w:val="single" w:sz="8" w:space="0" w:color="002C46"/>
          <w:left w:val="single" w:sz="8" w:space="0" w:color="002C46"/>
          <w:bottom w:val="single" w:sz="8" w:space="0" w:color="002C46"/>
          <w:right w:val="single" w:sz="8" w:space="0" w:color="002C46"/>
          <w:insideH w:val="single" w:sz="8" w:space="0" w:color="002C46"/>
          <w:insideV w:val="single" w:sz="8" w:space="0" w:color="002C46"/>
        </w:tblBorders>
        <w:tblLayout w:type="fixed"/>
        <w:tblCellMar>
          <w:left w:w="0" w:type="dxa"/>
          <w:right w:w="0" w:type="dxa"/>
        </w:tblCellMar>
        <w:tblLook w:val="01E0" w:firstRow="1" w:lastRow="1" w:firstColumn="1" w:lastColumn="1" w:noHBand="0" w:noVBand="0"/>
      </w:tblPr>
      <w:tblGrid>
        <w:gridCol w:w="3677"/>
        <w:gridCol w:w="5386"/>
      </w:tblGrid>
      <w:tr w:rsidR="007D76BB">
        <w:trPr>
          <w:trHeight w:val="611"/>
        </w:trPr>
        <w:tc>
          <w:tcPr>
            <w:tcW w:w="9063" w:type="dxa"/>
            <w:gridSpan w:val="2"/>
            <w:shd w:val="clear" w:color="auto" w:fill="006CA7"/>
          </w:tcPr>
          <w:p w:rsidR="007D76BB" w:rsidRDefault="00D70D28">
            <w:pPr>
              <w:pStyle w:val="TableParagraph"/>
              <w:tabs>
                <w:tab w:val="left" w:pos="3784"/>
              </w:tabs>
              <w:spacing w:before="120"/>
              <w:ind w:left="107"/>
              <w:rPr>
                <w:rFonts w:ascii="Arial Black"/>
              </w:rPr>
            </w:pPr>
            <w:r>
              <w:rPr>
                <w:rFonts w:ascii="Arial Black"/>
                <w:color w:val="FFFFFF"/>
              </w:rPr>
              <w:t>Category</w:t>
            </w:r>
            <w:r>
              <w:rPr>
                <w:rFonts w:ascii="Arial Black"/>
                <w:color w:val="FFFFFF"/>
              </w:rPr>
              <w:tab/>
              <w:t>Representatives</w:t>
            </w:r>
          </w:p>
        </w:tc>
      </w:tr>
      <w:tr w:rsidR="007D76BB">
        <w:trPr>
          <w:trHeight w:val="1331"/>
        </w:trPr>
        <w:tc>
          <w:tcPr>
            <w:tcW w:w="3677" w:type="dxa"/>
          </w:tcPr>
          <w:p w:rsidR="007D76BB" w:rsidRDefault="00D70D28">
            <w:pPr>
              <w:pStyle w:val="TableParagraph"/>
              <w:spacing w:before="119"/>
              <w:ind w:left="107"/>
            </w:pPr>
            <w:r>
              <w:t>Government representatives</w:t>
            </w:r>
          </w:p>
        </w:tc>
        <w:tc>
          <w:tcPr>
            <w:tcW w:w="5386" w:type="dxa"/>
          </w:tcPr>
          <w:p w:rsidR="007D76BB" w:rsidRDefault="00D70D28">
            <w:pPr>
              <w:pStyle w:val="TableParagraph"/>
              <w:spacing w:before="119"/>
              <w:ind w:left="107" w:right="1454"/>
            </w:pPr>
            <w:r>
              <w:t>Australian Sports Anti-Doping Authority Department of</w:t>
            </w:r>
            <w:r>
              <w:rPr>
                <w:spacing w:val="-3"/>
              </w:rPr>
              <w:t xml:space="preserve"> </w:t>
            </w:r>
            <w:r>
              <w:t>Agriculture</w:t>
            </w:r>
          </w:p>
          <w:p w:rsidR="007D76BB" w:rsidRDefault="00D70D28">
            <w:pPr>
              <w:pStyle w:val="TableParagraph"/>
              <w:ind w:left="107" w:right="2044"/>
            </w:pPr>
            <w:r>
              <w:t>Queensland Department of Health Sports Dieticians</w:t>
            </w:r>
            <w:r>
              <w:rPr>
                <w:spacing w:val="-2"/>
              </w:rPr>
              <w:t xml:space="preserve"> </w:t>
            </w:r>
            <w:r>
              <w:t>Australia</w:t>
            </w:r>
          </w:p>
        </w:tc>
      </w:tr>
      <w:tr w:rsidR="007D76BB">
        <w:trPr>
          <w:trHeight w:val="815"/>
        </w:trPr>
        <w:tc>
          <w:tcPr>
            <w:tcW w:w="3677" w:type="dxa"/>
          </w:tcPr>
          <w:p w:rsidR="007D76BB" w:rsidRDefault="00D70D28">
            <w:pPr>
              <w:pStyle w:val="TableParagraph"/>
              <w:spacing w:before="119"/>
              <w:ind w:left="107"/>
            </w:pPr>
            <w:r>
              <w:t>Consumers</w:t>
            </w:r>
          </w:p>
        </w:tc>
        <w:tc>
          <w:tcPr>
            <w:tcW w:w="5386" w:type="dxa"/>
          </w:tcPr>
          <w:p w:rsidR="007D76BB" w:rsidRDefault="00D70D28">
            <w:pPr>
              <w:pStyle w:val="TableParagraph"/>
              <w:spacing w:before="119"/>
              <w:ind w:left="107" w:right="1701" w:hanging="1"/>
            </w:pPr>
            <w:r>
              <w:t>Consumers Health Forum of Australia 5365 responses to TGA online survey</w:t>
            </w:r>
          </w:p>
        </w:tc>
      </w:tr>
      <w:tr w:rsidR="007D76BB">
        <w:trPr>
          <w:trHeight w:val="815"/>
        </w:trPr>
        <w:tc>
          <w:tcPr>
            <w:tcW w:w="3677" w:type="dxa"/>
          </w:tcPr>
          <w:p w:rsidR="007D76BB" w:rsidRDefault="00D70D28">
            <w:pPr>
              <w:pStyle w:val="TableParagraph"/>
              <w:spacing w:before="119"/>
              <w:ind w:left="107"/>
            </w:pPr>
            <w:r>
              <w:t>Industry consultants</w:t>
            </w:r>
          </w:p>
        </w:tc>
        <w:tc>
          <w:tcPr>
            <w:tcW w:w="5386" w:type="dxa"/>
          </w:tcPr>
          <w:p w:rsidR="007D76BB" w:rsidRDefault="00D70D28">
            <w:pPr>
              <w:pStyle w:val="TableParagraph"/>
              <w:spacing w:before="119"/>
              <w:ind w:left="107" w:right="3728"/>
            </w:pPr>
            <w:r>
              <w:t>MKK Consulting Ron Law</w:t>
            </w:r>
          </w:p>
        </w:tc>
      </w:tr>
      <w:tr w:rsidR="007D76BB">
        <w:trPr>
          <w:trHeight w:val="1074"/>
        </w:trPr>
        <w:tc>
          <w:tcPr>
            <w:tcW w:w="3677" w:type="dxa"/>
          </w:tcPr>
          <w:p w:rsidR="007D76BB" w:rsidRDefault="00D70D28">
            <w:pPr>
              <w:pStyle w:val="TableParagraph"/>
              <w:spacing w:before="121"/>
              <w:ind w:left="107"/>
            </w:pPr>
            <w:r>
              <w:t>Industry bodies</w:t>
            </w:r>
          </w:p>
        </w:tc>
        <w:tc>
          <w:tcPr>
            <w:tcW w:w="5386" w:type="dxa"/>
          </w:tcPr>
          <w:p w:rsidR="007D76BB" w:rsidRDefault="00D70D28">
            <w:pPr>
              <w:pStyle w:val="TableParagraph"/>
              <w:spacing w:before="121"/>
              <w:ind w:left="107" w:right="1412"/>
            </w:pPr>
            <w:r>
              <w:t>Australian Traditional-Medicine Society Complementary Medicines Australia Consumer Healthcare Products Australia</w:t>
            </w:r>
          </w:p>
        </w:tc>
      </w:tr>
      <w:tr w:rsidR="007D76BB">
        <w:trPr>
          <w:trHeight w:val="2363"/>
        </w:trPr>
        <w:tc>
          <w:tcPr>
            <w:tcW w:w="3677" w:type="dxa"/>
          </w:tcPr>
          <w:p w:rsidR="007D76BB" w:rsidRDefault="00D70D28">
            <w:pPr>
              <w:pStyle w:val="TableParagraph"/>
              <w:spacing w:before="119"/>
              <w:ind w:left="107"/>
            </w:pPr>
            <w:r>
              <w:t>Professional bodies</w:t>
            </w:r>
          </w:p>
        </w:tc>
        <w:tc>
          <w:tcPr>
            <w:tcW w:w="5386" w:type="dxa"/>
          </w:tcPr>
          <w:p w:rsidR="007D76BB" w:rsidRDefault="00D70D28">
            <w:pPr>
              <w:pStyle w:val="TableParagraph"/>
              <w:spacing w:before="119"/>
              <w:ind w:left="107" w:right="451"/>
            </w:pPr>
            <w:r>
              <w:t>Australian College of Sport and Exercise Physicians Dieticians Association of Australia</w:t>
            </w:r>
          </w:p>
          <w:p w:rsidR="007D76BB" w:rsidRDefault="00D70D28">
            <w:pPr>
              <w:pStyle w:val="TableParagraph"/>
              <w:ind w:left="107"/>
            </w:pPr>
            <w:r>
              <w:t>Exercise &amp; Sports Science Australia</w:t>
            </w:r>
          </w:p>
          <w:p w:rsidR="007D76BB" w:rsidRDefault="00D70D28">
            <w:pPr>
              <w:pStyle w:val="TableParagraph"/>
              <w:spacing w:before="2"/>
              <w:ind w:left="107" w:right="867"/>
            </w:pPr>
            <w:r>
              <w:t>Monash University School of Public Health and Preventative Medicine</w:t>
            </w:r>
          </w:p>
          <w:p w:rsidR="007D76BB" w:rsidRDefault="00D70D28">
            <w:pPr>
              <w:pStyle w:val="TableParagraph"/>
              <w:spacing w:line="257" w:lineRule="exact"/>
              <w:ind w:left="107"/>
            </w:pPr>
            <w:r>
              <w:t>Pharmacy Guild</w:t>
            </w:r>
          </w:p>
          <w:p w:rsidR="007D76BB" w:rsidRDefault="00D70D28">
            <w:pPr>
              <w:pStyle w:val="TableParagraph"/>
              <w:spacing w:line="257" w:lineRule="exact"/>
              <w:ind w:left="107"/>
            </w:pPr>
            <w:r>
              <w:t>Public Health Association Australia</w:t>
            </w:r>
          </w:p>
          <w:p w:rsidR="007D76BB" w:rsidRDefault="00D70D28">
            <w:pPr>
              <w:pStyle w:val="TableParagraph"/>
              <w:spacing w:before="1"/>
              <w:ind w:left="107"/>
            </w:pPr>
            <w:r>
              <w:t>Royal Australian College of General Practitioners</w:t>
            </w:r>
          </w:p>
        </w:tc>
      </w:tr>
      <w:tr w:rsidR="007D76BB">
        <w:trPr>
          <w:trHeight w:val="558"/>
        </w:trPr>
        <w:tc>
          <w:tcPr>
            <w:tcW w:w="3677" w:type="dxa"/>
          </w:tcPr>
          <w:p w:rsidR="007D76BB" w:rsidRDefault="00D70D28">
            <w:pPr>
              <w:pStyle w:val="TableParagraph"/>
              <w:spacing w:before="121"/>
              <w:ind w:left="107"/>
            </w:pPr>
            <w:r>
              <w:t>Other</w:t>
            </w:r>
          </w:p>
        </w:tc>
        <w:tc>
          <w:tcPr>
            <w:tcW w:w="5386" w:type="dxa"/>
          </w:tcPr>
          <w:p w:rsidR="007D76BB" w:rsidRDefault="00D70D28">
            <w:pPr>
              <w:pStyle w:val="TableParagraph"/>
              <w:spacing w:before="121"/>
              <w:ind w:left="107"/>
            </w:pPr>
            <w:r>
              <w:t>Human and Supplement Testing Australia</w:t>
            </w:r>
          </w:p>
        </w:tc>
      </w:tr>
      <w:tr w:rsidR="007D76BB">
        <w:trPr>
          <w:trHeight w:val="558"/>
        </w:trPr>
        <w:tc>
          <w:tcPr>
            <w:tcW w:w="3677" w:type="dxa"/>
          </w:tcPr>
          <w:p w:rsidR="007D76BB" w:rsidRDefault="00D70D28">
            <w:pPr>
              <w:pStyle w:val="TableParagraph"/>
              <w:spacing w:before="119"/>
              <w:ind w:left="107"/>
            </w:pPr>
            <w:r>
              <w:t>Health professionals</w:t>
            </w:r>
          </w:p>
        </w:tc>
        <w:tc>
          <w:tcPr>
            <w:tcW w:w="5386" w:type="dxa"/>
          </w:tcPr>
          <w:p w:rsidR="007D76BB" w:rsidRDefault="00D70D28">
            <w:pPr>
              <w:pStyle w:val="TableParagraph"/>
              <w:spacing w:before="119"/>
              <w:ind w:left="107"/>
            </w:pPr>
            <w:r>
              <w:t>Evelyn Faye Nutrition</w:t>
            </w:r>
          </w:p>
        </w:tc>
      </w:tr>
    </w:tbl>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9"/>
        <w:rPr>
          <w:b/>
          <w:sz w:val="24"/>
        </w:rPr>
      </w:pPr>
    </w:p>
    <w:tbl>
      <w:tblPr>
        <w:tblW w:w="0" w:type="auto"/>
        <w:tblInd w:w="218" w:type="dxa"/>
        <w:tblBorders>
          <w:top w:val="single" w:sz="8" w:space="0" w:color="002C46"/>
          <w:left w:val="single" w:sz="8" w:space="0" w:color="002C46"/>
          <w:bottom w:val="single" w:sz="8" w:space="0" w:color="002C46"/>
          <w:right w:val="single" w:sz="8" w:space="0" w:color="002C46"/>
          <w:insideH w:val="single" w:sz="8" w:space="0" w:color="002C46"/>
          <w:insideV w:val="single" w:sz="8" w:space="0" w:color="002C46"/>
        </w:tblBorders>
        <w:tblLayout w:type="fixed"/>
        <w:tblCellMar>
          <w:left w:w="0" w:type="dxa"/>
          <w:right w:w="0" w:type="dxa"/>
        </w:tblCellMar>
        <w:tblLook w:val="01E0" w:firstRow="1" w:lastRow="1" w:firstColumn="1" w:lastColumn="1" w:noHBand="0" w:noVBand="0"/>
      </w:tblPr>
      <w:tblGrid>
        <w:gridCol w:w="3677"/>
        <w:gridCol w:w="5386"/>
      </w:tblGrid>
      <w:tr w:rsidR="007D76BB">
        <w:trPr>
          <w:trHeight w:val="611"/>
        </w:trPr>
        <w:tc>
          <w:tcPr>
            <w:tcW w:w="3677" w:type="dxa"/>
            <w:tcBorders>
              <w:right w:val="nil"/>
            </w:tcBorders>
            <w:shd w:val="clear" w:color="auto" w:fill="006CA7"/>
          </w:tcPr>
          <w:p w:rsidR="007D76BB" w:rsidRDefault="00D70D28">
            <w:pPr>
              <w:pStyle w:val="TableParagraph"/>
              <w:spacing w:before="122"/>
              <w:ind w:left="107"/>
              <w:rPr>
                <w:rFonts w:ascii="Arial Black"/>
              </w:rPr>
            </w:pPr>
            <w:r>
              <w:rPr>
                <w:rFonts w:ascii="Arial Black"/>
                <w:color w:val="FFFFFF"/>
              </w:rPr>
              <w:t>Category</w:t>
            </w:r>
          </w:p>
        </w:tc>
        <w:tc>
          <w:tcPr>
            <w:tcW w:w="5386" w:type="dxa"/>
            <w:tcBorders>
              <w:left w:val="nil"/>
            </w:tcBorders>
            <w:shd w:val="clear" w:color="auto" w:fill="006CA7"/>
          </w:tcPr>
          <w:p w:rsidR="007D76BB" w:rsidRDefault="00D70D28">
            <w:pPr>
              <w:pStyle w:val="TableParagraph"/>
              <w:spacing w:before="122"/>
              <w:ind w:left="117"/>
              <w:rPr>
                <w:rFonts w:ascii="Arial Black"/>
              </w:rPr>
            </w:pPr>
            <w:r>
              <w:rPr>
                <w:rFonts w:ascii="Arial Black"/>
                <w:color w:val="FFFFFF"/>
              </w:rPr>
              <w:t>Representatives</w:t>
            </w:r>
          </w:p>
        </w:tc>
      </w:tr>
      <w:tr w:rsidR="007D76BB">
        <w:trPr>
          <w:trHeight w:val="4168"/>
        </w:trPr>
        <w:tc>
          <w:tcPr>
            <w:tcW w:w="3677" w:type="dxa"/>
          </w:tcPr>
          <w:p w:rsidR="007D76BB" w:rsidRDefault="00D70D28">
            <w:pPr>
              <w:pStyle w:val="TableParagraph"/>
              <w:spacing w:before="119"/>
              <w:ind w:left="107"/>
            </w:pPr>
            <w:r>
              <w:t>Manufacturers and Retailers</w:t>
            </w:r>
          </w:p>
        </w:tc>
        <w:tc>
          <w:tcPr>
            <w:tcW w:w="5386" w:type="dxa"/>
          </w:tcPr>
          <w:p w:rsidR="007D76BB" w:rsidRDefault="00D70D28">
            <w:pPr>
              <w:pStyle w:val="TableParagraph"/>
              <w:spacing w:before="119"/>
              <w:ind w:left="107" w:right="3395"/>
            </w:pPr>
            <w:r>
              <w:t>Amway of Australia ATP Science</w:t>
            </w:r>
          </w:p>
          <w:p w:rsidR="007D76BB" w:rsidRDefault="00D70D28">
            <w:pPr>
              <w:pStyle w:val="TableParagraph"/>
              <w:ind w:left="107" w:right="3862"/>
            </w:pPr>
            <w:r>
              <w:t xml:space="preserve">Bulk Nutrients Elite </w:t>
            </w:r>
            <w:proofErr w:type="spellStart"/>
            <w:r>
              <w:t>Supps</w:t>
            </w:r>
            <w:proofErr w:type="spellEnd"/>
          </w:p>
          <w:p w:rsidR="007D76BB" w:rsidRDefault="00D70D28">
            <w:pPr>
              <w:pStyle w:val="TableParagraph"/>
              <w:ind w:left="107" w:right="936"/>
            </w:pPr>
            <w:proofErr w:type="spellStart"/>
            <w:r>
              <w:t>Gelatine</w:t>
            </w:r>
            <w:proofErr w:type="spellEnd"/>
            <w:r>
              <w:t xml:space="preserve"> Manufacturers Association of Europe Healthcare Product Specialists</w:t>
            </w:r>
          </w:p>
          <w:p w:rsidR="007D76BB" w:rsidRDefault="00D70D28">
            <w:pPr>
              <w:pStyle w:val="TableParagraph"/>
              <w:spacing w:before="1"/>
              <w:ind w:left="107" w:right="1701"/>
            </w:pPr>
            <w:r>
              <w:t>High Performance Sport New Zealand HUT Group</w:t>
            </w:r>
          </w:p>
          <w:p w:rsidR="007D76BB" w:rsidRDefault="00D70D28">
            <w:pPr>
              <w:pStyle w:val="TableParagraph"/>
              <w:ind w:left="107"/>
            </w:pPr>
            <w:proofErr w:type="spellStart"/>
            <w:r>
              <w:t>Morlife</w:t>
            </w:r>
            <w:proofErr w:type="spellEnd"/>
          </w:p>
          <w:p w:rsidR="007D76BB" w:rsidRDefault="00D70D28">
            <w:pPr>
              <w:pStyle w:val="TableParagraph"/>
              <w:spacing w:before="1"/>
              <w:ind w:left="107" w:right="2819"/>
            </w:pPr>
            <w:r>
              <w:t xml:space="preserve">Nutrition Warehouse </w:t>
            </w:r>
            <w:proofErr w:type="spellStart"/>
            <w:r>
              <w:t>PharmaCare</w:t>
            </w:r>
            <w:proofErr w:type="spellEnd"/>
            <w:r>
              <w:t xml:space="preserve"> Laboratories </w:t>
            </w:r>
            <w:proofErr w:type="spellStart"/>
            <w:r>
              <w:t>Revvies</w:t>
            </w:r>
            <w:proofErr w:type="spellEnd"/>
            <w:r>
              <w:t xml:space="preserve"> Energy </w:t>
            </w:r>
            <w:proofErr w:type="spellStart"/>
            <w:r>
              <w:t>Spartansuppz</w:t>
            </w:r>
            <w:proofErr w:type="spellEnd"/>
          </w:p>
          <w:p w:rsidR="007D76BB" w:rsidRDefault="00D70D28">
            <w:pPr>
              <w:pStyle w:val="TableParagraph"/>
              <w:spacing w:line="242" w:lineRule="auto"/>
              <w:ind w:left="107" w:right="3122"/>
            </w:pPr>
            <w:proofErr w:type="spellStart"/>
            <w:r>
              <w:t>Syn</w:t>
            </w:r>
            <w:proofErr w:type="spellEnd"/>
            <w:r>
              <w:t xml:space="preserve">-Tec </w:t>
            </w:r>
            <w:proofErr w:type="spellStart"/>
            <w:r>
              <w:t>Nutriceuticals</w:t>
            </w:r>
            <w:proofErr w:type="spellEnd"/>
            <w:r>
              <w:t xml:space="preserve"> </w:t>
            </w:r>
            <w:proofErr w:type="spellStart"/>
            <w:r>
              <w:t>Vitaco</w:t>
            </w:r>
            <w:proofErr w:type="spellEnd"/>
            <w:r>
              <w:rPr>
                <w:spacing w:val="-2"/>
              </w:rPr>
              <w:t xml:space="preserve"> </w:t>
            </w:r>
            <w:r>
              <w:t>Health</w:t>
            </w:r>
          </w:p>
        </w:tc>
      </w:tr>
      <w:tr w:rsidR="007D76BB">
        <w:trPr>
          <w:trHeight w:val="558"/>
        </w:trPr>
        <w:tc>
          <w:tcPr>
            <w:tcW w:w="3677" w:type="dxa"/>
          </w:tcPr>
          <w:p w:rsidR="007D76BB" w:rsidRDefault="00D70D28">
            <w:pPr>
              <w:pStyle w:val="TableParagraph"/>
              <w:spacing w:before="121"/>
              <w:ind w:left="107"/>
            </w:pPr>
            <w:r>
              <w:t>Anonymous submissions</w:t>
            </w:r>
          </w:p>
        </w:tc>
        <w:tc>
          <w:tcPr>
            <w:tcW w:w="5386" w:type="dxa"/>
          </w:tcPr>
          <w:p w:rsidR="007D76BB" w:rsidRDefault="00D70D28">
            <w:pPr>
              <w:pStyle w:val="TableParagraph"/>
              <w:spacing w:before="121"/>
              <w:ind w:left="107"/>
            </w:pPr>
            <w:r>
              <w:t>8</w:t>
            </w:r>
          </w:p>
        </w:tc>
      </w:tr>
      <w:tr w:rsidR="007D76BB">
        <w:trPr>
          <w:trHeight w:val="558"/>
        </w:trPr>
        <w:tc>
          <w:tcPr>
            <w:tcW w:w="3677" w:type="dxa"/>
          </w:tcPr>
          <w:p w:rsidR="007D76BB" w:rsidRDefault="00D70D28">
            <w:pPr>
              <w:pStyle w:val="TableParagraph"/>
              <w:spacing w:before="121"/>
              <w:ind w:left="107"/>
            </w:pPr>
            <w:r>
              <w:t>‘Save Aussie Supplements’ campaign</w:t>
            </w:r>
          </w:p>
        </w:tc>
        <w:tc>
          <w:tcPr>
            <w:tcW w:w="5386" w:type="dxa"/>
          </w:tcPr>
          <w:p w:rsidR="007D76BB" w:rsidRDefault="00D70D28">
            <w:pPr>
              <w:pStyle w:val="TableParagraph"/>
              <w:spacing w:before="121"/>
              <w:ind w:left="107"/>
            </w:pPr>
            <w:r>
              <w:t>14,063 signatures</w:t>
            </w:r>
          </w:p>
        </w:tc>
      </w:tr>
    </w:tbl>
    <w:p w:rsidR="007D76BB" w:rsidRDefault="00D70D28">
      <w:pPr>
        <w:pStyle w:val="BodyText"/>
        <w:spacing w:before="119"/>
        <w:ind w:left="198" w:right="596"/>
      </w:pPr>
      <w:r>
        <w:t xml:space="preserve">Healthcare professionals, government bodies, regulatory bodies, athletes and sports associations strongly </w:t>
      </w:r>
      <w:proofErr w:type="spellStart"/>
      <w:r>
        <w:t>favoured</w:t>
      </w:r>
      <w:proofErr w:type="spellEnd"/>
      <w:r>
        <w:t xml:space="preserve"> the consultation proposal while many in the sports supplement industry opposed it. Consumers were mixed in their responses; many consumers who regularly use sports supplements products were opposed to the proposal while conversely, other consumers </w:t>
      </w:r>
      <w:proofErr w:type="spellStart"/>
      <w:r>
        <w:t>favoured</w:t>
      </w:r>
      <w:proofErr w:type="spellEnd"/>
      <w:r>
        <w:t xml:space="preserve"> stronger regulatory control for these</w:t>
      </w:r>
      <w:r>
        <w:rPr>
          <w:spacing w:val="-9"/>
        </w:rPr>
        <w:t xml:space="preserve"> </w:t>
      </w:r>
      <w:r>
        <w:t>products.</w:t>
      </w:r>
    </w:p>
    <w:p w:rsidR="007D76BB" w:rsidRDefault="00D70D28">
      <w:pPr>
        <w:pStyle w:val="BodyText"/>
        <w:spacing w:before="182"/>
        <w:ind w:left="198" w:right="698"/>
      </w:pPr>
      <w:r>
        <w:t xml:space="preserve">Almost no opposition was received to the aspects of the proposal relating to substances include in a schedule to the Poisons Standard, with many respondents believing products containing scheduled ingredients were already considered therapeutic goods (the issues related to this are discussed within the </w:t>
      </w:r>
      <w:hyperlink w:anchor="_bookmark27" w:history="1">
        <w:r>
          <w:t>‘</w:t>
        </w:r>
        <w:r>
          <w:rPr>
            <w:color w:val="0000FF"/>
            <w:u w:val="single" w:color="0000FF"/>
          </w:rPr>
          <w:t>Problems with the current legislation</w:t>
        </w:r>
        <w:r>
          <w:t xml:space="preserve">’ </w:t>
        </w:r>
      </w:hyperlink>
      <w:r>
        <w:t>section of this document).</w:t>
      </w:r>
    </w:p>
    <w:p w:rsidR="007D76BB" w:rsidRDefault="00D70D28">
      <w:pPr>
        <w:pStyle w:val="BodyText"/>
        <w:spacing w:before="180"/>
        <w:ind w:left="198" w:right="874"/>
      </w:pPr>
      <w:r>
        <w:t>Several submissions from consumers, industry, healthcare professionals and consumer representative groups called for a broader approach and actions that would impose a greater regulatory burden than what was presented in the initial consultation proposal. This included adding other dosage forms to the criteria, such as gels and wafers.</w:t>
      </w:r>
    </w:p>
    <w:p w:rsidR="007D76BB" w:rsidRDefault="00D70D28">
      <w:pPr>
        <w:pStyle w:val="BodyText"/>
        <w:spacing w:before="178"/>
        <w:ind w:left="197" w:right="761"/>
      </w:pPr>
      <w:r>
        <w:t>Many of the responses opposing the proposal appeared to misunderstand the intent, scope and implementation for the proposal. Many believed that the proposal would affect all sports supplements (including protein powders and meal replacement shakes); that the proposal would not be subject to any further review or consultation; and that it would be implemented the day after the consultation closed, resulting in stores being raided and products physically removed from shelves. This misunderstanding was due, in part, to the industry-initiated campaign, as well as the lack of specificity provided for consumers and industry in the consultation paper.</w:t>
      </w:r>
    </w:p>
    <w:p w:rsidR="007D76BB" w:rsidRDefault="00D70D28">
      <w:pPr>
        <w:pStyle w:val="BodyText"/>
        <w:spacing w:before="181"/>
        <w:ind w:left="197" w:right="694"/>
      </w:pPr>
      <w:r>
        <w:t>The ’Save Aussie Supplements’ campaign claimed that the proposal would lead to the withdrawal from sale of a large number of products (“70 000”) from the Australian market with the potential loss of tens of thousands of jobs across the country. However, these claims were based on the stakeholder perception that the scope of products that would be affected was broader than intended.</w:t>
      </w:r>
    </w:p>
    <w:p w:rsidR="007D76BB" w:rsidRDefault="00D70D28">
      <w:pPr>
        <w:pStyle w:val="BodyText"/>
        <w:tabs>
          <w:tab w:val="left" w:pos="8917"/>
        </w:tabs>
        <w:spacing w:before="179"/>
        <w:ind w:left="197" w:right="946"/>
      </w:pPr>
      <w:r>
        <w:t xml:space="preserve">Industry were alarmed that some legitimate foods would be </w:t>
      </w:r>
      <w:r>
        <w:lastRenderedPageBreak/>
        <w:t xml:space="preserve">captured by some of the criteria </w:t>
      </w:r>
      <w:r>
        <w:rPr>
          <w:u w:val="single"/>
        </w:rPr>
        <w:t xml:space="preserve">included in the initial </w:t>
      </w:r>
      <w:hyperlink r:id="rId139">
        <w:r>
          <w:rPr>
            <w:color w:val="0000FF"/>
            <w:u w:val="single" w:color="000000"/>
          </w:rPr>
          <w:t>propose</w:t>
        </w:r>
        <w:r>
          <w:rPr>
            <w:color w:val="0000FF"/>
          </w:rPr>
          <w:t>d declaration</w:t>
        </w:r>
      </w:hyperlink>
      <w:r>
        <w:t>. Issues raised by industry</w:t>
      </w:r>
      <w:r>
        <w:rPr>
          <w:spacing w:val="-26"/>
        </w:rPr>
        <w:t xml:space="preserve"> </w:t>
      </w:r>
      <w:r>
        <w:t>included:</w:t>
      </w:r>
      <w:r>
        <w:tab/>
      </w:r>
    </w:p>
    <w:p w:rsidR="007D76BB" w:rsidRDefault="007D76BB">
      <w:pPr>
        <w:sectPr w:rsidR="007D76BB">
          <w:headerReference w:type="default" r:id="rId140"/>
          <w:footerReference w:type="default" r:id="rId141"/>
          <w:pgSz w:w="11910" w:h="16840"/>
          <w:pgMar w:top="840" w:right="820" w:bottom="1360" w:left="1220" w:header="572" w:footer="1167" w:gutter="0"/>
          <w:pgNumType w:start="49"/>
          <w:cols w:space="720"/>
        </w:sectPr>
      </w:pPr>
    </w:p>
    <w:p w:rsidR="007D76BB" w:rsidRDefault="007D76BB">
      <w:pPr>
        <w:pStyle w:val="BodyText"/>
        <w:spacing w:before="1"/>
        <w:rPr>
          <w:sz w:val="16"/>
        </w:rPr>
      </w:pPr>
    </w:p>
    <w:p w:rsidR="007D76BB" w:rsidRDefault="00D70D28">
      <w:pPr>
        <w:pStyle w:val="ListParagraph"/>
        <w:numPr>
          <w:ilvl w:val="0"/>
          <w:numId w:val="72"/>
        </w:numPr>
        <w:tabs>
          <w:tab w:val="left" w:pos="558"/>
          <w:tab w:val="left" w:pos="559"/>
        </w:tabs>
        <w:spacing w:before="101"/>
        <w:ind w:left="558" w:right="983"/>
      </w:pPr>
      <w:r>
        <w:t>sports supplements containing naturally occurring appropriate food substances could be declared to be therapeutic goods due to the following criteria included in the initial proposal:</w:t>
      </w:r>
    </w:p>
    <w:p w:rsidR="007D76BB" w:rsidRDefault="00D70D28">
      <w:pPr>
        <w:pStyle w:val="ListParagraph"/>
        <w:numPr>
          <w:ilvl w:val="1"/>
          <w:numId w:val="72"/>
        </w:numPr>
        <w:tabs>
          <w:tab w:val="left" w:pos="1278"/>
          <w:tab w:val="left" w:pos="1279"/>
        </w:tabs>
        <w:spacing w:before="182"/>
        <w:ind w:right="648"/>
      </w:pPr>
      <w:r>
        <w:t>substances in excess of the limits provided in Schedules 29-18 and 29-19 of the Food Standards Code, for example: where L-carnitine is present at more than 2 grams per one-day quantity or L-taurine at more than 60mg per one day</w:t>
      </w:r>
      <w:r>
        <w:rPr>
          <w:spacing w:val="-18"/>
        </w:rPr>
        <w:t xml:space="preserve"> </w:t>
      </w:r>
      <w:r>
        <w:t>quantity</w:t>
      </w:r>
    </w:p>
    <w:p w:rsidR="007D76BB" w:rsidRDefault="00D70D28">
      <w:pPr>
        <w:pStyle w:val="ListParagraph"/>
        <w:numPr>
          <w:ilvl w:val="1"/>
          <w:numId w:val="72"/>
        </w:numPr>
        <w:tabs>
          <w:tab w:val="left" w:pos="1278"/>
          <w:tab w:val="left" w:pos="1279"/>
        </w:tabs>
        <w:spacing w:before="179"/>
        <w:ind w:right="1830"/>
      </w:pPr>
      <w:r>
        <w:t>ingredients exceeding the limits specified in the Permissible Ingredients Determination for listed medicines, for example:</w:t>
      </w:r>
      <w:r>
        <w:rPr>
          <w:spacing w:val="-12"/>
        </w:rPr>
        <w:t xml:space="preserve"> </w:t>
      </w:r>
      <w:r>
        <w:t>glucose</w:t>
      </w:r>
    </w:p>
    <w:p w:rsidR="007D76BB" w:rsidRDefault="00D70D28">
      <w:pPr>
        <w:pStyle w:val="ListParagraph"/>
        <w:numPr>
          <w:ilvl w:val="1"/>
          <w:numId w:val="72"/>
        </w:numPr>
        <w:tabs>
          <w:tab w:val="left" w:pos="1278"/>
          <w:tab w:val="left" w:pos="1279"/>
        </w:tabs>
        <w:ind w:right="1000" w:hanging="361"/>
      </w:pPr>
      <w:r>
        <w:t>substances banned by WADC, for example: naturally occurring hormones such as testosterone and Insulin Like Growth Factor-1 (IGF-1) in cow’s</w:t>
      </w:r>
      <w:r>
        <w:rPr>
          <w:spacing w:val="-15"/>
        </w:rPr>
        <w:t xml:space="preserve"> </w:t>
      </w:r>
      <w:r>
        <w:t>milk</w:t>
      </w:r>
    </w:p>
    <w:p w:rsidR="007D76BB" w:rsidRDefault="00D70D28">
      <w:pPr>
        <w:pStyle w:val="ListParagraph"/>
        <w:numPr>
          <w:ilvl w:val="0"/>
          <w:numId w:val="72"/>
        </w:numPr>
        <w:tabs>
          <w:tab w:val="left" w:pos="558"/>
          <w:tab w:val="left" w:pos="559"/>
        </w:tabs>
        <w:ind w:left="558" w:right="728" w:hanging="360"/>
      </w:pPr>
      <w:proofErr w:type="gramStart"/>
      <w:r>
        <w:t>the</w:t>
      </w:r>
      <w:proofErr w:type="gramEnd"/>
      <w:r>
        <w:t xml:space="preserve"> inclusion of the criteria that sports supplements with substances from the WADC Prohibited List would be therapeutic goods would create uncertainty for industry as the list is subject to change. Industry also questioned whether it was appropriate for Australia to include reference in our legislation to an ‘international, non-Government</w:t>
      </w:r>
      <w:r>
        <w:rPr>
          <w:spacing w:val="-17"/>
        </w:rPr>
        <w:t xml:space="preserve"> </w:t>
      </w:r>
      <w:r>
        <w:t>body’</w:t>
      </w:r>
    </w:p>
    <w:p w:rsidR="007D76BB" w:rsidRDefault="00D70D28">
      <w:pPr>
        <w:pStyle w:val="ListParagraph"/>
        <w:numPr>
          <w:ilvl w:val="0"/>
          <w:numId w:val="72"/>
        </w:numPr>
        <w:tabs>
          <w:tab w:val="left" w:pos="558"/>
          <w:tab w:val="left" w:pos="559"/>
        </w:tabs>
        <w:ind w:left="558" w:right="631"/>
      </w:pPr>
      <w:r>
        <w:t>industry also expressed concern that the examples of ‘therapeutic use’ provided in the draft declaration overlapped with permissible health claims made under the Food Standards</w:t>
      </w:r>
      <w:r>
        <w:rPr>
          <w:spacing w:val="-28"/>
        </w:rPr>
        <w:t xml:space="preserve"> </w:t>
      </w:r>
      <w:r>
        <w:t>Code</w:t>
      </w:r>
    </w:p>
    <w:p w:rsidR="007D76BB" w:rsidRDefault="00D70D28">
      <w:pPr>
        <w:pStyle w:val="BodyText"/>
        <w:spacing w:before="180"/>
        <w:ind w:left="198" w:right="762"/>
      </w:pPr>
      <w:r>
        <w:t xml:space="preserve">To address both public and industry concerns, the initial proposed declaration was refined and the criteria referring to the permissible indications list and the food standard schedules was removed (presented as </w:t>
      </w:r>
      <w:hyperlink w:anchor="_bookmark37" w:history="1">
        <w:r>
          <w:rPr>
            <w:color w:val="0000FF"/>
            <w:u w:val="single" w:color="0000FF"/>
          </w:rPr>
          <w:t>Option 2</w:t>
        </w:r>
      </w:hyperlink>
      <w:r>
        <w:rPr>
          <w:color w:val="0000FF"/>
          <w:u w:val="single" w:color="0000FF"/>
        </w:rPr>
        <w:t>A</w:t>
      </w:r>
      <w:r>
        <w:rPr>
          <w:color w:val="0000FF"/>
        </w:rPr>
        <w:t xml:space="preserve"> </w:t>
      </w:r>
      <w:r>
        <w:t>in this RIS).</w:t>
      </w:r>
    </w:p>
    <w:p w:rsidR="007D76BB" w:rsidRDefault="00D70D28">
      <w:pPr>
        <w:pStyle w:val="BodyText"/>
        <w:spacing w:before="180"/>
        <w:ind w:left="197" w:right="613"/>
      </w:pPr>
      <w:r>
        <w:t>Given that the initial public consultation received a large number of responses (a total of 19 470 responses including written responses, responses to the online survey and signees to the industry led campaign) it was considered that the submissions received had provided a good representation of public opinion and that further public consultation was unlikely to yield any additional information. Instead, further consultation was undertaken in the form of two targeted stakeholder workshops held in Sydney and Melbourne in February 2020. Invitees to the workshops consisted of: stakeholders who provided comprehensive responses to the consultation as well as those identified as major industry players; industry representative groups; healthcare professional representative groups; sporting associations; relevant government bodies; consumer representative groups; and independent sports supplement testing facilities. Table 12 provides a list of the different stakeholder representatives who attended the workshops.</w:t>
      </w:r>
    </w:p>
    <w:p w:rsidR="007D76BB" w:rsidRDefault="00D70D28">
      <w:pPr>
        <w:pStyle w:val="Heading7"/>
        <w:spacing w:before="181"/>
        <w:ind w:left="197"/>
      </w:pPr>
      <w:r>
        <w:t>Table 12: Stakeholder representation at February 2020 workshops</w:t>
      </w:r>
    </w:p>
    <w:p w:rsidR="007D76BB" w:rsidRDefault="007D76BB">
      <w:pPr>
        <w:pStyle w:val="BodyText"/>
        <w:spacing w:before="3"/>
        <w:rPr>
          <w:b/>
          <w:sz w:val="15"/>
        </w:rPr>
      </w:pPr>
    </w:p>
    <w:tbl>
      <w:tblPr>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8"/>
        <w:gridCol w:w="2551"/>
      </w:tblGrid>
      <w:tr w:rsidR="007D76BB">
        <w:trPr>
          <w:trHeight w:val="290"/>
        </w:trPr>
        <w:tc>
          <w:tcPr>
            <w:tcW w:w="5388" w:type="dxa"/>
            <w:shd w:val="clear" w:color="auto" w:fill="5B9BD4"/>
          </w:tcPr>
          <w:p w:rsidR="007D76BB" w:rsidRDefault="00D70D28">
            <w:pPr>
              <w:pStyle w:val="TableParagraph"/>
              <w:spacing w:before="20" w:line="249" w:lineRule="exact"/>
              <w:ind w:left="107"/>
              <w:rPr>
                <w:rFonts w:ascii="Calibri"/>
                <w:b/>
              </w:rPr>
            </w:pPr>
            <w:r>
              <w:rPr>
                <w:rFonts w:ascii="Calibri"/>
                <w:b/>
                <w:color w:val="FFFFFF"/>
              </w:rPr>
              <w:t>Stakeholder Category</w:t>
            </w:r>
          </w:p>
        </w:tc>
        <w:tc>
          <w:tcPr>
            <w:tcW w:w="2551" w:type="dxa"/>
            <w:shd w:val="clear" w:color="auto" w:fill="5B9BD4"/>
          </w:tcPr>
          <w:p w:rsidR="007D76BB" w:rsidRDefault="00D70D28">
            <w:pPr>
              <w:pStyle w:val="TableParagraph"/>
              <w:spacing w:before="20" w:line="249" w:lineRule="exact"/>
              <w:ind w:left="105"/>
              <w:rPr>
                <w:rFonts w:ascii="Calibri"/>
                <w:b/>
              </w:rPr>
            </w:pPr>
            <w:r>
              <w:rPr>
                <w:rFonts w:ascii="Calibri"/>
                <w:b/>
                <w:color w:val="FFFFFF"/>
              </w:rPr>
              <w:t>Number of entities</w:t>
            </w:r>
          </w:p>
        </w:tc>
      </w:tr>
      <w:tr w:rsidR="007D76BB">
        <w:trPr>
          <w:trHeight w:val="558"/>
        </w:trPr>
        <w:tc>
          <w:tcPr>
            <w:tcW w:w="5388" w:type="dxa"/>
          </w:tcPr>
          <w:p w:rsidR="007D76BB" w:rsidRDefault="00D70D28">
            <w:pPr>
              <w:pStyle w:val="TableParagraph"/>
              <w:spacing w:before="122"/>
              <w:ind w:left="107"/>
            </w:pPr>
            <w:r>
              <w:t>Consumer Representative Groups</w:t>
            </w:r>
          </w:p>
        </w:tc>
        <w:tc>
          <w:tcPr>
            <w:tcW w:w="2551" w:type="dxa"/>
          </w:tcPr>
          <w:p w:rsidR="007D76BB" w:rsidRDefault="00D70D28">
            <w:pPr>
              <w:pStyle w:val="TableParagraph"/>
              <w:spacing w:before="122"/>
              <w:ind w:left="105"/>
            </w:pPr>
            <w:r>
              <w:t>3</w:t>
            </w:r>
          </w:p>
        </w:tc>
      </w:tr>
      <w:tr w:rsidR="007D76BB">
        <w:trPr>
          <w:trHeight w:val="558"/>
        </w:trPr>
        <w:tc>
          <w:tcPr>
            <w:tcW w:w="5388" w:type="dxa"/>
          </w:tcPr>
          <w:p w:rsidR="007D76BB" w:rsidRDefault="00D70D28">
            <w:pPr>
              <w:pStyle w:val="TableParagraph"/>
              <w:spacing w:before="119"/>
              <w:ind w:left="107"/>
            </w:pPr>
            <w:r>
              <w:lastRenderedPageBreak/>
              <w:t>Contract Manufacturers</w:t>
            </w:r>
          </w:p>
        </w:tc>
        <w:tc>
          <w:tcPr>
            <w:tcW w:w="2551" w:type="dxa"/>
          </w:tcPr>
          <w:p w:rsidR="007D76BB" w:rsidRDefault="00D70D28">
            <w:pPr>
              <w:pStyle w:val="TableParagraph"/>
              <w:spacing w:before="119"/>
              <w:ind w:left="105"/>
            </w:pPr>
            <w:r>
              <w:t>2</w:t>
            </w:r>
          </w:p>
        </w:tc>
      </w:tr>
      <w:tr w:rsidR="007D76BB">
        <w:trPr>
          <w:trHeight w:val="556"/>
        </w:trPr>
        <w:tc>
          <w:tcPr>
            <w:tcW w:w="5388" w:type="dxa"/>
          </w:tcPr>
          <w:p w:rsidR="007D76BB" w:rsidRDefault="00D70D28">
            <w:pPr>
              <w:pStyle w:val="TableParagraph"/>
              <w:spacing w:before="119"/>
              <w:ind w:left="107"/>
            </w:pPr>
            <w:r>
              <w:t>Government Agencies</w:t>
            </w:r>
          </w:p>
        </w:tc>
        <w:tc>
          <w:tcPr>
            <w:tcW w:w="2551" w:type="dxa"/>
          </w:tcPr>
          <w:p w:rsidR="007D76BB" w:rsidRDefault="00D70D28">
            <w:pPr>
              <w:pStyle w:val="TableParagraph"/>
              <w:spacing w:before="119"/>
              <w:ind w:left="105"/>
            </w:pPr>
            <w:r>
              <w:t>6</w:t>
            </w:r>
          </w:p>
        </w:tc>
      </w:tr>
      <w:tr w:rsidR="007D76BB">
        <w:trPr>
          <w:trHeight w:val="558"/>
        </w:trPr>
        <w:tc>
          <w:tcPr>
            <w:tcW w:w="5388" w:type="dxa"/>
          </w:tcPr>
          <w:p w:rsidR="007D76BB" w:rsidRDefault="00D70D28">
            <w:pPr>
              <w:pStyle w:val="TableParagraph"/>
              <w:spacing w:before="119"/>
              <w:ind w:left="107"/>
            </w:pPr>
            <w:r>
              <w:t>Healthcare Professional Representative Groups</w:t>
            </w:r>
          </w:p>
        </w:tc>
        <w:tc>
          <w:tcPr>
            <w:tcW w:w="2551" w:type="dxa"/>
          </w:tcPr>
          <w:p w:rsidR="007D76BB" w:rsidRDefault="00D70D28">
            <w:pPr>
              <w:pStyle w:val="TableParagraph"/>
              <w:spacing w:before="119"/>
              <w:ind w:left="105"/>
            </w:pPr>
            <w:r>
              <w:t>3</w:t>
            </w:r>
          </w:p>
        </w:tc>
      </w:tr>
      <w:tr w:rsidR="007D76BB">
        <w:trPr>
          <w:trHeight w:val="558"/>
        </w:trPr>
        <w:tc>
          <w:tcPr>
            <w:tcW w:w="5388" w:type="dxa"/>
          </w:tcPr>
          <w:p w:rsidR="007D76BB" w:rsidRDefault="00D70D28">
            <w:pPr>
              <w:pStyle w:val="TableParagraph"/>
              <w:spacing w:before="119"/>
              <w:ind w:left="107"/>
            </w:pPr>
            <w:r>
              <w:t>Independent Testing Agency</w:t>
            </w:r>
          </w:p>
        </w:tc>
        <w:tc>
          <w:tcPr>
            <w:tcW w:w="2551" w:type="dxa"/>
          </w:tcPr>
          <w:p w:rsidR="007D76BB" w:rsidRDefault="00D70D28">
            <w:pPr>
              <w:pStyle w:val="TableParagraph"/>
              <w:spacing w:before="119"/>
              <w:ind w:left="105"/>
            </w:pPr>
            <w:r>
              <w:t>1</w:t>
            </w:r>
          </w:p>
        </w:tc>
      </w:tr>
      <w:tr w:rsidR="007D76BB">
        <w:trPr>
          <w:trHeight w:val="556"/>
        </w:trPr>
        <w:tc>
          <w:tcPr>
            <w:tcW w:w="5388" w:type="dxa"/>
          </w:tcPr>
          <w:p w:rsidR="007D76BB" w:rsidRDefault="00D70D28">
            <w:pPr>
              <w:pStyle w:val="TableParagraph"/>
              <w:spacing w:before="119"/>
              <w:ind w:left="107"/>
            </w:pPr>
            <w:r>
              <w:t>Industry Representative Groups</w:t>
            </w:r>
          </w:p>
        </w:tc>
        <w:tc>
          <w:tcPr>
            <w:tcW w:w="2551" w:type="dxa"/>
          </w:tcPr>
          <w:p w:rsidR="007D76BB" w:rsidRDefault="00D70D28">
            <w:pPr>
              <w:pStyle w:val="TableParagraph"/>
              <w:spacing w:before="119"/>
              <w:ind w:left="105"/>
            </w:pPr>
            <w:r>
              <w:t>4</w:t>
            </w:r>
          </w:p>
        </w:tc>
      </w:tr>
      <w:tr w:rsidR="007D76BB">
        <w:trPr>
          <w:trHeight w:val="558"/>
        </w:trPr>
        <w:tc>
          <w:tcPr>
            <w:tcW w:w="5388" w:type="dxa"/>
          </w:tcPr>
          <w:p w:rsidR="007D76BB" w:rsidRDefault="00D70D28">
            <w:pPr>
              <w:pStyle w:val="TableParagraph"/>
              <w:spacing w:before="119"/>
              <w:ind w:left="107"/>
            </w:pPr>
            <w:r>
              <w:t>Manufacturers</w:t>
            </w:r>
          </w:p>
        </w:tc>
        <w:tc>
          <w:tcPr>
            <w:tcW w:w="2551" w:type="dxa"/>
          </w:tcPr>
          <w:p w:rsidR="007D76BB" w:rsidRDefault="00D70D28">
            <w:pPr>
              <w:pStyle w:val="TableParagraph"/>
              <w:spacing w:before="119"/>
              <w:ind w:left="105"/>
            </w:pPr>
            <w:r>
              <w:t>23</w:t>
            </w:r>
          </w:p>
        </w:tc>
      </w:tr>
    </w:tbl>
    <w:p w:rsidR="007D76BB" w:rsidRDefault="007D76BB">
      <w:pPr>
        <w:sectPr w:rsidR="007D76BB">
          <w:headerReference w:type="default" r:id="rId142"/>
          <w:footerReference w:type="default" r:id="rId143"/>
          <w:pgSz w:w="11910" w:h="16840"/>
          <w:pgMar w:top="840" w:right="820" w:bottom="1360" w:left="1220" w:header="572" w:footer="1178" w:gutter="0"/>
          <w:pgNumType w:start="50"/>
          <w:cols w:space="720"/>
        </w:sectPr>
      </w:pPr>
    </w:p>
    <w:p w:rsidR="007D76BB" w:rsidRDefault="007D76BB">
      <w:pPr>
        <w:pStyle w:val="BodyText"/>
        <w:spacing w:before="9"/>
        <w:rPr>
          <w:b/>
          <w:sz w:val="24"/>
        </w:rPr>
      </w:pPr>
    </w:p>
    <w:tbl>
      <w:tblPr>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8"/>
        <w:gridCol w:w="2551"/>
      </w:tblGrid>
      <w:tr w:rsidR="007D76BB">
        <w:trPr>
          <w:trHeight w:val="289"/>
        </w:trPr>
        <w:tc>
          <w:tcPr>
            <w:tcW w:w="5388" w:type="dxa"/>
            <w:shd w:val="clear" w:color="auto" w:fill="5B9BD4"/>
          </w:tcPr>
          <w:p w:rsidR="007D76BB" w:rsidRDefault="00D70D28">
            <w:pPr>
              <w:pStyle w:val="TableParagraph"/>
              <w:spacing w:before="20" w:line="249" w:lineRule="exact"/>
              <w:ind w:left="107"/>
              <w:rPr>
                <w:rFonts w:ascii="Calibri"/>
                <w:b/>
              </w:rPr>
            </w:pPr>
            <w:r>
              <w:rPr>
                <w:rFonts w:ascii="Calibri"/>
                <w:b/>
                <w:color w:val="FFFFFF"/>
              </w:rPr>
              <w:t>Stakeholder Category</w:t>
            </w:r>
          </w:p>
        </w:tc>
        <w:tc>
          <w:tcPr>
            <w:tcW w:w="2551" w:type="dxa"/>
            <w:shd w:val="clear" w:color="auto" w:fill="5B9BD4"/>
          </w:tcPr>
          <w:p w:rsidR="007D76BB" w:rsidRDefault="00D70D28">
            <w:pPr>
              <w:pStyle w:val="TableParagraph"/>
              <w:spacing w:before="20" w:line="249" w:lineRule="exact"/>
              <w:ind w:left="105"/>
              <w:rPr>
                <w:rFonts w:ascii="Calibri"/>
                <w:b/>
              </w:rPr>
            </w:pPr>
            <w:r>
              <w:rPr>
                <w:rFonts w:ascii="Calibri"/>
                <w:b/>
                <w:color w:val="FFFFFF"/>
              </w:rPr>
              <w:t>Number of entities</w:t>
            </w:r>
          </w:p>
        </w:tc>
      </w:tr>
      <w:tr w:rsidR="007D76BB">
        <w:trPr>
          <w:trHeight w:val="558"/>
        </w:trPr>
        <w:tc>
          <w:tcPr>
            <w:tcW w:w="5388" w:type="dxa"/>
          </w:tcPr>
          <w:p w:rsidR="007D76BB" w:rsidRDefault="00D70D28">
            <w:pPr>
              <w:pStyle w:val="TableParagraph"/>
              <w:spacing w:before="122"/>
              <w:ind w:left="107"/>
            </w:pPr>
            <w:r>
              <w:t>Regulatory Consultants</w:t>
            </w:r>
          </w:p>
        </w:tc>
        <w:tc>
          <w:tcPr>
            <w:tcW w:w="2551" w:type="dxa"/>
          </w:tcPr>
          <w:p w:rsidR="007D76BB" w:rsidRDefault="00D70D28">
            <w:pPr>
              <w:pStyle w:val="TableParagraph"/>
              <w:spacing w:before="122"/>
              <w:ind w:left="105"/>
            </w:pPr>
            <w:r>
              <w:t>5</w:t>
            </w:r>
          </w:p>
        </w:tc>
      </w:tr>
      <w:tr w:rsidR="007D76BB">
        <w:trPr>
          <w:trHeight w:val="558"/>
        </w:trPr>
        <w:tc>
          <w:tcPr>
            <w:tcW w:w="5388" w:type="dxa"/>
          </w:tcPr>
          <w:p w:rsidR="007D76BB" w:rsidRDefault="00D70D28">
            <w:pPr>
              <w:pStyle w:val="TableParagraph"/>
              <w:spacing w:before="119"/>
              <w:ind w:left="107"/>
            </w:pPr>
            <w:r>
              <w:t>Retailers/Distributors</w:t>
            </w:r>
          </w:p>
        </w:tc>
        <w:tc>
          <w:tcPr>
            <w:tcW w:w="2551" w:type="dxa"/>
          </w:tcPr>
          <w:p w:rsidR="007D76BB" w:rsidRDefault="00D70D28">
            <w:pPr>
              <w:pStyle w:val="TableParagraph"/>
              <w:spacing w:before="119"/>
              <w:ind w:left="105"/>
            </w:pPr>
            <w:r>
              <w:t>14</w:t>
            </w:r>
          </w:p>
        </w:tc>
      </w:tr>
      <w:tr w:rsidR="007D76BB">
        <w:trPr>
          <w:trHeight w:val="558"/>
        </w:trPr>
        <w:tc>
          <w:tcPr>
            <w:tcW w:w="5388" w:type="dxa"/>
          </w:tcPr>
          <w:p w:rsidR="007D76BB" w:rsidRDefault="00D70D28">
            <w:pPr>
              <w:pStyle w:val="TableParagraph"/>
              <w:spacing w:before="119"/>
              <w:ind w:left="107"/>
            </w:pPr>
            <w:r>
              <w:t>Sporting Body/Associations</w:t>
            </w:r>
          </w:p>
        </w:tc>
        <w:tc>
          <w:tcPr>
            <w:tcW w:w="2551" w:type="dxa"/>
          </w:tcPr>
          <w:p w:rsidR="007D76BB" w:rsidRDefault="00D70D28">
            <w:pPr>
              <w:pStyle w:val="TableParagraph"/>
              <w:spacing w:before="119"/>
              <w:ind w:left="105"/>
            </w:pPr>
            <w:r>
              <w:t>7</w:t>
            </w:r>
          </w:p>
        </w:tc>
      </w:tr>
    </w:tbl>
    <w:p w:rsidR="007D76BB" w:rsidRDefault="00D70D28">
      <w:pPr>
        <w:pStyle w:val="BodyText"/>
        <w:spacing w:before="119"/>
        <w:ind w:left="198" w:right="1019"/>
      </w:pPr>
      <w:r>
        <w:t xml:space="preserve">Following consideration of stakeholder feedback from the targeted workshops, Noetic undertook nine additional face-to-face interviews with key manufacturers and retailers. The results of these interviews (discussed in the Noetic Report at </w:t>
      </w:r>
      <w:hyperlink w:anchor="_bookmark67" w:history="1">
        <w:r>
          <w:rPr>
            <w:color w:val="0000FF"/>
            <w:u w:val="single" w:color="0000FF"/>
          </w:rPr>
          <w:t>Appendix 1</w:t>
        </w:r>
      </w:hyperlink>
      <w:r>
        <w:rPr>
          <w:color w:val="0000FF"/>
          <w:u w:val="single" w:color="0000FF"/>
        </w:rPr>
        <w:t>)</w:t>
      </w:r>
      <w:r>
        <w:rPr>
          <w:color w:val="0000FF"/>
        </w:rPr>
        <w:t xml:space="preserve"> </w:t>
      </w:r>
      <w:r>
        <w:t>informed the assessment of the regulatory costing and other regulatory impacts considered in this RIS.</w:t>
      </w:r>
    </w:p>
    <w:p w:rsidR="007D76BB" w:rsidRDefault="00D70D28">
      <w:pPr>
        <w:pStyle w:val="BodyText"/>
        <w:spacing w:before="178"/>
        <w:ind w:left="197" w:right="598"/>
      </w:pPr>
      <w:r>
        <w:t xml:space="preserve">The revised proposal (presented as </w:t>
      </w:r>
      <w:hyperlink w:anchor="_bookmark37" w:history="1">
        <w:r>
          <w:rPr>
            <w:color w:val="0000FF"/>
            <w:u w:val="single" w:color="0000FF"/>
          </w:rPr>
          <w:t>Option 2</w:t>
        </w:r>
      </w:hyperlink>
      <w:r>
        <w:rPr>
          <w:color w:val="0000FF"/>
          <w:u w:val="single" w:color="0000FF"/>
        </w:rPr>
        <w:t>A</w:t>
      </w:r>
      <w:r>
        <w:rPr>
          <w:color w:val="0000FF"/>
        </w:rPr>
        <w:t xml:space="preserve"> </w:t>
      </w:r>
      <w:r>
        <w:t xml:space="preserve">in this RIS) was generally positively received by workshop participants and considered an improvement of the initial proposal. However, there remained industry concerns, primarily regarding the legitimacy of the WADC Prohibited List and the inclusion of the criteria of product presentation as tablets, capsules and pills (these industry concerns are given consideration in proposed </w:t>
      </w:r>
      <w:hyperlink w:anchor="_bookmark52" w:history="1">
        <w:r>
          <w:rPr>
            <w:color w:val="0000FF"/>
            <w:u w:val="single" w:color="0000FF"/>
          </w:rPr>
          <w:t>Options 2B and 3</w:t>
        </w:r>
        <w:r>
          <w:rPr>
            <w:color w:val="0000FF"/>
          </w:rPr>
          <w:t xml:space="preserve"> </w:t>
        </w:r>
      </w:hyperlink>
      <w:r>
        <w:t>of this RIS).</w:t>
      </w:r>
    </w:p>
    <w:p w:rsidR="007D76BB" w:rsidRDefault="00D70D28">
      <w:pPr>
        <w:pStyle w:val="BodyText"/>
        <w:spacing w:before="182"/>
        <w:ind w:left="198" w:right="653"/>
      </w:pPr>
      <w:r>
        <w:t xml:space="preserve">Stakeholders expressed concern at the workshops that consumers would increasingly use the Personal Importation Scheme to access the sports supplements they want, which would cause increasing loss of the Australian market share to international competitors, which is recognised as a pre-existing issue for the industry across a range of products, not just sports supplements. Refer to </w:t>
      </w:r>
      <w:hyperlink w:anchor="_bookmark5" w:history="1">
        <w:r>
          <w:rPr>
            <w:color w:val="0000FF"/>
            <w:u w:val="single" w:color="0000FF"/>
          </w:rPr>
          <w:t>Importation of food and medicines into Australia</w:t>
        </w:r>
        <w:r>
          <w:rPr>
            <w:color w:val="0000FF"/>
          </w:rPr>
          <w:t xml:space="preserve"> </w:t>
        </w:r>
      </w:hyperlink>
      <w:r>
        <w:t>for more information. The use of the Personal Importation Scheme is separate from the wholesale import for retail sale of products. The Personal Importation Scheme applies to the import for use by a single person and has several limitations on what and how much can be imported, including that it can be for no more than 3 months’ supply at a time. In the case of wholesale importation for sale made by either legitimate or illegitimate businesses, a clarification that certain sports supplements are therapeutic goods would assist the ABF in detecting such imports and referring them to the TGA for compliance actions against the importer, providing a more level playing field for the existing compliant Australian industry.</w:t>
      </w:r>
    </w:p>
    <w:p w:rsidR="007D76BB" w:rsidRDefault="00D70D28">
      <w:pPr>
        <w:pStyle w:val="BodyText"/>
        <w:spacing w:before="180"/>
        <w:ind w:left="198" w:right="752"/>
      </w:pPr>
      <w:r>
        <w:t xml:space="preserve">At one of the workshops, some industry stakeholders proposed that a separate listed medicine pathway should be created under therapeutic goods legislation for sports supplements to be included in the ARTG to address concerns that the Permissible Ingredients Determination for listed medicines does not contain many of the commonly used ingredients in sports supplements. The industry proposed pathway would enable sports supplements to contain ingredients that were not in the Permitted Ingredients Determination but not be required to meet the same evidence requirements of other listed medicine ingredients based on the claim that sports supplements were low-risk and therefore should remain available for self-selection and general sale. However, the standards set for listed medicines are considered the minimum requirements in order to ensure consumer safety for low-risk therapeutic goods available for self-selection and it would be inappropriate to provide a separate pathway for </w:t>
      </w:r>
      <w:r>
        <w:lastRenderedPageBreak/>
        <w:t>sports supplements, with lower standards of safety, quality and efficacy. The proposal was also based on the mistaken view that only ingredients satisfying a definition of a complementary medicine substance could be included in the Permissible Ingredients Determination. However, listed medicines can be any product type.</w:t>
      </w:r>
    </w:p>
    <w:p w:rsidR="007D76BB" w:rsidRDefault="00D70D28">
      <w:pPr>
        <w:pStyle w:val="BodyText"/>
        <w:spacing w:before="180"/>
        <w:ind w:left="198" w:right="632"/>
      </w:pPr>
      <w:r>
        <w:t xml:space="preserve">In relation to consumer concerns, it is considered that the refined proposal addresses many consumer concerns raised during consultation. The majority of consumer concerns were associated with the misconception that products such as protein powders, nutritional bars, meal replacements, </w:t>
      </w:r>
      <w:proofErr w:type="spellStart"/>
      <w:proofErr w:type="gramStart"/>
      <w:r>
        <w:t>creatine</w:t>
      </w:r>
      <w:proofErr w:type="spellEnd"/>
      <w:proofErr w:type="gramEnd"/>
      <w:r>
        <w:t xml:space="preserve"> and branch chain amino acids would be removed from the market.</w:t>
      </w:r>
    </w:p>
    <w:p w:rsidR="007D76BB" w:rsidRDefault="00D70D28">
      <w:pPr>
        <w:pStyle w:val="BodyText"/>
        <w:ind w:left="198" w:right="876" w:hanging="1"/>
      </w:pPr>
      <w:r>
        <w:t>Consumers can be reassured that, providing these products have food ingredients and are presented as food, they will not be affected by the proposal, if implemented. Another common</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8" w:right="655"/>
      </w:pPr>
      <w:bookmarkStart w:id="76" w:name="_bookmark34"/>
      <w:bookmarkEnd w:id="76"/>
      <w:proofErr w:type="gramStart"/>
      <w:r>
        <w:t>consumer</w:t>
      </w:r>
      <w:proofErr w:type="gramEnd"/>
      <w:r>
        <w:t xml:space="preserve"> concern was that there would be less products on the market and some products may be more expensive. This issue is considered under impacts under Options 2A, 2B and 3.</w:t>
      </w:r>
    </w:p>
    <w:p w:rsidR="007D76BB" w:rsidRDefault="00D70D28">
      <w:pPr>
        <w:pStyle w:val="BodyText"/>
        <w:spacing w:before="180"/>
        <w:ind w:left="198" w:right="690"/>
      </w:pPr>
      <w:r>
        <w:t>In addition to the public and targeted consultation process described above, the TGA has also sought input from the Department of Industry, Science, Energy and Resources (DISER), the Department of Foreign Affairs and Trade (DFAT) and the Australian Small Business and Family Enterprise Ombudsman (ASBFEO) to assess the impact of the proposal on international and domestic trade. The TGA also contacted the New Zealand Ministry for Primary Industries (NZ MPI) in relation to the potential impacts on products currently imported under the TTMRA. The comments, concerns and information provided by these agencies have been considered in the development of this proposal.</w:t>
      </w:r>
    </w:p>
    <w:p w:rsidR="007D76BB" w:rsidRDefault="00D70D28">
      <w:pPr>
        <w:pStyle w:val="BodyText"/>
        <w:spacing w:before="181"/>
        <w:ind w:left="197" w:right="733"/>
      </w:pPr>
      <w:r>
        <w:t xml:space="preserve">The TGA has also notified members of the World Trade </w:t>
      </w:r>
      <w:proofErr w:type="spellStart"/>
      <w:r>
        <w:t>Organisation</w:t>
      </w:r>
      <w:proofErr w:type="spellEnd"/>
      <w:r>
        <w:t xml:space="preserve"> (WTO) of the proposal to clarify that certain sports supplements are therapeutic goods in Australia, in accordance with the Government’s international obligations under the WTO Agreement on Technical Barriers to Trade. WTO member states have been given a reasonable time to respond.</w:t>
      </w:r>
    </w:p>
    <w:p w:rsidR="007D76BB" w:rsidRDefault="007D76BB">
      <w:pPr>
        <w:sectPr w:rsidR="007D76BB">
          <w:pgSz w:w="11910" w:h="16840"/>
          <w:pgMar w:top="840" w:right="820" w:bottom="1360" w:left="1220" w:header="572" w:footer="1178" w:gutter="0"/>
          <w:cols w:space="720"/>
        </w:sectPr>
      </w:pPr>
    </w:p>
    <w:p w:rsidR="007D76BB" w:rsidRDefault="007D76BB">
      <w:pPr>
        <w:pStyle w:val="BodyText"/>
        <w:rPr>
          <w:sz w:val="20"/>
        </w:rPr>
      </w:pPr>
    </w:p>
    <w:p w:rsidR="007D76BB" w:rsidRDefault="007D76BB">
      <w:pPr>
        <w:pStyle w:val="BodyText"/>
        <w:spacing w:before="7"/>
      </w:pPr>
    </w:p>
    <w:p w:rsidR="007D76BB" w:rsidRDefault="00D70D28">
      <w:pPr>
        <w:pStyle w:val="Heading2"/>
      </w:pPr>
      <w:bookmarkStart w:id="77" w:name="Policy_options_considered"/>
      <w:bookmarkStart w:id="78" w:name="_bookmark35"/>
      <w:bookmarkEnd w:id="77"/>
      <w:bookmarkEnd w:id="78"/>
      <w:r>
        <w:t>Policy options considered</w:t>
      </w:r>
    </w:p>
    <w:p w:rsidR="007D76BB" w:rsidRDefault="00D70D28">
      <w:pPr>
        <w:pStyle w:val="BodyText"/>
        <w:spacing w:before="126"/>
        <w:ind w:left="198" w:right="1043"/>
      </w:pPr>
      <w:r>
        <w:t>A number of approaches and options for addressing the problem were considered, based on internal and external consultations.</w:t>
      </w:r>
    </w:p>
    <w:p w:rsidR="007D76BB" w:rsidRDefault="00D70D28">
      <w:pPr>
        <w:pStyle w:val="Heading7"/>
      </w:pPr>
      <w:r>
        <w:t>Four key options explored in this RIS:</w:t>
      </w:r>
    </w:p>
    <w:p w:rsidR="007D76BB" w:rsidRDefault="00D70D28">
      <w:pPr>
        <w:pStyle w:val="ListParagraph"/>
        <w:numPr>
          <w:ilvl w:val="0"/>
          <w:numId w:val="72"/>
        </w:numPr>
        <w:tabs>
          <w:tab w:val="left" w:pos="558"/>
          <w:tab w:val="left" w:pos="559"/>
        </w:tabs>
        <w:spacing w:before="179"/>
        <w:ind w:left="558"/>
      </w:pPr>
      <w:r>
        <w:rPr>
          <w:b/>
        </w:rPr>
        <w:t>Option 1</w:t>
      </w:r>
      <w:r>
        <w:t>—Maintain the status quo (no</w:t>
      </w:r>
      <w:r>
        <w:rPr>
          <w:spacing w:val="-8"/>
        </w:rPr>
        <w:t xml:space="preserve"> </w:t>
      </w:r>
      <w:r>
        <w:t>change)</w:t>
      </w:r>
    </w:p>
    <w:p w:rsidR="007D76BB" w:rsidRDefault="00D70D28">
      <w:pPr>
        <w:pStyle w:val="ListParagraph"/>
        <w:numPr>
          <w:ilvl w:val="0"/>
          <w:numId w:val="72"/>
        </w:numPr>
        <w:tabs>
          <w:tab w:val="left" w:pos="558"/>
          <w:tab w:val="left" w:pos="559"/>
        </w:tabs>
        <w:spacing w:before="178"/>
        <w:ind w:left="558" w:right="747"/>
      </w:pPr>
      <w:r>
        <w:rPr>
          <w:b/>
        </w:rPr>
        <w:t>Option 2A</w:t>
      </w:r>
      <w:r>
        <w:t>—Declare under authority of the TG Act that sports supplements are therapeutic goods if</w:t>
      </w:r>
      <w:r>
        <w:rPr>
          <w:spacing w:val="-2"/>
        </w:rPr>
        <w:t xml:space="preserve"> </w:t>
      </w:r>
      <w:r>
        <w:t>they:</w:t>
      </w:r>
    </w:p>
    <w:p w:rsidR="007D76BB" w:rsidRDefault="00D70D28">
      <w:pPr>
        <w:pStyle w:val="ListParagraph"/>
        <w:numPr>
          <w:ilvl w:val="1"/>
          <w:numId w:val="72"/>
        </w:numPr>
        <w:tabs>
          <w:tab w:val="left" w:pos="1326"/>
          <w:tab w:val="left" w:pos="1327"/>
        </w:tabs>
        <w:spacing w:before="181"/>
        <w:ind w:left="1326" w:hanging="409"/>
      </w:pPr>
      <w:r>
        <w:t>contain ingredients that are not appropriate for a sports supplement</w:t>
      </w:r>
      <w:r>
        <w:rPr>
          <w:spacing w:val="-15"/>
        </w:rPr>
        <w:t xml:space="preserve"> </w:t>
      </w:r>
      <w:r>
        <w:t>food:</w:t>
      </w:r>
    </w:p>
    <w:p w:rsidR="007D76BB" w:rsidRDefault="00D70D28">
      <w:pPr>
        <w:pStyle w:val="ListParagraph"/>
        <w:numPr>
          <w:ilvl w:val="2"/>
          <w:numId w:val="72"/>
        </w:numPr>
        <w:tabs>
          <w:tab w:val="left" w:pos="1818"/>
          <w:tab w:val="left" w:pos="1819"/>
        </w:tabs>
        <w:spacing w:before="181"/>
      </w:pPr>
      <w:r>
        <w:t>substance above the restrictions provided in the Poisons</w:t>
      </w:r>
      <w:r>
        <w:rPr>
          <w:spacing w:val="-11"/>
        </w:rPr>
        <w:t xml:space="preserve"> </w:t>
      </w:r>
      <w:r>
        <w:t>Standard</w:t>
      </w:r>
    </w:p>
    <w:p w:rsidR="007D76BB" w:rsidRDefault="00D70D28">
      <w:pPr>
        <w:pStyle w:val="ListParagraph"/>
        <w:numPr>
          <w:ilvl w:val="2"/>
          <w:numId w:val="72"/>
        </w:numPr>
        <w:tabs>
          <w:tab w:val="left" w:pos="1770"/>
          <w:tab w:val="left" w:pos="1771"/>
        </w:tabs>
        <w:spacing w:before="179"/>
        <w:ind w:left="1770" w:hanging="361"/>
      </w:pPr>
      <w:r>
        <w:t>a substance that is included in the WADC Prohibited</w:t>
      </w:r>
      <w:r>
        <w:rPr>
          <w:spacing w:val="-9"/>
        </w:rPr>
        <w:t xml:space="preserve"> </w:t>
      </w:r>
      <w:r>
        <w:t>List</w:t>
      </w:r>
    </w:p>
    <w:p w:rsidR="007D76BB" w:rsidRDefault="00D70D28">
      <w:pPr>
        <w:pStyle w:val="ListParagraph"/>
        <w:numPr>
          <w:ilvl w:val="2"/>
          <w:numId w:val="72"/>
        </w:numPr>
        <w:tabs>
          <w:tab w:val="left" w:pos="1770"/>
          <w:tab w:val="left" w:pos="1771"/>
        </w:tabs>
        <w:spacing w:before="181"/>
        <w:ind w:left="1770" w:hanging="361"/>
      </w:pPr>
      <w:r>
        <w:t>a Relevant substance as declared by the</w:t>
      </w:r>
      <w:r>
        <w:rPr>
          <w:spacing w:val="-8"/>
        </w:rPr>
        <w:t xml:space="preserve"> </w:t>
      </w:r>
      <w:r>
        <w:t>Secretary</w:t>
      </w:r>
    </w:p>
    <w:p w:rsidR="007D76BB" w:rsidRDefault="00D70D28">
      <w:pPr>
        <w:pStyle w:val="ListParagraph"/>
        <w:numPr>
          <w:ilvl w:val="1"/>
          <w:numId w:val="72"/>
        </w:numPr>
        <w:tabs>
          <w:tab w:val="left" w:pos="1278"/>
          <w:tab w:val="left" w:pos="1279"/>
        </w:tabs>
        <w:spacing w:before="179"/>
        <w:ind w:right="931"/>
      </w:pPr>
      <w:r>
        <w:t>and/or are presented in a form associated with medicines rather than foods (i.e. a tablet, capsule or</w:t>
      </w:r>
      <w:r>
        <w:rPr>
          <w:spacing w:val="-3"/>
        </w:rPr>
        <w:t xml:space="preserve"> </w:t>
      </w:r>
      <w:r>
        <w:t>pill)</w:t>
      </w:r>
    </w:p>
    <w:p w:rsidR="007D76BB" w:rsidRDefault="00D70D28">
      <w:pPr>
        <w:pStyle w:val="ListParagraph"/>
        <w:numPr>
          <w:ilvl w:val="0"/>
          <w:numId w:val="72"/>
        </w:numPr>
        <w:tabs>
          <w:tab w:val="left" w:pos="558"/>
          <w:tab w:val="left" w:pos="559"/>
        </w:tabs>
        <w:ind w:left="558" w:right="1484" w:hanging="360"/>
      </w:pPr>
      <w:r>
        <w:rPr>
          <w:b/>
        </w:rPr>
        <w:t>Option 2B</w:t>
      </w:r>
      <w:r>
        <w:t>— Declare under the authority of the TG Act that sports supplements are therapeutic goods if</w:t>
      </w:r>
      <w:r>
        <w:rPr>
          <w:spacing w:val="-2"/>
        </w:rPr>
        <w:t xml:space="preserve"> </w:t>
      </w:r>
      <w:r>
        <w:t>they:</w:t>
      </w:r>
    </w:p>
    <w:p w:rsidR="007D76BB" w:rsidRDefault="00D70D28">
      <w:pPr>
        <w:pStyle w:val="ListParagraph"/>
        <w:numPr>
          <w:ilvl w:val="1"/>
          <w:numId w:val="72"/>
        </w:numPr>
        <w:tabs>
          <w:tab w:val="left" w:pos="1278"/>
          <w:tab w:val="left" w:pos="1279"/>
        </w:tabs>
        <w:ind w:hanging="361"/>
      </w:pPr>
      <w:r>
        <w:t>contain ingredients that are not appropriate for a sports supplement</w:t>
      </w:r>
      <w:r>
        <w:rPr>
          <w:spacing w:val="-15"/>
        </w:rPr>
        <w:t xml:space="preserve"> </w:t>
      </w:r>
      <w:r>
        <w:t>food:</w:t>
      </w:r>
    </w:p>
    <w:p w:rsidR="007D76BB" w:rsidRDefault="00D70D28">
      <w:pPr>
        <w:pStyle w:val="ListParagraph"/>
        <w:numPr>
          <w:ilvl w:val="2"/>
          <w:numId w:val="72"/>
        </w:numPr>
        <w:tabs>
          <w:tab w:val="left" w:pos="1770"/>
          <w:tab w:val="left" w:pos="1771"/>
        </w:tabs>
        <w:spacing w:before="181"/>
        <w:ind w:left="1770" w:hanging="361"/>
      </w:pPr>
      <w:r>
        <w:t>a substance above the restrictions provided in the Poisons</w:t>
      </w:r>
      <w:r>
        <w:rPr>
          <w:spacing w:val="-13"/>
        </w:rPr>
        <w:t xml:space="preserve"> </w:t>
      </w:r>
      <w:r>
        <w:t>Standard</w:t>
      </w:r>
    </w:p>
    <w:p w:rsidR="007D76BB" w:rsidRDefault="00D70D28">
      <w:pPr>
        <w:pStyle w:val="ListParagraph"/>
        <w:numPr>
          <w:ilvl w:val="2"/>
          <w:numId w:val="72"/>
        </w:numPr>
        <w:tabs>
          <w:tab w:val="left" w:pos="1770"/>
          <w:tab w:val="left" w:pos="1771"/>
        </w:tabs>
        <w:spacing w:before="179"/>
        <w:ind w:left="1770" w:hanging="361"/>
      </w:pPr>
      <w:r>
        <w:t>a Relevant substance as declared by the</w:t>
      </w:r>
      <w:r>
        <w:rPr>
          <w:spacing w:val="-8"/>
        </w:rPr>
        <w:t xml:space="preserve"> </w:t>
      </w:r>
      <w:r>
        <w:t>Secretary</w:t>
      </w:r>
    </w:p>
    <w:p w:rsidR="007D76BB" w:rsidRDefault="00D70D28">
      <w:pPr>
        <w:pStyle w:val="ListParagraph"/>
        <w:numPr>
          <w:ilvl w:val="1"/>
          <w:numId w:val="72"/>
        </w:numPr>
        <w:tabs>
          <w:tab w:val="left" w:pos="1278"/>
          <w:tab w:val="left" w:pos="1279"/>
        </w:tabs>
        <w:spacing w:before="181"/>
        <w:ind w:right="931"/>
      </w:pPr>
      <w:r>
        <w:t>and/or are presented in a form associated with medicines rather than foods (i.e. a tablet, capsule or</w:t>
      </w:r>
      <w:r>
        <w:rPr>
          <w:spacing w:val="-3"/>
        </w:rPr>
        <w:t xml:space="preserve"> </w:t>
      </w:r>
      <w:r>
        <w:t>pill)</w:t>
      </w:r>
    </w:p>
    <w:p w:rsidR="007D76BB" w:rsidRDefault="00D70D28">
      <w:pPr>
        <w:pStyle w:val="ListParagraph"/>
        <w:numPr>
          <w:ilvl w:val="0"/>
          <w:numId w:val="72"/>
        </w:numPr>
        <w:tabs>
          <w:tab w:val="left" w:pos="558"/>
          <w:tab w:val="left" w:pos="559"/>
        </w:tabs>
        <w:spacing w:before="178"/>
        <w:ind w:left="558" w:right="889"/>
      </w:pPr>
      <w:r>
        <w:rPr>
          <w:b/>
        </w:rPr>
        <w:t>Option 3</w:t>
      </w:r>
      <w:r>
        <w:t>—Declare under authority of the TG Act that sports supplements are therapeutic goods if</w:t>
      </w:r>
      <w:r>
        <w:rPr>
          <w:spacing w:val="-2"/>
        </w:rPr>
        <w:t xml:space="preserve"> </w:t>
      </w:r>
      <w:r>
        <w:t>they:</w:t>
      </w:r>
    </w:p>
    <w:p w:rsidR="007D76BB" w:rsidRDefault="00D70D28">
      <w:pPr>
        <w:pStyle w:val="ListParagraph"/>
        <w:numPr>
          <w:ilvl w:val="1"/>
          <w:numId w:val="72"/>
        </w:numPr>
        <w:tabs>
          <w:tab w:val="left" w:pos="1278"/>
          <w:tab w:val="left" w:pos="1279"/>
        </w:tabs>
        <w:ind w:left="1279"/>
      </w:pPr>
      <w:r>
        <w:t>contain ingredients that are not appropriate for a sports supplement</w:t>
      </w:r>
      <w:r>
        <w:rPr>
          <w:spacing w:val="-15"/>
        </w:rPr>
        <w:t xml:space="preserve"> </w:t>
      </w:r>
      <w:r>
        <w:t>food:</w:t>
      </w:r>
    </w:p>
    <w:p w:rsidR="007D76BB" w:rsidRDefault="00D70D28">
      <w:pPr>
        <w:pStyle w:val="ListParagraph"/>
        <w:numPr>
          <w:ilvl w:val="2"/>
          <w:numId w:val="72"/>
        </w:numPr>
        <w:tabs>
          <w:tab w:val="left" w:pos="1818"/>
          <w:tab w:val="left" w:pos="1820"/>
        </w:tabs>
        <w:spacing w:before="181"/>
        <w:ind w:left="1819"/>
      </w:pPr>
      <w:r>
        <w:t>substance above the restrictions provided in the Poisons</w:t>
      </w:r>
      <w:r>
        <w:rPr>
          <w:spacing w:val="-11"/>
        </w:rPr>
        <w:t xml:space="preserve"> </w:t>
      </w:r>
      <w:r>
        <w:t>Standard</w:t>
      </w:r>
    </w:p>
    <w:p w:rsidR="007D76BB" w:rsidRDefault="00D70D28">
      <w:pPr>
        <w:pStyle w:val="ListParagraph"/>
        <w:numPr>
          <w:ilvl w:val="2"/>
          <w:numId w:val="72"/>
        </w:numPr>
        <w:tabs>
          <w:tab w:val="left" w:pos="1771"/>
          <w:tab w:val="left" w:pos="1772"/>
        </w:tabs>
        <w:spacing w:before="179"/>
        <w:ind w:left="1771" w:hanging="361"/>
      </w:pPr>
      <w:r>
        <w:t>a substance that is included in the WADC Prohibited</w:t>
      </w:r>
      <w:r>
        <w:rPr>
          <w:spacing w:val="-9"/>
        </w:rPr>
        <w:t xml:space="preserve"> </w:t>
      </w:r>
      <w:r>
        <w:t>List</w:t>
      </w:r>
    </w:p>
    <w:p w:rsidR="007D76BB" w:rsidRDefault="00D70D28">
      <w:pPr>
        <w:pStyle w:val="ListParagraph"/>
        <w:numPr>
          <w:ilvl w:val="2"/>
          <w:numId w:val="72"/>
        </w:numPr>
        <w:tabs>
          <w:tab w:val="left" w:pos="1771"/>
          <w:tab w:val="left" w:pos="1772"/>
        </w:tabs>
        <w:spacing w:before="181"/>
        <w:ind w:left="1771" w:hanging="361"/>
      </w:pPr>
      <w:r>
        <w:t>a Relevant substance as declared by the</w:t>
      </w:r>
      <w:r>
        <w:rPr>
          <w:spacing w:val="-8"/>
        </w:rPr>
        <w:t xml:space="preserve"> </w:t>
      </w:r>
      <w:r>
        <w:t>Secretary</w:t>
      </w:r>
    </w:p>
    <w:p w:rsidR="007D76BB" w:rsidRDefault="00D70D28">
      <w:pPr>
        <w:pStyle w:val="BodyText"/>
        <w:spacing w:before="179" w:line="242" w:lineRule="auto"/>
        <w:ind w:left="199" w:right="1606"/>
      </w:pPr>
      <w:r>
        <w:t xml:space="preserve">In addition to the four options explored in the RIS, </w:t>
      </w:r>
      <w:r>
        <w:rPr>
          <w:b/>
        </w:rPr>
        <w:t xml:space="preserve">two alternative approaches </w:t>
      </w:r>
      <w:r>
        <w:t xml:space="preserve">were considered – refer to </w:t>
      </w:r>
      <w:hyperlink w:anchor="_bookmark57" w:history="1">
        <w:r>
          <w:rPr>
            <w:color w:val="0000FF"/>
            <w:u w:val="single" w:color="0000FF"/>
          </w:rPr>
          <w:t>Alternative approaches considered but rejected</w:t>
        </w:r>
        <w:r>
          <w:t>.</w:t>
        </w:r>
      </w:hyperlink>
    </w:p>
    <w:p w:rsidR="007D76BB" w:rsidRDefault="007D76BB">
      <w:pPr>
        <w:spacing w:line="242" w:lineRule="auto"/>
        <w:sectPr w:rsidR="007D76BB">
          <w:pgSz w:w="11910" w:h="16840"/>
          <w:pgMar w:top="840" w:right="820" w:bottom="1360" w:left="1220" w:header="572" w:footer="1178" w:gutter="0"/>
          <w:cols w:space="720"/>
        </w:sectPr>
      </w:pPr>
    </w:p>
    <w:p w:rsidR="007D76BB" w:rsidRDefault="007D76BB">
      <w:pPr>
        <w:pStyle w:val="BodyText"/>
        <w:rPr>
          <w:sz w:val="20"/>
        </w:rPr>
      </w:pPr>
    </w:p>
    <w:p w:rsidR="007D76BB" w:rsidRDefault="007D76BB">
      <w:pPr>
        <w:pStyle w:val="BodyText"/>
        <w:spacing w:before="5"/>
        <w:rPr>
          <w:sz w:val="27"/>
        </w:rPr>
      </w:pPr>
    </w:p>
    <w:p w:rsidR="007D76BB" w:rsidRDefault="00D70D28">
      <w:pPr>
        <w:pStyle w:val="Heading3"/>
        <w:spacing w:before="89"/>
      </w:pPr>
      <w:bookmarkStart w:id="79" w:name="Criteria_for_assessing_options"/>
      <w:bookmarkStart w:id="80" w:name="_bookmark36"/>
      <w:bookmarkEnd w:id="79"/>
      <w:bookmarkEnd w:id="80"/>
      <w:r>
        <w:t>Criteria for assessing options</w:t>
      </w:r>
    </w:p>
    <w:p w:rsidR="007D76BB" w:rsidRDefault="00D70D28">
      <w:pPr>
        <w:pStyle w:val="BodyText"/>
        <w:spacing w:before="246"/>
        <w:ind w:left="198"/>
      </w:pPr>
      <w:r>
        <w:t>Some of the criteria used in assessing the various options are provided below:</w:t>
      </w:r>
    </w:p>
    <w:p w:rsidR="007D76BB" w:rsidRDefault="007D76BB">
      <w:pPr>
        <w:pStyle w:val="BodyText"/>
        <w:spacing w:before="7"/>
        <w:rPr>
          <w:sz w:val="20"/>
        </w:rPr>
      </w:pPr>
    </w:p>
    <w:p w:rsidR="007D76BB" w:rsidRDefault="00D70D28">
      <w:pPr>
        <w:pStyle w:val="ListParagraph"/>
        <w:numPr>
          <w:ilvl w:val="0"/>
          <w:numId w:val="61"/>
        </w:numPr>
        <w:tabs>
          <w:tab w:val="left" w:pos="558"/>
          <w:tab w:val="left" w:pos="559"/>
        </w:tabs>
        <w:spacing w:before="0"/>
      </w:pPr>
      <w:r>
        <w:t>the degree by which the option would likely address the identified</w:t>
      </w:r>
      <w:r>
        <w:rPr>
          <w:spacing w:val="-16"/>
        </w:rPr>
        <w:t xml:space="preserve"> </w:t>
      </w:r>
      <w:r>
        <w:t>problem</w:t>
      </w:r>
    </w:p>
    <w:p w:rsidR="007D76BB" w:rsidRDefault="007D76BB">
      <w:pPr>
        <w:pStyle w:val="BodyText"/>
        <w:spacing w:before="4"/>
        <w:rPr>
          <w:sz w:val="20"/>
        </w:rPr>
      </w:pPr>
    </w:p>
    <w:p w:rsidR="007D76BB" w:rsidRDefault="00D70D28">
      <w:pPr>
        <w:pStyle w:val="ListParagraph"/>
        <w:numPr>
          <w:ilvl w:val="0"/>
          <w:numId w:val="61"/>
        </w:numPr>
        <w:tabs>
          <w:tab w:val="left" w:pos="558"/>
          <w:tab w:val="left" w:pos="559"/>
        </w:tabs>
        <w:spacing w:before="0"/>
      </w:pPr>
      <w:r>
        <w:t>the benefits to be</w:t>
      </w:r>
      <w:r>
        <w:rPr>
          <w:spacing w:val="-4"/>
        </w:rPr>
        <w:t xml:space="preserve"> </w:t>
      </w:r>
      <w:r>
        <w:t>attained</w:t>
      </w:r>
    </w:p>
    <w:p w:rsidR="007D76BB" w:rsidRDefault="007D76BB">
      <w:pPr>
        <w:pStyle w:val="BodyText"/>
        <w:spacing w:before="7"/>
        <w:rPr>
          <w:sz w:val="20"/>
        </w:rPr>
      </w:pPr>
    </w:p>
    <w:p w:rsidR="007D76BB" w:rsidRDefault="00D70D28">
      <w:pPr>
        <w:pStyle w:val="ListParagraph"/>
        <w:numPr>
          <w:ilvl w:val="0"/>
          <w:numId w:val="61"/>
        </w:numPr>
        <w:tabs>
          <w:tab w:val="left" w:pos="558"/>
          <w:tab w:val="left" w:pos="559"/>
        </w:tabs>
        <w:spacing w:before="0"/>
      </w:pPr>
      <w:r>
        <w:t>the overall regulatory</w:t>
      </w:r>
      <w:r>
        <w:rPr>
          <w:spacing w:val="-5"/>
        </w:rPr>
        <w:t xml:space="preserve"> </w:t>
      </w:r>
      <w:r>
        <w:t>burden</w:t>
      </w:r>
    </w:p>
    <w:p w:rsidR="007D76BB" w:rsidRDefault="007D76BB">
      <w:pPr>
        <w:pStyle w:val="BodyText"/>
        <w:spacing w:before="4"/>
        <w:rPr>
          <w:sz w:val="20"/>
        </w:rPr>
      </w:pPr>
    </w:p>
    <w:p w:rsidR="007D76BB" w:rsidRDefault="00D70D28">
      <w:pPr>
        <w:pStyle w:val="ListParagraph"/>
        <w:numPr>
          <w:ilvl w:val="0"/>
          <w:numId w:val="61"/>
        </w:numPr>
        <w:tabs>
          <w:tab w:val="left" w:pos="559"/>
          <w:tab w:val="left" w:pos="560"/>
        </w:tabs>
        <w:spacing w:before="0"/>
        <w:ind w:left="559"/>
      </w:pPr>
      <w:r>
        <w:t>impacts on businesses such as Australian manufacturers, suppliers and</w:t>
      </w:r>
      <w:r>
        <w:rPr>
          <w:spacing w:val="-11"/>
        </w:rPr>
        <w:t xml:space="preserve"> </w:t>
      </w:r>
      <w:r>
        <w:t>retailers</w:t>
      </w:r>
    </w:p>
    <w:p w:rsidR="007D76BB" w:rsidRDefault="007D76BB">
      <w:pPr>
        <w:pStyle w:val="BodyText"/>
        <w:spacing w:before="7"/>
        <w:rPr>
          <w:sz w:val="20"/>
        </w:rPr>
      </w:pPr>
    </w:p>
    <w:p w:rsidR="007D76BB" w:rsidRDefault="00D70D28">
      <w:pPr>
        <w:pStyle w:val="ListParagraph"/>
        <w:numPr>
          <w:ilvl w:val="0"/>
          <w:numId w:val="61"/>
        </w:numPr>
        <w:tabs>
          <w:tab w:val="left" w:pos="559"/>
          <w:tab w:val="left" w:pos="560"/>
        </w:tabs>
        <w:spacing w:before="0"/>
        <w:ind w:left="559"/>
      </w:pPr>
      <w:r>
        <w:t>impacts on availability of products for consumers and consumer</w:t>
      </w:r>
      <w:r>
        <w:rPr>
          <w:spacing w:val="-12"/>
        </w:rPr>
        <w:t xml:space="preserve"> </w:t>
      </w:r>
      <w:r>
        <w:t>choice</w:t>
      </w:r>
    </w:p>
    <w:p w:rsidR="007D76BB" w:rsidRDefault="007D76BB">
      <w:pPr>
        <w:pStyle w:val="BodyText"/>
        <w:spacing w:before="4"/>
        <w:rPr>
          <w:sz w:val="20"/>
        </w:rPr>
      </w:pPr>
    </w:p>
    <w:p w:rsidR="007D76BB" w:rsidRDefault="00D70D28">
      <w:pPr>
        <w:pStyle w:val="ListParagraph"/>
        <w:numPr>
          <w:ilvl w:val="0"/>
          <w:numId w:val="61"/>
        </w:numPr>
        <w:tabs>
          <w:tab w:val="left" w:pos="559"/>
          <w:tab w:val="left" w:pos="560"/>
        </w:tabs>
        <w:spacing w:before="0"/>
        <w:ind w:left="559"/>
      </w:pPr>
      <w:r>
        <w:t>impacts on competition and potential effect on</w:t>
      </w:r>
      <w:r>
        <w:rPr>
          <w:spacing w:val="-10"/>
        </w:rPr>
        <w:t xml:space="preserve"> </w:t>
      </w:r>
      <w:r>
        <w:t>price</w:t>
      </w:r>
    </w:p>
    <w:p w:rsidR="007D76BB" w:rsidRDefault="007D76BB">
      <w:pPr>
        <w:pStyle w:val="BodyText"/>
        <w:spacing w:before="6"/>
        <w:rPr>
          <w:sz w:val="20"/>
        </w:rPr>
      </w:pPr>
    </w:p>
    <w:p w:rsidR="007D76BB" w:rsidRDefault="00D70D28">
      <w:pPr>
        <w:pStyle w:val="ListParagraph"/>
        <w:numPr>
          <w:ilvl w:val="0"/>
          <w:numId w:val="61"/>
        </w:numPr>
        <w:tabs>
          <w:tab w:val="left" w:pos="559"/>
          <w:tab w:val="left" w:pos="560"/>
        </w:tabs>
        <w:spacing w:before="1"/>
        <w:ind w:left="199" w:hanging="1"/>
      </w:pPr>
      <w:r>
        <w:t>the potential for unintended loopholes and gaps (which could possibly then be</w:t>
      </w:r>
      <w:r>
        <w:rPr>
          <w:spacing w:val="-18"/>
        </w:rPr>
        <w:t xml:space="preserve"> </w:t>
      </w:r>
      <w:r>
        <w:t>exploited)</w:t>
      </w:r>
    </w:p>
    <w:p w:rsidR="007D76BB" w:rsidRDefault="007D76BB">
      <w:pPr>
        <w:pStyle w:val="BodyText"/>
        <w:spacing w:before="4"/>
        <w:rPr>
          <w:sz w:val="20"/>
        </w:rPr>
      </w:pPr>
    </w:p>
    <w:p w:rsidR="007D76BB" w:rsidRDefault="00D70D28">
      <w:pPr>
        <w:pStyle w:val="BodyText"/>
        <w:ind w:left="199" w:right="610"/>
      </w:pPr>
      <w:r>
        <w:t>The criteria are not stand-alone and have been considered together in determining the option offering the highest overall net benefit. Higher emphasis has been placed on the degree by which the option would likely address the identified actual and potential safety risks associated with</w:t>
      </w:r>
      <w:bookmarkStart w:id="81" w:name="Option_1._Status_Quo"/>
      <w:bookmarkStart w:id="82" w:name="_bookmark37"/>
      <w:bookmarkEnd w:id="81"/>
      <w:bookmarkEnd w:id="82"/>
      <w:r>
        <w:t xml:space="preserve"> the use of certain sports supplements.</w:t>
      </w:r>
    </w:p>
    <w:p w:rsidR="007D76BB" w:rsidRDefault="007D76BB">
      <w:pPr>
        <w:pStyle w:val="BodyText"/>
        <w:rPr>
          <w:sz w:val="26"/>
        </w:rPr>
      </w:pPr>
    </w:p>
    <w:p w:rsidR="007D76BB" w:rsidRDefault="00D70D28">
      <w:pPr>
        <w:pStyle w:val="Heading3"/>
        <w:spacing w:before="171"/>
      </w:pPr>
      <w:r>
        <w:t>Option 1. Status Quo</w:t>
      </w:r>
    </w:p>
    <w:p w:rsidR="007D76BB" w:rsidRDefault="00D70D28">
      <w:pPr>
        <w:pStyle w:val="BodyText"/>
        <w:spacing w:before="124"/>
        <w:ind w:left="198" w:right="1165"/>
      </w:pPr>
      <w:r>
        <w:t>The ‘status quo’ option would not implement any changes to the regulation of sports supplements in Australia. Manufacturers of sports supplements marketed as foods will not experience any additional regulatory burden. There will also be no change in the products available and the cost of these products to consumers.</w:t>
      </w:r>
    </w:p>
    <w:p w:rsidR="007D76BB" w:rsidRDefault="00D70D28">
      <w:pPr>
        <w:pStyle w:val="BodyText"/>
        <w:spacing w:before="180"/>
        <w:ind w:left="198" w:right="636"/>
      </w:pPr>
      <w:r>
        <w:t>Maintenance of the status quo would see continued consumer exposure to the actual and potential risks associated with sports supplements marketed as foods. The costs associated with serious adverse events for individuals, their families, their communities and the Australian healthcare system will continue. The 2019 Industry reports (21; 26) predict that this is a category of products with expected growth in Australia due to a growing fitness culture, which means that there is the potential for risks to compound over time with the increasing consumer use of sport supplements.</w:t>
      </w:r>
    </w:p>
    <w:p w:rsidR="007D76BB" w:rsidRDefault="00D70D28">
      <w:pPr>
        <w:pStyle w:val="BodyText"/>
        <w:spacing w:before="180"/>
        <w:ind w:left="198" w:right="588"/>
      </w:pPr>
      <w:r>
        <w:t xml:space="preserve">The lack of legal clarity relating to the </w:t>
      </w:r>
      <w:proofErr w:type="spellStart"/>
      <w:r>
        <w:t>categorisation</w:t>
      </w:r>
      <w:proofErr w:type="spellEnd"/>
      <w:r>
        <w:t xml:space="preserve"> of these products (i.e. as foods or as therapeutic goods) means that regulatory authorities will continue to be required to conduct complex food-medicine assessments to determine which authority should take action where a product poses a public health risk. The legal ambi</w:t>
      </w:r>
      <w:r>
        <w:lastRenderedPageBreak/>
        <w:t>guity for these products will continue to waste Government resources and taxpayer’s money in the pursuit of legal proceedings against high- risk products, with continued exposure of these products to consumers while the necessary legal steps are taken to end their supply. There may also be a lack of consumer confidence in the food and medicine regulators due to their perceived inability to effectively regulate goods that pose a risk to the safety of consumers.</w:t>
      </w:r>
    </w:p>
    <w:p w:rsidR="007D76BB" w:rsidRDefault="00D70D28">
      <w:pPr>
        <w:pStyle w:val="BodyText"/>
        <w:spacing w:before="179"/>
        <w:ind w:left="198" w:right="640"/>
      </w:pPr>
      <w:r>
        <w:t>Industry has expressed frustration with the ambiguity they encounter when interpreting the Food Standards, including Standard 2.9.4 -Formulated Supplementary Sports Foods. The lack of clarity for these products incurs resource costs for businesses in trying to understand their legal obligations and puts a business at risk of unintended non-compliance. There would also be continued legal risk for industry, since there is the possibility that a court would determine a</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8" w:right="938"/>
        <w:jc w:val="both"/>
      </w:pPr>
      <w:proofErr w:type="gramStart"/>
      <w:r>
        <w:t>product</w:t>
      </w:r>
      <w:proofErr w:type="gramEnd"/>
      <w:r>
        <w:t xml:space="preserve"> to be a food or therapeutic good, irrespective of existing guidance that is intended to resolve the uncertainty. The status quo would mean this ambiguity would continue and these industry concerns would not be addressed.</w:t>
      </w:r>
    </w:p>
    <w:p w:rsidR="007D76BB" w:rsidRDefault="00D70D28">
      <w:pPr>
        <w:pStyle w:val="BodyText"/>
        <w:spacing w:before="182"/>
        <w:ind w:left="198" w:right="586"/>
      </w:pPr>
      <w:r>
        <w:t>A summary of the impacts on various stakeholders from maintaining the status quo are provided in Table 13.</w:t>
      </w:r>
    </w:p>
    <w:p w:rsidR="007D76BB" w:rsidRDefault="00D70D28">
      <w:pPr>
        <w:pStyle w:val="Heading7"/>
      </w:pPr>
      <w:r>
        <w:t>Table 13: Summary of impacts from maintaining the status quo</w:t>
      </w:r>
    </w:p>
    <w:p w:rsidR="007D76BB" w:rsidRDefault="007D76BB">
      <w:pPr>
        <w:pStyle w:val="BodyText"/>
        <w:spacing w:before="3"/>
        <w:rPr>
          <w:b/>
          <w:sz w:val="15"/>
        </w:rPr>
      </w:pPr>
    </w:p>
    <w:tbl>
      <w:tblPr>
        <w:tblW w:w="0" w:type="auto"/>
        <w:tblInd w:w="218" w:type="dxa"/>
        <w:tblBorders>
          <w:top w:val="single" w:sz="8" w:space="0" w:color="002C46"/>
          <w:left w:val="single" w:sz="8" w:space="0" w:color="002C46"/>
          <w:bottom w:val="single" w:sz="8" w:space="0" w:color="002C46"/>
          <w:right w:val="single" w:sz="8" w:space="0" w:color="002C46"/>
          <w:insideH w:val="single" w:sz="8" w:space="0" w:color="002C46"/>
          <w:insideV w:val="single" w:sz="8" w:space="0" w:color="002C46"/>
        </w:tblBorders>
        <w:tblLayout w:type="fixed"/>
        <w:tblCellMar>
          <w:left w:w="0" w:type="dxa"/>
          <w:right w:w="0" w:type="dxa"/>
        </w:tblCellMar>
        <w:tblLook w:val="01E0" w:firstRow="1" w:lastRow="1" w:firstColumn="1" w:lastColumn="1" w:noHBand="0" w:noVBand="0"/>
      </w:tblPr>
      <w:tblGrid>
        <w:gridCol w:w="1718"/>
        <w:gridCol w:w="3516"/>
        <w:gridCol w:w="3816"/>
      </w:tblGrid>
      <w:tr w:rsidR="007D76BB">
        <w:trPr>
          <w:trHeight w:val="611"/>
        </w:trPr>
        <w:tc>
          <w:tcPr>
            <w:tcW w:w="1718" w:type="dxa"/>
            <w:tcBorders>
              <w:right w:val="nil"/>
            </w:tcBorders>
            <w:shd w:val="clear" w:color="auto" w:fill="006CA7"/>
          </w:tcPr>
          <w:p w:rsidR="007D76BB" w:rsidRDefault="00D70D28">
            <w:pPr>
              <w:pStyle w:val="TableParagraph"/>
              <w:spacing w:before="122"/>
              <w:ind w:left="107"/>
              <w:rPr>
                <w:rFonts w:ascii="Arial Black"/>
              </w:rPr>
            </w:pPr>
            <w:r>
              <w:rPr>
                <w:rFonts w:ascii="Arial Black"/>
                <w:color w:val="FFFFFF"/>
              </w:rPr>
              <w:t>Stakeholder</w:t>
            </w:r>
          </w:p>
        </w:tc>
        <w:tc>
          <w:tcPr>
            <w:tcW w:w="3516" w:type="dxa"/>
            <w:tcBorders>
              <w:left w:val="nil"/>
              <w:right w:val="nil"/>
            </w:tcBorders>
            <w:shd w:val="clear" w:color="auto" w:fill="006CA7"/>
          </w:tcPr>
          <w:p w:rsidR="007D76BB" w:rsidRDefault="00D70D28">
            <w:pPr>
              <w:pStyle w:val="TableParagraph"/>
              <w:spacing w:before="122"/>
              <w:ind w:left="117"/>
              <w:rPr>
                <w:rFonts w:ascii="Arial Black"/>
              </w:rPr>
            </w:pPr>
            <w:r>
              <w:rPr>
                <w:rFonts w:ascii="Arial Black"/>
                <w:color w:val="FFFFFF"/>
              </w:rPr>
              <w:t>Benefits</w:t>
            </w:r>
          </w:p>
        </w:tc>
        <w:tc>
          <w:tcPr>
            <w:tcW w:w="3816" w:type="dxa"/>
            <w:tcBorders>
              <w:left w:val="nil"/>
            </w:tcBorders>
            <w:shd w:val="clear" w:color="auto" w:fill="006CA7"/>
          </w:tcPr>
          <w:p w:rsidR="007D76BB" w:rsidRDefault="00D70D28">
            <w:pPr>
              <w:pStyle w:val="TableParagraph"/>
              <w:spacing w:before="122"/>
              <w:ind w:left="117"/>
              <w:rPr>
                <w:rFonts w:ascii="Arial Black"/>
              </w:rPr>
            </w:pPr>
            <w:r>
              <w:rPr>
                <w:rFonts w:ascii="Arial Black"/>
                <w:color w:val="FFFFFF"/>
              </w:rPr>
              <w:t>Negatives</w:t>
            </w:r>
          </w:p>
        </w:tc>
      </w:tr>
      <w:tr w:rsidR="007D76BB">
        <w:trPr>
          <w:trHeight w:val="3160"/>
        </w:trPr>
        <w:tc>
          <w:tcPr>
            <w:tcW w:w="1718" w:type="dxa"/>
          </w:tcPr>
          <w:p w:rsidR="007D76BB" w:rsidRDefault="00D70D28">
            <w:pPr>
              <w:pStyle w:val="TableParagraph"/>
              <w:spacing w:before="119"/>
              <w:ind w:left="107" w:right="68"/>
              <w:rPr>
                <w:b/>
              </w:rPr>
            </w:pPr>
            <w:r>
              <w:rPr>
                <w:b/>
              </w:rPr>
              <w:t>Australian manufacturers</w:t>
            </w:r>
          </w:p>
        </w:tc>
        <w:tc>
          <w:tcPr>
            <w:tcW w:w="3516" w:type="dxa"/>
          </w:tcPr>
          <w:p w:rsidR="007D76BB" w:rsidRDefault="00D70D28">
            <w:pPr>
              <w:pStyle w:val="TableParagraph"/>
              <w:numPr>
                <w:ilvl w:val="0"/>
                <w:numId w:val="60"/>
              </w:numPr>
              <w:tabs>
                <w:tab w:val="left" w:pos="467"/>
                <w:tab w:val="left" w:pos="468"/>
              </w:tabs>
              <w:spacing w:before="119"/>
              <w:ind w:left="467" w:right="716"/>
            </w:pPr>
            <w:r>
              <w:t>No additional regulatory burden.</w:t>
            </w:r>
          </w:p>
          <w:p w:rsidR="007D76BB" w:rsidRDefault="00D70D28">
            <w:pPr>
              <w:pStyle w:val="TableParagraph"/>
              <w:numPr>
                <w:ilvl w:val="0"/>
                <w:numId w:val="60"/>
              </w:numPr>
              <w:tabs>
                <w:tab w:val="left" w:pos="467"/>
                <w:tab w:val="left" w:pos="468"/>
              </w:tabs>
              <w:spacing w:before="180"/>
              <w:ind w:left="467" w:right="176"/>
            </w:pPr>
            <w:r>
              <w:t>Reformulation of products not required.</w:t>
            </w:r>
          </w:p>
          <w:p w:rsidR="007D76BB" w:rsidRDefault="00D70D28">
            <w:pPr>
              <w:pStyle w:val="TableParagraph"/>
              <w:numPr>
                <w:ilvl w:val="0"/>
                <w:numId w:val="60"/>
              </w:numPr>
              <w:tabs>
                <w:tab w:val="left" w:pos="468"/>
                <w:tab w:val="left" w:pos="469"/>
              </w:tabs>
              <w:spacing w:before="180"/>
              <w:ind w:right="544"/>
            </w:pPr>
            <w:r>
              <w:t>Change in product presentation not</w:t>
            </w:r>
            <w:r>
              <w:rPr>
                <w:spacing w:val="-7"/>
              </w:rPr>
              <w:t xml:space="preserve"> </w:t>
            </w:r>
            <w:r>
              <w:t>required.</w:t>
            </w:r>
          </w:p>
          <w:p w:rsidR="007D76BB" w:rsidRDefault="00D70D28">
            <w:pPr>
              <w:pStyle w:val="TableParagraph"/>
              <w:numPr>
                <w:ilvl w:val="0"/>
                <w:numId w:val="60"/>
              </w:numPr>
              <w:tabs>
                <w:tab w:val="left" w:pos="469"/>
              </w:tabs>
              <w:spacing w:before="180"/>
              <w:ind w:right="637"/>
              <w:jc w:val="both"/>
            </w:pPr>
            <w:r>
              <w:t>No requirement to list or register a medicine in the ARTG.</w:t>
            </w:r>
          </w:p>
        </w:tc>
        <w:tc>
          <w:tcPr>
            <w:tcW w:w="3816" w:type="dxa"/>
          </w:tcPr>
          <w:p w:rsidR="007D76BB" w:rsidRDefault="00D70D28">
            <w:pPr>
              <w:pStyle w:val="TableParagraph"/>
              <w:numPr>
                <w:ilvl w:val="0"/>
                <w:numId w:val="59"/>
              </w:numPr>
              <w:tabs>
                <w:tab w:val="left" w:pos="468"/>
                <w:tab w:val="left" w:pos="469"/>
              </w:tabs>
              <w:spacing w:before="119"/>
              <w:ind w:right="428"/>
            </w:pPr>
            <w:r>
              <w:t>Continued difficulty navigating the current</w:t>
            </w:r>
            <w:r>
              <w:rPr>
                <w:spacing w:val="-3"/>
              </w:rPr>
              <w:t xml:space="preserve"> </w:t>
            </w:r>
            <w:r>
              <w:t>legislation.</w:t>
            </w:r>
          </w:p>
          <w:p w:rsidR="007D76BB" w:rsidRDefault="00D70D28">
            <w:pPr>
              <w:pStyle w:val="TableParagraph"/>
              <w:numPr>
                <w:ilvl w:val="0"/>
                <w:numId w:val="59"/>
              </w:numPr>
              <w:tabs>
                <w:tab w:val="left" w:pos="468"/>
                <w:tab w:val="left" w:pos="469"/>
              </w:tabs>
              <w:spacing w:before="180"/>
              <w:ind w:right="279"/>
            </w:pPr>
            <w:r>
              <w:t>Continued legal risk for industry of unintended con-compliance due to the ambiguity of current legislation.</w:t>
            </w:r>
          </w:p>
        </w:tc>
      </w:tr>
      <w:tr w:rsidR="007D76BB">
        <w:trPr>
          <w:trHeight w:val="1590"/>
        </w:trPr>
        <w:tc>
          <w:tcPr>
            <w:tcW w:w="1718" w:type="dxa"/>
          </w:tcPr>
          <w:p w:rsidR="007D76BB" w:rsidRDefault="00D70D28">
            <w:pPr>
              <w:pStyle w:val="TableParagraph"/>
              <w:spacing w:before="121"/>
              <w:ind w:left="107" w:right="68"/>
              <w:rPr>
                <w:b/>
              </w:rPr>
            </w:pPr>
            <w:r>
              <w:rPr>
                <w:b/>
              </w:rPr>
              <w:t>Overseas manufacturers</w:t>
            </w:r>
          </w:p>
        </w:tc>
        <w:tc>
          <w:tcPr>
            <w:tcW w:w="3516" w:type="dxa"/>
          </w:tcPr>
          <w:p w:rsidR="007D76BB" w:rsidRDefault="00D70D28">
            <w:pPr>
              <w:pStyle w:val="TableParagraph"/>
              <w:numPr>
                <w:ilvl w:val="0"/>
                <w:numId w:val="58"/>
              </w:numPr>
              <w:tabs>
                <w:tab w:val="left" w:pos="467"/>
                <w:tab w:val="left" w:pos="468"/>
              </w:tabs>
              <w:spacing w:before="121"/>
              <w:ind w:left="467" w:right="517"/>
            </w:pPr>
            <w:r>
              <w:t>No change to current importation</w:t>
            </w:r>
            <w:r>
              <w:rPr>
                <w:spacing w:val="-6"/>
              </w:rPr>
              <w:t xml:space="preserve"> </w:t>
            </w:r>
            <w:r>
              <w:t>requirements.</w:t>
            </w:r>
          </w:p>
        </w:tc>
        <w:tc>
          <w:tcPr>
            <w:tcW w:w="3816" w:type="dxa"/>
          </w:tcPr>
          <w:p w:rsidR="007D76BB" w:rsidRDefault="00D70D28">
            <w:pPr>
              <w:pStyle w:val="TableParagraph"/>
              <w:numPr>
                <w:ilvl w:val="0"/>
                <w:numId w:val="57"/>
              </w:numPr>
              <w:tabs>
                <w:tab w:val="left" w:pos="468"/>
                <w:tab w:val="left" w:pos="469"/>
              </w:tabs>
              <w:spacing w:before="121"/>
              <w:ind w:right="103"/>
            </w:pPr>
            <w:r>
              <w:t>Continued legal uncertainty for industry as to when a product could be determined to be a therapeutic good and seized at the Australian</w:t>
            </w:r>
            <w:r>
              <w:rPr>
                <w:spacing w:val="-3"/>
              </w:rPr>
              <w:t xml:space="preserve"> </w:t>
            </w:r>
            <w:r>
              <w:t>border.</w:t>
            </w:r>
          </w:p>
        </w:tc>
      </w:tr>
      <w:tr w:rsidR="007D76BB">
        <w:trPr>
          <w:trHeight w:val="2802"/>
        </w:trPr>
        <w:tc>
          <w:tcPr>
            <w:tcW w:w="1718" w:type="dxa"/>
          </w:tcPr>
          <w:p w:rsidR="007D76BB" w:rsidRDefault="00D70D28">
            <w:pPr>
              <w:pStyle w:val="TableParagraph"/>
              <w:spacing w:before="119"/>
              <w:ind w:left="107"/>
              <w:rPr>
                <w:b/>
              </w:rPr>
            </w:pPr>
            <w:r>
              <w:rPr>
                <w:b/>
              </w:rPr>
              <w:t>Consumers</w:t>
            </w:r>
          </w:p>
        </w:tc>
        <w:tc>
          <w:tcPr>
            <w:tcW w:w="3516" w:type="dxa"/>
          </w:tcPr>
          <w:p w:rsidR="007D76BB" w:rsidRDefault="00D70D28">
            <w:pPr>
              <w:pStyle w:val="TableParagraph"/>
              <w:numPr>
                <w:ilvl w:val="0"/>
                <w:numId w:val="56"/>
              </w:numPr>
              <w:tabs>
                <w:tab w:val="left" w:pos="467"/>
                <w:tab w:val="left" w:pos="468"/>
              </w:tabs>
              <w:spacing w:before="119"/>
              <w:ind w:left="467" w:right="326"/>
            </w:pPr>
            <w:r>
              <w:t>No change in the availability, cost, formulation or presentation of the products available to</w:t>
            </w:r>
            <w:r>
              <w:rPr>
                <w:spacing w:val="-3"/>
              </w:rPr>
              <w:t xml:space="preserve"> </w:t>
            </w:r>
            <w:r>
              <w:t>consumers.</w:t>
            </w:r>
          </w:p>
        </w:tc>
        <w:tc>
          <w:tcPr>
            <w:tcW w:w="3816" w:type="dxa"/>
          </w:tcPr>
          <w:p w:rsidR="007D76BB" w:rsidRDefault="00D70D28">
            <w:pPr>
              <w:pStyle w:val="TableParagraph"/>
              <w:numPr>
                <w:ilvl w:val="0"/>
                <w:numId w:val="55"/>
              </w:numPr>
              <w:tabs>
                <w:tab w:val="left" w:pos="467"/>
                <w:tab w:val="left" w:pos="468"/>
              </w:tabs>
              <w:spacing w:before="119"/>
              <w:ind w:right="179"/>
            </w:pPr>
            <w:r>
              <w:t>Continued exposure to actual and potential risks from sports supplements marketed as</w:t>
            </w:r>
            <w:r>
              <w:rPr>
                <w:spacing w:val="-7"/>
              </w:rPr>
              <w:t xml:space="preserve"> </w:t>
            </w:r>
            <w:r>
              <w:t>foods.</w:t>
            </w:r>
          </w:p>
          <w:p w:rsidR="007D76BB" w:rsidRDefault="00D70D28">
            <w:pPr>
              <w:pStyle w:val="TableParagraph"/>
              <w:numPr>
                <w:ilvl w:val="0"/>
                <w:numId w:val="55"/>
              </w:numPr>
              <w:tabs>
                <w:tab w:val="left" w:pos="468"/>
                <w:tab w:val="left" w:pos="469"/>
              </w:tabs>
              <w:spacing w:before="181"/>
              <w:ind w:right="172"/>
            </w:pPr>
            <w:r>
              <w:t xml:space="preserve">Lack of consumer confidence in food and medicine regulators </w:t>
            </w:r>
            <w:r>
              <w:rPr>
                <w:spacing w:val="-3"/>
              </w:rPr>
              <w:t xml:space="preserve">due </w:t>
            </w:r>
            <w:r>
              <w:t>to their perceived inability to effectively regulate goods that pose a potential risk to the safety of</w:t>
            </w:r>
            <w:r>
              <w:rPr>
                <w:spacing w:val="-1"/>
              </w:rPr>
              <w:t xml:space="preserve"> </w:t>
            </w:r>
            <w:r>
              <w:t>consumers.</w:t>
            </w:r>
          </w:p>
        </w:tc>
      </w:tr>
      <w:tr w:rsidR="007D76BB">
        <w:trPr>
          <w:trHeight w:val="1770"/>
        </w:trPr>
        <w:tc>
          <w:tcPr>
            <w:tcW w:w="1718" w:type="dxa"/>
          </w:tcPr>
          <w:p w:rsidR="007D76BB" w:rsidRDefault="00D70D28">
            <w:pPr>
              <w:pStyle w:val="TableParagraph"/>
              <w:spacing w:before="119"/>
              <w:ind w:left="107"/>
              <w:rPr>
                <w:b/>
              </w:rPr>
            </w:pPr>
            <w:r>
              <w:rPr>
                <w:b/>
              </w:rPr>
              <w:t>Retailers</w:t>
            </w:r>
          </w:p>
        </w:tc>
        <w:tc>
          <w:tcPr>
            <w:tcW w:w="3516" w:type="dxa"/>
          </w:tcPr>
          <w:p w:rsidR="007D76BB" w:rsidRDefault="00D70D28">
            <w:pPr>
              <w:pStyle w:val="TableParagraph"/>
              <w:numPr>
                <w:ilvl w:val="0"/>
                <w:numId w:val="54"/>
              </w:numPr>
              <w:tabs>
                <w:tab w:val="left" w:pos="467"/>
                <w:tab w:val="left" w:pos="468"/>
              </w:tabs>
              <w:spacing w:before="119"/>
              <w:ind w:left="467" w:right="326"/>
            </w:pPr>
            <w:r>
              <w:t>No change in the availability, cost, formulation or presentation of the products available for retail</w:t>
            </w:r>
            <w:r>
              <w:rPr>
                <w:spacing w:val="-4"/>
              </w:rPr>
              <w:t xml:space="preserve"> </w:t>
            </w:r>
            <w:r>
              <w:t>sale.</w:t>
            </w:r>
          </w:p>
          <w:p w:rsidR="007D76BB" w:rsidRDefault="00D70D28">
            <w:pPr>
              <w:pStyle w:val="TableParagraph"/>
              <w:numPr>
                <w:ilvl w:val="0"/>
                <w:numId w:val="54"/>
              </w:numPr>
              <w:tabs>
                <w:tab w:val="left" w:pos="468"/>
                <w:tab w:val="left" w:pos="469"/>
              </w:tabs>
              <w:spacing w:before="180"/>
            </w:pPr>
            <w:r>
              <w:t>No loss of</w:t>
            </w:r>
            <w:r>
              <w:rPr>
                <w:spacing w:val="-5"/>
              </w:rPr>
              <w:t xml:space="preserve"> </w:t>
            </w:r>
            <w:r>
              <w:t>revenue.</w:t>
            </w:r>
          </w:p>
        </w:tc>
        <w:tc>
          <w:tcPr>
            <w:tcW w:w="3816" w:type="dxa"/>
          </w:tcPr>
          <w:p w:rsidR="007D76BB" w:rsidRDefault="00D70D28">
            <w:pPr>
              <w:pStyle w:val="TableParagraph"/>
              <w:numPr>
                <w:ilvl w:val="0"/>
                <w:numId w:val="53"/>
              </w:numPr>
              <w:tabs>
                <w:tab w:val="left" w:pos="468"/>
                <w:tab w:val="left" w:pos="469"/>
              </w:tabs>
              <w:spacing w:before="119"/>
              <w:ind w:right="205"/>
            </w:pPr>
            <w:r>
              <w:t>Continued legal risk for retailers as to when a product they are selling could be determined to be a therapeutic</w:t>
            </w:r>
            <w:r>
              <w:rPr>
                <w:spacing w:val="-2"/>
              </w:rPr>
              <w:t xml:space="preserve"> </w:t>
            </w:r>
            <w:r>
              <w:t>good.</w:t>
            </w:r>
          </w:p>
        </w:tc>
      </w:tr>
    </w:tbl>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9"/>
        <w:rPr>
          <w:b/>
          <w:sz w:val="24"/>
        </w:rPr>
      </w:pPr>
    </w:p>
    <w:tbl>
      <w:tblPr>
        <w:tblW w:w="0" w:type="auto"/>
        <w:tblInd w:w="218" w:type="dxa"/>
        <w:tblBorders>
          <w:top w:val="single" w:sz="8" w:space="0" w:color="002C46"/>
          <w:left w:val="single" w:sz="8" w:space="0" w:color="002C46"/>
          <w:bottom w:val="single" w:sz="8" w:space="0" w:color="002C46"/>
          <w:right w:val="single" w:sz="8" w:space="0" w:color="002C46"/>
          <w:insideH w:val="single" w:sz="8" w:space="0" w:color="002C46"/>
          <w:insideV w:val="single" w:sz="8" w:space="0" w:color="002C46"/>
        </w:tblBorders>
        <w:tblLayout w:type="fixed"/>
        <w:tblCellMar>
          <w:left w:w="0" w:type="dxa"/>
          <w:right w:w="0" w:type="dxa"/>
        </w:tblCellMar>
        <w:tblLook w:val="01E0" w:firstRow="1" w:lastRow="1" w:firstColumn="1" w:lastColumn="1" w:noHBand="0" w:noVBand="0"/>
      </w:tblPr>
      <w:tblGrid>
        <w:gridCol w:w="1718"/>
        <w:gridCol w:w="3516"/>
        <w:gridCol w:w="3816"/>
      </w:tblGrid>
      <w:tr w:rsidR="007D76BB">
        <w:trPr>
          <w:trHeight w:val="611"/>
        </w:trPr>
        <w:tc>
          <w:tcPr>
            <w:tcW w:w="1718" w:type="dxa"/>
            <w:tcBorders>
              <w:right w:val="nil"/>
            </w:tcBorders>
            <w:shd w:val="clear" w:color="auto" w:fill="006CA7"/>
          </w:tcPr>
          <w:p w:rsidR="007D76BB" w:rsidRDefault="00D70D28">
            <w:pPr>
              <w:pStyle w:val="TableParagraph"/>
              <w:spacing w:before="122"/>
              <w:ind w:left="107"/>
              <w:rPr>
                <w:rFonts w:ascii="Arial Black"/>
              </w:rPr>
            </w:pPr>
            <w:r>
              <w:rPr>
                <w:rFonts w:ascii="Arial Black"/>
                <w:color w:val="FFFFFF"/>
              </w:rPr>
              <w:t>Stakeholder</w:t>
            </w:r>
          </w:p>
        </w:tc>
        <w:tc>
          <w:tcPr>
            <w:tcW w:w="3516" w:type="dxa"/>
            <w:tcBorders>
              <w:left w:val="nil"/>
              <w:right w:val="nil"/>
            </w:tcBorders>
            <w:shd w:val="clear" w:color="auto" w:fill="006CA7"/>
          </w:tcPr>
          <w:p w:rsidR="007D76BB" w:rsidRDefault="00D70D28">
            <w:pPr>
              <w:pStyle w:val="TableParagraph"/>
              <w:spacing w:before="122"/>
              <w:ind w:left="117"/>
              <w:rPr>
                <w:rFonts w:ascii="Arial Black"/>
              </w:rPr>
            </w:pPr>
            <w:r>
              <w:rPr>
                <w:rFonts w:ascii="Arial Black"/>
                <w:color w:val="FFFFFF"/>
              </w:rPr>
              <w:t>Benefits</w:t>
            </w:r>
          </w:p>
        </w:tc>
        <w:tc>
          <w:tcPr>
            <w:tcW w:w="3816" w:type="dxa"/>
            <w:tcBorders>
              <w:left w:val="nil"/>
            </w:tcBorders>
            <w:shd w:val="clear" w:color="auto" w:fill="006CA7"/>
          </w:tcPr>
          <w:p w:rsidR="007D76BB" w:rsidRDefault="00D70D28">
            <w:pPr>
              <w:pStyle w:val="TableParagraph"/>
              <w:spacing w:before="122"/>
              <w:ind w:left="117"/>
              <w:rPr>
                <w:rFonts w:ascii="Arial Black"/>
              </w:rPr>
            </w:pPr>
            <w:r>
              <w:rPr>
                <w:rFonts w:ascii="Arial Black"/>
                <w:color w:val="FFFFFF"/>
              </w:rPr>
              <w:t>Negatives</w:t>
            </w:r>
          </w:p>
        </w:tc>
      </w:tr>
      <w:tr w:rsidR="007D76BB">
        <w:trPr>
          <w:trHeight w:val="2802"/>
        </w:trPr>
        <w:tc>
          <w:tcPr>
            <w:tcW w:w="1718" w:type="dxa"/>
          </w:tcPr>
          <w:p w:rsidR="007D76BB" w:rsidRDefault="00D70D28">
            <w:pPr>
              <w:pStyle w:val="TableParagraph"/>
              <w:spacing w:before="119"/>
              <w:ind w:left="107" w:right="309"/>
              <w:rPr>
                <w:b/>
              </w:rPr>
            </w:pPr>
            <w:r>
              <w:rPr>
                <w:b/>
              </w:rPr>
              <w:t>Australian Government</w:t>
            </w:r>
          </w:p>
        </w:tc>
        <w:tc>
          <w:tcPr>
            <w:tcW w:w="3516" w:type="dxa"/>
          </w:tcPr>
          <w:p w:rsidR="007D76BB" w:rsidRDefault="00D70D28">
            <w:pPr>
              <w:pStyle w:val="TableParagraph"/>
              <w:numPr>
                <w:ilvl w:val="0"/>
                <w:numId w:val="52"/>
              </w:numPr>
              <w:tabs>
                <w:tab w:val="left" w:pos="468"/>
                <w:tab w:val="left" w:pos="469"/>
              </w:tabs>
              <w:spacing w:before="119"/>
              <w:ind w:right="205"/>
            </w:pPr>
            <w:r>
              <w:t>No detrimental effect to the Australian economy arising from potential job losses from decreased retailer and manufacturer</w:t>
            </w:r>
            <w:r>
              <w:rPr>
                <w:spacing w:val="-2"/>
              </w:rPr>
              <w:t xml:space="preserve"> </w:t>
            </w:r>
            <w:r>
              <w:t>revenue.</w:t>
            </w:r>
          </w:p>
        </w:tc>
        <w:tc>
          <w:tcPr>
            <w:tcW w:w="3816" w:type="dxa"/>
          </w:tcPr>
          <w:p w:rsidR="007D76BB" w:rsidRDefault="00D70D28">
            <w:pPr>
              <w:pStyle w:val="TableParagraph"/>
              <w:numPr>
                <w:ilvl w:val="0"/>
                <w:numId w:val="51"/>
              </w:numPr>
              <w:tabs>
                <w:tab w:val="left" w:pos="468"/>
                <w:tab w:val="left" w:pos="469"/>
              </w:tabs>
              <w:spacing w:before="119"/>
              <w:ind w:right="294"/>
            </w:pPr>
            <w:r>
              <w:t>Continued waste of Government resources and taxpayer’s money in pursuing legal proceedings against high-risk</w:t>
            </w:r>
            <w:r>
              <w:rPr>
                <w:spacing w:val="-4"/>
              </w:rPr>
              <w:t xml:space="preserve"> </w:t>
            </w:r>
            <w:r>
              <w:t>products.</w:t>
            </w:r>
          </w:p>
          <w:p w:rsidR="007D76BB" w:rsidRDefault="00D70D28">
            <w:pPr>
              <w:pStyle w:val="TableParagraph"/>
              <w:numPr>
                <w:ilvl w:val="0"/>
                <w:numId w:val="51"/>
              </w:numPr>
              <w:tabs>
                <w:tab w:val="left" w:pos="468"/>
                <w:tab w:val="left" w:pos="469"/>
              </w:tabs>
              <w:spacing w:before="180"/>
              <w:ind w:right="199" w:hanging="360"/>
            </w:pPr>
            <w:r>
              <w:t>Continued individual, society and government costs arising from adverse events, in particular where these occur in young, otherwise healthy</w:t>
            </w:r>
            <w:r>
              <w:rPr>
                <w:spacing w:val="-5"/>
              </w:rPr>
              <w:t xml:space="preserve"> </w:t>
            </w:r>
            <w:r>
              <w:t>Australians.</w:t>
            </w:r>
          </w:p>
        </w:tc>
      </w:tr>
    </w:tbl>
    <w:p w:rsidR="007D76BB" w:rsidRDefault="007D76BB">
      <w:pPr>
        <w:pStyle w:val="BodyText"/>
        <w:rPr>
          <w:b/>
          <w:sz w:val="20"/>
        </w:rPr>
      </w:pPr>
    </w:p>
    <w:p w:rsidR="007D76BB" w:rsidRDefault="00D70D28">
      <w:pPr>
        <w:pStyle w:val="Heading3"/>
        <w:ind w:right="1028"/>
      </w:pPr>
      <w:bookmarkStart w:id="83" w:name="Option_2A._Declare_that_sports_supplemen"/>
      <w:bookmarkStart w:id="84" w:name="_bookmark38"/>
      <w:bookmarkEnd w:id="83"/>
      <w:bookmarkEnd w:id="84"/>
      <w:r>
        <w:t>Option 2A. Declare that sports supplements including substances (in the Poisons Standard, WADC or Relevant substance lists) and/or presented as medicines are therapeutic goods</w:t>
      </w:r>
    </w:p>
    <w:p w:rsidR="007D76BB" w:rsidRDefault="00D70D28">
      <w:pPr>
        <w:pStyle w:val="BodyText"/>
        <w:spacing w:before="124"/>
        <w:ind w:left="198" w:right="748"/>
      </w:pPr>
      <w:r>
        <w:t>Option 2A would declare under the existing authority of section 7 of the TG Act that certain sports supplements are therapeutic goods, with the effect that they are not foods. A declaration would complement the FSANZ pending update to Food Standard 2.9.4. The criteria for the proposed declaration are provided in the text box below.</w:t>
      </w:r>
    </w:p>
    <w:p w:rsidR="007D76BB" w:rsidRDefault="007D76BB">
      <w:pPr>
        <w:pStyle w:val="BodyText"/>
        <w:spacing w:before="1"/>
        <w:rPr>
          <w:sz w:val="10"/>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64"/>
      </w:tblGrid>
      <w:tr w:rsidR="007D76BB">
        <w:trPr>
          <w:trHeight w:val="4540"/>
        </w:trPr>
        <w:tc>
          <w:tcPr>
            <w:tcW w:w="9064" w:type="dxa"/>
          </w:tcPr>
          <w:p w:rsidR="007D76BB" w:rsidRDefault="00D70D28">
            <w:pPr>
              <w:pStyle w:val="TableParagraph"/>
              <w:spacing w:before="191"/>
              <w:ind w:left="151"/>
              <w:rPr>
                <w:b/>
              </w:rPr>
            </w:pPr>
            <w:r>
              <w:rPr>
                <w:b/>
              </w:rPr>
              <w:t>Option 2A: Declare that following sports supplements are therapeutic goods</w:t>
            </w:r>
          </w:p>
          <w:p w:rsidR="007D76BB" w:rsidRDefault="00D70D28">
            <w:pPr>
              <w:pStyle w:val="TableParagraph"/>
              <w:spacing w:before="179"/>
              <w:ind w:left="151" w:right="138"/>
            </w:pPr>
            <w:r>
              <w:t>Products for oral administration that are used, advertised or presented for supply to improve or maintain physical or mental performance in sport, exercise or other recreational activity</w:t>
            </w:r>
          </w:p>
          <w:p w:rsidR="007D76BB" w:rsidRDefault="00D70D28">
            <w:pPr>
              <w:pStyle w:val="TableParagraph"/>
              <w:spacing w:before="180"/>
              <w:ind w:left="151"/>
            </w:pPr>
            <w:r>
              <w:t>AND</w:t>
            </w:r>
          </w:p>
          <w:p w:rsidR="007D76BB" w:rsidRDefault="00D70D28">
            <w:pPr>
              <w:pStyle w:val="TableParagraph"/>
              <w:numPr>
                <w:ilvl w:val="0"/>
                <w:numId w:val="50"/>
              </w:numPr>
              <w:tabs>
                <w:tab w:val="left" w:pos="511"/>
                <w:tab w:val="left" w:pos="512"/>
              </w:tabs>
              <w:spacing w:before="182"/>
            </w:pPr>
            <w:r>
              <w:t>contain an ingredient that is not appropriate for a sports supplement food,</w:t>
            </w:r>
            <w:r>
              <w:rPr>
                <w:spacing w:val="-23"/>
              </w:rPr>
              <w:t xml:space="preserve"> </w:t>
            </w:r>
            <w:r>
              <w:t>i.e.</w:t>
            </w:r>
          </w:p>
          <w:p w:rsidR="007D76BB" w:rsidRDefault="00D70D28">
            <w:pPr>
              <w:pStyle w:val="TableParagraph"/>
              <w:numPr>
                <w:ilvl w:val="1"/>
                <w:numId w:val="50"/>
              </w:numPr>
              <w:tabs>
                <w:tab w:val="left" w:pos="1231"/>
                <w:tab w:val="left" w:pos="1232"/>
              </w:tabs>
              <w:spacing w:before="178"/>
              <w:ind w:right="1022"/>
              <w:rPr>
                <w:b/>
              </w:rPr>
            </w:pPr>
            <w:r>
              <w:t xml:space="preserve">a substance above the restrictions provided in a schedule to the </w:t>
            </w:r>
            <w:r>
              <w:rPr>
                <w:b/>
              </w:rPr>
              <w:t>Poisons Standard</w:t>
            </w:r>
          </w:p>
          <w:p w:rsidR="007D76BB" w:rsidRDefault="00D70D28">
            <w:pPr>
              <w:pStyle w:val="TableParagraph"/>
              <w:numPr>
                <w:ilvl w:val="1"/>
                <w:numId w:val="50"/>
              </w:numPr>
              <w:tabs>
                <w:tab w:val="left" w:pos="1231"/>
                <w:tab w:val="left" w:pos="1232"/>
              </w:tabs>
              <w:spacing w:before="181"/>
              <w:rPr>
                <w:b/>
              </w:rPr>
            </w:pPr>
            <w:r>
              <w:t xml:space="preserve">a substance that is included in the </w:t>
            </w:r>
            <w:r>
              <w:rPr>
                <w:b/>
              </w:rPr>
              <w:t>WADC Prohibited</w:t>
            </w:r>
            <w:r>
              <w:rPr>
                <w:b/>
                <w:spacing w:val="-10"/>
              </w:rPr>
              <w:t xml:space="preserve"> </w:t>
            </w:r>
            <w:r>
              <w:rPr>
                <w:b/>
              </w:rPr>
              <w:t>List</w:t>
            </w:r>
          </w:p>
          <w:p w:rsidR="007D76BB" w:rsidRDefault="00D70D28">
            <w:pPr>
              <w:pStyle w:val="TableParagraph"/>
              <w:numPr>
                <w:ilvl w:val="1"/>
                <w:numId w:val="50"/>
              </w:numPr>
              <w:tabs>
                <w:tab w:val="left" w:pos="1231"/>
                <w:tab w:val="left" w:pos="1232"/>
              </w:tabs>
              <w:spacing w:before="178"/>
              <w:ind w:hanging="361"/>
            </w:pPr>
            <w:r>
              <w:t xml:space="preserve">a </w:t>
            </w:r>
            <w:r>
              <w:rPr>
                <w:b/>
              </w:rPr>
              <w:t xml:space="preserve">Relevant substance </w:t>
            </w:r>
            <w:r>
              <w:t>(as declared by the</w:t>
            </w:r>
            <w:r>
              <w:rPr>
                <w:spacing w:val="-9"/>
              </w:rPr>
              <w:t xml:space="preserve"> </w:t>
            </w:r>
            <w:r>
              <w:t>Secretary)</w:t>
            </w:r>
          </w:p>
          <w:p w:rsidR="007D76BB" w:rsidRDefault="00D70D28">
            <w:pPr>
              <w:pStyle w:val="TableParagraph"/>
              <w:numPr>
                <w:ilvl w:val="0"/>
                <w:numId w:val="50"/>
              </w:numPr>
              <w:tabs>
                <w:tab w:val="left" w:pos="511"/>
                <w:tab w:val="left" w:pos="512"/>
              </w:tabs>
              <w:spacing w:before="182"/>
              <w:ind w:right="654"/>
            </w:pPr>
            <w:r>
              <w:t xml:space="preserve">and/or are presented in a </w:t>
            </w:r>
            <w:r>
              <w:rPr>
                <w:b/>
              </w:rPr>
              <w:t xml:space="preserve">form associated with medicines </w:t>
            </w:r>
            <w:r>
              <w:t>rather than foods (i.e. a tablet, capsule or</w:t>
            </w:r>
            <w:r>
              <w:rPr>
                <w:spacing w:val="-3"/>
              </w:rPr>
              <w:t xml:space="preserve"> </w:t>
            </w:r>
            <w:r>
              <w:t>pill)</w:t>
            </w:r>
          </w:p>
        </w:tc>
      </w:tr>
    </w:tbl>
    <w:p w:rsidR="007D76BB" w:rsidRDefault="007D76BB">
      <w:pPr>
        <w:pStyle w:val="BodyText"/>
        <w:spacing w:before="7"/>
        <w:rPr>
          <w:sz w:val="23"/>
        </w:rPr>
      </w:pPr>
    </w:p>
    <w:p w:rsidR="007D76BB" w:rsidRDefault="00D70D28">
      <w:pPr>
        <w:pStyle w:val="Heading5"/>
        <w:rPr>
          <w:rFonts w:ascii="Arial"/>
        </w:rPr>
      </w:pPr>
      <w:bookmarkStart w:id="85" w:name="Elements_of_Option_2A"/>
      <w:bookmarkStart w:id="86" w:name="_bookmark39"/>
      <w:bookmarkEnd w:id="85"/>
      <w:bookmarkEnd w:id="86"/>
      <w:r>
        <w:rPr>
          <w:rFonts w:ascii="Arial"/>
        </w:rPr>
        <w:t>Elements of Option 2A</w:t>
      </w:r>
    </w:p>
    <w:p w:rsidR="007D76BB" w:rsidRDefault="00D70D28">
      <w:pPr>
        <w:pStyle w:val="BodyText"/>
        <w:spacing w:before="122"/>
        <w:ind w:left="198" w:right="614"/>
      </w:pPr>
      <w:r>
        <w:t>Products will only fall within the scope of the declaration if they carry indications relating to the improvement or maintenance of performance in physical or mental activity in sports, exercise or any other recreational activity. If there is no sports performance related therapeutic claim, whether explicit or implied, they will not be affected by the proposed declaration and will remain food. For example, artificial sweeteners and pectin</w:t>
      </w:r>
      <w:r>
        <w:rPr>
          <w:spacing w:val="-14"/>
        </w:rPr>
        <w:t xml:space="preserve"> </w:t>
      </w:r>
      <w:r>
        <w:t>tablets.</w:t>
      </w:r>
    </w:p>
    <w:p w:rsidR="007D76BB" w:rsidRDefault="007D76BB">
      <w:pPr>
        <w:pStyle w:val="BodyText"/>
        <w:spacing w:before="1"/>
      </w:pPr>
    </w:p>
    <w:p w:rsidR="007D76BB" w:rsidRDefault="00D70D28">
      <w:pPr>
        <w:pStyle w:val="BodyText"/>
        <w:ind w:left="198" w:right="887"/>
      </w:pPr>
      <w:r>
        <w:t>Option 2A does not change the ability for sports supplements to be sold in stores other than pharmacies, a potential concern raised by industry during the consultations. Listed medicines</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8" w:right="1074"/>
      </w:pPr>
      <w:proofErr w:type="gramStart"/>
      <w:r>
        <w:t>and</w:t>
      </w:r>
      <w:proofErr w:type="gramEnd"/>
      <w:r>
        <w:t xml:space="preserve"> some registered OTC medicines (that do not contain scheduled ingredients) can be sold from general retail stores such as sports supplement, health food and grocery stores.</w:t>
      </w:r>
    </w:p>
    <w:p w:rsidR="007D76BB" w:rsidRDefault="00D70D28">
      <w:pPr>
        <w:pStyle w:val="Heading7"/>
        <w:spacing w:before="121"/>
      </w:pPr>
      <w:r>
        <w:t>Ingredients in scope in Option 2A</w:t>
      </w:r>
    </w:p>
    <w:p w:rsidR="007D76BB" w:rsidRDefault="00D70D28">
      <w:pPr>
        <w:pStyle w:val="BodyText"/>
        <w:spacing w:before="181"/>
        <w:ind w:left="198" w:right="992"/>
      </w:pPr>
      <w:r>
        <w:t xml:space="preserve">Option 2A would declare that a sports supplement product containing a substance above the restrictions provided in a schedule to the </w:t>
      </w:r>
      <w:r>
        <w:rPr>
          <w:b/>
        </w:rPr>
        <w:t xml:space="preserve">Poisons Standard </w:t>
      </w:r>
      <w:r>
        <w:t>(scheduled substance) is a therapeutic good and therefore subject to the same regulatory control as other medicines containing such substances.</w:t>
      </w:r>
    </w:p>
    <w:p w:rsidR="007D76BB" w:rsidRDefault="00D70D28">
      <w:pPr>
        <w:pStyle w:val="BodyText"/>
        <w:spacing w:before="180"/>
        <w:ind w:left="198" w:right="612"/>
      </w:pPr>
      <w:r>
        <w:t xml:space="preserve">Option 2A would also declare that products including substances in the </w:t>
      </w:r>
      <w:r>
        <w:rPr>
          <w:b/>
        </w:rPr>
        <w:t xml:space="preserve">WADC Prohibited List </w:t>
      </w:r>
      <w:r>
        <w:t>are therapeutic goods. Many (but not all) substances included in the WADC Prohibited List are already included in a schedule to the Poisons Standard either explicitly or under scheduled drug classes [such as ‘androgenic steroidal agents’ (Schedule 4) or ‘</w:t>
      </w:r>
      <w:proofErr w:type="spellStart"/>
      <w:r>
        <w:t>alkoxyamfetamines</w:t>
      </w:r>
      <w:proofErr w:type="spellEnd"/>
      <w:r>
        <w:t>’ (Schedule 9)]. Those substances in the WADC Prohibited List that are not included in a schedule to the Poisons Standard appear to be from similar classes (or possess similar characteristics to other scheduled substances) and would likely meet the requirements to be a scheduled substance (but have not yet been the subject of an application to amend the Poisons Standard).</w:t>
      </w:r>
    </w:p>
    <w:p w:rsidR="007D76BB" w:rsidRDefault="00D70D28">
      <w:pPr>
        <w:pStyle w:val="BodyText"/>
        <w:spacing w:before="178"/>
        <w:ind w:left="198" w:right="660"/>
      </w:pPr>
      <w:r>
        <w:t>The third category of ingredients in scope of Option 2A is the ‘</w:t>
      </w:r>
      <w:r>
        <w:rPr>
          <w:b/>
        </w:rPr>
        <w:t xml:space="preserve">Relevant substance’ </w:t>
      </w:r>
      <w:r>
        <w:t>list which will contain substances that the delegate of the Secretary considers to have a risk profile not appropriate for inclusion in foods but which are not already included in the Poisons Standard or the WADC Prohibited List. This provision in the declaration allows the Secretary to declare substances that are identified with a significant safety concern, but not yet subject to other regulatory controls, to be considered therapeutic goods, for example: prohibited food imports.</w:t>
      </w:r>
    </w:p>
    <w:p w:rsidR="007D76BB" w:rsidRDefault="00D70D28">
      <w:pPr>
        <w:pStyle w:val="BodyText"/>
        <w:spacing w:before="121"/>
        <w:ind w:left="198" w:right="776"/>
      </w:pPr>
      <w:r>
        <w:t>Option 2A will not affect those sports supplements that contain only appropriate food ingredients and that are presented for sale in the manner of food products. These will continue to be regulated as foods.</w:t>
      </w:r>
    </w:p>
    <w:p w:rsidR="007D76BB" w:rsidRDefault="00D70D28">
      <w:pPr>
        <w:pStyle w:val="BodyText"/>
        <w:spacing w:before="181"/>
        <w:ind w:left="198" w:right="797"/>
      </w:pPr>
      <w:r>
        <w:t>The inclusion of a substance in the proposed declaration will not ‘ban’ ingredients from use in Australia nor remove them from sale. Rather, it will mean that products containing these ingredients will be required to comply with the regulatory requirements for therapeutic goods particularly as they relate to the safety, quality and efficacy of the product.</w:t>
      </w:r>
    </w:p>
    <w:p w:rsidR="007D76BB" w:rsidRDefault="00D70D28">
      <w:pPr>
        <w:pStyle w:val="Heading7"/>
        <w:spacing w:before="181"/>
      </w:pPr>
      <w:r>
        <w:t>Medicine presentation in scope for Option 2A</w:t>
      </w:r>
    </w:p>
    <w:p w:rsidR="007D76BB" w:rsidRDefault="00D70D28">
      <w:pPr>
        <w:pStyle w:val="BodyText"/>
        <w:spacing w:before="178"/>
        <w:ind w:left="198" w:right="733"/>
      </w:pPr>
      <w:r>
        <w:t>Option 2A would declare that sports supplements that are presented in a form commonly associated with medicines rather than foods (i.e. a tablet, capsule or pill) are therapeutic goods.</w:t>
      </w:r>
    </w:p>
    <w:p w:rsidR="007D76BB" w:rsidRDefault="00D70D28">
      <w:pPr>
        <w:pStyle w:val="BodyText"/>
        <w:spacing w:before="181"/>
        <w:ind w:left="198" w:right="915"/>
        <w:jc w:val="both"/>
      </w:pPr>
      <w:r>
        <w:t>If Option 2A is implemented, sports supplement products making therapeutic indications and presented in medicinal forms would be subjected to the same manufacturing requirements of therapeutic goods to ensure their safe use.</w:t>
      </w:r>
    </w:p>
    <w:p w:rsidR="007D76BB" w:rsidRDefault="00D70D28">
      <w:pPr>
        <w:pStyle w:val="Heading7"/>
        <w:spacing w:before="179"/>
        <w:jc w:val="both"/>
      </w:pPr>
      <w:bookmarkStart w:id="87" w:name="_bookmark40"/>
      <w:bookmarkEnd w:id="87"/>
      <w:r>
        <w:t>Implementation of Option 2A</w:t>
      </w:r>
    </w:p>
    <w:p w:rsidR="007D76BB" w:rsidRDefault="00D70D28">
      <w:pPr>
        <w:pStyle w:val="BodyText"/>
        <w:spacing w:before="181"/>
        <w:ind w:left="198" w:right="618"/>
      </w:pPr>
      <w:r>
        <w:lastRenderedPageBreak/>
        <w:t xml:space="preserve">Implementation of Option 2A will mean that the manufacturer/owner of products in scope would need to undertake action for their product to either comply with regulations as a therapeutic good or modify their product in order for it to be regulated as a food- see </w:t>
      </w:r>
      <w:hyperlink w:anchor="_bookmark41" w:history="1">
        <w:r>
          <w:rPr>
            <w:color w:val="0000FF"/>
            <w:u w:val="single" w:color="0000FF"/>
          </w:rPr>
          <w:t>Impacts on</w:t>
        </w:r>
      </w:hyperlink>
      <w:r>
        <w:rPr>
          <w:color w:val="0000FF"/>
        </w:rPr>
        <w:t xml:space="preserve"> </w:t>
      </w:r>
      <w:hyperlink w:anchor="_bookmark41" w:history="1">
        <w:r>
          <w:rPr>
            <w:color w:val="0000FF"/>
            <w:u w:val="single" w:color="0000FF"/>
          </w:rPr>
          <w:t>manufacturers of products in scope of Option 2A</w:t>
        </w:r>
        <w:r>
          <w:t>.</w:t>
        </w:r>
      </w:hyperlink>
    </w:p>
    <w:p w:rsidR="007D76BB" w:rsidRDefault="00D70D28">
      <w:pPr>
        <w:pStyle w:val="BodyText"/>
        <w:spacing w:before="180"/>
        <w:ind w:left="198" w:right="651"/>
      </w:pPr>
      <w:r>
        <w:t xml:space="preserve">If Option 2A is implemented, sports supplements that are in scope of the proposed declaration and being supplied in Australia prior to the commencement date would, in general, have the benefit of 3-year transition period to comply with the legislative requirements for foods or medicines, as applicable. This transition period is anticipated to afford suppliers sufficient time for their stock in trade to be used up, thereby helping to </w:t>
      </w:r>
      <w:proofErr w:type="spellStart"/>
      <w:r>
        <w:t>minimise</w:t>
      </w:r>
      <w:proofErr w:type="spellEnd"/>
      <w:r>
        <w:t xml:space="preserve"> the disruption of the proposal on business.</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8" w:right="787"/>
      </w:pPr>
      <w:r>
        <w:t>Products in scope of the declaration that contain substances of significant safety concerns to consumers (for example, prescription medicine ingredients) will be affected from the date that the Section 7 declaration is made, enabling swift enforcement action by the regulator in the interest of protecting public safety.</w:t>
      </w:r>
    </w:p>
    <w:p w:rsidR="007D76BB" w:rsidRDefault="007D76BB">
      <w:pPr>
        <w:pStyle w:val="BodyText"/>
        <w:spacing w:before="7"/>
        <w:rPr>
          <w:sz w:val="30"/>
        </w:rPr>
      </w:pPr>
    </w:p>
    <w:p w:rsidR="007D76BB" w:rsidRDefault="00D70D28">
      <w:pPr>
        <w:pStyle w:val="Heading5"/>
        <w:spacing w:before="1"/>
        <w:ind w:right="1431"/>
        <w:rPr>
          <w:rFonts w:ascii="Arial"/>
        </w:rPr>
      </w:pPr>
      <w:bookmarkStart w:id="88" w:name="How_Option_2A_will_mitigate_the_risk_ass"/>
      <w:bookmarkStart w:id="89" w:name="_bookmark41"/>
      <w:bookmarkEnd w:id="88"/>
      <w:bookmarkEnd w:id="89"/>
      <w:r>
        <w:rPr>
          <w:rFonts w:ascii="Arial"/>
        </w:rPr>
        <w:t>How Option 2A will mitigate the risk associated with certain sports supplements</w:t>
      </w:r>
    </w:p>
    <w:p w:rsidR="007D76BB" w:rsidRDefault="00D70D28">
      <w:pPr>
        <w:pStyle w:val="Heading7"/>
        <w:spacing w:before="123"/>
        <w:ind w:right="998"/>
      </w:pPr>
      <w:r>
        <w:t>Effect of Option 2A on ensuring appropriate regulatory controls are applied to protect public health.</w:t>
      </w:r>
    </w:p>
    <w:p w:rsidR="007D76BB" w:rsidRDefault="00D70D28">
      <w:pPr>
        <w:pStyle w:val="BodyText"/>
        <w:spacing w:before="178"/>
        <w:ind w:left="198" w:right="909"/>
      </w:pPr>
      <w:r>
        <w:t>The products in scope of the proposed regulatory clarification contain higher risk ingredients that are not appropriate for food and/or are being presented as medicines rather than food.</w:t>
      </w:r>
    </w:p>
    <w:p w:rsidR="007D76BB" w:rsidRDefault="00D70D28">
      <w:pPr>
        <w:pStyle w:val="BodyText"/>
        <w:spacing w:before="180"/>
        <w:ind w:left="198" w:right="622"/>
      </w:pPr>
      <w:r>
        <w:t>In Australia, the Poisons Standard restricts access to poisons to protect public safety. Substances such as prescription medicines require appropriate medical management and monitoring, as they pose significant risks to the individuals who take them. It is not appropriate for a food to contain an ingredient that is restricted or prohibited by the Poisons Standard and be easily accessible to the general public with no medical oversight. Industry stakeholder response to the TGA consultation process provided no objection to products containing scheduled substance to be in scope of the declaration. In contrast, stakeholders were very surprised that enforcement measures could not be undertaken in a suitably prompt or efficient manner under the current legislation for such products. For information on why the lack of clarity in current legislation impedes timely and appropriate regulatory enforcement to address safety concern refer to</w:t>
      </w:r>
      <w:hyperlink w:anchor="_bookmark27" w:history="1">
        <w:r>
          <w:rPr>
            <w:color w:val="0000FF"/>
            <w:u w:val="single" w:color="0000FF"/>
          </w:rPr>
          <w:t xml:space="preserve"> </w:t>
        </w:r>
        <w:proofErr w:type="gramStart"/>
        <w:r>
          <w:rPr>
            <w:color w:val="0000FF"/>
            <w:u w:val="single" w:color="0000FF"/>
          </w:rPr>
          <w:t>The</w:t>
        </w:r>
        <w:proofErr w:type="gramEnd"/>
      </w:hyperlink>
      <w:r>
        <w:rPr>
          <w:color w:val="0000FF"/>
        </w:rPr>
        <w:t xml:space="preserve"> </w:t>
      </w:r>
      <w:hyperlink w:anchor="_bookmark27" w:history="1">
        <w:r>
          <w:rPr>
            <w:color w:val="0000FF"/>
            <w:u w:val="single" w:color="0000FF"/>
          </w:rPr>
          <w:t>problems with current legislation.</w:t>
        </w:r>
      </w:hyperlink>
    </w:p>
    <w:p w:rsidR="007D76BB" w:rsidRDefault="00D70D28">
      <w:pPr>
        <w:pStyle w:val="BodyText"/>
        <w:spacing w:before="182"/>
        <w:ind w:left="198" w:right="780" w:hanging="1"/>
      </w:pPr>
      <w:r>
        <w:t>The correlation between substances included in the WADC Prohibited List and those in a Schedule to the Poisons Standard, combined with the resulting increased risk posed by these substances to all athletes and other consumers, supports the implementation of Option 2A that will see these products subjected to an appropriate level of regulatory control to ensure their safety and quality.</w:t>
      </w:r>
    </w:p>
    <w:p w:rsidR="007D76BB" w:rsidRDefault="00D70D28">
      <w:pPr>
        <w:pStyle w:val="BodyText"/>
        <w:spacing w:before="179"/>
        <w:ind w:left="198" w:right="597"/>
      </w:pPr>
      <w:r>
        <w:t xml:space="preserve">Implementation of Option 2A will also ensure that medicinal dosage forms, which are generally used to deliver concentrated amounts of ‘active’ ingredients which, are made under the principles of good manufacturing process, ensuring their batch to batch consistency and reducing risks of potential overdosing. This aligns with the regulation of comparable goods under the therapeutic goods framework to ensure their quality, safety and efficacy. The rationale for including this criterion is provided in the section in this RIS entitled </w:t>
      </w:r>
      <w:hyperlink w:anchor="_bookmark24" w:history="1">
        <w:r>
          <w:rPr>
            <w:color w:val="0000FF"/>
            <w:u w:val="single" w:color="0000FF"/>
          </w:rPr>
          <w:t>Presentations of concern</w:t>
        </w:r>
      </w:hyperlink>
      <w:r>
        <w:rPr>
          <w:color w:val="0000FF"/>
        </w:rPr>
        <w:t xml:space="preserve"> </w:t>
      </w:r>
      <w:hyperlink w:anchor="_bookmark24" w:history="1">
        <w:r>
          <w:rPr>
            <w:color w:val="0000FF"/>
            <w:u w:val="single" w:color="0000FF"/>
          </w:rPr>
          <w:t>in sports supplements</w:t>
        </w:r>
        <w:r>
          <w:t>.</w:t>
        </w:r>
      </w:hyperlink>
    </w:p>
    <w:p w:rsidR="007D76BB" w:rsidRDefault="00D70D28">
      <w:pPr>
        <w:pStyle w:val="BodyText"/>
        <w:spacing w:before="180"/>
        <w:ind w:left="198" w:right="660"/>
      </w:pPr>
      <w:r>
        <w:t>Option 2A will enable timely and appropriate enforcement activity (such as removal of products from the market) by the TGA or State/Territory authorities where issues that pose a risk to public health are identified.</w:t>
      </w:r>
    </w:p>
    <w:p w:rsidR="007D76BB" w:rsidRDefault="00D70D28">
      <w:pPr>
        <w:pStyle w:val="BodyText"/>
        <w:spacing w:before="181"/>
        <w:ind w:left="198" w:right="633"/>
      </w:pPr>
      <w:r>
        <w:t xml:space="preserve">Option 2A will also assist consumers in making informed decisions </w:t>
      </w:r>
      <w:r>
        <w:lastRenderedPageBreak/>
        <w:t>and identifying potential risks or adverse events associated with products. This may also encourage consumers to discuss their supplement use with their health professionals, which was raised as a considerable benefit by health professionals who are concerned by the potential of some substances available in sports supplements to cause adverse effects, drug interactions and significant long-term health issues.</w:t>
      </w:r>
    </w:p>
    <w:p w:rsidR="007D76BB" w:rsidRDefault="00D70D28">
      <w:pPr>
        <w:pStyle w:val="Heading7"/>
        <w:spacing w:before="178"/>
        <w:ind w:right="999"/>
      </w:pPr>
      <w:r>
        <w:t>Effect of Option 2A on reducing the risk of athletes/consumers from WADC Prohibited substances</w:t>
      </w:r>
    </w:p>
    <w:p w:rsidR="007D76BB" w:rsidRDefault="00D70D28">
      <w:pPr>
        <w:pStyle w:val="BodyText"/>
        <w:spacing w:before="180"/>
        <w:ind w:left="198" w:right="796"/>
      </w:pPr>
      <w:r>
        <w:t>Implementation of Option 2A will mean that products containing WADC prohibited substances that are entered in the ARTG as medicines must comply with all applicable legislative requirements, including labelling requirements that all active ingredients are listed on the</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8" w:right="805"/>
      </w:pPr>
      <w:proofErr w:type="gramStart"/>
      <w:r>
        <w:t>product</w:t>
      </w:r>
      <w:proofErr w:type="gramEnd"/>
      <w:r>
        <w:t xml:space="preserve"> label in Australian approved terminology, which will give assurance to consumers in relation to the contents of these products. In addition, the timely and appropriate enforcement action by regulators that is enabled by the proposal will also reduce the risk to athletes.</w:t>
      </w:r>
    </w:p>
    <w:p w:rsidR="007D76BB" w:rsidRDefault="00D70D28">
      <w:pPr>
        <w:pStyle w:val="BodyText"/>
        <w:spacing w:before="182"/>
        <w:ind w:left="198" w:right="585"/>
      </w:pPr>
      <w:r>
        <w:t xml:space="preserve">In addition to WADC prohibited substances posing health risks for athletes, the presence of a WADC prohibited substance in a supplement may result in an anti-doping rule violation for an athlete, whether its use was intentional or unintentional. Under the WAD Code’s strict liability principle, athletes are ultimately responsible for any substance found in their body, regardless of how it got there. The National Anti-Doping Scheme applies to a broad range of athletes, including national and international level athletes, as well as local/recreational and junior athletes who participate under sporting administration bodies that have an anti-doping agreement with ASADA. In addition, a number of professions in Australia, such as the Australian </w:t>
      </w:r>
      <w:proofErr w:type="spellStart"/>
      <w:r>
        <w:t>Defence</w:t>
      </w:r>
      <w:proofErr w:type="spellEnd"/>
      <w:r>
        <w:t xml:space="preserve"> Force, have strict anti- doping policies, the violation of which can be grounds for dismissal.</w:t>
      </w:r>
    </w:p>
    <w:p w:rsidR="007D76BB" w:rsidRDefault="00D70D28">
      <w:pPr>
        <w:pStyle w:val="BodyText"/>
        <w:spacing w:before="179"/>
        <w:ind w:left="198" w:right="642"/>
      </w:pPr>
      <w:r>
        <w:t>Any measure that may reduce the instances of inadvertent doping and the devastating effects on athlete’s careers has been widely and heavily supported across the sporting community, including consumers, athletes, industry, sporting bodies and government agencies.</w:t>
      </w:r>
    </w:p>
    <w:p w:rsidR="007D76BB" w:rsidRDefault="00D70D28">
      <w:pPr>
        <w:pStyle w:val="BodyText"/>
        <w:spacing w:before="179"/>
        <w:ind w:left="198" w:right="648"/>
      </w:pPr>
      <w:r>
        <w:t>Some industry stakeholders expressed concern that inclusion of the WADC Prohibited List will create regulatory uncertainty for industry, as the list is subject to annual change and maintained by an entity external to the Australian Government. However, if implemented, Option 2A will adopt the WADC Prohibited List at a ‘point in time’. Any changes made by to the WADC Prohibited List after that point in time would require a specific update to the declaration in order to incorporate the revised list. These updates, if made, would be communicated widely.</w:t>
      </w:r>
    </w:p>
    <w:p w:rsidR="007D76BB" w:rsidRDefault="00D70D28">
      <w:pPr>
        <w:pStyle w:val="Heading7"/>
        <w:spacing w:before="181"/>
      </w:pPr>
      <w:r>
        <w:t>Limitations of Option 2A</w:t>
      </w:r>
    </w:p>
    <w:p w:rsidR="007D76BB" w:rsidRDefault="00D70D28">
      <w:pPr>
        <w:pStyle w:val="BodyText"/>
        <w:spacing w:before="181"/>
        <w:ind w:left="198" w:right="619"/>
      </w:pPr>
      <w:r>
        <w:t>Some manufacturers may choose to continue marketing their product with substances of concern (declared, or undeclared, on the label) and/or in medicinal dosage forms. However, the legal clarity provided by Option 2A, will mean that timely and appropriate enforcement activity can be undertaken by the TGA against these products. The TGA already has testing protocols in place for sports supplements and its own, in-house testing laboratories, and testing will be increased if Option 2A is implemented. While undeclared ingredients in supplements may continue to be a risk under any option discussed in this RIS, the clarified enforcement pathway and compliance actions under Option 2A will assist in providing a disincentive for such practices by manufacturers of products in Australia and encourage the development of a compliant industry in the long-term.</w:t>
      </w:r>
    </w:p>
    <w:p w:rsidR="007D76BB" w:rsidRDefault="00D70D28">
      <w:pPr>
        <w:pStyle w:val="BodyText"/>
        <w:spacing w:before="178"/>
        <w:ind w:left="197" w:right="733"/>
      </w:pPr>
      <w:r>
        <w:t xml:space="preserve">It is possible that consumers may purchase products no longer available in Australia online (under the Personal Importation Scheme) and thereby continue to be exposed to products with potential risks, as the safety of unregulated imported products is </w:t>
      </w:r>
      <w:r>
        <w:lastRenderedPageBreak/>
        <w:t xml:space="preserve">not known (refer to </w:t>
      </w:r>
      <w:hyperlink w:anchor="_bookmark5" w:history="1">
        <w:r>
          <w:rPr>
            <w:color w:val="0000FF"/>
            <w:u w:val="single" w:color="0000FF"/>
          </w:rPr>
          <w:t xml:space="preserve">Importation of food and medicines into </w:t>
        </w:r>
      </w:hyperlink>
      <w:r>
        <w:rPr>
          <w:color w:val="0000FF"/>
          <w:u w:val="single" w:color="0000FF"/>
        </w:rPr>
        <w:t>Australia</w:t>
      </w:r>
      <w:r>
        <w:rPr>
          <w:color w:val="0000FF"/>
        </w:rPr>
        <w:t xml:space="preserve"> </w:t>
      </w:r>
      <w:r>
        <w:t>for information on this scheme). Further, products with Schedule 4 or 8 substances require a prescription from an Australian registered medical practitioner in order for lawful import under the Personal Importation Scheme. If an import of therapeutic goods is made that does not comply with legislative requirements, the importation can be seized and destroyed and the importer may be charged.</w:t>
      </w:r>
    </w:p>
    <w:p w:rsidR="007D76BB" w:rsidRDefault="007D76BB">
      <w:pPr>
        <w:pStyle w:val="BodyText"/>
        <w:spacing w:before="8"/>
        <w:rPr>
          <w:sz w:val="30"/>
        </w:rPr>
      </w:pPr>
    </w:p>
    <w:p w:rsidR="007D76BB" w:rsidRDefault="00D70D28">
      <w:pPr>
        <w:pStyle w:val="Heading5"/>
        <w:rPr>
          <w:rFonts w:ascii="Arial"/>
        </w:rPr>
      </w:pPr>
      <w:bookmarkStart w:id="90" w:name="Impacts_of_Option_2A"/>
      <w:bookmarkStart w:id="91" w:name="_bookmark42"/>
      <w:bookmarkEnd w:id="90"/>
      <w:bookmarkEnd w:id="91"/>
      <w:r>
        <w:rPr>
          <w:rFonts w:ascii="Arial"/>
        </w:rPr>
        <w:t>Impacts of Option 2A</w:t>
      </w:r>
    </w:p>
    <w:p w:rsidR="007D76BB" w:rsidRDefault="00D70D28">
      <w:pPr>
        <w:spacing w:before="243"/>
        <w:ind w:left="198"/>
        <w:rPr>
          <w:b/>
          <w:sz w:val="26"/>
        </w:rPr>
      </w:pPr>
      <w:bookmarkStart w:id="92" w:name="Impacts_on_manufacturers_of_products_in_"/>
      <w:bookmarkEnd w:id="92"/>
      <w:r>
        <w:rPr>
          <w:b/>
          <w:color w:val="001422"/>
          <w:sz w:val="26"/>
        </w:rPr>
        <w:t>Impacts on manufacturers of products in scope of Option</w:t>
      </w:r>
      <w:r>
        <w:rPr>
          <w:b/>
          <w:color w:val="001422"/>
          <w:spacing w:val="-33"/>
          <w:sz w:val="26"/>
        </w:rPr>
        <w:t xml:space="preserve"> </w:t>
      </w:r>
      <w:r>
        <w:rPr>
          <w:b/>
          <w:color w:val="001422"/>
          <w:sz w:val="26"/>
        </w:rPr>
        <w:t>2A</w:t>
      </w:r>
    </w:p>
    <w:p w:rsidR="007D76BB" w:rsidRDefault="00D70D28">
      <w:pPr>
        <w:pStyle w:val="BodyText"/>
        <w:spacing w:before="119"/>
        <w:ind w:left="198" w:right="1356"/>
      </w:pPr>
      <w:r>
        <w:t>As there is not a national register for food products, it is difficult to determine how many products available in the Australian market may be affected by the</w:t>
      </w:r>
      <w:r>
        <w:rPr>
          <w:spacing w:val="-19"/>
        </w:rPr>
        <w:t xml:space="preserve"> </w:t>
      </w:r>
      <w:r>
        <w:t>proposal.</w:t>
      </w:r>
    </w:p>
    <w:p w:rsidR="007D76BB" w:rsidRDefault="00D70D28">
      <w:pPr>
        <w:pStyle w:val="BodyText"/>
        <w:spacing w:before="181"/>
        <w:ind w:left="198" w:right="657"/>
      </w:pPr>
      <w:r>
        <w:t>Only a small number of industry submissions to the public consultation provided quantitative estimates of the impacts of the proposal and, unfortunately, many of these were based on some of the misconceptions encountered with the public consultation paper (namely that over 70,000</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8" w:right="1411"/>
      </w:pPr>
      <w:proofErr w:type="gramStart"/>
      <w:r>
        <w:t>products</w:t>
      </w:r>
      <w:proofErr w:type="gramEnd"/>
      <w:r>
        <w:t xml:space="preserve"> lines, including protein powders and nutrition bars, would be impacted and an assumption that products would be</w:t>
      </w:r>
      <w:r>
        <w:rPr>
          <w:spacing w:val="-8"/>
        </w:rPr>
        <w:t xml:space="preserve"> </w:t>
      </w:r>
      <w:r>
        <w:t>‘banned’).</w:t>
      </w:r>
    </w:p>
    <w:p w:rsidR="007D76BB" w:rsidRDefault="00D70D28">
      <w:pPr>
        <w:pStyle w:val="BodyText"/>
        <w:spacing w:before="180"/>
        <w:ind w:left="198" w:right="734" w:hanging="1"/>
      </w:pPr>
      <w:r>
        <w:t>In developing their report (</w:t>
      </w:r>
      <w:hyperlink w:anchor="_bookmark67" w:history="1">
        <w:r>
          <w:rPr>
            <w:color w:val="0000FF"/>
            <w:u w:val="single" w:color="0000FF"/>
          </w:rPr>
          <w:t>Appendix 1</w:t>
        </w:r>
      </w:hyperlink>
      <w:r>
        <w:t>), Noetic conducted targeted stakeholder consultation to determine the extent of products that may be affected by the proposal. In their analysis of the sports supplement industry, Noetic determined that there were 3 major retailers in Australia (Nutrition warehouse, Elite Supplements and Australian Sports Nutrition), with a combined market share of 80% of the national proportion of sports supplements. Noetic visited each retailer’s website and collected details for all products listed under the categories of ‘pre- workout’, ‘fat burner’ and ‘post-workout’/’recovery’ products. Noetic removed duplicate products and then extrapolated the figures to represent all Australian retailers (that is, to include the remaining 20% market share). Table 14 provides the Noetic product datasets and the total number of products in each</w:t>
      </w:r>
      <w:r>
        <w:rPr>
          <w:spacing w:val="-9"/>
        </w:rPr>
        <w:t xml:space="preserve"> </w:t>
      </w:r>
      <w:r>
        <w:t>category.</w:t>
      </w:r>
    </w:p>
    <w:p w:rsidR="007D76BB" w:rsidRDefault="00D70D28">
      <w:pPr>
        <w:pStyle w:val="Heading7"/>
        <w:spacing w:before="181"/>
      </w:pPr>
      <w:r>
        <w:t>Table 14: Sports supplement product dataset extrapolated across all Australia retailers *</w:t>
      </w:r>
    </w:p>
    <w:p w:rsidR="007D76BB" w:rsidRDefault="007D76BB">
      <w:pPr>
        <w:pStyle w:val="BodyText"/>
        <w:spacing w:before="6"/>
        <w:rPr>
          <w:b/>
          <w:sz w:val="15"/>
        </w:rPr>
      </w:pPr>
    </w:p>
    <w:tbl>
      <w:tblPr>
        <w:tblW w:w="0" w:type="auto"/>
        <w:tblInd w:w="218" w:type="dxa"/>
        <w:tblBorders>
          <w:top w:val="single" w:sz="8" w:space="0" w:color="002C46"/>
          <w:left w:val="single" w:sz="8" w:space="0" w:color="002C46"/>
          <w:bottom w:val="single" w:sz="8" w:space="0" w:color="002C46"/>
          <w:right w:val="single" w:sz="8" w:space="0" w:color="002C46"/>
          <w:insideH w:val="single" w:sz="8" w:space="0" w:color="002C46"/>
          <w:insideV w:val="single" w:sz="8" w:space="0" w:color="002C46"/>
        </w:tblBorders>
        <w:tblLayout w:type="fixed"/>
        <w:tblCellMar>
          <w:left w:w="0" w:type="dxa"/>
          <w:right w:w="0" w:type="dxa"/>
        </w:tblCellMar>
        <w:tblLook w:val="01E0" w:firstRow="1" w:lastRow="1" w:firstColumn="1" w:lastColumn="1" w:noHBand="0" w:noVBand="0"/>
      </w:tblPr>
      <w:tblGrid>
        <w:gridCol w:w="2160"/>
        <w:gridCol w:w="2170"/>
        <w:gridCol w:w="1757"/>
        <w:gridCol w:w="1836"/>
        <w:gridCol w:w="1128"/>
      </w:tblGrid>
      <w:tr w:rsidR="007D76BB">
        <w:trPr>
          <w:trHeight w:val="1230"/>
        </w:trPr>
        <w:tc>
          <w:tcPr>
            <w:tcW w:w="2160" w:type="dxa"/>
            <w:tcBorders>
              <w:right w:val="nil"/>
            </w:tcBorders>
            <w:shd w:val="clear" w:color="auto" w:fill="006CA7"/>
          </w:tcPr>
          <w:p w:rsidR="007D76BB" w:rsidRDefault="00D70D28">
            <w:pPr>
              <w:pStyle w:val="TableParagraph"/>
              <w:spacing w:before="120"/>
              <w:ind w:left="107"/>
              <w:rPr>
                <w:rFonts w:ascii="Arial Black"/>
              </w:rPr>
            </w:pPr>
            <w:r>
              <w:rPr>
                <w:rFonts w:ascii="Arial Black"/>
                <w:color w:val="FFFFFF"/>
              </w:rPr>
              <w:t>Presentation</w:t>
            </w:r>
          </w:p>
        </w:tc>
        <w:tc>
          <w:tcPr>
            <w:tcW w:w="2170" w:type="dxa"/>
            <w:tcBorders>
              <w:left w:val="nil"/>
              <w:right w:val="nil"/>
            </w:tcBorders>
            <w:shd w:val="clear" w:color="auto" w:fill="006CA7"/>
          </w:tcPr>
          <w:p w:rsidR="007D76BB" w:rsidRDefault="00D70D28">
            <w:pPr>
              <w:pStyle w:val="TableParagraph"/>
              <w:spacing w:before="120"/>
              <w:ind w:left="117" w:right="761"/>
              <w:rPr>
                <w:rFonts w:ascii="Arial Black"/>
              </w:rPr>
            </w:pPr>
            <w:r>
              <w:rPr>
                <w:rFonts w:ascii="Arial Black"/>
                <w:color w:val="FFFFFF"/>
              </w:rPr>
              <w:t>Fat Burner Products</w:t>
            </w:r>
          </w:p>
        </w:tc>
        <w:tc>
          <w:tcPr>
            <w:tcW w:w="1757" w:type="dxa"/>
            <w:tcBorders>
              <w:left w:val="nil"/>
              <w:right w:val="nil"/>
            </w:tcBorders>
            <w:shd w:val="clear" w:color="auto" w:fill="006CA7"/>
          </w:tcPr>
          <w:p w:rsidR="007D76BB" w:rsidRDefault="00D70D28">
            <w:pPr>
              <w:pStyle w:val="TableParagraph"/>
              <w:spacing w:before="120"/>
              <w:ind w:left="117" w:right="544"/>
              <w:rPr>
                <w:rFonts w:ascii="Arial Black"/>
              </w:rPr>
            </w:pPr>
            <w:r>
              <w:rPr>
                <w:rFonts w:ascii="Arial Black"/>
                <w:color w:val="FFFFFF"/>
              </w:rPr>
              <w:t>Post- Workout Products</w:t>
            </w:r>
          </w:p>
        </w:tc>
        <w:tc>
          <w:tcPr>
            <w:tcW w:w="1836" w:type="dxa"/>
            <w:tcBorders>
              <w:left w:val="nil"/>
              <w:right w:val="nil"/>
            </w:tcBorders>
            <w:shd w:val="clear" w:color="auto" w:fill="006CA7"/>
          </w:tcPr>
          <w:p w:rsidR="007D76BB" w:rsidRDefault="00D70D28">
            <w:pPr>
              <w:pStyle w:val="TableParagraph"/>
              <w:spacing w:before="120"/>
              <w:ind w:left="117" w:right="220"/>
              <w:rPr>
                <w:rFonts w:ascii="Arial Black"/>
              </w:rPr>
            </w:pPr>
            <w:r>
              <w:rPr>
                <w:rFonts w:ascii="Arial Black"/>
                <w:color w:val="FFFFFF"/>
              </w:rPr>
              <w:t>Pre-Workout Products</w:t>
            </w:r>
          </w:p>
        </w:tc>
        <w:tc>
          <w:tcPr>
            <w:tcW w:w="1128" w:type="dxa"/>
            <w:tcBorders>
              <w:left w:val="nil"/>
            </w:tcBorders>
            <w:shd w:val="clear" w:color="auto" w:fill="006CA7"/>
          </w:tcPr>
          <w:p w:rsidR="007D76BB" w:rsidRDefault="00D70D28">
            <w:pPr>
              <w:pStyle w:val="TableParagraph"/>
              <w:spacing w:before="120"/>
              <w:ind w:left="117"/>
              <w:rPr>
                <w:rFonts w:ascii="Arial Black"/>
              </w:rPr>
            </w:pPr>
            <w:r>
              <w:rPr>
                <w:rFonts w:ascii="Arial Black"/>
                <w:color w:val="FFFFFF"/>
              </w:rPr>
              <w:t>Total</w:t>
            </w:r>
          </w:p>
        </w:tc>
      </w:tr>
      <w:tr w:rsidR="007D76BB">
        <w:trPr>
          <w:trHeight w:val="815"/>
        </w:trPr>
        <w:tc>
          <w:tcPr>
            <w:tcW w:w="2160" w:type="dxa"/>
          </w:tcPr>
          <w:p w:rsidR="007D76BB" w:rsidRDefault="00D70D28">
            <w:pPr>
              <w:pStyle w:val="TableParagraph"/>
              <w:spacing w:before="119"/>
              <w:ind w:left="107" w:right="327"/>
              <w:rPr>
                <w:b/>
                <w:sz w:val="14"/>
              </w:rPr>
            </w:pPr>
            <w:r>
              <w:rPr>
                <w:b/>
              </w:rPr>
              <w:t>Powders, liquids and novel foods</w:t>
            </w:r>
            <w:r>
              <w:rPr>
                <w:b/>
                <w:position w:val="5"/>
                <w:sz w:val="14"/>
              </w:rPr>
              <w:t>#</w:t>
            </w:r>
          </w:p>
        </w:tc>
        <w:tc>
          <w:tcPr>
            <w:tcW w:w="2170" w:type="dxa"/>
          </w:tcPr>
          <w:p w:rsidR="007D76BB" w:rsidRDefault="007D76BB">
            <w:pPr>
              <w:pStyle w:val="TableParagraph"/>
              <w:spacing w:before="1"/>
              <w:rPr>
                <w:b/>
                <w:sz w:val="32"/>
              </w:rPr>
            </w:pPr>
          </w:p>
          <w:p w:rsidR="007D76BB" w:rsidRDefault="00D70D28">
            <w:pPr>
              <w:pStyle w:val="TableParagraph"/>
              <w:ind w:left="107"/>
            </w:pPr>
            <w:r>
              <w:t>225</w:t>
            </w:r>
          </w:p>
        </w:tc>
        <w:tc>
          <w:tcPr>
            <w:tcW w:w="1757" w:type="dxa"/>
          </w:tcPr>
          <w:p w:rsidR="007D76BB" w:rsidRDefault="007D76BB">
            <w:pPr>
              <w:pStyle w:val="TableParagraph"/>
              <w:spacing w:before="1"/>
              <w:rPr>
                <w:b/>
                <w:sz w:val="32"/>
              </w:rPr>
            </w:pPr>
          </w:p>
          <w:p w:rsidR="007D76BB" w:rsidRDefault="00D70D28">
            <w:pPr>
              <w:pStyle w:val="TableParagraph"/>
              <w:ind w:left="107"/>
            </w:pPr>
            <w:r>
              <w:t>160</w:t>
            </w:r>
          </w:p>
        </w:tc>
        <w:tc>
          <w:tcPr>
            <w:tcW w:w="1836" w:type="dxa"/>
          </w:tcPr>
          <w:p w:rsidR="007D76BB" w:rsidRDefault="007D76BB">
            <w:pPr>
              <w:pStyle w:val="TableParagraph"/>
              <w:spacing w:before="1"/>
              <w:rPr>
                <w:b/>
                <w:sz w:val="32"/>
              </w:rPr>
            </w:pPr>
          </w:p>
          <w:p w:rsidR="007D76BB" w:rsidRDefault="00D70D28">
            <w:pPr>
              <w:pStyle w:val="TableParagraph"/>
              <w:ind w:left="106"/>
            </w:pPr>
            <w:r>
              <w:t>271</w:t>
            </w:r>
          </w:p>
        </w:tc>
        <w:tc>
          <w:tcPr>
            <w:tcW w:w="1128" w:type="dxa"/>
          </w:tcPr>
          <w:p w:rsidR="007D76BB" w:rsidRDefault="00D70D28">
            <w:pPr>
              <w:pStyle w:val="TableParagraph"/>
              <w:spacing w:before="119"/>
              <w:ind w:left="106"/>
            </w:pPr>
            <w:r>
              <w:t>656</w:t>
            </w:r>
          </w:p>
        </w:tc>
      </w:tr>
      <w:tr w:rsidR="007D76BB">
        <w:trPr>
          <w:trHeight w:val="558"/>
        </w:trPr>
        <w:tc>
          <w:tcPr>
            <w:tcW w:w="2160" w:type="dxa"/>
          </w:tcPr>
          <w:p w:rsidR="007D76BB" w:rsidRDefault="00D70D28">
            <w:pPr>
              <w:pStyle w:val="TableParagraph"/>
              <w:spacing w:before="119"/>
              <w:ind w:left="107"/>
              <w:rPr>
                <w:b/>
              </w:rPr>
            </w:pPr>
            <w:r>
              <w:rPr>
                <w:b/>
              </w:rPr>
              <w:t>Capsule/tablet/pill</w:t>
            </w:r>
          </w:p>
        </w:tc>
        <w:tc>
          <w:tcPr>
            <w:tcW w:w="2170" w:type="dxa"/>
          </w:tcPr>
          <w:p w:rsidR="007D76BB" w:rsidRDefault="00D70D28">
            <w:pPr>
              <w:pStyle w:val="TableParagraph"/>
              <w:spacing w:before="119"/>
              <w:ind w:left="107"/>
            </w:pPr>
            <w:r>
              <w:t>114</w:t>
            </w:r>
          </w:p>
        </w:tc>
        <w:tc>
          <w:tcPr>
            <w:tcW w:w="1757" w:type="dxa"/>
          </w:tcPr>
          <w:p w:rsidR="007D76BB" w:rsidRDefault="00D70D28">
            <w:pPr>
              <w:pStyle w:val="TableParagraph"/>
              <w:spacing w:before="119"/>
              <w:ind w:left="107"/>
            </w:pPr>
            <w:r>
              <w:t>9</w:t>
            </w:r>
          </w:p>
        </w:tc>
        <w:tc>
          <w:tcPr>
            <w:tcW w:w="1836" w:type="dxa"/>
          </w:tcPr>
          <w:p w:rsidR="007D76BB" w:rsidRDefault="00D70D28">
            <w:pPr>
              <w:pStyle w:val="TableParagraph"/>
              <w:spacing w:before="119"/>
              <w:ind w:left="107"/>
            </w:pPr>
            <w:r>
              <w:t>9</w:t>
            </w:r>
          </w:p>
        </w:tc>
        <w:tc>
          <w:tcPr>
            <w:tcW w:w="1128" w:type="dxa"/>
          </w:tcPr>
          <w:p w:rsidR="007D76BB" w:rsidRDefault="00D70D28">
            <w:pPr>
              <w:pStyle w:val="TableParagraph"/>
              <w:spacing w:before="119"/>
              <w:ind w:left="107"/>
            </w:pPr>
            <w:r>
              <w:t>132</w:t>
            </w:r>
          </w:p>
        </w:tc>
      </w:tr>
      <w:tr w:rsidR="007D76BB">
        <w:trPr>
          <w:trHeight w:val="558"/>
        </w:trPr>
        <w:tc>
          <w:tcPr>
            <w:tcW w:w="7923" w:type="dxa"/>
            <w:gridSpan w:val="4"/>
            <w:shd w:val="clear" w:color="auto" w:fill="D9D9D9"/>
          </w:tcPr>
          <w:p w:rsidR="007D76BB" w:rsidRDefault="00D70D28">
            <w:pPr>
              <w:pStyle w:val="TableParagraph"/>
              <w:spacing w:before="119"/>
              <w:ind w:left="107"/>
              <w:rPr>
                <w:b/>
              </w:rPr>
            </w:pPr>
            <w:r>
              <w:rPr>
                <w:b/>
              </w:rPr>
              <w:t>Total products</w:t>
            </w:r>
          </w:p>
        </w:tc>
        <w:tc>
          <w:tcPr>
            <w:tcW w:w="1128" w:type="dxa"/>
            <w:shd w:val="clear" w:color="auto" w:fill="D9D9D9"/>
          </w:tcPr>
          <w:p w:rsidR="007D76BB" w:rsidRDefault="00D70D28">
            <w:pPr>
              <w:pStyle w:val="TableParagraph"/>
              <w:spacing w:before="119"/>
              <w:ind w:left="107"/>
            </w:pPr>
            <w:r>
              <w:t>788</w:t>
            </w:r>
          </w:p>
        </w:tc>
      </w:tr>
    </w:tbl>
    <w:p w:rsidR="007D76BB" w:rsidRDefault="00D70D28">
      <w:pPr>
        <w:ind w:left="198"/>
        <w:rPr>
          <w:sz w:val="17"/>
        </w:rPr>
      </w:pPr>
      <w:r>
        <w:rPr>
          <w:sz w:val="17"/>
        </w:rPr>
        <w:t xml:space="preserve">*extrapolated from table 4 of Noetic Report </w:t>
      </w:r>
      <w:hyperlink w:anchor="_bookmark67" w:history="1">
        <w:r>
          <w:rPr>
            <w:sz w:val="17"/>
          </w:rPr>
          <w:t>(</w:t>
        </w:r>
        <w:r>
          <w:rPr>
            <w:color w:val="0000FF"/>
            <w:sz w:val="17"/>
            <w:u w:val="single" w:color="0000FF"/>
          </w:rPr>
          <w:t>Appendix 1</w:t>
        </w:r>
      </w:hyperlink>
      <w:r>
        <w:rPr>
          <w:sz w:val="17"/>
        </w:rPr>
        <w:t>)</w:t>
      </w:r>
    </w:p>
    <w:p w:rsidR="007D76BB" w:rsidRDefault="00D70D28">
      <w:pPr>
        <w:ind w:left="198"/>
        <w:rPr>
          <w:sz w:val="17"/>
        </w:rPr>
      </w:pPr>
      <w:r>
        <w:rPr>
          <w:position w:val="4"/>
          <w:sz w:val="11"/>
        </w:rPr>
        <w:t>#</w:t>
      </w:r>
      <w:r>
        <w:rPr>
          <w:sz w:val="17"/>
        </w:rPr>
        <w:t>liquids, novel foods represent only 7% of product total</w:t>
      </w:r>
    </w:p>
    <w:p w:rsidR="007D76BB" w:rsidRDefault="00D70D28">
      <w:pPr>
        <w:pStyle w:val="BodyText"/>
        <w:spacing w:before="120"/>
        <w:ind w:left="198" w:right="596"/>
      </w:pPr>
      <w:r>
        <w:t>From the Noetic Report product dataset (Table 14 above), 132 sports supplement products presented as tablets/capsules/pills may be in scope of the proposal, however, a number of these products may already be included in the ARTG. Of the 656 products presented in forms other than tablets/capsules/pills, these will only be in scope of the proposal if they contain ingredients of concern. The number of potential products affected, based on likely action undertaken by manufacturers is explored further below.</w:t>
      </w:r>
    </w:p>
    <w:p w:rsidR="007D76BB" w:rsidRDefault="007D76BB">
      <w:pPr>
        <w:pStyle w:val="BodyText"/>
        <w:spacing w:before="6"/>
        <w:rPr>
          <w:sz w:val="20"/>
        </w:rPr>
      </w:pPr>
    </w:p>
    <w:p w:rsidR="007D76BB" w:rsidRDefault="00D70D28">
      <w:pPr>
        <w:pStyle w:val="Heading5"/>
      </w:pPr>
      <w:bookmarkStart w:id="93" w:name="_bookmark43"/>
      <w:bookmarkEnd w:id="93"/>
      <w:r>
        <w:rPr>
          <w:color w:val="001422"/>
        </w:rPr>
        <w:t>Potential action for manufacturers/owner of products in scope</w:t>
      </w:r>
    </w:p>
    <w:p w:rsidR="007D76BB" w:rsidRDefault="00D70D28">
      <w:pPr>
        <w:pStyle w:val="BodyText"/>
        <w:spacing w:before="120"/>
        <w:ind w:left="197" w:right="675"/>
      </w:pPr>
      <w:r>
        <w:t>If Option 2A is implemented, manufacturers/owners of affected products can choose from the following pathways to establish that their product would be regulated as a food or a therapeutic good, as applicable:</w:t>
      </w:r>
    </w:p>
    <w:p w:rsidR="007D76BB" w:rsidRDefault="00D70D28">
      <w:pPr>
        <w:pStyle w:val="ListParagraph"/>
        <w:numPr>
          <w:ilvl w:val="0"/>
          <w:numId w:val="72"/>
        </w:numPr>
        <w:tabs>
          <w:tab w:val="left" w:pos="557"/>
          <w:tab w:val="left" w:pos="559"/>
        </w:tabs>
        <w:spacing w:before="179"/>
        <w:ind w:left="558" w:hanging="362"/>
      </w:pPr>
      <w:r>
        <w:t>modify their product, as required, to be regulated as a</w:t>
      </w:r>
      <w:r>
        <w:rPr>
          <w:spacing w:val="-10"/>
        </w:rPr>
        <w:t xml:space="preserve"> </w:t>
      </w:r>
      <w:r>
        <w:t>food:</w:t>
      </w:r>
    </w:p>
    <w:p w:rsidR="007D76BB" w:rsidRDefault="00D70D28">
      <w:pPr>
        <w:pStyle w:val="ListParagraph"/>
        <w:numPr>
          <w:ilvl w:val="1"/>
          <w:numId w:val="72"/>
        </w:numPr>
        <w:tabs>
          <w:tab w:val="left" w:pos="1278"/>
          <w:tab w:val="left" w:pos="1279"/>
        </w:tabs>
        <w:spacing w:before="181"/>
        <w:ind w:right="1142"/>
      </w:pPr>
      <w:r>
        <w:t>by changing the product claims to not refer to performance in sport, exercise or other recreational</w:t>
      </w:r>
      <w:r>
        <w:rPr>
          <w:spacing w:val="-3"/>
        </w:rPr>
        <w:t xml:space="preserve"> </w:t>
      </w:r>
      <w:r>
        <w:t>activity</w:t>
      </w:r>
    </w:p>
    <w:p w:rsidR="007D76BB" w:rsidRDefault="00D70D28">
      <w:pPr>
        <w:pStyle w:val="ListParagraph"/>
        <w:numPr>
          <w:ilvl w:val="1"/>
          <w:numId w:val="72"/>
        </w:numPr>
        <w:tabs>
          <w:tab w:val="left" w:pos="1278"/>
          <w:tab w:val="left" w:pos="1279"/>
        </w:tabs>
        <w:ind w:hanging="361"/>
      </w:pPr>
      <w:r>
        <w:t>by changing the product formulation to remove ingredients in</w:t>
      </w:r>
      <w:r>
        <w:rPr>
          <w:spacing w:val="-15"/>
        </w:rPr>
        <w:t xml:space="preserve"> </w:t>
      </w:r>
      <w:r>
        <w:t>scope</w:t>
      </w:r>
    </w:p>
    <w:p w:rsidR="007D76BB" w:rsidRDefault="00D70D28">
      <w:pPr>
        <w:pStyle w:val="ListParagraph"/>
        <w:numPr>
          <w:ilvl w:val="1"/>
          <w:numId w:val="72"/>
        </w:numPr>
        <w:tabs>
          <w:tab w:val="left" w:pos="1278"/>
          <w:tab w:val="left" w:pos="1279"/>
        </w:tabs>
        <w:spacing w:before="179"/>
        <w:ind w:right="1614"/>
      </w:pPr>
      <w:r>
        <w:t xml:space="preserve">by changing the product dosage form from </w:t>
      </w:r>
      <w:r>
        <w:lastRenderedPageBreak/>
        <w:t>tablet, capsules or pills to more traditional food</w:t>
      </w:r>
      <w:r>
        <w:rPr>
          <w:spacing w:val="-3"/>
        </w:rPr>
        <w:t xml:space="preserve"> </w:t>
      </w:r>
      <w:r>
        <w:t>presentations</w:t>
      </w:r>
    </w:p>
    <w:p w:rsidR="007D76BB" w:rsidRDefault="00D70D28">
      <w:pPr>
        <w:pStyle w:val="ListParagraph"/>
        <w:numPr>
          <w:ilvl w:val="0"/>
          <w:numId w:val="72"/>
        </w:numPr>
        <w:tabs>
          <w:tab w:val="left" w:pos="558"/>
          <w:tab w:val="left" w:pos="559"/>
        </w:tabs>
        <w:ind w:left="558" w:right="1751"/>
      </w:pPr>
      <w:r>
        <w:t>list or register their product in the ARTG and comply with all relevant regulatory requirements for therapeutic</w:t>
      </w:r>
      <w:r>
        <w:rPr>
          <w:spacing w:val="-2"/>
        </w:rPr>
        <w:t xml:space="preserve"> </w:t>
      </w:r>
      <w:r>
        <w:t>goods</w:t>
      </w:r>
    </w:p>
    <w:p w:rsidR="007D76BB" w:rsidRDefault="00D70D28">
      <w:pPr>
        <w:pStyle w:val="ListParagraph"/>
        <w:numPr>
          <w:ilvl w:val="0"/>
          <w:numId w:val="72"/>
        </w:numPr>
        <w:tabs>
          <w:tab w:val="left" w:pos="558"/>
          <w:tab w:val="left" w:pos="559"/>
        </w:tabs>
        <w:ind w:left="558"/>
      </w:pPr>
      <w:r>
        <w:t>withdraw their product from the</w:t>
      </w:r>
      <w:r>
        <w:rPr>
          <w:spacing w:val="-13"/>
        </w:rPr>
        <w:t xml:space="preserve"> </w:t>
      </w:r>
      <w:r>
        <w:t>market</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8" w:right="599"/>
      </w:pPr>
      <w:r>
        <w:t>Reformulation of a product in scope would mean a product avoids being affected by this proposal. The intent of this proposal is not to include as many products as possible, rather it is to make clear that products that contain an ingredient that is not appropriate for a sports supplement food and that are presented in a form associated with a medicine are appropriately regulated as medicines.</w:t>
      </w:r>
    </w:p>
    <w:p w:rsidR="007D76BB" w:rsidRDefault="00D70D28">
      <w:pPr>
        <w:pStyle w:val="BodyText"/>
        <w:spacing w:before="182"/>
        <w:ind w:left="198" w:right="1049"/>
      </w:pPr>
      <w:r>
        <w:t>The Noetic Report (</w:t>
      </w:r>
      <w:hyperlink w:anchor="_bookmark67" w:history="1">
        <w:r>
          <w:rPr>
            <w:color w:val="0000FF"/>
            <w:u w:val="single" w:color="0000FF"/>
          </w:rPr>
          <w:t>Appendix 1</w:t>
        </w:r>
      </w:hyperlink>
      <w:r>
        <w:t>) states that industry mostly indicated a preference to avoid entering the therapeutic goods regulatory framework and so are more likely to change their product to avoid being declared a therapeutic good or withdraw their product from the Australian market.</w:t>
      </w:r>
    </w:p>
    <w:p w:rsidR="007D76BB" w:rsidRDefault="00D70D28">
      <w:pPr>
        <w:pStyle w:val="BodyText"/>
        <w:spacing w:before="180"/>
        <w:ind w:left="198" w:right="1344"/>
      </w:pPr>
      <w:r>
        <w:t xml:space="preserve">The regulatory impact on industry based on the potential pathways they choose for their product are </w:t>
      </w:r>
      <w:proofErr w:type="spellStart"/>
      <w:r>
        <w:t>analysed</w:t>
      </w:r>
      <w:proofErr w:type="spellEnd"/>
      <w:r>
        <w:t xml:space="preserve"> below.</w:t>
      </w:r>
    </w:p>
    <w:p w:rsidR="007D76BB" w:rsidRDefault="00D70D28">
      <w:pPr>
        <w:pStyle w:val="Heading7"/>
      </w:pPr>
      <w:r>
        <w:t>Change the claims of the product to be regulated as a food</w:t>
      </w:r>
    </w:p>
    <w:p w:rsidR="007D76BB" w:rsidRDefault="00D70D28">
      <w:pPr>
        <w:spacing w:before="179"/>
        <w:ind w:left="198" w:right="595"/>
      </w:pPr>
      <w:r>
        <w:t>Manufacturers may choose to change the claims for the product so that the product is not “</w:t>
      </w:r>
      <w:r>
        <w:rPr>
          <w:i/>
        </w:rPr>
        <w:t>used, advertised or presented for supply to improve or maintain physical or mental performance in sport, exercise or other recreational activity</w:t>
      </w:r>
      <w:r>
        <w:t>” and therefore not fall in scope of the proposed declaration.</w:t>
      </w:r>
    </w:p>
    <w:p w:rsidR="007D76BB" w:rsidRDefault="00D70D28">
      <w:pPr>
        <w:pStyle w:val="BodyText"/>
        <w:spacing w:before="179"/>
        <w:ind w:left="198" w:right="633"/>
      </w:pPr>
      <w:r>
        <w:t>However, in their analysis of the sports supplement industry, the Noetic Report (</w:t>
      </w:r>
      <w:hyperlink w:anchor="_bookmark67" w:history="1">
        <w:r>
          <w:rPr>
            <w:color w:val="0000FF"/>
            <w:u w:val="single" w:color="0000FF"/>
          </w:rPr>
          <w:t>Appendix 1</w:t>
        </w:r>
      </w:hyperlink>
      <w:r>
        <w:t>) states that industry consider that a product’s claims are fundamental to the marketing appeal of the product and therefore changing the product’s claims is not an attractive option. Therefore, the impact of this pathway has not been assessed, as it is unlikely any manufacturers will choose to change their product’s marketing claims.</w:t>
      </w:r>
    </w:p>
    <w:p w:rsidR="007D76BB" w:rsidRDefault="00D70D28">
      <w:pPr>
        <w:pStyle w:val="Heading7"/>
        <w:spacing w:before="182"/>
      </w:pPr>
      <w:r>
        <w:t>Changing the product formulation (remove ingredients in scope) to be regulated as a food</w:t>
      </w:r>
    </w:p>
    <w:p w:rsidR="007D76BB" w:rsidRDefault="00D70D28">
      <w:pPr>
        <w:pStyle w:val="BodyText"/>
        <w:spacing w:before="179"/>
        <w:ind w:left="198" w:right="931"/>
      </w:pPr>
      <w:r>
        <w:t xml:space="preserve">Manufacturers of in-scope products can choose to remove ingredients from the products that are in the scope of the proposal (i.e. substances in the Poisons Standard, WADC Prohibited Substance List or Relevant substance list). </w:t>
      </w:r>
      <w:hyperlink w:anchor="_bookmark88" w:history="1">
        <w:r>
          <w:rPr>
            <w:color w:val="0000FF"/>
            <w:u w:val="single" w:color="0000FF"/>
          </w:rPr>
          <w:t>Appendix 2</w:t>
        </w:r>
        <w:r>
          <w:rPr>
            <w:color w:val="0000FF"/>
          </w:rPr>
          <w:t xml:space="preserve"> </w:t>
        </w:r>
      </w:hyperlink>
      <w:r>
        <w:t>provides examples of ingredients included in sports supplements and some of those that would be impacted by this proposal.</w:t>
      </w:r>
    </w:p>
    <w:p w:rsidR="007D76BB" w:rsidRDefault="00D70D28">
      <w:pPr>
        <w:pStyle w:val="BodyText"/>
        <w:spacing w:before="180"/>
        <w:ind w:left="197" w:right="610"/>
      </w:pPr>
      <w:r>
        <w:t>In the case of food products containing substances in the Poisons Standard, it should be noted that while removing these ingredients may be seen as a regulatory impost to industry, the majority of these products are likely to be considered as either unapproved therapeutic goods or non-compliant foods under current legislation. Access restrictions on products containing scheduled substances should already be in place and it is therefore not considered an increased burden if such products are clarified in law to fall under the therapeutic goods regulatory framework.</w:t>
      </w:r>
    </w:p>
    <w:p w:rsidR="007D76BB" w:rsidRDefault="00D70D28">
      <w:pPr>
        <w:pStyle w:val="BodyText"/>
        <w:spacing w:before="179"/>
        <w:ind w:left="197" w:right="626"/>
      </w:pPr>
      <w:r>
        <w:t xml:space="preserve">Reformulation of the product to avoid being affected under Option 2A will be product dependent. It is likely that ‘pre-workout supplements’ and ‘weight loss products’ are the product range most likely to be affected, as these products have often been identified as products containing ingredients of concern (2; 5; 57). Industry </w:t>
      </w:r>
      <w:r>
        <w:lastRenderedPageBreak/>
        <w:t>advised Noetic (</w:t>
      </w:r>
      <w:hyperlink w:anchor="_bookmark67" w:history="1">
        <w:r>
          <w:rPr>
            <w:color w:val="0000FF"/>
            <w:u w:val="single" w:color="0000FF"/>
          </w:rPr>
          <w:t>Appendix 1</w:t>
        </w:r>
      </w:hyperlink>
      <w:r>
        <w:t>) that, in relation to products presented as powders, it is most likely that pre-workout powder products contain ingredients of</w:t>
      </w:r>
      <w:r>
        <w:rPr>
          <w:spacing w:val="-6"/>
        </w:rPr>
        <w:t xml:space="preserve"> </w:t>
      </w:r>
      <w:r>
        <w:t>concern.</w:t>
      </w:r>
    </w:p>
    <w:p w:rsidR="007D76BB" w:rsidRDefault="00D70D28">
      <w:pPr>
        <w:pStyle w:val="BodyText"/>
        <w:spacing w:before="181"/>
        <w:ind w:left="198" w:right="637"/>
      </w:pPr>
      <w:r>
        <w:t>Industry also advised Noetic that non-premium products, that generally have low profit margins and are presented as powders or other traditional food presentations, would most likely be reformulated to remove the ingredients in question. The key driver of this response was the additional costs that would arise from GMP manufacturing relative to the high price elasticity of demand and existing low profit margins, meaning increases in the Costs of Good Sold (COGS) would need to be passed onto consumers.</w:t>
      </w:r>
    </w:p>
    <w:p w:rsidR="007D76BB" w:rsidRDefault="00D70D28">
      <w:pPr>
        <w:pStyle w:val="BodyText"/>
        <w:spacing w:before="180"/>
        <w:ind w:left="198" w:right="658"/>
      </w:pPr>
      <w:r>
        <w:t>In products with presentation other than tablets, capsules and pills, Noetic estimate 20% of pre- workout products, 10% of fat burner and 5% of post-workout supplements are likely to reformulate to remove ingredients in scope of the proposal and be regulated as foods (see Table</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ListParagraph"/>
        <w:numPr>
          <w:ilvl w:val="0"/>
          <w:numId w:val="49"/>
        </w:numPr>
        <w:tabs>
          <w:tab w:val="left" w:pos="621"/>
        </w:tabs>
        <w:spacing w:before="101"/>
        <w:ind w:right="744" w:firstLine="0"/>
      </w:pPr>
      <w:r>
        <w:t>These figures correlate with the 2016 LGC study (2) reporting 20% of supplements have ingredients of concern and that pre-workout supplements and weight loss products are the products most likely to be affected (2; 5; 57). It is assumed, that that the remainder of these products do not contain ingredients of concern and will not be affected by the proposal and can appropriately be regulated as</w:t>
      </w:r>
      <w:r>
        <w:rPr>
          <w:spacing w:val="-4"/>
        </w:rPr>
        <w:t xml:space="preserve"> </w:t>
      </w:r>
      <w:r>
        <w:t>foods.</w:t>
      </w:r>
    </w:p>
    <w:p w:rsidR="007D76BB" w:rsidRDefault="00D70D28">
      <w:pPr>
        <w:pStyle w:val="Heading7"/>
        <w:spacing w:before="182"/>
        <w:ind w:right="1256"/>
      </w:pPr>
      <w:r>
        <w:t>Table 15: Products likely reformulate (ingredients) to be regulated as foods* under Option 2A</w:t>
      </w:r>
    </w:p>
    <w:p w:rsidR="007D76BB" w:rsidRDefault="007D76BB">
      <w:pPr>
        <w:pStyle w:val="BodyText"/>
        <w:spacing w:before="4"/>
        <w:rPr>
          <w:b/>
          <w:sz w:val="15"/>
        </w:rPr>
      </w:pPr>
    </w:p>
    <w:tbl>
      <w:tblPr>
        <w:tblW w:w="0" w:type="auto"/>
        <w:tblInd w:w="218" w:type="dxa"/>
        <w:tblBorders>
          <w:top w:val="single" w:sz="8" w:space="0" w:color="002C46"/>
          <w:left w:val="single" w:sz="8" w:space="0" w:color="002C46"/>
          <w:bottom w:val="single" w:sz="8" w:space="0" w:color="002C46"/>
          <w:right w:val="single" w:sz="8" w:space="0" w:color="002C46"/>
          <w:insideH w:val="single" w:sz="8" w:space="0" w:color="002C46"/>
          <w:insideV w:val="single" w:sz="8" w:space="0" w:color="002C46"/>
        </w:tblBorders>
        <w:tblLayout w:type="fixed"/>
        <w:tblCellMar>
          <w:left w:w="0" w:type="dxa"/>
          <w:right w:w="0" w:type="dxa"/>
        </w:tblCellMar>
        <w:tblLook w:val="01E0" w:firstRow="1" w:lastRow="1" w:firstColumn="1" w:lastColumn="1" w:noHBand="0" w:noVBand="0"/>
      </w:tblPr>
      <w:tblGrid>
        <w:gridCol w:w="2160"/>
        <w:gridCol w:w="2170"/>
        <w:gridCol w:w="1757"/>
        <w:gridCol w:w="1836"/>
        <w:gridCol w:w="1128"/>
      </w:tblGrid>
      <w:tr w:rsidR="007D76BB">
        <w:trPr>
          <w:trHeight w:val="1230"/>
        </w:trPr>
        <w:tc>
          <w:tcPr>
            <w:tcW w:w="2160" w:type="dxa"/>
            <w:tcBorders>
              <w:right w:val="nil"/>
            </w:tcBorders>
            <w:shd w:val="clear" w:color="auto" w:fill="006CA7"/>
          </w:tcPr>
          <w:p w:rsidR="007D76BB" w:rsidRDefault="00D70D28">
            <w:pPr>
              <w:pStyle w:val="TableParagraph"/>
              <w:spacing w:before="120"/>
              <w:ind w:left="107"/>
              <w:rPr>
                <w:rFonts w:ascii="Arial Black"/>
              </w:rPr>
            </w:pPr>
            <w:r>
              <w:rPr>
                <w:rFonts w:ascii="Arial Black"/>
                <w:color w:val="FFFFFF"/>
              </w:rPr>
              <w:t>Presentation</w:t>
            </w:r>
          </w:p>
        </w:tc>
        <w:tc>
          <w:tcPr>
            <w:tcW w:w="2170" w:type="dxa"/>
            <w:tcBorders>
              <w:left w:val="nil"/>
              <w:right w:val="nil"/>
            </w:tcBorders>
            <w:shd w:val="clear" w:color="auto" w:fill="006CA7"/>
          </w:tcPr>
          <w:p w:rsidR="007D76BB" w:rsidRDefault="00D70D28">
            <w:pPr>
              <w:pStyle w:val="TableParagraph"/>
              <w:spacing w:before="120"/>
              <w:ind w:left="117" w:right="761"/>
              <w:rPr>
                <w:rFonts w:ascii="Arial Black"/>
              </w:rPr>
            </w:pPr>
            <w:r>
              <w:rPr>
                <w:rFonts w:ascii="Arial Black"/>
                <w:color w:val="FFFFFF"/>
              </w:rPr>
              <w:t>Fat Burner Products</w:t>
            </w:r>
          </w:p>
        </w:tc>
        <w:tc>
          <w:tcPr>
            <w:tcW w:w="1757" w:type="dxa"/>
            <w:tcBorders>
              <w:left w:val="nil"/>
              <w:right w:val="nil"/>
            </w:tcBorders>
            <w:shd w:val="clear" w:color="auto" w:fill="006CA7"/>
          </w:tcPr>
          <w:p w:rsidR="007D76BB" w:rsidRDefault="00D70D28">
            <w:pPr>
              <w:pStyle w:val="TableParagraph"/>
              <w:spacing w:before="120"/>
              <w:ind w:left="117" w:right="544"/>
              <w:rPr>
                <w:rFonts w:ascii="Arial Black"/>
              </w:rPr>
            </w:pPr>
            <w:r>
              <w:rPr>
                <w:rFonts w:ascii="Arial Black"/>
                <w:color w:val="FFFFFF"/>
              </w:rPr>
              <w:t>Post- Workout Products</w:t>
            </w:r>
          </w:p>
        </w:tc>
        <w:tc>
          <w:tcPr>
            <w:tcW w:w="1836" w:type="dxa"/>
            <w:tcBorders>
              <w:left w:val="nil"/>
              <w:right w:val="nil"/>
            </w:tcBorders>
            <w:shd w:val="clear" w:color="auto" w:fill="006CA7"/>
          </w:tcPr>
          <w:p w:rsidR="007D76BB" w:rsidRDefault="00D70D28">
            <w:pPr>
              <w:pStyle w:val="TableParagraph"/>
              <w:spacing w:before="120"/>
              <w:ind w:left="117" w:right="220"/>
              <w:rPr>
                <w:rFonts w:ascii="Arial Black"/>
              </w:rPr>
            </w:pPr>
            <w:r>
              <w:rPr>
                <w:rFonts w:ascii="Arial Black"/>
                <w:color w:val="FFFFFF"/>
              </w:rPr>
              <w:t>Pre-Workout Products</w:t>
            </w:r>
          </w:p>
        </w:tc>
        <w:tc>
          <w:tcPr>
            <w:tcW w:w="1128" w:type="dxa"/>
            <w:tcBorders>
              <w:left w:val="nil"/>
            </w:tcBorders>
            <w:shd w:val="clear" w:color="auto" w:fill="006CA7"/>
          </w:tcPr>
          <w:p w:rsidR="007D76BB" w:rsidRDefault="00D70D28">
            <w:pPr>
              <w:pStyle w:val="TableParagraph"/>
              <w:spacing w:before="120"/>
              <w:ind w:left="117"/>
              <w:rPr>
                <w:rFonts w:ascii="Arial Black"/>
              </w:rPr>
            </w:pPr>
            <w:r>
              <w:rPr>
                <w:rFonts w:ascii="Arial Black"/>
                <w:color w:val="FFFFFF"/>
              </w:rPr>
              <w:t>Total</w:t>
            </w:r>
          </w:p>
        </w:tc>
      </w:tr>
      <w:tr w:rsidR="007D76BB">
        <w:trPr>
          <w:trHeight w:val="815"/>
        </w:trPr>
        <w:tc>
          <w:tcPr>
            <w:tcW w:w="2160" w:type="dxa"/>
          </w:tcPr>
          <w:p w:rsidR="007D76BB" w:rsidRDefault="00D70D28">
            <w:pPr>
              <w:pStyle w:val="TableParagraph"/>
              <w:spacing w:before="119"/>
              <w:ind w:left="107" w:right="278"/>
              <w:rPr>
                <w:b/>
                <w:sz w:val="14"/>
              </w:rPr>
            </w:pPr>
            <w:r>
              <w:rPr>
                <w:b/>
              </w:rPr>
              <w:t xml:space="preserve">Powders , liquids and novel foods </w:t>
            </w:r>
            <w:r>
              <w:rPr>
                <w:b/>
                <w:position w:val="5"/>
                <w:sz w:val="14"/>
              </w:rPr>
              <w:t>#</w:t>
            </w:r>
          </w:p>
        </w:tc>
        <w:tc>
          <w:tcPr>
            <w:tcW w:w="2170" w:type="dxa"/>
          </w:tcPr>
          <w:p w:rsidR="007D76BB" w:rsidRDefault="00D70D28">
            <w:pPr>
              <w:pStyle w:val="TableParagraph"/>
              <w:spacing w:before="119"/>
              <w:ind w:left="107"/>
            </w:pPr>
            <w:r>
              <w:t>225 (10% ) = 23</w:t>
            </w:r>
          </w:p>
        </w:tc>
        <w:tc>
          <w:tcPr>
            <w:tcW w:w="1757" w:type="dxa"/>
          </w:tcPr>
          <w:p w:rsidR="007D76BB" w:rsidRDefault="00D70D28">
            <w:pPr>
              <w:pStyle w:val="TableParagraph"/>
              <w:spacing w:before="119"/>
              <w:ind w:left="107"/>
            </w:pPr>
            <w:r>
              <w:t>160 (5% ) = 8</w:t>
            </w:r>
          </w:p>
        </w:tc>
        <w:tc>
          <w:tcPr>
            <w:tcW w:w="1836" w:type="dxa"/>
          </w:tcPr>
          <w:p w:rsidR="007D76BB" w:rsidRDefault="00D70D28">
            <w:pPr>
              <w:pStyle w:val="TableParagraph"/>
              <w:spacing w:before="119"/>
              <w:ind w:left="106"/>
            </w:pPr>
            <w:r>
              <w:t>271 (20% ) = 54</w:t>
            </w:r>
          </w:p>
        </w:tc>
        <w:tc>
          <w:tcPr>
            <w:tcW w:w="1128" w:type="dxa"/>
          </w:tcPr>
          <w:p w:rsidR="007D76BB" w:rsidRDefault="00D70D28">
            <w:pPr>
              <w:pStyle w:val="TableParagraph"/>
              <w:spacing w:before="119"/>
              <w:ind w:left="106"/>
            </w:pPr>
            <w:r>
              <w:t>85</w:t>
            </w:r>
          </w:p>
        </w:tc>
      </w:tr>
    </w:tbl>
    <w:p w:rsidR="007D76BB" w:rsidRDefault="00D70D28">
      <w:pPr>
        <w:spacing w:line="242" w:lineRule="auto"/>
        <w:ind w:left="198" w:right="709"/>
        <w:rPr>
          <w:sz w:val="17"/>
        </w:rPr>
      </w:pPr>
      <w:r>
        <w:rPr>
          <w:sz w:val="17"/>
        </w:rPr>
        <w:t>*extrapolated from table 6 of the Noetic Report (</w:t>
      </w:r>
      <w:hyperlink w:anchor="_bookmark67" w:history="1">
        <w:r>
          <w:rPr>
            <w:color w:val="0000FF"/>
            <w:sz w:val="17"/>
            <w:u w:val="single" w:color="0000FF"/>
          </w:rPr>
          <w:t>Appendix 1</w:t>
        </w:r>
      </w:hyperlink>
      <w:r>
        <w:rPr>
          <w:sz w:val="17"/>
        </w:rPr>
        <w:t>) – note that the basis for these calculations is provided on page 22 of the Noetic Report.</w:t>
      </w:r>
    </w:p>
    <w:p w:rsidR="007D76BB" w:rsidRDefault="00D70D28">
      <w:pPr>
        <w:spacing w:line="198" w:lineRule="exact"/>
        <w:ind w:left="198"/>
        <w:rPr>
          <w:sz w:val="17"/>
        </w:rPr>
      </w:pPr>
      <w:r>
        <w:rPr>
          <w:position w:val="4"/>
          <w:sz w:val="11"/>
        </w:rPr>
        <w:t>#</w:t>
      </w:r>
      <w:r>
        <w:rPr>
          <w:sz w:val="17"/>
        </w:rPr>
        <w:t>liquids, novel foods represent only 7% of product total</w:t>
      </w:r>
    </w:p>
    <w:p w:rsidR="007D76BB" w:rsidRDefault="00D70D28">
      <w:pPr>
        <w:pStyle w:val="BodyText"/>
        <w:spacing w:before="120"/>
        <w:ind w:left="198" w:right="625"/>
      </w:pPr>
      <w:r>
        <w:t>The Noetic Report (</w:t>
      </w:r>
      <w:hyperlink w:anchor="_bookmark67" w:history="1">
        <w:r>
          <w:rPr>
            <w:color w:val="0000FF"/>
            <w:u w:val="single" w:color="0000FF"/>
          </w:rPr>
          <w:t>Appendix 1</w:t>
        </w:r>
      </w:hyperlink>
      <w:r>
        <w:t>) states that industry stakeholders estimate that the total time to complete a simple reformulation with one ingredient is 16 hours, while a complex reformulation with multiple ingredients may take 36 hours to complete, per product. Based on an hourly rate of $84.84, the cost of a complex formulation could be $3, 054.24 per product. This should be a once only cost for the product manufacturer to enable the product to be regulated as a food.</w:t>
      </w:r>
    </w:p>
    <w:p w:rsidR="007D76BB" w:rsidRDefault="00D70D28">
      <w:pPr>
        <w:pStyle w:val="Heading7"/>
        <w:spacing w:before="179"/>
        <w:ind w:right="1159"/>
      </w:pPr>
      <w:r>
        <w:t>Changing the presentation from tablets, capsules and pills to a more traditional food presentation to be regulated as a food</w:t>
      </w:r>
    </w:p>
    <w:p w:rsidR="007D76BB" w:rsidRDefault="00D70D28">
      <w:pPr>
        <w:pStyle w:val="BodyText"/>
        <w:spacing w:before="180"/>
        <w:ind w:left="198" w:right="626"/>
      </w:pPr>
      <w:r>
        <w:t>The Noetic Report (</w:t>
      </w:r>
      <w:hyperlink w:anchor="_bookmark67" w:history="1">
        <w:r>
          <w:rPr>
            <w:color w:val="0000FF"/>
            <w:u w:val="single" w:color="0000FF"/>
          </w:rPr>
          <w:t>Appendix 1</w:t>
        </w:r>
      </w:hyperlink>
      <w:r>
        <w:t>) suggests that the ‘fat burner’ product category represents the largest proportion of products presented as tablets, capsules or pills (34% of ‘fat burner’ products are presented as tablets, capsules and pills, compared to 3% of pre-workouts and 5% of post-workout products). Therefore, it is likely that the ‘fat burner’ product range will be the most affected by the requirement to change their product dosage form to be regulated as foods. Industry stakeholders have advised that it is unlikely that manufacturers/sponsors will opt to change their presentation, as tablet/capsule/pill presentation was a differentiator in the market. Therefore if product owners do not enter their products in the ARTG as therapeutic goods, it is likely that a significant number of fat burner products presented as tablets, capsules or pills will be withdrawn from the</w:t>
      </w:r>
      <w:r>
        <w:rPr>
          <w:spacing w:val="-5"/>
        </w:rPr>
        <w:t xml:space="preserve"> </w:t>
      </w:r>
      <w:r>
        <w:t>market.</w:t>
      </w:r>
    </w:p>
    <w:p w:rsidR="007D76BB" w:rsidRDefault="00D70D28">
      <w:pPr>
        <w:pStyle w:val="BodyText"/>
        <w:spacing w:before="181"/>
        <w:ind w:left="198" w:right="602"/>
      </w:pPr>
      <w:r>
        <w:t>Noetic estimate that the percentage of reformulation of dosage form for all tablet, capsule or pill products would be low (5%). Table 16 provides the number of these products that are estimated to change their dosage from to be regulated as food.</w:t>
      </w:r>
    </w:p>
    <w:p w:rsidR="007D76BB" w:rsidRDefault="00D70D28">
      <w:pPr>
        <w:pStyle w:val="Heading7"/>
        <w:spacing w:before="179"/>
        <w:ind w:right="964"/>
      </w:pPr>
      <w:r>
        <w:t>Table 16: Product likely to reformulate (presentation) to be regulated as foods* under Option 2A</w:t>
      </w:r>
    </w:p>
    <w:p w:rsidR="007D76BB" w:rsidRDefault="007D76BB">
      <w:pPr>
        <w:pStyle w:val="BodyText"/>
        <w:spacing w:before="5"/>
        <w:rPr>
          <w:b/>
          <w:sz w:val="15"/>
        </w:rPr>
      </w:pPr>
    </w:p>
    <w:tbl>
      <w:tblPr>
        <w:tblW w:w="0" w:type="auto"/>
        <w:tblInd w:w="218" w:type="dxa"/>
        <w:tblBorders>
          <w:top w:val="single" w:sz="8" w:space="0" w:color="002C46"/>
          <w:left w:val="single" w:sz="8" w:space="0" w:color="002C46"/>
          <w:bottom w:val="single" w:sz="8" w:space="0" w:color="002C46"/>
          <w:right w:val="single" w:sz="8" w:space="0" w:color="002C46"/>
          <w:insideH w:val="single" w:sz="8" w:space="0" w:color="002C46"/>
          <w:insideV w:val="single" w:sz="8" w:space="0" w:color="002C46"/>
        </w:tblBorders>
        <w:tblLayout w:type="fixed"/>
        <w:tblCellMar>
          <w:left w:w="0" w:type="dxa"/>
          <w:right w:w="0" w:type="dxa"/>
        </w:tblCellMar>
        <w:tblLook w:val="01E0" w:firstRow="1" w:lastRow="1" w:firstColumn="1" w:lastColumn="1" w:noHBand="0" w:noVBand="0"/>
      </w:tblPr>
      <w:tblGrid>
        <w:gridCol w:w="2400"/>
        <w:gridCol w:w="1930"/>
        <w:gridCol w:w="1757"/>
        <w:gridCol w:w="1836"/>
        <w:gridCol w:w="1128"/>
      </w:tblGrid>
      <w:tr w:rsidR="007D76BB">
        <w:trPr>
          <w:trHeight w:val="1230"/>
        </w:trPr>
        <w:tc>
          <w:tcPr>
            <w:tcW w:w="2400" w:type="dxa"/>
            <w:tcBorders>
              <w:right w:val="nil"/>
            </w:tcBorders>
            <w:shd w:val="clear" w:color="auto" w:fill="006CA7"/>
          </w:tcPr>
          <w:p w:rsidR="007D76BB" w:rsidRDefault="00D70D28">
            <w:pPr>
              <w:pStyle w:val="TableParagraph"/>
              <w:spacing w:before="120"/>
              <w:ind w:left="107"/>
              <w:rPr>
                <w:rFonts w:ascii="Arial Black"/>
              </w:rPr>
            </w:pPr>
            <w:r>
              <w:rPr>
                <w:rFonts w:ascii="Arial Black"/>
                <w:color w:val="FFFFFF"/>
              </w:rPr>
              <w:t>Presentation</w:t>
            </w:r>
          </w:p>
        </w:tc>
        <w:tc>
          <w:tcPr>
            <w:tcW w:w="1930" w:type="dxa"/>
            <w:tcBorders>
              <w:left w:val="nil"/>
              <w:right w:val="nil"/>
            </w:tcBorders>
            <w:shd w:val="clear" w:color="auto" w:fill="006CA7"/>
          </w:tcPr>
          <w:p w:rsidR="007D76BB" w:rsidRDefault="00D70D28">
            <w:pPr>
              <w:pStyle w:val="TableParagraph"/>
              <w:spacing w:before="120"/>
              <w:ind w:left="117" w:right="521"/>
              <w:rPr>
                <w:rFonts w:ascii="Arial Black"/>
              </w:rPr>
            </w:pPr>
            <w:r>
              <w:rPr>
                <w:rFonts w:ascii="Arial Black"/>
                <w:color w:val="FFFFFF"/>
              </w:rPr>
              <w:t>Fat Burner Products</w:t>
            </w:r>
          </w:p>
        </w:tc>
        <w:tc>
          <w:tcPr>
            <w:tcW w:w="1757" w:type="dxa"/>
            <w:tcBorders>
              <w:left w:val="nil"/>
              <w:right w:val="nil"/>
            </w:tcBorders>
            <w:shd w:val="clear" w:color="auto" w:fill="006CA7"/>
          </w:tcPr>
          <w:p w:rsidR="007D76BB" w:rsidRDefault="00D70D28">
            <w:pPr>
              <w:pStyle w:val="TableParagraph"/>
              <w:spacing w:before="120"/>
              <w:ind w:left="117" w:right="544"/>
              <w:rPr>
                <w:rFonts w:ascii="Arial Black"/>
              </w:rPr>
            </w:pPr>
            <w:r>
              <w:rPr>
                <w:rFonts w:ascii="Arial Black"/>
                <w:color w:val="FFFFFF"/>
              </w:rPr>
              <w:t>Post- Workout Products</w:t>
            </w:r>
          </w:p>
        </w:tc>
        <w:tc>
          <w:tcPr>
            <w:tcW w:w="1836" w:type="dxa"/>
            <w:tcBorders>
              <w:left w:val="nil"/>
              <w:right w:val="nil"/>
            </w:tcBorders>
            <w:shd w:val="clear" w:color="auto" w:fill="006CA7"/>
          </w:tcPr>
          <w:p w:rsidR="007D76BB" w:rsidRDefault="00D70D28">
            <w:pPr>
              <w:pStyle w:val="TableParagraph"/>
              <w:spacing w:before="120"/>
              <w:ind w:left="117" w:right="220"/>
              <w:rPr>
                <w:rFonts w:ascii="Arial Black"/>
              </w:rPr>
            </w:pPr>
            <w:r>
              <w:rPr>
                <w:rFonts w:ascii="Arial Black"/>
                <w:color w:val="FFFFFF"/>
              </w:rPr>
              <w:t>Pre-Workout Products</w:t>
            </w:r>
          </w:p>
        </w:tc>
        <w:tc>
          <w:tcPr>
            <w:tcW w:w="1128" w:type="dxa"/>
            <w:tcBorders>
              <w:left w:val="nil"/>
            </w:tcBorders>
            <w:shd w:val="clear" w:color="auto" w:fill="006CA7"/>
          </w:tcPr>
          <w:p w:rsidR="007D76BB" w:rsidRDefault="00D70D28">
            <w:pPr>
              <w:pStyle w:val="TableParagraph"/>
              <w:spacing w:before="120"/>
              <w:ind w:left="117"/>
              <w:rPr>
                <w:rFonts w:ascii="Arial Black"/>
              </w:rPr>
            </w:pPr>
            <w:r>
              <w:rPr>
                <w:rFonts w:ascii="Arial Black"/>
                <w:color w:val="FFFFFF"/>
              </w:rPr>
              <w:t>Total</w:t>
            </w:r>
          </w:p>
        </w:tc>
      </w:tr>
      <w:tr w:rsidR="007D76BB">
        <w:trPr>
          <w:trHeight w:val="558"/>
        </w:trPr>
        <w:tc>
          <w:tcPr>
            <w:tcW w:w="2400" w:type="dxa"/>
          </w:tcPr>
          <w:p w:rsidR="007D76BB" w:rsidRDefault="00D70D28">
            <w:pPr>
              <w:pStyle w:val="TableParagraph"/>
              <w:spacing w:before="119"/>
              <w:ind w:left="107"/>
              <w:rPr>
                <w:b/>
              </w:rPr>
            </w:pPr>
            <w:r>
              <w:rPr>
                <w:b/>
              </w:rPr>
              <w:lastRenderedPageBreak/>
              <w:t>Tablet, capsule, pill</w:t>
            </w:r>
          </w:p>
        </w:tc>
        <w:tc>
          <w:tcPr>
            <w:tcW w:w="1930" w:type="dxa"/>
          </w:tcPr>
          <w:p w:rsidR="007D76BB" w:rsidRDefault="00D70D28">
            <w:pPr>
              <w:pStyle w:val="TableParagraph"/>
              <w:spacing w:before="119"/>
              <w:ind w:left="107"/>
            </w:pPr>
            <w:r>
              <w:t>114 (5% ) =6</w:t>
            </w:r>
          </w:p>
        </w:tc>
        <w:tc>
          <w:tcPr>
            <w:tcW w:w="1757" w:type="dxa"/>
          </w:tcPr>
          <w:p w:rsidR="007D76BB" w:rsidRDefault="00D70D28">
            <w:pPr>
              <w:pStyle w:val="TableParagraph"/>
              <w:spacing w:before="119"/>
              <w:ind w:left="107"/>
            </w:pPr>
            <w:r>
              <w:t>9 (5%) =1</w:t>
            </w:r>
          </w:p>
        </w:tc>
        <w:tc>
          <w:tcPr>
            <w:tcW w:w="1836" w:type="dxa"/>
          </w:tcPr>
          <w:p w:rsidR="007D76BB" w:rsidRDefault="00D70D28">
            <w:pPr>
              <w:pStyle w:val="TableParagraph"/>
              <w:spacing w:before="119"/>
              <w:ind w:left="106"/>
            </w:pPr>
            <w:r>
              <w:t>9 (5%)= 1</w:t>
            </w:r>
          </w:p>
        </w:tc>
        <w:tc>
          <w:tcPr>
            <w:tcW w:w="1128" w:type="dxa"/>
          </w:tcPr>
          <w:p w:rsidR="007D76BB" w:rsidRDefault="00D70D28">
            <w:pPr>
              <w:pStyle w:val="TableParagraph"/>
              <w:spacing w:before="119"/>
              <w:ind w:left="106"/>
            </w:pPr>
            <w:r>
              <w:t>8</w:t>
            </w:r>
          </w:p>
        </w:tc>
      </w:tr>
    </w:tbl>
    <w:p w:rsidR="007D76BB" w:rsidRDefault="00D70D28">
      <w:pPr>
        <w:ind w:left="197" w:right="745"/>
        <w:rPr>
          <w:sz w:val="17"/>
        </w:rPr>
      </w:pPr>
      <w:r>
        <w:rPr>
          <w:sz w:val="17"/>
        </w:rPr>
        <w:t>*extrapolated from table 6 of the Noetic report (Appendix 1) – note that the basis for these calculations is provided on page 22 of the Noetic Report.</w:t>
      </w:r>
    </w:p>
    <w:p w:rsidR="007D76BB" w:rsidRDefault="007D76BB">
      <w:pPr>
        <w:rPr>
          <w:sz w:val="17"/>
        </w:r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8" w:right="591"/>
      </w:pPr>
      <w:r>
        <w:t>The cost of reformulating the dosage from is estimated to cost the same as reformulating ingredients (i.e. 36 hours to complete, per product, based on an hourly rate of $84.84, the cost of a reformulation could be $3, 054.24 per product). This should be a once only cost for the product manufacturer to enable the product to be regulated as a food.</w:t>
      </w:r>
    </w:p>
    <w:p w:rsidR="007D76BB" w:rsidRDefault="00D70D28">
      <w:pPr>
        <w:pStyle w:val="Heading7"/>
        <w:spacing w:before="181"/>
      </w:pPr>
      <w:r>
        <w:t>List or register their product in the ARTG and be regulated as therapeutic goods</w:t>
      </w:r>
    </w:p>
    <w:p w:rsidR="007D76BB" w:rsidRDefault="00D70D28">
      <w:pPr>
        <w:pStyle w:val="BodyText"/>
        <w:spacing w:before="181"/>
        <w:ind w:left="197" w:right="648"/>
      </w:pPr>
      <w:r>
        <w:t>If Option 2A is implemented, another pathway for manufacturers of affected products is to enter their product in the ARTG and for it to be regulated as a therapeutic good.</w:t>
      </w:r>
    </w:p>
    <w:p w:rsidR="007D76BB" w:rsidRDefault="00D70D28">
      <w:pPr>
        <w:pStyle w:val="BodyText"/>
        <w:spacing w:before="180"/>
        <w:ind w:left="198" w:right="584" w:hanging="1"/>
      </w:pPr>
      <w:r>
        <w:t>The Noetic Report (</w:t>
      </w:r>
      <w:hyperlink w:anchor="_bookmark67" w:history="1">
        <w:r>
          <w:rPr>
            <w:color w:val="0000FF"/>
            <w:u w:val="single" w:color="0000FF"/>
          </w:rPr>
          <w:t>Appendix 1</w:t>
        </w:r>
      </w:hyperlink>
      <w:r>
        <w:t xml:space="preserve">) notes that there are already several sports supplement products that are listed as therapeutic goods. This includes products such as </w:t>
      </w:r>
      <w:proofErr w:type="spellStart"/>
      <w:r>
        <w:t>creatine</w:t>
      </w:r>
      <w:proofErr w:type="spellEnd"/>
      <w:r>
        <w:t xml:space="preserve"> powders, branched chain amino acid supplements, weight loss (’fat burner’) and pre-workout products. Feedback from targeted stakeholder consultation was that several manufacturers either already have, or are in the process of, transitioning part or all of their range into the listed medicine space, in particular, for the incentive that listed medicines can make higher-level claims than permitted under the Code. For such products, there will be no increase in regulatory burden arising from the proposal.</w:t>
      </w:r>
    </w:p>
    <w:p w:rsidR="007D76BB" w:rsidRDefault="00D70D28">
      <w:pPr>
        <w:pStyle w:val="BodyText"/>
        <w:spacing w:before="178"/>
        <w:ind w:left="198" w:right="637"/>
      </w:pPr>
      <w:r>
        <w:t>The Noetic Report (</w:t>
      </w:r>
      <w:hyperlink w:anchor="_bookmark67" w:history="1">
        <w:r>
          <w:rPr>
            <w:color w:val="0000FF"/>
            <w:u w:val="single" w:color="0000FF"/>
          </w:rPr>
          <w:t>Appendix 1</w:t>
        </w:r>
      </w:hyperlink>
      <w:r>
        <w:t>) state that only a small percentage of powder products would be likely to proceed down an ARTG listing pathway, with most powder products that have ingredients of concern likely to be either reformulated or withdrawn from the market. It is more likely that tablet /capsule/pill products would proceed down the ARTG route, as reformulation is not an option likely to be pursued by industry for these products. Further, a small percentage of products in this category (i.e. tablets, capsules, pills,) are already listed in the ARTG (and therefore no action is required in relation to the proposed regulatory clarification). See Table 17 for an estimation of the number of products likely to pursue the therapeutic goods pathway.</w:t>
      </w:r>
    </w:p>
    <w:p w:rsidR="007D76BB" w:rsidRDefault="00D70D28">
      <w:pPr>
        <w:pStyle w:val="Heading7"/>
        <w:spacing w:before="181"/>
        <w:ind w:right="707"/>
      </w:pPr>
      <w:r>
        <w:t>Table 17: Products likely to be included in the ARTG and regulated as therapeutic goods* under Option 2A</w:t>
      </w:r>
    </w:p>
    <w:p w:rsidR="007D76BB" w:rsidRDefault="007D76BB">
      <w:pPr>
        <w:pStyle w:val="BodyText"/>
        <w:spacing w:before="4"/>
        <w:rPr>
          <w:b/>
          <w:sz w:val="15"/>
        </w:rPr>
      </w:pPr>
    </w:p>
    <w:tbl>
      <w:tblPr>
        <w:tblW w:w="0" w:type="auto"/>
        <w:tblInd w:w="218" w:type="dxa"/>
        <w:tblBorders>
          <w:top w:val="single" w:sz="8" w:space="0" w:color="002C46"/>
          <w:left w:val="single" w:sz="8" w:space="0" w:color="002C46"/>
          <w:bottom w:val="single" w:sz="8" w:space="0" w:color="002C46"/>
          <w:right w:val="single" w:sz="8" w:space="0" w:color="002C46"/>
          <w:insideH w:val="single" w:sz="8" w:space="0" w:color="002C46"/>
          <w:insideV w:val="single" w:sz="8" w:space="0" w:color="002C46"/>
        </w:tblBorders>
        <w:tblLayout w:type="fixed"/>
        <w:tblCellMar>
          <w:left w:w="0" w:type="dxa"/>
          <w:right w:w="0" w:type="dxa"/>
        </w:tblCellMar>
        <w:tblLook w:val="01E0" w:firstRow="1" w:lastRow="1" w:firstColumn="1" w:lastColumn="1" w:noHBand="0" w:noVBand="0"/>
      </w:tblPr>
      <w:tblGrid>
        <w:gridCol w:w="2400"/>
        <w:gridCol w:w="1930"/>
        <w:gridCol w:w="1757"/>
        <w:gridCol w:w="1836"/>
        <w:gridCol w:w="1128"/>
      </w:tblGrid>
      <w:tr w:rsidR="007D76BB">
        <w:trPr>
          <w:trHeight w:val="1230"/>
        </w:trPr>
        <w:tc>
          <w:tcPr>
            <w:tcW w:w="2400" w:type="dxa"/>
            <w:tcBorders>
              <w:right w:val="nil"/>
            </w:tcBorders>
            <w:shd w:val="clear" w:color="auto" w:fill="006CA7"/>
          </w:tcPr>
          <w:p w:rsidR="007D76BB" w:rsidRDefault="00D70D28">
            <w:pPr>
              <w:pStyle w:val="TableParagraph"/>
              <w:spacing w:before="120"/>
              <w:ind w:left="107"/>
              <w:rPr>
                <w:rFonts w:ascii="Arial Black"/>
              </w:rPr>
            </w:pPr>
            <w:r>
              <w:rPr>
                <w:rFonts w:ascii="Arial Black"/>
                <w:color w:val="FFFFFF"/>
              </w:rPr>
              <w:t>Presentation</w:t>
            </w:r>
          </w:p>
        </w:tc>
        <w:tc>
          <w:tcPr>
            <w:tcW w:w="1930" w:type="dxa"/>
            <w:tcBorders>
              <w:left w:val="nil"/>
              <w:right w:val="nil"/>
            </w:tcBorders>
            <w:shd w:val="clear" w:color="auto" w:fill="006CA7"/>
          </w:tcPr>
          <w:p w:rsidR="007D76BB" w:rsidRDefault="00D70D28">
            <w:pPr>
              <w:pStyle w:val="TableParagraph"/>
              <w:spacing w:before="120"/>
              <w:ind w:left="117" w:right="521"/>
              <w:rPr>
                <w:rFonts w:ascii="Arial Black"/>
              </w:rPr>
            </w:pPr>
            <w:r>
              <w:rPr>
                <w:rFonts w:ascii="Arial Black"/>
                <w:color w:val="FFFFFF"/>
              </w:rPr>
              <w:t>Fat Burner Products</w:t>
            </w:r>
          </w:p>
        </w:tc>
        <w:tc>
          <w:tcPr>
            <w:tcW w:w="1757" w:type="dxa"/>
            <w:tcBorders>
              <w:left w:val="nil"/>
              <w:right w:val="nil"/>
            </w:tcBorders>
            <w:shd w:val="clear" w:color="auto" w:fill="006CA7"/>
          </w:tcPr>
          <w:p w:rsidR="007D76BB" w:rsidRDefault="00D70D28">
            <w:pPr>
              <w:pStyle w:val="TableParagraph"/>
              <w:spacing w:before="120"/>
              <w:ind w:left="117" w:right="544"/>
              <w:rPr>
                <w:rFonts w:ascii="Arial Black"/>
              </w:rPr>
            </w:pPr>
            <w:r>
              <w:rPr>
                <w:rFonts w:ascii="Arial Black"/>
                <w:color w:val="FFFFFF"/>
              </w:rPr>
              <w:t>Post- Workout Products</w:t>
            </w:r>
          </w:p>
        </w:tc>
        <w:tc>
          <w:tcPr>
            <w:tcW w:w="1836" w:type="dxa"/>
            <w:tcBorders>
              <w:left w:val="nil"/>
              <w:right w:val="nil"/>
            </w:tcBorders>
            <w:shd w:val="clear" w:color="auto" w:fill="006CA7"/>
          </w:tcPr>
          <w:p w:rsidR="007D76BB" w:rsidRDefault="00D70D28">
            <w:pPr>
              <w:pStyle w:val="TableParagraph"/>
              <w:spacing w:before="120"/>
              <w:ind w:left="117" w:right="220"/>
              <w:rPr>
                <w:rFonts w:ascii="Arial Black"/>
              </w:rPr>
            </w:pPr>
            <w:r>
              <w:rPr>
                <w:rFonts w:ascii="Arial Black"/>
                <w:color w:val="FFFFFF"/>
              </w:rPr>
              <w:t>Pre-Workout Products</w:t>
            </w:r>
          </w:p>
        </w:tc>
        <w:tc>
          <w:tcPr>
            <w:tcW w:w="1128" w:type="dxa"/>
            <w:tcBorders>
              <w:left w:val="nil"/>
            </w:tcBorders>
            <w:shd w:val="clear" w:color="auto" w:fill="006CA7"/>
          </w:tcPr>
          <w:p w:rsidR="007D76BB" w:rsidRDefault="00D70D28">
            <w:pPr>
              <w:pStyle w:val="TableParagraph"/>
              <w:spacing w:before="120"/>
              <w:ind w:left="117"/>
              <w:rPr>
                <w:rFonts w:ascii="Arial Black"/>
              </w:rPr>
            </w:pPr>
            <w:r>
              <w:rPr>
                <w:rFonts w:ascii="Arial Black"/>
                <w:color w:val="FFFFFF"/>
              </w:rPr>
              <w:t>Total</w:t>
            </w:r>
          </w:p>
        </w:tc>
      </w:tr>
      <w:tr w:rsidR="007D76BB">
        <w:trPr>
          <w:trHeight w:val="817"/>
        </w:trPr>
        <w:tc>
          <w:tcPr>
            <w:tcW w:w="2400" w:type="dxa"/>
          </w:tcPr>
          <w:p w:rsidR="007D76BB" w:rsidRDefault="00D70D28">
            <w:pPr>
              <w:pStyle w:val="TableParagraph"/>
              <w:spacing w:before="121"/>
              <w:ind w:left="107" w:right="136"/>
              <w:rPr>
                <w:b/>
                <w:sz w:val="14"/>
              </w:rPr>
            </w:pPr>
            <w:r>
              <w:rPr>
                <w:b/>
              </w:rPr>
              <w:t>Powders, liquids and novel foods</w:t>
            </w:r>
            <w:r>
              <w:rPr>
                <w:b/>
                <w:position w:val="5"/>
                <w:sz w:val="14"/>
              </w:rPr>
              <w:t>#</w:t>
            </w:r>
          </w:p>
        </w:tc>
        <w:tc>
          <w:tcPr>
            <w:tcW w:w="1930" w:type="dxa"/>
          </w:tcPr>
          <w:p w:rsidR="007D76BB" w:rsidRDefault="00D70D28">
            <w:pPr>
              <w:pStyle w:val="TableParagraph"/>
              <w:spacing w:before="121"/>
              <w:ind w:left="107"/>
            </w:pPr>
            <w:r>
              <w:t>225 (5% ) =11</w:t>
            </w:r>
          </w:p>
        </w:tc>
        <w:tc>
          <w:tcPr>
            <w:tcW w:w="1757" w:type="dxa"/>
          </w:tcPr>
          <w:p w:rsidR="007D76BB" w:rsidRDefault="00D70D28">
            <w:pPr>
              <w:pStyle w:val="TableParagraph"/>
              <w:spacing w:before="121"/>
              <w:ind w:left="107"/>
            </w:pPr>
            <w:r>
              <w:t>160 (5%) = 8</w:t>
            </w:r>
          </w:p>
        </w:tc>
        <w:tc>
          <w:tcPr>
            <w:tcW w:w="1836" w:type="dxa"/>
          </w:tcPr>
          <w:p w:rsidR="007D76BB" w:rsidRDefault="00D70D28">
            <w:pPr>
              <w:pStyle w:val="TableParagraph"/>
              <w:spacing w:before="121"/>
              <w:ind w:left="106"/>
            </w:pPr>
            <w:r>
              <w:t>271 (5%) = 14</w:t>
            </w:r>
          </w:p>
        </w:tc>
        <w:tc>
          <w:tcPr>
            <w:tcW w:w="1128" w:type="dxa"/>
          </w:tcPr>
          <w:p w:rsidR="007D76BB" w:rsidRDefault="00D70D28">
            <w:pPr>
              <w:pStyle w:val="TableParagraph"/>
              <w:spacing w:before="121"/>
              <w:ind w:left="106"/>
            </w:pPr>
            <w:r>
              <w:t>33</w:t>
            </w:r>
          </w:p>
        </w:tc>
      </w:tr>
      <w:tr w:rsidR="007D76BB">
        <w:trPr>
          <w:trHeight w:val="556"/>
        </w:trPr>
        <w:tc>
          <w:tcPr>
            <w:tcW w:w="2400" w:type="dxa"/>
          </w:tcPr>
          <w:p w:rsidR="007D76BB" w:rsidRDefault="00D70D28">
            <w:pPr>
              <w:pStyle w:val="TableParagraph"/>
              <w:spacing w:before="119"/>
              <w:ind w:left="107"/>
              <w:rPr>
                <w:b/>
              </w:rPr>
            </w:pPr>
            <w:r>
              <w:rPr>
                <w:b/>
              </w:rPr>
              <w:t>Tablet/capsule/pill</w:t>
            </w:r>
          </w:p>
        </w:tc>
        <w:tc>
          <w:tcPr>
            <w:tcW w:w="1930" w:type="dxa"/>
          </w:tcPr>
          <w:p w:rsidR="007D76BB" w:rsidRDefault="00D70D28">
            <w:pPr>
              <w:pStyle w:val="TableParagraph"/>
              <w:spacing w:before="119"/>
              <w:ind w:left="107"/>
            </w:pPr>
            <w:r>
              <w:t>114 (40% ) = 46</w:t>
            </w:r>
          </w:p>
        </w:tc>
        <w:tc>
          <w:tcPr>
            <w:tcW w:w="1757" w:type="dxa"/>
          </w:tcPr>
          <w:p w:rsidR="007D76BB" w:rsidRDefault="00D70D28">
            <w:pPr>
              <w:pStyle w:val="TableParagraph"/>
              <w:spacing w:before="119"/>
              <w:ind w:left="107"/>
            </w:pPr>
            <w:r>
              <w:t>9 (40%) = 4</w:t>
            </w:r>
          </w:p>
        </w:tc>
        <w:tc>
          <w:tcPr>
            <w:tcW w:w="1836" w:type="dxa"/>
          </w:tcPr>
          <w:p w:rsidR="007D76BB" w:rsidRDefault="00D70D28">
            <w:pPr>
              <w:pStyle w:val="TableParagraph"/>
              <w:spacing w:before="119"/>
              <w:ind w:left="106"/>
            </w:pPr>
            <w:r>
              <w:t>9 (40%) = 4</w:t>
            </w:r>
          </w:p>
        </w:tc>
        <w:tc>
          <w:tcPr>
            <w:tcW w:w="1128" w:type="dxa"/>
          </w:tcPr>
          <w:p w:rsidR="007D76BB" w:rsidRDefault="00D70D28">
            <w:pPr>
              <w:pStyle w:val="TableParagraph"/>
              <w:spacing w:before="119"/>
              <w:ind w:left="106"/>
            </w:pPr>
            <w:r>
              <w:t>54</w:t>
            </w:r>
          </w:p>
        </w:tc>
      </w:tr>
      <w:tr w:rsidR="007D76BB">
        <w:trPr>
          <w:trHeight w:val="558"/>
        </w:trPr>
        <w:tc>
          <w:tcPr>
            <w:tcW w:w="7923" w:type="dxa"/>
            <w:gridSpan w:val="4"/>
            <w:shd w:val="clear" w:color="auto" w:fill="D9D9D9"/>
          </w:tcPr>
          <w:p w:rsidR="007D76BB" w:rsidRDefault="00D70D28">
            <w:pPr>
              <w:pStyle w:val="TableParagraph"/>
              <w:spacing w:before="121"/>
              <w:ind w:left="107"/>
              <w:rPr>
                <w:b/>
              </w:rPr>
            </w:pPr>
            <w:r>
              <w:rPr>
                <w:b/>
              </w:rPr>
              <w:t>Total products</w:t>
            </w:r>
          </w:p>
        </w:tc>
        <w:tc>
          <w:tcPr>
            <w:tcW w:w="1128" w:type="dxa"/>
            <w:shd w:val="clear" w:color="auto" w:fill="D9D9D9"/>
          </w:tcPr>
          <w:p w:rsidR="007D76BB" w:rsidRDefault="00D70D28">
            <w:pPr>
              <w:pStyle w:val="TableParagraph"/>
              <w:spacing w:before="121"/>
              <w:ind w:left="107"/>
            </w:pPr>
            <w:r>
              <w:t>87</w:t>
            </w:r>
          </w:p>
        </w:tc>
      </w:tr>
    </w:tbl>
    <w:p w:rsidR="007D76BB" w:rsidRDefault="00D70D28">
      <w:pPr>
        <w:spacing w:line="242" w:lineRule="auto"/>
        <w:ind w:left="198" w:right="743"/>
        <w:rPr>
          <w:sz w:val="17"/>
        </w:rPr>
      </w:pPr>
      <w:r>
        <w:rPr>
          <w:sz w:val="17"/>
        </w:rPr>
        <w:t xml:space="preserve">*extracted from Table 4 of the Noetic report </w:t>
      </w:r>
      <w:hyperlink w:anchor="_bookmark67" w:history="1">
        <w:r>
          <w:rPr>
            <w:sz w:val="17"/>
          </w:rPr>
          <w:t>(</w:t>
        </w:r>
        <w:r>
          <w:rPr>
            <w:color w:val="0000FF"/>
            <w:sz w:val="17"/>
            <w:u w:val="single" w:color="0000FF"/>
          </w:rPr>
          <w:t>Appendix 1</w:t>
        </w:r>
      </w:hyperlink>
      <w:r>
        <w:rPr>
          <w:sz w:val="17"/>
        </w:rPr>
        <w:t>) - note that the basis for these calculations is provided on page 22 of the Noetic Report.</w:t>
      </w:r>
    </w:p>
    <w:p w:rsidR="007D76BB" w:rsidRDefault="00D70D28">
      <w:pPr>
        <w:spacing w:line="198" w:lineRule="exact"/>
        <w:ind w:left="198"/>
        <w:rPr>
          <w:sz w:val="17"/>
        </w:rPr>
      </w:pPr>
      <w:r>
        <w:rPr>
          <w:position w:val="4"/>
          <w:sz w:val="11"/>
        </w:rPr>
        <w:t>#</w:t>
      </w:r>
      <w:r>
        <w:rPr>
          <w:sz w:val="17"/>
        </w:rPr>
        <w:t>liquids and novel foods represent only 7% of product total</w:t>
      </w:r>
    </w:p>
    <w:p w:rsidR="007D76BB" w:rsidRDefault="00D70D28">
      <w:pPr>
        <w:pStyle w:val="BodyText"/>
        <w:spacing w:before="120"/>
        <w:ind w:left="198" w:right="689"/>
        <w:jc w:val="both"/>
      </w:pPr>
      <w:r>
        <w:t xml:space="preserve">Transitioning to the therapeutic goods regulatory framework would require that the product be entered in the ARTG and comply with all applicable therapeutic goods regulatory requirements (refer to </w:t>
      </w:r>
      <w:hyperlink w:anchor="_bookmark6" w:history="1">
        <w:r>
          <w:rPr>
            <w:color w:val="0000FF"/>
            <w:u w:val="single" w:color="0000FF"/>
          </w:rPr>
          <w:t>Different regulatory requirements for food and medicines</w:t>
        </w:r>
      </w:hyperlink>
      <w:r>
        <w:t>) in relation to:</w:t>
      </w:r>
    </w:p>
    <w:p w:rsidR="007D76BB" w:rsidRDefault="00D70D28">
      <w:pPr>
        <w:pStyle w:val="ListParagraph"/>
        <w:numPr>
          <w:ilvl w:val="0"/>
          <w:numId w:val="72"/>
        </w:numPr>
        <w:tabs>
          <w:tab w:val="left" w:pos="918"/>
          <w:tab w:val="left" w:pos="919"/>
        </w:tabs>
        <w:spacing w:before="179"/>
        <w:ind w:left="918" w:hanging="721"/>
      </w:pPr>
      <w:r>
        <w:lastRenderedPageBreak/>
        <w:t>manufacturing</w:t>
      </w:r>
    </w:p>
    <w:p w:rsidR="007D76BB" w:rsidRDefault="00D70D28">
      <w:pPr>
        <w:pStyle w:val="ListParagraph"/>
        <w:numPr>
          <w:ilvl w:val="0"/>
          <w:numId w:val="72"/>
        </w:numPr>
        <w:tabs>
          <w:tab w:val="left" w:pos="918"/>
          <w:tab w:val="left" w:pos="919"/>
        </w:tabs>
        <w:spacing w:before="179"/>
        <w:ind w:left="918" w:hanging="721"/>
      </w:pPr>
      <w:r>
        <w:t>ingredients</w:t>
      </w:r>
    </w:p>
    <w:p w:rsidR="007D76BB" w:rsidRDefault="00D70D28">
      <w:pPr>
        <w:pStyle w:val="ListParagraph"/>
        <w:numPr>
          <w:ilvl w:val="0"/>
          <w:numId w:val="72"/>
        </w:numPr>
        <w:tabs>
          <w:tab w:val="left" w:pos="918"/>
          <w:tab w:val="left" w:pos="919"/>
        </w:tabs>
        <w:spacing w:before="181"/>
        <w:ind w:left="918" w:hanging="721"/>
      </w:pPr>
      <w:r>
        <w:t>indications</w:t>
      </w:r>
    </w:p>
    <w:p w:rsidR="007D76BB" w:rsidRDefault="00D70D28">
      <w:pPr>
        <w:pStyle w:val="ListParagraph"/>
        <w:numPr>
          <w:ilvl w:val="0"/>
          <w:numId w:val="72"/>
        </w:numPr>
        <w:tabs>
          <w:tab w:val="left" w:pos="918"/>
          <w:tab w:val="left" w:pos="919"/>
        </w:tabs>
        <w:spacing w:before="179"/>
        <w:ind w:left="918" w:hanging="721"/>
      </w:pPr>
      <w:r>
        <w:t>labels</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ListParagraph"/>
        <w:numPr>
          <w:ilvl w:val="0"/>
          <w:numId w:val="72"/>
        </w:numPr>
        <w:tabs>
          <w:tab w:val="left" w:pos="918"/>
          <w:tab w:val="left" w:pos="919"/>
        </w:tabs>
        <w:spacing w:before="101"/>
        <w:ind w:left="918" w:hanging="721"/>
      </w:pPr>
      <w:r>
        <w:t>advertising</w:t>
      </w:r>
    </w:p>
    <w:p w:rsidR="007D76BB" w:rsidRDefault="00D70D28">
      <w:pPr>
        <w:pStyle w:val="ListParagraph"/>
        <w:numPr>
          <w:ilvl w:val="0"/>
          <w:numId w:val="72"/>
        </w:numPr>
        <w:tabs>
          <w:tab w:val="left" w:pos="918"/>
          <w:tab w:val="left" w:pos="919"/>
        </w:tabs>
        <w:spacing w:before="182"/>
        <w:ind w:left="918" w:hanging="721"/>
      </w:pPr>
      <w:r>
        <w:t>evidence to support the safety, quality and efficacy of the</w:t>
      </w:r>
      <w:r>
        <w:rPr>
          <w:spacing w:val="-16"/>
        </w:rPr>
        <w:t xml:space="preserve"> </w:t>
      </w:r>
      <w:r>
        <w:t>product</w:t>
      </w:r>
    </w:p>
    <w:p w:rsidR="007D76BB" w:rsidRDefault="00D70D28">
      <w:pPr>
        <w:pStyle w:val="BodyText"/>
        <w:spacing w:before="178"/>
        <w:ind w:left="198" w:right="964"/>
        <w:jc w:val="both"/>
      </w:pPr>
      <w:r>
        <w:t>Noetic (</w:t>
      </w:r>
      <w:hyperlink w:anchor="_bookmark67" w:history="1">
        <w:r>
          <w:rPr>
            <w:color w:val="0000FF"/>
            <w:u w:val="single" w:color="0000FF"/>
          </w:rPr>
          <w:t>Appendix 1</w:t>
        </w:r>
        <w:r>
          <w:t xml:space="preserve">, </w:t>
        </w:r>
      </w:hyperlink>
      <w:r>
        <w:t>Table 8) estimate that the cost of all regulatory activities associated with listing a product in the ARTG to be $5,952.94, with ongoing maintenance costs of $339.36. In addition to these figures, there is an initial application fee of $ 840 and ongoing annual fee of</w:t>
      </w:r>
    </w:p>
    <w:p w:rsidR="007D76BB" w:rsidRDefault="00D70D28">
      <w:pPr>
        <w:pStyle w:val="BodyText"/>
        <w:spacing w:before="2"/>
        <w:ind w:left="198"/>
        <w:jc w:val="both"/>
      </w:pPr>
      <w:r>
        <w:t>$1,140 to maintain the ARTG entry.</w:t>
      </w:r>
    </w:p>
    <w:p w:rsidR="007D76BB" w:rsidRDefault="00D70D28">
      <w:pPr>
        <w:pStyle w:val="BodyText"/>
        <w:spacing w:before="179"/>
        <w:ind w:left="198" w:right="602"/>
      </w:pPr>
      <w:r>
        <w:t xml:space="preserve">In addition to the costs associated with entering a medicine in the ARTG, there also costs associated with meeting the regulatory requirements for therapeutic goods, the most significant of which is manufacturing the product in accordance with the principles of GMP. The vitamin and supplement manufacturing industry is </w:t>
      </w:r>
      <w:proofErr w:type="spellStart"/>
      <w:r>
        <w:t>characterised</w:t>
      </w:r>
      <w:proofErr w:type="spellEnd"/>
      <w:r>
        <w:t xml:space="preserve"> by a small number of manufacturers producing vitamins and supplements, many of which are contract manufacturers operating in the wider pharmaceutical product manufacturing industry (58). Advice to the TGA from DISER is that sports supplements appear to be most commonly produced by pharmaceutical-producing </w:t>
      </w:r>
      <w:proofErr w:type="spellStart"/>
      <w:r>
        <w:t>organisations</w:t>
      </w:r>
      <w:proofErr w:type="spellEnd"/>
      <w:r>
        <w:t>, rather than food manufacturers. As a result, there may not be a significant impact to food manufacturers from the change in the way these products are regulated. This advice is reiterated in the Noetic Report (</w:t>
      </w:r>
      <w:hyperlink w:anchor="_bookmark67" w:history="1">
        <w:r>
          <w:rPr>
            <w:color w:val="0000FF"/>
            <w:u w:val="single" w:color="0000FF"/>
          </w:rPr>
          <w:t>Appendix 1</w:t>
        </w:r>
      </w:hyperlink>
      <w:r>
        <w:t xml:space="preserve">) who state that no evidence was provided to Noetic of existing food manufacturers who, because of this specific regulatory clarification, would seek to obtain a TGA manufacturing </w:t>
      </w:r>
      <w:proofErr w:type="spellStart"/>
      <w:r>
        <w:t>licence</w:t>
      </w:r>
      <w:proofErr w:type="spellEnd"/>
      <w:r>
        <w:t xml:space="preserve">. Rather, some businesses already have a TGA manufacturing </w:t>
      </w:r>
      <w:proofErr w:type="spellStart"/>
      <w:r>
        <w:t>licence</w:t>
      </w:r>
      <w:proofErr w:type="spellEnd"/>
      <w:r>
        <w:t xml:space="preserve"> or are </w:t>
      </w:r>
      <w:proofErr w:type="spellStart"/>
      <w:r>
        <w:t>utilising</w:t>
      </w:r>
      <w:proofErr w:type="spellEnd"/>
      <w:r>
        <w:t xml:space="preserve"> a contract manufacturer who holds a current TGA manufacturing </w:t>
      </w:r>
      <w:proofErr w:type="spellStart"/>
      <w:r>
        <w:t>licence</w:t>
      </w:r>
      <w:proofErr w:type="spellEnd"/>
      <w:r>
        <w:t>/GMP certification for the production of their</w:t>
      </w:r>
      <w:r>
        <w:rPr>
          <w:spacing w:val="-16"/>
        </w:rPr>
        <w:t xml:space="preserve"> </w:t>
      </w:r>
      <w:r>
        <w:t>supplements.</w:t>
      </w:r>
    </w:p>
    <w:p w:rsidR="007D76BB" w:rsidRDefault="00D70D28">
      <w:pPr>
        <w:pStyle w:val="BodyText"/>
        <w:spacing w:before="181"/>
        <w:ind w:left="198" w:right="762"/>
      </w:pPr>
      <w:r>
        <w:t>The costs of listing a medicine, as provided above, assume that the product’s ingredients are all permitted for use in listed medicines. If a manufacturer wishes to list a product that does not have permitted ingredients, the substances will need to be assessed for inclusion in the list of Permitted Ingredients. The application and evaluation fees for a new substance evaluation ranges from $15,690 to $22, 680. In addition, the applicant will incur the cost of compiling a dossier. The Noetic Report (</w:t>
      </w:r>
      <w:hyperlink w:anchor="_bookmark67" w:history="1">
        <w:r>
          <w:rPr>
            <w:color w:val="0000FF"/>
            <w:u w:val="single" w:color="0000FF"/>
          </w:rPr>
          <w:t>Appendix 1</w:t>
        </w:r>
      </w:hyperlink>
      <w:r>
        <w:t>) states that, given the complexity of the submission process and evidentiary requirements, former food manufacturers would likely outsource the preparation of the submission to a regulatory affairs consultant (with estimated fees to be</w:t>
      </w:r>
    </w:p>
    <w:p w:rsidR="007D76BB" w:rsidRDefault="00D70D28">
      <w:pPr>
        <w:pStyle w:val="BodyText"/>
        <w:spacing w:before="1"/>
        <w:ind w:left="197" w:right="1675"/>
      </w:pPr>
      <w:r>
        <w:t>$30,000). In consultation feedback, industry have advised they are unlikely to pursue applications for new ingredients, as they consider that the costs are prohibitive.</w:t>
      </w:r>
    </w:p>
    <w:p w:rsidR="007D76BB" w:rsidRDefault="00D70D28">
      <w:pPr>
        <w:pStyle w:val="BodyText"/>
        <w:spacing w:before="177"/>
        <w:ind w:left="198" w:right="649"/>
      </w:pPr>
      <w:r>
        <w:t xml:space="preserve">For those products with substances in the Poisons Standard or the WADC Prohibited List, these high-risk substances will not be appropriate for inclusion in low risk listed medicines, so if manufacturers of these products wish to maintain the formulation they will have to apply for these goods to be registered medicines. The cost of registering a medicine is significantly higher than listing a medicine. The application and evaluation fees for a registered </w:t>
      </w:r>
      <w:r>
        <w:lastRenderedPageBreak/>
        <w:t>complementary medicine range from $3,630 to $39,780. In addition, a sponsor will incur the costs of compiling a dossier, which has significantly higher requirements than for a lower risk listed medicine, given that a dossier for a registered medicine needs to establish the quality, safety and efficacy of the product. In consultation feedback, industry have advised they are unlikely to pursue the registration pathway.</w:t>
      </w:r>
    </w:p>
    <w:p w:rsidR="007D76BB" w:rsidRDefault="00D70D28">
      <w:pPr>
        <w:pStyle w:val="BodyText"/>
        <w:spacing w:before="181"/>
        <w:ind w:left="198" w:right="840"/>
      </w:pPr>
      <w:r>
        <w:t>In conclusion, it is unlikely manufacturers of products affected by the proposal will pursue the registration pathway or submit applications for new ingredients. If manufacturers of products pursue the regulatory pathway, it is most likely to be the listed pathway and, the most likely products will be those presented as tablets, capsules and pills (estimated to be 54 products compared to 33 products with other presentations- refer to Table 17).</w:t>
      </w:r>
    </w:p>
    <w:p w:rsidR="007D76BB" w:rsidRDefault="00D70D28">
      <w:pPr>
        <w:pStyle w:val="BodyText"/>
        <w:spacing w:before="179"/>
        <w:ind w:left="198" w:right="1283"/>
      </w:pPr>
      <w:r>
        <w:t xml:space="preserve">Noetic Group’s regulatory costings (refer to </w:t>
      </w:r>
      <w:hyperlink w:anchor="_bookmark67" w:history="1">
        <w:r>
          <w:rPr>
            <w:color w:val="0000FF"/>
            <w:u w:val="single" w:color="0000FF"/>
          </w:rPr>
          <w:t>Appendix 1</w:t>
        </w:r>
      </w:hyperlink>
      <w:r>
        <w:t>) estimate $0.22m average annual regulatory burden cost over 10 years for Option 2A.</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Heading7"/>
        <w:spacing w:before="101"/>
      </w:pPr>
      <w:r>
        <w:t>Withdraw the product from the market</w:t>
      </w:r>
    </w:p>
    <w:p w:rsidR="007D76BB" w:rsidRDefault="00D70D28">
      <w:pPr>
        <w:pStyle w:val="BodyText"/>
        <w:spacing w:before="182"/>
        <w:ind w:left="198" w:right="723"/>
      </w:pPr>
      <w:r>
        <w:t>It is likely there will be some products that will exit the market under any option other than the status quo. Noetic (</w:t>
      </w:r>
      <w:hyperlink w:anchor="_bookmark67" w:history="1">
        <w:r>
          <w:rPr>
            <w:color w:val="0000FF"/>
            <w:u w:val="single" w:color="0000FF"/>
          </w:rPr>
          <w:t>Appendix 1</w:t>
        </w:r>
      </w:hyperlink>
      <w:r>
        <w:t>) states that products might be withdrawn from the market because:</w:t>
      </w:r>
    </w:p>
    <w:p w:rsidR="007D76BB" w:rsidRDefault="00D70D28">
      <w:pPr>
        <w:pStyle w:val="ListParagraph"/>
        <w:numPr>
          <w:ilvl w:val="0"/>
          <w:numId w:val="72"/>
        </w:numPr>
        <w:tabs>
          <w:tab w:val="left" w:pos="558"/>
          <w:tab w:val="left" w:pos="559"/>
        </w:tabs>
        <w:spacing w:before="179"/>
        <w:ind w:left="558"/>
      </w:pPr>
      <w:r>
        <w:t>the projected profit from sales does not justify the expense of going down an ARTG</w:t>
      </w:r>
      <w:r>
        <w:rPr>
          <w:spacing w:val="-24"/>
        </w:rPr>
        <w:t xml:space="preserve"> </w:t>
      </w:r>
      <w:r>
        <w:t>pathway</w:t>
      </w:r>
    </w:p>
    <w:p w:rsidR="007D76BB" w:rsidRDefault="00D70D28">
      <w:pPr>
        <w:pStyle w:val="ListParagraph"/>
        <w:numPr>
          <w:ilvl w:val="0"/>
          <w:numId w:val="72"/>
        </w:numPr>
        <w:tabs>
          <w:tab w:val="left" w:pos="558"/>
          <w:tab w:val="left" w:pos="559"/>
        </w:tabs>
        <w:spacing w:before="181"/>
        <w:ind w:left="558" w:right="854"/>
      </w:pPr>
      <w:r>
        <w:t>the product may contain active ingredients that are unlikely to be approved for sale by the TGA outside a pharmacy (or might require a prescription) and are therefore unable to be sold through sports supplements retail or online</w:t>
      </w:r>
      <w:r>
        <w:rPr>
          <w:spacing w:val="-9"/>
        </w:rPr>
        <w:t xml:space="preserve"> </w:t>
      </w:r>
      <w:r>
        <w:t>store</w:t>
      </w:r>
    </w:p>
    <w:p w:rsidR="007D76BB" w:rsidRDefault="00D70D28">
      <w:pPr>
        <w:pStyle w:val="ListParagraph"/>
        <w:numPr>
          <w:ilvl w:val="0"/>
          <w:numId w:val="72"/>
        </w:numPr>
        <w:tabs>
          <w:tab w:val="left" w:pos="558"/>
          <w:tab w:val="left" w:pos="559"/>
        </w:tabs>
        <w:spacing w:before="179"/>
        <w:ind w:left="558" w:right="1131"/>
      </w:pPr>
      <w:r>
        <w:t>it is possible that some overseas manufacturers will reformulate their products but it is likely that this will not be done for the unique Australian</w:t>
      </w:r>
      <w:r>
        <w:rPr>
          <w:spacing w:val="-15"/>
        </w:rPr>
        <w:t xml:space="preserve"> </w:t>
      </w:r>
      <w:r>
        <w:t>market</w:t>
      </w:r>
    </w:p>
    <w:p w:rsidR="007D76BB" w:rsidRDefault="00D70D28">
      <w:pPr>
        <w:pStyle w:val="ListParagraph"/>
        <w:numPr>
          <w:ilvl w:val="0"/>
          <w:numId w:val="72"/>
        </w:numPr>
        <w:tabs>
          <w:tab w:val="left" w:pos="558"/>
          <w:tab w:val="left" w:pos="559"/>
        </w:tabs>
        <w:ind w:left="558" w:right="1160"/>
      </w:pPr>
      <w:r>
        <w:t>it is likely that a number of capsule products will be withdrawn rather than proceeding down an ARTG</w:t>
      </w:r>
      <w:r>
        <w:rPr>
          <w:spacing w:val="-5"/>
        </w:rPr>
        <w:t xml:space="preserve"> </w:t>
      </w:r>
      <w:r>
        <w:t>pathway</w:t>
      </w:r>
    </w:p>
    <w:p w:rsidR="007D76BB" w:rsidRDefault="00D70D28">
      <w:pPr>
        <w:pStyle w:val="BodyText"/>
        <w:spacing w:before="180"/>
        <w:ind w:left="197" w:right="601" w:firstLine="1"/>
      </w:pPr>
      <w:r>
        <w:t>It is difficult to estimate how many products will be withdrawn from the market by manufacturers. Table 18 (products presented as powders, liquids, novel foods) and Table 19 (products presented as tablets, capsules and pills) provides estimates of the number of products that may not require modification, may be required to be reformulated or may be required to be entered in the ARTG, with the remaining products potentially removed from the market. The figures in Tables 18 and 19 relating to reformulation and entry in the ARTG are based on Noetic calculations (Appendix 1). The estimated number of products not requiring action or requiring removal from the market have been calculated based on the LGC 2016 survey (2) results that identified approximately 20% of sports supplements products sold in Australia contained ingredients banned in sport (and therefore estimated that 80% of products may not contain ingredients impacted under Option 2A). The limitations of the LGC 2016 survey are such that the results may represent an over-estimation of the number of products containing ingredients banned in sport and therefore provide a similar over-estimation of number of products that may be withdrawn from the market if Option 2A is implemented.</w:t>
      </w:r>
    </w:p>
    <w:p w:rsidR="007D76BB" w:rsidRDefault="00D70D28">
      <w:pPr>
        <w:pStyle w:val="BodyText"/>
        <w:spacing w:before="181"/>
        <w:ind w:left="196" w:right="668"/>
      </w:pPr>
      <w:r>
        <w:t>Based on the Noetic report and other findings such as those in the LGC 2016 study, pre-workout powders have been noted to be more likely than other product categories to include ingredients that would be affected under Option 2A. In acknowledgement of this, it has been estimated that an additional 10% (making a total of 30%) of products in this category may be affected under Option 2A due to the ingredients they contain</w:t>
      </w:r>
    </w:p>
    <w:p w:rsidR="007D76BB" w:rsidRDefault="00D70D28">
      <w:pPr>
        <w:pStyle w:val="Heading7"/>
        <w:spacing w:before="179"/>
        <w:ind w:left="196" w:right="1244"/>
      </w:pPr>
      <w:r>
        <w:t>Table 18: Estimated number of products (powders, liquids, novel foods) in pathway options under Option 2A</w:t>
      </w:r>
    </w:p>
    <w:p w:rsidR="007D76BB" w:rsidRDefault="007D76BB">
      <w:pPr>
        <w:pStyle w:val="BodyText"/>
        <w:spacing w:before="5"/>
        <w:rPr>
          <w:b/>
          <w:sz w:val="15"/>
        </w:rPr>
      </w:pPr>
    </w:p>
    <w:tbl>
      <w:tblPr>
        <w:tblW w:w="0" w:type="auto"/>
        <w:tblInd w:w="218" w:type="dxa"/>
        <w:tblBorders>
          <w:top w:val="single" w:sz="8" w:space="0" w:color="002C46"/>
          <w:left w:val="single" w:sz="8" w:space="0" w:color="002C46"/>
          <w:bottom w:val="single" w:sz="8" w:space="0" w:color="002C46"/>
          <w:right w:val="single" w:sz="8" w:space="0" w:color="002C46"/>
          <w:insideH w:val="single" w:sz="8" w:space="0" w:color="002C46"/>
          <w:insideV w:val="single" w:sz="8" w:space="0" w:color="002C46"/>
        </w:tblBorders>
        <w:tblLayout w:type="fixed"/>
        <w:tblCellMar>
          <w:left w:w="0" w:type="dxa"/>
          <w:right w:w="0" w:type="dxa"/>
        </w:tblCellMar>
        <w:tblLook w:val="01E0" w:firstRow="1" w:lastRow="1" w:firstColumn="1" w:lastColumn="1" w:noHBand="0" w:noVBand="0"/>
      </w:tblPr>
      <w:tblGrid>
        <w:gridCol w:w="2258"/>
        <w:gridCol w:w="1984"/>
        <w:gridCol w:w="1996"/>
        <w:gridCol w:w="1845"/>
        <w:gridCol w:w="964"/>
      </w:tblGrid>
      <w:tr w:rsidR="007D76BB">
        <w:trPr>
          <w:trHeight w:val="1230"/>
        </w:trPr>
        <w:tc>
          <w:tcPr>
            <w:tcW w:w="2258" w:type="dxa"/>
            <w:tcBorders>
              <w:right w:val="nil"/>
            </w:tcBorders>
            <w:shd w:val="clear" w:color="auto" w:fill="006CA7"/>
          </w:tcPr>
          <w:p w:rsidR="007D76BB" w:rsidRDefault="00D70D28">
            <w:pPr>
              <w:pStyle w:val="TableParagraph"/>
              <w:spacing w:before="120"/>
              <w:ind w:left="107" w:right="107"/>
              <w:rPr>
                <w:rFonts w:ascii="Arial Black"/>
              </w:rPr>
            </w:pPr>
            <w:r>
              <w:rPr>
                <w:rFonts w:ascii="Arial Black"/>
                <w:color w:val="FFFFFF"/>
              </w:rPr>
              <w:t xml:space="preserve">Powders , liquids and </w:t>
            </w:r>
            <w:r>
              <w:rPr>
                <w:rFonts w:ascii="Arial Black"/>
                <w:color w:val="FFFFFF"/>
                <w:spacing w:val="-4"/>
              </w:rPr>
              <w:t xml:space="preserve">novel </w:t>
            </w:r>
            <w:r>
              <w:rPr>
                <w:rFonts w:ascii="Arial Black"/>
                <w:color w:val="FFFFFF"/>
              </w:rPr>
              <w:t>foods #</w:t>
            </w:r>
          </w:p>
        </w:tc>
        <w:tc>
          <w:tcPr>
            <w:tcW w:w="1984" w:type="dxa"/>
            <w:tcBorders>
              <w:left w:val="nil"/>
              <w:right w:val="nil"/>
            </w:tcBorders>
            <w:shd w:val="clear" w:color="auto" w:fill="006CA7"/>
          </w:tcPr>
          <w:p w:rsidR="007D76BB" w:rsidRDefault="00D70D28">
            <w:pPr>
              <w:pStyle w:val="TableParagraph"/>
              <w:spacing w:before="120"/>
              <w:ind w:left="117" w:right="575"/>
              <w:rPr>
                <w:rFonts w:ascii="Arial Black"/>
              </w:rPr>
            </w:pPr>
            <w:r>
              <w:rPr>
                <w:rFonts w:ascii="Arial Black"/>
                <w:color w:val="FFFFFF"/>
              </w:rPr>
              <w:t>Fat Burner Products</w:t>
            </w:r>
          </w:p>
        </w:tc>
        <w:tc>
          <w:tcPr>
            <w:tcW w:w="1996" w:type="dxa"/>
            <w:tcBorders>
              <w:left w:val="nil"/>
              <w:right w:val="nil"/>
            </w:tcBorders>
            <w:shd w:val="clear" w:color="auto" w:fill="006CA7"/>
          </w:tcPr>
          <w:p w:rsidR="007D76BB" w:rsidRDefault="00D70D28">
            <w:pPr>
              <w:pStyle w:val="TableParagraph"/>
              <w:spacing w:before="120"/>
              <w:ind w:left="118" w:right="244"/>
              <w:rPr>
                <w:rFonts w:ascii="Arial Black"/>
              </w:rPr>
            </w:pPr>
            <w:r>
              <w:rPr>
                <w:rFonts w:ascii="Arial Black"/>
                <w:color w:val="FFFFFF"/>
              </w:rPr>
              <w:t>Post-Workout Products</w:t>
            </w:r>
          </w:p>
        </w:tc>
        <w:tc>
          <w:tcPr>
            <w:tcW w:w="1845" w:type="dxa"/>
            <w:tcBorders>
              <w:left w:val="nil"/>
              <w:right w:val="nil"/>
            </w:tcBorders>
            <w:shd w:val="clear" w:color="auto" w:fill="006CA7"/>
          </w:tcPr>
          <w:p w:rsidR="007D76BB" w:rsidRDefault="00D70D28">
            <w:pPr>
              <w:pStyle w:val="TableParagraph"/>
              <w:spacing w:before="120"/>
              <w:ind w:left="119" w:right="227"/>
              <w:rPr>
                <w:rFonts w:ascii="Arial Black"/>
              </w:rPr>
            </w:pPr>
            <w:r>
              <w:rPr>
                <w:rFonts w:ascii="Arial Black"/>
                <w:color w:val="FFFFFF"/>
              </w:rPr>
              <w:t>Pre-Workout Products</w:t>
            </w:r>
          </w:p>
        </w:tc>
        <w:tc>
          <w:tcPr>
            <w:tcW w:w="964" w:type="dxa"/>
            <w:tcBorders>
              <w:left w:val="nil"/>
            </w:tcBorders>
            <w:shd w:val="clear" w:color="auto" w:fill="006CA7"/>
          </w:tcPr>
          <w:p w:rsidR="007D76BB" w:rsidRDefault="00D70D28">
            <w:pPr>
              <w:pStyle w:val="TableParagraph"/>
              <w:spacing w:before="120"/>
              <w:ind w:left="120"/>
              <w:rPr>
                <w:rFonts w:ascii="Arial Black"/>
              </w:rPr>
            </w:pPr>
            <w:r>
              <w:rPr>
                <w:rFonts w:ascii="Arial Black"/>
                <w:color w:val="FFFFFF"/>
              </w:rPr>
              <w:t>Total</w:t>
            </w:r>
          </w:p>
        </w:tc>
      </w:tr>
      <w:tr w:rsidR="007D76BB">
        <w:trPr>
          <w:trHeight w:val="815"/>
        </w:trPr>
        <w:tc>
          <w:tcPr>
            <w:tcW w:w="2258" w:type="dxa"/>
          </w:tcPr>
          <w:p w:rsidR="007D76BB" w:rsidRDefault="00D70D28">
            <w:pPr>
              <w:pStyle w:val="TableParagraph"/>
              <w:spacing w:before="119"/>
              <w:ind w:left="107"/>
              <w:rPr>
                <w:b/>
              </w:rPr>
            </w:pPr>
            <w:r>
              <w:rPr>
                <w:b/>
              </w:rPr>
              <w:lastRenderedPageBreak/>
              <w:t>No action required</w:t>
            </w:r>
          </w:p>
        </w:tc>
        <w:tc>
          <w:tcPr>
            <w:tcW w:w="1984" w:type="dxa"/>
          </w:tcPr>
          <w:p w:rsidR="007D76BB" w:rsidRDefault="00D70D28">
            <w:pPr>
              <w:pStyle w:val="TableParagraph"/>
              <w:spacing w:before="119"/>
              <w:ind w:left="107"/>
            </w:pPr>
            <w:r>
              <w:t>225 (80%*) = 180</w:t>
            </w:r>
          </w:p>
        </w:tc>
        <w:tc>
          <w:tcPr>
            <w:tcW w:w="1996" w:type="dxa"/>
          </w:tcPr>
          <w:p w:rsidR="007D76BB" w:rsidRDefault="00D70D28">
            <w:pPr>
              <w:pStyle w:val="TableParagraph"/>
              <w:spacing w:before="119"/>
              <w:ind w:left="108"/>
            </w:pPr>
            <w:r>
              <w:t>160 (80%*) = 128</w:t>
            </w:r>
          </w:p>
        </w:tc>
        <w:tc>
          <w:tcPr>
            <w:tcW w:w="1845" w:type="dxa"/>
          </w:tcPr>
          <w:p w:rsidR="007D76BB" w:rsidRDefault="00D70D28">
            <w:pPr>
              <w:pStyle w:val="TableParagraph"/>
              <w:spacing w:before="119"/>
              <w:ind w:left="109"/>
            </w:pPr>
            <w:r>
              <w:t>271 (70%</w:t>
            </w:r>
            <w:r>
              <w:rPr>
                <w:position w:val="5"/>
                <w:sz w:val="14"/>
              </w:rPr>
              <w:t>#</w:t>
            </w:r>
            <w:r>
              <w:t>) =</w:t>
            </w:r>
          </w:p>
          <w:p w:rsidR="007D76BB" w:rsidRDefault="00D70D28">
            <w:pPr>
              <w:pStyle w:val="TableParagraph"/>
              <w:spacing w:before="1"/>
              <w:ind w:left="109"/>
            </w:pPr>
            <w:r>
              <w:t>190</w:t>
            </w:r>
          </w:p>
        </w:tc>
        <w:tc>
          <w:tcPr>
            <w:tcW w:w="964" w:type="dxa"/>
          </w:tcPr>
          <w:p w:rsidR="007D76BB" w:rsidRDefault="00D70D28">
            <w:pPr>
              <w:pStyle w:val="TableParagraph"/>
              <w:spacing w:before="119"/>
              <w:ind w:left="110"/>
            </w:pPr>
            <w:r>
              <w:t>498</w:t>
            </w:r>
          </w:p>
        </w:tc>
      </w:tr>
      <w:tr w:rsidR="007D76BB">
        <w:trPr>
          <w:trHeight w:val="714"/>
        </w:trPr>
        <w:tc>
          <w:tcPr>
            <w:tcW w:w="2258" w:type="dxa"/>
          </w:tcPr>
          <w:p w:rsidR="007D76BB" w:rsidRDefault="00D70D28">
            <w:pPr>
              <w:pStyle w:val="TableParagraph"/>
              <w:spacing w:before="121"/>
              <w:ind w:left="107"/>
              <w:rPr>
                <w:b/>
              </w:rPr>
            </w:pPr>
            <w:r>
              <w:rPr>
                <w:b/>
              </w:rPr>
              <w:t>Reformulate</w:t>
            </w:r>
          </w:p>
        </w:tc>
        <w:tc>
          <w:tcPr>
            <w:tcW w:w="1984" w:type="dxa"/>
          </w:tcPr>
          <w:p w:rsidR="007D76BB" w:rsidRDefault="00D70D28">
            <w:pPr>
              <w:pStyle w:val="TableParagraph"/>
              <w:spacing w:before="121"/>
              <w:ind w:left="107"/>
            </w:pPr>
            <w:r>
              <w:t>225 (10% ) = 23</w:t>
            </w:r>
          </w:p>
        </w:tc>
        <w:tc>
          <w:tcPr>
            <w:tcW w:w="1996" w:type="dxa"/>
          </w:tcPr>
          <w:p w:rsidR="007D76BB" w:rsidRDefault="00D70D28">
            <w:pPr>
              <w:pStyle w:val="TableParagraph"/>
              <w:spacing w:before="121"/>
              <w:ind w:left="108"/>
            </w:pPr>
            <w:r>
              <w:t>160 (5% ) = 8</w:t>
            </w:r>
          </w:p>
        </w:tc>
        <w:tc>
          <w:tcPr>
            <w:tcW w:w="1845" w:type="dxa"/>
          </w:tcPr>
          <w:p w:rsidR="007D76BB" w:rsidRDefault="00D70D28">
            <w:pPr>
              <w:pStyle w:val="TableParagraph"/>
              <w:spacing w:before="121"/>
              <w:ind w:left="109"/>
            </w:pPr>
            <w:r>
              <w:t>271 (20% ) = 54</w:t>
            </w:r>
          </w:p>
        </w:tc>
        <w:tc>
          <w:tcPr>
            <w:tcW w:w="964" w:type="dxa"/>
          </w:tcPr>
          <w:p w:rsidR="007D76BB" w:rsidRDefault="00D70D28">
            <w:pPr>
              <w:pStyle w:val="TableParagraph"/>
              <w:spacing w:before="121"/>
              <w:ind w:left="110"/>
            </w:pPr>
            <w:r>
              <w:t>85</w:t>
            </w:r>
          </w:p>
        </w:tc>
      </w:tr>
      <w:tr w:rsidR="007D76BB">
        <w:trPr>
          <w:trHeight w:val="558"/>
        </w:trPr>
        <w:tc>
          <w:tcPr>
            <w:tcW w:w="2258" w:type="dxa"/>
          </w:tcPr>
          <w:p w:rsidR="007D76BB" w:rsidRDefault="00D70D28">
            <w:pPr>
              <w:pStyle w:val="TableParagraph"/>
              <w:spacing w:before="119"/>
              <w:ind w:left="107"/>
              <w:rPr>
                <w:b/>
              </w:rPr>
            </w:pPr>
            <w:r>
              <w:rPr>
                <w:b/>
              </w:rPr>
              <w:t>ARTG entry</w:t>
            </w:r>
          </w:p>
        </w:tc>
        <w:tc>
          <w:tcPr>
            <w:tcW w:w="1984" w:type="dxa"/>
          </w:tcPr>
          <w:p w:rsidR="007D76BB" w:rsidRDefault="00D70D28">
            <w:pPr>
              <w:pStyle w:val="TableParagraph"/>
              <w:spacing w:before="119"/>
              <w:ind w:left="107"/>
            </w:pPr>
            <w:r>
              <w:t>225 (5% ) =11</w:t>
            </w:r>
          </w:p>
        </w:tc>
        <w:tc>
          <w:tcPr>
            <w:tcW w:w="1996" w:type="dxa"/>
          </w:tcPr>
          <w:p w:rsidR="007D76BB" w:rsidRDefault="00D70D28">
            <w:pPr>
              <w:pStyle w:val="TableParagraph"/>
              <w:spacing w:before="119"/>
              <w:ind w:left="108"/>
            </w:pPr>
            <w:r>
              <w:t>160 (5%) = 8</w:t>
            </w:r>
          </w:p>
        </w:tc>
        <w:tc>
          <w:tcPr>
            <w:tcW w:w="1845" w:type="dxa"/>
          </w:tcPr>
          <w:p w:rsidR="007D76BB" w:rsidRDefault="00D70D28">
            <w:pPr>
              <w:pStyle w:val="TableParagraph"/>
              <w:spacing w:before="119"/>
              <w:ind w:left="109"/>
            </w:pPr>
            <w:r>
              <w:t>271 (5%) = 14</w:t>
            </w:r>
          </w:p>
        </w:tc>
        <w:tc>
          <w:tcPr>
            <w:tcW w:w="964" w:type="dxa"/>
          </w:tcPr>
          <w:p w:rsidR="007D76BB" w:rsidRDefault="00D70D28">
            <w:pPr>
              <w:pStyle w:val="TableParagraph"/>
              <w:spacing w:before="119"/>
              <w:ind w:left="110"/>
            </w:pPr>
            <w:r>
              <w:t>33</w:t>
            </w:r>
          </w:p>
        </w:tc>
      </w:tr>
    </w:tbl>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9"/>
        <w:rPr>
          <w:b/>
          <w:sz w:val="24"/>
        </w:rPr>
      </w:pPr>
    </w:p>
    <w:tbl>
      <w:tblPr>
        <w:tblW w:w="0" w:type="auto"/>
        <w:tblInd w:w="218" w:type="dxa"/>
        <w:tblBorders>
          <w:top w:val="single" w:sz="8" w:space="0" w:color="002C46"/>
          <w:left w:val="single" w:sz="8" w:space="0" w:color="002C46"/>
          <w:bottom w:val="single" w:sz="8" w:space="0" w:color="002C46"/>
          <w:right w:val="single" w:sz="8" w:space="0" w:color="002C46"/>
          <w:insideH w:val="single" w:sz="8" w:space="0" w:color="002C46"/>
          <w:insideV w:val="single" w:sz="8" w:space="0" w:color="002C46"/>
        </w:tblBorders>
        <w:tblLayout w:type="fixed"/>
        <w:tblCellMar>
          <w:left w:w="0" w:type="dxa"/>
          <w:right w:w="0" w:type="dxa"/>
        </w:tblCellMar>
        <w:tblLook w:val="01E0" w:firstRow="1" w:lastRow="1" w:firstColumn="1" w:lastColumn="1" w:noHBand="0" w:noVBand="0"/>
      </w:tblPr>
      <w:tblGrid>
        <w:gridCol w:w="2258"/>
        <w:gridCol w:w="1984"/>
        <w:gridCol w:w="1996"/>
        <w:gridCol w:w="1845"/>
        <w:gridCol w:w="964"/>
      </w:tblGrid>
      <w:tr w:rsidR="007D76BB">
        <w:trPr>
          <w:trHeight w:val="1232"/>
        </w:trPr>
        <w:tc>
          <w:tcPr>
            <w:tcW w:w="2258" w:type="dxa"/>
            <w:tcBorders>
              <w:right w:val="nil"/>
            </w:tcBorders>
            <w:shd w:val="clear" w:color="auto" w:fill="006CA7"/>
          </w:tcPr>
          <w:p w:rsidR="007D76BB" w:rsidRDefault="00D70D28">
            <w:pPr>
              <w:pStyle w:val="TableParagraph"/>
              <w:spacing w:before="122"/>
              <w:ind w:left="107" w:right="107"/>
              <w:rPr>
                <w:rFonts w:ascii="Arial Black"/>
              </w:rPr>
            </w:pPr>
            <w:r>
              <w:rPr>
                <w:rFonts w:ascii="Arial Black"/>
                <w:color w:val="FFFFFF"/>
              </w:rPr>
              <w:t xml:space="preserve">Powders , liquids and </w:t>
            </w:r>
            <w:r>
              <w:rPr>
                <w:rFonts w:ascii="Arial Black"/>
                <w:color w:val="FFFFFF"/>
                <w:spacing w:val="-4"/>
              </w:rPr>
              <w:t xml:space="preserve">novel </w:t>
            </w:r>
            <w:r>
              <w:rPr>
                <w:rFonts w:ascii="Arial Black"/>
                <w:color w:val="FFFFFF"/>
              </w:rPr>
              <w:t>foods #</w:t>
            </w:r>
          </w:p>
        </w:tc>
        <w:tc>
          <w:tcPr>
            <w:tcW w:w="1984" w:type="dxa"/>
            <w:tcBorders>
              <w:left w:val="nil"/>
              <w:right w:val="nil"/>
            </w:tcBorders>
            <w:shd w:val="clear" w:color="auto" w:fill="006CA7"/>
          </w:tcPr>
          <w:p w:rsidR="007D76BB" w:rsidRDefault="00D70D28">
            <w:pPr>
              <w:pStyle w:val="TableParagraph"/>
              <w:spacing w:before="122"/>
              <w:ind w:left="117" w:right="575"/>
              <w:rPr>
                <w:rFonts w:ascii="Arial Black"/>
              </w:rPr>
            </w:pPr>
            <w:r>
              <w:rPr>
                <w:rFonts w:ascii="Arial Black"/>
                <w:color w:val="FFFFFF"/>
              </w:rPr>
              <w:t>Fat Burner Products</w:t>
            </w:r>
          </w:p>
        </w:tc>
        <w:tc>
          <w:tcPr>
            <w:tcW w:w="1996" w:type="dxa"/>
            <w:tcBorders>
              <w:left w:val="nil"/>
              <w:right w:val="nil"/>
            </w:tcBorders>
            <w:shd w:val="clear" w:color="auto" w:fill="006CA7"/>
          </w:tcPr>
          <w:p w:rsidR="007D76BB" w:rsidRDefault="00D70D28">
            <w:pPr>
              <w:pStyle w:val="TableParagraph"/>
              <w:spacing w:before="122"/>
              <w:ind w:left="118" w:right="244"/>
              <w:rPr>
                <w:rFonts w:ascii="Arial Black"/>
              </w:rPr>
            </w:pPr>
            <w:r>
              <w:rPr>
                <w:rFonts w:ascii="Arial Black"/>
                <w:color w:val="FFFFFF"/>
              </w:rPr>
              <w:t>Post-Workout Products</w:t>
            </w:r>
          </w:p>
        </w:tc>
        <w:tc>
          <w:tcPr>
            <w:tcW w:w="1845" w:type="dxa"/>
            <w:tcBorders>
              <w:left w:val="nil"/>
              <w:right w:val="nil"/>
            </w:tcBorders>
            <w:shd w:val="clear" w:color="auto" w:fill="006CA7"/>
          </w:tcPr>
          <w:p w:rsidR="007D76BB" w:rsidRDefault="00D70D28">
            <w:pPr>
              <w:pStyle w:val="TableParagraph"/>
              <w:spacing w:before="122"/>
              <w:ind w:left="119" w:right="227"/>
              <w:rPr>
                <w:rFonts w:ascii="Arial Black"/>
              </w:rPr>
            </w:pPr>
            <w:r>
              <w:rPr>
                <w:rFonts w:ascii="Arial Black"/>
                <w:color w:val="FFFFFF"/>
              </w:rPr>
              <w:t>Pre-Workout Products</w:t>
            </w:r>
          </w:p>
        </w:tc>
        <w:tc>
          <w:tcPr>
            <w:tcW w:w="964" w:type="dxa"/>
            <w:tcBorders>
              <w:left w:val="nil"/>
            </w:tcBorders>
            <w:shd w:val="clear" w:color="auto" w:fill="006CA7"/>
          </w:tcPr>
          <w:p w:rsidR="007D76BB" w:rsidRDefault="00D70D28">
            <w:pPr>
              <w:pStyle w:val="TableParagraph"/>
              <w:spacing w:before="122"/>
              <w:ind w:left="120"/>
              <w:rPr>
                <w:rFonts w:ascii="Arial Black"/>
              </w:rPr>
            </w:pPr>
            <w:r>
              <w:rPr>
                <w:rFonts w:ascii="Arial Black"/>
                <w:color w:val="FFFFFF"/>
              </w:rPr>
              <w:t>Total</w:t>
            </w:r>
          </w:p>
        </w:tc>
      </w:tr>
      <w:tr w:rsidR="007D76BB">
        <w:trPr>
          <w:trHeight w:val="1074"/>
        </w:trPr>
        <w:tc>
          <w:tcPr>
            <w:tcW w:w="2258" w:type="dxa"/>
          </w:tcPr>
          <w:p w:rsidR="007D76BB" w:rsidRDefault="00D70D28">
            <w:pPr>
              <w:pStyle w:val="TableParagraph"/>
              <w:spacing w:before="119"/>
              <w:ind w:left="107" w:right="619"/>
              <w:rPr>
                <w:b/>
              </w:rPr>
            </w:pPr>
            <w:r>
              <w:rPr>
                <w:b/>
              </w:rPr>
              <w:t>Removed from market</w:t>
            </w:r>
          </w:p>
        </w:tc>
        <w:tc>
          <w:tcPr>
            <w:tcW w:w="1984" w:type="dxa"/>
          </w:tcPr>
          <w:p w:rsidR="007D76BB" w:rsidRDefault="00D70D28">
            <w:pPr>
              <w:pStyle w:val="TableParagraph"/>
              <w:spacing w:before="119" w:line="257" w:lineRule="exact"/>
              <w:ind w:left="108"/>
            </w:pPr>
            <w:r>
              <w:t>225-(180+23+11)</w:t>
            </w:r>
          </w:p>
          <w:p w:rsidR="007D76BB" w:rsidRDefault="00D70D28">
            <w:pPr>
              <w:pStyle w:val="TableParagraph"/>
              <w:spacing w:line="257" w:lineRule="exact"/>
              <w:ind w:left="108"/>
            </w:pPr>
            <w:r>
              <w:t>= 11</w:t>
            </w:r>
          </w:p>
        </w:tc>
        <w:tc>
          <w:tcPr>
            <w:tcW w:w="1996" w:type="dxa"/>
          </w:tcPr>
          <w:p w:rsidR="007D76BB" w:rsidRDefault="00D70D28">
            <w:pPr>
              <w:pStyle w:val="TableParagraph"/>
              <w:spacing w:before="119" w:line="257" w:lineRule="exact"/>
              <w:ind w:left="109"/>
            </w:pPr>
            <w:r>
              <w:t>160- (128+8+8) =</w:t>
            </w:r>
          </w:p>
          <w:p w:rsidR="007D76BB" w:rsidRDefault="00D70D28">
            <w:pPr>
              <w:pStyle w:val="TableParagraph"/>
              <w:spacing w:line="257" w:lineRule="exact"/>
              <w:ind w:left="109"/>
            </w:pPr>
            <w:r>
              <w:t>16</w:t>
            </w:r>
          </w:p>
        </w:tc>
        <w:tc>
          <w:tcPr>
            <w:tcW w:w="1845" w:type="dxa"/>
          </w:tcPr>
          <w:p w:rsidR="007D76BB" w:rsidRDefault="00D70D28">
            <w:pPr>
              <w:pStyle w:val="TableParagraph"/>
              <w:spacing w:before="119" w:line="257" w:lineRule="exact"/>
              <w:ind w:left="110"/>
            </w:pPr>
            <w:r>
              <w:t>271-</w:t>
            </w:r>
          </w:p>
          <w:p w:rsidR="007D76BB" w:rsidRDefault="00D70D28">
            <w:pPr>
              <w:pStyle w:val="TableParagraph"/>
              <w:spacing w:line="257" w:lineRule="exact"/>
              <w:ind w:left="110"/>
            </w:pPr>
            <w:r>
              <w:t>(190+54+14) =</w:t>
            </w:r>
          </w:p>
          <w:p w:rsidR="007D76BB" w:rsidRDefault="00D70D28">
            <w:pPr>
              <w:pStyle w:val="TableParagraph"/>
              <w:spacing w:before="1"/>
              <w:ind w:left="109"/>
            </w:pPr>
            <w:r>
              <w:t>13</w:t>
            </w:r>
          </w:p>
        </w:tc>
        <w:tc>
          <w:tcPr>
            <w:tcW w:w="964" w:type="dxa"/>
          </w:tcPr>
          <w:p w:rsidR="007D76BB" w:rsidRDefault="00D70D28">
            <w:pPr>
              <w:pStyle w:val="TableParagraph"/>
              <w:spacing w:before="119"/>
              <w:ind w:left="110"/>
            </w:pPr>
            <w:r>
              <w:t>40</w:t>
            </w:r>
          </w:p>
        </w:tc>
      </w:tr>
    </w:tbl>
    <w:p w:rsidR="007D76BB" w:rsidRDefault="00D70D28">
      <w:pPr>
        <w:ind w:left="198" w:right="663"/>
        <w:rPr>
          <w:sz w:val="17"/>
        </w:rPr>
      </w:pPr>
      <w:r>
        <w:rPr>
          <w:sz w:val="17"/>
        </w:rPr>
        <w:t>*The 2016 LGC study (2) reported that approximately 20% of sports supplements tested were found to contain ingredients affected under Option 2A. Based on this, it is estimated that 80% of products will not have ingredients affected under Option 2A.</w:t>
      </w:r>
    </w:p>
    <w:p w:rsidR="007D76BB" w:rsidRDefault="00D70D28">
      <w:pPr>
        <w:ind w:left="198" w:right="594"/>
        <w:rPr>
          <w:sz w:val="17"/>
        </w:rPr>
      </w:pPr>
      <w:r>
        <w:rPr>
          <w:sz w:val="17"/>
        </w:rPr>
        <w:t>#The 2016 LGC study reported that approximately 20% of sports supplements were found to contain ingredients that meet the criteria for inclusion under Option 2A. For other product categories, it is estimated that 80% of products do not have these ingredients. However, consultation with industry has suggested pre-workout products may be more likely to contain to contain ingredients of concern, and so it has been estimated that only 70% of these products will not be impacted under Option 2A.</w:t>
      </w:r>
    </w:p>
    <w:p w:rsidR="007D76BB" w:rsidRDefault="00D70D28">
      <w:pPr>
        <w:pStyle w:val="Heading7"/>
        <w:spacing w:before="119"/>
        <w:ind w:right="1172"/>
      </w:pPr>
      <w:r>
        <w:t>Table 19: Estimated number of products (tablets, capsules, pills) in pathway options under Option</w:t>
      </w:r>
      <w:r>
        <w:rPr>
          <w:spacing w:val="-3"/>
        </w:rPr>
        <w:t xml:space="preserve"> </w:t>
      </w:r>
      <w:r>
        <w:t>2A</w:t>
      </w:r>
    </w:p>
    <w:p w:rsidR="007D76BB" w:rsidRDefault="007D76BB">
      <w:pPr>
        <w:pStyle w:val="BodyText"/>
        <w:spacing w:before="4"/>
        <w:rPr>
          <w:b/>
          <w:sz w:val="15"/>
        </w:rPr>
      </w:pPr>
    </w:p>
    <w:tbl>
      <w:tblPr>
        <w:tblW w:w="0" w:type="auto"/>
        <w:tblInd w:w="218" w:type="dxa"/>
        <w:tblBorders>
          <w:top w:val="single" w:sz="8" w:space="0" w:color="002C46"/>
          <w:left w:val="single" w:sz="8" w:space="0" w:color="002C46"/>
          <w:bottom w:val="single" w:sz="8" w:space="0" w:color="002C46"/>
          <w:right w:val="single" w:sz="8" w:space="0" w:color="002C46"/>
          <w:insideH w:val="single" w:sz="8" w:space="0" w:color="002C46"/>
          <w:insideV w:val="single" w:sz="8" w:space="0" w:color="002C46"/>
        </w:tblBorders>
        <w:tblLayout w:type="fixed"/>
        <w:tblCellMar>
          <w:left w:w="0" w:type="dxa"/>
          <w:right w:w="0" w:type="dxa"/>
        </w:tblCellMar>
        <w:tblLook w:val="01E0" w:firstRow="1" w:lastRow="1" w:firstColumn="1" w:lastColumn="1" w:noHBand="0" w:noVBand="0"/>
      </w:tblPr>
      <w:tblGrid>
        <w:gridCol w:w="2258"/>
        <w:gridCol w:w="2268"/>
        <w:gridCol w:w="1560"/>
        <w:gridCol w:w="1702"/>
        <w:gridCol w:w="1263"/>
      </w:tblGrid>
      <w:tr w:rsidR="007D76BB">
        <w:trPr>
          <w:trHeight w:val="1230"/>
        </w:trPr>
        <w:tc>
          <w:tcPr>
            <w:tcW w:w="2258" w:type="dxa"/>
            <w:tcBorders>
              <w:right w:val="nil"/>
            </w:tcBorders>
            <w:shd w:val="clear" w:color="auto" w:fill="006CA7"/>
          </w:tcPr>
          <w:p w:rsidR="007D76BB" w:rsidRDefault="00D70D28">
            <w:pPr>
              <w:pStyle w:val="TableParagraph"/>
              <w:spacing w:before="120"/>
              <w:ind w:left="107" w:right="397"/>
              <w:rPr>
                <w:rFonts w:ascii="Arial Black"/>
              </w:rPr>
            </w:pPr>
            <w:r>
              <w:rPr>
                <w:rFonts w:ascii="Arial Black"/>
                <w:color w:val="FFFFFF"/>
              </w:rPr>
              <w:t>Tablets, capsules, pills</w:t>
            </w:r>
          </w:p>
        </w:tc>
        <w:tc>
          <w:tcPr>
            <w:tcW w:w="2268" w:type="dxa"/>
            <w:tcBorders>
              <w:left w:val="nil"/>
              <w:right w:val="nil"/>
            </w:tcBorders>
            <w:shd w:val="clear" w:color="auto" w:fill="006CA7"/>
          </w:tcPr>
          <w:p w:rsidR="007D76BB" w:rsidRDefault="00D70D28">
            <w:pPr>
              <w:pStyle w:val="TableParagraph"/>
              <w:spacing w:before="120"/>
              <w:ind w:left="117" w:right="884"/>
              <w:rPr>
                <w:rFonts w:ascii="Arial Black"/>
              </w:rPr>
            </w:pPr>
            <w:r>
              <w:rPr>
                <w:rFonts w:ascii="Arial Black"/>
                <w:color w:val="FFFFFF"/>
              </w:rPr>
              <w:t>Fat burner products</w:t>
            </w:r>
          </w:p>
        </w:tc>
        <w:tc>
          <w:tcPr>
            <w:tcW w:w="1560" w:type="dxa"/>
            <w:tcBorders>
              <w:left w:val="nil"/>
              <w:right w:val="nil"/>
            </w:tcBorders>
            <w:shd w:val="clear" w:color="auto" w:fill="006CA7"/>
          </w:tcPr>
          <w:p w:rsidR="007D76BB" w:rsidRDefault="00D70D28">
            <w:pPr>
              <w:pStyle w:val="TableParagraph"/>
              <w:spacing w:before="120"/>
              <w:ind w:left="117" w:right="359"/>
              <w:rPr>
                <w:rFonts w:ascii="Arial Black"/>
              </w:rPr>
            </w:pPr>
            <w:r>
              <w:rPr>
                <w:rFonts w:ascii="Arial Black"/>
                <w:color w:val="FFFFFF"/>
              </w:rPr>
              <w:t>Post- workout products</w:t>
            </w:r>
          </w:p>
        </w:tc>
        <w:tc>
          <w:tcPr>
            <w:tcW w:w="1702" w:type="dxa"/>
            <w:tcBorders>
              <w:left w:val="nil"/>
              <w:right w:val="nil"/>
            </w:tcBorders>
            <w:shd w:val="clear" w:color="auto" w:fill="006CA7"/>
          </w:tcPr>
          <w:p w:rsidR="007D76BB" w:rsidRDefault="00D70D28">
            <w:pPr>
              <w:pStyle w:val="TableParagraph"/>
              <w:spacing w:before="120"/>
              <w:ind w:left="117" w:right="98"/>
              <w:rPr>
                <w:rFonts w:ascii="Arial Black"/>
              </w:rPr>
            </w:pPr>
            <w:r>
              <w:rPr>
                <w:rFonts w:ascii="Arial Black"/>
                <w:color w:val="FFFFFF"/>
              </w:rPr>
              <w:t>Pre-workout products</w:t>
            </w:r>
          </w:p>
        </w:tc>
        <w:tc>
          <w:tcPr>
            <w:tcW w:w="1263" w:type="dxa"/>
            <w:tcBorders>
              <w:left w:val="nil"/>
            </w:tcBorders>
            <w:shd w:val="clear" w:color="auto" w:fill="006CA7"/>
          </w:tcPr>
          <w:p w:rsidR="007D76BB" w:rsidRDefault="00D70D28">
            <w:pPr>
              <w:pStyle w:val="TableParagraph"/>
              <w:spacing w:before="120"/>
              <w:ind w:left="117" w:right="187"/>
              <w:rPr>
                <w:rFonts w:ascii="Arial Black"/>
              </w:rPr>
            </w:pPr>
            <w:r>
              <w:rPr>
                <w:rFonts w:ascii="Arial Black"/>
                <w:color w:val="FFFFFF"/>
              </w:rPr>
              <w:t>Total product s</w:t>
            </w:r>
          </w:p>
        </w:tc>
      </w:tr>
      <w:tr w:rsidR="007D76BB">
        <w:trPr>
          <w:trHeight w:val="558"/>
        </w:trPr>
        <w:tc>
          <w:tcPr>
            <w:tcW w:w="2258" w:type="dxa"/>
          </w:tcPr>
          <w:p w:rsidR="007D76BB" w:rsidRDefault="00D70D28">
            <w:pPr>
              <w:pStyle w:val="TableParagraph"/>
              <w:spacing w:before="119"/>
              <w:ind w:left="107"/>
              <w:rPr>
                <w:b/>
              </w:rPr>
            </w:pPr>
            <w:r>
              <w:rPr>
                <w:b/>
              </w:rPr>
              <w:t>No action required*</w:t>
            </w:r>
          </w:p>
        </w:tc>
        <w:tc>
          <w:tcPr>
            <w:tcW w:w="2268" w:type="dxa"/>
          </w:tcPr>
          <w:p w:rsidR="007D76BB" w:rsidRDefault="00D70D28">
            <w:pPr>
              <w:pStyle w:val="TableParagraph"/>
              <w:spacing w:before="119"/>
              <w:ind w:left="108"/>
            </w:pPr>
            <w:r>
              <w:t>~20*</w:t>
            </w:r>
          </w:p>
        </w:tc>
        <w:tc>
          <w:tcPr>
            <w:tcW w:w="1560" w:type="dxa"/>
          </w:tcPr>
          <w:p w:rsidR="007D76BB" w:rsidRDefault="00D70D28">
            <w:pPr>
              <w:pStyle w:val="TableParagraph"/>
              <w:spacing w:before="119"/>
              <w:ind w:left="108"/>
            </w:pPr>
            <w:r>
              <w:t>~2*</w:t>
            </w:r>
          </w:p>
        </w:tc>
        <w:tc>
          <w:tcPr>
            <w:tcW w:w="1702" w:type="dxa"/>
          </w:tcPr>
          <w:p w:rsidR="007D76BB" w:rsidRDefault="00D70D28">
            <w:pPr>
              <w:pStyle w:val="TableParagraph"/>
              <w:spacing w:before="119"/>
              <w:ind w:left="107"/>
            </w:pPr>
            <w:r>
              <w:t>~2*</w:t>
            </w:r>
          </w:p>
        </w:tc>
        <w:tc>
          <w:tcPr>
            <w:tcW w:w="1263" w:type="dxa"/>
          </w:tcPr>
          <w:p w:rsidR="007D76BB" w:rsidRDefault="00D70D28">
            <w:pPr>
              <w:pStyle w:val="TableParagraph"/>
              <w:spacing w:before="119"/>
              <w:ind w:left="107"/>
            </w:pPr>
            <w:r>
              <w:t>~24*</w:t>
            </w:r>
          </w:p>
        </w:tc>
      </w:tr>
      <w:tr w:rsidR="007D76BB">
        <w:trPr>
          <w:trHeight w:val="712"/>
        </w:trPr>
        <w:tc>
          <w:tcPr>
            <w:tcW w:w="2258" w:type="dxa"/>
          </w:tcPr>
          <w:p w:rsidR="007D76BB" w:rsidRDefault="00D70D28">
            <w:pPr>
              <w:pStyle w:val="TableParagraph"/>
              <w:spacing w:before="119"/>
              <w:ind w:left="107"/>
              <w:rPr>
                <w:b/>
              </w:rPr>
            </w:pPr>
            <w:r>
              <w:rPr>
                <w:b/>
              </w:rPr>
              <w:t>Reformulate</w:t>
            </w:r>
          </w:p>
        </w:tc>
        <w:tc>
          <w:tcPr>
            <w:tcW w:w="2268" w:type="dxa"/>
          </w:tcPr>
          <w:p w:rsidR="007D76BB" w:rsidRDefault="00D70D28">
            <w:pPr>
              <w:pStyle w:val="TableParagraph"/>
              <w:spacing w:before="119"/>
              <w:ind w:left="107"/>
            </w:pPr>
            <w:r>
              <w:t>114 (5% ) = 6</w:t>
            </w:r>
          </w:p>
        </w:tc>
        <w:tc>
          <w:tcPr>
            <w:tcW w:w="1560" w:type="dxa"/>
          </w:tcPr>
          <w:p w:rsidR="007D76BB" w:rsidRDefault="00D70D28">
            <w:pPr>
              <w:pStyle w:val="TableParagraph"/>
              <w:spacing w:before="119"/>
              <w:ind w:left="107"/>
            </w:pPr>
            <w:r>
              <w:t>9 (5%) = 1</w:t>
            </w:r>
          </w:p>
        </w:tc>
        <w:tc>
          <w:tcPr>
            <w:tcW w:w="1702" w:type="dxa"/>
          </w:tcPr>
          <w:p w:rsidR="007D76BB" w:rsidRDefault="00D70D28">
            <w:pPr>
              <w:pStyle w:val="TableParagraph"/>
              <w:spacing w:before="119"/>
              <w:ind w:left="107"/>
            </w:pPr>
            <w:r>
              <w:t>9 (5%) = 1</w:t>
            </w:r>
          </w:p>
        </w:tc>
        <w:tc>
          <w:tcPr>
            <w:tcW w:w="1263" w:type="dxa"/>
          </w:tcPr>
          <w:p w:rsidR="007D76BB" w:rsidRDefault="00D70D28">
            <w:pPr>
              <w:pStyle w:val="TableParagraph"/>
              <w:spacing w:before="119"/>
              <w:ind w:left="107"/>
            </w:pPr>
            <w:r>
              <w:t>8</w:t>
            </w:r>
          </w:p>
        </w:tc>
      </w:tr>
      <w:tr w:rsidR="007D76BB">
        <w:trPr>
          <w:trHeight w:val="558"/>
        </w:trPr>
        <w:tc>
          <w:tcPr>
            <w:tcW w:w="2258" w:type="dxa"/>
          </w:tcPr>
          <w:p w:rsidR="007D76BB" w:rsidRDefault="00D70D28">
            <w:pPr>
              <w:pStyle w:val="TableParagraph"/>
              <w:spacing w:before="121"/>
              <w:ind w:left="107"/>
              <w:rPr>
                <w:b/>
              </w:rPr>
            </w:pPr>
            <w:r>
              <w:rPr>
                <w:b/>
              </w:rPr>
              <w:t>ARTG entry</w:t>
            </w:r>
          </w:p>
        </w:tc>
        <w:tc>
          <w:tcPr>
            <w:tcW w:w="2268" w:type="dxa"/>
          </w:tcPr>
          <w:p w:rsidR="007D76BB" w:rsidRDefault="00D70D28">
            <w:pPr>
              <w:pStyle w:val="TableParagraph"/>
              <w:spacing w:before="121"/>
              <w:ind w:left="107"/>
            </w:pPr>
            <w:r>
              <w:t>114 (40% ) = 46</w:t>
            </w:r>
          </w:p>
        </w:tc>
        <w:tc>
          <w:tcPr>
            <w:tcW w:w="1560" w:type="dxa"/>
          </w:tcPr>
          <w:p w:rsidR="007D76BB" w:rsidRDefault="00D70D28">
            <w:pPr>
              <w:pStyle w:val="TableParagraph"/>
              <w:spacing w:before="121"/>
              <w:ind w:left="107"/>
            </w:pPr>
            <w:r>
              <w:t>9 (40%) = 4</w:t>
            </w:r>
          </w:p>
        </w:tc>
        <w:tc>
          <w:tcPr>
            <w:tcW w:w="1702" w:type="dxa"/>
          </w:tcPr>
          <w:p w:rsidR="007D76BB" w:rsidRDefault="00D70D28">
            <w:pPr>
              <w:pStyle w:val="TableParagraph"/>
              <w:spacing w:before="121"/>
              <w:ind w:left="107"/>
            </w:pPr>
            <w:r>
              <w:t>9 (40%) = 4</w:t>
            </w:r>
          </w:p>
        </w:tc>
        <w:tc>
          <w:tcPr>
            <w:tcW w:w="1263" w:type="dxa"/>
          </w:tcPr>
          <w:p w:rsidR="007D76BB" w:rsidRDefault="00D70D28">
            <w:pPr>
              <w:pStyle w:val="TableParagraph"/>
              <w:spacing w:before="121"/>
              <w:ind w:left="107"/>
            </w:pPr>
            <w:r>
              <w:t>54</w:t>
            </w:r>
          </w:p>
        </w:tc>
      </w:tr>
      <w:tr w:rsidR="007D76BB">
        <w:trPr>
          <w:trHeight w:val="817"/>
        </w:trPr>
        <w:tc>
          <w:tcPr>
            <w:tcW w:w="2258" w:type="dxa"/>
          </w:tcPr>
          <w:p w:rsidR="007D76BB" w:rsidRDefault="00D70D28">
            <w:pPr>
              <w:pStyle w:val="TableParagraph"/>
              <w:spacing w:before="119"/>
              <w:ind w:left="107" w:right="619"/>
              <w:rPr>
                <w:b/>
              </w:rPr>
            </w:pPr>
            <w:r>
              <w:rPr>
                <w:b/>
              </w:rPr>
              <w:t>Removed from market</w:t>
            </w:r>
          </w:p>
        </w:tc>
        <w:tc>
          <w:tcPr>
            <w:tcW w:w="2268" w:type="dxa"/>
          </w:tcPr>
          <w:p w:rsidR="007D76BB" w:rsidRDefault="00D70D28">
            <w:pPr>
              <w:pStyle w:val="TableParagraph"/>
              <w:spacing w:before="119"/>
              <w:ind w:left="108"/>
            </w:pPr>
            <w:r>
              <w:t>114 –(20+6+46) = 42</w:t>
            </w:r>
          </w:p>
        </w:tc>
        <w:tc>
          <w:tcPr>
            <w:tcW w:w="1560" w:type="dxa"/>
          </w:tcPr>
          <w:p w:rsidR="007D76BB" w:rsidRDefault="00D70D28">
            <w:pPr>
              <w:pStyle w:val="TableParagraph"/>
              <w:spacing w:before="119"/>
              <w:ind w:left="107"/>
            </w:pPr>
            <w:r>
              <w:t>9 –(2+1+4) =</w:t>
            </w:r>
          </w:p>
          <w:p w:rsidR="007D76BB" w:rsidRDefault="00D70D28">
            <w:pPr>
              <w:pStyle w:val="TableParagraph"/>
              <w:spacing w:before="1"/>
              <w:ind w:left="107"/>
            </w:pPr>
            <w:r>
              <w:t>2</w:t>
            </w:r>
          </w:p>
        </w:tc>
        <w:tc>
          <w:tcPr>
            <w:tcW w:w="1702" w:type="dxa"/>
          </w:tcPr>
          <w:p w:rsidR="007D76BB" w:rsidRDefault="00D70D28">
            <w:pPr>
              <w:pStyle w:val="TableParagraph"/>
              <w:spacing w:before="119"/>
              <w:ind w:left="107"/>
            </w:pPr>
            <w:r>
              <w:t>9 –(2+1+4) = 2</w:t>
            </w:r>
          </w:p>
        </w:tc>
        <w:tc>
          <w:tcPr>
            <w:tcW w:w="1263" w:type="dxa"/>
          </w:tcPr>
          <w:p w:rsidR="007D76BB" w:rsidRDefault="00D70D28">
            <w:pPr>
              <w:pStyle w:val="TableParagraph"/>
              <w:spacing w:before="119"/>
              <w:ind w:left="107"/>
            </w:pPr>
            <w:r>
              <w:t>46</w:t>
            </w:r>
          </w:p>
        </w:tc>
      </w:tr>
    </w:tbl>
    <w:p w:rsidR="007D76BB" w:rsidRDefault="00D70D28">
      <w:pPr>
        <w:ind w:left="198" w:right="1548"/>
        <w:rPr>
          <w:sz w:val="17"/>
        </w:rPr>
      </w:pPr>
      <w:r>
        <w:rPr>
          <w:sz w:val="17"/>
        </w:rPr>
        <w:t>*Estimated number of products already in the ARTG, based on product presentation and indications referring to performance in</w:t>
      </w:r>
      <w:r>
        <w:rPr>
          <w:spacing w:val="-1"/>
          <w:sz w:val="17"/>
        </w:rPr>
        <w:t xml:space="preserve"> </w:t>
      </w:r>
      <w:r>
        <w:rPr>
          <w:sz w:val="17"/>
        </w:rPr>
        <w:t>sports.</w:t>
      </w:r>
    </w:p>
    <w:p w:rsidR="007D76BB" w:rsidRDefault="00D70D28">
      <w:pPr>
        <w:pStyle w:val="BodyText"/>
        <w:spacing w:before="120"/>
        <w:ind w:left="198" w:right="1359" w:hanging="1"/>
      </w:pPr>
      <w:r>
        <w:t>Using the above figures, approximately 86 products (~46 tablets, capsules, pills and ~40 powders) may need to be removed from the market.</w:t>
      </w:r>
    </w:p>
    <w:p w:rsidR="007D76BB" w:rsidRDefault="00D70D28">
      <w:pPr>
        <w:pStyle w:val="BodyText"/>
        <w:spacing w:before="180"/>
        <w:ind w:left="198" w:right="746"/>
      </w:pPr>
      <w:r>
        <w:t>It should be noted that the products affected under the proposal are considered to pose an inappropriate level of potential risk to consumers for a food and may already be unlawful/non- compliant products under existing legislation. While the removal of products from the market may reduce the choice available to consumers, the products that remain on the market will be regulated commensurate with the safety profile of food or medicines.</w:t>
      </w:r>
    </w:p>
    <w:p w:rsidR="007D76BB" w:rsidRDefault="00D70D28">
      <w:pPr>
        <w:pStyle w:val="BodyText"/>
        <w:spacing w:before="179"/>
        <w:ind w:left="198" w:right="698"/>
      </w:pPr>
      <w:r>
        <w:t xml:space="preserve">The impact on the industry in relation to potential revenue and job losses from withdrawal of products from the market is not known. While industry feedback has indicated a preference to either reformulate or exit the market to avoid regulation as a therapeutic good, this remains speculative (and has been provided within the context of manufacturers being opposed to the proposal). The medium to long-term view may see a market opportunity being </w:t>
      </w:r>
      <w:proofErr w:type="spellStart"/>
      <w:r>
        <w:t>capitalised</w:t>
      </w:r>
      <w:proofErr w:type="spellEnd"/>
      <w:r>
        <w:t xml:space="preserve"> upon by existing manufacturers with GMP certified facilities in order to replace products withdrawn from the market (Noetic- </w:t>
      </w:r>
      <w:hyperlink w:anchor="_bookmark67" w:history="1">
        <w:r>
          <w:rPr>
            <w:color w:val="0000FF"/>
            <w:u w:val="single" w:color="0000FF"/>
          </w:rPr>
          <w:t>Appendix 1</w:t>
        </w:r>
      </w:hyperlink>
      <w:r>
        <w:t>).</w:t>
      </w:r>
    </w:p>
    <w:p w:rsidR="007D76BB" w:rsidRDefault="00D70D28">
      <w:pPr>
        <w:pStyle w:val="BodyText"/>
        <w:spacing w:before="180"/>
        <w:ind w:left="198" w:right="649"/>
      </w:pPr>
      <w:r>
        <w:t xml:space="preserve">It is difficult to comment on the viability of existing retailers following any product withdrawals. The 2019 </w:t>
      </w:r>
      <w:proofErr w:type="spellStart"/>
      <w:r>
        <w:t>Euromonitor</w:t>
      </w:r>
      <w:proofErr w:type="spellEnd"/>
      <w:r>
        <w:t xml:space="preserve"> report states that sports protein products account for 70% of 2019 sports nutrition product sales in Australia and that 50% of these protein products are in the</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8" w:right="607"/>
      </w:pPr>
      <w:proofErr w:type="gramStart"/>
      <w:r>
        <w:t>presentation</w:t>
      </w:r>
      <w:proofErr w:type="gramEnd"/>
      <w:r>
        <w:t xml:space="preserve"> of powders (21). These products are unlikely to be impacted by the proposal as they are less likely to be presented as tablets, capsules or pills and reportedly less likely to contain high-risk ingredients. The remaining approximately 30% of sports nutrition sales (representing non-protein products) may include a proportion of products impacted by Option 2A, which may result in a loss of a retailer’s product range and sales. However, a proportion of those impacted products may be reformulated or included in the ARTG (as outlined in the Noetic Report and in Table 19) and remain on the market.</w:t>
      </w:r>
    </w:p>
    <w:p w:rsidR="007D76BB" w:rsidRDefault="00D70D28">
      <w:pPr>
        <w:pStyle w:val="BodyText"/>
        <w:spacing w:before="182"/>
        <w:ind w:left="198" w:right="836"/>
      </w:pPr>
      <w:r>
        <w:t>A potential impact on sales was considered when recommending a 3-year transition period, in order to allow businesses a reasonable transition time to manage their product range, stock levels and develop alternative product lines.</w:t>
      </w:r>
    </w:p>
    <w:p w:rsidR="007D76BB" w:rsidRDefault="007D76BB">
      <w:pPr>
        <w:pStyle w:val="BodyText"/>
        <w:spacing w:before="5"/>
        <w:rPr>
          <w:sz w:val="20"/>
        </w:rPr>
      </w:pPr>
    </w:p>
    <w:p w:rsidR="007D76BB" w:rsidRDefault="00D70D28">
      <w:pPr>
        <w:pStyle w:val="Heading5"/>
      </w:pPr>
      <w:bookmarkStart w:id="94" w:name="_bookmark44"/>
      <w:bookmarkEnd w:id="94"/>
      <w:r>
        <w:rPr>
          <w:color w:val="001422"/>
        </w:rPr>
        <w:t>Benefits and negative impacts of Option 2A</w:t>
      </w:r>
    </w:p>
    <w:p w:rsidR="007D76BB" w:rsidRDefault="00D70D28">
      <w:pPr>
        <w:pStyle w:val="Heading7"/>
        <w:spacing w:before="120"/>
      </w:pPr>
      <w:r>
        <w:t>Benefits of Option 2A for industry</w:t>
      </w:r>
    </w:p>
    <w:p w:rsidR="007D76BB" w:rsidRDefault="00D70D28">
      <w:pPr>
        <w:pStyle w:val="BodyText"/>
        <w:spacing w:before="181"/>
        <w:ind w:left="198" w:right="1833"/>
      </w:pPr>
      <w:r>
        <w:t>Option 2A will provide long-sought clarity for manufacturers and retailers of sports supplements and reduce their risk of accidental non-compliance.</w:t>
      </w:r>
    </w:p>
    <w:p w:rsidR="007D76BB" w:rsidRDefault="00D70D28">
      <w:pPr>
        <w:pStyle w:val="BodyText"/>
        <w:spacing w:before="180"/>
        <w:ind w:left="198" w:right="595"/>
      </w:pPr>
      <w:r>
        <w:t>The improvement in enforcement efficiency and the legal standing of products will see products that are harmful and/or unlawfully supplied removed from the market more effectively, providing support and incentive to those manufacturers who are diligent in ensuring they are fulfilling their regulatory obligations. Several members of industry noted they felt that the lack of enforcement put them at a disadvantage compared to manufacturers willing to include dangerous or prohibited substances in their products. Option 2A would go towards resolving this concern. It will also assist in lifting the reputation of Australian sports supplements in terms of safety and quality, which may boost consumer confidence both within Australia and in international</w:t>
      </w:r>
      <w:r>
        <w:rPr>
          <w:spacing w:val="-2"/>
        </w:rPr>
        <w:t xml:space="preserve"> </w:t>
      </w:r>
      <w:r>
        <w:t>markets.</w:t>
      </w:r>
    </w:p>
    <w:p w:rsidR="007D76BB" w:rsidRDefault="00D70D28">
      <w:pPr>
        <w:pStyle w:val="BodyText"/>
        <w:spacing w:before="179"/>
        <w:ind w:left="198" w:right="621"/>
      </w:pPr>
      <w:r>
        <w:t>Providing clarity about which imported sports supplements meet compliance standards will enable the Department of Agriculture, Water and the Environment and the Australian Border Force to more readily detect products entering the country unlawfully. This will enable prompt regulatory action for imported sports supplements not compliant with the Australian regulatory framework, including those imported under the Personal importation Scheme. This may provide a marketing advantage for Australian sponsors and manufacturers of sports supplements who are ‘doing the right thing’ and are compliant with Australian legislation.</w:t>
      </w:r>
    </w:p>
    <w:p w:rsidR="007D76BB" w:rsidRDefault="00D70D28">
      <w:pPr>
        <w:pStyle w:val="BodyText"/>
        <w:spacing w:before="180"/>
        <w:ind w:left="198" w:right="582"/>
      </w:pPr>
      <w:r>
        <w:t>Industry asserts that restrictions on the product claims, ingredients and presentations permitted for use in sports supplements will reduce Australia’s competitiveness in the global market.</w:t>
      </w:r>
    </w:p>
    <w:p w:rsidR="007D76BB" w:rsidRDefault="00D70D28">
      <w:pPr>
        <w:pStyle w:val="BodyText"/>
        <w:ind w:left="198" w:right="782"/>
      </w:pPr>
      <w:r>
        <w:t>However, there is also a potential for increased competitiveness in the overseas market, due to the strong reputation of Australian listed medicines and regulation by the TGA.</w:t>
      </w:r>
    </w:p>
    <w:p w:rsidR="007D76BB" w:rsidRDefault="00D70D28">
      <w:pPr>
        <w:pStyle w:val="Heading7"/>
      </w:pPr>
      <w:r>
        <w:t>Negative impact of Option 2A for industry</w:t>
      </w:r>
    </w:p>
    <w:p w:rsidR="007D76BB" w:rsidRDefault="00D70D28">
      <w:pPr>
        <w:pStyle w:val="BodyText"/>
        <w:spacing w:before="179"/>
        <w:ind w:left="198" w:right="946"/>
      </w:pPr>
      <w:r>
        <w:lastRenderedPageBreak/>
        <w:t xml:space="preserve">The product manufacturer/owner of products in scope may incur increased regulatory costs, depending on which pathway they choose for their product - see </w:t>
      </w:r>
      <w:hyperlink w:anchor="_bookmark43" w:history="1">
        <w:r>
          <w:rPr>
            <w:color w:val="0000FF"/>
            <w:u w:val="single" w:color="0000FF"/>
          </w:rPr>
          <w:t>Potential action for</w:t>
        </w:r>
      </w:hyperlink>
      <w:r>
        <w:rPr>
          <w:color w:val="0000FF"/>
        </w:rPr>
        <w:t xml:space="preserve"> </w:t>
      </w:r>
      <w:hyperlink w:anchor="_bookmark43" w:history="1">
        <w:r>
          <w:rPr>
            <w:color w:val="0000FF"/>
            <w:u w:val="single" w:color="0000FF"/>
          </w:rPr>
          <w:t>manufacturers of products in scope.</w:t>
        </w:r>
      </w:hyperlink>
    </w:p>
    <w:p w:rsidR="007D76BB" w:rsidRDefault="00D70D28">
      <w:pPr>
        <w:pStyle w:val="BodyText"/>
        <w:spacing w:before="182"/>
        <w:ind w:left="198" w:right="723"/>
      </w:pPr>
      <w:r>
        <w:t>The increased regulatory costs for these sports supplements (for example: associated with reformulation or being entered in the ARTG as therapeutic goods) could result in increased prices for consumers and potentially a decline in sales. It is recognised that cost is a significant factor determining consumer purchasing choices. However, the consumers who purchase these products appear willing to pay a premium price for sports supplements promoted to increase their performance and paying extra for a safe product may not be deterrent for all consumers.</w:t>
      </w:r>
    </w:p>
    <w:p w:rsidR="007D76BB" w:rsidRDefault="00D70D28">
      <w:pPr>
        <w:pStyle w:val="BodyText"/>
        <w:spacing w:before="180"/>
        <w:ind w:left="198" w:right="695"/>
      </w:pPr>
      <w:r>
        <w:t>Some industry stakeholders claim that, as a result of expected reduction in product lines arising from the regulatory clarification, there is likely to be a shift in consumer purchasing behavior, with consumers increasing the number of goods purchased from overseas online retailers.</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7" w:right="609"/>
      </w:pPr>
      <w:r>
        <w:t>Sports supplements products are often sold in a ‘bundle’. For example, a pre-workout, fat burner and a recovery product. Consumers may buy, not only the in-scope products such as the pre- workout, but the other non-affected products (secondary sales), such as general health products, from overseas online retailers. However, this trend in consumer purchasing already occurs and is also likely affected by other factors such as exchange rates, irrespective of the proposed regulatory clarification.</w:t>
      </w:r>
    </w:p>
    <w:p w:rsidR="007D76BB" w:rsidRDefault="00D70D28">
      <w:pPr>
        <w:pStyle w:val="Heading7"/>
        <w:spacing w:before="181"/>
        <w:ind w:left="197"/>
      </w:pPr>
      <w:bookmarkStart w:id="95" w:name="_bookmark45"/>
      <w:bookmarkEnd w:id="95"/>
      <w:r>
        <w:t>Benefits of Option 2A for consumers</w:t>
      </w:r>
    </w:p>
    <w:p w:rsidR="007D76BB" w:rsidRDefault="00D70D28">
      <w:pPr>
        <w:pStyle w:val="BodyText"/>
        <w:spacing w:before="181"/>
        <w:ind w:left="197" w:right="740"/>
      </w:pPr>
      <w:r>
        <w:t>The benefits to consumers achieved under Option 2A include an improvement in the safety and confidence with which they will be able to purchase and consume sports supplements in Australia.</w:t>
      </w:r>
    </w:p>
    <w:p w:rsidR="007D76BB" w:rsidRDefault="00D70D28">
      <w:pPr>
        <w:pStyle w:val="BodyText"/>
        <w:spacing w:before="179"/>
        <w:ind w:left="197" w:right="613"/>
      </w:pPr>
      <w:r>
        <w:t>Implementation of option 2 is anticipated to reduce the number of serious adverse events experienced by otherwise healthy individuals who consume sports supplement products, as well as reducing the risk to athletes of inadvertent doping due to contaminated/adulterated products.</w:t>
      </w:r>
    </w:p>
    <w:p w:rsidR="007D76BB" w:rsidRDefault="00D70D28">
      <w:pPr>
        <w:pStyle w:val="BodyText"/>
        <w:spacing w:before="180"/>
        <w:ind w:left="197" w:right="749"/>
      </w:pPr>
      <w:r>
        <w:t>The legal clarity provided by Option 2A will provide for prompt action being able to be taken against products found to pose a safety risk to consumers, such as those that contain scheduled ingredients.</w:t>
      </w:r>
    </w:p>
    <w:p w:rsidR="007D76BB" w:rsidRDefault="00D70D28">
      <w:pPr>
        <w:pStyle w:val="Heading7"/>
        <w:spacing w:before="179"/>
        <w:ind w:left="197"/>
      </w:pPr>
      <w:r>
        <w:t>Negative impact of Option 2A for consumers</w:t>
      </w:r>
    </w:p>
    <w:p w:rsidR="007D76BB" w:rsidRDefault="00D70D28">
      <w:pPr>
        <w:pStyle w:val="BodyText"/>
        <w:spacing w:before="182"/>
        <w:ind w:left="197" w:right="708"/>
      </w:pPr>
      <w:r>
        <w:t>Consumers may face a reduction in product choice because of the implementation of Option 2A. Owners of some affected products may withdraw the product from the market rather than choose to transition to therapeutic goods regulation, which will decrease the consumer choice available in the short-term. It is difficult to estimate future populations, noting that the industry is growing in Australia and internationally, however, it is reasonable to expect that some of the products withdrawn will be replaced in time by other companies willing to progress down the therapeutic goods pathway.</w:t>
      </w:r>
    </w:p>
    <w:p w:rsidR="007D76BB" w:rsidRDefault="00D70D28">
      <w:pPr>
        <w:pStyle w:val="BodyText"/>
        <w:spacing w:before="179"/>
        <w:ind w:left="197" w:right="701"/>
      </w:pPr>
      <w:r>
        <w:t>Products that transition to the therapeutic goods regulatory framework are anticipated to incur additional costs, much of which may be passed on to the consumer, increasing product costs.</w:t>
      </w:r>
    </w:p>
    <w:p w:rsidR="007D76BB" w:rsidRDefault="00D70D28">
      <w:pPr>
        <w:pStyle w:val="BodyText"/>
        <w:ind w:left="197" w:right="993"/>
      </w:pPr>
      <w:r>
        <w:t>While there may be some consumers willing to pay a premium in order to gain additional assurances of safety and quality, increased cost may be a disincentive for purchases by other consumers.</w:t>
      </w:r>
    </w:p>
    <w:p w:rsidR="007D76BB" w:rsidRDefault="00D70D28">
      <w:pPr>
        <w:pStyle w:val="BodyText"/>
        <w:spacing w:before="179"/>
        <w:ind w:left="197" w:right="616"/>
      </w:pPr>
      <w:r>
        <w:t>The potential for a greater portion of consumers to purchase products online under the Personal Importation Scheme may expose consumers to additional risks. The safety of imported products is not known as these products are not regulated by the TGA. There is also a risk for consumers that if an import of therapeutic goods is made that does not comply with the rules of the Personal Importation Scheme (such as including Schedule 4 or 8 substances without relevant approval), the importer may be charged with an offence under the TG</w:t>
      </w:r>
      <w:r>
        <w:rPr>
          <w:spacing w:val="-19"/>
        </w:rPr>
        <w:t xml:space="preserve"> </w:t>
      </w:r>
      <w:r>
        <w:t>Act.</w:t>
      </w:r>
    </w:p>
    <w:p w:rsidR="007D76BB" w:rsidRDefault="00D70D28">
      <w:pPr>
        <w:pStyle w:val="BodyText"/>
        <w:spacing w:before="180"/>
        <w:ind w:left="197"/>
      </w:pPr>
      <w:r>
        <w:lastRenderedPageBreak/>
        <w:t xml:space="preserve">Table 20 </w:t>
      </w:r>
      <w:proofErr w:type="spellStart"/>
      <w:r>
        <w:t>summarises</w:t>
      </w:r>
      <w:proofErr w:type="spellEnd"/>
      <w:r>
        <w:t xml:space="preserve"> the impacts on stakeholders of the implementation of 2A.</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Heading7"/>
        <w:spacing w:before="101"/>
      </w:pPr>
      <w:r>
        <w:t>Table 20: Summary of impacts on stakeholders from implementation of Option 2A</w:t>
      </w:r>
    </w:p>
    <w:p w:rsidR="007D76BB" w:rsidRDefault="007D76BB">
      <w:pPr>
        <w:pStyle w:val="BodyText"/>
        <w:spacing w:before="6"/>
        <w:rPr>
          <w:b/>
          <w:sz w:val="15"/>
        </w:rPr>
      </w:pPr>
    </w:p>
    <w:tbl>
      <w:tblPr>
        <w:tblW w:w="0" w:type="auto"/>
        <w:tblInd w:w="218" w:type="dxa"/>
        <w:tblBorders>
          <w:top w:val="single" w:sz="8" w:space="0" w:color="002C46"/>
          <w:left w:val="single" w:sz="8" w:space="0" w:color="002C46"/>
          <w:bottom w:val="single" w:sz="8" w:space="0" w:color="002C46"/>
          <w:right w:val="single" w:sz="8" w:space="0" w:color="002C46"/>
          <w:insideH w:val="single" w:sz="8" w:space="0" w:color="002C46"/>
          <w:insideV w:val="single" w:sz="8" w:space="0" w:color="002C46"/>
        </w:tblBorders>
        <w:tblLayout w:type="fixed"/>
        <w:tblCellMar>
          <w:left w:w="0" w:type="dxa"/>
          <w:right w:w="0" w:type="dxa"/>
        </w:tblCellMar>
        <w:tblLook w:val="01E0" w:firstRow="1" w:lastRow="1" w:firstColumn="1" w:lastColumn="1" w:noHBand="0" w:noVBand="0"/>
      </w:tblPr>
      <w:tblGrid>
        <w:gridCol w:w="1718"/>
        <w:gridCol w:w="3801"/>
        <w:gridCol w:w="3530"/>
      </w:tblGrid>
      <w:tr w:rsidR="007D76BB">
        <w:trPr>
          <w:trHeight w:val="611"/>
        </w:trPr>
        <w:tc>
          <w:tcPr>
            <w:tcW w:w="1718" w:type="dxa"/>
            <w:tcBorders>
              <w:right w:val="nil"/>
            </w:tcBorders>
            <w:shd w:val="clear" w:color="auto" w:fill="006CA7"/>
          </w:tcPr>
          <w:p w:rsidR="007D76BB" w:rsidRDefault="00D70D28">
            <w:pPr>
              <w:pStyle w:val="TableParagraph"/>
              <w:spacing w:before="120"/>
              <w:ind w:left="107"/>
              <w:rPr>
                <w:rFonts w:ascii="Arial Black"/>
              </w:rPr>
            </w:pPr>
            <w:r>
              <w:rPr>
                <w:rFonts w:ascii="Arial Black"/>
                <w:color w:val="FFFFFF"/>
              </w:rPr>
              <w:t>Stakeholder</w:t>
            </w:r>
          </w:p>
        </w:tc>
        <w:tc>
          <w:tcPr>
            <w:tcW w:w="3801" w:type="dxa"/>
            <w:tcBorders>
              <w:left w:val="nil"/>
              <w:right w:val="nil"/>
            </w:tcBorders>
            <w:shd w:val="clear" w:color="auto" w:fill="006CA7"/>
          </w:tcPr>
          <w:p w:rsidR="007D76BB" w:rsidRDefault="00D70D28">
            <w:pPr>
              <w:pStyle w:val="TableParagraph"/>
              <w:spacing w:before="120"/>
              <w:ind w:left="117"/>
              <w:rPr>
                <w:rFonts w:ascii="Arial Black"/>
              </w:rPr>
            </w:pPr>
            <w:r>
              <w:rPr>
                <w:rFonts w:ascii="Arial Black"/>
                <w:color w:val="FFFFFF"/>
              </w:rPr>
              <w:t>Benefits</w:t>
            </w:r>
          </w:p>
        </w:tc>
        <w:tc>
          <w:tcPr>
            <w:tcW w:w="3530" w:type="dxa"/>
            <w:tcBorders>
              <w:left w:val="nil"/>
            </w:tcBorders>
            <w:shd w:val="clear" w:color="auto" w:fill="006CA7"/>
          </w:tcPr>
          <w:p w:rsidR="007D76BB" w:rsidRDefault="00D70D28">
            <w:pPr>
              <w:pStyle w:val="TableParagraph"/>
              <w:spacing w:before="120"/>
              <w:ind w:left="118"/>
              <w:rPr>
                <w:rFonts w:ascii="Arial Black"/>
              </w:rPr>
            </w:pPr>
            <w:r>
              <w:rPr>
                <w:rFonts w:ascii="Arial Black"/>
                <w:color w:val="FFFFFF"/>
              </w:rPr>
              <w:t>Negatives</w:t>
            </w:r>
          </w:p>
        </w:tc>
      </w:tr>
      <w:tr w:rsidR="007D76BB">
        <w:trPr>
          <w:trHeight w:val="2980"/>
        </w:trPr>
        <w:tc>
          <w:tcPr>
            <w:tcW w:w="1718" w:type="dxa"/>
          </w:tcPr>
          <w:p w:rsidR="007D76BB" w:rsidRDefault="00D70D28">
            <w:pPr>
              <w:pStyle w:val="TableParagraph"/>
              <w:spacing w:before="119"/>
              <w:ind w:left="107" w:right="68"/>
              <w:rPr>
                <w:b/>
              </w:rPr>
            </w:pPr>
            <w:r>
              <w:rPr>
                <w:b/>
              </w:rPr>
              <w:t>Australian manufacturers</w:t>
            </w:r>
          </w:p>
        </w:tc>
        <w:tc>
          <w:tcPr>
            <w:tcW w:w="3801" w:type="dxa"/>
          </w:tcPr>
          <w:p w:rsidR="007D76BB" w:rsidRDefault="00D70D28">
            <w:pPr>
              <w:pStyle w:val="TableParagraph"/>
              <w:numPr>
                <w:ilvl w:val="0"/>
                <w:numId w:val="48"/>
              </w:numPr>
              <w:tabs>
                <w:tab w:val="left" w:pos="467"/>
                <w:tab w:val="left" w:pos="468"/>
              </w:tabs>
              <w:spacing w:before="119"/>
              <w:ind w:left="467" w:right="333"/>
            </w:pPr>
            <w:r>
              <w:t>Clarity of legislation will reduce inadvertent</w:t>
            </w:r>
            <w:r>
              <w:rPr>
                <w:spacing w:val="-2"/>
              </w:rPr>
              <w:t xml:space="preserve"> </w:t>
            </w:r>
            <w:r>
              <w:t>non-compliance.</w:t>
            </w:r>
          </w:p>
          <w:p w:rsidR="007D76BB" w:rsidRDefault="00D70D28">
            <w:pPr>
              <w:pStyle w:val="TableParagraph"/>
              <w:numPr>
                <w:ilvl w:val="0"/>
                <w:numId w:val="48"/>
              </w:numPr>
              <w:tabs>
                <w:tab w:val="left" w:pos="468"/>
                <w:tab w:val="left" w:pos="469"/>
              </w:tabs>
              <w:spacing w:before="180"/>
              <w:ind w:right="99"/>
            </w:pPr>
            <w:r>
              <w:t>Increased consumer confidence in safety of Australian</w:t>
            </w:r>
            <w:r>
              <w:rPr>
                <w:spacing w:val="-6"/>
              </w:rPr>
              <w:t xml:space="preserve"> </w:t>
            </w:r>
            <w:r>
              <w:t>products.</w:t>
            </w:r>
          </w:p>
          <w:p w:rsidR="007D76BB" w:rsidRDefault="00D70D28">
            <w:pPr>
              <w:pStyle w:val="TableParagraph"/>
              <w:numPr>
                <w:ilvl w:val="0"/>
                <w:numId w:val="48"/>
              </w:numPr>
              <w:tabs>
                <w:tab w:val="left" w:pos="468"/>
                <w:tab w:val="left" w:pos="469"/>
              </w:tabs>
              <w:spacing w:before="180"/>
              <w:ind w:right="104"/>
            </w:pPr>
            <w:r>
              <w:t>Improved enforcement against non-compliant businesses will support others that work to understand and comply with their regulatory</w:t>
            </w:r>
            <w:r>
              <w:rPr>
                <w:spacing w:val="-3"/>
              </w:rPr>
              <w:t xml:space="preserve"> </w:t>
            </w:r>
            <w:r>
              <w:t>obligations.</w:t>
            </w:r>
          </w:p>
        </w:tc>
        <w:tc>
          <w:tcPr>
            <w:tcW w:w="3530" w:type="dxa"/>
          </w:tcPr>
          <w:p w:rsidR="007D76BB" w:rsidRDefault="00D70D28">
            <w:pPr>
              <w:pStyle w:val="TableParagraph"/>
              <w:numPr>
                <w:ilvl w:val="0"/>
                <w:numId w:val="47"/>
              </w:numPr>
              <w:tabs>
                <w:tab w:val="left" w:pos="469"/>
                <w:tab w:val="left" w:pos="470"/>
              </w:tabs>
              <w:spacing w:before="119"/>
              <w:ind w:right="118" w:hanging="360"/>
            </w:pPr>
            <w:r>
              <w:t>Affected products will require reformulation (~ 93 products), entry in the ARTG (~ 87 products) or withdrawal from market (~ 86</w:t>
            </w:r>
            <w:r>
              <w:rPr>
                <w:spacing w:val="-3"/>
              </w:rPr>
              <w:t xml:space="preserve"> </w:t>
            </w:r>
            <w:r>
              <w:t>products</w:t>
            </w:r>
            <w:proofErr w:type="gramStart"/>
            <w:r>
              <w:t>)</w:t>
            </w:r>
            <w:proofErr w:type="gramEnd"/>
            <w:r w:rsidR="00A51832">
              <w:fldChar w:fldCharType="begin"/>
            </w:r>
            <w:r w:rsidR="00A51832">
              <w:instrText xml:space="preserve"> HYPERLINK \l "_bookmark46" </w:instrText>
            </w:r>
            <w:r w:rsidR="00A51832">
              <w:fldChar w:fldCharType="separate"/>
            </w:r>
            <w:r>
              <w:rPr>
                <w:position w:val="5"/>
                <w:sz w:val="14"/>
              </w:rPr>
              <w:t>11</w:t>
            </w:r>
            <w:r w:rsidR="00A51832">
              <w:rPr>
                <w:position w:val="5"/>
                <w:sz w:val="14"/>
              </w:rPr>
              <w:fldChar w:fldCharType="end"/>
            </w:r>
            <w:r>
              <w:t>.</w:t>
            </w:r>
          </w:p>
          <w:p w:rsidR="007D76BB" w:rsidRDefault="00D70D28">
            <w:pPr>
              <w:pStyle w:val="TableParagraph"/>
              <w:numPr>
                <w:ilvl w:val="0"/>
                <w:numId w:val="47"/>
              </w:numPr>
              <w:tabs>
                <w:tab w:val="left" w:pos="468"/>
                <w:tab w:val="left" w:pos="469"/>
              </w:tabs>
              <w:spacing w:before="179"/>
              <w:ind w:left="468"/>
            </w:pPr>
            <w:r>
              <w:t>Potential loss of</w:t>
            </w:r>
            <w:r>
              <w:rPr>
                <w:spacing w:val="-9"/>
              </w:rPr>
              <w:t xml:space="preserve"> </w:t>
            </w:r>
            <w:r>
              <w:t>revenue.</w:t>
            </w:r>
          </w:p>
          <w:p w:rsidR="007D76BB" w:rsidRDefault="00D70D28">
            <w:pPr>
              <w:pStyle w:val="TableParagraph"/>
              <w:numPr>
                <w:ilvl w:val="0"/>
                <w:numId w:val="47"/>
              </w:numPr>
              <w:tabs>
                <w:tab w:val="left" w:pos="468"/>
                <w:tab w:val="left" w:pos="469"/>
              </w:tabs>
              <w:spacing w:before="181"/>
              <w:ind w:right="169"/>
            </w:pPr>
            <w:r>
              <w:t>Increased regulatory burden if transitioning from food to therapeutic good</w:t>
            </w:r>
            <w:r>
              <w:rPr>
                <w:spacing w:val="-2"/>
              </w:rPr>
              <w:t xml:space="preserve"> </w:t>
            </w:r>
            <w:r>
              <w:t>GMP.</w:t>
            </w:r>
          </w:p>
        </w:tc>
      </w:tr>
      <w:tr w:rsidR="007D76BB">
        <w:trPr>
          <w:trHeight w:val="1511"/>
        </w:trPr>
        <w:tc>
          <w:tcPr>
            <w:tcW w:w="1718" w:type="dxa"/>
          </w:tcPr>
          <w:p w:rsidR="007D76BB" w:rsidRDefault="00D70D28">
            <w:pPr>
              <w:pStyle w:val="TableParagraph"/>
              <w:spacing w:before="119"/>
              <w:ind w:left="107" w:right="68"/>
              <w:rPr>
                <w:b/>
              </w:rPr>
            </w:pPr>
            <w:r>
              <w:rPr>
                <w:b/>
              </w:rPr>
              <w:t>Overseas manufacturers</w:t>
            </w:r>
          </w:p>
        </w:tc>
        <w:tc>
          <w:tcPr>
            <w:tcW w:w="3801" w:type="dxa"/>
          </w:tcPr>
          <w:p w:rsidR="007D76BB" w:rsidRDefault="00D70D28">
            <w:pPr>
              <w:pStyle w:val="TableParagraph"/>
              <w:numPr>
                <w:ilvl w:val="0"/>
                <w:numId w:val="46"/>
              </w:numPr>
              <w:tabs>
                <w:tab w:val="left" w:pos="467"/>
                <w:tab w:val="left" w:pos="468"/>
              </w:tabs>
              <w:spacing w:before="119"/>
              <w:ind w:left="467" w:right="333"/>
            </w:pPr>
            <w:r>
              <w:t>Clarity of legislation will reduce inadvertent</w:t>
            </w:r>
            <w:r>
              <w:rPr>
                <w:spacing w:val="-2"/>
              </w:rPr>
              <w:t xml:space="preserve"> </w:t>
            </w:r>
            <w:r>
              <w:t>non-compliance.</w:t>
            </w:r>
          </w:p>
        </w:tc>
        <w:tc>
          <w:tcPr>
            <w:tcW w:w="3530" w:type="dxa"/>
          </w:tcPr>
          <w:p w:rsidR="007D76BB" w:rsidRDefault="00D70D28">
            <w:pPr>
              <w:pStyle w:val="TableParagraph"/>
              <w:numPr>
                <w:ilvl w:val="0"/>
                <w:numId w:val="45"/>
              </w:numPr>
              <w:tabs>
                <w:tab w:val="left" w:pos="468"/>
                <w:tab w:val="left" w:pos="469"/>
              </w:tabs>
              <w:spacing w:before="119"/>
              <w:ind w:right="95" w:hanging="360"/>
            </w:pPr>
            <w:r>
              <w:t>Products determined to be therapeutic goods may be seized at the Australian</w:t>
            </w:r>
            <w:r>
              <w:rPr>
                <w:spacing w:val="-9"/>
              </w:rPr>
              <w:t xml:space="preserve"> </w:t>
            </w:r>
            <w:r>
              <w:t>border.</w:t>
            </w:r>
          </w:p>
          <w:p w:rsidR="007D76BB" w:rsidRDefault="00D70D28">
            <w:pPr>
              <w:pStyle w:val="TableParagraph"/>
              <w:numPr>
                <w:ilvl w:val="0"/>
                <w:numId w:val="45"/>
              </w:numPr>
              <w:tabs>
                <w:tab w:val="left" w:pos="468"/>
                <w:tab w:val="left" w:pos="469"/>
              </w:tabs>
              <w:spacing w:before="181"/>
            </w:pPr>
            <w:r>
              <w:t>Loss of</w:t>
            </w:r>
            <w:r>
              <w:rPr>
                <w:spacing w:val="-3"/>
              </w:rPr>
              <w:t xml:space="preserve"> </w:t>
            </w:r>
            <w:r>
              <w:t>revenue.</w:t>
            </w:r>
          </w:p>
        </w:tc>
      </w:tr>
      <w:tr w:rsidR="007D76BB">
        <w:trPr>
          <w:trHeight w:val="3935"/>
        </w:trPr>
        <w:tc>
          <w:tcPr>
            <w:tcW w:w="1718" w:type="dxa"/>
          </w:tcPr>
          <w:p w:rsidR="007D76BB" w:rsidRDefault="00D70D28">
            <w:pPr>
              <w:pStyle w:val="TableParagraph"/>
              <w:spacing w:before="121"/>
              <w:ind w:left="107"/>
              <w:rPr>
                <w:b/>
              </w:rPr>
            </w:pPr>
            <w:r>
              <w:rPr>
                <w:b/>
              </w:rPr>
              <w:t>Consumers</w:t>
            </w:r>
          </w:p>
        </w:tc>
        <w:tc>
          <w:tcPr>
            <w:tcW w:w="3801" w:type="dxa"/>
          </w:tcPr>
          <w:p w:rsidR="007D76BB" w:rsidRDefault="00D70D28">
            <w:pPr>
              <w:pStyle w:val="TableParagraph"/>
              <w:numPr>
                <w:ilvl w:val="0"/>
                <w:numId w:val="44"/>
              </w:numPr>
              <w:tabs>
                <w:tab w:val="left" w:pos="467"/>
                <w:tab w:val="left" w:pos="468"/>
              </w:tabs>
              <w:spacing w:before="121"/>
              <w:ind w:left="467" w:right="283"/>
            </w:pPr>
            <w:r>
              <w:t>Reduced exposure to actual and potential risks from sports supplements marketed as</w:t>
            </w:r>
            <w:r>
              <w:rPr>
                <w:spacing w:val="-9"/>
              </w:rPr>
              <w:t xml:space="preserve"> </w:t>
            </w:r>
            <w:r>
              <w:t>foods.</w:t>
            </w:r>
          </w:p>
          <w:p w:rsidR="007D76BB" w:rsidRDefault="00D70D28">
            <w:pPr>
              <w:pStyle w:val="TableParagraph"/>
              <w:numPr>
                <w:ilvl w:val="0"/>
                <w:numId w:val="44"/>
              </w:numPr>
              <w:tabs>
                <w:tab w:val="left" w:pos="468"/>
                <w:tab w:val="left" w:pos="469"/>
              </w:tabs>
              <w:spacing w:before="179"/>
              <w:ind w:right="99"/>
            </w:pPr>
            <w:r>
              <w:t>Increased consumer confidence in the food and medicine</w:t>
            </w:r>
            <w:r>
              <w:rPr>
                <w:spacing w:val="-8"/>
              </w:rPr>
              <w:t xml:space="preserve"> </w:t>
            </w:r>
            <w:r>
              <w:t>regulators.</w:t>
            </w:r>
          </w:p>
          <w:p w:rsidR="007D76BB" w:rsidRDefault="00D70D28">
            <w:pPr>
              <w:pStyle w:val="TableParagraph"/>
              <w:numPr>
                <w:ilvl w:val="0"/>
                <w:numId w:val="44"/>
              </w:numPr>
              <w:tabs>
                <w:tab w:val="left" w:pos="468"/>
                <w:tab w:val="left" w:pos="469"/>
              </w:tabs>
              <w:spacing w:before="181"/>
              <w:ind w:right="687"/>
            </w:pPr>
            <w:r>
              <w:t>Reduced risk of consuming adulterated products due to improved</w:t>
            </w:r>
            <w:r>
              <w:rPr>
                <w:spacing w:val="-2"/>
              </w:rPr>
              <w:t xml:space="preserve"> </w:t>
            </w:r>
            <w:r>
              <w:t>enforcement.</w:t>
            </w:r>
          </w:p>
          <w:p w:rsidR="007D76BB" w:rsidRDefault="00D70D28">
            <w:pPr>
              <w:pStyle w:val="TableParagraph"/>
              <w:numPr>
                <w:ilvl w:val="0"/>
                <w:numId w:val="44"/>
              </w:numPr>
              <w:tabs>
                <w:tab w:val="left" w:pos="469"/>
              </w:tabs>
              <w:spacing w:before="179"/>
              <w:ind w:right="809"/>
              <w:jc w:val="both"/>
            </w:pPr>
            <w:r>
              <w:t xml:space="preserve">Reduced risk to athletes of inadvertent doping due to </w:t>
            </w:r>
            <w:r>
              <w:rPr>
                <w:spacing w:val="-1"/>
              </w:rPr>
              <w:t xml:space="preserve">contaminated/adulterated </w:t>
            </w:r>
            <w:r>
              <w:t>products.</w:t>
            </w:r>
          </w:p>
        </w:tc>
        <w:tc>
          <w:tcPr>
            <w:tcW w:w="3530" w:type="dxa"/>
          </w:tcPr>
          <w:p w:rsidR="007D76BB" w:rsidRDefault="00D70D28">
            <w:pPr>
              <w:pStyle w:val="TableParagraph"/>
              <w:numPr>
                <w:ilvl w:val="0"/>
                <w:numId w:val="43"/>
              </w:numPr>
              <w:tabs>
                <w:tab w:val="left" w:pos="469"/>
                <w:tab w:val="left" w:pos="470"/>
              </w:tabs>
              <w:spacing w:before="121"/>
              <w:ind w:right="152"/>
            </w:pPr>
            <w:r>
              <w:t>Change in the availability, cost, formulation or presentation of the products available to consumers.</w:t>
            </w:r>
          </w:p>
          <w:p w:rsidR="007D76BB" w:rsidRDefault="00D70D28">
            <w:pPr>
              <w:pStyle w:val="TableParagraph"/>
              <w:numPr>
                <w:ilvl w:val="0"/>
                <w:numId w:val="43"/>
              </w:numPr>
              <w:tabs>
                <w:tab w:val="left" w:pos="469"/>
                <w:tab w:val="left" w:pos="470"/>
              </w:tabs>
              <w:spacing w:before="178"/>
              <w:ind w:right="177"/>
            </w:pPr>
            <w:r>
              <w:t>Increased risk to consumers who choose to import unregulated products for their personal</w:t>
            </w:r>
            <w:r>
              <w:rPr>
                <w:spacing w:val="-2"/>
              </w:rPr>
              <w:t xml:space="preserve"> </w:t>
            </w:r>
            <w:r>
              <w:t>use.</w:t>
            </w:r>
          </w:p>
        </w:tc>
      </w:tr>
      <w:tr w:rsidR="007D76BB">
        <w:trPr>
          <w:trHeight w:val="1770"/>
        </w:trPr>
        <w:tc>
          <w:tcPr>
            <w:tcW w:w="1718" w:type="dxa"/>
          </w:tcPr>
          <w:p w:rsidR="007D76BB" w:rsidRDefault="00D70D28">
            <w:pPr>
              <w:pStyle w:val="TableParagraph"/>
              <w:spacing w:before="121"/>
              <w:ind w:left="107"/>
              <w:rPr>
                <w:b/>
              </w:rPr>
            </w:pPr>
            <w:r>
              <w:rPr>
                <w:b/>
              </w:rPr>
              <w:t>Retailers</w:t>
            </w:r>
          </w:p>
        </w:tc>
        <w:tc>
          <w:tcPr>
            <w:tcW w:w="3801" w:type="dxa"/>
          </w:tcPr>
          <w:p w:rsidR="007D76BB" w:rsidRDefault="00D70D28">
            <w:pPr>
              <w:pStyle w:val="TableParagraph"/>
              <w:numPr>
                <w:ilvl w:val="0"/>
                <w:numId w:val="42"/>
              </w:numPr>
              <w:tabs>
                <w:tab w:val="left" w:pos="467"/>
                <w:tab w:val="left" w:pos="468"/>
              </w:tabs>
              <w:spacing w:before="121"/>
              <w:ind w:left="467" w:right="215"/>
            </w:pPr>
            <w:r>
              <w:t>Legal clarity if a product they are selling is a therapeutic</w:t>
            </w:r>
            <w:r>
              <w:rPr>
                <w:spacing w:val="-6"/>
              </w:rPr>
              <w:t xml:space="preserve"> </w:t>
            </w:r>
            <w:r>
              <w:t>good.</w:t>
            </w:r>
          </w:p>
          <w:p w:rsidR="007D76BB" w:rsidRDefault="00D70D28">
            <w:pPr>
              <w:pStyle w:val="TableParagraph"/>
              <w:numPr>
                <w:ilvl w:val="0"/>
                <w:numId w:val="42"/>
              </w:numPr>
              <w:tabs>
                <w:tab w:val="left" w:pos="468"/>
              </w:tabs>
              <w:spacing w:before="178"/>
              <w:ind w:left="467" w:right="465"/>
              <w:jc w:val="both"/>
            </w:pPr>
            <w:r>
              <w:t>Reduced risk of inadvertently retailing adulterated products due to improved</w:t>
            </w:r>
            <w:r>
              <w:rPr>
                <w:spacing w:val="-8"/>
              </w:rPr>
              <w:t xml:space="preserve"> </w:t>
            </w:r>
            <w:r>
              <w:t>enforcement.</w:t>
            </w:r>
          </w:p>
        </w:tc>
        <w:tc>
          <w:tcPr>
            <w:tcW w:w="3530" w:type="dxa"/>
          </w:tcPr>
          <w:p w:rsidR="007D76BB" w:rsidRDefault="00D70D28">
            <w:pPr>
              <w:pStyle w:val="TableParagraph"/>
              <w:numPr>
                <w:ilvl w:val="0"/>
                <w:numId w:val="41"/>
              </w:numPr>
              <w:tabs>
                <w:tab w:val="left" w:pos="468"/>
                <w:tab w:val="left" w:pos="469"/>
              </w:tabs>
              <w:spacing w:before="121"/>
              <w:ind w:right="82"/>
            </w:pPr>
            <w:r>
              <w:t>Change in the availability, cost, formulation or presentation of the products available for retail sale.</w:t>
            </w:r>
          </w:p>
          <w:p w:rsidR="007D76BB" w:rsidRDefault="00D70D28">
            <w:pPr>
              <w:pStyle w:val="TableParagraph"/>
              <w:numPr>
                <w:ilvl w:val="0"/>
                <w:numId w:val="41"/>
              </w:numPr>
              <w:tabs>
                <w:tab w:val="left" w:pos="468"/>
                <w:tab w:val="left" w:pos="469"/>
              </w:tabs>
              <w:spacing w:before="178"/>
            </w:pPr>
            <w:r>
              <w:t>Loss of</w:t>
            </w:r>
            <w:r>
              <w:rPr>
                <w:spacing w:val="-3"/>
              </w:rPr>
              <w:t xml:space="preserve"> </w:t>
            </w:r>
            <w:r>
              <w:t>revenue.</w:t>
            </w:r>
          </w:p>
        </w:tc>
      </w:tr>
    </w:tbl>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D70D28">
      <w:pPr>
        <w:pStyle w:val="BodyText"/>
        <w:spacing w:before="9"/>
        <w:rPr>
          <w:b/>
          <w:sz w:val="12"/>
        </w:rPr>
      </w:pPr>
      <w:r>
        <w:rPr>
          <w:noProof/>
          <w:lang w:val="en-AU" w:eastAsia="en-AU"/>
        </w:rPr>
        <mc:AlternateContent>
          <mc:Choice Requires="wps">
            <w:drawing>
              <wp:anchor distT="0" distB="0" distL="0" distR="0" simplePos="0" relativeHeight="251675648" behindDoc="1" locked="0" layoutInCell="1" allowOverlap="1">
                <wp:simplePos x="0" y="0"/>
                <wp:positionH relativeFrom="page">
                  <wp:posOffset>900430</wp:posOffset>
                </wp:positionH>
                <wp:positionV relativeFrom="paragraph">
                  <wp:posOffset>124460</wp:posOffset>
                </wp:positionV>
                <wp:extent cx="1828800" cy="1270"/>
                <wp:effectExtent l="0" t="0" r="0" b="0"/>
                <wp:wrapTopAndBottom/>
                <wp:docPr id="417"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287F9" id="Freeform 273" o:spid="_x0000_s1026" style="position:absolute;margin-left:70.9pt;margin-top:9.8pt;width:2in;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" path="m,l2880,e" filled="f" strokeweight=".6pt">
                <v:path arrowok="t" o:connecttype="custom" o:connectlocs="0,0;1828800,0" o:connectangles="0,0"/>
                <w10:wrap type="topAndBottom" anchorx="page"/>
              </v:shape>
            </w:pict>
          </mc:Fallback>
        </mc:AlternateContent>
      </w:r>
    </w:p>
    <w:p w:rsidR="007D76BB" w:rsidRDefault="00D70D28">
      <w:pPr>
        <w:spacing w:before="71"/>
        <w:ind w:left="198"/>
        <w:rPr>
          <w:sz w:val="20"/>
        </w:rPr>
      </w:pPr>
      <w:bookmarkStart w:id="96" w:name="_bookmark46"/>
      <w:bookmarkEnd w:id="96"/>
      <w:r>
        <w:rPr>
          <w:position w:val="5"/>
          <w:sz w:val="13"/>
        </w:rPr>
        <w:t xml:space="preserve">11 </w:t>
      </w:r>
      <w:r>
        <w:rPr>
          <w:sz w:val="20"/>
        </w:rPr>
        <w:t>Product total from Tables 18 and 19</w:t>
      </w:r>
    </w:p>
    <w:p w:rsidR="007D76BB" w:rsidRDefault="007D76BB">
      <w:pPr>
        <w:rPr>
          <w:sz w:val="20"/>
        </w:rPr>
        <w:sectPr w:rsidR="007D76BB">
          <w:pgSz w:w="11910" w:h="16840"/>
          <w:pgMar w:top="840" w:right="820" w:bottom="1360" w:left="1220" w:header="572" w:footer="1178" w:gutter="0"/>
          <w:cols w:space="720"/>
        </w:sectPr>
      </w:pPr>
    </w:p>
    <w:p w:rsidR="007D76BB" w:rsidRDefault="007D76BB">
      <w:pPr>
        <w:pStyle w:val="BodyText"/>
        <w:spacing w:before="9"/>
        <w:rPr>
          <w:sz w:val="24"/>
        </w:rPr>
      </w:pPr>
    </w:p>
    <w:tbl>
      <w:tblPr>
        <w:tblW w:w="0" w:type="auto"/>
        <w:tblInd w:w="218" w:type="dxa"/>
        <w:tblBorders>
          <w:top w:val="single" w:sz="8" w:space="0" w:color="002C46"/>
          <w:left w:val="single" w:sz="8" w:space="0" w:color="002C46"/>
          <w:bottom w:val="single" w:sz="8" w:space="0" w:color="002C46"/>
          <w:right w:val="single" w:sz="8" w:space="0" w:color="002C46"/>
          <w:insideH w:val="single" w:sz="8" w:space="0" w:color="002C46"/>
          <w:insideV w:val="single" w:sz="8" w:space="0" w:color="002C46"/>
        </w:tblBorders>
        <w:tblLayout w:type="fixed"/>
        <w:tblCellMar>
          <w:left w:w="0" w:type="dxa"/>
          <w:right w:w="0" w:type="dxa"/>
        </w:tblCellMar>
        <w:tblLook w:val="01E0" w:firstRow="1" w:lastRow="1" w:firstColumn="1" w:lastColumn="1" w:noHBand="0" w:noVBand="0"/>
      </w:tblPr>
      <w:tblGrid>
        <w:gridCol w:w="1718"/>
        <w:gridCol w:w="3801"/>
        <w:gridCol w:w="3530"/>
      </w:tblGrid>
      <w:tr w:rsidR="007D76BB">
        <w:trPr>
          <w:trHeight w:val="611"/>
        </w:trPr>
        <w:tc>
          <w:tcPr>
            <w:tcW w:w="1718" w:type="dxa"/>
            <w:tcBorders>
              <w:right w:val="nil"/>
            </w:tcBorders>
            <w:shd w:val="clear" w:color="auto" w:fill="006CA7"/>
          </w:tcPr>
          <w:p w:rsidR="007D76BB" w:rsidRDefault="00D70D28">
            <w:pPr>
              <w:pStyle w:val="TableParagraph"/>
              <w:spacing w:before="122"/>
              <w:ind w:left="107"/>
              <w:rPr>
                <w:rFonts w:ascii="Arial Black"/>
              </w:rPr>
            </w:pPr>
            <w:r>
              <w:rPr>
                <w:rFonts w:ascii="Arial Black"/>
                <w:color w:val="FFFFFF"/>
              </w:rPr>
              <w:t>Stakeholder</w:t>
            </w:r>
          </w:p>
        </w:tc>
        <w:tc>
          <w:tcPr>
            <w:tcW w:w="3801" w:type="dxa"/>
            <w:tcBorders>
              <w:left w:val="nil"/>
              <w:right w:val="nil"/>
            </w:tcBorders>
            <w:shd w:val="clear" w:color="auto" w:fill="006CA7"/>
          </w:tcPr>
          <w:p w:rsidR="007D76BB" w:rsidRDefault="00D70D28">
            <w:pPr>
              <w:pStyle w:val="TableParagraph"/>
              <w:spacing w:before="122"/>
              <w:ind w:left="117"/>
              <w:rPr>
                <w:rFonts w:ascii="Arial Black"/>
              </w:rPr>
            </w:pPr>
            <w:r>
              <w:rPr>
                <w:rFonts w:ascii="Arial Black"/>
                <w:color w:val="FFFFFF"/>
              </w:rPr>
              <w:t>Benefits</w:t>
            </w:r>
          </w:p>
        </w:tc>
        <w:tc>
          <w:tcPr>
            <w:tcW w:w="3530" w:type="dxa"/>
            <w:tcBorders>
              <w:left w:val="nil"/>
            </w:tcBorders>
            <w:shd w:val="clear" w:color="auto" w:fill="006CA7"/>
          </w:tcPr>
          <w:p w:rsidR="007D76BB" w:rsidRDefault="00D70D28">
            <w:pPr>
              <w:pStyle w:val="TableParagraph"/>
              <w:spacing w:before="122"/>
              <w:ind w:left="118"/>
              <w:rPr>
                <w:rFonts w:ascii="Arial Black"/>
              </w:rPr>
            </w:pPr>
            <w:r>
              <w:rPr>
                <w:rFonts w:ascii="Arial Black"/>
                <w:color w:val="FFFFFF"/>
              </w:rPr>
              <w:t>Negatives</w:t>
            </w:r>
          </w:p>
        </w:tc>
      </w:tr>
      <w:tr w:rsidR="007D76BB">
        <w:trPr>
          <w:trHeight w:val="3239"/>
        </w:trPr>
        <w:tc>
          <w:tcPr>
            <w:tcW w:w="1718" w:type="dxa"/>
          </w:tcPr>
          <w:p w:rsidR="007D76BB" w:rsidRDefault="00D70D28">
            <w:pPr>
              <w:pStyle w:val="TableParagraph"/>
              <w:spacing w:before="119"/>
              <w:ind w:left="107" w:right="309"/>
              <w:rPr>
                <w:b/>
              </w:rPr>
            </w:pPr>
            <w:r>
              <w:rPr>
                <w:b/>
              </w:rPr>
              <w:t>Australian Government</w:t>
            </w:r>
          </w:p>
        </w:tc>
        <w:tc>
          <w:tcPr>
            <w:tcW w:w="3801" w:type="dxa"/>
          </w:tcPr>
          <w:p w:rsidR="007D76BB" w:rsidRDefault="00D70D28">
            <w:pPr>
              <w:pStyle w:val="TableParagraph"/>
              <w:numPr>
                <w:ilvl w:val="0"/>
                <w:numId w:val="40"/>
              </w:numPr>
              <w:tabs>
                <w:tab w:val="left" w:pos="468"/>
                <w:tab w:val="left" w:pos="469"/>
              </w:tabs>
              <w:spacing w:before="119"/>
              <w:ind w:left="467" w:right="279" w:hanging="360"/>
            </w:pPr>
            <w:r>
              <w:t>Reduced waste of Government resources and taxpayer’s money in pursuing legal proceedings against owners of high-risk products.</w:t>
            </w:r>
          </w:p>
          <w:p w:rsidR="007D76BB" w:rsidRDefault="00D70D28">
            <w:pPr>
              <w:pStyle w:val="TableParagraph"/>
              <w:numPr>
                <w:ilvl w:val="0"/>
                <w:numId w:val="40"/>
              </w:numPr>
              <w:tabs>
                <w:tab w:val="left" w:pos="468"/>
                <w:tab w:val="left" w:pos="469"/>
              </w:tabs>
              <w:spacing w:before="182"/>
              <w:ind w:right="97"/>
            </w:pPr>
            <w:r>
              <w:t>Reduced actual and potential risks to the Australian public from certain sports food</w:t>
            </w:r>
            <w:r>
              <w:rPr>
                <w:spacing w:val="-8"/>
              </w:rPr>
              <w:t xml:space="preserve"> </w:t>
            </w:r>
            <w:r>
              <w:t>supplements.</w:t>
            </w:r>
          </w:p>
          <w:p w:rsidR="007D76BB" w:rsidRDefault="00D70D28">
            <w:pPr>
              <w:pStyle w:val="TableParagraph"/>
              <w:numPr>
                <w:ilvl w:val="0"/>
                <w:numId w:val="40"/>
              </w:numPr>
              <w:tabs>
                <w:tab w:val="left" w:pos="468"/>
                <w:tab w:val="left" w:pos="469"/>
              </w:tabs>
              <w:spacing w:before="179"/>
              <w:ind w:right="131"/>
            </w:pPr>
            <w:r>
              <w:t>Reduced society and government costs arising from adverse</w:t>
            </w:r>
            <w:r>
              <w:rPr>
                <w:spacing w:val="-9"/>
              </w:rPr>
              <w:t xml:space="preserve"> </w:t>
            </w:r>
            <w:r>
              <w:t>events.</w:t>
            </w:r>
          </w:p>
        </w:tc>
        <w:tc>
          <w:tcPr>
            <w:tcW w:w="3530" w:type="dxa"/>
          </w:tcPr>
          <w:p w:rsidR="007D76BB" w:rsidRDefault="00D70D28">
            <w:pPr>
              <w:pStyle w:val="TableParagraph"/>
              <w:numPr>
                <w:ilvl w:val="0"/>
                <w:numId w:val="39"/>
              </w:numPr>
              <w:tabs>
                <w:tab w:val="left" w:pos="469"/>
                <w:tab w:val="left" w:pos="470"/>
              </w:tabs>
              <w:spacing w:before="119"/>
              <w:ind w:right="109" w:hanging="360"/>
            </w:pPr>
            <w:r>
              <w:t>Potential detrimental effect to the Australian economy arising from potential job losses from potential decreased retailer and manufacturer</w:t>
            </w:r>
            <w:r>
              <w:rPr>
                <w:spacing w:val="-4"/>
              </w:rPr>
              <w:t xml:space="preserve"> </w:t>
            </w:r>
            <w:r>
              <w:t>revenue.</w:t>
            </w:r>
          </w:p>
        </w:tc>
      </w:tr>
    </w:tbl>
    <w:p w:rsidR="007D76BB" w:rsidRDefault="007D76BB">
      <w:pPr>
        <w:pStyle w:val="BodyText"/>
        <w:rPr>
          <w:sz w:val="20"/>
        </w:rPr>
      </w:pPr>
    </w:p>
    <w:p w:rsidR="007D76BB" w:rsidRDefault="00D70D28">
      <w:pPr>
        <w:pStyle w:val="Heading3"/>
        <w:ind w:right="1473"/>
      </w:pPr>
      <w:bookmarkStart w:id="97" w:name="Option_2B._Declare_that_sports_supplemen"/>
      <w:bookmarkStart w:id="98" w:name="_bookmark47"/>
      <w:bookmarkEnd w:id="97"/>
      <w:bookmarkEnd w:id="98"/>
      <w:r>
        <w:t>Option 2B. Declare that sports supplements including substances (in the Poisons Standard or Relevant substance list) and/or presented as medicines are therapeutic goods</w:t>
      </w:r>
    </w:p>
    <w:p w:rsidR="007D76BB" w:rsidRDefault="00D70D28">
      <w:pPr>
        <w:pStyle w:val="BodyText"/>
        <w:spacing w:before="127"/>
        <w:ind w:left="198" w:right="793"/>
      </w:pPr>
      <w:r>
        <w:t>Option 2B would declare under the existing authority of section 7 of the TG Act that certain sports supplements are therapeutic goods with the effect that they are not foods. A declaration would complement the FSANZ pending update to Food Standard 2.9.4.</w:t>
      </w:r>
    </w:p>
    <w:p w:rsidR="007D76BB" w:rsidRDefault="00D70D28">
      <w:pPr>
        <w:pStyle w:val="BodyText"/>
        <w:spacing w:before="179"/>
        <w:ind w:left="197" w:right="595"/>
      </w:pPr>
      <w:r>
        <w:t>The Option 2B proposed declaration is the same as the Option 2A declaration, with the exception of including substances included in the WADC Prohibited List.</w:t>
      </w:r>
    </w:p>
    <w:p w:rsidR="007D76BB" w:rsidRDefault="00D70D28">
      <w:pPr>
        <w:pStyle w:val="BodyText"/>
        <w:rPr>
          <w:sz w:val="17"/>
        </w:rPr>
      </w:pPr>
      <w:r>
        <w:rPr>
          <w:noProof/>
          <w:lang w:val="en-AU" w:eastAsia="en-AU"/>
        </w:rPr>
        <mc:AlternateContent>
          <mc:Choice Requires="wps">
            <w:drawing>
              <wp:anchor distT="0" distB="0" distL="0" distR="0" simplePos="0" relativeHeight="251676672" behindDoc="1" locked="0" layoutInCell="1" allowOverlap="1">
                <wp:simplePos x="0" y="0"/>
                <wp:positionH relativeFrom="page">
                  <wp:posOffset>882650</wp:posOffset>
                </wp:positionH>
                <wp:positionV relativeFrom="paragraph">
                  <wp:posOffset>156845</wp:posOffset>
                </wp:positionV>
                <wp:extent cx="5792470" cy="2755900"/>
                <wp:effectExtent l="0" t="0" r="0" b="0"/>
                <wp:wrapTopAndBottom/>
                <wp:docPr id="416"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2470" cy="27559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51832" w:rsidRDefault="00A51832">
                            <w:pPr>
                              <w:spacing w:before="192"/>
                              <w:ind w:left="143" w:right="933" w:hanging="1"/>
                              <w:rPr>
                                <w:b/>
                              </w:rPr>
                            </w:pPr>
                            <w:r>
                              <w:rPr>
                                <w:b/>
                              </w:rPr>
                              <w:t>Option 2B proposed declaration: Declare that following sports supplements are therapeutic goods</w:t>
                            </w:r>
                          </w:p>
                          <w:p w:rsidR="00A51832" w:rsidRDefault="00A51832">
                            <w:pPr>
                              <w:pStyle w:val="BodyText"/>
                              <w:spacing w:before="178"/>
                              <w:ind w:left="143" w:right="204"/>
                            </w:pPr>
                            <w:r>
                              <w:t>Products for oral administration that are used, advertised or presented for supply to improve or maintain physical or mental performance in sport, exercise or other recreational activity</w:t>
                            </w:r>
                          </w:p>
                          <w:p w:rsidR="00A51832" w:rsidRDefault="00A51832">
                            <w:pPr>
                              <w:pStyle w:val="BodyText"/>
                              <w:spacing w:before="180"/>
                              <w:ind w:left="143"/>
                            </w:pPr>
                            <w:r>
                              <w:t>AND</w:t>
                            </w:r>
                          </w:p>
                          <w:p w:rsidR="00A51832" w:rsidRDefault="00A51832">
                            <w:pPr>
                              <w:pStyle w:val="BodyText"/>
                              <w:numPr>
                                <w:ilvl w:val="0"/>
                                <w:numId w:val="38"/>
                              </w:numPr>
                              <w:tabs>
                                <w:tab w:val="left" w:pos="503"/>
                                <w:tab w:val="left" w:pos="504"/>
                              </w:tabs>
                              <w:spacing w:before="181"/>
                            </w:pPr>
                            <w:r>
                              <w:t>contain ingredients that are not appropriate for a sports supplement food</w:t>
                            </w:r>
                            <w:r>
                              <w:rPr>
                                <w:spacing w:val="-17"/>
                              </w:rPr>
                              <w:t xml:space="preserve"> </w:t>
                            </w:r>
                            <w:r>
                              <w:t>i.e.</w:t>
                            </w:r>
                          </w:p>
                          <w:p w:rsidR="00A51832" w:rsidRDefault="00A51832">
                            <w:pPr>
                              <w:pStyle w:val="BodyText"/>
                              <w:numPr>
                                <w:ilvl w:val="1"/>
                                <w:numId w:val="38"/>
                              </w:numPr>
                              <w:tabs>
                                <w:tab w:val="left" w:pos="1223"/>
                                <w:tab w:val="left" w:pos="1224"/>
                              </w:tabs>
                              <w:spacing w:before="179"/>
                              <w:ind w:right="1088"/>
                              <w:rPr>
                                <w:b/>
                              </w:rPr>
                            </w:pPr>
                            <w:r>
                              <w:t xml:space="preserve">a substance above the restrictions provided in a schedule to the </w:t>
                            </w:r>
                            <w:r>
                              <w:rPr>
                                <w:b/>
                              </w:rPr>
                              <w:t>Poisons Standard</w:t>
                            </w:r>
                          </w:p>
                          <w:p w:rsidR="00A51832" w:rsidRDefault="00A51832">
                            <w:pPr>
                              <w:numPr>
                                <w:ilvl w:val="1"/>
                                <w:numId w:val="38"/>
                              </w:numPr>
                              <w:tabs>
                                <w:tab w:val="left" w:pos="1223"/>
                                <w:tab w:val="left" w:pos="1224"/>
                              </w:tabs>
                              <w:spacing w:before="180"/>
                              <w:ind w:hanging="361"/>
                            </w:pPr>
                            <w:r>
                              <w:t xml:space="preserve">a </w:t>
                            </w:r>
                            <w:r>
                              <w:rPr>
                                <w:b/>
                              </w:rPr>
                              <w:t xml:space="preserve">Relevant substance </w:t>
                            </w:r>
                            <w:r>
                              <w:t>(as declared by the</w:t>
                            </w:r>
                            <w:r>
                              <w:rPr>
                                <w:spacing w:val="-9"/>
                              </w:rPr>
                              <w:t xml:space="preserve"> </w:t>
                            </w:r>
                            <w:r>
                              <w:t>Secretary)</w:t>
                            </w:r>
                          </w:p>
                          <w:p w:rsidR="00A51832" w:rsidRDefault="00A51832">
                            <w:pPr>
                              <w:numPr>
                                <w:ilvl w:val="0"/>
                                <w:numId w:val="38"/>
                              </w:numPr>
                              <w:tabs>
                                <w:tab w:val="left" w:pos="503"/>
                                <w:tab w:val="left" w:pos="504"/>
                              </w:tabs>
                              <w:spacing w:before="181"/>
                              <w:ind w:right="709"/>
                            </w:pPr>
                            <w:r>
                              <w:t xml:space="preserve">and/or are presented in </w:t>
                            </w:r>
                            <w:r>
                              <w:rPr>
                                <w:b/>
                              </w:rPr>
                              <w:t xml:space="preserve">a form associated with medicines </w:t>
                            </w:r>
                            <w:r>
                              <w:t>rather than foods (i.e. a tablet, capsule or</w:t>
                            </w:r>
                            <w:r>
                              <w:rPr>
                                <w:spacing w:val="-3"/>
                              </w:rPr>
                              <w:t xml:space="preserve"> </w:t>
                            </w:r>
                            <w:r>
                              <w:t>pill)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27" type="#_x0000_t202" style="position:absolute;margin-left:69.5pt;margin-top:12.35pt;width:456.1pt;height:217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" filled="f">
                <v:textbox inset="0,0,0,0">
                  <w:txbxContent>
                    <w:p w:rsidR="00A51832" w:rsidRDefault="00A51832">
                      <w:pPr>
                        <w:spacing w:before="192"/>
                        <w:ind w:left="143" w:right="933" w:hanging="1"/>
                        <w:rPr>
                          <w:b/>
                        </w:rPr>
                      </w:pPr>
                      <w:r>
                        <w:rPr>
                          <w:b/>
                        </w:rPr>
                        <w:t>Option 2B proposed declaration: Declare that following sports supplements are therapeutic goods</w:t>
                      </w:r>
                    </w:p>
                    <w:p w:rsidR="00A51832" w:rsidRDefault="00A51832">
                      <w:pPr>
                        <w:pStyle w:val="BodyText"/>
                        <w:spacing w:before="178"/>
                        <w:ind w:left="143" w:right="204"/>
                      </w:pPr>
                      <w:r>
                        <w:t>Products for oral administration that are used, advertised or presented for supply to improve or maintain physical or mental performance in sport, exercise or other recreational activity</w:t>
                      </w:r>
                    </w:p>
                    <w:p w:rsidR="00A51832" w:rsidRDefault="00A51832">
                      <w:pPr>
                        <w:pStyle w:val="BodyText"/>
                        <w:spacing w:before="180"/>
                        <w:ind w:left="143"/>
                      </w:pPr>
                      <w:r>
                        <w:t>AND</w:t>
                      </w:r>
                    </w:p>
                    <w:p w:rsidR="00A51832" w:rsidRDefault="00A51832">
                      <w:pPr>
                        <w:pStyle w:val="BodyText"/>
                        <w:numPr>
                          <w:ilvl w:val="0"/>
                          <w:numId w:val="38"/>
                        </w:numPr>
                        <w:tabs>
                          <w:tab w:val="left" w:pos="503"/>
                          <w:tab w:val="left" w:pos="504"/>
                        </w:tabs>
                        <w:spacing w:before="181"/>
                      </w:pPr>
                      <w:r>
                        <w:t>contain ingredients that are not appropriate for a sports supplement food</w:t>
                      </w:r>
                      <w:r>
                        <w:rPr>
                          <w:spacing w:val="-17"/>
                        </w:rPr>
                        <w:t xml:space="preserve"> </w:t>
                      </w:r>
                      <w:r>
                        <w:t>i.e.</w:t>
                      </w:r>
                    </w:p>
                    <w:p w:rsidR="00A51832" w:rsidRDefault="00A51832">
                      <w:pPr>
                        <w:pStyle w:val="BodyText"/>
                        <w:numPr>
                          <w:ilvl w:val="1"/>
                          <w:numId w:val="38"/>
                        </w:numPr>
                        <w:tabs>
                          <w:tab w:val="left" w:pos="1223"/>
                          <w:tab w:val="left" w:pos="1224"/>
                        </w:tabs>
                        <w:spacing w:before="179"/>
                        <w:ind w:right="1088"/>
                        <w:rPr>
                          <w:b/>
                        </w:rPr>
                      </w:pPr>
                      <w:r>
                        <w:t xml:space="preserve">a substance above the restrictions provided in a schedule to the </w:t>
                      </w:r>
                      <w:r>
                        <w:rPr>
                          <w:b/>
                        </w:rPr>
                        <w:t>Poisons Standard</w:t>
                      </w:r>
                    </w:p>
                    <w:p w:rsidR="00A51832" w:rsidRDefault="00A51832">
                      <w:pPr>
                        <w:numPr>
                          <w:ilvl w:val="1"/>
                          <w:numId w:val="38"/>
                        </w:numPr>
                        <w:tabs>
                          <w:tab w:val="left" w:pos="1223"/>
                          <w:tab w:val="left" w:pos="1224"/>
                        </w:tabs>
                        <w:spacing w:before="180"/>
                        <w:ind w:hanging="361"/>
                      </w:pPr>
                      <w:r>
                        <w:t xml:space="preserve">a </w:t>
                      </w:r>
                      <w:r>
                        <w:rPr>
                          <w:b/>
                        </w:rPr>
                        <w:t xml:space="preserve">Relevant substance </w:t>
                      </w:r>
                      <w:r>
                        <w:t>(as declared by the</w:t>
                      </w:r>
                      <w:r>
                        <w:rPr>
                          <w:spacing w:val="-9"/>
                        </w:rPr>
                        <w:t xml:space="preserve"> </w:t>
                      </w:r>
                      <w:r>
                        <w:t>Secretary)</w:t>
                      </w:r>
                    </w:p>
                    <w:p w:rsidR="00A51832" w:rsidRDefault="00A51832">
                      <w:pPr>
                        <w:numPr>
                          <w:ilvl w:val="0"/>
                          <w:numId w:val="38"/>
                        </w:numPr>
                        <w:tabs>
                          <w:tab w:val="left" w:pos="503"/>
                          <w:tab w:val="left" w:pos="504"/>
                        </w:tabs>
                        <w:spacing w:before="181"/>
                        <w:ind w:right="709"/>
                      </w:pPr>
                      <w:r>
                        <w:t xml:space="preserve">and/or are presented in </w:t>
                      </w:r>
                      <w:r>
                        <w:rPr>
                          <w:b/>
                        </w:rPr>
                        <w:t xml:space="preserve">a form associated with medicines </w:t>
                      </w:r>
                      <w:r>
                        <w:t>rather than foods (i.e. a tablet, capsule or</w:t>
                      </w:r>
                      <w:r>
                        <w:rPr>
                          <w:spacing w:val="-3"/>
                        </w:rPr>
                        <w:t xml:space="preserve"> </w:t>
                      </w:r>
                      <w:r>
                        <w:t>pill)</w:t>
                      </w:r>
                    </w:p>
                  </w:txbxContent>
                </v:textbox>
                <w10:wrap type="topAndBottom" anchorx="page"/>
              </v:shape>
            </w:pict>
          </mc:Fallback>
        </mc:AlternateContent>
      </w:r>
    </w:p>
    <w:p w:rsidR="007D76BB" w:rsidRDefault="007D76BB">
      <w:pPr>
        <w:pStyle w:val="BodyText"/>
        <w:spacing w:before="8"/>
        <w:rPr>
          <w:sz w:val="21"/>
        </w:rPr>
      </w:pPr>
    </w:p>
    <w:p w:rsidR="007D76BB" w:rsidRDefault="00D70D28">
      <w:pPr>
        <w:pStyle w:val="Heading5"/>
        <w:rPr>
          <w:rFonts w:ascii="Arial"/>
        </w:rPr>
      </w:pPr>
      <w:bookmarkStart w:id="99" w:name="Elements_of_Option_2B"/>
      <w:bookmarkStart w:id="100" w:name="_bookmark48"/>
      <w:bookmarkEnd w:id="99"/>
      <w:bookmarkEnd w:id="100"/>
      <w:r>
        <w:rPr>
          <w:rFonts w:ascii="Arial"/>
        </w:rPr>
        <w:t>Elements of Option 2B</w:t>
      </w:r>
    </w:p>
    <w:p w:rsidR="007D76BB" w:rsidRDefault="00D70D28">
      <w:pPr>
        <w:pStyle w:val="BodyText"/>
        <w:spacing w:before="120"/>
        <w:ind w:left="198" w:right="614"/>
      </w:pPr>
      <w:r>
        <w:t>Products will only fall within the scope of the declaration if they carry indications relating to the improvement or maintenance of performance in physical or mental activity in sports, exercise or any other recreational activity. If there is no sports performance related therapeutic claim, whether explicit or implied, they will not be affected by the proposed declaration and will remain food. For example, artificial sweeteners and pectin</w:t>
      </w:r>
      <w:r>
        <w:rPr>
          <w:spacing w:val="-14"/>
        </w:rPr>
        <w:t xml:space="preserve"> </w:t>
      </w:r>
      <w:r>
        <w:t>tablets.</w:t>
      </w:r>
    </w:p>
    <w:p w:rsidR="007D76BB" w:rsidRDefault="007D76BB">
      <w:pPr>
        <w:sectPr w:rsidR="007D76BB">
          <w:pgSz w:w="11910" w:h="16840"/>
          <w:pgMar w:top="840" w:right="820" w:bottom="1360" w:left="1220" w:header="572" w:footer="1178" w:gutter="0"/>
          <w:cols w:space="720"/>
        </w:sectPr>
      </w:pPr>
    </w:p>
    <w:p w:rsidR="007D76BB" w:rsidRDefault="007D76BB">
      <w:pPr>
        <w:pStyle w:val="BodyText"/>
        <w:rPr>
          <w:sz w:val="20"/>
        </w:rPr>
      </w:pPr>
    </w:p>
    <w:p w:rsidR="007D76BB" w:rsidRDefault="007D76BB">
      <w:pPr>
        <w:pStyle w:val="BodyText"/>
        <w:rPr>
          <w:sz w:val="20"/>
        </w:rPr>
      </w:pPr>
    </w:p>
    <w:p w:rsidR="007D76BB" w:rsidRDefault="007D76BB">
      <w:pPr>
        <w:pStyle w:val="BodyText"/>
        <w:spacing w:before="11"/>
      </w:pPr>
    </w:p>
    <w:p w:rsidR="007D76BB" w:rsidRDefault="00D70D28">
      <w:pPr>
        <w:pStyle w:val="Heading5"/>
        <w:spacing w:before="100"/>
      </w:pPr>
      <w:bookmarkStart w:id="101" w:name="Ingredients_in_scope_of_Option_2B"/>
      <w:bookmarkEnd w:id="101"/>
      <w:r>
        <w:rPr>
          <w:color w:val="001422"/>
        </w:rPr>
        <w:t>Ingredients in scope of Option 2B</w:t>
      </w:r>
    </w:p>
    <w:p w:rsidR="007D76BB" w:rsidRDefault="00D70D28">
      <w:pPr>
        <w:pStyle w:val="BodyText"/>
        <w:spacing w:before="119"/>
        <w:ind w:left="198" w:right="874"/>
      </w:pPr>
      <w:r>
        <w:t xml:space="preserve">As per </w:t>
      </w:r>
      <w:hyperlink w:anchor="_bookmark39" w:history="1">
        <w:r>
          <w:rPr>
            <w:color w:val="0000FF"/>
            <w:u w:val="single" w:color="0000FF"/>
          </w:rPr>
          <w:t>Option 2A</w:t>
        </w:r>
        <w:r>
          <w:t xml:space="preserve">, </w:t>
        </w:r>
      </w:hyperlink>
      <w:r>
        <w:t>the ingredients in scope of Option 2B include substances included in the Poisons Standard and/or Relevant substance list. However, unlike Option 2A, this option does not provide for the WADC Prohibited List to be expressly referred to in the declaration.</w:t>
      </w:r>
    </w:p>
    <w:p w:rsidR="007D76BB" w:rsidRDefault="00D70D28">
      <w:pPr>
        <w:pStyle w:val="BodyText"/>
        <w:spacing w:before="179"/>
        <w:ind w:left="198" w:right="596"/>
      </w:pPr>
      <w:r>
        <w:t xml:space="preserve">It is important to note that it is not intended that Option 2B would preclude products containing WADC prohibited substances from being clarified as being therapeutic goods. This is because the majority of these substances are already included in a schedule to the Poisons Standard either explicitly or under scheduled drug classes (as outlined in Table 2) and therefore are already in scope of the declaration. What it does mean is that, if Option 2B is implemented, the TGA will need to </w:t>
      </w:r>
      <w:proofErr w:type="spellStart"/>
      <w:r>
        <w:t>analyse</w:t>
      </w:r>
      <w:proofErr w:type="spellEnd"/>
      <w:r>
        <w:t xml:space="preserve"> the substances on the WADC Prohibited List (that are not already expressly included in the Poisons Standard) and, on the basis of consumer safety, either develop a scheduling application for those substances for inclusion in the Poisons Standard; or include them in the ‘Relevant substance’ list at the discretion of the delegate of the Secretary. Both approaches will be subject to industry and public consultation, and may lead to some substances being scheduled but others not.</w:t>
      </w:r>
    </w:p>
    <w:p w:rsidR="007D76BB" w:rsidRDefault="007D76BB">
      <w:pPr>
        <w:pStyle w:val="BodyText"/>
        <w:spacing w:before="6"/>
        <w:rPr>
          <w:sz w:val="20"/>
        </w:rPr>
      </w:pPr>
    </w:p>
    <w:p w:rsidR="007D76BB" w:rsidRDefault="00D70D28">
      <w:pPr>
        <w:pStyle w:val="Heading5"/>
      </w:pPr>
      <w:r>
        <w:rPr>
          <w:color w:val="001422"/>
        </w:rPr>
        <w:t>Medicine presentation in scope of Option 2B</w:t>
      </w:r>
    </w:p>
    <w:p w:rsidR="007D76BB" w:rsidRDefault="00D70D28">
      <w:pPr>
        <w:pStyle w:val="BodyText"/>
        <w:spacing w:before="119"/>
        <w:ind w:left="198" w:right="1418"/>
      </w:pPr>
      <w:r>
        <w:t xml:space="preserve">As per </w:t>
      </w:r>
      <w:hyperlink w:anchor="_bookmark38" w:history="1">
        <w:r>
          <w:rPr>
            <w:color w:val="0000FF"/>
            <w:u w:val="single" w:color="0000FF"/>
          </w:rPr>
          <w:t>Option 2A</w:t>
        </w:r>
      </w:hyperlink>
      <w:r>
        <w:t>- sports supplements products in the medicinal dosage form of, tablets, capsules or pills are in scope for Option 2B.</w:t>
      </w:r>
    </w:p>
    <w:p w:rsidR="007D76BB" w:rsidRDefault="007D76BB">
      <w:pPr>
        <w:pStyle w:val="BodyText"/>
        <w:spacing w:before="6"/>
        <w:rPr>
          <w:sz w:val="20"/>
        </w:rPr>
      </w:pPr>
    </w:p>
    <w:p w:rsidR="007D76BB" w:rsidRDefault="00D70D28">
      <w:pPr>
        <w:pStyle w:val="Heading5"/>
      </w:pPr>
      <w:bookmarkStart w:id="102" w:name="Implementation_of_Option_2B"/>
      <w:bookmarkEnd w:id="102"/>
      <w:r>
        <w:rPr>
          <w:color w:val="001422"/>
        </w:rPr>
        <w:t>Implementation of Option 2B</w:t>
      </w:r>
    </w:p>
    <w:p w:rsidR="007D76BB" w:rsidRDefault="00D70D28">
      <w:pPr>
        <w:pStyle w:val="BodyText"/>
        <w:spacing w:before="120"/>
        <w:ind w:left="198" w:right="1097"/>
      </w:pPr>
      <w:r>
        <w:t xml:space="preserve">As for </w:t>
      </w:r>
      <w:hyperlink w:anchor="_bookmark40" w:history="1">
        <w:r>
          <w:rPr>
            <w:color w:val="0000FF"/>
            <w:u w:val="single" w:color="0000FF"/>
          </w:rPr>
          <w:t>Option 2A</w:t>
        </w:r>
        <w:r>
          <w:t xml:space="preserve">, </w:t>
        </w:r>
      </w:hyperlink>
      <w:r>
        <w:t xml:space="preserve">Implementation of Option 2B will mean that the manufacturer/owner of products in scope would need to undertake action for their product to either comply with regulations as a therapeutic good or modify their product in order for it to be regulated as a food- see </w:t>
      </w:r>
      <w:hyperlink w:anchor="_bookmark41" w:history="1">
        <w:r>
          <w:rPr>
            <w:color w:val="0000FF"/>
            <w:u w:val="single" w:color="0000FF"/>
          </w:rPr>
          <w:t>Impacts on manufacturers of products in scope of Option 2A</w:t>
        </w:r>
        <w:r>
          <w:t>.</w:t>
        </w:r>
      </w:hyperlink>
    </w:p>
    <w:p w:rsidR="007D76BB" w:rsidRDefault="00D70D28">
      <w:pPr>
        <w:pStyle w:val="BodyText"/>
        <w:spacing w:before="180"/>
        <w:ind w:left="198" w:right="651"/>
      </w:pPr>
      <w:r>
        <w:t xml:space="preserve">If Option 2B is implemented, sports supplements that are in scope of the proposed declaration and being supplied in Australia prior to the commencement date would, in general, have the benefit of 3-year transition period to comply with the legislative requirements for foods or medicines, as applicable. This transition period is anticipated to afford suppliers sufficient time for their stock in trade to be used up, thereby helping to </w:t>
      </w:r>
      <w:proofErr w:type="spellStart"/>
      <w:r>
        <w:t>minimise</w:t>
      </w:r>
      <w:proofErr w:type="spellEnd"/>
      <w:r>
        <w:t xml:space="preserve"> the disruption of the proposal on business.</w:t>
      </w:r>
    </w:p>
    <w:p w:rsidR="007D76BB" w:rsidRDefault="00D70D28">
      <w:pPr>
        <w:pStyle w:val="BodyText"/>
        <w:spacing w:before="181"/>
        <w:ind w:left="198" w:right="787"/>
      </w:pPr>
      <w:r>
        <w:t>Products in scope of the declaration that contain substances of significant safety concerns to consumers (for example, prescription medicine ingredients) will be affected from the date that the Section 7 declaration is made, enabling swift enforcement action by the regulator in the interest of protecting public safety.</w:t>
      </w:r>
    </w:p>
    <w:p w:rsidR="007D76BB" w:rsidRDefault="007D76BB">
      <w:pPr>
        <w:pStyle w:val="BodyText"/>
        <w:spacing w:before="5"/>
        <w:rPr>
          <w:sz w:val="30"/>
        </w:rPr>
      </w:pPr>
    </w:p>
    <w:p w:rsidR="007D76BB" w:rsidRDefault="00D70D28">
      <w:pPr>
        <w:pStyle w:val="Heading5"/>
        <w:ind w:right="1431"/>
        <w:rPr>
          <w:rFonts w:ascii="Arial"/>
        </w:rPr>
      </w:pPr>
      <w:bookmarkStart w:id="103" w:name="How_Option_2B_will_mitigate_the_risk_ass"/>
      <w:bookmarkStart w:id="104" w:name="_bookmark49"/>
      <w:bookmarkEnd w:id="103"/>
      <w:bookmarkEnd w:id="104"/>
      <w:r>
        <w:rPr>
          <w:rFonts w:ascii="Arial"/>
        </w:rPr>
        <w:t xml:space="preserve">How Option 2B will mitigate the risk </w:t>
      </w:r>
      <w:r>
        <w:rPr>
          <w:rFonts w:ascii="Arial"/>
        </w:rPr>
        <w:lastRenderedPageBreak/>
        <w:t>associated with certain sports supplements</w:t>
      </w:r>
    </w:p>
    <w:p w:rsidR="007D76BB" w:rsidRDefault="00D70D28">
      <w:pPr>
        <w:pStyle w:val="Heading7"/>
        <w:spacing w:before="123"/>
        <w:ind w:right="739"/>
      </w:pPr>
      <w:r>
        <w:t>Effect of Option 2B on ensuring appropriate regulatory controls are applied reduce risks to public</w:t>
      </w:r>
      <w:r>
        <w:rPr>
          <w:spacing w:val="-3"/>
        </w:rPr>
        <w:t xml:space="preserve"> </w:t>
      </w:r>
      <w:r>
        <w:t>health</w:t>
      </w:r>
    </w:p>
    <w:p w:rsidR="007D76BB" w:rsidRDefault="00D70D28">
      <w:pPr>
        <w:pStyle w:val="BodyText"/>
        <w:spacing w:before="180"/>
        <w:ind w:left="198" w:right="588"/>
      </w:pPr>
      <w:r>
        <w:t>The products in scope of the proposed regulatory clarification contain higher risk ingredients that are not appropriate for food and/or are being presented as medicines rather than food. Clarifying that these products are medicines in law will ensure an appropriate level of regulatory oversight commensurate with their risk to public safety.</w:t>
      </w:r>
    </w:p>
    <w:p w:rsidR="007D76BB" w:rsidRDefault="00D70D28">
      <w:pPr>
        <w:pStyle w:val="BodyText"/>
        <w:spacing w:before="178"/>
        <w:ind w:left="198" w:right="1110"/>
      </w:pPr>
      <w:r>
        <w:t>Industry stakeholder response to the TGA consultation process provided no objection to products containing a substance in a schedule to the Poisons Standard being in scope of the</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8" w:right="906"/>
        <w:jc w:val="both"/>
      </w:pPr>
      <w:proofErr w:type="gramStart"/>
      <w:r>
        <w:t>declaration</w:t>
      </w:r>
      <w:proofErr w:type="gramEnd"/>
      <w:r>
        <w:t>. Implementation of Option 2B will mean that timely and appropriate enforcement activity (such as removal of products from the market) can be undertaken by the TGA against these products where they are identified.</w:t>
      </w:r>
    </w:p>
    <w:p w:rsidR="007D76BB" w:rsidRDefault="00D70D28">
      <w:pPr>
        <w:pStyle w:val="BodyText"/>
        <w:spacing w:before="182"/>
        <w:ind w:left="198" w:right="603"/>
      </w:pPr>
      <w:r>
        <w:t xml:space="preserve">Implementation of Option 2B will mean that sports supplements presented in medicinal dosage forms, such as tablets, capsules and pills will be regulated as therapeutic goods. The rationale for including this criterion is provided in the section in this RIS entitled </w:t>
      </w:r>
      <w:hyperlink w:anchor="_bookmark24" w:history="1">
        <w:r>
          <w:t>Presentations of concern in</w:t>
        </w:r>
      </w:hyperlink>
      <w:r>
        <w:t xml:space="preserve"> </w:t>
      </w:r>
      <w:hyperlink w:anchor="_bookmark24" w:history="1">
        <w:r>
          <w:t xml:space="preserve">sports supplements. </w:t>
        </w:r>
      </w:hyperlink>
      <w:r>
        <w:t>Medicinal dosage forms are generally used to deliver concentrated amounts of ‘active’ ingredients which, combined with therapeutic indications, aligns with being regulated under the therapeutic goods framework to ensure their quality, safety and efficacy.</w:t>
      </w:r>
    </w:p>
    <w:p w:rsidR="007D76BB" w:rsidRDefault="00D70D28">
      <w:pPr>
        <w:pStyle w:val="BodyText"/>
        <w:ind w:left="198" w:right="884"/>
      </w:pPr>
      <w:r>
        <w:t>Implementation of Option 2B will mean that these goods will be require to be made under the principles of good manufacturing process, ensuring their batch to batch consistency.</w:t>
      </w:r>
    </w:p>
    <w:p w:rsidR="007D76BB" w:rsidRDefault="00D70D28">
      <w:pPr>
        <w:pStyle w:val="Heading7"/>
        <w:ind w:right="999"/>
      </w:pPr>
      <w:r>
        <w:t>Effect of Option 2B on reducing the risk of athletes/consumers from WADC Prohibited substances</w:t>
      </w:r>
    </w:p>
    <w:p w:rsidR="007D76BB" w:rsidRDefault="00D70D28">
      <w:pPr>
        <w:pStyle w:val="BodyText"/>
        <w:spacing w:before="180"/>
        <w:ind w:left="198" w:right="872"/>
      </w:pPr>
      <w:r>
        <w:t xml:space="preserve">Implementation of Option 2B could see a potential continued consumer exposure to WADC prohibited substances that are not expressly included in the Poisons Standard or the </w:t>
      </w:r>
      <w:proofErr w:type="gramStart"/>
      <w:r>
        <w:t>Relevant</w:t>
      </w:r>
      <w:proofErr w:type="gramEnd"/>
      <w:r>
        <w:t xml:space="preserve"> substance list.</w:t>
      </w:r>
    </w:p>
    <w:p w:rsidR="007D76BB" w:rsidRDefault="00D70D28">
      <w:pPr>
        <w:pStyle w:val="BodyText"/>
        <w:spacing w:before="179"/>
        <w:ind w:left="197" w:right="635" w:firstLine="1"/>
      </w:pPr>
      <w:r>
        <w:t xml:space="preserve">During the consultation process for </w:t>
      </w:r>
      <w:hyperlink w:anchor="_bookmark59" w:history="1">
        <w:r>
          <w:t xml:space="preserve">Alternative approach 2, </w:t>
        </w:r>
      </w:hyperlink>
      <w:r>
        <w:t>some industry stakeholders raised objection to the WADC Prohibited List being included as a criterion in the proposed declaration, which is why Option 2B is explored in this RIS. Industry argument against the inclusion of the WADC list was that substances identified with a safety concern should be included in a schedule to the Poisons Standard, rather than the Australian legislation relying on a list maintained by a third party. In addition, industry contended that the requirement for product owners to be aware of all the entries in the WADC Prohibited list would be an additional regulatory burden. Further, there would also be increased uncertainty for industry, given that the WADC Prohibited List is subject to change. The benefit for industry of Option 2B is that the list of substances will be contained in therapeutic goods legislation, rather than relying on a list from a third party.</w:t>
      </w:r>
    </w:p>
    <w:p w:rsidR="007D76BB" w:rsidRDefault="00D70D28">
      <w:pPr>
        <w:pStyle w:val="BodyText"/>
        <w:spacing w:before="181"/>
        <w:ind w:left="197" w:right="650" w:hanging="1"/>
      </w:pPr>
      <w:r>
        <w:t xml:space="preserve">The section in this RIS, </w:t>
      </w:r>
      <w:hyperlink w:anchor="_bookmark21" w:history="1">
        <w:r>
          <w:rPr>
            <w:color w:val="0000FF"/>
            <w:u w:val="single" w:color="0000FF"/>
          </w:rPr>
          <w:t>Substances in the WADC Prohibited List</w:t>
        </w:r>
        <w:r>
          <w:rPr>
            <w:color w:val="0000FF"/>
          </w:rPr>
          <w:t xml:space="preserve"> </w:t>
        </w:r>
      </w:hyperlink>
      <w:r>
        <w:t xml:space="preserve">outlines the reasons for including these substances in a proposed declaration. In addition to WADC prohibited substances posing health risks for athletes, the presence of a WADC prohibited substance in a supplement may result in an anti-doping rule violation for an athlete, whether its use was intentional or unintentional. In addition, a number of professions in Australia, such as the Australian </w:t>
      </w:r>
      <w:proofErr w:type="spellStart"/>
      <w:r>
        <w:t>Defence</w:t>
      </w:r>
      <w:proofErr w:type="spellEnd"/>
      <w:r>
        <w:t xml:space="preserve"> Force, have strict anti- doping policies, the violation of which can be grounds for dismissal.</w:t>
      </w:r>
    </w:p>
    <w:p w:rsidR="007D76BB" w:rsidRDefault="00D70D28">
      <w:pPr>
        <w:pStyle w:val="BodyText"/>
        <w:spacing w:before="180"/>
        <w:ind w:left="197" w:right="586"/>
      </w:pPr>
      <w:r>
        <w:t xml:space="preserve">Given the safety concerns associated with substances included in the WADC prohibited List, if Option 2B is implemented, the TGA will need to </w:t>
      </w:r>
      <w:proofErr w:type="spellStart"/>
      <w:r>
        <w:t>analyse</w:t>
      </w:r>
      <w:proofErr w:type="spellEnd"/>
      <w:r>
        <w:t xml:space="preserve"> the substances on the WADC Prohibited List (that are not already expressly included in the Poisons Standard) and, on the basis of consumer safety, either develop a scheduling </w:t>
      </w:r>
      <w:r>
        <w:lastRenderedPageBreak/>
        <w:t>application (for those substances for inclusion in the Poisons Standard); or include them in the ‘Relevant substance’ list (at the discretion of the delegate of the Secretary). Either route will require significant time and Government resources, which may enable products with such substances to remain on the market for some time, resulting in a continued risk of exposure to consumers to potentially hazardous substances. This will not achieve the objective of regulatory intervention, which is to protect the Australian public from the actual and potential safety risks associated with the use of certain sports supplements.</w:t>
      </w:r>
    </w:p>
    <w:p w:rsidR="007D76BB" w:rsidRDefault="00D70D28">
      <w:pPr>
        <w:pStyle w:val="BodyText"/>
        <w:spacing w:before="181"/>
        <w:ind w:left="197" w:right="774"/>
      </w:pPr>
      <w:r>
        <w:t>In addition, as a State Party to the UNESCO Convention Against Doping in Sport, the Australian Government has international obligations to adopt appropriate measures at the national and international levels to prevent doping in sport, consistent with the principles of the WAD Code, which includes the WADC Prohibited List. Including the WADC Prohibited List as a criterion in the proposed declaration will enable the Australian Government to meet our international obligations as a State Party to the Convention.</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Heading7"/>
        <w:spacing w:before="101"/>
      </w:pPr>
      <w:r>
        <w:t>Limitations of Option 2B</w:t>
      </w:r>
    </w:p>
    <w:p w:rsidR="007D76BB" w:rsidRDefault="00D70D28">
      <w:pPr>
        <w:pStyle w:val="BodyText"/>
        <w:spacing w:before="182"/>
        <w:ind w:left="198" w:right="687"/>
      </w:pPr>
      <w:r>
        <w:t>As for Option 2A, some manufacturers may choose to continue marketing their product with substances of concern (declared, or undeclared, on the label) and/or in medicinal dosage forms. This is a known issue with products from this category and there is a risk that businesses could continue this practice. However, the legal clarity provided by Option 2B, will mean that timely and appropriate enforcement activity can be undertaken by the TGA against these products (with the exception of those products containing substances on the WADC Prohibited List that are not already expressly included in the Poisons Standard or in the Relevant substance list) .</w:t>
      </w:r>
    </w:p>
    <w:p w:rsidR="007D76BB" w:rsidRDefault="00D70D28">
      <w:pPr>
        <w:pStyle w:val="BodyText"/>
        <w:ind w:left="197" w:right="614"/>
      </w:pPr>
      <w:r>
        <w:t>The TGA already has testing protocols in place for sports supplements, which will be increased if Option 2B is implemented. While undeclared ingredients in supplements may continue to be a risk under any option discussed in this RIS, the clarified enforcement pathway and compliance actions under Option 2B will assist in providing a disincentive for such practices by manufacturers of products in Australia and encourage the development of a compliant industry in the long-term.</w:t>
      </w:r>
    </w:p>
    <w:p w:rsidR="007D76BB" w:rsidRDefault="00D70D28">
      <w:pPr>
        <w:pStyle w:val="BodyText"/>
        <w:spacing w:before="179"/>
        <w:ind w:left="197" w:right="733"/>
      </w:pPr>
      <w:r>
        <w:t xml:space="preserve">It is possible that consumers may purchase products no longer available in Australia online (under the Personal Importation Scheme) and thereby continue to be exposed to products with potential risks, as the safety of unregulated imported products is not known (refer to </w:t>
      </w:r>
      <w:hyperlink w:anchor="_bookmark5" w:history="1">
        <w:r>
          <w:rPr>
            <w:color w:val="0000FF"/>
            <w:u w:val="single" w:color="0000FF"/>
          </w:rPr>
          <w:t>Importation of food and medicines into Australia for information</w:t>
        </w:r>
        <w:r>
          <w:rPr>
            <w:color w:val="0000FF"/>
          </w:rPr>
          <w:t xml:space="preserve"> </w:t>
        </w:r>
      </w:hyperlink>
      <w:r>
        <w:t>on this scheme). Further, products with Schedule 4 or 8 substances require a prescription from an Australian registered medical practitioner in order for lawful import under the Personal Importation Scheme. If an import of therapeutic goods is made that does not comply with legislative requirements, the importation can be seized and destroyed and the importer may be charged.</w:t>
      </w:r>
    </w:p>
    <w:p w:rsidR="007D76BB" w:rsidRDefault="007D76BB">
      <w:pPr>
        <w:pStyle w:val="BodyText"/>
        <w:spacing w:before="8"/>
        <w:rPr>
          <w:sz w:val="30"/>
        </w:rPr>
      </w:pPr>
    </w:p>
    <w:p w:rsidR="007D76BB" w:rsidRDefault="00D70D28">
      <w:pPr>
        <w:pStyle w:val="Heading5"/>
        <w:rPr>
          <w:rFonts w:ascii="Arial"/>
        </w:rPr>
      </w:pPr>
      <w:bookmarkStart w:id="105" w:name="Impacts_of_Option_2B"/>
      <w:bookmarkStart w:id="106" w:name="_bookmark50"/>
      <w:bookmarkEnd w:id="105"/>
      <w:bookmarkEnd w:id="106"/>
      <w:r>
        <w:rPr>
          <w:rFonts w:ascii="Arial"/>
        </w:rPr>
        <w:t>Impacts of Option 2B</w:t>
      </w:r>
    </w:p>
    <w:p w:rsidR="007D76BB" w:rsidRDefault="00D70D28">
      <w:pPr>
        <w:pStyle w:val="BodyText"/>
        <w:spacing w:before="120"/>
        <w:ind w:left="198" w:right="775"/>
      </w:pPr>
      <w:r>
        <w:t xml:space="preserve">Implementation of Option 2B will mean that the product manufacturers/owners of products in scope would need to undertake action for their product to either comply with regulations as a therapeutic good or modify their product in order for it to be regulated as a food. The options available to sponsors are the same as those outlined in Option 2: </w:t>
      </w:r>
      <w:hyperlink w:anchor="_bookmark43" w:history="1">
        <w:r>
          <w:rPr>
            <w:color w:val="0000FF"/>
            <w:u w:val="single" w:color="0000FF"/>
          </w:rPr>
          <w:t>Potential action for</w:t>
        </w:r>
      </w:hyperlink>
      <w:r>
        <w:rPr>
          <w:color w:val="0000FF"/>
        </w:rPr>
        <w:t xml:space="preserve"> </w:t>
      </w:r>
      <w:hyperlink w:anchor="_bookmark43" w:history="1">
        <w:r>
          <w:rPr>
            <w:color w:val="0000FF"/>
            <w:u w:val="single" w:color="0000FF"/>
          </w:rPr>
          <w:t>manufacturers/owner of products in scope.</w:t>
        </w:r>
      </w:hyperlink>
    </w:p>
    <w:p w:rsidR="007D76BB" w:rsidRDefault="00D70D28">
      <w:pPr>
        <w:pStyle w:val="BodyText"/>
        <w:spacing w:before="182"/>
        <w:ind w:left="198" w:right="612"/>
      </w:pPr>
      <w:r>
        <w:t xml:space="preserve">The number of products pursuing the available pathway options is expected to be essentially the same as per Option 2A (as detailed in Tables 18 and 19). However, there may be slightly more products not requiring any action, where these products contain WADC prohibited substances that are not expressly included in the Poisons Standard (or in the </w:t>
      </w:r>
      <w:proofErr w:type="gramStart"/>
      <w:r>
        <w:t>Relevant</w:t>
      </w:r>
      <w:proofErr w:type="gramEnd"/>
      <w:r>
        <w:t xml:space="preserve"> substance list).</w:t>
      </w:r>
    </w:p>
    <w:p w:rsidR="007D76BB" w:rsidRDefault="00D70D28">
      <w:pPr>
        <w:pStyle w:val="BodyText"/>
        <w:spacing w:before="180"/>
        <w:ind w:left="198" w:right="971"/>
      </w:pPr>
      <w:r>
        <w:t>Option 2B may pose a lower level of regulatory burden when compared to Option 2A due to industry not having to refer separately to the WADC Prohibited List of substances. However, regulatory costings undertaken by Noetic (</w:t>
      </w:r>
      <w:hyperlink w:anchor="_bookmark67" w:history="1">
        <w:r>
          <w:rPr>
            <w:color w:val="0000FF"/>
            <w:u w:val="single" w:color="0000FF"/>
          </w:rPr>
          <w:t>Appendix 1</w:t>
        </w:r>
      </w:hyperlink>
      <w:r>
        <w:t xml:space="preserve">) predict no material difference in regulatory costing between Options </w:t>
      </w:r>
      <w:r>
        <w:lastRenderedPageBreak/>
        <w:t>2A and 2B due to the high correlation between the substances listed on the Poisons Standard and the WADC Prohibited list. Noetic Group’s regulatory costings estimate that the regulatory burden cost for option 2B is $0.22m average annual regulatory burden cost over 10 years.</w:t>
      </w:r>
    </w:p>
    <w:p w:rsidR="007D76BB" w:rsidRDefault="007D76BB">
      <w:pPr>
        <w:pStyle w:val="BodyText"/>
        <w:spacing w:before="5"/>
        <w:rPr>
          <w:sz w:val="20"/>
        </w:rPr>
      </w:pPr>
    </w:p>
    <w:p w:rsidR="007D76BB" w:rsidRDefault="00D70D28">
      <w:pPr>
        <w:pStyle w:val="Heading5"/>
      </w:pPr>
      <w:r>
        <w:rPr>
          <w:color w:val="001422"/>
        </w:rPr>
        <w:t>Benefits and negative impacts of Option 2B</w:t>
      </w:r>
    </w:p>
    <w:p w:rsidR="007D76BB" w:rsidRDefault="00D70D28">
      <w:pPr>
        <w:pStyle w:val="Heading7"/>
        <w:spacing w:before="120"/>
      </w:pPr>
      <w:r>
        <w:t>Benefits of Option 2B for industry</w:t>
      </w:r>
    </w:p>
    <w:p w:rsidR="007D76BB" w:rsidRDefault="00D70D28">
      <w:pPr>
        <w:pStyle w:val="BodyText"/>
        <w:spacing w:before="179"/>
        <w:ind w:left="198" w:right="1836"/>
      </w:pPr>
      <w:r>
        <w:t>Option 2B will provide long-sought clarity for manufacturers and retailers of sports supplements and reduce their risk of accidental non-compliance.</w:t>
      </w:r>
    </w:p>
    <w:p w:rsidR="007D76BB" w:rsidRDefault="00D70D28">
      <w:pPr>
        <w:pStyle w:val="BodyText"/>
        <w:spacing w:before="180"/>
        <w:ind w:left="198" w:right="583"/>
      </w:pPr>
      <w:r>
        <w:t>The improvement in enforcement efficiency and the legal standing of products will see products that are harmful and/or unlawfully supplied removed from the market more effectively, providing support and incentive to those manufacturers who are diligent in ensuring they are fulfilling their regulatory obligations. Several members of industry noted they felt that the lack of</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8" w:right="633"/>
      </w:pPr>
      <w:proofErr w:type="gramStart"/>
      <w:r>
        <w:t>enforcement</w:t>
      </w:r>
      <w:proofErr w:type="gramEnd"/>
      <w:r>
        <w:t xml:space="preserve"> put them at a disadvantage compared to manufacturers willing to include dangerous or prohibited substances in their products. Option 2B would go towards resolving this concern. It will also assist in lifting the reputation of Australian sports supplements in terms of safety and quality, which may boost consumer confidence both within Australia and in international markets.</w:t>
      </w:r>
    </w:p>
    <w:p w:rsidR="007D76BB" w:rsidRDefault="00D70D28">
      <w:pPr>
        <w:pStyle w:val="BodyText"/>
        <w:spacing w:before="182"/>
        <w:ind w:left="198" w:right="625"/>
      </w:pPr>
      <w:r>
        <w:t>A benefit for industry of substances in the WADC prohibited list not being included as a criterion for the declaration may be less regulatory burden and uncertainty. This would be due to the list of substances (deeming a sports supplement to be a therapeutic good) being contained only in therapeutic goods legislation, without additionally relying on a list from a third party.</w:t>
      </w:r>
    </w:p>
    <w:p w:rsidR="007D76BB" w:rsidRDefault="00D70D28">
      <w:pPr>
        <w:pStyle w:val="BodyText"/>
        <w:spacing w:before="180"/>
        <w:ind w:left="198" w:right="621"/>
      </w:pPr>
      <w:r>
        <w:t>Providing clarity about which imported sports supplements meet compliance standards will enable the Department of Agriculture, Water and the Environment and the Australian Border Force to more readily detect products entering the country unlawfully. This will enable prompt regulatory action for imported sports supplements not compliant with the Australian regulatory framework, including those imported under the Personal importation Scheme. This may provide a marketing advantage for Australian sponsors and manufacturers of sports supplements who are ‘doing the right thing’ and are compliant with Australian legislation.</w:t>
      </w:r>
    </w:p>
    <w:p w:rsidR="007D76BB" w:rsidRDefault="00D70D28">
      <w:pPr>
        <w:pStyle w:val="BodyText"/>
        <w:spacing w:before="179"/>
        <w:ind w:left="198" w:right="582"/>
      </w:pPr>
      <w:r>
        <w:t>Industry asserts that restrictions on the product claims, ingredients and presentations permitted for use in sports supplements will reduce Australia’s competitiveness in the global market.</w:t>
      </w:r>
    </w:p>
    <w:p w:rsidR="007D76BB" w:rsidRDefault="00D70D28">
      <w:pPr>
        <w:pStyle w:val="BodyText"/>
        <w:spacing w:before="1"/>
        <w:ind w:left="198" w:right="782"/>
      </w:pPr>
      <w:r>
        <w:t>However, there is also a potential for increased competitiveness in the overseas market, due to the strong reputation of Australian listed medicines and regulation by the TGA.</w:t>
      </w:r>
    </w:p>
    <w:p w:rsidR="007D76BB" w:rsidRDefault="00D70D28">
      <w:pPr>
        <w:pStyle w:val="Heading7"/>
      </w:pPr>
      <w:r>
        <w:t>Negative impact of Option 2B for industry</w:t>
      </w:r>
    </w:p>
    <w:p w:rsidR="007D76BB" w:rsidRDefault="00D70D28">
      <w:pPr>
        <w:pStyle w:val="BodyText"/>
        <w:spacing w:before="179"/>
        <w:ind w:left="197" w:right="947"/>
      </w:pPr>
      <w:r>
        <w:t xml:space="preserve">The product manufacturer/owner of products in scope may incur increased regulatory costs, depending on which action they choose for their product - see </w:t>
      </w:r>
      <w:hyperlink w:anchor="_bookmark43" w:history="1">
        <w:r>
          <w:rPr>
            <w:color w:val="0000FF"/>
            <w:u w:val="single" w:color="0000FF"/>
          </w:rPr>
          <w:t>Potential action for</w:t>
        </w:r>
      </w:hyperlink>
      <w:r>
        <w:rPr>
          <w:color w:val="0000FF"/>
        </w:rPr>
        <w:t xml:space="preserve"> </w:t>
      </w:r>
      <w:hyperlink w:anchor="_bookmark43" w:history="1">
        <w:r>
          <w:rPr>
            <w:color w:val="0000FF"/>
            <w:u w:val="single" w:color="0000FF"/>
          </w:rPr>
          <w:t>manufacturers of products in scope.</w:t>
        </w:r>
      </w:hyperlink>
    </w:p>
    <w:p w:rsidR="007D76BB" w:rsidRDefault="00D70D28">
      <w:pPr>
        <w:pStyle w:val="BodyText"/>
        <w:spacing w:before="181"/>
        <w:ind w:left="198" w:right="723"/>
      </w:pPr>
      <w:r>
        <w:t>The increased regulatory costs for these sports supplements (for example: associated with reformulation or being entered in the ARTG as therapeutic goods) could result in increased prices for consumers and potentially a decline in sales. It is recognised that cost is a significant factor determining consumer purchasing choices. However, the consumers who purchase these products appear willing to pay a premium price for sports supplements promoted to increase their performance and paying extra for a safe product may not be deterrent for all consumers.</w:t>
      </w:r>
    </w:p>
    <w:p w:rsidR="007D76BB" w:rsidRDefault="00D70D28">
      <w:pPr>
        <w:pStyle w:val="BodyText"/>
        <w:spacing w:before="178"/>
        <w:ind w:left="198" w:right="695"/>
      </w:pPr>
      <w:r>
        <w:t>Some industry stakeholders claim that, as a result of expected reduction in product lines arising from the regulatory clarification, there is likely to be a shift in consumer purchasing behavior, with consumers increasing the number of goods purchased from overseas online retailers.</w:t>
      </w:r>
    </w:p>
    <w:p w:rsidR="007D76BB" w:rsidRDefault="00D70D28">
      <w:pPr>
        <w:pStyle w:val="BodyText"/>
        <w:spacing w:before="2"/>
        <w:ind w:left="198" w:right="622"/>
      </w:pPr>
      <w:r>
        <w:t xml:space="preserve">Sports supplements products are often sold in a ‘bundle’. For example, a pre-workout, fat burner and a recovery product. Consumers may buy, not only the in-scope products such as the pre- workout, but other non-affected products (secondary sales) such </w:t>
      </w:r>
      <w:r>
        <w:lastRenderedPageBreak/>
        <w:t>as general health products, from overseas online retailers. However, this trend in consumer purchasing already occurs and is likely to be affected by other factors such as exchange rates irrespective of the proposed regulatory clarification.</w:t>
      </w:r>
    </w:p>
    <w:p w:rsidR="007D76BB" w:rsidRDefault="00D70D28">
      <w:pPr>
        <w:pStyle w:val="Heading7"/>
      </w:pPr>
      <w:r>
        <w:t>Benefits of Option 2B for consumers</w:t>
      </w:r>
    </w:p>
    <w:p w:rsidR="007D76BB" w:rsidRDefault="00D70D28">
      <w:pPr>
        <w:pStyle w:val="BodyText"/>
        <w:spacing w:before="179"/>
        <w:ind w:left="198" w:right="741"/>
      </w:pPr>
      <w:r>
        <w:t>The benefits to consumers achieved under Option 2B include an improvement in the safety and confidence with which they will be able to purchase and consume sports supplements in Australia.</w:t>
      </w:r>
    </w:p>
    <w:p w:rsidR="007D76BB" w:rsidRDefault="00D70D28">
      <w:pPr>
        <w:pStyle w:val="BodyText"/>
        <w:spacing w:before="181"/>
        <w:ind w:left="198" w:right="612"/>
      </w:pPr>
      <w:r>
        <w:t>Implementation of Option 2B is anticipated to reduce the number of serious adverse events experienced by otherwise healthy individuals who consume sports supplement products, as well as reducing the risk to athletes of inadvertent doping due to contaminated/adulterated products.</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8" w:right="846"/>
      </w:pPr>
      <w:r>
        <w:t xml:space="preserve">The legal clarity provided by Option 2B will provide for prompt action being able to be taken against products found to pose a safety risk to consumers (with the exception of products that contain WADC prohibited substances not expressly included in the Poisons Standard or in the </w:t>
      </w:r>
      <w:proofErr w:type="gramStart"/>
      <w:r>
        <w:t>Relevant</w:t>
      </w:r>
      <w:proofErr w:type="gramEnd"/>
      <w:r>
        <w:t xml:space="preserve"> substance list).</w:t>
      </w:r>
    </w:p>
    <w:p w:rsidR="007D76BB" w:rsidRDefault="00D70D28">
      <w:pPr>
        <w:pStyle w:val="Heading7"/>
        <w:spacing w:before="181"/>
      </w:pPr>
      <w:r>
        <w:t>Negative impact of Option 2B for consumers</w:t>
      </w:r>
    </w:p>
    <w:p w:rsidR="007D76BB" w:rsidRDefault="00D70D28">
      <w:pPr>
        <w:pStyle w:val="BodyText"/>
        <w:spacing w:before="181"/>
        <w:ind w:left="198" w:right="707"/>
      </w:pPr>
      <w:r>
        <w:t>Consumers may face a reduction in product choice because of the implementation of Option 2B. Owners of some affected products may withdraw the product from the market rather than choose to transition to therapeutic goods regulation, which will decrease the consumer choice available in the short-term. It is difficult to estimate future populations, noting that the industry is growing in Australia and internationally, however, it is reasonable to expect that some of the products withdrawn will be replaced in time by other companies willing to progress down the therapeutic goods pathway.</w:t>
      </w:r>
    </w:p>
    <w:p w:rsidR="007D76BB" w:rsidRDefault="00D70D28">
      <w:pPr>
        <w:pStyle w:val="BodyText"/>
        <w:spacing w:before="179"/>
        <w:ind w:left="198" w:right="700"/>
      </w:pPr>
      <w:r>
        <w:t>Products that transition to the therapeutic goods regulatory framework are anticipated to incur additional costs, much of which may be passed on to the consumer, increasing product costs.</w:t>
      </w:r>
    </w:p>
    <w:p w:rsidR="007D76BB" w:rsidRDefault="00D70D28">
      <w:pPr>
        <w:pStyle w:val="BodyText"/>
        <w:ind w:left="198" w:right="1087"/>
      </w:pPr>
      <w:r>
        <w:t>While there may be some consumers willing to pay a premium in order to gain additional assurances of safety and quality, increased cost may be a disincentive for purchase by other consumers.</w:t>
      </w:r>
    </w:p>
    <w:p w:rsidR="007D76BB" w:rsidRDefault="00D70D28">
      <w:pPr>
        <w:pStyle w:val="BodyText"/>
        <w:spacing w:before="179"/>
        <w:ind w:left="198" w:right="739"/>
      </w:pPr>
      <w:r>
        <w:t xml:space="preserve">Under Option 2B there remains a potential continued risk of athlete and other consumer exposure to food products that contain WADC prohibited substances (not expressly included in the Poisons Standard or in the </w:t>
      </w:r>
      <w:proofErr w:type="gramStart"/>
      <w:r>
        <w:t>Relevant</w:t>
      </w:r>
      <w:proofErr w:type="gramEnd"/>
      <w:r>
        <w:t xml:space="preserve"> substance list).</w:t>
      </w:r>
    </w:p>
    <w:p w:rsidR="007D76BB" w:rsidRDefault="00D70D28">
      <w:pPr>
        <w:pStyle w:val="BodyText"/>
        <w:spacing w:before="182"/>
        <w:ind w:left="198" w:right="617"/>
      </w:pPr>
      <w:r>
        <w:t>The potential for a greater portion of consumers to purchase products online under the Personal Importation Scheme may expose consumers to additional risks. The safety of imported products is not known as these products are not regulated by the TGA. There is also a risk for consumers that if an import of therapeutic goods is made that does not comply with the rules of the Personal Importation Scheme (such as including Schedule 4 or 8 substances without relevant approval), the importer may be charged with an offence under the TG</w:t>
      </w:r>
      <w:r>
        <w:rPr>
          <w:spacing w:val="-19"/>
        </w:rPr>
        <w:t xml:space="preserve"> </w:t>
      </w:r>
      <w:r>
        <w:t>Act.</w:t>
      </w:r>
    </w:p>
    <w:p w:rsidR="007D76BB" w:rsidRDefault="00D70D28">
      <w:pPr>
        <w:pStyle w:val="BodyText"/>
        <w:spacing w:before="180"/>
        <w:ind w:left="198"/>
      </w:pPr>
      <w:r>
        <w:t xml:space="preserve">Table 21 </w:t>
      </w:r>
      <w:proofErr w:type="spellStart"/>
      <w:r>
        <w:t>summarises</w:t>
      </w:r>
      <w:proofErr w:type="spellEnd"/>
      <w:r>
        <w:t xml:space="preserve"> the impacts on stakeholders of the implementation of 2B.</w:t>
      </w:r>
    </w:p>
    <w:p w:rsidR="007D76BB" w:rsidRDefault="00D70D28">
      <w:pPr>
        <w:pStyle w:val="Heading7"/>
        <w:spacing w:before="179"/>
      </w:pPr>
      <w:r>
        <w:t>Table 21: Summary of impacts on stakeholders from implementation of Option 2B</w:t>
      </w:r>
    </w:p>
    <w:p w:rsidR="007D76BB" w:rsidRDefault="007D76BB">
      <w:pPr>
        <w:pStyle w:val="BodyText"/>
        <w:spacing w:before="6"/>
        <w:rPr>
          <w:b/>
          <w:sz w:val="15"/>
        </w:rPr>
      </w:pPr>
    </w:p>
    <w:tbl>
      <w:tblPr>
        <w:tblW w:w="0" w:type="auto"/>
        <w:tblInd w:w="218" w:type="dxa"/>
        <w:tblBorders>
          <w:top w:val="single" w:sz="8" w:space="0" w:color="002C46"/>
          <w:left w:val="single" w:sz="8" w:space="0" w:color="002C46"/>
          <w:bottom w:val="single" w:sz="8" w:space="0" w:color="002C46"/>
          <w:right w:val="single" w:sz="8" w:space="0" w:color="002C46"/>
          <w:insideH w:val="single" w:sz="8" w:space="0" w:color="002C46"/>
          <w:insideV w:val="single" w:sz="8" w:space="0" w:color="002C46"/>
        </w:tblBorders>
        <w:tblLayout w:type="fixed"/>
        <w:tblCellMar>
          <w:left w:w="0" w:type="dxa"/>
          <w:right w:w="0" w:type="dxa"/>
        </w:tblCellMar>
        <w:tblLook w:val="01E0" w:firstRow="1" w:lastRow="1" w:firstColumn="1" w:lastColumn="1" w:noHBand="0" w:noVBand="0"/>
      </w:tblPr>
      <w:tblGrid>
        <w:gridCol w:w="1718"/>
        <w:gridCol w:w="3943"/>
        <w:gridCol w:w="3389"/>
      </w:tblGrid>
      <w:tr w:rsidR="007D76BB">
        <w:trPr>
          <w:trHeight w:val="608"/>
        </w:trPr>
        <w:tc>
          <w:tcPr>
            <w:tcW w:w="1718" w:type="dxa"/>
            <w:tcBorders>
              <w:right w:val="nil"/>
            </w:tcBorders>
            <w:shd w:val="clear" w:color="auto" w:fill="006CA7"/>
          </w:tcPr>
          <w:p w:rsidR="007D76BB" w:rsidRDefault="00D70D28">
            <w:pPr>
              <w:pStyle w:val="TableParagraph"/>
              <w:spacing w:before="120"/>
              <w:ind w:left="107"/>
              <w:rPr>
                <w:rFonts w:ascii="Arial Black"/>
              </w:rPr>
            </w:pPr>
            <w:r>
              <w:rPr>
                <w:rFonts w:ascii="Arial Black"/>
                <w:color w:val="FFFFFF"/>
              </w:rPr>
              <w:t>Stakeholder</w:t>
            </w:r>
          </w:p>
        </w:tc>
        <w:tc>
          <w:tcPr>
            <w:tcW w:w="3943" w:type="dxa"/>
            <w:tcBorders>
              <w:left w:val="nil"/>
              <w:right w:val="nil"/>
            </w:tcBorders>
            <w:shd w:val="clear" w:color="auto" w:fill="006CA7"/>
          </w:tcPr>
          <w:p w:rsidR="007D76BB" w:rsidRDefault="00D70D28">
            <w:pPr>
              <w:pStyle w:val="TableParagraph"/>
              <w:spacing w:before="120"/>
              <w:ind w:left="117"/>
              <w:rPr>
                <w:rFonts w:ascii="Arial Black"/>
              </w:rPr>
            </w:pPr>
            <w:r>
              <w:rPr>
                <w:rFonts w:ascii="Arial Black"/>
                <w:color w:val="FFFFFF"/>
              </w:rPr>
              <w:t>Benefits</w:t>
            </w:r>
          </w:p>
        </w:tc>
        <w:tc>
          <w:tcPr>
            <w:tcW w:w="3389" w:type="dxa"/>
            <w:tcBorders>
              <w:left w:val="nil"/>
            </w:tcBorders>
            <w:shd w:val="clear" w:color="auto" w:fill="006CA7"/>
          </w:tcPr>
          <w:p w:rsidR="007D76BB" w:rsidRDefault="00D70D28">
            <w:pPr>
              <w:pStyle w:val="TableParagraph"/>
              <w:spacing w:before="120"/>
              <w:ind w:left="115"/>
              <w:rPr>
                <w:rFonts w:ascii="Arial Black"/>
              </w:rPr>
            </w:pPr>
            <w:r>
              <w:rPr>
                <w:rFonts w:ascii="Arial Black"/>
                <w:color w:val="FFFFFF"/>
              </w:rPr>
              <w:t>Negatives</w:t>
            </w:r>
          </w:p>
        </w:tc>
      </w:tr>
      <w:tr w:rsidR="007D76BB">
        <w:trPr>
          <w:trHeight w:val="3755"/>
        </w:trPr>
        <w:tc>
          <w:tcPr>
            <w:tcW w:w="1718" w:type="dxa"/>
          </w:tcPr>
          <w:p w:rsidR="007D76BB" w:rsidRDefault="00D70D28">
            <w:pPr>
              <w:pStyle w:val="TableParagraph"/>
              <w:spacing w:before="119"/>
              <w:ind w:left="107" w:right="68"/>
              <w:rPr>
                <w:b/>
              </w:rPr>
            </w:pPr>
            <w:r>
              <w:rPr>
                <w:b/>
              </w:rPr>
              <w:lastRenderedPageBreak/>
              <w:t>Australian manufacturers</w:t>
            </w:r>
          </w:p>
        </w:tc>
        <w:tc>
          <w:tcPr>
            <w:tcW w:w="3943" w:type="dxa"/>
          </w:tcPr>
          <w:p w:rsidR="007D76BB" w:rsidRDefault="00D70D28">
            <w:pPr>
              <w:pStyle w:val="TableParagraph"/>
              <w:numPr>
                <w:ilvl w:val="0"/>
                <w:numId w:val="37"/>
              </w:numPr>
              <w:tabs>
                <w:tab w:val="left" w:pos="467"/>
                <w:tab w:val="left" w:pos="468"/>
              </w:tabs>
              <w:spacing w:before="119"/>
              <w:ind w:left="467" w:right="475"/>
            </w:pPr>
            <w:r>
              <w:t>Clarity of legislation will reduce inadvertent</w:t>
            </w:r>
            <w:r>
              <w:rPr>
                <w:spacing w:val="-2"/>
              </w:rPr>
              <w:t xml:space="preserve"> </w:t>
            </w:r>
            <w:r>
              <w:t>non-compliance.</w:t>
            </w:r>
          </w:p>
          <w:p w:rsidR="007D76BB" w:rsidRDefault="00D70D28">
            <w:pPr>
              <w:pStyle w:val="TableParagraph"/>
              <w:numPr>
                <w:ilvl w:val="0"/>
                <w:numId w:val="37"/>
              </w:numPr>
              <w:tabs>
                <w:tab w:val="left" w:pos="468"/>
                <w:tab w:val="left" w:pos="469"/>
              </w:tabs>
              <w:spacing w:before="180"/>
              <w:ind w:right="241"/>
            </w:pPr>
            <w:r>
              <w:t>Increased consumer confidence in safety of Australian</w:t>
            </w:r>
            <w:r>
              <w:rPr>
                <w:spacing w:val="-6"/>
              </w:rPr>
              <w:t xml:space="preserve"> </w:t>
            </w:r>
            <w:r>
              <w:t>products.</w:t>
            </w:r>
          </w:p>
          <w:p w:rsidR="007D76BB" w:rsidRDefault="00D70D28">
            <w:pPr>
              <w:pStyle w:val="TableParagraph"/>
              <w:numPr>
                <w:ilvl w:val="0"/>
                <w:numId w:val="37"/>
              </w:numPr>
              <w:tabs>
                <w:tab w:val="left" w:pos="468"/>
                <w:tab w:val="left" w:pos="469"/>
              </w:tabs>
              <w:spacing w:before="180"/>
              <w:ind w:right="246"/>
            </w:pPr>
            <w:r>
              <w:t>Improved enforcement against non-compliant businesses will support others that work to understand and comply with their regulatory</w:t>
            </w:r>
            <w:r>
              <w:rPr>
                <w:spacing w:val="-3"/>
              </w:rPr>
              <w:t xml:space="preserve"> </w:t>
            </w:r>
            <w:r>
              <w:t>obligations.</w:t>
            </w:r>
          </w:p>
          <w:p w:rsidR="007D76BB" w:rsidRDefault="00D70D28">
            <w:pPr>
              <w:pStyle w:val="TableParagraph"/>
              <w:numPr>
                <w:ilvl w:val="0"/>
                <w:numId w:val="37"/>
              </w:numPr>
              <w:tabs>
                <w:tab w:val="left" w:pos="467"/>
                <w:tab w:val="left" w:pos="468"/>
                <w:tab w:val="left" w:pos="1192"/>
                <w:tab w:val="left" w:pos="2488"/>
                <w:tab w:val="left" w:pos="3479"/>
              </w:tabs>
              <w:spacing w:before="182"/>
              <w:ind w:left="467" w:right="86" w:hanging="360"/>
              <w:jc w:val="right"/>
            </w:pPr>
            <w:r>
              <w:t>Less</w:t>
            </w:r>
            <w:r>
              <w:tab/>
              <w:t>regulatory</w:t>
            </w:r>
            <w:r>
              <w:tab/>
              <w:t>burden</w:t>
            </w:r>
            <w:r>
              <w:tab/>
            </w:r>
            <w:r>
              <w:rPr>
                <w:spacing w:val="-6"/>
              </w:rPr>
              <w:t xml:space="preserve">and </w:t>
            </w:r>
            <w:r>
              <w:t xml:space="preserve">uncertainty   for   industry  </w:t>
            </w:r>
            <w:r>
              <w:rPr>
                <w:spacing w:val="1"/>
              </w:rPr>
              <w:t xml:space="preserve"> </w:t>
            </w:r>
            <w:r>
              <w:t>because</w:t>
            </w:r>
          </w:p>
          <w:p w:rsidR="007D76BB" w:rsidRDefault="00D70D28">
            <w:pPr>
              <w:pStyle w:val="TableParagraph"/>
              <w:spacing w:line="237" w:lineRule="exact"/>
              <w:ind w:right="85"/>
              <w:jc w:val="right"/>
            </w:pPr>
            <w:r>
              <w:t xml:space="preserve">the  list  of  substances  (deeming  </w:t>
            </w:r>
            <w:r>
              <w:rPr>
                <w:spacing w:val="7"/>
              </w:rPr>
              <w:t xml:space="preserve"> </w:t>
            </w:r>
            <w:r>
              <w:t>a</w:t>
            </w:r>
          </w:p>
        </w:tc>
        <w:tc>
          <w:tcPr>
            <w:tcW w:w="3389" w:type="dxa"/>
          </w:tcPr>
          <w:p w:rsidR="007D76BB" w:rsidRDefault="00D70D28">
            <w:pPr>
              <w:pStyle w:val="TableParagraph"/>
              <w:numPr>
                <w:ilvl w:val="0"/>
                <w:numId w:val="36"/>
              </w:numPr>
              <w:tabs>
                <w:tab w:val="left" w:pos="465"/>
                <w:tab w:val="left" w:pos="466"/>
              </w:tabs>
              <w:spacing w:before="119"/>
              <w:ind w:right="86"/>
            </w:pPr>
            <w:r>
              <w:t>Affected products will require reformulation (~ 93 products), entry in the ARTG (~ 87 products) or withdrawal from market (~ 86</w:t>
            </w:r>
            <w:r>
              <w:rPr>
                <w:spacing w:val="-1"/>
              </w:rPr>
              <w:t xml:space="preserve"> </w:t>
            </w:r>
            <w:r>
              <w:t>products</w:t>
            </w:r>
            <w:proofErr w:type="gramStart"/>
            <w:r>
              <w:t>)</w:t>
            </w:r>
            <w:proofErr w:type="gramEnd"/>
            <w:r w:rsidR="00A51832">
              <w:fldChar w:fldCharType="begin"/>
            </w:r>
            <w:r w:rsidR="00A51832">
              <w:instrText xml:space="preserve"> HYPERLINK \l "_bookmark51" </w:instrText>
            </w:r>
            <w:r w:rsidR="00A51832">
              <w:fldChar w:fldCharType="separate"/>
            </w:r>
            <w:r>
              <w:rPr>
                <w:position w:val="5"/>
                <w:sz w:val="14"/>
              </w:rPr>
              <w:t>12</w:t>
            </w:r>
            <w:r w:rsidR="00A51832">
              <w:rPr>
                <w:position w:val="5"/>
                <w:sz w:val="14"/>
              </w:rPr>
              <w:fldChar w:fldCharType="end"/>
            </w:r>
            <w:r>
              <w:t>.</w:t>
            </w:r>
          </w:p>
          <w:p w:rsidR="007D76BB" w:rsidRDefault="00D70D28">
            <w:pPr>
              <w:pStyle w:val="TableParagraph"/>
              <w:numPr>
                <w:ilvl w:val="0"/>
                <w:numId w:val="36"/>
              </w:numPr>
              <w:tabs>
                <w:tab w:val="left" w:pos="465"/>
                <w:tab w:val="left" w:pos="467"/>
              </w:tabs>
              <w:spacing w:before="180"/>
              <w:ind w:left="466" w:hanging="362"/>
            </w:pPr>
            <w:r>
              <w:t>Potential loss of</w:t>
            </w:r>
            <w:r>
              <w:rPr>
                <w:spacing w:val="-4"/>
              </w:rPr>
              <w:t xml:space="preserve"> </w:t>
            </w:r>
            <w:r>
              <w:t>revenue.</w:t>
            </w:r>
          </w:p>
          <w:p w:rsidR="007D76BB" w:rsidRDefault="00D70D28">
            <w:pPr>
              <w:pStyle w:val="TableParagraph"/>
              <w:numPr>
                <w:ilvl w:val="0"/>
                <w:numId w:val="36"/>
              </w:numPr>
              <w:tabs>
                <w:tab w:val="left" w:pos="466"/>
                <w:tab w:val="left" w:pos="467"/>
              </w:tabs>
              <w:spacing w:before="182"/>
              <w:ind w:left="466" w:right="207"/>
            </w:pPr>
            <w:r>
              <w:t>Increased regulatory burden if transitioning from food to therapeutic good</w:t>
            </w:r>
            <w:r>
              <w:rPr>
                <w:spacing w:val="-2"/>
              </w:rPr>
              <w:t xml:space="preserve"> </w:t>
            </w:r>
            <w:r>
              <w:t>GMP.</w:t>
            </w:r>
          </w:p>
        </w:tc>
      </w:tr>
    </w:tbl>
    <w:p w:rsidR="007D76BB" w:rsidRDefault="00D70D28">
      <w:pPr>
        <w:pStyle w:val="BodyText"/>
        <w:spacing w:before="1"/>
        <w:rPr>
          <w:b/>
          <w:sz w:val="25"/>
        </w:rPr>
      </w:pPr>
      <w:r>
        <w:rPr>
          <w:noProof/>
          <w:lang w:val="en-AU" w:eastAsia="en-AU"/>
        </w:rPr>
        <mc:AlternateContent>
          <mc:Choice Requires="wps">
            <w:drawing>
              <wp:anchor distT="0" distB="0" distL="0" distR="0" simplePos="0" relativeHeight="251677696" behindDoc="1" locked="0" layoutInCell="1" allowOverlap="1">
                <wp:simplePos x="0" y="0"/>
                <wp:positionH relativeFrom="page">
                  <wp:posOffset>900430</wp:posOffset>
                </wp:positionH>
                <wp:positionV relativeFrom="paragraph">
                  <wp:posOffset>215900</wp:posOffset>
                </wp:positionV>
                <wp:extent cx="1828800" cy="1270"/>
                <wp:effectExtent l="0" t="0" r="0" b="0"/>
                <wp:wrapTopAndBottom/>
                <wp:docPr id="415"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76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E49F5" id="Freeform 271" o:spid="_x0000_s1026" style="position:absolute;margin-left:70.9pt;margin-top:17pt;width:2in;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" path="m,l2880,e" filled="f" strokeweight=".21131mm">
                <v:path arrowok="t" o:connecttype="custom" o:connectlocs="0,0;1828800,0" o:connectangles="0,0"/>
                <w10:wrap type="topAndBottom" anchorx="page"/>
              </v:shape>
            </w:pict>
          </mc:Fallback>
        </mc:AlternateContent>
      </w:r>
    </w:p>
    <w:p w:rsidR="007D76BB" w:rsidRDefault="00D70D28">
      <w:pPr>
        <w:tabs>
          <w:tab w:val="left" w:pos="8917"/>
        </w:tabs>
        <w:spacing w:before="71" w:line="244" w:lineRule="auto"/>
        <w:ind w:left="198" w:right="621"/>
        <w:rPr>
          <w:sz w:val="20"/>
        </w:rPr>
      </w:pPr>
      <w:bookmarkStart w:id="107" w:name="_bookmark51"/>
      <w:bookmarkEnd w:id="107"/>
      <w:r>
        <w:rPr>
          <w:position w:val="5"/>
          <w:sz w:val="13"/>
        </w:rPr>
        <w:t xml:space="preserve">12 </w:t>
      </w:r>
      <w:r>
        <w:rPr>
          <w:sz w:val="20"/>
        </w:rPr>
        <w:t xml:space="preserve">Product total from Tables 18 and 19. These figures may be slightly reduced under Option 2B as some products containing WADC prohibited substances not expressly included in the Poisons Standard or in the </w:t>
      </w:r>
      <w:r>
        <w:rPr>
          <w:sz w:val="20"/>
          <w:u w:val="single"/>
        </w:rPr>
        <w:t>Relevant substance list may not be</w:t>
      </w:r>
      <w:r>
        <w:rPr>
          <w:spacing w:val="-21"/>
          <w:sz w:val="20"/>
          <w:u w:val="single"/>
        </w:rPr>
        <w:t xml:space="preserve"> </w:t>
      </w:r>
      <w:r>
        <w:rPr>
          <w:sz w:val="20"/>
          <w:u w:val="single"/>
        </w:rPr>
        <w:t>affected.</w:t>
      </w:r>
      <w:r>
        <w:rPr>
          <w:sz w:val="20"/>
          <w:u w:val="single"/>
        </w:rPr>
        <w:tab/>
      </w:r>
    </w:p>
    <w:p w:rsidR="007D76BB" w:rsidRDefault="007D76BB">
      <w:pPr>
        <w:spacing w:line="244" w:lineRule="auto"/>
        <w:rPr>
          <w:sz w:val="20"/>
        </w:rPr>
        <w:sectPr w:rsidR="007D76BB">
          <w:headerReference w:type="default" r:id="rId144"/>
          <w:footerReference w:type="default" r:id="rId145"/>
          <w:pgSz w:w="11910" w:h="16840"/>
          <w:pgMar w:top="840" w:right="820" w:bottom="1360" w:left="1220" w:header="572" w:footer="1167" w:gutter="0"/>
          <w:pgNumType w:start="75"/>
          <w:cols w:space="720"/>
        </w:sectPr>
      </w:pPr>
    </w:p>
    <w:p w:rsidR="007D76BB" w:rsidRDefault="007D76BB">
      <w:pPr>
        <w:pStyle w:val="BodyText"/>
        <w:spacing w:before="9"/>
        <w:rPr>
          <w:sz w:val="24"/>
        </w:rPr>
      </w:pPr>
    </w:p>
    <w:tbl>
      <w:tblPr>
        <w:tblW w:w="0" w:type="auto"/>
        <w:tblInd w:w="218" w:type="dxa"/>
        <w:tblBorders>
          <w:top w:val="single" w:sz="8" w:space="0" w:color="002C46"/>
          <w:left w:val="single" w:sz="8" w:space="0" w:color="002C46"/>
          <w:bottom w:val="single" w:sz="8" w:space="0" w:color="002C46"/>
          <w:right w:val="single" w:sz="8" w:space="0" w:color="002C46"/>
          <w:insideH w:val="single" w:sz="8" w:space="0" w:color="002C46"/>
          <w:insideV w:val="single" w:sz="8" w:space="0" w:color="002C46"/>
        </w:tblBorders>
        <w:tblLayout w:type="fixed"/>
        <w:tblCellMar>
          <w:left w:w="0" w:type="dxa"/>
          <w:right w:w="0" w:type="dxa"/>
        </w:tblCellMar>
        <w:tblLook w:val="01E0" w:firstRow="1" w:lastRow="1" w:firstColumn="1" w:lastColumn="1" w:noHBand="0" w:noVBand="0"/>
      </w:tblPr>
      <w:tblGrid>
        <w:gridCol w:w="1718"/>
        <w:gridCol w:w="3943"/>
        <w:gridCol w:w="3389"/>
      </w:tblGrid>
      <w:tr w:rsidR="007D76BB">
        <w:trPr>
          <w:trHeight w:val="611"/>
        </w:trPr>
        <w:tc>
          <w:tcPr>
            <w:tcW w:w="1718" w:type="dxa"/>
            <w:tcBorders>
              <w:right w:val="nil"/>
            </w:tcBorders>
            <w:shd w:val="clear" w:color="auto" w:fill="006CA7"/>
          </w:tcPr>
          <w:p w:rsidR="007D76BB" w:rsidRDefault="00D70D28">
            <w:pPr>
              <w:pStyle w:val="TableParagraph"/>
              <w:spacing w:before="122"/>
              <w:ind w:left="107"/>
              <w:rPr>
                <w:rFonts w:ascii="Arial Black"/>
              </w:rPr>
            </w:pPr>
            <w:r>
              <w:rPr>
                <w:rFonts w:ascii="Arial Black"/>
                <w:color w:val="FFFFFF"/>
              </w:rPr>
              <w:t>Stakeholder</w:t>
            </w:r>
          </w:p>
        </w:tc>
        <w:tc>
          <w:tcPr>
            <w:tcW w:w="3943" w:type="dxa"/>
            <w:tcBorders>
              <w:left w:val="nil"/>
              <w:right w:val="nil"/>
            </w:tcBorders>
            <w:shd w:val="clear" w:color="auto" w:fill="006CA7"/>
          </w:tcPr>
          <w:p w:rsidR="007D76BB" w:rsidRDefault="00D70D28">
            <w:pPr>
              <w:pStyle w:val="TableParagraph"/>
              <w:spacing w:before="122"/>
              <w:ind w:left="117"/>
              <w:rPr>
                <w:rFonts w:ascii="Arial Black"/>
              </w:rPr>
            </w:pPr>
            <w:r>
              <w:rPr>
                <w:rFonts w:ascii="Arial Black"/>
                <w:color w:val="FFFFFF"/>
              </w:rPr>
              <w:t>Benefits</w:t>
            </w:r>
          </w:p>
        </w:tc>
        <w:tc>
          <w:tcPr>
            <w:tcW w:w="3389" w:type="dxa"/>
            <w:tcBorders>
              <w:left w:val="nil"/>
            </w:tcBorders>
            <w:shd w:val="clear" w:color="auto" w:fill="006CA7"/>
          </w:tcPr>
          <w:p w:rsidR="007D76BB" w:rsidRDefault="00D70D28">
            <w:pPr>
              <w:pStyle w:val="TableParagraph"/>
              <w:spacing w:before="122"/>
              <w:ind w:left="115"/>
              <w:rPr>
                <w:rFonts w:ascii="Arial Black"/>
              </w:rPr>
            </w:pPr>
            <w:r>
              <w:rPr>
                <w:rFonts w:ascii="Arial Black"/>
                <w:color w:val="FFFFFF"/>
              </w:rPr>
              <w:t>Negatives</w:t>
            </w:r>
          </w:p>
        </w:tc>
      </w:tr>
      <w:tr w:rsidR="007D76BB">
        <w:trPr>
          <w:trHeight w:val="1470"/>
        </w:trPr>
        <w:tc>
          <w:tcPr>
            <w:tcW w:w="1718" w:type="dxa"/>
          </w:tcPr>
          <w:p w:rsidR="007D76BB" w:rsidRDefault="007D76BB">
            <w:pPr>
              <w:pStyle w:val="TableParagraph"/>
              <w:rPr>
                <w:rFonts w:ascii="Times New Roman"/>
                <w:sz w:val="20"/>
              </w:rPr>
            </w:pPr>
          </w:p>
        </w:tc>
        <w:tc>
          <w:tcPr>
            <w:tcW w:w="3943" w:type="dxa"/>
          </w:tcPr>
          <w:p w:rsidR="007D76BB" w:rsidRDefault="00D70D28">
            <w:pPr>
              <w:pStyle w:val="TableParagraph"/>
              <w:ind w:left="467" w:right="85"/>
              <w:jc w:val="both"/>
            </w:pPr>
            <w:r>
              <w:t>sports supplement to be a therapeutic good) will be contained in therapeutic goods legislation, rather than relying on a list from a third party</w:t>
            </w:r>
          </w:p>
        </w:tc>
        <w:tc>
          <w:tcPr>
            <w:tcW w:w="3389" w:type="dxa"/>
          </w:tcPr>
          <w:p w:rsidR="007D76BB" w:rsidRDefault="007D76BB">
            <w:pPr>
              <w:pStyle w:val="TableParagraph"/>
              <w:rPr>
                <w:rFonts w:ascii="Times New Roman"/>
                <w:sz w:val="20"/>
              </w:rPr>
            </w:pPr>
          </w:p>
        </w:tc>
      </w:tr>
      <w:tr w:rsidR="007D76BB">
        <w:trPr>
          <w:trHeight w:val="1768"/>
        </w:trPr>
        <w:tc>
          <w:tcPr>
            <w:tcW w:w="1718" w:type="dxa"/>
          </w:tcPr>
          <w:p w:rsidR="007D76BB" w:rsidRDefault="00D70D28">
            <w:pPr>
              <w:pStyle w:val="TableParagraph"/>
              <w:spacing w:before="119"/>
              <w:ind w:left="107" w:right="68"/>
              <w:rPr>
                <w:b/>
              </w:rPr>
            </w:pPr>
            <w:r>
              <w:rPr>
                <w:b/>
              </w:rPr>
              <w:t>Overseas manufacturers</w:t>
            </w:r>
          </w:p>
        </w:tc>
        <w:tc>
          <w:tcPr>
            <w:tcW w:w="3943" w:type="dxa"/>
          </w:tcPr>
          <w:p w:rsidR="007D76BB" w:rsidRDefault="00D70D28">
            <w:pPr>
              <w:pStyle w:val="TableParagraph"/>
              <w:numPr>
                <w:ilvl w:val="0"/>
                <w:numId w:val="35"/>
              </w:numPr>
              <w:tabs>
                <w:tab w:val="left" w:pos="467"/>
                <w:tab w:val="left" w:pos="468"/>
              </w:tabs>
              <w:spacing w:before="119"/>
              <w:ind w:left="467" w:right="475"/>
            </w:pPr>
            <w:r>
              <w:t>Clarity of legislation will reduce inadvertent</w:t>
            </w:r>
            <w:r>
              <w:rPr>
                <w:spacing w:val="-2"/>
              </w:rPr>
              <w:t xml:space="preserve"> </w:t>
            </w:r>
            <w:r>
              <w:t>non-compliance.</w:t>
            </w:r>
          </w:p>
        </w:tc>
        <w:tc>
          <w:tcPr>
            <w:tcW w:w="3389" w:type="dxa"/>
          </w:tcPr>
          <w:p w:rsidR="007D76BB" w:rsidRDefault="00D70D28">
            <w:pPr>
              <w:pStyle w:val="TableParagraph"/>
              <w:numPr>
                <w:ilvl w:val="0"/>
                <w:numId w:val="34"/>
              </w:numPr>
              <w:tabs>
                <w:tab w:val="left" w:pos="465"/>
                <w:tab w:val="left" w:pos="466"/>
              </w:tabs>
              <w:spacing w:before="119"/>
              <w:ind w:right="396"/>
            </w:pPr>
            <w:r>
              <w:t>Products determined to be therapeutic goods may be seized at the Australian border.</w:t>
            </w:r>
          </w:p>
          <w:p w:rsidR="007D76BB" w:rsidRDefault="00D70D28">
            <w:pPr>
              <w:pStyle w:val="TableParagraph"/>
              <w:numPr>
                <w:ilvl w:val="0"/>
                <w:numId w:val="34"/>
              </w:numPr>
              <w:tabs>
                <w:tab w:val="left" w:pos="465"/>
                <w:tab w:val="left" w:pos="466"/>
              </w:tabs>
              <w:spacing w:before="180"/>
            </w:pPr>
            <w:r>
              <w:t>Loss of</w:t>
            </w:r>
            <w:r>
              <w:rPr>
                <w:spacing w:val="-3"/>
              </w:rPr>
              <w:t xml:space="preserve"> </w:t>
            </w:r>
            <w:r>
              <w:t>revenue.</w:t>
            </w:r>
          </w:p>
        </w:tc>
      </w:tr>
      <w:tr w:rsidR="007D76BB">
        <w:trPr>
          <w:trHeight w:val="4710"/>
        </w:trPr>
        <w:tc>
          <w:tcPr>
            <w:tcW w:w="1718" w:type="dxa"/>
          </w:tcPr>
          <w:p w:rsidR="007D76BB" w:rsidRDefault="00D70D28">
            <w:pPr>
              <w:pStyle w:val="TableParagraph"/>
              <w:spacing w:before="121"/>
              <w:ind w:left="107"/>
              <w:rPr>
                <w:b/>
              </w:rPr>
            </w:pPr>
            <w:r>
              <w:rPr>
                <w:b/>
              </w:rPr>
              <w:t>Consumers</w:t>
            </w:r>
          </w:p>
        </w:tc>
        <w:tc>
          <w:tcPr>
            <w:tcW w:w="3943" w:type="dxa"/>
          </w:tcPr>
          <w:p w:rsidR="007D76BB" w:rsidRDefault="00D70D28">
            <w:pPr>
              <w:pStyle w:val="TableParagraph"/>
              <w:numPr>
                <w:ilvl w:val="0"/>
                <w:numId w:val="33"/>
              </w:numPr>
              <w:tabs>
                <w:tab w:val="left" w:pos="467"/>
                <w:tab w:val="left" w:pos="468"/>
              </w:tabs>
              <w:spacing w:before="121"/>
              <w:ind w:left="467" w:right="425"/>
            </w:pPr>
            <w:r>
              <w:t>Reduced exposure to actual and potential risks from sports supplements marketed as</w:t>
            </w:r>
            <w:r>
              <w:rPr>
                <w:spacing w:val="-9"/>
              </w:rPr>
              <w:t xml:space="preserve"> </w:t>
            </w:r>
            <w:r>
              <w:t>foods.</w:t>
            </w:r>
          </w:p>
          <w:p w:rsidR="007D76BB" w:rsidRDefault="00D70D28">
            <w:pPr>
              <w:pStyle w:val="TableParagraph"/>
              <w:numPr>
                <w:ilvl w:val="0"/>
                <w:numId w:val="33"/>
              </w:numPr>
              <w:tabs>
                <w:tab w:val="left" w:pos="468"/>
                <w:tab w:val="left" w:pos="469"/>
              </w:tabs>
              <w:spacing w:before="179"/>
              <w:ind w:right="105"/>
            </w:pPr>
            <w:r>
              <w:t>Increased consumer confidence in the food and medicine regulators to effectively regulate goods that pose a potential risk to the safety of consumers.</w:t>
            </w:r>
          </w:p>
          <w:p w:rsidR="007D76BB" w:rsidRDefault="00D70D28">
            <w:pPr>
              <w:pStyle w:val="TableParagraph"/>
              <w:numPr>
                <w:ilvl w:val="0"/>
                <w:numId w:val="33"/>
              </w:numPr>
              <w:tabs>
                <w:tab w:val="left" w:pos="468"/>
                <w:tab w:val="left" w:pos="469"/>
              </w:tabs>
              <w:spacing w:before="180"/>
              <w:ind w:right="829"/>
            </w:pPr>
            <w:r>
              <w:t>Reduced risk of consuming adulterated products due to improved</w:t>
            </w:r>
            <w:r>
              <w:rPr>
                <w:spacing w:val="-2"/>
              </w:rPr>
              <w:t xml:space="preserve"> </w:t>
            </w:r>
            <w:r>
              <w:t>enforcement.</w:t>
            </w:r>
          </w:p>
          <w:p w:rsidR="007D76BB" w:rsidRDefault="00D70D28">
            <w:pPr>
              <w:pStyle w:val="TableParagraph"/>
              <w:numPr>
                <w:ilvl w:val="0"/>
                <w:numId w:val="33"/>
              </w:numPr>
              <w:tabs>
                <w:tab w:val="left" w:pos="469"/>
              </w:tabs>
              <w:spacing w:before="181"/>
              <w:ind w:right="951"/>
              <w:jc w:val="both"/>
            </w:pPr>
            <w:r>
              <w:t xml:space="preserve">Reduced risk to athletes of inadvertent doping due to </w:t>
            </w:r>
            <w:r>
              <w:rPr>
                <w:spacing w:val="-1"/>
              </w:rPr>
              <w:t xml:space="preserve">contaminated/adulterated </w:t>
            </w:r>
            <w:r>
              <w:t>products.</w:t>
            </w:r>
          </w:p>
        </w:tc>
        <w:tc>
          <w:tcPr>
            <w:tcW w:w="3389" w:type="dxa"/>
          </w:tcPr>
          <w:p w:rsidR="007D76BB" w:rsidRDefault="00D70D28">
            <w:pPr>
              <w:pStyle w:val="TableParagraph"/>
              <w:numPr>
                <w:ilvl w:val="0"/>
                <w:numId w:val="32"/>
              </w:numPr>
              <w:tabs>
                <w:tab w:val="left" w:pos="466"/>
                <w:tab w:val="left" w:pos="467"/>
              </w:tabs>
              <w:spacing w:before="121"/>
              <w:ind w:right="225"/>
            </w:pPr>
            <w:r>
              <w:t>Change in the availability, cost, formulation or presentation of the products available to</w:t>
            </w:r>
            <w:r>
              <w:rPr>
                <w:spacing w:val="-3"/>
              </w:rPr>
              <w:t xml:space="preserve"> </w:t>
            </w:r>
            <w:r>
              <w:t>consumers.</w:t>
            </w:r>
          </w:p>
          <w:p w:rsidR="007D76BB" w:rsidRDefault="00D70D28">
            <w:pPr>
              <w:pStyle w:val="TableParagraph"/>
              <w:numPr>
                <w:ilvl w:val="0"/>
                <w:numId w:val="32"/>
              </w:numPr>
              <w:tabs>
                <w:tab w:val="left" w:pos="466"/>
                <w:tab w:val="left" w:pos="467"/>
              </w:tabs>
              <w:spacing w:before="181"/>
              <w:ind w:right="251" w:hanging="360"/>
            </w:pPr>
            <w:r>
              <w:t>Increased risk to consumers who choose to import unregulated products for their personal</w:t>
            </w:r>
            <w:r>
              <w:rPr>
                <w:spacing w:val="-3"/>
              </w:rPr>
              <w:t xml:space="preserve"> </w:t>
            </w:r>
            <w:r>
              <w:t>use.</w:t>
            </w:r>
          </w:p>
          <w:p w:rsidR="007D76BB" w:rsidRDefault="00D70D28">
            <w:pPr>
              <w:pStyle w:val="TableParagraph"/>
              <w:numPr>
                <w:ilvl w:val="0"/>
                <w:numId w:val="32"/>
              </w:numPr>
              <w:tabs>
                <w:tab w:val="left" w:pos="466"/>
                <w:tab w:val="left" w:pos="467"/>
              </w:tabs>
              <w:spacing w:before="178"/>
              <w:ind w:right="140"/>
            </w:pPr>
            <w:r>
              <w:t xml:space="preserve">Potential continued exposure to WADC prohibited substances that are not expressly included in the Poisons Standard or the </w:t>
            </w:r>
            <w:proofErr w:type="gramStart"/>
            <w:r>
              <w:t>Relevant</w:t>
            </w:r>
            <w:proofErr w:type="gramEnd"/>
            <w:r>
              <w:t xml:space="preserve"> substance</w:t>
            </w:r>
            <w:r>
              <w:rPr>
                <w:spacing w:val="-3"/>
              </w:rPr>
              <w:t xml:space="preserve"> </w:t>
            </w:r>
            <w:r>
              <w:t>list.</w:t>
            </w:r>
          </w:p>
        </w:tc>
      </w:tr>
      <w:tr w:rsidR="007D76BB">
        <w:trPr>
          <w:trHeight w:val="1770"/>
        </w:trPr>
        <w:tc>
          <w:tcPr>
            <w:tcW w:w="1718" w:type="dxa"/>
          </w:tcPr>
          <w:p w:rsidR="007D76BB" w:rsidRDefault="00D70D28">
            <w:pPr>
              <w:pStyle w:val="TableParagraph"/>
              <w:spacing w:before="119"/>
              <w:ind w:left="107"/>
              <w:rPr>
                <w:b/>
              </w:rPr>
            </w:pPr>
            <w:r>
              <w:rPr>
                <w:b/>
              </w:rPr>
              <w:t>Retailers</w:t>
            </w:r>
          </w:p>
        </w:tc>
        <w:tc>
          <w:tcPr>
            <w:tcW w:w="3943" w:type="dxa"/>
          </w:tcPr>
          <w:p w:rsidR="007D76BB" w:rsidRDefault="00D70D28">
            <w:pPr>
              <w:pStyle w:val="TableParagraph"/>
              <w:numPr>
                <w:ilvl w:val="0"/>
                <w:numId w:val="31"/>
              </w:numPr>
              <w:tabs>
                <w:tab w:val="left" w:pos="467"/>
                <w:tab w:val="left" w:pos="468"/>
              </w:tabs>
              <w:spacing w:before="119"/>
              <w:ind w:left="467" w:right="358"/>
            </w:pPr>
            <w:r>
              <w:t>Legal clarity if a product they are selling is a therapeutic</w:t>
            </w:r>
            <w:r>
              <w:rPr>
                <w:spacing w:val="-6"/>
              </w:rPr>
              <w:t xml:space="preserve"> </w:t>
            </w:r>
            <w:r>
              <w:t>good.</w:t>
            </w:r>
          </w:p>
          <w:p w:rsidR="007D76BB" w:rsidRDefault="00D70D28">
            <w:pPr>
              <w:pStyle w:val="TableParagraph"/>
              <w:numPr>
                <w:ilvl w:val="0"/>
                <w:numId w:val="31"/>
              </w:numPr>
              <w:tabs>
                <w:tab w:val="left" w:pos="467"/>
                <w:tab w:val="left" w:pos="468"/>
              </w:tabs>
              <w:spacing w:before="180"/>
              <w:ind w:left="467" w:right="225"/>
            </w:pPr>
            <w:r>
              <w:t>Reduced risk of inadvertently retailing adulterated products due to improved</w:t>
            </w:r>
            <w:r>
              <w:rPr>
                <w:spacing w:val="-3"/>
              </w:rPr>
              <w:t xml:space="preserve"> </w:t>
            </w:r>
            <w:r>
              <w:t>enforcement.</w:t>
            </w:r>
          </w:p>
        </w:tc>
        <w:tc>
          <w:tcPr>
            <w:tcW w:w="3389" w:type="dxa"/>
          </w:tcPr>
          <w:p w:rsidR="007D76BB" w:rsidRDefault="00D70D28">
            <w:pPr>
              <w:pStyle w:val="TableParagraph"/>
              <w:numPr>
                <w:ilvl w:val="0"/>
                <w:numId w:val="30"/>
              </w:numPr>
              <w:tabs>
                <w:tab w:val="left" w:pos="465"/>
                <w:tab w:val="left" w:pos="466"/>
              </w:tabs>
              <w:spacing w:before="119"/>
              <w:ind w:right="226"/>
            </w:pPr>
            <w:r>
              <w:t>Change in the availability, cost, formulation or presentation of the products available for retail</w:t>
            </w:r>
            <w:r>
              <w:rPr>
                <w:spacing w:val="-4"/>
              </w:rPr>
              <w:t xml:space="preserve"> </w:t>
            </w:r>
            <w:r>
              <w:t>sale.</w:t>
            </w:r>
          </w:p>
          <w:p w:rsidR="007D76BB" w:rsidRDefault="00D70D28">
            <w:pPr>
              <w:pStyle w:val="TableParagraph"/>
              <w:numPr>
                <w:ilvl w:val="0"/>
                <w:numId w:val="30"/>
              </w:numPr>
              <w:tabs>
                <w:tab w:val="left" w:pos="465"/>
                <w:tab w:val="left" w:pos="467"/>
              </w:tabs>
              <w:spacing w:before="180"/>
              <w:ind w:left="466" w:hanging="362"/>
            </w:pPr>
            <w:r>
              <w:t>Loss of</w:t>
            </w:r>
            <w:r>
              <w:rPr>
                <w:spacing w:val="-3"/>
              </w:rPr>
              <w:t xml:space="preserve"> </w:t>
            </w:r>
            <w:r>
              <w:t>revenue.</w:t>
            </w:r>
          </w:p>
        </w:tc>
      </w:tr>
    </w:tbl>
    <w:p w:rsidR="007D76BB" w:rsidRDefault="007D76BB">
      <w:pPr>
        <w:sectPr w:rsidR="007D76BB">
          <w:headerReference w:type="default" r:id="rId146"/>
          <w:footerReference w:type="default" r:id="rId147"/>
          <w:pgSz w:w="11910" w:h="16840"/>
          <w:pgMar w:top="840" w:right="820" w:bottom="1360" w:left="1220" w:header="572" w:footer="1178" w:gutter="0"/>
          <w:pgNumType w:start="76"/>
          <w:cols w:space="720"/>
        </w:sectPr>
      </w:pPr>
    </w:p>
    <w:p w:rsidR="007D76BB" w:rsidRDefault="007D76BB">
      <w:pPr>
        <w:pStyle w:val="BodyText"/>
        <w:spacing w:before="9"/>
        <w:rPr>
          <w:sz w:val="24"/>
        </w:rPr>
      </w:pPr>
    </w:p>
    <w:tbl>
      <w:tblPr>
        <w:tblW w:w="0" w:type="auto"/>
        <w:tblInd w:w="218" w:type="dxa"/>
        <w:tblBorders>
          <w:top w:val="single" w:sz="8" w:space="0" w:color="002C46"/>
          <w:left w:val="single" w:sz="8" w:space="0" w:color="002C46"/>
          <w:bottom w:val="single" w:sz="8" w:space="0" w:color="002C46"/>
          <w:right w:val="single" w:sz="8" w:space="0" w:color="002C46"/>
          <w:insideH w:val="single" w:sz="8" w:space="0" w:color="002C46"/>
          <w:insideV w:val="single" w:sz="8" w:space="0" w:color="002C46"/>
        </w:tblBorders>
        <w:tblLayout w:type="fixed"/>
        <w:tblCellMar>
          <w:left w:w="0" w:type="dxa"/>
          <w:right w:w="0" w:type="dxa"/>
        </w:tblCellMar>
        <w:tblLook w:val="01E0" w:firstRow="1" w:lastRow="1" w:firstColumn="1" w:lastColumn="1" w:noHBand="0" w:noVBand="0"/>
      </w:tblPr>
      <w:tblGrid>
        <w:gridCol w:w="1718"/>
        <w:gridCol w:w="3943"/>
        <w:gridCol w:w="3389"/>
      </w:tblGrid>
      <w:tr w:rsidR="007D76BB">
        <w:trPr>
          <w:trHeight w:val="611"/>
        </w:trPr>
        <w:tc>
          <w:tcPr>
            <w:tcW w:w="1718" w:type="dxa"/>
            <w:tcBorders>
              <w:right w:val="nil"/>
            </w:tcBorders>
            <w:shd w:val="clear" w:color="auto" w:fill="006CA7"/>
          </w:tcPr>
          <w:p w:rsidR="007D76BB" w:rsidRDefault="00D70D28">
            <w:pPr>
              <w:pStyle w:val="TableParagraph"/>
              <w:spacing w:before="122"/>
              <w:ind w:left="107"/>
              <w:rPr>
                <w:rFonts w:ascii="Arial Black"/>
              </w:rPr>
            </w:pPr>
            <w:r>
              <w:rPr>
                <w:rFonts w:ascii="Arial Black"/>
                <w:color w:val="FFFFFF"/>
              </w:rPr>
              <w:t>Stakeholder</w:t>
            </w:r>
          </w:p>
        </w:tc>
        <w:tc>
          <w:tcPr>
            <w:tcW w:w="3943" w:type="dxa"/>
            <w:tcBorders>
              <w:left w:val="nil"/>
              <w:right w:val="nil"/>
            </w:tcBorders>
            <w:shd w:val="clear" w:color="auto" w:fill="006CA7"/>
          </w:tcPr>
          <w:p w:rsidR="007D76BB" w:rsidRDefault="00D70D28">
            <w:pPr>
              <w:pStyle w:val="TableParagraph"/>
              <w:spacing w:before="122"/>
              <w:ind w:left="117"/>
              <w:rPr>
                <w:rFonts w:ascii="Arial Black"/>
              </w:rPr>
            </w:pPr>
            <w:r>
              <w:rPr>
                <w:rFonts w:ascii="Arial Black"/>
                <w:color w:val="FFFFFF"/>
              </w:rPr>
              <w:t>Benefits</w:t>
            </w:r>
          </w:p>
        </w:tc>
        <w:tc>
          <w:tcPr>
            <w:tcW w:w="3389" w:type="dxa"/>
            <w:tcBorders>
              <w:left w:val="nil"/>
            </w:tcBorders>
            <w:shd w:val="clear" w:color="auto" w:fill="006CA7"/>
          </w:tcPr>
          <w:p w:rsidR="007D76BB" w:rsidRDefault="00D70D28">
            <w:pPr>
              <w:pStyle w:val="TableParagraph"/>
              <w:spacing w:before="122"/>
              <w:ind w:left="115"/>
              <w:rPr>
                <w:rFonts w:ascii="Arial Black"/>
              </w:rPr>
            </w:pPr>
            <w:r>
              <w:rPr>
                <w:rFonts w:ascii="Arial Black"/>
                <w:color w:val="FFFFFF"/>
              </w:rPr>
              <w:t>Negatives</w:t>
            </w:r>
          </w:p>
        </w:tc>
      </w:tr>
      <w:tr w:rsidR="007D76BB">
        <w:trPr>
          <w:trHeight w:val="5046"/>
        </w:trPr>
        <w:tc>
          <w:tcPr>
            <w:tcW w:w="1718" w:type="dxa"/>
          </w:tcPr>
          <w:p w:rsidR="007D76BB" w:rsidRDefault="00D70D28">
            <w:pPr>
              <w:pStyle w:val="TableParagraph"/>
              <w:spacing w:before="119"/>
              <w:ind w:left="107" w:right="309"/>
              <w:rPr>
                <w:b/>
              </w:rPr>
            </w:pPr>
            <w:r>
              <w:rPr>
                <w:b/>
              </w:rPr>
              <w:t>Australian Government</w:t>
            </w:r>
          </w:p>
        </w:tc>
        <w:tc>
          <w:tcPr>
            <w:tcW w:w="3943" w:type="dxa"/>
          </w:tcPr>
          <w:p w:rsidR="007D76BB" w:rsidRDefault="00D70D28">
            <w:pPr>
              <w:pStyle w:val="TableParagraph"/>
              <w:numPr>
                <w:ilvl w:val="0"/>
                <w:numId w:val="29"/>
              </w:numPr>
              <w:tabs>
                <w:tab w:val="left" w:pos="468"/>
                <w:tab w:val="left" w:pos="469"/>
              </w:tabs>
              <w:spacing w:before="119"/>
              <w:ind w:right="188"/>
            </w:pPr>
            <w:r>
              <w:t>Reduced waste of Government resources and taxpayer’s money in pursuing legal proceedings against high-risk</w:t>
            </w:r>
            <w:r>
              <w:rPr>
                <w:spacing w:val="-2"/>
              </w:rPr>
              <w:t xml:space="preserve"> </w:t>
            </w:r>
            <w:r>
              <w:t>products.</w:t>
            </w:r>
          </w:p>
          <w:p w:rsidR="007D76BB" w:rsidRDefault="00D70D28">
            <w:pPr>
              <w:pStyle w:val="TableParagraph"/>
              <w:numPr>
                <w:ilvl w:val="0"/>
                <w:numId w:val="29"/>
              </w:numPr>
              <w:tabs>
                <w:tab w:val="left" w:pos="468"/>
                <w:tab w:val="left" w:pos="469"/>
              </w:tabs>
              <w:spacing w:before="180"/>
              <w:ind w:right="221"/>
            </w:pPr>
            <w:r>
              <w:t>Reduced actual and potential risks to the Australian public from certain sports food</w:t>
            </w:r>
            <w:r>
              <w:rPr>
                <w:spacing w:val="-7"/>
              </w:rPr>
              <w:t xml:space="preserve"> </w:t>
            </w:r>
            <w:r>
              <w:t>supplements.</w:t>
            </w:r>
          </w:p>
          <w:p w:rsidR="007D76BB" w:rsidRDefault="00D70D28">
            <w:pPr>
              <w:pStyle w:val="TableParagraph"/>
              <w:numPr>
                <w:ilvl w:val="0"/>
                <w:numId w:val="29"/>
              </w:numPr>
              <w:tabs>
                <w:tab w:val="left" w:pos="468"/>
                <w:tab w:val="left" w:pos="469"/>
              </w:tabs>
              <w:spacing w:before="182"/>
              <w:ind w:right="271"/>
            </w:pPr>
            <w:r>
              <w:t>Reduced society and government costs arising from adverse</w:t>
            </w:r>
            <w:r>
              <w:rPr>
                <w:spacing w:val="-9"/>
              </w:rPr>
              <w:t xml:space="preserve"> </w:t>
            </w:r>
            <w:r>
              <w:t>events.</w:t>
            </w:r>
          </w:p>
        </w:tc>
        <w:tc>
          <w:tcPr>
            <w:tcW w:w="3389" w:type="dxa"/>
          </w:tcPr>
          <w:p w:rsidR="007D76BB" w:rsidRDefault="00D70D28">
            <w:pPr>
              <w:pStyle w:val="TableParagraph"/>
              <w:numPr>
                <w:ilvl w:val="0"/>
                <w:numId w:val="28"/>
              </w:numPr>
              <w:tabs>
                <w:tab w:val="left" w:pos="466"/>
                <w:tab w:val="left" w:pos="467"/>
              </w:tabs>
              <w:spacing w:before="119"/>
              <w:ind w:right="322"/>
            </w:pPr>
            <w:r>
              <w:t>Potential detrimental effect to the Australian economy arising from potential job losses from decreased retailer and manufacturer revenue.</w:t>
            </w:r>
          </w:p>
          <w:p w:rsidR="007D76BB" w:rsidRDefault="00D70D28">
            <w:pPr>
              <w:pStyle w:val="TableParagraph"/>
              <w:numPr>
                <w:ilvl w:val="0"/>
                <w:numId w:val="28"/>
              </w:numPr>
              <w:tabs>
                <w:tab w:val="left" w:pos="466"/>
                <w:tab w:val="left" w:pos="467"/>
              </w:tabs>
              <w:spacing w:before="181"/>
              <w:ind w:right="87"/>
            </w:pPr>
            <w:r>
              <w:t xml:space="preserve">Potential continued public exposure to WADC prohibited substances that are not expressly included in the Poisons Standard or the </w:t>
            </w:r>
            <w:proofErr w:type="gramStart"/>
            <w:r>
              <w:t>Relevant</w:t>
            </w:r>
            <w:proofErr w:type="gramEnd"/>
            <w:r>
              <w:t xml:space="preserve"> substance</w:t>
            </w:r>
            <w:r>
              <w:rPr>
                <w:spacing w:val="-3"/>
              </w:rPr>
              <w:t xml:space="preserve"> </w:t>
            </w:r>
            <w:r>
              <w:t>list.</w:t>
            </w:r>
          </w:p>
          <w:p w:rsidR="007D76BB" w:rsidRDefault="00D70D28">
            <w:pPr>
              <w:pStyle w:val="TableParagraph"/>
              <w:numPr>
                <w:ilvl w:val="0"/>
                <w:numId w:val="28"/>
              </w:numPr>
              <w:tabs>
                <w:tab w:val="left" w:pos="466"/>
                <w:tab w:val="left" w:pos="467"/>
              </w:tabs>
              <w:spacing w:before="180"/>
              <w:ind w:right="108"/>
            </w:pPr>
            <w:r>
              <w:t xml:space="preserve">Risk of not meeting our international obligations as a State Party to the UNESCO Convention </w:t>
            </w:r>
            <w:proofErr w:type="gramStart"/>
            <w:r>
              <w:t>Against</w:t>
            </w:r>
            <w:proofErr w:type="gramEnd"/>
            <w:r>
              <w:t xml:space="preserve"> Doping in Sport</w:t>
            </w:r>
            <w:r>
              <w:rPr>
                <w:spacing w:val="-2"/>
              </w:rPr>
              <w:t xml:space="preserve"> </w:t>
            </w:r>
            <w:r>
              <w:t>Convention.</w:t>
            </w:r>
          </w:p>
        </w:tc>
      </w:tr>
    </w:tbl>
    <w:p w:rsidR="007D76BB" w:rsidRDefault="007D76BB">
      <w:pPr>
        <w:pStyle w:val="BodyText"/>
        <w:rPr>
          <w:sz w:val="20"/>
        </w:rPr>
      </w:pPr>
    </w:p>
    <w:p w:rsidR="007D76BB" w:rsidRDefault="00D70D28">
      <w:pPr>
        <w:pStyle w:val="Heading3"/>
        <w:ind w:right="1028"/>
      </w:pPr>
      <w:bookmarkStart w:id="108" w:name="Option_3:_Declare_that_sports_supplement"/>
      <w:bookmarkStart w:id="109" w:name="_bookmark52"/>
      <w:bookmarkEnd w:id="108"/>
      <w:bookmarkEnd w:id="109"/>
      <w:r>
        <w:t>Option 3: Declare that sports supplements including substances (in the Poisons Standard, WADC or Relevant substance lists) are therapeutic goods</w:t>
      </w:r>
    </w:p>
    <w:p w:rsidR="007D76BB" w:rsidRDefault="00D70D28">
      <w:pPr>
        <w:pStyle w:val="BodyText"/>
        <w:spacing w:before="125"/>
        <w:ind w:left="198" w:right="628"/>
      </w:pPr>
      <w:r>
        <w:t>Option 3 would declare under the existing authority of section 7 of the TG Act that certain sports supplements are therapeutic goods with the effect that they are not foods. A declaration would complement the FSANZ pending update to Food Standard 2.9.4.</w:t>
      </w:r>
    </w:p>
    <w:p w:rsidR="007D76BB" w:rsidRDefault="00D70D28">
      <w:pPr>
        <w:pStyle w:val="BodyText"/>
        <w:spacing w:before="179"/>
        <w:ind w:left="197" w:right="654"/>
      </w:pPr>
      <w:r>
        <w:t>The Option 3 proposed declaration is the same as the Option 2A proposed declaration, except that the criterion that products presented in a form associated with medicines rather than foods (i.e. a tablet, capsule or pill) has not been included.</w:t>
      </w:r>
    </w:p>
    <w:p w:rsidR="007D76BB" w:rsidRDefault="00D70D28">
      <w:pPr>
        <w:pStyle w:val="BodyText"/>
        <w:spacing w:before="8"/>
        <w:rPr>
          <w:sz w:val="14"/>
        </w:rPr>
      </w:pPr>
      <w:r>
        <w:rPr>
          <w:noProof/>
          <w:lang w:val="en-AU" w:eastAsia="en-AU"/>
        </w:rPr>
        <mc:AlternateContent>
          <mc:Choice Requires="wps">
            <w:drawing>
              <wp:anchor distT="0" distB="0" distL="0" distR="0" simplePos="0" relativeHeight="251678720" behindDoc="1" locked="0" layoutInCell="1" allowOverlap="1">
                <wp:simplePos x="0" y="0"/>
                <wp:positionH relativeFrom="page">
                  <wp:posOffset>900430</wp:posOffset>
                </wp:positionH>
                <wp:positionV relativeFrom="paragraph">
                  <wp:posOffset>139700</wp:posOffset>
                </wp:positionV>
                <wp:extent cx="5977255" cy="2058035"/>
                <wp:effectExtent l="0" t="0" r="0" b="0"/>
                <wp:wrapTopAndBottom/>
                <wp:docPr id="414"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255" cy="20580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51832" w:rsidRDefault="00A51832">
                            <w:pPr>
                              <w:spacing w:before="192"/>
                              <w:ind w:left="144" w:right="137"/>
                              <w:rPr>
                                <w:b/>
                              </w:rPr>
                            </w:pPr>
                            <w:r>
                              <w:rPr>
                                <w:b/>
                              </w:rPr>
                              <w:t>Option 3 proposed declaration: Declare that following sports supplements are therapeutic goods</w:t>
                            </w:r>
                          </w:p>
                          <w:p w:rsidR="00A51832" w:rsidRDefault="00A51832">
                            <w:pPr>
                              <w:pStyle w:val="BodyText"/>
                              <w:spacing w:before="180"/>
                              <w:ind w:left="143" w:right="239"/>
                            </w:pPr>
                            <w:r>
                              <w:t xml:space="preserve">Products for oral administration that are used, advertised or presented for supply to improve or maintain physical or mental performance in sport, exercise or other recreational activity </w:t>
                            </w:r>
                            <w:r>
                              <w:rPr>
                                <w:b/>
                              </w:rPr>
                              <w:t xml:space="preserve">AND </w:t>
                            </w:r>
                            <w:r>
                              <w:t>contain ingredients that are not appropriate for a sports supplement food i.e.</w:t>
                            </w:r>
                          </w:p>
                          <w:p w:rsidR="00A51832" w:rsidRDefault="00A51832">
                            <w:pPr>
                              <w:pStyle w:val="BodyText"/>
                              <w:numPr>
                                <w:ilvl w:val="0"/>
                                <w:numId w:val="27"/>
                              </w:numPr>
                              <w:tabs>
                                <w:tab w:val="left" w:pos="503"/>
                                <w:tab w:val="left" w:pos="504"/>
                              </w:tabs>
                              <w:spacing w:before="179"/>
                              <w:rPr>
                                <w:b/>
                              </w:rPr>
                            </w:pPr>
                            <w:r>
                              <w:t xml:space="preserve">a substance above the restrictions provided in a schedule to the </w:t>
                            </w:r>
                            <w:r>
                              <w:rPr>
                                <w:b/>
                              </w:rPr>
                              <w:t>Poisons</w:t>
                            </w:r>
                            <w:r>
                              <w:rPr>
                                <w:b/>
                                <w:spacing w:val="-19"/>
                              </w:rPr>
                              <w:t xml:space="preserve"> </w:t>
                            </w:r>
                            <w:r>
                              <w:rPr>
                                <w:b/>
                              </w:rPr>
                              <w:t>Standard</w:t>
                            </w:r>
                          </w:p>
                          <w:p w:rsidR="00A51832" w:rsidRDefault="00A51832">
                            <w:pPr>
                              <w:numPr>
                                <w:ilvl w:val="0"/>
                                <w:numId w:val="27"/>
                              </w:numPr>
                              <w:tabs>
                                <w:tab w:val="left" w:pos="503"/>
                                <w:tab w:val="left" w:pos="504"/>
                              </w:tabs>
                              <w:spacing w:before="181"/>
                              <w:rPr>
                                <w:b/>
                              </w:rPr>
                            </w:pPr>
                            <w:r>
                              <w:t xml:space="preserve">a substance that is included in the </w:t>
                            </w:r>
                            <w:r>
                              <w:rPr>
                                <w:b/>
                              </w:rPr>
                              <w:t>WADC Prohibited</w:t>
                            </w:r>
                            <w:r>
                              <w:rPr>
                                <w:b/>
                                <w:spacing w:val="-9"/>
                              </w:rPr>
                              <w:t xml:space="preserve"> </w:t>
                            </w:r>
                            <w:r>
                              <w:rPr>
                                <w:b/>
                              </w:rPr>
                              <w:t>List</w:t>
                            </w:r>
                          </w:p>
                          <w:p w:rsidR="00A51832" w:rsidRDefault="00A51832">
                            <w:pPr>
                              <w:numPr>
                                <w:ilvl w:val="0"/>
                                <w:numId w:val="27"/>
                              </w:numPr>
                              <w:tabs>
                                <w:tab w:val="left" w:pos="503"/>
                                <w:tab w:val="left" w:pos="504"/>
                              </w:tabs>
                              <w:spacing w:before="179"/>
                            </w:pPr>
                            <w:r>
                              <w:t xml:space="preserve">a </w:t>
                            </w:r>
                            <w:r>
                              <w:rPr>
                                <w:b/>
                              </w:rPr>
                              <w:t xml:space="preserve">Relevant substance </w:t>
                            </w:r>
                            <w:r>
                              <w:t>(as declared by the</w:t>
                            </w:r>
                            <w:r>
                              <w:rPr>
                                <w:spacing w:val="-9"/>
                              </w:rPr>
                              <w:t xml:space="preserve"> </w:t>
                            </w:r>
                            <w:r>
                              <w:t>Secretary)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28" type="#_x0000_t202" style="position:absolute;margin-left:70.9pt;margin-top:11pt;width:470.65pt;height:162.0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" filled="f">
                <v:textbox inset="0,0,0,0">
                  <w:txbxContent>
                    <w:p w:rsidR="00A51832" w:rsidRDefault="00A51832">
                      <w:pPr>
                        <w:spacing w:before="192"/>
                        <w:ind w:left="144" w:right="137"/>
                        <w:rPr>
                          <w:b/>
                        </w:rPr>
                      </w:pPr>
                      <w:r>
                        <w:rPr>
                          <w:b/>
                        </w:rPr>
                        <w:t>Option 3 proposed declaration: Declare that following sports supplements are therapeutic goods</w:t>
                      </w:r>
                    </w:p>
                    <w:p w:rsidR="00A51832" w:rsidRDefault="00A51832">
                      <w:pPr>
                        <w:pStyle w:val="BodyText"/>
                        <w:spacing w:before="180"/>
                        <w:ind w:left="143" w:right="239"/>
                      </w:pPr>
                      <w:r>
                        <w:t xml:space="preserve">Products for oral administration that are used, advertised or presented for supply to improve or maintain physical or mental performance in sport, exercise or other recreational activity </w:t>
                      </w:r>
                      <w:r>
                        <w:rPr>
                          <w:b/>
                        </w:rPr>
                        <w:t xml:space="preserve">AND </w:t>
                      </w:r>
                      <w:r>
                        <w:t>contain ingredients that are not appropriate for a sports supplement food i.e.</w:t>
                      </w:r>
                    </w:p>
                    <w:p w:rsidR="00A51832" w:rsidRDefault="00A51832">
                      <w:pPr>
                        <w:pStyle w:val="BodyText"/>
                        <w:numPr>
                          <w:ilvl w:val="0"/>
                          <w:numId w:val="27"/>
                        </w:numPr>
                        <w:tabs>
                          <w:tab w:val="left" w:pos="503"/>
                          <w:tab w:val="left" w:pos="504"/>
                        </w:tabs>
                        <w:spacing w:before="179"/>
                        <w:rPr>
                          <w:b/>
                        </w:rPr>
                      </w:pPr>
                      <w:r>
                        <w:t xml:space="preserve">a substance above the restrictions provided in a schedule to the </w:t>
                      </w:r>
                      <w:r>
                        <w:rPr>
                          <w:b/>
                        </w:rPr>
                        <w:t>Poisons</w:t>
                      </w:r>
                      <w:r>
                        <w:rPr>
                          <w:b/>
                          <w:spacing w:val="-19"/>
                        </w:rPr>
                        <w:t xml:space="preserve"> </w:t>
                      </w:r>
                      <w:r>
                        <w:rPr>
                          <w:b/>
                        </w:rPr>
                        <w:t>Standard</w:t>
                      </w:r>
                    </w:p>
                    <w:p w:rsidR="00A51832" w:rsidRDefault="00A51832">
                      <w:pPr>
                        <w:numPr>
                          <w:ilvl w:val="0"/>
                          <w:numId w:val="27"/>
                        </w:numPr>
                        <w:tabs>
                          <w:tab w:val="left" w:pos="503"/>
                          <w:tab w:val="left" w:pos="504"/>
                        </w:tabs>
                        <w:spacing w:before="181"/>
                        <w:rPr>
                          <w:b/>
                        </w:rPr>
                      </w:pPr>
                      <w:r>
                        <w:t xml:space="preserve">a substance that is included in the </w:t>
                      </w:r>
                      <w:r>
                        <w:rPr>
                          <w:b/>
                        </w:rPr>
                        <w:t>WADC Prohibited</w:t>
                      </w:r>
                      <w:r>
                        <w:rPr>
                          <w:b/>
                          <w:spacing w:val="-9"/>
                        </w:rPr>
                        <w:t xml:space="preserve"> </w:t>
                      </w:r>
                      <w:r>
                        <w:rPr>
                          <w:b/>
                        </w:rPr>
                        <w:t>List</w:t>
                      </w:r>
                    </w:p>
                    <w:p w:rsidR="00A51832" w:rsidRDefault="00A51832">
                      <w:pPr>
                        <w:numPr>
                          <w:ilvl w:val="0"/>
                          <w:numId w:val="27"/>
                        </w:numPr>
                        <w:tabs>
                          <w:tab w:val="left" w:pos="503"/>
                          <w:tab w:val="left" w:pos="504"/>
                        </w:tabs>
                        <w:spacing w:before="179"/>
                      </w:pPr>
                      <w:r>
                        <w:t xml:space="preserve">a </w:t>
                      </w:r>
                      <w:r>
                        <w:rPr>
                          <w:b/>
                        </w:rPr>
                        <w:t xml:space="preserve">Relevant substance </w:t>
                      </w:r>
                      <w:r>
                        <w:t>(as declared by the</w:t>
                      </w:r>
                      <w:r>
                        <w:rPr>
                          <w:spacing w:val="-9"/>
                        </w:rPr>
                        <w:t xml:space="preserve"> </w:t>
                      </w:r>
                      <w:r>
                        <w:t>Secretary)</w:t>
                      </w:r>
                    </w:p>
                  </w:txbxContent>
                </v:textbox>
                <w10:wrap type="topAndBottom" anchorx="page"/>
              </v:shape>
            </w:pict>
          </mc:Fallback>
        </mc:AlternateContent>
      </w:r>
    </w:p>
    <w:p w:rsidR="007D76BB" w:rsidRDefault="007D76BB">
      <w:pPr>
        <w:pStyle w:val="BodyText"/>
        <w:spacing w:before="7"/>
        <w:rPr>
          <w:sz w:val="20"/>
        </w:rPr>
      </w:pPr>
    </w:p>
    <w:p w:rsidR="007D76BB" w:rsidRDefault="00D70D28">
      <w:pPr>
        <w:pStyle w:val="Heading5"/>
        <w:rPr>
          <w:rFonts w:ascii="Arial"/>
        </w:rPr>
      </w:pPr>
      <w:bookmarkStart w:id="110" w:name="Elements_of_Option_3"/>
      <w:bookmarkStart w:id="111" w:name="_bookmark53"/>
      <w:bookmarkEnd w:id="110"/>
      <w:bookmarkEnd w:id="111"/>
      <w:r>
        <w:rPr>
          <w:rFonts w:ascii="Arial"/>
        </w:rPr>
        <w:t>Elements of Option 3</w:t>
      </w:r>
    </w:p>
    <w:p w:rsidR="007D76BB" w:rsidRDefault="00D70D28">
      <w:pPr>
        <w:pStyle w:val="BodyText"/>
        <w:spacing w:before="122"/>
        <w:ind w:left="198" w:right="614"/>
        <w:jc w:val="both"/>
      </w:pPr>
      <w:r>
        <w:t>Products will only fall within the scope of the declaration if they carry indications relating to the improvement or maintenance of performance in physical or mental activity in sports, exercise or any other recreational activity. If there is no sports performance related therapeutic claim,</w:t>
      </w:r>
    </w:p>
    <w:p w:rsidR="007D76BB" w:rsidRDefault="007D76BB">
      <w:pPr>
        <w:jc w:val="both"/>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8" w:right="1268"/>
      </w:pPr>
      <w:proofErr w:type="gramStart"/>
      <w:r>
        <w:t>whether</w:t>
      </w:r>
      <w:proofErr w:type="gramEnd"/>
      <w:r>
        <w:t xml:space="preserve"> explicit or implied, they will not be affected by the proposed declaration and will remain food.</w:t>
      </w:r>
    </w:p>
    <w:p w:rsidR="007D76BB" w:rsidRDefault="007D76BB">
      <w:pPr>
        <w:pStyle w:val="BodyText"/>
        <w:spacing w:before="6"/>
        <w:rPr>
          <w:sz w:val="20"/>
        </w:rPr>
      </w:pPr>
    </w:p>
    <w:p w:rsidR="007D76BB" w:rsidRDefault="00D70D28">
      <w:pPr>
        <w:pStyle w:val="Heading5"/>
      </w:pPr>
      <w:bookmarkStart w:id="112" w:name="Ingredients_in_scope_of_Option_3"/>
      <w:bookmarkEnd w:id="112"/>
      <w:r>
        <w:rPr>
          <w:color w:val="001422"/>
        </w:rPr>
        <w:t>Ingredients in scope of Option 3</w:t>
      </w:r>
    </w:p>
    <w:p w:rsidR="007D76BB" w:rsidRDefault="00D70D28">
      <w:pPr>
        <w:spacing w:before="120"/>
        <w:ind w:left="198" w:right="709"/>
      </w:pPr>
      <w:r>
        <w:t xml:space="preserve">As per Option 2A, Option 3 would declare that sports supplements are therapeutic goods if they contain: a substance above the restrictions provided in a schedule to the </w:t>
      </w:r>
      <w:r>
        <w:rPr>
          <w:b/>
        </w:rPr>
        <w:t>Poisons Standard</w:t>
      </w:r>
      <w:r>
        <w:t xml:space="preserve">; substances in the </w:t>
      </w:r>
      <w:r>
        <w:rPr>
          <w:b/>
        </w:rPr>
        <w:t>WADC Prohibited List</w:t>
      </w:r>
      <w:r>
        <w:t>; or substances in the ‘</w:t>
      </w:r>
      <w:r>
        <w:rPr>
          <w:b/>
        </w:rPr>
        <w:t xml:space="preserve">Relevant substance’ </w:t>
      </w:r>
      <w:r>
        <w:t>list.</w:t>
      </w:r>
    </w:p>
    <w:p w:rsidR="007D76BB" w:rsidRDefault="007D76BB">
      <w:pPr>
        <w:pStyle w:val="BodyText"/>
        <w:spacing w:before="7"/>
        <w:rPr>
          <w:sz w:val="20"/>
        </w:rPr>
      </w:pPr>
    </w:p>
    <w:p w:rsidR="007D76BB" w:rsidRDefault="00D70D28">
      <w:pPr>
        <w:pStyle w:val="Heading5"/>
      </w:pPr>
      <w:bookmarkStart w:id="113" w:name="Medicine_presentation_in_scope_of_Option"/>
      <w:bookmarkEnd w:id="113"/>
      <w:r>
        <w:rPr>
          <w:color w:val="001422"/>
        </w:rPr>
        <w:t>Medicine presentation in scope of Option 3</w:t>
      </w:r>
    </w:p>
    <w:p w:rsidR="007D76BB" w:rsidRDefault="00D70D28">
      <w:pPr>
        <w:pStyle w:val="BodyText"/>
        <w:spacing w:before="120"/>
        <w:ind w:left="198" w:right="779" w:hanging="1"/>
      </w:pPr>
      <w:r>
        <w:t>The presentation of a product in the medicinal dosage form of tablets, capsules or pills is not in scope of Option 3.</w:t>
      </w:r>
    </w:p>
    <w:p w:rsidR="007D76BB" w:rsidRDefault="007D76BB">
      <w:pPr>
        <w:pStyle w:val="BodyText"/>
        <w:spacing w:before="6"/>
        <w:rPr>
          <w:sz w:val="20"/>
        </w:rPr>
      </w:pPr>
    </w:p>
    <w:p w:rsidR="007D76BB" w:rsidRDefault="00D70D28">
      <w:pPr>
        <w:pStyle w:val="Heading5"/>
      </w:pPr>
      <w:bookmarkStart w:id="114" w:name="Implementation_of_Option_3"/>
      <w:bookmarkEnd w:id="114"/>
      <w:r>
        <w:rPr>
          <w:color w:val="001422"/>
        </w:rPr>
        <w:t>Implementation of Option 3</w:t>
      </w:r>
    </w:p>
    <w:p w:rsidR="007D76BB" w:rsidRDefault="00D70D28">
      <w:pPr>
        <w:pStyle w:val="BodyText"/>
        <w:spacing w:before="120"/>
        <w:ind w:left="198" w:right="1097"/>
      </w:pPr>
      <w:r>
        <w:t xml:space="preserve">As for </w:t>
      </w:r>
      <w:hyperlink w:anchor="_bookmark40" w:history="1">
        <w:r>
          <w:rPr>
            <w:color w:val="0000FF"/>
            <w:u w:val="single" w:color="0000FF"/>
          </w:rPr>
          <w:t>Option 2A</w:t>
        </w:r>
        <w:r>
          <w:t xml:space="preserve">, </w:t>
        </w:r>
      </w:hyperlink>
      <w:r>
        <w:t xml:space="preserve">implementation of Option 23 will mean that the manufacturer/owner of products in scope would need to undertake action for their product to either comply with regulations as a therapeutic good or modify their product in order for it to be regulated as a food- see </w:t>
      </w:r>
      <w:hyperlink w:anchor="_bookmark41" w:history="1">
        <w:r>
          <w:rPr>
            <w:color w:val="0000FF"/>
            <w:u w:val="single" w:color="0000FF"/>
          </w:rPr>
          <w:t>Impacts on manufacturers of products in scope of Option 2A</w:t>
        </w:r>
        <w:r>
          <w:t>.</w:t>
        </w:r>
      </w:hyperlink>
    </w:p>
    <w:p w:rsidR="007D76BB" w:rsidRDefault="00D70D28">
      <w:pPr>
        <w:pStyle w:val="BodyText"/>
        <w:spacing w:before="180"/>
        <w:ind w:left="198" w:right="651"/>
      </w:pPr>
      <w:r>
        <w:t xml:space="preserve">If Option 3 is implemented, sports supplements that are in scope of the proposed declaration and being supplied in Australia prior to the commencement date would, in general, have the benefit of 3-year transition period to comply with the legislative requirements for foods or medicines, as applicable. This transition period is anticipated to afford suppliers sufficient time for their stock in trade to be used up, thereby helping to </w:t>
      </w:r>
      <w:proofErr w:type="spellStart"/>
      <w:r>
        <w:t>minimise</w:t>
      </w:r>
      <w:proofErr w:type="spellEnd"/>
      <w:r>
        <w:t xml:space="preserve"> the disruption of the proposal on business.</w:t>
      </w:r>
    </w:p>
    <w:p w:rsidR="007D76BB" w:rsidRDefault="00D70D28">
      <w:pPr>
        <w:pStyle w:val="BodyText"/>
        <w:spacing w:before="178"/>
        <w:ind w:left="198" w:right="787"/>
      </w:pPr>
      <w:r>
        <w:t>Products in scope of the declaration that contain substances of significant safety concerns to consumers (for example, prescription medicine ingredients) will be affected from the date that the Section 7 declaration is made, enabling swift enforcement action by the regulator in the interest of protecting public safety.</w:t>
      </w:r>
    </w:p>
    <w:p w:rsidR="007D76BB" w:rsidRDefault="007D76BB">
      <w:pPr>
        <w:pStyle w:val="BodyText"/>
        <w:spacing w:before="7"/>
        <w:rPr>
          <w:sz w:val="30"/>
        </w:rPr>
      </w:pPr>
    </w:p>
    <w:p w:rsidR="007D76BB" w:rsidRDefault="00D70D28">
      <w:pPr>
        <w:pStyle w:val="Heading5"/>
        <w:ind w:right="1619"/>
        <w:rPr>
          <w:rFonts w:ascii="Arial"/>
        </w:rPr>
      </w:pPr>
      <w:bookmarkStart w:id="115" w:name="How_Option_3_will_mitigate_the_risk_asso"/>
      <w:bookmarkStart w:id="116" w:name="_bookmark54"/>
      <w:bookmarkEnd w:id="115"/>
      <w:bookmarkEnd w:id="116"/>
      <w:r>
        <w:rPr>
          <w:rFonts w:ascii="Arial"/>
        </w:rPr>
        <w:t>How Option 3 will mitigate the risk associated with certain sports supplements</w:t>
      </w:r>
    </w:p>
    <w:p w:rsidR="007D76BB" w:rsidRDefault="00D70D28">
      <w:pPr>
        <w:pStyle w:val="Heading7"/>
        <w:spacing w:before="121"/>
        <w:ind w:right="656"/>
      </w:pPr>
      <w:r>
        <w:t>Effect of option 3 on ensuring appropriate regulatory controls are applied reduce risks to public health</w:t>
      </w:r>
    </w:p>
    <w:p w:rsidR="007D76BB" w:rsidRDefault="00D70D28">
      <w:pPr>
        <w:pStyle w:val="BodyText"/>
        <w:spacing w:before="180"/>
        <w:ind w:left="198" w:right="648"/>
      </w:pPr>
      <w:r>
        <w:t>The products in scope of the proposed regulatory clarification contain higher risk ingredients that are not appropriate for food. Clarifying that these products are medicines in law will ensure an appropriate level of regulatory oversight commensurate with their risk to public safety.</w:t>
      </w:r>
    </w:p>
    <w:p w:rsidR="007D76BB" w:rsidRDefault="00D70D28">
      <w:pPr>
        <w:pStyle w:val="BodyText"/>
        <w:spacing w:before="2"/>
        <w:ind w:left="198" w:right="626"/>
      </w:pPr>
      <w:r>
        <w:t>Implementation of Option 3 will mean that timely and appropriate enforcement activity (such as removal of products from the market) can be undertaken by the TGA against these products where they are identified.</w:t>
      </w:r>
    </w:p>
    <w:p w:rsidR="007D76BB" w:rsidRDefault="00D70D28">
      <w:pPr>
        <w:pStyle w:val="BodyText"/>
        <w:spacing w:before="179"/>
        <w:ind w:left="198" w:right="602"/>
      </w:pPr>
      <w:r>
        <w:t xml:space="preserve">During the consultation process for </w:t>
      </w:r>
      <w:hyperlink w:anchor="_bookmark59" w:history="1">
        <w:r>
          <w:rPr>
            <w:color w:val="0000FF"/>
            <w:u w:val="single" w:color="0000FF"/>
          </w:rPr>
          <w:t>Alternative approach 2</w:t>
        </w:r>
        <w:r>
          <w:t xml:space="preserve">, </w:t>
        </w:r>
      </w:hyperlink>
      <w:r>
        <w:t xml:space="preserve">some </w:t>
      </w:r>
      <w:r>
        <w:lastRenderedPageBreak/>
        <w:t>industry stakeholders raised objection to the product presentation in the medicinal form of tablets, capsules or pills being included in the scope of the proposed declaration, which is why Option 3 is being explored in this RIS. Conversely, other submissions from health professional groups, including dieticians and exercise physiologists, considered that the product presentation in scope for the proposed declaration should include additional presentations such as wafers and oral</w:t>
      </w:r>
      <w:r>
        <w:rPr>
          <w:spacing w:val="-16"/>
        </w:rPr>
        <w:t xml:space="preserve"> </w:t>
      </w:r>
      <w:r>
        <w:t>gels.</w:t>
      </w:r>
    </w:p>
    <w:p w:rsidR="007D76BB" w:rsidRDefault="00D70D28">
      <w:pPr>
        <w:pStyle w:val="Heading7"/>
        <w:ind w:right="1467"/>
      </w:pPr>
      <w:r>
        <w:t>Effect of Option 3 on mitigating risks to consumers from food sports supplements presented in medicinal form</w:t>
      </w:r>
    </w:p>
    <w:p w:rsidR="007D76BB" w:rsidRDefault="00D70D28">
      <w:pPr>
        <w:pStyle w:val="BodyText"/>
        <w:spacing w:before="180"/>
        <w:ind w:left="198" w:right="719"/>
      </w:pPr>
      <w:r>
        <w:t xml:space="preserve">The omission of medicinal dosage forms in the proposed declaration will represent a decreased regulatory burden for industry, which is discussed at Impacts of </w:t>
      </w:r>
      <w:hyperlink w:anchor="_bookmark55" w:history="1">
        <w:r>
          <w:t xml:space="preserve">Option 3. </w:t>
        </w:r>
      </w:hyperlink>
      <w:r>
        <w:t>However,</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8" w:right="747"/>
      </w:pPr>
      <w:proofErr w:type="gramStart"/>
      <w:r>
        <w:t>implementation</w:t>
      </w:r>
      <w:proofErr w:type="gramEnd"/>
      <w:r>
        <w:t xml:space="preserve"> of Option 3 will not fully achieve the primary objective of regulatory intervention, which is to protect the Australian public from the actual and potential safety risks associated with the use of certain sports supplements.</w:t>
      </w:r>
    </w:p>
    <w:p w:rsidR="007D76BB" w:rsidRDefault="00D70D28">
      <w:pPr>
        <w:pStyle w:val="BodyText"/>
        <w:spacing w:before="182"/>
        <w:ind w:left="198" w:right="727"/>
      </w:pPr>
      <w:r>
        <w:t xml:space="preserve">The rationale for including tablet, capsule or pill dosage forms as a criterion in a proposed declaration is provided at </w:t>
      </w:r>
      <w:hyperlink w:anchor="_bookmark29" w:history="1">
        <w:r>
          <w:rPr>
            <w:color w:val="0000FF"/>
            <w:u w:val="single" w:color="0000FF"/>
          </w:rPr>
          <w:t>Presentation of concern for sports supplements</w:t>
        </w:r>
      </w:hyperlink>
      <w:r>
        <w:rPr>
          <w:color w:val="0000FF"/>
          <w:u w:val="single" w:color="0000FF"/>
        </w:rPr>
        <w:t xml:space="preserve">. </w:t>
      </w:r>
      <w:r>
        <w:t>Industry’s argument against the inclusion of medicinal dosage forms being in scope of the declaration was that presentation in these dosage forms was appropriate for food, because these dosage forms:</w:t>
      </w:r>
    </w:p>
    <w:p w:rsidR="007D76BB" w:rsidRDefault="00D70D28">
      <w:pPr>
        <w:pStyle w:val="ListParagraph"/>
        <w:numPr>
          <w:ilvl w:val="0"/>
          <w:numId w:val="72"/>
        </w:numPr>
        <w:tabs>
          <w:tab w:val="left" w:pos="558"/>
          <w:tab w:val="left" w:pos="559"/>
        </w:tabs>
        <w:ind w:left="558"/>
      </w:pPr>
      <w:r>
        <w:t xml:space="preserve">are used where the </w:t>
      </w:r>
      <w:proofErr w:type="spellStart"/>
      <w:r>
        <w:t>flavour</w:t>
      </w:r>
      <w:proofErr w:type="spellEnd"/>
      <w:r>
        <w:t xml:space="preserve"> of the substance may be</w:t>
      </w:r>
      <w:r>
        <w:rPr>
          <w:spacing w:val="-14"/>
        </w:rPr>
        <w:t xml:space="preserve"> </w:t>
      </w:r>
      <w:r>
        <w:t>unpalatable</w:t>
      </w:r>
    </w:p>
    <w:p w:rsidR="007D76BB" w:rsidRDefault="00D70D28">
      <w:pPr>
        <w:pStyle w:val="ListParagraph"/>
        <w:numPr>
          <w:ilvl w:val="0"/>
          <w:numId w:val="72"/>
        </w:numPr>
        <w:tabs>
          <w:tab w:val="left" w:pos="558"/>
          <w:tab w:val="left" w:pos="559"/>
        </w:tabs>
        <w:spacing w:before="179"/>
        <w:ind w:left="558"/>
      </w:pPr>
      <w:r>
        <w:t>are convenient for athletes to carry with them when they</w:t>
      </w:r>
      <w:r>
        <w:rPr>
          <w:spacing w:val="-12"/>
        </w:rPr>
        <w:t xml:space="preserve"> </w:t>
      </w:r>
      <w:r>
        <w:t>exercise</w:t>
      </w:r>
    </w:p>
    <w:p w:rsidR="007D76BB" w:rsidRDefault="00D70D28">
      <w:pPr>
        <w:pStyle w:val="ListParagraph"/>
        <w:numPr>
          <w:ilvl w:val="0"/>
          <w:numId w:val="72"/>
        </w:numPr>
        <w:tabs>
          <w:tab w:val="left" w:pos="558"/>
          <w:tab w:val="left" w:pos="559"/>
        </w:tabs>
        <w:spacing w:before="181"/>
        <w:ind w:left="558" w:right="663"/>
      </w:pPr>
      <w:r>
        <w:t>provide a portion controlled delivery form for an active ingredient thereby reducing the risk to consumer</w:t>
      </w:r>
      <w:r>
        <w:rPr>
          <w:spacing w:val="-3"/>
        </w:rPr>
        <w:t xml:space="preserve"> </w:t>
      </w:r>
      <w:r>
        <w:t>health</w:t>
      </w:r>
    </w:p>
    <w:p w:rsidR="007D76BB" w:rsidRDefault="00D70D28">
      <w:pPr>
        <w:pStyle w:val="ListParagraph"/>
        <w:numPr>
          <w:ilvl w:val="0"/>
          <w:numId w:val="72"/>
        </w:numPr>
        <w:tabs>
          <w:tab w:val="left" w:pos="558"/>
          <w:tab w:val="left" w:pos="559"/>
        </w:tabs>
        <w:ind w:left="558" w:right="607" w:hanging="360"/>
      </w:pPr>
      <w:r>
        <w:t>pose less chance of cross-contamination due not needing to introduce other substances, such as a liquid, when consuming the product as opposed to</w:t>
      </w:r>
      <w:r>
        <w:rPr>
          <w:spacing w:val="-12"/>
        </w:rPr>
        <w:t xml:space="preserve"> </w:t>
      </w:r>
      <w:r>
        <w:t>powders</w:t>
      </w:r>
    </w:p>
    <w:p w:rsidR="007D76BB" w:rsidRDefault="00D70D28">
      <w:pPr>
        <w:pStyle w:val="ListParagraph"/>
        <w:numPr>
          <w:ilvl w:val="0"/>
          <w:numId w:val="72"/>
        </w:numPr>
        <w:tabs>
          <w:tab w:val="left" w:pos="558"/>
          <w:tab w:val="left" w:pos="559"/>
        </w:tabs>
        <w:ind w:left="558" w:right="599"/>
      </w:pPr>
      <w:r>
        <w:t>encourage product innovation to accommodate consumer preferences for convenient dosage forms</w:t>
      </w:r>
    </w:p>
    <w:p w:rsidR="007D76BB" w:rsidRDefault="00D70D28">
      <w:pPr>
        <w:pStyle w:val="BodyText"/>
        <w:spacing w:before="178"/>
        <w:ind w:left="198" w:right="768"/>
      </w:pPr>
      <w:r>
        <w:t>In relation to industry’s argument that dosage forms of tablets, capsules and pills are appropriate in instances where a product is encapsulated purely for taste considerations (for example spirulina, apple cider vinegar), these products would only fall within scope of the Options 2A and 2B proposals if they carry health claims related to sport or exercise. Goods that do not carry sports-related claims are not within scope of any of the proposed declarations.</w:t>
      </w:r>
    </w:p>
    <w:p w:rsidR="007D76BB" w:rsidRDefault="00D70D28">
      <w:pPr>
        <w:pStyle w:val="BodyText"/>
        <w:spacing w:before="182"/>
        <w:ind w:left="198" w:right="582"/>
      </w:pPr>
      <w:r>
        <w:t>An analysis of the presentation of sports supplement products by the Noetic (</w:t>
      </w:r>
      <w:hyperlink w:anchor="_bookmark67" w:history="1">
        <w:r>
          <w:rPr>
            <w:color w:val="0000FF"/>
            <w:u w:val="single" w:color="0000FF"/>
          </w:rPr>
          <w:t>Appendix 1</w:t>
        </w:r>
      </w:hyperlink>
      <w:r>
        <w:t>) shows that the product category known as ‘fat burners’ represents the largest portion of products being presented as tablets, capsules and pills in Australia (51% of fat burner products are in the presentation of tablets, capsules or pills, compared to 6% post-workout products and 3% of pre- workout products). The product category of ‘fat burners’ has been linked to serious adverse events and deaths in Australia and in 2018 the NSW Ministry of Health urged the public to avoid any product from an unverified source being promoted as a weight-loss agent such as ‘fat burners’ or ‘shredders’ (24). That is, the majority of products affected by this criterion are demonstrably higher risk and thus the use of the criterion is aligned to the high-level objectives of the proposed clarification.</w:t>
      </w:r>
    </w:p>
    <w:p w:rsidR="007D76BB" w:rsidRDefault="00D70D28">
      <w:pPr>
        <w:pStyle w:val="BodyText"/>
        <w:spacing w:before="178"/>
        <w:ind w:left="197" w:right="681"/>
      </w:pPr>
      <w:r>
        <w:t xml:space="preserve">It is usual for the consumption of a food to be promoted as a recommended daily intake or a recommended portion size for their nutritional health benefits. A product that is promoted with health claims/indications and contains an active ingredient that poses such a risk to consumer health that it is necessary to be dosage controlled (in the form of a tablet, capsule or pill) fits the profile of a therapeutic good and should be regulated as such. There have been small-scale studies of different food supplements that have </w:t>
      </w:r>
      <w:r>
        <w:lastRenderedPageBreak/>
        <w:t>found concerning rates of variability in batch consistency, particularly with the higher-risk ingredients such as caffeine and other stimulants (41; 48; 47). Products manufactured as medicines have higher manufacturing requirement than foods in order to ensure their quality and batch consistency, reducing the risk of overdosing.</w:t>
      </w:r>
    </w:p>
    <w:p w:rsidR="007D76BB" w:rsidRDefault="00D70D28">
      <w:pPr>
        <w:pStyle w:val="Heading7"/>
        <w:spacing w:before="182"/>
        <w:ind w:left="197"/>
      </w:pPr>
      <w:r>
        <w:t>Limitations of Option 3</w:t>
      </w:r>
    </w:p>
    <w:p w:rsidR="007D76BB" w:rsidRDefault="00D70D28">
      <w:pPr>
        <w:pStyle w:val="BodyText"/>
        <w:spacing w:before="179"/>
        <w:ind w:left="197" w:right="795"/>
      </w:pPr>
      <w:r>
        <w:t>As for Option 2A, some manufacturers may choose to continue marketing their product with substances of concern (declared, or undeclared, on the label). This is a known issue with products from this category and there is a risk that businesses could continue this practice. However, the legal clarity provided by Option 3, will mean that timely and appropriate enforcement activity can be undertaken by the TGA against these products (with the exception of those products containing substances on the WADC Prohibited List that are not already expressly included in the Poisons Standard or in the Relevant substance list) . The TGA already</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8" w:right="630"/>
      </w:pPr>
      <w:proofErr w:type="gramStart"/>
      <w:r>
        <w:t>has</w:t>
      </w:r>
      <w:proofErr w:type="gramEnd"/>
      <w:r>
        <w:t xml:space="preserve"> testing protocols in place for sports supplements, which will be increased if Option 3 is implemented. While undeclared ingredients in supplements may continue to be a risk under any option discussed in this RIS, the clarified enforcement pathway and compliance actions under Option 3 will assist in providing a disincentive for such practices by manufacturers of products in Australia and encourage the development of a compliant industry in the long-term.</w:t>
      </w:r>
    </w:p>
    <w:p w:rsidR="007D76BB" w:rsidRDefault="00D70D28">
      <w:pPr>
        <w:pStyle w:val="BodyText"/>
        <w:spacing w:before="182"/>
        <w:ind w:left="198" w:right="732"/>
      </w:pPr>
      <w:r>
        <w:t xml:space="preserve">It is possible that consumers may purchase products no longer available in Australia online (under the Personal Importation Scheme) and thereby continue to be exposed to products with potential risks, as the safety of unregulated imported products is not known (refer to </w:t>
      </w:r>
      <w:hyperlink w:anchor="_bookmark5" w:history="1">
        <w:r>
          <w:rPr>
            <w:color w:val="0000FF"/>
            <w:u w:val="single" w:color="0000FF"/>
          </w:rPr>
          <w:t>Importation of food and medicines into Australia for information</w:t>
        </w:r>
        <w:r>
          <w:rPr>
            <w:color w:val="0000FF"/>
          </w:rPr>
          <w:t xml:space="preserve"> </w:t>
        </w:r>
      </w:hyperlink>
      <w:r>
        <w:t>on this scheme). Further, products with Schedule 4 or 8 substances require a prescription from an Australian registered medical practitioner in order for lawful import under the Personal Importation Scheme. If an import of therapeutic goods is made that does not comply with legislative requirements, the importation can be seized and destroyed and the importer may be charged.</w:t>
      </w:r>
    </w:p>
    <w:p w:rsidR="007D76BB" w:rsidRDefault="007D76BB">
      <w:pPr>
        <w:pStyle w:val="BodyText"/>
        <w:spacing w:before="7"/>
        <w:rPr>
          <w:sz w:val="30"/>
        </w:rPr>
      </w:pPr>
    </w:p>
    <w:p w:rsidR="007D76BB" w:rsidRDefault="00D70D28">
      <w:pPr>
        <w:pStyle w:val="Heading5"/>
        <w:spacing w:before="1"/>
        <w:rPr>
          <w:rFonts w:ascii="Arial"/>
        </w:rPr>
      </w:pPr>
      <w:bookmarkStart w:id="117" w:name="Impacts_of_Option_3"/>
      <w:bookmarkStart w:id="118" w:name="_bookmark55"/>
      <w:bookmarkEnd w:id="117"/>
      <w:bookmarkEnd w:id="118"/>
      <w:r>
        <w:rPr>
          <w:rFonts w:ascii="Arial"/>
        </w:rPr>
        <w:t>Impacts of Option 3</w:t>
      </w:r>
    </w:p>
    <w:p w:rsidR="007D76BB" w:rsidRDefault="00D70D28">
      <w:pPr>
        <w:pStyle w:val="BodyText"/>
        <w:spacing w:before="119"/>
        <w:ind w:left="198" w:right="891"/>
      </w:pPr>
      <w:r>
        <w:t>In relation to ingredients, the implementation and impacts of Option 3 are the same as Option 2A. However, the impact of not including the dosage form of tablets, capsules and pills will represent a reduced regulatory burden for industry compared to Options 2A and 2B.</w:t>
      </w:r>
    </w:p>
    <w:p w:rsidR="007D76BB" w:rsidRDefault="00D70D28">
      <w:pPr>
        <w:pStyle w:val="BodyText"/>
        <w:spacing w:before="182"/>
        <w:ind w:left="198" w:right="1283"/>
      </w:pPr>
      <w:r>
        <w:t xml:space="preserve">Noetic Group’s regulatory costings (refer to </w:t>
      </w:r>
      <w:hyperlink w:anchor="_bookmark67" w:history="1">
        <w:r>
          <w:rPr>
            <w:color w:val="0000FF"/>
            <w:u w:val="single" w:color="0000FF"/>
          </w:rPr>
          <w:t>Appendix 1</w:t>
        </w:r>
      </w:hyperlink>
      <w:r>
        <w:t>) estimate $0.12m average annual regulatory burden cost over 10 years for Option 3, compared to $0.22m average annual regulatory burden cost for Options 2A or 2B over 10 years.</w:t>
      </w:r>
    </w:p>
    <w:p w:rsidR="007D76BB" w:rsidRDefault="007D76BB">
      <w:pPr>
        <w:pStyle w:val="BodyText"/>
        <w:spacing w:before="5"/>
        <w:rPr>
          <w:sz w:val="20"/>
        </w:rPr>
      </w:pPr>
    </w:p>
    <w:p w:rsidR="007D76BB" w:rsidRDefault="00D70D28">
      <w:pPr>
        <w:pStyle w:val="Heading5"/>
      </w:pPr>
      <w:bookmarkStart w:id="119" w:name="Potential_action_for_manufacturers/owner"/>
      <w:bookmarkEnd w:id="119"/>
      <w:r>
        <w:rPr>
          <w:color w:val="001422"/>
        </w:rPr>
        <w:t>Potential action for manufacturers/owner of products in scope</w:t>
      </w:r>
    </w:p>
    <w:p w:rsidR="007D76BB" w:rsidRDefault="00D70D28">
      <w:pPr>
        <w:pStyle w:val="BodyText"/>
        <w:spacing w:before="119"/>
        <w:ind w:left="198" w:right="674"/>
      </w:pPr>
      <w:r>
        <w:t>If Option 3 is implemented, manufacturers/owners of affected products can choose from the following pathways to establish that their product would be regulated as a food or a therapeutic good, as applicable:</w:t>
      </w:r>
    </w:p>
    <w:p w:rsidR="007D76BB" w:rsidRDefault="00D70D28">
      <w:pPr>
        <w:pStyle w:val="ListParagraph"/>
        <w:numPr>
          <w:ilvl w:val="0"/>
          <w:numId w:val="72"/>
        </w:numPr>
        <w:tabs>
          <w:tab w:val="left" w:pos="558"/>
          <w:tab w:val="left" w:pos="559"/>
        </w:tabs>
        <w:spacing w:before="179"/>
        <w:ind w:left="558"/>
      </w:pPr>
      <w:r>
        <w:t>modify their product, as required, to be regulated as a</w:t>
      </w:r>
      <w:r>
        <w:rPr>
          <w:spacing w:val="-10"/>
        </w:rPr>
        <w:t xml:space="preserve"> </w:t>
      </w:r>
      <w:r>
        <w:t>food:</w:t>
      </w:r>
    </w:p>
    <w:p w:rsidR="007D76BB" w:rsidRDefault="00D70D28">
      <w:pPr>
        <w:pStyle w:val="ListParagraph"/>
        <w:numPr>
          <w:ilvl w:val="1"/>
          <w:numId w:val="72"/>
        </w:numPr>
        <w:tabs>
          <w:tab w:val="left" w:pos="1278"/>
          <w:tab w:val="left" w:pos="1279"/>
        </w:tabs>
        <w:spacing w:before="182"/>
        <w:ind w:right="1141"/>
      </w:pPr>
      <w:r>
        <w:t>by changing the product claims to not refer to performance in sport, exercise or other recreational</w:t>
      </w:r>
      <w:r>
        <w:rPr>
          <w:spacing w:val="-3"/>
        </w:rPr>
        <w:t xml:space="preserve"> </w:t>
      </w:r>
      <w:r>
        <w:t>activity</w:t>
      </w:r>
    </w:p>
    <w:p w:rsidR="007D76BB" w:rsidRDefault="00D70D28">
      <w:pPr>
        <w:pStyle w:val="ListParagraph"/>
        <w:numPr>
          <w:ilvl w:val="1"/>
          <w:numId w:val="72"/>
        </w:numPr>
        <w:tabs>
          <w:tab w:val="left" w:pos="1278"/>
          <w:tab w:val="left" w:pos="1279"/>
        </w:tabs>
        <w:ind w:hanging="361"/>
      </w:pPr>
      <w:r>
        <w:t>by changing the product formulation to remove ingredients in</w:t>
      </w:r>
      <w:r>
        <w:rPr>
          <w:spacing w:val="-15"/>
        </w:rPr>
        <w:t xml:space="preserve"> </w:t>
      </w:r>
      <w:r>
        <w:t>scope</w:t>
      </w:r>
    </w:p>
    <w:p w:rsidR="007D76BB" w:rsidRDefault="00D70D28">
      <w:pPr>
        <w:pStyle w:val="ListParagraph"/>
        <w:numPr>
          <w:ilvl w:val="0"/>
          <w:numId w:val="72"/>
        </w:numPr>
        <w:tabs>
          <w:tab w:val="left" w:pos="558"/>
          <w:tab w:val="left" w:pos="559"/>
        </w:tabs>
        <w:spacing w:before="179"/>
        <w:ind w:left="558" w:right="1750"/>
      </w:pPr>
      <w:r>
        <w:t>list or register their product in the ARTG and comply with all relevant regulatory requirements for therapeutic</w:t>
      </w:r>
      <w:r>
        <w:rPr>
          <w:spacing w:val="-2"/>
        </w:rPr>
        <w:t xml:space="preserve"> </w:t>
      </w:r>
      <w:r>
        <w:t>goods</w:t>
      </w:r>
    </w:p>
    <w:p w:rsidR="007D76BB" w:rsidRDefault="00D70D28">
      <w:pPr>
        <w:pStyle w:val="ListParagraph"/>
        <w:numPr>
          <w:ilvl w:val="0"/>
          <w:numId w:val="72"/>
        </w:numPr>
        <w:tabs>
          <w:tab w:val="left" w:pos="558"/>
          <w:tab w:val="left" w:pos="559"/>
        </w:tabs>
        <w:ind w:left="558"/>
      </w:pPr>
      <w:r>
        <w:t>withdraw their product from the</w:t>
      </w:r>
      <w:r>
        <w:rPr>
          <w:spacing w:val="-14"/>
        </w:rPr>
        <w:t xml:space="preserve"> </w:t>
      </w:r>
      <w:r>
        <w:t>market</w:t>
      </w:r>
    </w:p>
    <w:p w:rsidR="007D76BB" w:rsidRDefault="00D70D28">
      <w:pPr>
        <w:pStyle w:val="BodyText"/>
        <w:spacing w:before="181"/>
        <w:ind w:left="198" w:right="916"/>
      </w:pPr>
      <w:r>
        <w:lastRenderedPageBreak/>
        <w:t>Not including the medical dosage form as a criterion will mean that a large number of sports supplement foods presented in tablet, capsule or pill dosage forms will not be affected by the implementation of Option 3, unless they contain ingredients in scope of the proposed declaration. The 2016 LGC study (2) reported that approximately 20% of sports supplements were found to contain ingredients of concern, so it is therefore estimated that approximately 80% of products may not have ingredients of concern.</w:t>
      </w:r>
    </w:p>
    <w:p w:rsidR="007D76BB" w:rsidRDefault="00D70D28">
      <w:pPr>
        <w:pStyle w:val="BodyText"/>
        <w:spacing w:before="178"/>
        <w:ind w:left="198" w:right="674"/>
      </w:pPr>
      <w:proofErr w:type="spellStart"/>
      <w:r>
        <w:t>Noetic’s</w:t>
      </w:r>
      <w:proofErr w:type="spellEnd"/>
      <w:r>
        <w:t xml:space="preserve"> assessment(</w:t>
      </w:r>
      <w:hyperlink w:anchor="_bookmark67" w:history="1">
        <w:r>
          <w:rPr>
            <w:color w:val="0000FF"/>
            <w:u w:val="single" w:color="0000FF"/>
          </w:rPr>
          <w:t>Appendix 1</w:t>
        </w:r>
      </w:hyperlink>
      <w:r>
        <w:t>) is that only a low percentage of capsule products (5% of total) will continue down the ARTG pathway under Option 3 on the basis of the ingredients they contain. Based on stakeholder commentary, Noetic also found that no tablet/capsule/pill products that would be captured under Option 3 (based on ingredients) would be reformulate by the manufacturers.</w:t>
      </w:r>
    </w:p>
    <w:p w:rsidR="007D76BB" w:rsidRDefault="00D70D28">
      <w:pPr>
        <w:pStyle w:val="BodyText"/>
        <w:spacing w:before="182"/>
        <w:ind w:left="198" w:right="1080"/>
      </w:pPr>
      <w:r>
        <w:t>As fewer products will fall in scope of Option 3, it is also anticipated that there will be fewer products withdrawn from the market.</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8" w:right="978" w:hanging="1"/>
      </w:pPr>
      <w:r>
        <w:t>Table 22 estimates the number of sports supplement products presented as tablets, capsules and pills that will proceed down the various pathway actions if Option 3 is implemented.</w:t>
      </w:r>
    </w:p>
    <w:p w:rsidR="007D76BB" w:rsidRDefault="00D70D28">
      <w:pPr>
        <w:pStyle w:val="BodyText"/>
        <w:spacing w:before="180"/>
        <w:ind w:left="198" w:right="954"/>
      </w:pPr>
      <w:r>
        <w:t>Table 23 estimates the total number of products (i.e. powders and tablets, capsules and pills) that may pursue the various pathway actions if Option 3A is implemented. These figures are based on data previously provided in Tables 14 and 19.</w:t>
      </w:r>
    </w:p>
    <w:p w:rsidR="007D76BB" w:rsidRDefault="00D70D28">
      <w:pPr>
        <w:pStyle w:val="Heading7"/>
        <w:spacing w:before="182"/>
        <w:ind w:left="197" w:right="598"/>
        <w:jc w:val="both"/>
      </w:pPr>
      <w:r>
        <w:t>Table 22: Number of sports supplements products presented as tablets, capsules and pills that may proceed down the various pathway actions if Option 3 is implemented compared to Options 2A and 2B</w:t>
      </w:r>
    </w:p>
    <w:p w:rsidR="007D76BB" w:rsidRDefault="007D76BB">
      <w:pPr>
        <w:pStyle w:val="BodyText"/>
        <w:spacing w:before="3"/>
        <w:rPr>
          <w:b/>
          <w:sz w:val="15"/>
        </w:rPr>
      </w:pPr>
    </w:p>
    <w:tbl>
      <w:tblPr>
        <w:tblW w:w="0" w:type="auto"/>
        <w:tblInd w:w="218" w:type="dxa"/>
        <w:tblBorders>
          <w:top w:val="single" w:sz="8" w:space="0" w:color="002C46"/>
          <w:left w:val="single" w:sz="8" w:space="0" w:color="002C46"/>
          <w:bottom w:val="single" w:sz="8" w:space="0" w:color="002C46"/>
          <w:right w:val="single" w:sz="8" w:space="0" w:color="002C46"/>
          <w:insideH w:val="single" w:sz="8" w:space="0" w:color="002C46"/>
          <w:insideV w:val="single" w:sz="8" w:space="0" w:color="002C46"/>
        </w:tblBorders>
        <w:tblLayout w:type="fixed"/>
        <w:tblCellMar>
          <w:left w:w="0" w:type="dxa"/>
          <w:right w:w="0" w:type="dxa"/>
        </w:tblCellMar>
        <w:tblLook w:val="01E0" w:firstRow="1" w:lastRow="1" w:firstColumn="1" w:lastColumn="1" w:noHBand="0" w:noVBand="0"/>
      </w:tblPr>
      <w:tblGrid>
        <w:gridCol w:w="2258"/>
        <w:gridCol w:w="3540"/>
        <w:gridCol w:w="1282"/>
        <w:gridCol w:w="1983"/>
      </w:tblGrid>
      <w:tr w:rsidR="007D76BB">
        <w:trPr>
          <w:trHeight w:val="1542"/>
        </w:trPr>
        <w:tc>
          <w:tcPr>
            <w:tcW w:w="2258" w:type="dxa"/>
            <w:tcBorders>
              <w:right w:val="nil"/>
            </w:tcBorders>
            <w:shd w:val="clear" w:color="auto" w:fill="006CA7"/>
          </w:tcPr>
          <w:p w:rsidR="007D76BB" w:rsidRDefault="00D70D28">
            <w:pPr>
              <w:pStyle w:val="TableParagraph"/>
              <w:spacing w:before="122"/>
              <w:ind w:left="107"/>
              <w:rPr>
                <w:rFonts w:ascii="Arial Black"/>
              </w:rPr>
            </w:pPr>
            <w:r>
              <w:rPr>
                <w:rFonts w:ascii="Arial Black"/>
                <w:color w:val="FFFFFF"/>
              </w:rPr>
              <w:t>Pathway action</w:t>
            </w:r>
          </w:p>
        </w:tc>
        <w:tc>
          <w:tcPr>
            <w:tcW w:w="3540" w:type="dxa"/>
            <w:tcBorders>
              <w:left w:val="nil"/>
              <w:right w:val="nil"/>
            </w:tcBorders>
            <w:shd w:val="clear" w:color="auto" w:fill="006CA7"/>
          </w:tcPr>
          <w:p w:rsidR="007D76BB" w:rsidRDefault="00D70D28">
            <w:pPr>
              <w:pStyle w:val="TableParagraph"/>
              <w:spacing w:before="122"/>
              <w:ind w:left="115" w:right="520"/>
              <w:rPr>
                <w:rFonts w:ascii="Arial Black"/>
              </w:rPr>
            </w:pPr>
            <w:r>
              <w:rPr>
                <w:rFonts w:ascii="Arial Black"/>
                <w:color w:val="FFFFFF"/>
              </w:rPr>
              <w:t>Number of products (tablets, capsules, pills)</w:t>
            </w:r>
          </w:p>
        </w:tc>
        <w:tc>
          <w:tcPr>
            <w:tcW w:w="1282" w:type="dxa"/>
            <w:tcBorders>
              <w:left w:val="nil"/>
              <w:right w:val="nil"/>
            </w:tcBorders>
            <w:shd w:val="clear" w:color="auto" w:fill="006CA7"/>
          </w:tcPr>
          <w:p w:rsidR="007D76BB" w:rsidRDefault="00D70D28">
            <w:pPr>
              <w:pStyle w:val="TableParagraph"/>
              <w:spacing w:before="122"/>
              <w:ind w:left="117" w:right="81"/>
              <w:rPr>
                <w:rFonts w:ascii="Arial Black"/>
              </w:rPr>
            </w:pPr>
            <w:r>
              <w:rPr>
                <w:rFonts w:ascii="Arial Black"/>
                <w:color w:val="FFFFFF"/>
              </w:rPr>
              <w:t>Total products under Option 3</w:t>
            </w:r>
          </w:p>
        </w:tc>
        <w:tc>
          <w:tcPr>
            <w:tcW w:w="1983" w:type="dxa"/>
            <w:tcBorders>
              <w:left w:val="nil"/>
            </w:tcBorders>
            <w:shd w:val="clear" w:color="auto" w:fill="006CA7"/>
          </w:tcPr>
          <w:p w:rsidR="007D76BB" w:rsidRDefault="00D70D28">
            <w:pPr>
              <w:pStyle w:val="TableParagraph"/>
              <w:spacing w:before="122"/>
              <w:ind w:left="117" w:right="91"/>
              <w:jc w:val="both"/>
              <w:rPr>
                <w:rFonts w:ascii="Arial Black"/>
              </w:rPr>
            </w:pPr>
            <w:r>
              <w:rPr>
                <w:rFonts w:ascii="Arial Black"/>
                <w:color w:val="FFFFFF"/>
              </w:rPr>
              <w:t>Total products under Options 2A and 2B</w:t>
            </w:r>
          </w:p>
        </w:tc>
      </w:tr>
      <w:tr w:rsidR="007D76BB">
        <w:trPr>
          <w:trHeight w:val="995"/>
        </w:trPr>
        <w:tc>
          <w:tcPr>
            <w:tcW w:w="2258" w:type="dxa"/>
          </w:tcPr>
          <w:p w:rsidR="007D76BB" w:rsidRDefault="00D70D28">
            <w:pPr>
              <w:pStyle w:val="TableParagraph"/>
              <w:spacing w:before="119"/>
              <w:ind w:left="107"/>
              <w:rPr>
                <w:b/>
              </w:rPr>
            </w:pPr>
            <w:r>
              <w:rPr>
                <w:b/>
              </w:rPr>
              <w:t>No action required</w:t>
            </w:r>
          </w:p>
        </w:tc>
        <w:tc>
          <w:tcPr>
            <w:tcW w:w="3540" w:type="dxa"/>
          </w:tcPr>
          <w:p w:rsidR="007D76BB" w:rsidRDefault="00D70D28">
            <w:pPr>
              <w:pStyle w:val="TableParagraph"/>
              <w:spacing w:before="119"/>
              <w:ind w:left="105"/>
            </w:pPr>
            <w:r>
              <w:t>32 (80%) = 106</w:t>
            </w:r>
          </w:p>
        </w:tc>
        <w:tc>
          <w:tcPr>
            <w:tcW w:w="1282" w:type="dxa"/>
          </w:tcPr>
          <w:p w:rsidR="007D76BB" w:rsidRDefault="00D70D28">
            <w:pPr>
              <w:pStyle w:val="TableParagraph"/>
              <w:spacing w:before="119"/>
              <w:ind w:left="108"/>
            </w:pPr>
            <w:r>
              <w:t>106</w:t>
            </w:r>
          </w:p>
        </w:tc>
        <w:tc>
          <w:tcPr>
            <w:tcW w:w="1983" w:type="dxa"/>
          </w:tcPr>
          <w:p w:rsidR="007D76BB" w:rsidRDefault="00D70D28">
            <w:pPr>
              <w:pStyle w:val="TableParagraph"/>
              <w:spacing w:before="119"/>
              <w:ind w:left="107"/>
            </w:pPr>
            <w:r>
              <w:t>24</w:t>
            </w:r>
          </w:p>
        </w:tc>
      </w:tr>
      <w:tr w:rsidR="007D76BB">
        <w:trPr>
          <w:trHeight w:val="558"/>
        </w:trPr>
        <w:tc>
          <w:tcPr>
            <w:tcW w:w="2258" w:type="dxa"/>
          </w:tcPr>
          <w:p w:rsidR="007D76BB" w:rsidRDefault="00D70D28">
            <w:pPr>
              <w:pStyle w:val="TableParagraph"/>
              <w:spacing w:before="119"/>
              <w:ind w:left="107"/>
              <w:rPr>
                <w:b/>
              </w:rPr>
            </w:pPr>
            <w:r>
              <w:rPr>
                <w:b/>
              </w:rPr>
              <w:t>Reformulate</w:t>
            </w:r>
          </w:p>
        </w:tc>
        <w:tc>
          <w:tcPr>
            <w:tcW w:w="3540" w:type="dxa"/>
          </w:tcPr>
          <w:p w:rsidR="007D76BB" w:rsidRDefault="00D70D28">
            <w:pPr>
              <w:pStyle w:val="TableParagraph"/>
              <w:spacing w:before="119"/>
              <w:ind w:left="105"/>
            </w:pPr>
            <w:r>
              <w:t>0</w:t>
            </w:r>
          </w:p>
        </w:tc>
        <w:tc>
          <w:tcPr>
            <w:tcW w:w="1282" w:type="dxa"/>
          </w:tcPr>
          <w:p w:rsidR="007D76BB" w:rsidRDefault="00D70D28">
            <w:pPr>
              <w:pStyle w:val="TableParagraph"/>
              <w:spacing w:before="119"/>
              <w:ind w:left="107"/>
            </w:pPr>
            <w:r>
              <w:t>0</w:t>
            </w:r>
          </w:p>
        </w:tc>
        <w:tc>
          <w:tcPr>
            <w:tcW w:w="1983" w:type="dxa"/>
          </w:tcPr>
          <w:p w:rsidR="007D76BB" w:rsidRDefault="00D70D28">
            <w:pPr>
              <w:pStyle w:val="TableParagraph"/>
              <w:spacing w:before="119"/>
              <w:ind w:left="107"/>
            </w:pPr>
            <w:r>
              <w:t>8</w:t>
            </w:r>
          </w:p>
        </w:tc>
      </w:tr>
      <w:tr w:rsidR="007D76BB">
        <w:trPr>
          <w:trHeight w:val="555"/>
        </w:trPr>
        <w:tc>
          <w:tcPr>
            <w:tcW w:w="2258" w:type="dxa"/>
          </w:tcPr>
          <w:p w:rsidR="007D76BB" w:rsidRDefault="00D70D28">
            <w:pPr>
              <w:pStyle w:val="TableParagraph"/>
              <w:spacing w:before="119"/>
              <w:ind w:left="107"/>
              <w:rPr>
                <w:b/>
              </w:rPr>
            </w:pPr>
            <w:r>
              <w:rPr>
                <w:b/>
              </w:rPr>
              <w:t>ARTG entry</w:t>
            </w:r>
          </w:p>
        </w:tc>
        <w:tc>
          <w:tcPr>
            <w:tcW w:w="3540" w:type="dxa"/>
          </w:tcPr>
          <w:p w:rsidR="007D76BB" w:rsidRDefault="00D70D28">
            <w:pPr>
              <w:pStyle w:val="TableParagraph"/>
              <w:spacing w:before="119"/>
              <w:ind w:left="105"/>
            </w:pPr>
            <w:r>
              <w:t>132 (5% ) = 7</w:t>
            </w:r>
          </w:p>
        </w:tc>
        <w:tc>
          <w:tcPr>
            <w:tcW w:w="1282" w:type="dxa"/>
          </w:tcPr>
          <w:p w:rsidR="007D76BB" w:rsidRDefault="00D70D28">
            <w:pPr>
              <w:pStyle w:val="TableParagraph"/>
              <w:spacing w:before="119"/>
              <w:ind w:left="107"/>
            </w:pPr>
            <w:r>
              <w:t>7</w:t>
            </w:r>
          </w:p>
        </w:tc>
        <w:tc>
          <w:tcPr>
            <w:tcW w:w="1983" w:type="dxa"/>
          </w:tcPr>
          <w:p w:rsidR="007D76BB" w:rsidRDefault="00D70D28">
            <w:pPr>
              <w:pStyle w:val="TableParagraph"/>
              <w:spacing w:before="119"/>
              <w:ind w:left="107"/>
            </w:pPr>
            <w:r>
              <w:t>54</w:t>
            </w:r>
          </w:p>
        </w:tc>
      </w:tr>
      <w:tr w:rsidR="007D76BB">
        <w:trPr>
          <w:trHeight w:val="817"/>
        </w:trPr>
        <w:tc>
          <w:tcPr>
            <w:tcW w:w="2258" w:type="dxa"/>
          </w:tcPr>
          <w:p w:rsidR="007D76BB" w:rsidRDefault="00D70D28">
            <w:pPr>
              <w:pStyle w:val="TableParagraph"/>
              <w:spacing w:before="121"/>
              <w:ind w:left="107" w:right="619"/>
              <w:rPr>
                <w:b/>
              </w:rPr>
            </w:pPr>
            <w:r>
              <w:rPr>
                <w:b/>
              </w:rPr>
              <w:t>Removed from market</w:t>
            </w:r>
          </w:p>
        </w:tc>
        <w:tc>
          <w:tcPr>
            <w:tcW w:w="3540" w:type="dxa"/>
          </w:tcPr>
          <w:p w:rsidR="007D76BB" w:rsidRDefault="00D70D28">
            <w:pPr>
              <w:pStyle w:val="TableParagraph"/>
              <w:spacing w:before="121"/>
              <w:ind w:left="105"/>
            </w:pPr>
            <w:r>
              <w:t>132- (106+7) = 25</w:t>
            </w:r>
          </w:p>
        </w:tc>
        <w:tc>
          <w:tcPr>
            <w:tcW w:w="1282" w:type="dxa"/>
          </w:tcPr>
          <w:p w:rsidR="007D76BB" w:rsidRDefault="00D70D28">
            <w:pPr>
              <w:pStyle w:val="TableParagraph"/>
              <w:spacing w:before="121"/>
              <w:ind w:left="108"/>
            </w:pPr>
            <w:r>
              <w:t>19</w:t>
            </w:r>
          </w:p>
        </w:tc>
        <w:tc>
          <w:tcPr>
            <w:tcW w:w="1983" w:type="dxa"/>
          </w:tcPr>
          <w:p w:rsidR="007D76BB" w:rsidRDefault="00D70D28">
            <w:pPr>
              <w:pStyle w:val="TableParagraph"/>
              <w:spacing w:before="121"/>
              <w:ind w:left="107"/>
            </w:pPr>
            <w:r>
              <w:t>46</w:t>
            </w:r>
          </w:p>
        </w:tc>
      </w:tr>
    </w:tbl>
    <w:p w:rsidR="007D76BB" w:rsidRDefault="00D70D28">
      <w:pPr>
        <w:pStyle w:val="BodyText"/>
        <w:spacing w:before="119"/>
        <w:ind w:left="198" w:right="815"/>
      </w:pPr>
      <w:r>
        <w:t>From the data provided in Table 22, if Option 3A is implemented, the majority of sport supplement products (106 of 132 products) presented as tablets, capsules and pills will not be affected by the proposal.</w:t>
      </w:r>
    </w:p>
    <w:p w:rsidR="007D76BB" w:rsidRDefault="00D70D28">
      <w:pPr>
        <w:pStyle w:val="Heading7"/>
        <w:spacing w:before="179"/>
        <w:ind w:right="988"/>
      </w:pPr>
      <w:r>
        <w:t>Table 23 Estimated number of all products (powders, liquids, novel foods plus tablets, capsules, pills) in pathway options</w:t>
      </w:r>
    </w:p>
    <w:p w:rsidR="007D76BB" w:rsidRDefault="007D76BB">
      <w:pPr>
        <w:pStyle w:val="BodyText"/>
        <w:spacing w:before="5"/>
        <w:rPr>
          <w:b/>
          <w:sz w:val="15"/>
        </w:rPr>
      </w:pPr>
    </w:p>
    <w:tbl>
      <w:tblPr>
        <w:tblW w:w="0" w:type="auto"/>
        <w:tblInd w:w="218" w:type="dxa"/>
        <w:tblBorders>
          <w:top w:val="single" w:sz="8" w:space="0" w:color="002C46"/>
          <w:left w:val="single" w:sz="8" w:space="0" w:color="002C46"/>
          <w:bottom w:val="single" w:sz="8" w:space="0" w:color="002C46"/>
          <w:right w:val="single" w:sz="8" w:space="0" w:color="002C46"/>
          <w:insideH w:val="single" w:sz="8" w:space="0" w:color="002C46"/>
          <w:insideV w:val="single" w:sz="8" w:space="0" w:color="002C46"/>
        </w:tblBorders>
        <w:tblLayout w:type="fixed"/>
        <w:tblCellMar>
          <w:left w:w="0" w:type="dxa"/>
          <w:right w:w="0" w:type="dxa"/>
        </w:tblCellMar>
        <w:tblLook w:val="01E0" w:firstRow="1" w:lastRow="1" w:firstColumn="1" w:lastColumn="1" w:noHBand="0" w:noVBand="0"/>
      </w:tblPr>
      <w:tblGrid>
        <w:gridCol w:w="2542"/>
        <w:gridCol w:w="3120"/>
        <w:gridCol w:w="3401"/>
      </w:tblGrid>
      <w:tr w:rsidR="007D76BB">
        <w:trPr>
          <w:trHeight w:val="920"/>
        </w:trPr>
        <w:tc>
          <w:tcPr>
            <w:tcW w:w="2542" w:type="dxa"/>
            <w:tcBorders>
              <w:right w:val="nil"/>
            </w:tcBorders>
            <w:shd w:val="clear" w:color="auto" w:fill="006CA7"/>
          </w:tcPr>
          <w:p w:rsidR="007D76BB" w:rsidRDefault="00D70D28">
            <w:pPr>
              <w:pStyle w:val="TableParagraph"/>
              <w:spacing w:before="122"/>
              <w:ind w:left="107"/>
              <w:rPr>
                <w:rFonts w:ascii="Arial Black"/>
              </w:rPr>
            </w:pPr>
            <w:r>
              <w:rPr>
                <w:rFonts w:ascii="Arial Black"/>
                <w:color w:val="FFFFFF"/>
              </w:rPr>
              <w:t>Pathway action</w:t>
            </w:r>
          </w:p>
        </w:tc>
        <w:tc>
          <w:tcPr>
            <w:tcW w:w="3120" w:type="dxa"/>
            <w:tcBorders>
              <w:left w:val="nil"/>
              <w:right w:val="nil"/>
            </w:tcBorders>
            <w:shd w:val="clear" w:color="auto" w:fill="006CA7"/>
          </w:tcPr>
          <w:p w:rsidR="007D76BB" w:rsidRDefault="00D70D28">
            <w:pPr>
              <w:pStyle w:val="TableParagraph"/>
              <w:spacing w:before="122"/>
              <w:ind w:left="117" w:right="465"/>
              <w:rPr>
                <w:rFonts w:ascii="Arial Black"/>
              </w:rPr>
            </w:pPr>
            <w:r>
              <w:rPr>
                <w:rFonts w:ascii="Arial Black"/>
                <w:color w:val="FFFFFF"/>
              </w:rPr>
              <w:t>Total products under Options 2A and 2B</w:t>
            </w:r>
          </w:p>
        </w:tc>
        <w:tc>
          <w:tcPr>
            <w:tcW w:w="3401" w:type="dxa"/>
            <w:tcBorders>
              <w:left w:val="nil"/>
            </w:tcBorders>
            <w:shd w:val="clear" w:color="auto" w:fill="006CA7"/>
          </w:tcPr>
          <w:p w:rsidR="007D76BB" w:rsidRDefault="00D70D28">
            <w:pPr>
              <w:pStyle w:val="TableParagraph"/>
              <w:spacing w:before="122"/>
              <w:ind w:left="114" w:right="739"/>
              <w:rPr>
                <w:rFonts w:ascii="Arial Black"/>
              </w:rPr>
            </w:pPr>
            <w:r>
              <w:rPr>
                <w:rFonts w:ascii="Arial Black"/>
                <w:color w:val="FFFFFF"/>
              </w:rPr>
              <w:t>Total products under Option 3</w:t>
            </w:r>
          </w:p>
        </w:tc>
      </w:tr>
      <w:tr w:rsidR="007D76BB">
        <w:trPr>
          <w:trHeight w:val="558"/>
        </w:trPr>
        <w:tc>
          <w:tcPr>
            <w:tcW w:w="2542" w:type="dxa"/>
          </w:tcPr>
          <w:p w:rsidR="007D76BB" w:rsidRDefault="00D70D28">
            <w:pPr>
              <w:pStyle w:val="TableParagraph"/>
              <w:spacing w:before="121"/>
              <w:ind w:left="107"/>
              <w:rPr>
                <w:b/>
              </w:rPr>
            </w:pPr>
            <w:r>
              <w:rPr>
                <w:b/>
              </w:rPr>
              <w:t>No action required</w:t>
            </w:r>
          </w:p>
        </w:tc>
        <w:tc>
          <w:tcPr>
            <w:tcW w:w="3120" w:type="dxa"/>
          </w:tcPr>
          <w:p w:rsidR="007D76BB" w:rsidRDefault="00D70D28">
            <w:pPr>
              <w:pStyle w:val="TableParagraph"/>
              <w:spacing w:before="121"/>
              <w:ind w:left="107"/>
              <w:rPr>
                <w:b/>
              </w:rPr>
            </w:pPr>
            <w:r>
              <w:t xml:space="preserve">498(P) + 24(T) = </w:t>
            </w:r>
            <w:r>
              <w:rPr>
                <w:b/>
              </w:rPr>
              <w:t>522</w:t>
            </w:r>
          </w:p>
        </w:tc>
        <w:tc>
          <w:tcPr>
            <w:tcW w:w="3401" w:type="dxa"/>
          </w:tcPr>
          <w:p w:rsidR="007D76BB" w:rsidRDefault="00D70D28">
            <w:pPr>
              <w:pStyle w:val="TableParagraph"/>
              <w:spacing w:before="121"/>
              <w:ind w:left="104"/>
              <w:rPr>
                <w:b/>
              </w:rPr>
            </w:pPr>
            <w:r>
              <w:t xml:space="preserve">498(P) + 106(T) = </w:t>
            </w:r>
            <w:r>
              <w:rPr>
                <w:b/>
              </w:rPr>
              <w:t>604</w:t>
            </w:r>
          </w:p>
        </w:tc>
      </w:tr>
      <w:tr w:rsidR="007D76BB">
        <w:trPr>
          <w:trHeight w:val="714"/>
        </w:trPr>
        <w:tc>
          <w:tcPr>
            <w:tcW w:w="2542" w:type="dxa"/>
          </w:tcPr>
          <w:p w:rsidR="007D76BB" w:rsidRDefault="00D70D28">
            <w:pPr>
              <w:pStyle w:val="TableParagraph"/>
              <w:spacing w:before="119"/>
              <w:ind w:left="107"/>
              <w:rPr>
                <w:b/>
              </w:rPr>
            </w:pPr>
            <w:r>
              <w:rPr>
                <w:b/>
              </w:rPr>
              <w:t>Reformulate</w:t>
            </w:r>
          </w:p>
        </w:tc>
        <w:tc>
          <w:tcPr>
            <w:tcW w:w="3120" w:type="dxa"/>
          </w:tcPr>
          <w:p w:rsidR="007D76BB" w:rsidRDefault="00D70D28">
            <w:pPr>
              <w:pStyle w:val="TableParagraph"/>
              <w:spacing w:before="119"/>
              <w:ind w:left="107"/>
              <w:rPr>
                <w:b/>
              </w:rPr>
            </w:pPr>
            <w:r>
              <w:t xml:space="preserve">85(P) + 8(T) = </w:t>
            </w:r>
            <w:r>
              <w:rPr>
                <w:b/>
              </w:rPr>
              <w:t>93</w:t>
            </w:r>
          </w:p>
        </w:tc>
        <w:tc>
          <w:tcPr>
            <w:tcW w:w="3401" w:type="dxa"/>
          </w:tcPr>
          <w:p w:rsidR="007D76BB" w:rsidRDefault="00D70D28">
            <w:pPr>
              <w:pStyle w:val="TableParagraph"/>
              <w:spacing w:before="119"/>
              <w:ind w:left="104"/>
              <w:rPr>
                <w:b/>
              </w:rPr>
            </w:pPr>
            <w:r>
              <w:t xml:space="preserve">85(T) + 0(T) = </w:t>
            </w:r>
            <w:r>
              <w:rPr>
                <w:b/>
              </w:rPr>
              <w:t>85</w:t>
            </w:r>
          </w:p>
        </w:tc>
      </w:tr>
      <w:tr w:rsidR="007D76BB">
        <w:trPr>
          <w:trHeight w:val="556"/>
        </w:trPr>
        <w:tc>
          <w:tcPr>
            <w:tcW w:w="2542" w:type="dxa"/>
          </w:tcPr>
          <w:p w:rsidR="007D76BB" w:rsidRDefault="00D70D28">
            <w:pPr>
              <w:pStyle w:val="TableParagraph"/>
              <w:spacing w:before="119"/>
              <w:ind w:left="107"/>
              <w:rPr>
                <w:b/>
              </w:rPr>
            </w:pPr>
            <w:r>
              <w:rPr>
                <w:b/>
              </w:rPr>
              <w:t>ARTG entry</w:t>
            </w:r>
          </w:p>
        </w:tc>
        <w:tc>
          <w:tcPr>
            <w:tcW w:w="3120" w:type="dxa"/>
          </w:tcPr>
          <w:p w:rsidR="007D76BB" w:rsidRDefault="00D70D28">
            <w:pPr>
              <w:pStyle w:val="TableParagraph"/>
              <w:spacing w:before="119"/>
              <w:ind w:left="107"/>
              <w:rPr>
                <w:b/>
              </w:rPr>
            </w:pPr>
            <w:r>
              <w:t>33(P) + 54(T)=</w:t>
            </w:r>
            <w:r>
              <w:rPr>
                <w:b/>
              </w:rPr>
              <w:t>87</w:t>
            </w:r>
          </w:p>
        </w:tc>
        <w:tc>
          <w:tcPr>
            <w:tcW w:w="3401" w:type="dxa"/>
          </w:tcPr>
          <w:p w:rsidR="007D76BB" w:rsidRDefault="00D70D28">
            <w:pPr>
              <w:pStyle w:val="TableParagraph"/>
              <w:spacing w:before="119"/>
              <w:ind w:left="104"/>
              <w:rPr>
                <w:b/>
              </w:rPr>
            </w:pPr>
            <w:r>
              <w:t xml:space="preserve">33(P) + 7(T) = </w:t>
            </w:r>
            <w:r>
              <w:rPr>
                <w:b/>
              </w:rPr>
              <w:t>40</w:t>
            </w:r>
          </w:p>
        </w:tc>
      </w:tr>
      <w:tr w:rsidR="007D76BB">
        <w:trPr>
          <w:trHeight w:val="558"/>
        </w:trPr>
        <w:tc>
          <w:tcPr>
            <w:tcW w:w="2542" w:type="dxa"/>
          </w:tcPr>
          <w:p w:rsidR="007D76BB" w:rsidRDefault="00D70D28">
            <w:pPr>
              <w:pStyle w:val="TableParagraph"/>
              <w:spacing w:before="121"/>
              <w:ind w:left="107"/>
              <w:rPr>
                <w:b/>
              </w:rPr>
            </w:pPr>
            <w:r>
              <w:rPr>
                <w:b/>
              </w:rPr>
              <w:t>Removed from market</w:t>
            </w:r>
          </w:p>
        </w:tc>
        <w:tc>
          <w:tcPr>
            <w:tcW w:w="3120" w:type="dxa"/>
          </w:tcPr>
          <w:p w:rsidR="007D76BB" w:rsidRDefault="00D70D28">
            <w:pPr>
              <w:pStyle w:val="TableParagraph"/>
              <w:spacing w:before="121"/>
              <w:ind w:left="107"/>
              <w:rPr>
                <w:b/>
              </w:rPr>
            </w:pPr>
            <w:r>
              <w:t>40(P) + 46(T)=</w:t>
            </w:r>
            <w:r>
              <w:rPr>
                <w:b/>
              </w:rPr>
              <w:t>86</w:t>
            </w:r>
          </w:p>
        </w:tc>
        <w:tc>
          <w:tcPr>
            <w:tcW w:w="3401" w:type="dxa"/>
          </w:tcPr>
          <w:p w:rsidR="007D76BB" w:rsidRDefault="00D70D28">
            <w:pPr>
              <w:pStyle w:val="TableParagraph"/>
              <w:spacing w:before="121"/>
              <w:ind w:left="104"/>
              <w:rPr>
                <w:b/>
              </w:rPr>
            </w:pPr>
            <w:r>
              <w:t xml:space="preserve">40(P) + 19(T) = </w:t>
            </w:r>
            <w:r>
              <w:rPr>
                <w:b/>
              </w:rPr>
              <w:t>59</w:t>
            </w:r>
          </w:p>
        </w:tc>
      </w:tr>
    </w:tbl>
    <w:p w:rsidR="007D76BB" w:rsidRDefault="00D70D28">
      <w:pPr>
        <w:ind w:left="198" w:right="7346"/>
        <w:rPr>
          <w:sz w:val="17"/>
        </w:rPr>
      </w:pPr>
      <w:r>
        <w:rPr>
          <w:sz w:val="17"/>
        </w:rPr>
        <w:t>P=Powders, liquids, nov</w:t>
      </w:r>
      <w:r>
        <w:rPr>
          <w:sz w:val="17"/>
        </w:rPr>
        <w:lastRenderedPageBreak/>
        <w:t>el foods T= Tablets, capsules, pills,</w:t>
      </w:r>
    </w:p>
    <w:p w:rsidR="007D76BB" w:rsidRDefault="007D76BB">
      <w:pPr>
        <w:rPr>
          <w:sz w:val="17"/>
        </w:rPr>
        <w:sectPr w:rsidR="007D76BB">
          <w:pgSz w:w="11910" w:h="16840"/>
          <w:pgMar w:top="840" w:right="820" w:bottom="1360" w:left="1220" w:header="572" w:footer="1178" w:gutter="0"/>
          <w:cols w:space="720"/>
        </w:sectPr>
      </w:pPr>
    </w:p>
    <w:p w:rsidR="007D76BB" w:rsidRDefault="007D76BB">
      <w:pPr>
        <w:pStyle w:val="BodyText"/>
        <w:spacing w:before="3"/>
        <w:rPr>
          <w:sz w:val="16"/>
        </w:rPr>
      </w:pPr>
    </w:p>
    <w:p w:rsidR="007D76BB" w:rsidRDefault="00D70D28">
      <w:pPr>
        <w:pStyle w:val="Heading5"/>
        <w:spacing w:before="100"/>
      </w:pPr>
      <w:bookmarkStart w:id="120" w:name="Benefits_and_negative_impacts_of_Option_"/>
      <w:bookmarkEnd w:id="120"/>
      <w:r>
        <w:rPr>
          <w:color w:val="001422"/>
        </w:rPr>
        <w:t>Benefits and negative impacts of Option 3</w:t>
      </w:r>
    </w:p>
    <w:p w:rsidR="007D76BB" w:rsidRDefault="00D70D28">
      <w:pPr>
        <w:pStyle w:val="Heading7"/>
        <w:spacing w:before="122"/>
      </w:pPr>
      <w:r>
        <w:t>Benefits of Option 3 for industry</w:t>
      </w:r>
    </w:p>
    <w:p w:rsidR="007D76BB" w:rsidRDefault="00D70D28">
      <w:pPr>
        <w:pStyle w:val="BodyText"/>
        <w:spacing w:before="178"/>
        <w:ind w:left="198" w:right="672"/>
      </w:pPr>
      <w:r>
        <w:t xml:space="preserve">The benefits for industry of Option 3 will be the same as for </w:t>
      </w:r>
      <w:hyperlink w:anchor="_bookmark45" w:history="1">
        <w:r>
          <w:rPr>
            <w:color w:val="0000FF"/>
            <w:u w:val="single" w:color="0000FF"/>
          </w:rPr>
          <w:t>Option 2</w:t>
        </w:r>
      </w:hyperlink>
      <w:r>
        <w:rPr>
          <w:color w:val="0000FF"/>
          <w:u w:val="single" w:color="0000FF"/>
        </w:rPr>
        <w:t>A</w:t>
      </w:r>
      <w:r>
        <w:t>, in addition, Option 3 will present a lower level overall regulatory burden for industry when compared to Options 2A and 2B due to products presented as tablets, capsules or pills no longer being included in the declaration. Manufacturers and retailers will be able to continue marketing sports supplements food in medicinal dosage forms.</w:t>
      </w:r>
    </w:p>
    <w:p w:rsidR="007D76BB" w:rsidRDefault="00D70D28">
      <w:pPr>
        <w:pStyle w:val="Heading7"/>
      </w:pPr>
      <w:r>
        <w:t>Negative impact of Option 3 for industry</w:t>
      </w:r>
    </w:p>
    <w:p w:rsidR="007D76BB" w:rsidRDefault="00D70D28">
      <w:pPr>
        <w:pStyle w:val="BodyText"/>
        <w:spacing w:before="181"/>
        <w:ind w:left="198" w:right="584" w:hanging="1"/>
      </w:pPr>
      <w:r>
        <w:t xml:space="preserve">The negative impacts on industry will be the same as for </w:t>
      </w:r>
      <w:hyperlink w:anchor="_bookmark44" w:history="1">
        <w:r>
          <w:rPr>
            <w:color w:val="0000FF"/>
            <w:u w:val="single" w:color="0000FF"/>
          </w:rPr>
          <w:t>Option 2</w:t>
        </w:r>
      </w:hyperlink>
      <w:r>
        <w:rPr>
          <w:color w:val="0000FF"/>
          <w:u w:val="single" w:color="0000FF"/>
        </w:rPr>
        <w:t>A</w:t>
      </w:r>
      <w:r>
        <w:t>, except that manufacturers of products presented as tablets, capsules and pills will be less affected by the proposal. However, while the proposed section 7 may not apply to these products, many products presented as tablets, capsules or pills carrying therapeutic claims may be deemed to be therapeutic goods on an individual basis through the existing Food-Medicine Interface assessments pathway and so there would remain ambiguity for sponsors and the risk for them to be inadvertently non- compliant with these product types.</w:t>
      </w:r>
    </w:p>
    <w:p w:rsidR="007D76BB" w:rsidRDefault="00D70D28">
      <w:pPr>
        <w:pStyle w:val="Heading7"/>
        <w:spacing w:before="179"/>
      </w:pPr>
      <w:r>
        <w:t>Benefits of Option 3 for consumers</w:t>
      </w:r>
    </w:p>
    <w:p w:rsidR="007D76BB" w:rsidRDefault="00D70D28">
      <w:pPr>
        <w:pStyle w:val="BodyText"/>
        <w:spacing w:before="182"/>
        <w:ind w:left="198" w:right="699"/>
      </w:pPr>
      <w:r>
        <w:t xml:space="preserve">Similar to Option 2A, Option 3 will present a considerable improvement for consumers in terms of risk posed by the consumption of sports supplements. Ensuring that scheduled and WADC Prohibited substances are appropriately regulated as therapeutic goods will make consumers more aware of the risks of these substances and be more likely to seek appropriate medical advice both before and after use. Other benefits will be similar to those discussed in </w:t>
      </w:r>
      <w:hyperlink w:anchor="_bookmark37" w:history="1">
        <w:r>
          <w:rPr>
            <w:color w:val="0000FF"/>
            <w:u w:val="single" w:color="0000FF"/>
          </w:rPr>
          <w:t>Option 2</w:t>
        </w:r>
      </w:hyperlink>
      <w:r>
        <w:rPr>
          <w:color w:val="0000FF"/>
          <w:u w:val="single" w:color="0000FF"/>
        </w:rPr>
        <w:t>A</w:t>
      </w:r>
      <w:r>
        <w:t>, with the exclusion of any relating to the inclusion of the dosage form criteria.</w:t>
      </w:r>
    </w:p>
    <w:p w:rsidR="007D76BB" w:rsidRDefault="00D70D28">
      <w:pPr>
        <w:pStyle w:val="BodyText"/>
        <w:spacing w:before="178"/>
        <w:ind w:left="198" w:right="688"/>
      </w:pPr>
      <w:r>
        <w:t>Option 3 would see less products withdrawn from the market with a lower impact on consumer choice.</w:t>
      </w:r>
    </w:p>
    <w:p w:rsidR="007D76BB" w:rsidRDefault="00D70D28">
      <w:pPr>
        <w:pStyle w:val="Heading7"/>
      </w:pPr>
      <w:r>
        <w:t>Negative impact of Option 3 for consumers</w:t>
      </w:r>
    </w:p>
    <w:p w:rsidR="007D76BB" w:rsidRDefault="00D70D28">
      <w:pPr>
        <w:pStyle w:val="BodyText"/>
        <w:spacing w:before="181"/>
        <w:ind w:left="198" w:right="623" w:hanging="1"/>
      </w:pPr>
      <w:r>
        <w:t xml:space="preserve">The negative impacts for consumers will be the same as for </w:t>
      </w:r>
      <w:hyperlink w:anchor="_bookmark45" w:history="1">
        <w:r>
          <w:rPr>
            <w:color w:val="0000FF"/>
            <w:u w:val="single" w:color="0000FF"/>
          </w:rPr>
          <w:t>Option 2</w:t>
        </w:r>
      </w:hyperlink>
      <w:r>
        <w:rPr>
          <w:color w:val="0000FF"/>
          <w:u w:val="single" w:color="0000FF"/>
        </w:rPr>
        <w:t>A</w:t>
      </w:r>
      <w:r>
        <w:rPr>
          <w:color w:val="0000FF"/>
        </w:rPr>
        <w:t xml:space="preserve"> </w:t>
      </w:r>
      <w:r>
        <w:t>with an increase in risk exposure of foods presented in medicinal forms containing active ingredients that are not subject to the appropriate manufacturing controls to ensure batch consistency. The risks include batch-to-batch variation, for which the food regulatory framework does not have sample testing requirements, meaning products can be under or over-dosed.</w:t>
      </w:r>
    </w:p>
    <w:p w:rsidR="007D76BB" w:rsidRDefault="00D70D28">
      <w:pPr>
        <w:pStyle w:val="BodyText"/>
        <w:spacing w:before="120"/>
        <w:ind w:left="198"/>
      </w:pPr>
      <w:r>
        <w:t xml:space="preserve">Table 24 </w:t>
      </w:r>
      <w:proofErr w:type="spellStart"/>
      <w:r>
        <w:t>summarises</w:t>
      </w:r>
      <w:proofErr w:type="spellEnd"/>
      <w:r>
        <w:t xml:space="preserve"> the impacts on stakeholders of the implementation of Option 3.</w:t>
      </w:r>
    </w:p>
    <w:p w:rsidR="007D76BB" w:rsidRDefault="00D70D28">
      <w:pPr>
        <w:pStyle w:val="Heading7"/>
        <w:spacing w:before="181"/>
        <w:ind w:left="197"/>
      </w:pPr>
      <w:r>
        <w:t>Table 24: Summary of impacts on stakeholders from implementation of Option 3</w:t>
      </w:r>
    </w:p>
    <w:p w:rsidR="007D76BB" w:rsidRDefault="007D76BB">
      <w:pPr>
        <w:pStyle w:val="BodyText"/>
        <w:spacing w:before="3"/>
        <w:rPr>
          <w:b/>
          <w:sz w:val="15"/>
        </w:rPr>
      </w:pPr>
    </w:p>
    <w:tbl>
      <w:tblPr>
        <w:tblW w:w="0" w:type="auto"/>
        <w:tblInd w:w="218" w:type="dxa"/>
        <w:tblBorders>
          <w:top w:val="single" w:sz="8" w:space="0" w:color="002C46"/>
          <w:left w:val="single" w:sz="8" w:space="0" w:color="002C46"/>
          <w:bottom w:val="single" w:sz="8" w:space="0" w:color="002C46"/>
          <w:right w:val="single" w:sz="8" w:space="0" w:color="002C46"/>
          <w:insideH w:val="single" w:sz="8" w:space="0" w:color="002C46"/>
          <w:insideV w:val="single" w:sz="8" w:space="0" w:color="002C46"/>
        </w:tblBorders>
        <w:tblLayout w:type="fixed"/>
        <w:tblCellMar>
          <w:left w:w="0" w:type="dxa"/>
          <w:right w:w="0" w:type="dxa"/>
        </w:tblCellMar>
        <w:tblLook w:val="01E0" w:firstRow="1" w:lastRow="1" w:firstColumn="1" w:lastColumn="1" w:noHBand="0" w:noVBand="0"/>
      </w:tblPr>
      <w:tblGrid>
        <w:gridCol w:w="1718"/>
        <w:gridCol w:w="3660"/>
        <w:gridCol w:w="3672"/>
      </w:tblGrid>
      <w:tr w:rsidR="007D76BB">
        <w:trPr>
          <w:trHeight w:val="611"/>
        </w:trPr>
        <w:tc>
          <w:tcPr>
            <w:tcW w:w="1718" w:type="dxa"/>
            <w:tcBorders>
              <w:right w:val="nil"/>
            </w:tcBorders>
            <w:shd w:val="clear" w:color="auto" w:fill="006CA7"/>
          </w:tcPr>
          <w:p w:rsidR="007D76BB" w:rsidRDefault="00D70D28">
            <w:pPr>
              <w:pStyle w:val="TableParagraph"/>
              <w:spacing w:before="120"/>
              <w:ind w:left="107"/>
              <w:rPr>
                <w:rFonts w:ascii="Arial Black"/>
              </w:rPr>
            </w:pPr>
            <w:r>
              <w:rPr>
                <w:rFonts w:ascii="Arial Black"/>
                <w:color w:val="FFFFFF"/>
              </w:rPr>
              <w:t>Stakeholder</w:t>
            </w:r>
          </w:p>
        </w:tc>
        <w:tc>
          <w:tcPr>
            <w:tcW w:w="3660" w:type="dxa"/>
            <w:tcBorders>
              <w:left w:val="nil"/>
              <w:right w:val="nil"/>
            </w:tcBorders>
            <w:shd w:val="clear" w:color="auto" w:fill="006CA7"/>
          </w:tcPr>
          <w:p w:rsidR="007D76BB" w:rsidRDefault="00D70D28">
            <w:pPr>
              <w:pStyle w:val="TableParagraph"/>
              <w:spacing w:before="120"/>
              <w:ind w:left="117"/>
              <w:rPr>
                <w:rFonts w:ascii="Arial Black"/>
              </w:rPr>
            </w:pPr>
            <w:r>
              <w:rPr>
                <w:rFonts w:ascii="Arial Black"/>
                <w:color w:val="FFFFFF"/>
              </w:rPr>
              <w:t>Benefits</w:t>
            </w:r>
          </w:p>
        </w:tc>
        <w:tc>
          <w:tcPr>
            <w:tcW w:w="3672" w:type="dxa"/>
            <w:tcBorders>
              <w:left w:val="nil"/>
            </w:tcBorders>
            <w:shd w:val="clear" w:color="auto" w:fill="006CA7"/>
          </w:tcPr>
          <w:p w:rsidR="007D76BB" w:rsidRDefault="00D70D28">
            <w:pPr>
              <w:pStyle w:val="TableParagraph"/>
              <w:spacing w:before="120"/>
              <w:ind w:left="115"/>
              <w:rPr>
                <w:rFonts w:ascii="Arial Black"/>
              </w:rPr>
            </w:pPr>
            <w:r>
              <w:rPr>
                <w:rFonts w:ascii="Arial Black"/>
                <w:color w:val="FFFFFF"/>
              </w:rPr>
              <w:t>Negatives</w:t>
            </w:r>
          </w:p>
        </w:tc>
      </w:tr>
      <w:tr w:rsidR="007D76BB">
        <w:trPr>
          <w:trHeight w:val="2286"/>
        </w:trPr>
        <w:tc>
          <w:tcPr>
            <w:tcW w:w="1718" w:type="dxa"/>
          </w:tcPr>
          <w:p w:rsidR="007D76BB" w:rsidRDefault="00D70D28">
            <w:pPr>
              <w:pStyle w:val="TableParagraph"/>
              <w:spacing w:before="119"/>
              <w:ind w:left="107" w:right="68"/>
              <w:rPr>
                <w:b/>
              </w:rPr>
            </w:pPr>
            <w:r>
              <w:rPr>
                <w:b/>
              </w:rPr>
              <w:lastRenderedPageBreak/>
              <w:t>Australian manufacturers</w:t>
            </w:r>
          </w:p>
        </w:tc>
        <w:tc>
          <w:tcPr>
            <w:tcW w:w="3660" w:type="dxa"/>
          </w:tcPr>
          <w:p w:rsidR="007D76BB" w:rsidRDefault="00D70D28">
            <w:pPr>
              <w:pStyle w:val="TableParagraph"/>
              <w:numPr>
                <w:ilvl w:val="0"/>
                <w:numId w:val="26"/>
              </w:numPr>
              <w:tabs>
                <w:tab w:val="left" w:pos="467"/>
                <w:tab w:val="left" w:pos="468"/>
              </w:tabs>
              <w:spacing w:before="119"/>
              <w:ind w:left="467" w:right="192"/>
            </w:pPr>
            <w:r>
              <w:t>Clarity of legislation will reduce inadvertent</w:t>
            </w:r>
            <w:r>
              <w:rPr>
                <w:spacing w:val="-2"/>
              </w:rPr>
              <w:t xml:space="preserve"> </w:t>
            </w:r>
            <w:r>
              <w:t>non-compliance.</w:t>
            </w:r>
          </w:p>
          <w:p w:rsidR="007D76BB" w:rsidRDefault="00D70D28">
            <w:pPr>
              <w:pStyle w:val="TableParagraph"/>
              <w:numPr>
                <w:ilvl w:val="0"/>
                <w:numId w:val="26"/>
              </w:numPr>
              <w:tabs>
                <w:tab w:val="left" w:pos="468"/>
                <w:tab w:val="left" w:pos="469"/>
              </w:tabs>
              <w:spacing w:before="180"/>
              <w:ind w:right="182"/>
            </w:pPr>
            <w:r>
              <w:t>Increased consumer confidence in safety of Australian</w:t>
            </w:r>
            <w:r>
              <w:rPr>
                <w:spacing w:val="-10"/>
              </w:rPr>
              <w:t xml:space="preserve"> </w:t>
            </w:r>
            <w:r>
              <w:t>products.</w:t>
            </w:r>
          </w:p>
          <w:p w:rsidR="007D76BB" w:rsidRDefault="00D70D28">
            <w:pPr>
              <w:pStyle w:val="TableParagraph"/>
              <w:numPr>
                <w:ilvl w:val="0"/>
                <w:numId w:val="26"/>
              </w:numPr>
              <w:tabs>
                <w:tab w:val="left" w:pos="468"/>
                <w:tab w:val="left" w:pos="469"/>
              </w:tabs>
              <w:spacing w:before="180"/>
              <w:ind w:right="273"/>
            </w:pPr>
            <w:r>
              <w:t>Improved enforcement against non-compliant businesses</w:t>
            </w:r>
            <w:r>
              <w:rPr>
                <w:spacing w:val="-5"/>
              </w:rPr>
              <w:t xml:space="preserve"> </w:t>
            </w:r>
            <w:r>
              <w:t>will</w:t>
            </w:r>
          </w:p>
          <w:p w:rsidR="007D76BB" w:rsidRDefault="00D70D28">
            <w:pPr>
              <w:pStyle w:val="TableParagraph"/>
              <w:spacing w:before="1" w:line="239" w:lineRule="exact"/>
              <w:ind w:left="467"/>
            </w:pPr>
            <w:r>
              <w:t>support others that work to</w:t>
            </w:r>
          </w:p>
        </w:tc>
        <w:tc>
          <w:tcPr>
            <w:tcW w:w="3672" w:type="dxa"/>
          </w:tcPr>
          <w:p w:rsidR="007D76BB" w:rsidRDefault="00D70D28">
            <w:pPr>
              <w:pStyle w:val="TableParagraph"/>
              <w:numPr>
                <w:ilvl w:val="0"/>
                <w:numId w:val="25"/>
              </w:numPr>
              <w:tabs>
                <w:tab w:val="left" w:pos="465"/>
                <w:tab w:val="left" w:pos="466"/>
              </w:tabs>
              <w:spacing w:before="119"/>
              <w:ind w:right="314" w:hanging="360"/>
            </w:pPr>
            <w:r>
              <w:t>Affected products will require reformulation (~85 products), entry in the ARTG (~40 products) or withdrawal from market (~54</w:t>
            </w:r>
            <w:r>
              <w:rPr>
                <w:spacing w:val="-2"/>
              </w:rPr>
              <w:t xml:space="preserve"> </w:t>
            </w:r>
            <w:r>
              <w:t>products</w:t>
            </w:r>
            <w:proofErr w:type="gramStart"/>
            <w:r>
              <w:t>)</w:t>
            </w:r>
            <w:proofErr w:type="gramEnd"/>
            <w:r w:rsidR="00A51832">
              <w:fldChar w:fldCharType="begin"/>
            </w:r>
            <w:r w:rsidR="00A51832">
              <w:instrText xml:space="preserve"> HYPERLINK \l "_bookmark56" </w:instrText>
            </w:r>
            <w:r w:rsidR="00A51832">
              <w:fldChar w:fldCharType="separate"/>
            </w:r>
            <w:r>
              <w:rPr>
                <w:position w:val="5"/>
                <w:sz w:val="14"/>
              </w:rPr>
              <w:t>13</w:t>
            </w:r>
            <w:r w:rsidR="00A51832">
              <w:rPr>
                <w:position w:val="5"/>
                <w:sz w:val="14"/>
              </w:rPr>
              <w:fldChar w:fldCharType="end"/>
            </w:r>
            <w:r>
              <w:t>.</w:t>
            </w:r>
          </w:p>
          <w:p w:rsidR="007D76BB" w:rsidRDefault="00D70D28">
            <w:pPr>
              <w:pStyle w:val="TableParagraph"/>
              <w:numPr>
                <w:ilvl w:val="0"/>
                <w:numId w:val="25"/>
              </w:numPr>
              <w:tabs>
                <w:tab w:val="left" w:pos="465"/>
                <w:tab w:val="left" w:pos="466"/>
              </w:tabs>
              <w:spacing w:before="179"/>
            </w:pPr>
            <w:r>
              <w:t>Potential loss of</w:t>
            </w:r>
            <w:r>
              <w:rPr>
                <w:spacing w:val="-3"/>
              </w:rPr>
              <w:t xml:space="preserve"> </w:t>
            </w:r>
            <w:r>
              <w:t>revenue.</w:t>
            </w:r>
          </w:p>
        </w:tc>
      </w:tr>
    </w:tbl>
    <w:p w:rsidR="007D76BB" w:rsidRDefault="007D76BB">
      <w:pPr>
        <w:pStyle w:val="BodyText"/>
        <w:rPr>
          <w:b/>
          <w:sz w:val="20"/>
        </w:rPr>
      </w:pPr>
    </w:p>
    <w:p w:rsidR="007D76BB" w:rsidRDefault="00D70D28">
      <w:pPr>
        <w:pStyle w:val="BodyText"/>
        <w:rPr>
          <w:b/>
          <w:sz w:val="28"/>
        </w:rPr>
      </w:pPr>
      <w:r>
        <w:rPr>
          <w:noProof/>
          <w:lang w:val="en-AU" w:eastAsia="en-AU"/>
        </w:rPr>
        <mc:AlternateContent>
          <mc:Choice Requires="wps">
            <w:drawing>
              <wp:anchor distT="0" distB="0" distL="0" distR="0" simplePos="0" relativeHeight="251679744" behindDoc="1" locked="0" layoutInCell="1" allowOverlap="1">
                <wp:simplePos x="0" y="0"/>
                <wp:positionH relativeFrom="page">
                  <wp:posOffset>900430</wp:posOffset>
                </wp:positionH>
                <wp:positionV relativeFrom="paragraph">
                  <wp:posOffset>237490</wp:posOffset>
                </wp:positionV>
                <wp:extent cx="1828800" cy="1270"/>
                <wp:effectExtent l="0" t="0" r="0" b="0"/>
                <wp:wrapTopAndBottom/>
                <wp:docPr id="413"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BAD10" id="Freeform 269" o:spid="_x0000_s1026" style="position:absolute;margin-left:70.9pt;margin-top:18.7pt;width:2in;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" path="m,l2880,e" filled="f" strokeweight=".6pt">
                <v:path arrowok="t" o:connecttype="custom" o:connectlocs="0,0;1828800,0" o:connectangles="0,0"/>
                <w10:wrap type="topAndBottom" anchorx="page"/>
              </v:shape>
            </w:pict>
          </mc:Fallback>
        </mc:AlternateContent>
      </w:r>
    </w:p>
    <w:p w:rsidR="007D76BB" w:rsidRDefault="00D70D28">
      <w:pPr>
        <w:spacing w:before="71"/>
        <w:ind w:left="198"/>
        <w:rPr>
          <w:sz w:val="20"/>
        </w:rPr>
      </w:pPr>
      <w:bookmarkStart w:id="121" w:name="_bookmark56"/>
      <w:bookmarkEnd w:id="121"/>
      <w:r>
        <w:rPr>
          <w:position w:val="5"/>
          <w:sz w:val="13"/>
        </w:rPr>
        <w:t xml:space="preserve">13 </w:t>
      </w:r>
      <w:r>
        <w:rPr>
          <w:sz w:val="20"/>
        </w:rPr>
        <w:t>Product total from Tables 18 and 19</w:t>
      </w:r>
    </w:p>
    <w:p w:rsidR="007D76BB" w:rsidRDefault="007D76BB">
      <w:pPr>
        <w:rPr>
          <w:sz w:val="20"/>
        </w:rPr>
        <w:sectPr w:rsidR="007D76BB">
          <w:pgSz w:w="11910" w:h="16840"/>
          <w:pgMar w:top="840" w:right="820" w:bottom="1360" w:left="1220" w:header="572" w:footer="1178" w:gutter="0"/>
          <w:cols w:space="720"/>
        </w:sectPr>
      </w:pPr>
    </w:p>
    <w:p w:rsidR="007D76BB" w:rsidRDefault="007D76BB">
      <w:pPr>
        <w:pStyle w:val="BodyText"/>
        <w:spacing w:before="9"/>
        <w:rPr>
          <w:sz w:val="24"/>
        </w:rPr>
      </w:pPr>
    </w:p>
    <w:tbl>
      <w:tblPr>
        <w:tblW w:w="0" w:type="auto"/>
        <w:tblInd w:w="218" w:type="dxa"/>
        <w:tblBorders>
          <w:top w:val="single" w:sz="8" w:space="0" w:color="002C46"/>
          <w:left w:val="single" w:sz="8" w:space="0" w:color="002C46"/>
          <w:bottom w:val="single" w:sz="8" w:space="0" w:color="002C46"/>
          <w:right w:val="single" w:sz="8" w:space="0" w:color="002C46"/>
          <w:insideH w:val="single" w:sz="8" w:space="0" w:color="002C46"/>
          <w:insideV w:val="single" w:sz="8" w:space="0" w:color="002C46"/>
        </w:tblBorders>
        <w:tblLayout w:type="fixed"/>
        <w:tblCellMar>
          <w:left w:w="0" w:type="dxa"/>
          <w:right w:w="0" w:type="dxa"/>
        </w:tblCellMar>
        <w:tblLook w:val="01E0" w:firstRow="1" w:lastRow="1" w:firstColumn="1" w:lastColumn="1" w:noHBand="0" w:noVBand="0"/>
      </w:tblPr>
      <w:tblGrid>
        <w:gridCol w:w="1718"/>
        <w:gridCol w:w="3660"/>
        <w:gridCol w:w="3672"/>
      </w:tblGrid>
      <w:tr w:rsidR="007D76BB">
        <w:trPr>
          <w:trHeight w:val="611"/>
        </w:trPr>
        <w:tc>
          <w:tcPr>
            <w:tcW w:w="1718" w:type="dxa"/>
            <w:tcBorders>
              <w:right w:val="nil"/>
            </w:tcBorders>
            <w:shd w:val="clear" w:color="auto" w:fill="006CA7"/>
          </w:tcPr>
          <w:p w:rsidR="007D76BB" w:rsidRDefault="00D70D28">
            <w:pPr>
              <w:pStyle w:val="TableParagraph"/>
              <w:spacing w:before="122"/>
              <w:ind w:left="107"/>
              <w:rPr>
                <w:rFonts w:ascii="Arial Black"/>
              </w:rPr>
            </w:pPr>
            <w:r>
              <w:rPr>
                <w:rFonts w:ascii="Arial Black"/>
                <w:color w:val="FFFFFF"/>
              </w:rPr>
              <w:t>Stakeholder</w:t>
            </w:r>
          </w:p>
        </w:tc>
        <w:tc>
          <w:tcPr>
            <w:tcW w:w="3660" w:type="dxa"/>
            <w:tcBorders>
              <w:left w:val="nil"/>
              <w:right w:val="nil"/>
            </w:tcBorders>
            <w:shd w:val="clear" w:color="auto" w:fill="006CA7"/>
          </w:tcPr>
          <w:p w:rsidR="007D76BB" w:rsidRDefault="00D70D28">
            <w:pPr>
              <w:pStyle w:val="TableParagraph"/>
              <w:spacing w:before="122"/>
              <w:ind w:left="117"/>
              <w:rPr>
                <w:rFonts w:ascii="Arial Black"/>
              </w:rPr>
            </w:pPr>
            <w:r>
              <w:rPr>
                <w:rFonts w:ascii="Arial Black"/>
                <w:color w:val="FFFFFF"/>
              </w:rPr>
              <w:t>Benefits</w:t>
            </w:r>
          </w:p>
        </w:tc>
        <w:tc>
          <w:tcPr>
            <w:tcW w:w="3672" w:type="dxa"/>
            <w:tcBorders>
              <w:left w:val="nil"/>
            </w:tcBorders>
            <w:shd w:val="clear" w:color="auto" w:fill="006CA7"/>
          </w:tcPr>
          <w:p w:rsidR="007D76BB" w:rsidRDefault="00D70D28">
            <w:pPr>
              <w:pStyle w:val="TableParagraph"/>
              <w:spacing w:before="122"/>
              <w:ind w:left="115"/>
              <w:rPr>
                <w:rFonts w:ascii="Arial Black"/>
              </w:rPr>
            </w:pPr>
            <w:r>
              <w:rPr>
                <w:rFonts w:ascii="Arial Black"/>
                <w:color w:val="FFFFFF"/>
              </w:rPr>
              <w:t>Negatives</w:t>
            </w:r>
          </w:p>
        </w:tc>
      </w:tr>
      <w:tr w:rsidR="007D76BB">
        <w:trPr>
          <w:trHeight w:val="1650"/>
        </w:trPr>
        <w:tc>
          <w:tcPr>
            <w:tcW w:w="1718" w:type="dxa"/>
          </w:tcPr>
          <w:p w:rsidR="007D76BB" w:rsidRDefault="007D76BB">
            <w:pPr>
              <w:pStyle w:val="TableParagraph"/>
              <w:rPr>
                <w:rFonts w:ascii="Times New Roman"/>
                <w:sz w:val="20"/>
              </w:rPr>
            </w:pPr>
          </w:p>
        </w:tc>
        <w:tc>
          <w:tcPr>
            <w:tcW w:w="3660" w:type="dxa"/>
          </w:tcPr>
          <w:p w:rsidR="007D76BB" w:rsidRDefault="00D70D28">
            <w:pPr>
              <w:pStyle w:val="TableParagraph"/>
              <w:ind w:left="467" w:right="452"/>
            </w:pPr>
            <w:proofErr w:type="gramStart"/>
            <w:r>
              <w:t>understand</w:t>
            </w:r>
            <w:proofErr w:type="gramEnd"/>
            <w:r>
              <w:t xml:space="preserve"> and comply with their regulatory obligations.</w:t>
            </w:r>
          </w:p>
          <w:p w:rsidR="007D76BB" w:rsidRDefault="00D70D28">
            <w:pPr>
              <w:pStyle w:val="TableParagraph"/>
              <w:numPr>
                <w:ilvl w:val="0"/>
                <w:numId w:val="24"/>
              </w:numPr>
              <w:tabs>
                <w:tab w:val="left" w:pos="468"/>
                <w:tab w:val="left" w:pos="469"/>
              </w:tabs>
              <w:spacing w:before="179"/>
              <w:ind w:right="96"/>
            </w:pPr>
            <w:r>
              <w:t>Will be able to continue marketing sports supplement foods in medicinal dosage</w:t>
            </w:r>
            <w:r>
              <w:rPr>
                <w:spacing w:val="-10"/>
              </w:rPr>
              <w:t xml:space="preserve"> </w:t>
            </w:r>
            <w:r>
              <w:t>forms.</w:t>
            </w:r>
          </w:p>
        </w:tc>
        <w:tc>
          <w:tcPr>
            <w:tcW w:w="3672" w:type="dxa"/>
          </w:tcPr>
          <w:p w:rsidR="007D76BB" w:rsidRDefault="00D70D28">
            <w:pPr>
              <w:pStyle w:val="TableParagraph"/>
              <w:numPr>
                <w:ilvl w:val="0"/>
                <w:numId w:val="23"/>
              </w:numPr>
              <w:tabs>
                <w:tab w:val="left" w:pos="465"/>
                <w:tab w:val="left" w:pos="466"/>
              </w:tabs>
              <w:ind w:right="314"/>
            </w:pPr>
            <w:r>
              <w:t>Increased regulatory burden if transitioning from food to therapeutic good</w:t>
            </w:r>
            <w:r>
              <w:rPr>
                <w:spacing w:val="-2"/>
              </w:rPr>
              <w:t xml:space="preserve"> </w:t>
            </w:r>
            <w:r>
              <w:t>GMP.</w:t>
            </w:r>
          </w:p>
        </w:tc>
      </w:tr>
      <w:tr w:rsidR="007D76BB">
        <w:trPr>
          <w:trHeight w:val="1768"/>
        </w:trPr>
        <w:tc>
          <w:tcPr>
            <w:tcW w:w="1718" w:type="dxa"/>
          </w:tcPr>
          <w:p w:rsidR="007D76BB" w:rsidRDefault="00D70D28">
            <w:pPr>
              <w:pStyle w:val="TableParagraph"/>
              <w:spacing w:before="119"/>
              <w:ind w:left="107" w:right="68"/>
              <w:rPr>
                <w:b/>
              </w:rPr>
            </w:pPr>
            <w:r>
              <w:rPr>
                <w:b/>
              </w:rPr>
              <w:t>Overseas manufacturers</w:t>
            </w:r>
          </w:p>
        </w:tc>
        <w:tc>
          <w:tcPr>
            <w:tcW w:w="3660" w:type="dxa"/>
          </w:tcPr>
          <w:p w:rsidR="007D76BB" w:rsidRDefault="00D70D28">
            <w:pPr>
              <w:pStyle w:val="TableParagraph"/>
              <w:numPr>
                <w:ilvl w:val="0"/>
                <w:numId w:val="22"/>
              </w:numPr>
              <w:tabs>
                <w:tab w:val="left" w:pos="467"/>
                <w:tab w:val="left" w:pos="468"/>
              </w:tabs>
              <w:spacing w:before="119"/>
              <w:ind w:left="467" w:right="193"/>
            </w:pPr>
            <w:r>
              <w:t>Clarity of legislation will reduce inadvertent</w:t>
            </w:r>
            <w:r>
              <w:rPr>
                <w:spacing w:val="-2"/>
              </w:rPr>
              <w:t xml:space="preserve"> </w:t>
            </w:r>
            <w:r>
              <w:t>non-compliance.</w:t>
            </w:r>
          </w:p>
          <w:p w:rsidR="007D76BB" w:rsidRDefault="00D70D28">
            <w:pPr>
              <w:pStyle w:val="TableParagraph"/>
              <w:numPr>
                <w:ilvl w:val="0"/>
                <w:numId w:val="22"/>
              </w:numPr>
              <w:tabs>
                <w:tab w:val="left" w:pos="468"/>
                <w:tab w:val="left" w:pos="469"/>
              </w:tabs>
              <w:spacing w:before="180"/>
              <w:ind w:right="237"/>
            </w:pPr>
            <w:r>
              <w:t>Will be able to continue marketing sports supplements food in medicinal dosage</w:t>
            </w:r>
            <w:r>
              <w:rPr>
                <w:spacing w:val="-9"/>
              </w:rPr>
              <w:t xml:space="preserve"> </w:t>
            </w:r>
            <w:r>
              <w:t>forms</w:t>
            </w:r>
          </w:p>
        </w:tc>
        <w:tc>
          <w:tcPr>
            <w:tcW w:w="3672" w:type="dxa"/>
          </w:tcPr>
          <w:p w:rsidR="007D76BB" w:rsidRDefault="00D70D28">
            <w:pPr>
              <w:pStyle w:val="TableParagraph"/>
              <w:numPr>
                <w:ilvl w:val="0"/>
                <w:numId w:val="21"/>
              </w:numPr>
              <w:tabs>
                <w:tab w:val="left" w:pos="465"/>
                <w:tab w:val="left" w:pos="466"/>
              </w:tabs>
              <w:spacing w:before="119"/>
              <w:ind w:right="121"/>
            </w:pPr>
            <w:r>
              <w:t>Products determined to be therapeutic goods may be seized at the Australian</w:t>
            </w:r>
            <w:r>
              <w:rPr>
                <w:spacing w:val="-5"/>
              </w:rPr>
              <w:t xml:space="preserve"> </w:t>
            </w:r>
            <w:r>
              <w:t>border.</w:t>
            </w:r>
          </w:p>
          <w:p w:rsidR="007D76BB" w:rsidRDefault="00D70D28">
            <w:pPr>
              <w:pStyle w:val="TableParagraph"/>
              <w:numPr>
                <w:ilvl w:val="0"/>
                <w:numId w:val="21"/>
              </w:numPr>
              <w:tabs>
                <w:tab w:val="left" w:pos="466"/>
                <w:tab w:val="left" w:pos="467"/>
              </w:tabs>
              <w:spacing w:before="179"/>
              <w:ind w:left="466"/>
            </w:pPr>
            <w:r>
              <w:t>Loss of</w:t>
            </w:r>
            <w:r>
              <w:rPr>
                <w:spacing w:val="-3"/>
              </w:rPr>
              <w:t xml:space="preserve"> </w:t>
            </w:r>
            <w:r>
              <w:t>revenue.</w:t>
            </w:r>
          </w:p>
        </w:tc>
      </w:tr>
      <w:tr w:rsidR="007D76BB">
        <w:trPr>
          <w:trHeight w:val="5922"/>
        </w:trPr>
        <w:tc>
          <w:tcPr>
            <w:tcW w:w="1718" w:type="dxa"/>
          </w:tcPr>
          <w:p w:rsidR="007D76BB" w:rsidRDefault="00D70D28">
            <w:pPr>
              <w:pStyle w:val="TableParagraph"/>
              <w:spacing w:before="121"/>
              <w:ind w:left="107"/>
              <w:rPr>
                <w:b/>
              </w:rPr>
            </w:pPr>
            <w:r>
              <w:rPr>
                <w:b/>
              </w:rPr>
              <w:t>Consumers</w:t>
            </w:r>
          </w:p>
        </w:tc>
        <w:tc>
          <w:tcPr>
            <w:tcW w:w="3660" w:type="dxa"/>
          </w:tcPr>
          <w:p w:rsidR="007D76BB" w:rsidRDefault="00D70D28">
            <w:pPr>
              <w:pStyle w:val="TableParagraph"/>
              <w:numPr>
                <w:ilvl w:val="0"/>
                <w:numId w:val="20"/>
              </w:numPr>
              <w:tabs>
                <w:tab w:val="left" w:pos="467"/>
                <w:tab w:val="left" w:pos="468"/>
              </w:tabs>
              <w:spacing w:before="121"/>
              <w:ind w:left="467" w:right="142"/>
            </w:pPr>
            <w:r>
              <w:t>Reduced exposure to actual and potential risks from sports supplements marketed as</w:t>
            </w:r>
            <w:r>
              <w:rPr>
                <w:spacing w:val="-9"/>
              </w:rPr>
              <w:t xml:space="preserve"> </w:t>
            </w:r>
            <w:r>
              <w:t>foods.</w:t>
            </w:r>
          </w:p>
          <w:p w:rsidR="007D76BB" w:rsidRDefault="00D70D28">
            <w:pPr>
              <w:pStyle w:val="TableParagraph"/>
              <w:numPr>
                <w:ilvl w:val="0"/>
                <w:numId w:val="20"/>
              </w:numPr>
              <w:tabs>
                <w:tab w:val="left" w:pos="468"/>
                <w:tab w:val="left" w:pos="469"/>
              </w:tabs>
              <w:spacing w:before="179"/>
              <w:ind w:right="112"/>
            </w:pPr>
            <w:r>
              <w:t>Increased consumer confidence in the food and medicine regulators to effectively regulate goods that pose a potential risk to the safety of</w:t>
            </w:r>
            <w:r>
              <w:rPr>
                <w:spacing w:val="-7"/>
              </w:rPr>
              <w:t xml:space="preserve"> </w:t>
            </w:r>
            <w:r>
              <w:t>consumers.</w:t>
            </w:r>
          </w:p>
          <w:p w:rsidR="007D76BB" w:rsidRDefault="00D70D28">
            <w:pPr>
              <w:pStyle w:val="TableParagraph"/>
              <w:numPr>
                <w:ilvl w:val="0"/>
                <w:numId w:val="20"/>
              </w:numPr>
              <w:tabs>
                <w:tab w:val="left" w:pos="468"/>
                <w:tab w:val="left" w:pos="469"/>
              </w:tabs>
              <w:spacing w:before="180"/>
              <w:ind w:right="546"/>
            </w:pPr>
            <w:r>
              <w:t>Reduced risk of consuming adulterated products due to improved</w:t>
            </w:r>
            <w:r>
              <w:rPr>
                <w:spacing w:val="-2"/>
              </w:rPr>
              <w:t xml:space="preserve"> </w:t>
            </w:r>
            <w:r>
              <w:t>enforcement.</w:t>
            </w:r>
          </w:p>
          <w:p w:rsidR="007D76BB" w:rsidRDefault="00D70D28">
            <w:pPr>
              <w:pStyle w:val="TableParagraph"/>
              <w:numPr>
                <w:ilvl w:val="0"/>
                <w:numId w:val="20"/>
              </w:numPr>
              <w:tabs>
                <w:tab w:val="left" w:pos="469"/>
              </w:tabs>
              <w:spacing w:before="181"/>
              <w:ind w:right="668"/>
              <w:jc w:val="both"/>
            </w:pPr>
            <w:r>
              <w:t xml:space="preserve">Reduced risk to athletes of inadvertent doping due to </w:t>
            </w:r>
            <w:r>
              <w:rPr>
                <w:spacing w:val="-1"/>
              </w:rPr>
              <w:t xml:space="preserve">contaminated/adulterated </w:t>
            </w:r>
            <w:r>
              <w:t>products.</w:t>
            </w:r>
          </w:p>
          <w:p w:rsidR="007D76BB" w:rsidRDefault="00D70D28">
            <w:pPr>
              <w:pStyle w:val="TableParagraph"/>
              <w:numPr>
                <w:ilvl w:val="0"/>
                <w:numId w:val="20"/>
              </w:numPr>
              <w:tabs>
                <w:tab w:val="left" w:pos="468"/>
                <w:tab w:val="left" w:pos="469"/>
              </w:tabs>
              <w:spacing w:before="180"/>
              <w:ind w:right="96"/>
            </w:pPr>
            <w:r>
              <w:t>Still able to purchase food sports supplements products presented in medicinal dosage forms.</w:t>
            </w:r>
          </w:p>
        </w:tc>
        <w:tc>
          <w:tcPr>
            <w:tcW w:w="3672" w:type="dxa"/>
          </w:tcPr>
          <w:p w:rsidR="007D76BB" w:rsidRDefault="00D70D28">
            <w:pPr>
              <w:pStyle w:val="TableParagraph"/>
              <w:numPr>
                <w:ilvl w:val="0"/>
                <w:numId w:val="19"/>
              </w:numPr>
              <w:tabs>
                <w:tab w:val="left" w:pos="466"/>
                <w:tab w:val="left" w:pos="467"/>
              </w:tabs>
              <w:spacing w:before="121"/>
              <w:ind w:right="296"/>
            </w:pPr>
            <w:r>
              <w:t>Change in the availability, cost, formulation or presentation of the products available to consumers.</w:t>
            </w:r>
          </w:p>
          <w:p w:rsidR="007D76BB" w:rsidRDefault="00D70D28">
            <w:pPr>
              <w:pStyle w:val="TableParagraph"/>
              <w:numPr>
                <w:ilvl w:val="0"/>
                <w:numId w:val="19"/>
              </w:numPr>
              <w:tabs>
                <w:tab w:val="left" w:pos="466"/>
                <w:tab w:val="left" w:pos="467"/>
              </w:tabs>
              <w:spacing w:before="181"/>
              <w:ind w:right="534"/>
            </w:pPr>
            <w:r>
              <w:t>Continued potential risks to consumers from food sports supplements presented in medicinal dosage</w:t>
            </w:r>
            <w:r>
              <w:rPr>
                <w:spacing w:val="-3"/>
              </w:rPr>
              <w:t xml:space="preserve"> </w:t>
            </w:r>
            <w:r>
              <w:t>forms.</w:t>
            </w:r>
          </w:p>
        </w:tc>
      </w:tr>
      <w:tr w:rsidR="007D76BB">
        <w:trPr>
          <w:trHeight w:val="2723"/>
        </w:trPr>
        <w:tc>
          <w:tcPr>
            <w:tcW w:w="1718" w:type="dxa"/>
          </w:tcPr>
          <w:p w:rsidR="007D76BB" w:rsidRDefault="00D70D28">
            <w:pPr>
              <w:pStyle w:val="TableParagraph"/>
              <w:spacing w:before="119"/>
              <w:ind w:left="107"/>
              <w:rPr>
                <w:b/>
              </w:rPr>
            </w:pPr>
            <w:r>
              <w:rPr>
                <w:b/>
              </w:rPr>
              <w:t>Retailers</w:t>
            </w:r>
          </w:p>
        </w:tc>
        <w:tc>
          <w:tcPr>
            <w:tcW w:w="3660" w:type="dxa"/>
          </w:tcPr>
          <w:p w:rsidR="007D76BB" w:rsidRDefault="00D70D28">
            <w:pPr>
              <w:pStyle w:val="TableParagraph"/>
              <w:numPr>
                <w:ilvl w:val="0"/>
                <w:numId w:val="18"/>
              </w:numPr>
              <w:tabs>
                <w:tab w:val="left" w:pos="467"/>
                <w:tab w:val="left" w:pos="468"/>
              </w:tabs>
              <w:spacing w:before="119"/>
              <w:ind w:left="467" w:right="149"/>
            </w:pPr>
            <w:r>
              <w:t>Legal clarity if a product they are selling is a therapeutic</w:t>
            </w:r>
            <w:r>
              <w:rPr>
                <w:spacing w:val="-13"/>
              </w:rPr>
              <w:t xml:space="preserve"> </w:t>
            </w:r>
            <w:r>
              <w:t>good.</w:t>
            </w:r>
          </w:p>
          <w:p w:rsidR="007D76BB" w:rsidRDefault="00D70D28">
            <w:pPr>
              <w:pStyle w:val="TableParagraph"/>
              <w:numPr>
                <w:ilvl w:val="0"/>
                <w:numId w:val="18"/>
              </w:numPr>
              <w:tabs>
                <w:tab w:val="left" w:pos="469"/>
              </w:tabs>
              <w:spacing w:before="180"/>
              <w:ind w:right="323"/>
              <w:jc w:val="both"/>
            </w:pPr>
            <w:r>
              <w:t>Reduced risk of inadvertently retailing adulterated products due to improved</w:t>
            </w:r>
            <w:r>
              <w:rPr>
                <w:spacing w:val="-8"/>
              </w:rPr>
              <w:t xml:space="preserve"> </w:t>
            </w:r>
            <w:r>
              <w:t>enforcement.</w:t>
            </w:r>
          </w:p>
          <w:p w:rsidR="007D76BB" w:rsidRDefault="00D70D28">
            <w:pPr>
              <w:pStyle w:val="TableParagraph"/>
              <w:numPr>
                <w:ilvl w:val="0"/>
                <w:numId w:val="18"/>
              </w:numPr>
              <w:tabs>
                <w:tab w:val="left" w:pos="468"/>
                <w:tab w:val="left" w:pos="469"/>
              </w:tabs>
              <w:spacing w:before="179"/>
              <w:ind w:right="292"/>
            </w:pPr>
            <w:r>
              <w:t>Will be able to continue selling sports supplements food in medicinal dosage</w:t>
            </w:r>
            <w:r>
              <w:rPr>
                <w:spacing w:val="-3"/>
              </w:rPr>
              <w:t xml:space="preserve"> </w:t>
            </w:r>
            <w:r>
              <w:t>forms</w:t>
            </w:r>
          </w:p>
        </w:tc>
        <w:tc>
          <w:tcPr>
            <w:tcW w:w="3672" w:type="dxa"/>
          </w:tcPr>
          <w:p w:rsidR="007D76BB" w:rsidRDefault="00D70D28">
            <w:pPr>
              <w:pStyle w:val="TableParagraph"/>
              <w:numPr>
                <w:ilvl w:val="0"/>
                <w:numId w:val="17"/>
              </w:numPr>
              <w:tabs>
                <w:tab w:val="left" w:pos="465"/>
                <w:tab w:val="left" w:pos="466"/>
              </w:tabs>
              <w:spacing w:before="119"/>
              <w:ind w:right="227" w:hanging="360"/>
            </w:pPr>
            <w:r>
              <w:t>Change in the availability, cost, formulation or presentation of the products available for retail sale.</w:t>
            </w:r>
          </w:p>
          <w:p w:rsidR="007D76BB" w:rsidRDefault="00D70D28">
            <w:pPr>
              <w:pStyle w:val="TableParagraph"/>
              <w:numPr>
                <w:ilvl w:val="0"/>
                <w:numId w:val="17"/>
              </w:numPr>
              <w:tabs>
                <w:tab w:val="left" w:pos="465"/>
                <w:tab w:val="left" w:pos="466"/>
              </w:tabs>
              <w:spacing w:before="180"/>
            </w:pPr>
            <w:r>
              <w:t>Loss of</w:t>
            </w:r>
            <w:r>
              <w:rPr>
                <w:spacing w:val="-3"/>
              </w:rPr>
              <w:t xml:space="preserve"> </w:t>
            </w:r>
            <w:r>
              <w:t>revenue.</w:t>
            </w:r>
          </w:p>
        </w:tc>
      </w:tr>
      <w:tr w:rsidR="007D76BB">
        <w:trPr>
          <w:trHeight w:val="1331"/>
        </w:trPr>
        <w:tc>
          <w:tcPr>
            <w:tcW w:w="1718" w:type="dxa"/>
          </w:tcPr>
          <w:p w:rsidR="007D76BB" w:rsidRDefault="00D70D28">
            <w:pPr>
              <w:pStyle w:val="TableParagraph"/>
              <w:spacing w:before="119"/>
              <w:ind w:left="107" w:right="309"/>
              <w:rPr>
                <w:b/>
              </w:rPr>
            </w:pPr>
            <w:r>
              <w:rPr>
                <w:b/>
              </w:rPr>
              <w:t>Australian Government</w:t>
            </w:r>
          </w:p>
        </w:tc>
        <w:tc>
          <w:tcPr>
            <w:tcW w:w="3660" w:type="dxa"/>
          </w:tcPr>
          <w:p w:rsidR="007D76BB" w:rsidRDefault="00D70D28">
            <w:pPr>
              <w:pStyle w:val="TableParagraph"/>
              <w:numPr>
                <w:ilvl w:val="0"/>
                <w:numId w:val="16"/>
              </w:numPr>
              <w:tabs>
                <w:tab w:val="left" w:pos="468"/>
                <w:tab w:val="left" w:pos="469"/>
              </w:tabs>
              <w:spacing w:before="119"/>
              <w:ind w:right="138"/>
            </w:pPr>
            <w:r>
              <w:t>Reduced waste of Government resources and taxpayer’s money in pursuing legal proceedings against high-risk</w:t>
            </w:r>
            <w:r>
              <w:rPr>
                <w:spacing w:val="-4"/>
              </w:rPr>
              <w:t xml:space="preserve"> </w:t>
            </w:r>
            <w:r>
              <w:t>products.</w:t>
            </w:r>
          </w:p>
        </w:tc>
        <w:tc>
          <w:tcPr>
            <w:tcW w:w="3672" w:type="dxa"/>
          </w:tcPr>
          <w:p w:rsidR="007D76BB" w:rsidRDefault="00D70D28">
            <w:pPr>
              <w:pStyle w:val="TableParagraph"/>
              <w:numPr>
                <w:ilvl w:val="0"/>
                <w:numId w:val="15"/>
              </w:numPr>
              <w:tabs>
                <w:tab w:val="left" w:pos="465"/>
                <w:tab w:val="left" w:pos="466"/>
              </w:tabs>
              <w:spacing w:before="119"/>
              <w:ind w:right="254"/>
            </w:pPr>
            <w:r>
              <w:t>Potential detrimental effect to the Australian economy arising from potential job losses</w:t>
            </w:r>
            <w:r>
              <w:rPr>
                <w:spacing w:val="-9"/>
              </w:rPr>
              <w:t xml:space="preserve"> </w:t>
            </w:r>
            <w:r>
              <w:t>from</w:t>
            </w:r>
          </w:p>
        </w:tc>
      </w:tr>
    </w:tbl>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9"/>
        <w:rPr>
          <w:sz w:val="24"/>
        </w:rPr>
      </w:pPr>
    </w:p>
    <w:tbl>
      <w:tblPr>
        <w:tblW w:w="0" w:type="auto"/>
        <w:tblInd w:w="218" w:type="dxa"/>
        <w:tblBorders>
          <w:top w:val="single" w:sz="8" w:space="0" w:color="002C46"/>
          <w:left w:val="single" w:sz="8" w:space="0" w:color="002C46"/>
          <w:bottom w:val="single" w:sz="8" w:space="0" w:color="002C46"/>
          <w:right w:val="single" w:sz="8" w:space="0" w:color="002C46"/>
          <w:insideH w:val="single" w:sz="8" w:space="0" w:color="002C46"/>
          <w:insideV w:val="single" w:sz="8" w:space="0" w:color="002C46"/>
        </w:tblBorders>
        <w:tblLayout w:type="fixed"/>
        <w:tblCellMar>
          <w:left w:w="0" w:type="dxa"/>
          <w:right w:w="0" w:type="dxa"/>
        </w:tblCellMar>
        <w:tblLook w:val="01E0" w:firstRow="1" w:lastRow="1" w:firstColumn="1" w:lastColumn="1" w:noHBand="0" w:noVBand="0"/>
      </w:tblPr>
      <w:tblGrid>
        <w:gridCol w:w="1718"/>
        <w:gridCol w:w="3660"/>
        <w:gridCol w:w="3672"/>
      </w:tblGrid>
      <w:tr w:rsidR="007D76BB">
        <w:trPr>
          <w:trHeight w:val="611"/>
        </w:trPr>
        <w:tc>
          <w:tcPr>
            <w:tcW w:w="1718" w:type="dxa"/>
            <w:tcBorders>
              <w:right w:val="nil"/>
            </w:tcBorders>
            <w:shd w:val="clear" w:color="auto" w:fill="006CA7"/>
          </w:tcPr>
          <w:p w:rsidR="007D76BB" w:rsidRDefault="00D70D28">
            <w:pPr>
              <w:pStyle w:val="TableParagraph"/>
              <w:spacing w:before="122"/>
              <w:ind w:left="107"/>
              <w:rPr>
                <w:rFonts w:ascii="Arial Black"/>
              </w:rPr>
            </w:pPr>
            <w:r>
              <w:rPr>
                <w:rFonts w:ascii="Arial Black"/>
                <w:color w:val="FFFFFF"/>
              </w:rPr>
              <w:t>Stakeholder</w:t>
            </w:r>
          </w:p>
        </w:tc>
        <w:tc>
          <w:tcPr>
            <w:tcW w:w="3660" w:type="dxa"/>
            <w:tcBorders>
              <w:left w:val="nil"/>
              <w:right w:val="nil"/>
            </w:tcBorders>
            <w:shd w:val="clear" w:color="auto" w:fill="006CA7"/>
          </w:tcPr>
          <w:p w:rsidR="007D76BB" w:rsidRDefault="00D70D28">
            <w:pPr>
              <w:pStyle w:val="TableParagraph"/>
              <w:spacing w:before="122"/>
              <w:ind w:left="117"/>
              <w:rPr>
                <w:rFonts w:ascii="Arial Black"/>
              </w:rPr>
            </w:pPr>
            <w:r>
              <w:rPr>
                <w:rFonts w:ascii="Arial Black"/>
                <w:color w:val="FFFFFF"/>
              </w:rPr>
              <w:t>Benefits</w:t>
            </w:r>
          </w:p>
        </w:tc>
        <w:tc>
          <w:tcPr>
            <w:tcW w:w="3672" w:type="dxa"/>
            <w:tcBorders>
              <w:left w:val="nil"/>
            </w:tcBorders>
            <w:shd w:val="clear" w:color="auto" w:fill="006CA7"/>
          </w:tcPr>
          <w:p w:rsidR="007D76BB" w:rsidRDefault="00D70D28">
            <w:pPr>
              <w:pStyle w:val="TableParagraph"/>
              <w:spacing w:before="122"/>
              <w:ind w:left="115"/>
              <w:rPr>
                <w:rFonts w:ascii="Arial Black"/>
              </w:rPr>
            </w:pPr>
            <w:r>
              <w:rPr>
                <w:rFonts w:ascii="Arial Black"/>
                <w:color w:val="FFFFFF"/>
              </w:rPr>
              <w:t>Negatives</w:t>
            </w:r>
          </w:p>
        </w:tc>
      </w:tr>
      <w:tr w:rsidR="007D76BB">
        <w:trPr>
          <w:trHeight w:val="2603"/>
        </w:trPr>
        <w:tc>
          <w:tcPr>
            <w:tcW w:w="1718" w:type="dxa"/>
          </w:tcPr>
          <w:p w:rsidR="007D76BB" w:rsidRDefault="007D76BB">
            <w:pPr>
              <w:pStyle w:val="TableParagraph"/>
              <w:rPr>
                <w:rFonts w:ascii="Times New Roman"/>
              </w:rPr>
            </w:pPr>
          </w:p>
        </w:tc>
        <w:tc>
          <w:tcPr>
            <w:tcW w:w="3660" w:type="dxa"/>
          </w:tcPr>
          <w:p w:rsidR="007D76BB" w:rsidRDefault="00D70D28">
            <w:pPr>
              <w:pStyle w:val="TableParagraph"/>
              <w:numPr>
                <w:ilvl w:val="0"/>
                <w:numId w:val="14"/>
              </w:numPr>
              <w:tabs>
                <w:tab w:val="left" w:pos="467"/>
                <w:tab w:val="left" w:pos="468"/>
              </w:tabs>
              <w:ind w:left="467" w:right="444"/>
            </w:pPr>
            <w:r>
              <w:t>Reduced actual and potential risks to the Australian public from certain sports food supplements.</w:t>
            </w:r>
          </w:p>
          <w:p w:rsidR="007D76BB" w:rsidRDefault="00D70D28">
            <w:pPr>
              <w:pStyle w:val="TableParagraph"/>
              <w:numPr>
                <w:ilvl w:val="0"/>
                <w:numId w:val="14"/>
              </w:numPr>
              <w:tabs>
                <w:tab w:val="left" w:pos="468"/>
                <w:tab w:val="left" w:pos="469"/>
              </w:tabs>
              <w:spacing w:before="179"/>
              <w:ind w:right="295" w:hanging="361"/>
            </w:pPr>
            <w:r>
              <w:t>Reduced society and government costs arising from adverse</w:t>
            </w:r>
            <w:r>
              <w:rPr>
                <w:spacing w:val="-3"/>
              </w:rPr>
              <w:t xml:space="preserve"> </w:t>
            </w:r>
            <w:r>
              <w:t>events.</w:t>
            </w:r>
          </w:p>
        </w:tc>
        <w:tc>
          <w:tcPr>
            <w:tcW w:w="3672" w:type="dxa"/>
          </w:tcPr>
          <w:p w:rsidR="007D76BB" w:rsidRDefault="00D70D28">
            <w:pPr>
              <w:pStyle w:val="TableParagraph"/>
              <w:ind w:left="465" w:right="1014"/>
            </w:pPr>
            <w:proofErr w:type="gramStart"/>
            <w:r>
              <w:t>decreased</w:t>
            </w:r>
            <w:proofErr w:type="gramEnd"/>
            <w:r>
              <w:t xml:space="preserve"> retailer and manufacturer revenue.</w:t>
            </w:r>
          </w:p>
          <w:p w:rsidR="007D76BB" w:rsidRDefault="00D70D28">
            <w:pPr>
              <w:pStyle w:val="TableParagraph"/>
              <w:numPr>
                <w:ilvl w:val="0"/>
                <w:numId w:val="13"/>
              </w:numPr>
              <w:tabs>
                <w:tab w:val="left" w:pos="465"/>
                <w:tab w:val="left" w:pos="466"/>
              </w:tabs>
              <w:spacing w:before="179"/>
              <w:ind w:right="156"/>
            </w:pPr>
            <w:r>
              <w:t>Consumer dissatisfaction that products are no longer</w:t>
            </w:r>
            <w:r>
              <w:rPr>
                <w:spacing w:val="-9"/>
              </w:rPr>
              <w:t xml:space="preserve"> </w:t>
            </w:r>
            <w:r>
              <w:t>available</w:t>
            </w:r>
          </w:p>
          <w:p w:rsidR="007D76BB" w:rsidRDefault="00D70D28">
            <w:pPr>
              <w:pStyle w:val="TableParagraph"/>
              <w:numPr>
                <w:ilvl w:val="0"/>
                <w:numId w:val="13"/>
              </w:numPr>
              <w:tabs>
                <w:tab w:val="left" w:pos="465"/>
                <w:tab w:val="left" w:pos="466"/>
              </w:tabs>
              <w:spacing w:before="180"/>
              <w:ind w:right="535"/>
            </w:pPr>
            <w:r>
              <w:t>Continued potential risks to consumers from food sports supplements presented in medicinal dosage</w:t>
            </w:r>
            <w:r>
              <w:rPr>
                <w:spacing w:val="-3"/>
              </w:rPr>
              <w:t xml:space="preserve"> </w:t>
            </w:r>
            <w:r>
              <w:t>forms.</w:t>
            </w:r>
          </w:p>
        </w:tc>
      </w:tr>
    </w:tbl>
    <w:p w:rsidR="007D76BB" w:rsidRDefault="007D76BB">
      <w:pPr>
        <w:pStyle w:val="BodyText"/>
        <w:rPr>
          <w:sz w:val="20"/>
        </w:rPr>
      </w:pPr>
    </w:p>
    <w:p w:rsidR="007D76BB" w:rsidRDefault="00D70D28">
      <w:pPr>
        <w:pStyle w:val="Heading3"/>
      </w:pPr>
      <w:bookmarkStart w:id="122" w:name="Alternative_approaches_considered"/>
      <w:bookmarkStart w:id="123" w:name="_bookmark57"/>
      <w:bookmarkEnd w:id="122"/>
      <w:bookmarkEnd w:id="123"/>
      <w:r>
        <w:t>Alternative approaches considered</w:t>
      </w:r>
    </w:p>
    <w:p w:rsidR="007D76BB" w:rsidRDefault="00D70D28">
      <w:pPr>
        <w:pStyle w:val="BodyText"/>
        <w:spacing w:before="247"/>
        <w:ind w:left="198" w:right="1162"/>
      </w:pPr>
      <w:r>
        <w:t>In addition to the four options listed above, the following alternative approaches were also considered.</w:t>
      </w:r>
    </w:p>
    <w:p w:rsidR="007D76BB" w:rsidRDefault="007D76BB">
      <w:pPr>
        <w:pStyle w:val="BodyText"/>
        <w:spacing w:before="7"/>
        <w:rPr>
          <w:sz w:val="30"/>
        </w:rPr>
      </w:pPr>
    </w:p>
    <w:p w:rsidR="007D76BB" w:rsidRDefault="00D70D28">
      <w:pPr>
        <w:pStyle w:val="Heading5"/>
        <w:rPr>
          <w:rFonts w:ascii="Arial"/>
        </w:rPr>
      </w:pPr>
      <w:bookmarkStart w:id="124" w:name="Alternative_approach_1:_Non-regulatory_i"/>
      <w:bookmarkStart w:id="125" w:name="_bookmark58"/>
      <w:bookmarkEnd w:id="124"/>
      <w:bookmarkEnd w:id="125"/>
      <w:r>
        <w:rPr>
          <w:rFonts w:ascii="Arial"/>
        </w:rPr>
        <w:t>Alternative approach 1: Non-regulatory intervention</w:t>
      </w:r>
    </w:p>
    <w:p w:rsidR="007D76BB" w:rsidRDefault="00D70D28">
      <w:pPr>
        <w:pStyle w:val="BodyText"/>
        <w:spacing w:before="120"/>
        <w:ind w:left="198" w:right="655"/>
      </w:pPr>
      <w:r>
        <w:t>Alternative approach 1 considered a non-regulatory invention of conducting educational campaigns for product manufacturers to inform them of the appropriate regulatory pathway for their product under existing legislative frameworks, as well as educational campaigns targeted to consumers advising of the potential and actual risks associated with sports supplement use.</w:t>
      </w:r>
    </w:p>
    <w:p w:rsidR="007D76BB" w:rsidRDefault="00D70D28">
      <w:pPr>
        <w:pStyle w:val="BodyText"/>
        <w:spacing w:before="180"/>
        <w:ind w:left="197" w:right="648"/>
      </w:pPr>
      <w:r>
        <w:t xml:space="preserve">Issues arising from the lack of legal clarity for sports supplements at the FMI have been around for some time. In response to these issues, the TGA published an online </w:t>
      </w:r>
      <w:hyperlink r:id="rId148">
        <w:r>
          <w:rPr>
            <w:color w:val="0000FF"/>
            <w:u w:val="single" w:color="0000FF"/>
          </w:rPr>
          <w:t>Food-Medicine Interface</w:t>
        </w:r>
      </w:hyperlink>
      <w:r>
        <w:rPr>
          <w:color w:val="0000FF"/>
        </w:rPr>
        <w:t xml:space="preserve"> </w:t>
      </w:r>
      <w:hyperlink r:id="rId149">
        <w:r>
          <w:rPr>
            <w:color w:val="0000FF"/>
            <w:u w:val="single" w:color="0000FF"/>
          </w:rPr>
          <w:t>Guidance Tool</w:t>
        </w:r>
        <w:r>
          <w:rPr>
            <w:color w:val="0000FF"/>
          </w:rPr>
          <w:t xml:space="preserve"> </w:t>
        </w:r>
      </w:hyperlink>
      <w:r>
        <w:t>in collaboration with state/territory food authorities in 2014. The tool was designed to take manufacturers and importers through the relevant definitions in the TG Act to determine whether particular products are likely to be therapeutic goods or not. However, since that time, sports supplements that meet the criteria for therapeutic goods (due to their claims, ingredients or presentation) have continued to be marketed as foods, continuing to pose actual and potential risks to public health and it is apparent that the guidance tool did not have the desired effect of increasing regulatory compliance for these goods.</w:t>
      </w:r>
    </w:p>
    <w:p w:rsidR="007D76BB" w:rsidRDefault="00D70D28">
      <w:pPr>
        <w:pStyle w:val="BodyText"/>
        <w:spacing w:before="180"/>
        <w:ind w:left="198" w:right="781"/>
      </w:pPr>
      <w:r>
        <w:t xml:space="preserve">While many manufacturers produce safe sports supplement products that are appropriately marketed as foods or medicines in Australia, it must be recognised that some companies knowingly market supplements as food products, rather than therapeutic goods, to avoid appropriate regulatory scrutiny, even though they contain ingredients that may cause harm. A driver for this </w:t>
      </w:r>
      <w:proofErr w:type="spellStart"/>
      <w:r>
        <w:t>behaviour</w:t>
      </w:r>
      <w:proofErr w:type="spellEnd"/>
      <w:r>
        <w:t xml:space="preserve"> is likely the product revenue to be gained from increased consumer demand for products with a reputation for providing the desired performance enhancement. It is unlikely that a non-regulatory approach will have any effect on this </w:t>
      </w:r>
      <w:proofErr w:type="spellStart"/>
      <w:r>
        <w:t>behaviour</w:t>
      </w:r>
      <w:proofErr w:type="spellEnd"/>
      <w:r>
        <w:t>; timely and effective enforcement action must be enabled in order to compel a segment of industry to adhere to the law.</w:t>
      </w:r>
    </w:p>
    <w:p w:rsidR="007D76BB" w:rsidRDefault="00D70D28">
      <w:pPr>
        <w:pStyle w:val="BodyText"/>
        <w:spacing w:before="181"/>
        <w:ind w:left="198" w:right="710"/>
      </w:pPr>
      <w:r>
        <w:t xml:space="preserve">Attempts at further education campaigns for product owners and stronger enforcement actions will be unable to have the desired outcome without an unambiguous legal clarification of which sports supplements are considered to be food or medicines in law. Until such time, regulatory enforcement options are limited </w:t>
      </w:r>
      <w:r>
        <w:lastRenderedPageBreak/>
        <w:t>by the ambiguous regulation that applies and those cases that do proceed to legal proceedings are lengthy and costly due to the lack of legal clarity on the status of these products.</w:t>
      </w:r>
    </w:p>
    <w:p w:rsidR="007D76BB" w:rsidRDefault="00D70D28">
      <w:pPr>
        <w:pStyle w:val="BodyText"/>
        <w:spacing w:before="178"/>
        <w:ind w:left="198" w:right="898"/>
      </w:pPr>
      <w:r>
        <w:t>In relation to consumer education campaigns, for many years the AIS and ASADA have conducted continual education campaigns targeted at athletes to inform them of the potential</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7" w:right="678"/>
      </w:pPr>
      <w:proofErr w:type="gramStart"/>
      <w:r>
        <w:t>risks</w:t>
      </w:r>
      <w:proofErr w:type="gramEnd"/>
      <w:r>
        <w:t xml:space="preserve"> of inadvertent doping and health risks associated with sport supplement use. These campaigns are targeted at a narrow range of consumers, with a very high level of self-interest in avoiding inadvertent doping. In spite of these targeted consumer education campaigns, adverse analytical findings resulting from spots supplement use continue to occur at a rate of approximately one athlete per month. Extrapolating such education campaigns to the broader consumer base is considered unlikely to achieve any significant benefit, especially where this is accompanied by the potential for undeclared substances and a hampered enforcement process for non-compliant goods.</w:t>
      </w:r>
    </w:p>
    <w:p w:rsidR="007D76BB" w:rsidRDefault="00D70D28">
      <w:pPr>
        <w:pStyle w:val="BodyText"/>
        <w:spacing w:before="181"/>
        <w:ind w:left="197" w:right="673"/>
      </w:pPr>
      <w:r>
        <w:t>This approach was excluded from further exploration, as it was considered it would not address the threat to consumer safety, particularly where it is evident that previous education campaigns have not had success in addressing the problem.</w:t>
      </w:r>
    </w:p>
    <w:p w:rsidR="007D76BB" w:rsidRDefault="007D76BB">
      <w:pPr>
        <w:pStyle w:val="BodyText"/>
        <w:spacing w:before="6"/>
        <w:rPr>
          <w:sz w:val="30"/>
        </w:rPr>
      </w:pPr>
    </w:p>
    <w:p w:rsidR="007D76BB" w:rsidRDefault="00D70D28">
      <w:pPr>
        <w:pStyle w:val="Heading5"/>
        <w:ind w:right="1011"/>
        <w:rPr>
          <w:rFonts w:ascii="Arial"/>
        </w:rPr>
      </w:pPr>
      <w:bookmarkStart w:id="126" w:name="Alternative_approach_2:_Declare_that_spo"/>
      <w:bookmarkStart w:id="127" w:name="_bookmark59"/>
      <w:bookmarkEnd w:id="126"/>
      <w:bookmarkEnd w:id="127"/>
      <w:r>
        <w:rPr>
          <w:rFonts w:ascii="Arial"/>
        </w:rPr>
        <w:t>Alternative approach 2: Declare that sports supplements with a broad range of ingredients or presented as medicines are therapeutic goods</w:t>
      </w:r>
    </w:p>
    <w:p w:rsidR="007D76BB" w:rsidRDefault="00D70D28">
      <w:pPr>
        <w:pStyle w:val="BodyText"/>
        <w:spacing w:before="123"/>
        <w:ind w:left="198" w:right="797"/>
      </w:pPr>
      <w:r>
        <w:t>Section 7 of the TG Act provides the Secretary the power to declare that goods are or are not therapeutic goods generally, or when used, advertised or presented for supply in a particular manner. Alternative approach 2 proposed making a declaration under the existing authority of section 7 of the TG Act that products meeting the criteria in the text box below would be therapeutic goods.</w:t>
      </w:r>
    </w:p>
    <w:p w:rsidR="007D76BB" w:rsidRDefault="007D76BB">
      <w:pPr>
        <w:pStyle w:val="BodyText"/>
        <w:spacing w:before="7"/>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76"/>
      </w:tblGrid>
      <w:tr w:rsidR="007D76BB">
        <w:trPr>
          <w:trHeight w:val="7275"/>
        </w:trPr>
        <w:tc>
          <w:tcPr>
            <w:tcW w:w="9076" w:type="dxa"/>
          </w:tcPr>
          <w:p w:rsidR="007D76BB" w:rsidRDefault="00D70D28">
            <w:pPr>
              <w:pStyle w:val="TableParagraph"/>
              <w:spacing w:before="192"/>
              <w:ind w:left="151" w:right="1301"/>
              <w:rPr>
                <w:b/>
              </w:rPr>
            </w:pPr>
            <w:r>
              <w:rPr>
                <w:b/>
              </w:rPr>
              <w:t>Alternative approach 2 proposed declaration: Declare that following sports supplements are therapeutic goods</w:t>
            </w:r>
          </w:p>
          <w:p w:rsidR="007D76BB" w:rsidRDefault="00D70D28">
            <w:pPr>
              <w:pStyle w:val="TableParagraph"/>
              <w:spacing w:before="178"/>
              <w:ind w:left="151" w:right="752"/>
            </w:pPr>
            <w:r>
              <w:t>Oral products that are used, advertised or presented for supply to improve or maintain physical or mental performance in sport, exercise or other recreational activity</w:t>
            </w:r>
          </w:p>
          <w:p w:rsidR="007D76BB" w:rsidRDefault="00D70D28">
            <w:pPr>
              <w:pStyle w:val="TableParagraph"/>
              <w:spacing w:before="180"/>
              <w:ind w:left="151"/>
            </w:pPr>
            <w:r>
              <w:t>AND/OR</w:t>
            </w:r>
          </w:p>
          <w:p w:rsidR="007D76BB" w:rsidRDefault="00D70D28">
            <w:pPr>
              <w:pStyle w:val="TableParagraph"/>
              <w:numPr>
                <w:ilvl w:val="0"/>
                <w:numId w:val="12"/>
              </w:numPr>
              <w:tabs>
                <w:tab w:val="left" w:pos="511"/>
                <w:tab w:val="left" w:pos="512"/>
              </w:tabs>
              <w:spacing w:before="181"/>
            </w:pPr>
            <w:r>
              <w:t>contain ingredients that are not appropriate for a sports supplement food</w:t>
            </w:r>
            <w:r>
              <w:rPr>
                <w:spacing w:val="-17"/>
              </w:rPr>
              <w:t xml:space="preserve"> </w:t>
            </w:r>
            <w:r>
              <w:t>i.e.</w:t>
            </w:r>
          </w:p>
          <w:p w:rsidR="007D76BB" w:rsidRDefault="00D70D28">
            <w:pPr>
              <w:pStyle w:val="TableParagraph"/>
              <w:numPr>
                <w:ilvl w:val="1"/>
                <w:numId w:val="12"/>
              </w:numPr>
              <w:tabs>
                <w:tab w:val="left" w:pos="1231"/>
                <w:tab w:val="left" w:pos="1232"/>
              </w:tabs>
              <w:spacing w:before="179"/>
              <w:ind w:right="1034"/>
              <w:rPr>
                <w:b/>
              </w:rPr>
            </w:pPr>
            <w:r>
              <w:t xml:space="preserve">a substance above the restrictions provided in a schedule to the </w:t>
            </w:r>
            <w:r>
              <w:rPr>
                <w:b/>
              </w:rPr>
              <w:t>Poisons Standard</w:t>
            </w:r>
          </w:p>
          <w:p w:rsidR="007D76BB" w:rsidRDefault="00D70D28">
            <w:pPr>
              <w:pStyle w:val="TableParagraph"/>
              <w:numPr>
                <w:ilvl w:val="1"/>
                <w:numId w:val="12"/>
              </w:numPr>
              <w:tabs>
                <w:tab w:val="left" w:pos="1279"/>
                <w:tab w:val="left" w:pos="1280"/>
              </w:tabs>
              <w:spacing w:before="180"/>
              <w:ind w:left="1279" w:hanging="409"/>
              <w:rPr>
                <w:b/>
              </w:rPr>
            </w:pPr>
            <w:r>
              <w:t xml:space="preserve">a substance included in the </w:t>
            </w:r>
            <w:r>
              <w:rPr>
                <w:b/>
              </w:rPr>
              <w:t>WADC Prohibited</w:t>
            </w:r>
            <w:r>
              <w:rPr>
                <w:b/>
                <w:spacing w:val="-9"/>
              </w:rPr>
              <w:t xml:space="preserve"> </w:t>
            </w:r>
            <w:r>
              <w:rPr>
                <w:b/>
              </w:rPr>
              <w:t>List</w:t>
            </w:r>
          </w:p>
          <w:p w:rsidR="007D76BB" w:rsidRDefault="00D70D28">
            <w:pPr>
              <w:pStyle w:val="TableParagraph"/>
              <w:numPr>
                <w:ilvl w:val="1"/>
                <w:numId w:val="12"/>
              </w:numPr>
              <w:tabs>
                <w:tab w:val="left" w:pos="1231"/>
                <w:tab w:val="left" w:pos="1232"/>
              </w:tabs>
              <w:spacing w:before="181"/>
              <w:ind w:hanging="361"/>
              <w:rPr>
                <w:b/>
              </w:rPr>
            </w:pPr>
            <w:r>
              <w:t xml:space="preserve">a substance identified in the </w:t>
            </w:r>
            <w:r>
              <w:rPr>
                <w:b/>
              </w:rPr>
              <w:t>Imported Food</w:t>
            </w:r>
            <w:r>
              <w:rPr>
                <w:b/>
                <w:spacing w:val="-11"/>
              </w:rPr>
              <w:t xml:space="preserve"> </w:t>
            </w:r>
            <w:r>
              <w:rPr>
                <w:b/>
              </w:rPr>
              <w:t>Notices</w:t>
            </w:r>
          </w:p>
          <w:p w:rsidR="007D76BB" w:rsidRDefault="00D70D28">
            <w:pPr>
              <w:pStyle w:val="TableParagraph"/>
              <w:numPr>
                <w:ilvl w:val="1"/>
                <w:numId w:val="12"/>
              </w:numPr>
              <w:tabs>
                <w:tab w:val="left" w:pos="1231"/>
                <w:tab w:val="left" w:pos="1232"/>
              </w:tabs>
              <w:spacing w:before="179"/>
              <w:ind w:hanging="361"/>
            </w:pPr>
            <w:r>
              <w:t xml:space="preserve">a </w:t>
            </w:r>
            <w:r>
              <w:rPr>
                <w:b/>
              </w:rPr>
              <w:t xml:space="preserve">Relevant </w:t>
            </w:r>
            <w:r>
              <w:t>substance (as declared by the</w:t>
            </w:r>
            <w:r>
              <w:rPr>
                <w:spacing w:val="-12"/>
              </w:rPr>
              <w:t xml:space="preserve"> </w:t>
            </w:r>
            <w:r>
              <w:t>Secretary)</w:t>
            </w:r>
          </w:p>
          <w:p w:rsidR="007D76BB" w:rsidRDefault="00D70D28">
            <w:pPr>
              <w:pStyle w:val="TableParagraph"/>
              <w:numPr>
                <w:ilvl w:val="1"/>
                <w:numId w:val="12"/>
              </w:numPr>
              <w:tabs>
                <w:tab w:val="left" w:pos="1231"/>
                <w:tab w:val="left" w:pos="1232"/>
              </w:tabs>
              <w:spacing w:before="181"/>
              <w:ind w:right="366"/>
              <w:rPr>
                <w:b/>
              </w:rPr>
            </w:pPr>
            <w:r>
              <w:t xml:space="preserve">an ingredient in an amount that exceeds any limit for the ingredient specified in the </w:t>
            </w:r>
            <w:r>
              <w:rPr>
                <w:b/>
              </w:rPr>
              <w:t>Permissible Ingredients</w:t>
            </w:r>
            <w:r>
              <w:rPr>
                <w:b/>
                <w:spacing w:val="-4"/>
              </w:rPr>
              <w:t xml:space="preserve"> </w:t>
            </w:r>
            <w:r>
              <w:rPr>
                <w:b/>
              </w:rPr>
              <w:t>Determination</w:t>
            </w:r>
          </w:p>
          <w:p w:rsidR="007D76BB" w:rsidRDefault="00D70D28">
            <w:pPr>
              <w:pStyle w:val="TableParagraph"/>
              <w:numPr>
                <w:ilvl w:val="1"/>
                <w:numId w:val="12"/>
              </w:numPr>
              <w:tabs>
                <w:tab w:val="left" w:pos="1231"/>
                <w:tab w:val="left" w:pos="1232"/>
              </w:tabs>
              <w:spacing w:before="181"/>
              <w:ind w:right="269"/>
              <w:rPr>
                <w:b/>
              </w:rPr>
            </w:pPr>
            <w:r>
              <w:t xml:space="preserve">an amino acid in an amount that exceeds any limit for the amino acid specified in section </w:t>
            </w:r>
            <w:r>
              <w:rPr>
                <w:b/>
              </w:rPr>
              <w:t>S29—18 of the Food Standards Schedule</w:t>
            </w:r>
            <w:r>
              <w:rPr>
                <w:b/>
                <w:spacing w:val="-13"/>
              </w:rPr>
              <w:t xml:space="preserve"> </w:t>
            </w:r>
            <w:r>
              <w:rPr>
                <w:b/>
              </w:rPr>
              <w:t>29</w:t>
            </w:r>
          </w:p>
          <w:p w:rsidR="007D76BB" w:rsidRDefault="00D70D28">
            <w:pPr>
              <w:pStyle w:val="TableParagraph"/>
              <w:numPr>
                <w:ilvl w:val="1"/>
                <w:numId w:val="12"/>
              </w:numPr>
              <w:tabs>
                <w:tab w:val="left" w:pos="1231"/>
                <w:tab w:val="left" w:pos="1232"/>
              </w:tabs>
              <w:spacing w:before="177"/>
              <w:ind w:right="568"/>
              <w:rPr>
                <w:b/>
              </w:rPr>
            </w:pPr>
            <w:r>
              <w:t xml:space="preserve">a substance in an amount that exceeds any limit for the substance specified in section </w:t>
            </w:r>
            <w:r>
              <w:rPr>
                <w:b/>
              </w:rPr>
              <w:t>S29—19 of the Food Standards Schedule</w:t>
            </w:r>
            <w:r>
              <w:rPr>
                <w:b/>
                <w:spacing w:val="-13"/>
              </w:rPr>
              <w:t xml:space="preserve"> </w:t>
            </w:r>
            <w:r>
              <w:rPr>
                <w:b/>
              </w:rPr>
              <w:t>29</w:t>
            </w:r>
          </w:p>
          <w:p w:rsidR="007D76BB" w:rsidRDefault="00D70D28">
            <w:pPr>
              <w:pStyle w:val="TableParagraph"/>
              <w:numPr>
                <w:ilvl w:val="0"/>
                <w:numId w:val="12"/>
              </w:numPr>
              <w:tabs>
                <w:tab w:val="left" w:pos="511"/>
                <w:tab w:val="left" w:pos="512"/>
              </w:tabs>
              <w:spacing w:before="180"/>
              <w:ind w:right="216"/>
            </w:pPr>
            <w:r>
              <w:t>are presented in a form associated with medicines rather than foods (i.e. a tablet,</w:t>
            </w:r>
            <w:r>
              <w:rPr>
                <w:spacing w:val="-35"/>
              </w:rPr>
              <w:t xml:space="preserve"> </w:t>
            </w:r>
            <w:r>
              <w:t>capsule or</w:t>
            </w:r>
            <w:r>
              <w:rPr>
                <w:spacing w:val="-1"/>
              </w:rPr>
              <w:t xml:space="preserve"> </w:t>
            </w:r>
            <w:r>
              <w:t>pill)</w:t>
            </w:r>
          </w:p>
        </w:tc>
      </w:tr>
    </w:tbl>
    <w:p w:rsidR="007D76BB" w:rsidRDefault="00D70D28">
      <w:pPr>
        <w:pStyle w:val="BodyText"/>
        <w:spacing w:before="191"/>
        <w:ind w:left="198" w:right="697"/>
      </w:pPr>
      <w:r>
        <w:t>The TGA held a public consultation and two workshops on this approach in November to December 2019 and February 2020 respectively. Feedback was received from consumers, retailers, manufacturers, industry representative bodies, medical professionals, sporting bodies and other government agencies.</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8" w:right="693"/>
      </w:pPr>
      <w:r>
        <w:t>Stakeholders considered that the scope of ingredients included in the proposed declaration was too broad and raised the following concerns:</w:t>
      </w:r>
    </w:p>
    <w:p w:rsidR="007D76BB" w:rsidRDefault="00D70D28">
      <w:pPr>
        <w:pStyle w:val="ListParagraph"/>
        <w:numPr>
          <w:ilvl w:val="0"/>
          <w:numId w:val="72"/>
        </w:numPr>
        <w:tabs>
          <w:tab w:val="left" w:pos="558"/>
          <w:tab w:val="left" w:pos="559"/>
        </w:tabs>
        <w:ind w:left="558"/>
      </w:pPr>
      <w:r>
        <w:t>Some legitimate foods may be captured by the criteria, for</w:t>
      </w:r>
      <w:r>
        <w:rPr>
          <w:spacing w:val="-15"/>
        </w:rPr>
        <w:t xml:space="preserve"> </w:t>
      </w:r>
      <w:r>
        <w:t>example:</w:t>
      </w:r>
    </w:p>
    <w:p w:rsidR="007D76BB" w:rsidRDefault="00D70D28">
      <w:pPr>
        <w:pStyle w:val="ListParagraph"/>
        <w:numPr>
          <w:ilvl w:val="1"/>
          <w:numId w:val="72"/>
        </w:numPr>
        <w:tabs>
          <w:tab w:val="left" w:pos="1278"/>
          <w:tab w:val="left" w:pos="1279"/>
        </w:tabs>
        <w:spacing w:before="182"/>
        <w:ind w:right="869"/>
      </w:pPr>
      <w:r>
        <w:t>protein bars with high amino acid content (due to exceeding the limits provided in Schedule 29-18 and 29-19 of the</w:t>
      </w:r>
      <w:r>
        <w:rPr>
          <w:spacing w:val="-7"/>
        </w:rPr>
        <w:t xml:space="preserve"> </w:t>
      </w:r>
      <w:r>
        <w:t>Code)</w:t>
      </w:r>
    </w:p>
    <w:p w:rsidR="007D76BB" w:rsidRDefault="00D70D28">
      <w:pPr>
        <w:pStyle w:val="ListParagraph"/>
        <w:numPr>
          <w:ilvl w:val="1"/>
          <w:numId w:val="72"/>
        </w:numPr>
        <w:tabs>
          <w:tab w:val="left" w:pos="1278"/>
          <w:tab w:val="left" w:pos="1279"/>
        </w:tabs>
        <w:ind w:right="894"/>
      </w:pPr>
      <w:r>
        <w:t>products only containing whey protein and glucose (due to containing ingredients that exceed the limits specified in the Permissible Ingredients</w:t>
      </w:r>
      <w:r>
        <w:rPr>
          <w:spacing w:val="-20"/>
        </w:rPr>
        <w:t xml:space="preserve"> </w:t>
      </w:r>
      <w:r>
        <w:t>Determination)</w:t>
      </w:r>
    </w:p>
    <w:p w:rsidR="007D76BB" w:rsidRDefault="00D70D28">
      <w:pPr>
        <w:pStyle w:val="ListParagraph"/>
        <w:numPr>
          <w:ilvl w:val="0"/>
          <w:numId w:val="72"/>
        </w:numPr>
        <w:tabs>
          <w:tab w:val="left" w:pos="558"/>
          <w:tab w:val="left" w:pos="559"/>
        </w:tabs>
        <w:ind w:left="558"/>
      </w:pPr>
      <w:r>
        <w:t>The WADC Prohibited</w:t>
      </w:r>
      <w:r>
        <w:rPr>
          <w:spacing w:val="-5"/>
        </w:rPr>
        <w:t xml:space="preserve"> </w:t>
      </w:r>
      <w:r>
        <w:t>List:</w:t>
      </w:r>
    </w:p>
    <w:p w:rsidR="007D76BB" w:rsidRDefault="00D70D28">
      <w:pPr>
        <w:pStyle w:val="ListParagraph"/>
        <w:numPr>
          <w:ilvl w:val="1"/>
          <w:numId w:val="72"/>
        </w:numPr>
        <w:tabs>
          <w:tab w:val="left" w:pos="1278"/>
          <w:tab w:val="left" w:pos="1279"/>
        </w:tabs>
        <w:spacing w:before="179"/>
        <w:ind w:hanging="361"/>
      </w:pPr>
      <w:r>
        <w:t>may be subject to change, creating</w:t>
      </w:r>
      <w:r>
        <w:rPr>
          <w:spacing w:val="-11"/>
        </w:rPr>
        <w:t xml:space="preserve"> </w:t>
      </w:r>
      <w:r>
        <w:t>uncertainty</w:t>
      </w:r>
    </w:p>
    <w:p w:rsidR="007D76BB" w:rsidRDefault="00D70D28">
      <w:pPr>
        <w:pStyle w:val="ListParagraph"/>
        <w:numPr>
          <w:ilvl w:val="1"/>
          <w:numId w:val="72"/>
        </w:numPr>
        <w:tabs>
          <w:tab w:val="left" w:pos="1278"/>
          <w:tab w:val="left" w:pos="1279"/>
        </w:tabs>
        <w:spacing w:before="181"/>
        <w:ind w:right="1352"/>
      </w:pPr>
      <w:r>
        <w:t>bans some substances that are naturally present in food ingredients in sports supplements (for example, IGF-1 in whey protein</w:t>
      </w:r>
      <w:r>
        <w:rPr>
          <w:spacing w:val="-12"/>
        </w:rPr>
        <w:t xml:space="preserve"> </w:t>
      </w:r>
      <w:r>
        <w:t>products)</w:t>
      </w:r>
    </w:p>
    <w:p w:rsidR="007D76BB" w:rsidRDefault="00D70D28">
      <w:pPr>
        <w:pStyle w:val="BodyText"/>
        <w:spacing w:before="180"/>
        <w:ind w:left="198" w:right="586"/>
      </w:pPr>
      <w:r>
        <w:t>In consideration of this stakeholder feedback, this approach was excluded due to its likelihood to inadvertently declare some legitimate food products to be therapeutic goods.</w:t>
      </w:r>
    </w:p>
    <w:p w:rsidR="007D76BB" w:rsidRDefault="00D70D28">
      <w:pPr>
        <w:pStyle w:val="BodyText"/>
        <w:spacing w:before="180"/>
        <w:ind w:left="198" w:right="1422"/>
      </w:pPr>
      <w:r>
        <w:t>Options 2A, 2B and 3 are refined versions of this approach and give consideration to the concerns raised by industry.</w:t>
      </w:r>
    </w:p>
    <w:p w:rsidR="007D76BB" w:rsidRDefault="007D76BB">
      <w:pPr>
        <w:pStyle w:val="BodyText"/>
        <w:rPr>
          <w:sz w:val="26"/>
        </w:rPr>
      </w:pPr>
    </w:p>
    <w:p w:rsidR="007D76BB" w:rsidRDefault="00D70D28">
      <w:pPr>
        <w:pStyle w:val="Heading2"/>
        <w:spacing w:before="170"/>
      </w:pPr>
      <w:bookmarkStart w:id="128" w:name="Recommended_option"/>
      <w:bookmarkStart w:id="129" w:name="_bookmark60"/>
      <w:bookmarkEnd w:id="128"/>
      <w:bookmarkEnd w:id="129"/>
      <w:r>
        <w:t>Recommended option</w:t>
      </w:r>
    </w:p>
    <w:p w:rsidR="007D76BB" w:rsidRDefault="00D70D28">
      <w:pPr>
        <w:pStyle w:val="BodyText"/>
        <w:spacing w:before="126"/>
        <w:ind w:left="198" w:right="780"/>
        <w:jc w:val="both"/>
      </w:pPr>
      <w:r>
        <w:t>In determining the preferred option, greater emphasis has been placed on the degree by which the options would likely address the identified actual and potential safety risks associated with the use of the following sports supplements:</w:t>
      </w:r>
    </w:p>
    <w:p w:rsidR="007D76BB" w:rsidRDefault="00D70D28">
      <w:pPr>
        <w:pStyle w:val="ListParagraph"/>
        <w:numPr>
          <w:ilvl w:val="0"/>
          <w:numId w:val="72"/>
        </w:numPr>
        <w:tabs>
          <w:tab w:val="left" w:pos="558"/>
          <w:tab w:val="left" w:pos="559"/>
        </w:tabs>
        <w:spacing w:before="179"/>
        <w:ind w:left="558" w:right="674"/>
      </w:pPr>
      <w:r>
        <w:t>products which are either non-compliant or illegal (in relation to the ingredients they contain, namely substance included in a Schedule to the Poisons Standard) but are not being sufficiently regulated (due to lack of clarity on their legal status as a food or medicine in current</w:t>
      </w:r>
      <w:r>
        <w:rPr>
          <w:spacing w:val="-2"/>
        </w:rPr>
        <w:t xml:space="preserve"> </w:t>
      </w:r>
      <w:r>
        <w:t>legislation)</w:t>
      </w:r>
    </w:p>
    <w:p w:rsidR="007D76BB" w:rsidRDefault="00D70D28">
      <w:pPr>
        <w:pStyle w:val="ListParagraph"/>
        <w:numPr>
          <w:ilvl w:val="0"/>
          <w:numId w:val="72"/>
        </w:numPr>
        <w:tabs>
          <w:tab w:val="left" w:pos="558"/>
          <w:tab w:val="left" w:pos="559"/>
        </w:tabs>
        <w:ind w:left="558" w:right="726" w:hanging="360"/>
      </w:pPr>
      <w:r>
        <w:t>other products which may not be illegal under current legislation, but present a level of risk to consumers (in relation to their ingredients, namely those included in the WADC Prohibited List, or presentation in medicinal form such as tablets, capsules or pills,) such that it is appropriate to mitigate these risks through</w:t>
      </w:r>
      <w:r>
        <w:rPr>
          <w:spacing w:val="-9"/>
        </w:rPr>
        <w:t xml:space="preserve"> </w:t>
      </w:r>
      <w:r>
        <w:t>regulation</w:t>
      </w:r>
    </w:p>
    <w:p w:rsidR="007D76BB" w:rsidRDefault="00D70D28">
      <w:pPr>
        <w:pStyle w:val="BodyText"/>
        <w:spacing w:before="180"/>
        <w:ind w:left="198" w:right="658"/>
      </w:pPr>
      <w:r>
        <w:t>Option 1 (status quo) would fail to address the safety concerns and regulatory ambiguity that currently exists. It would fail to resolve the issues relating to product classification (i.e. as either a food or therapeutic good) that make regulatory enforcement actions inefficient and result in prolonged legal proceedings. As the status quo will not address the problem, it is not considered a viable option and has not been considered further.</w:t>
      </w:r>
    </w:p>
    <w:p w:rsidR="007D76BB" w:rsidRDefault="00D70D28">
      <w:pPr>
        <w:pStyle w:val="BodyText"/>
        <w:spacing w:before="179"/>
        <w:ind w:left="198" w:right="644"/>
      </w:pPr>
      <w:r>
        <w:lastRenderedPageBreak/>
        <w:t xml:space="preserve">Table 25 compares the benefits of Options 2A, 2B and 3 and provides the regulatory cost of each option under the proposal as an average annual cost over a ten-year period. These costings have been prepared by Noetic, whose full report is available as </w:t>
      </w:r>
      <w:hyperlink w:anchor="_bookmark67" w:history="1">
        <w:r>
          <w:rPr>
            <w:color w:val="0000FF"/>
            <w:u w:val="single" w:color="0000FF"/>
          </w:rPr>
          <w:t>Appendix 1</w:t>
        </w:r>
        <w:r>
          <w:t xml:space="preserve">. </w:t>
        </w:r>
      </w:hyperlink>
      <w:r>
        <w:t>The major regulatory costs associated with the proposed Options 2A, 2B and 3 fall under the activities required to reformulate and list a product in the ARTG and applications that may be required to include an ingredient in the Permissible Ingredients Determination.</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Heading7"/>
        <w:spacing w:before="101"/>
      </w:pPr>
      <w:r>
        <w:t>Table 25: Comparison of Options 2A, 2B and 3</w:t>
      </w:r>
    </w:p>
    <w:p w:rsidR="007D76BB" w:rsidRDefault="007D76BB">
      <w:pPr>
        <w:pStyle w:val="BodyText"/>
        <w:spacing w:before="6"/>
        <w:rPr>
          <w:b/>
          <w:sz w:val="15"/>
        </w:rPr>
      </w:pPr>
    </w:p>
    <w:tbl>
      <w:tblPr>
        <w:tblW w:w="0" w:type="auto"/>
        <w:tblInd w:w="218" w:type="dxa"/>
        <w:tblBorders>
          <w:top w:val="single" w:sz="8" w:space="0" w:color="002C46"/>
          <w:left w:val="single" w:sz="8" w:space="0" w:color="002C46"/>
          <w:bottom w:val="single" w:sz="8" w:space="0" w:color="002C46"/>
          <w:right w:val="single" w:sz="8" w:space="0" w:color="002C46"/>
          <w:insideH w:val="single" w:sz="8" w:space="0" w:color="002C46"/>
          <w:insideV w:val="single" w:sz="8" w:space="0" w:color="002C46"/>
        </w:tblBorders>
        <w:tblLayout w:type="fixed"/>
        <w:tblCellMar>
          <w:left w:w="0" w:type="dxa"/>
          <w:right w:w="0" w:type="dxa"/>
        </w:tblCellMar>
        <w:tblLook w:val="01E0" w:firstRow="1" w:lastRow="1" w:firstColumn="1" w:lastColumn="1" w:noHBand="0" w:noVBand="0"/>
      </w:tblPr>
      <w:tblGrid>
        <w:gridCol w:w="1834"/>
        <w:gridCol w:w="2268"/>
        <w:gridCol w:w="2410"/>
        <w:gridCol w:w="2540"/>
      </w:tblGrid>
      <w:tr w:rsidR="007D76BB">
        <w:trPr>
          <w:trHeight w:val="1811"/>
        </w:trPr>
        <w:tc>
          <w:tcPr>
            <w:tcW w:w="1834" w:type="dxa"/>
            <w:tcBorders>
              <w:right w:val="nil"/>
            </w:tcBorders>
            <w:shd w:val="clear" w:color="auto" w:fill="006CA7"/>
          </w:tcPr>
          <w:p w:rsidR="007D76BB" w:rsidRDefault="007D76BB">
            <w:pPr>
              <w:pStyle w:val="TableParagraph"/>
              <w:rPr>
                <w:rFonts w:ascii="Times New Roman"/>
                <w:sz w:val="20"/>
              </w:rPr>
            </w:pPr>
          </w:p>
        </w:tc>
        <w:tc>
          <w:tcPr>
            <w:tcW w:w="2268" w:type="dxa"/>
            <w:tcBorders>
              <w:left w:val="nil"/>
              <w:right w:val="nil"/>
            </w:tcBorders>
            <w:shd w:val="clear" w:color="auto" w:fill="006CA7"/>
          </w:tcPr>
          <w:p w:rsidR="007D76BB" w:rsidRDefault="00D70D28">
            <w:pPr>
              <w:pStyle w:val="TableParagraph"/>
              <w:spacing w:before="120"/>
              <w:ind w:left="117"/>
              <w:jc w:val="both"/>
              <w:rPr>
                <w:rFonts w:ascii="Arial Black"/>
              </w:rPr>
            </w:pPr>
            <w:r>
              <w:rPr>
                <w:rFonts w:ascii="Arial Black"/>
                <w:color w:val="FFFFFF"/>
              </w:rPr>
              <w:t>Option 2A</w:t>
            </w:r>
          </w:p>
          <w:p w:rsidR="007D76BB" w:rsidRDefault="00D70D28">
            <w:pPr>
              <w:pStyle w:val="TableParagraph"/>
              <w:spacing w:before="18" w:line="264" w:lineRule="auto"/>
              <w:ind w:left="117" w:right="153"/>
              <w:jc w:val="both"/>
              <w:rPr>
                <w:rFonts w:ascii="Times New Roman"/>
                <w:sz w:val="19"/>
              </w:rPr>
            </w:pPr>
            <w:r>
              <w:rPr>
                <w:rFonts w:ascii="Times New Roman"/>
                <w:color w:val="FFFFFF"/>
                <w:sz w:val="19"/>
              </w:rPr>
              <w:t>Products with ingredients of concern or presented as tablets, capsules or pills.</w:t>
            </w:r>
          </w:p>
        </w:tc>
        <w:tc>
          <w:tcPr>
            <w:tcW w:w="2410" w:type="dxa"/>
            <w:tcBorders>
              <w:left w:val="nil"/>
              <w:right w:val="nil"/>
            </w:tcBorders>
            <w:shd w:val="clear" w:color="auto" w:fill="006CA7"/>
          </w:tcPr>
          <w:p w:rsidR="007D76BB" w:rsidRDefault="00D70D28">
            <w:pPr>
              <w:pStyle w:val="TableParagraph"/>
              <w:spacing w:before="120"/>
              <w:ind w:left="117"/>
              <w:rPr>
                <w:rFonts w:ascii="Arial Black"/>
              </w:rPr>
            </w:pPr>
            <w:r>
              <w:rPr>
                <w:rFonts w:ascii="Arial Black"/>
                <w:color w:val="FFFFFF"/>
              </w:rPr>
              <w:t>Option 2B</w:t>
            </w:r>
          </w:p>
          <w:p w:rsidR="007D76BB" w:rsidRDefault="00D70D28">
            <w:pPr>
              <w:pStyle w:val="TableParagraph"/>
              <w:spacing w:before="18" w:line="264" w:lineRule="auto"/>
              <w:ind w:left="117" w:right="125"/>
              <w:rPr>
                <w:rFonts w:ascii="Times New Roman"/>
                <w:sz w:val="19"/>
              </w:rPr>
            </w:pPr>
            <w:r>
              <w:rPr>
                <w:rFonts w:ascii="Times New Roman"/>
                <w:color w:val="FFFFFF"/>
                <w:sz w:val="19"/>
              </w:rPr>
              <w:t>Products with ingredients of concern (excluding the WADC Prohibited List) or presented as, tablets, capsules or pills.</w:t>
            </w:r>
          </w:p>
        </w:tc>
        <w:tc>
          <w:tcPr>
            <w:tcW w:w="2540" w:type="dxa"/>
            <w:tcBorders>
              <w:left w:val="nil"/>
            </w:tcBorders>
            <w:shd w:val="clear" w:color="auto" w:fill="006CA7"/>
          </w:tcPr>
          <w:p w:rsidR="007D76BB" w:rsidRDefault="00D70D28">
            <w:pPr>
              <w:pStyle w:val="TableParagraph"/>
              <w:spacing w:before="120"/>
              <w:ind w:left="116"/>
              <w:rPr>
                <w:rFonts w:ascii="Arial Black"/>
              </w:rPr>
            </w:pPr>
            <w:r>
              <w:rPr>
                <w:rFonts w:ascii="Arial Black"/>
                <w:color w:val="FFFFFF"/>
              </w:rPr>
              <w:t>Option 3</w:t>
            </w:r>
          </w:p>
          <w:p w:rsidR="007D76BB" w:rsidRDefault="00D70D28">
            <w:pPr>
              <w:pStyle w:val="TableParagraph"/>
              <w:spacing w:before="18" w:line="264" w:lineRule="auto"/>
              <w:ind w:left="116" w:right="178"/>
              <w:rPr>
                <w:rFonts w:ascii="Times New Roman"/>
                <w:sz w:val="19"/>
              </w:rPr>
            </w:pPr>
            <w:r>
              <w:rPr>
                <w:rFonts w:ascii="Times New Roman"/>
                <w:color w:val="FFFFFF"/>
                <w:sz w:val="19"/>
              </w:rPr>
              <w:t>Products with ingredients of concern (excludes products presented as tablets, capsules or pills).</w:t>
            </w:r>
          </w:p>
        </w:tc>
      </w:tr>
      <w:tr w:rsidR="007D76BB">
        <w:trPr>
          <w:trHeight w:val="3135"/>
        </w:trPr>
        <w:tc>
          <w:tcPr>
            <w:tcW w:w="1834" w:type="dxa"/>
            <w:shd w:val="clear" w:color="auto" w:fill="D2ECFF"/>
          </w:tcPr>
          <w:p w:rsidR="007D76BB" w:rsidRDefault="00D70D28">
            <w:pPr>
              <w:pStyle w:val="TableParagraph"/>
              <w:spacing w:before="119"/>
              <w:ind w:left="107" w:right="152"/>
              <w:rPr>
                <w:b/>
              </w:rPr>
            </w:pPr>
            <w:r>
              <w:t xml:space="preserve">Risk to consumers from food sports supplements containing </w:t>
            </w:r>
            <w:r>
              <w:rPr>
                <w:b/>
              </w:rPr>
              <w:t>WADC</w:t>
            </w:r>
          </w:p>
          <w:p w:rsidR="007D76BB" w:rsidRDefault="00D70D28">
            <w:pPr>
              <w:pStyle w:val="TableParagraph"/>
              <w:spacing w:before="1"/>
              <w:ind w:left="107" w:right="571"/>
              <w:rPr>
                <w:b/>
              </w:rPr>
            </w:pPr>
            <w:r>
              <w:rPr>
                <w:b/>
              </w:rPr>
              <w:t>Prohibited substances</w:t>
            </w:r>
          </w:p>
        </w:tc>
        <w:tc>
          <w:tcPr>
            <w:tcW w:w="2268" w:type="dxa"/>
          </w:tcPr>
          <w:p w:rsidR="007D76BB" w:rsidRDefault="00D70D28">
            <w:pPr>
              <w:pStyle w:val="TableParagraph"/>
              <w:spacing w:before="119"/>
              <w:ind w:left="107" w:right="317"/>
            </w:pPr>
            <w:r>
              <w:t>Reduced risk to consumers of inadvertent doping due to inclusion of WADC prohibited substances.</w:t>
            </w:r>
          </w:p>
        </w:tc>
        <w:tc>
          <w:tcPr>
            <w:tcW w:w="2410" w:type="dxa"/>
          </w:tcPr>
          <w:p w:rsidR="007D76BB" w:rsidRDefault="00D70D28">
            <w:pPr>
              <w:pStyle w:val="TableParagraph"/>
              <w:spacing w:before="119"/>
              <w:ind w:left="107" w:right="118"/>
            </w:pPr>
            <w:r>
              <w:t>Less reduced risk to consumers of inadvertent doping due to the potential for products to include WADC Prohibited substances not expressly included in the Poisons Standard or in the Relevant substance</w:t>
            </w:r>
            <w:r>
              <w:rPr>
                <w:spacing w:val="-1"/>
              </w:rPr>
              <w:t xml:space="preserve"> </w:t>
            </w:r>
            <w:r>
              <w:t>list</w:t>
            </w:r>
          </w:p>
        </w:tc>
        <w:tc>
          <w:tcPr>
            <w:tcW w:w="2540" w:type="dxa"/>
          </w:tcPr>
          <w:p w:rsidR="007D76BB" w:rsidRDefault="00D70D28">
            <w:pPr>
              <w:pStyle w:val="TableParagraph"/>
              <w:spacing w:before="119"/>
              <w:ind w:left="106" w:right="191"/>
            </w:pPr>
            <w:r>
              <w:t>Reduced risk to consumers of inadvertent doping due to inclusion of WADC prohibited substances</w:t>
            </w:r>
          </w:p>
        </w:tc>
      </w:tr>
      <w:tr w:rsidR="007D76BB">
        <w:trPr>
          <w:trHeight w:val="2363"/>
        </w:trPr>
        <w:tc>
          <w:tcPr>
            <w:tcW w:w="1834" w:type="dxa"/>
            <w:shd w:val="clear" w:color="auto" w:fill="D2ECFF"/>
          </w:tcPr>
          <w:p w:rsidR="007D76BB" w:rsidRDefault="00D70D28">
            <w:pPr>
              <w:pStyle w:val="TableParagraph"/>
              <w:spacing w:before="119"/>
              <w:ind w:left="107" w:right="152"/>
              <w:rPr>
                <w:b/>
              </w:rPr>
            </w:pPr>
            <w:r>
              <w:t xml:space="preserve">Risk to consumers from food sports supplements containing </w:t>
            </w:r>
            <w:r>
              <w:rPr>
                <w:b/>
              </w:rPr>
              <w:t>scheduled substances</w:t>
            </w:r>
          </w:p>
        </w:tc>
        <w:tc>
          <w:tcPr>
            <w:tcW w:w="2268" w:type="dxa"/>
          </w:tcPr>
          <w:p w:rsidR="007D76BB" w:rsidRDefault="00D70D28">
            <w:pPr>
              <w:pStyle w:val="TableParagraph"/>
              <w:spacing w:before="119"/>
              <w:ind w:left="107" w:right="85"/>
            </w:pPr>
            <w:r>
              <w:t>Reduced risk to consumers due to increased ability of regulators to take compliance action against food products containing scheduled substances.</w:t>
            </w:r>
          </w:p>
        </w:tc>
        <w:tc>
          <w:tcPr>
            <w:tcW w:w="2410" w:type="dxa"/>
          </w:tcPr>
          <w:p w:rsidR="007D76BB" w:rsidRDefault="00D70D28">
            <w:pPr>
              <w:pStyle w:val="TableParagraph"/>
              <w:spacing w:before="119"/>
              <w:ind w:left="107" w:right="227"/>
            </w:pPr>
            <w:r>
              <w:t>Reduced risk to consumers due to increased ability of regulators to take compliance action against food products containing scheduled substances.</w:t>
            </w:r>
          </w:p>
        </w:tc>
        <w:tc>
          <w:tcPr>
            <w:tcW w:w="2540" w:type="dxa"/>
          </w:tcPr>
          <w:p w:rsidR="007D76BB" w:rsidRDefault="00D70D28">
            <w:pPr>
              <w:pStyle w:val="TableParagraph"/>
              <w:spacing w:before="119"/>
              <w:ind w:left="106" w:right="358"/>
            </w:pPr>
            <w:r>
              <w:t>Reduced risk to consumers due to increased ability of regulators to take compliance action against food products containing scheduled substances.</w:t>
            </w:r>
          </w:p>
        </w:tc>
      </w:tr>
      <w:tr w:rsidR="007D76BB">
        <w:trPr>
          <w:trHeight w:val="2879"/>
        </w:trPr>
        <w:tc>
          <w:tcPr>
            <w:tcW w:w="1834" w:type="dxa"/>
            <w:shd w:val="clear" w:color="auto" w:fill="D2ECFF"/>
          </w:tcPr>
          <w:p w:rsidR="007D76BB" w:rsidRDefault="00D70D28">
            <w:pPr>
              <w:pStyle w:val="TableParagraph"/>
              <w:spacing w:before="119"/>
              <w:ind w:left="107" w:right="152"/>
              <w:rPr>
                <w:b/>
              </w:rPr>
            </w:pPr>
            <w:r>
              <w:t xml:space="preserve">Risk to consumers from food sports supplements presented in </w:t>
            </w:r>
            <w:r>
              <w:rPr>
                <w:b/>
              </w:rPr>
              <w:t>medicinal forms</w:t>
            </w:r>
          </w:p>
        </w:tc>
        <w:tc>
          <w:tcPr>
            <w:tcW w:w="2268" w:type="dxa"/>
          </w:tcPr>
          <w:p w:rsidR="007D76BB" w:rsidRDefault="00D70D28">
            <w:pPr>
              <w:pStyle w:val="TableParagraph"/>
              <w:spacing w:before="119"/>
              <w:ind w:left="107" w:right="218"/>
            </w:pPr>
            <w:r>
              <w:t>Reduced risk to sports supplements presented in medicinal forms, as these will be subject to appropriate manufacturing, testing and labelling requirements.</w:t>
            </w:r>
          </w:p>
        </w:tc>
        <w:tc>
          <w:tcPr>
            <w:tcW w:w="2410" w:type="dxa"/>
          </w:tcPr>
          <w:p w:rsidR="007D76BB" w:rsidRDefault="00D70D28">
            <w:pPr>
              <w:pStyle w:val="TableParagraph"/>
              <w:spacing w:before="119"/>
              <w:ind w:left="107" w:right="124"/>
            </w:pPr>
            <w:r>
              <w:t>Reduced risk to sports supplements presented in medicinal forms, as these will be subject to appropriate manufacturing, testing and labelling requirements.</w:t>
            </w:r>
          </w:p>
        </w:tc>
        <w:tc>
          <w:tcPr>
            <w:tcW w:w="2540" w:type="dxa"/>
          </w:tcPr>
          <w:p w:rsidR="007D76BB" w:rsidRDefault="00D70D28">
            <w:pPr>
              <w:pStyle w:val="TableParagraph"/>
              <w:spacing w:before="119"/>
              <w:ind w:left="106" w:right="86"/>
            </w:pPr>
            <w:r>
              <w:t>Continued exposure to potential risks  from food sports supplements presented in medicinal forms as these will not be subject to appropriate manufacturing, testing and labelling requirements</w:t>
            </w:r>
          </w:p>
        </w:tc>
      </w:tr>
      <w:tr w:rsidR="007D76BB">
        <w:trPr>
          <w:trHeight w:val="3138"/>
        </w:trPr>
        <w:tc>
          <w:tcPr>
            <w:tcW w:w="1834" w:type="dxa"/>
            <w:shd w:val="clear" w:color="auto" w:fill="D2ECFF"/>
          </w:tcPr>
          <w:p w:rsidR="007D76BB" w:rsidRDefault="00D70D28">
            <w:pPr>
              <w:pStyle w:val="TableParagraph"/>
              <w:spacing w:before="119"/>
              <w:ind w:left="107" w:right="555"/>
            </w:pPr>
            <w:r>
              <w:t xml:space="preserve">Provision of </w:t>
            </w:r>
            <w:r>
              <w:rPr>
                <w:b/>
              </w:rPr>
              <w:t xml:space="preserve">clarity </w:t>
            </w:r>
            <w:r>
              <w:t>in legislation</w:t>
            </w:r>
          </w:p>
        </w:tc>
        <w:tc>
          <w:tcPr>
            <w:tcW w:w="2268" w:type="dxa"/>
          </w:tcPr>
          <w:p w:rsidR="007D76BB" w:rsidRDefault="00D70D28">
            <w:pPr>
              <w:pStyle w:val="TableParagraph"/>
              <w:spacing w:before="119"/>
              <w:ind w:left="107" w:right="213"/>
            </w:pPr>
            <w:r>
              <w:t>Improved enforcement against non-compliant businesses will support others that work to understand and comply with their regulatory obligations.</w:t>
            </w:r>
          </w:p>
        </w:tc>
        <w:tc>
          <w:tcPr>
            <w:tcW w:w="2410" w:type="dxa"/>
          </w:tcPr>
          <w:p w:rsidR="007D76BB" w:rsidRDefault="00D70D28">
            <w:pPr>
              <w:pStyle w:val="TableParagraph"/>
              <w:spacing w:before="119"/>
              <w:ind w:left="107" w:right="108"/>
            </w:pPr>
            <w:r>
              <w:t>Improved enforcement against non-compliant businesses will support others that work to understand and comply with their regulatory</w:t>
            </w:r>
            <w:r>
              <w:rPr>
                <w:spacing w:val="-5"/>
              </w:rPr>
              <w:t xml:space="preserve"> </w:t>
            </w:r>
            <w:r>
              <w:t>obligations.</w:t>
            </w:r>
          </w:p>
        </w:tc>
        <w:tc>
          <w:tcPr>
            <w:tcW w:w="2540" w:type="dxa"/>
          </w:tcPr>
          <w:p w:rsidR="007D76BB" w:rsidRDefault="00D70D28">
            <w:pPr>
              <w:pStyle w:val="TableParagraph"/>
              <w:spacing w:before="119"/>
              <w:ind w:left="106" w:right="96"/>
            </w:pPr>
            <w:r>
              <w:t>Regulatory ambiguity remains for sports supplements marketed as foods but presented in medicinal dosage forms. These good will continue to present at the FMI and require evaluation of a product’s status on a case by case basis</w:t>
            </w:r>
          </w:p>
        </w:tc>
      </w:tr>
    </w:tbl>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9"/>
        <w:rPr>
          <w:b/>
          <w:sz w:val="24"/>
        </w:rPr>
      </w:pPr>
    </w:p>
    <w:tbl>
      <w:tblPr>
        <w:tblW w:w="0" w:type="auto"/>
        <w:tblInd w:w="218" w:type="dxa"/>
        <w:tblBorders>
          <w:top w:val="single" w:sz="8" w:space="0" w:color="002C46"/>
          <w:left w:val="single" w:sz="8" w:space="0" w:color="002C46"/>
          <w:bottom w:val="single" w:sz="8" w:space="0" w:color="002C46"/>
          <w:right w:val="single" w:sz="8" w:space="0" w:color="002C46"/>
          <w:insideH w:val="single" w:sz="8" w:space="0" w:color="002C46"/>
          <w:insideV w:val="single" w:sz="8" w:space="0" w:color="002C46"/>
        </w:tblBorders>
        <w:tblLayout w:type="fixed"/>
        <w:tblCellMar>
          <w:left w:w="0" w:type="dxa"/>
          <w:right w:w="0" w:type="dxa"/>
        </w:tblCellMar>
        <w:tblLook w:val="01E0" w:firstRow="1" w:lastRow="1" w:firstColumn="1" w:lastColumn="1" w:noHBand="0" w:noVBand="0"/>
      </w:tblPr>
      <w:tblGrid>
        <w:gridCol w:w="1834"/>
        <w:gridCol w:w="2268"/>
        <w:gridCol w:w="2410"/>
        <w:gridCol w:w="2540"/>
      </w:tblGrid>
      <w:tr w:rsidR="007D76BB">
        <w:trPr>
          <w:trHeight w:val="1811"/>
        </w:trPr>
        <w:tc>
          <w:tcPr>
            <w:tcW w:w="1834" w:type="dxa"/>
            <w:tcBorders>
              <w:right w:val="nil"/>
            </w:tcBorders>
            <w:shd w:val="clear" w:color="auto" w:fill="006CA7"/>
          </w:tcPr>
          <w:p w:rsidR="007D76BB" w:rsidRDefault="007D76BB">
            <w:pPr>
              <w:pStyle w:val="TableParagraph"/>
              <w:rPr>
                <w:rFonts w:ascii="Times New Roman"/>
                <w:sz w:val="20"/>
              </w:rPr>
            </w:pPr>
          </w:p>
        </w:tc>
        <w:tc>
          <w:tcPr>
            <w:tcW w:w="2268" w:type="dxa"/>
            <w:tcBorders>
              <w:left w:val="nil"/>
              <w:right w:val="nil"/>
            </w:tcBorders>
            <w:shd w:val="clear" w:color="auto" w:fill="006CA7"/>
          </w:tcPr>
          <w:p w:rsidR="007D76BB" w:rsidRDefault="00D70D28">
            <w:pPr>
              <w:pStyle w:val="TableParagraph"/>
              <w:spacing w:before="122"/>
              <w:ind w:left="117"/>
              <w:jc w:val="both"/>
              <w:rPr>
                <w:rFonts w:ascii="Arial Black"/>
              </w:rPr>
            </w:pPr>
            <w:r>
              <w:rPr>
                <w:rFonts w:ascii="Arial Black"/>
                <w:color w:val="FFFFFF"/>
              </w:rPr>
              <w:t>Option 2A</w:t>
            </w:r>
          </w:p>
          <w:p w:rsidR="007D76BB" w:rsidRDefault="00D70D28">
            <w:pPr>
              <w:pStyle w:val="TableParagraph"/>
              <w:spacing w:before="16" w:line="264" w:lineRule="auto"/>
              <w:ind w:left="117" w:right="153"/>
              <w:jc w:val="both"/>
              <w:rPr>
                <w:rFonts w:ascii="Times New Roman"/>
                <w:sz w:val="19"/>
              </w:rPr>
            </w:pPr>
            <w:r>
              <w:rPr>
                <w:rFonts w:ascii="Times New Roman"/>
                <w:color w:val="FFFFFF"/>
                <w:sz w:val="19"/>
              </w:rPr>
              <w:t>Products with ingredients of concern or presented as tablets, capsules or pills.</w:t>
            </w:r>
          </w:p>
        </w:tc>
        <w:tc>
          <w:tcPr>
            <w:tcW w:w="2410" w:type="dxa"/>
            <w:tcBorders>
              <w:left w:val="nil"/>
              <w:right w:val="nil"/>
            </w:tcBorders>
            <w:shd w:val="clear" w:color="auto" w:fill="006CA7"/>
          </w:tcPr>
          <w:p w:rsidR="007D76BB" w:rsidRDefault="00D70D28">
            <w:pPr>
              <w:pStyle w:val="TableParagraph"/>
              <w:spacing w:before="122"/>
              <w:ind w:left="117"/>
              <w:rPr>
                <w:rFonts w:ascii="Arial Black"/>
              </w:rPr>
            </w:pPr>
            <w:r>
              <w:rPr>
                <w:rFonts w:ascii="Arial Black"/>
                <w:color w:val="FFFFFF"/>
              </w:rPr>
              <w:t>Option 2B</w:t>
            </w:r>
          </w:p>
          <w:p w:rsidR="007D76BB" w:rsidRDefault="00D70D28">
            <w:pPr>
              <w:pStyle w:val="TableParagraph"/>
              <w:spacing w:before="16" w:line="264" w:lineRule="auto"/>
              <w:ind w:left="117" w:right="125"/>
              <w:rPr>
                <w:rFonts w:ascii="Times New Roman"/>
                <w:sz w:val="19"/>
              </w:rPr>
            </w:pPr>
            <w:r>
              <w:rPr>
                <w:rFonts w:ascii="Times New Roman"/>
                <w:color w:val="FFFFFF"/>
                <w:sz w:val="19"/>
              </w:rPr>
              <w:t>Products with ingredients of concern (excluding the WADC Prohibited List) or presented as, tablets, capsules or pills.</w:t>
            </w:r>
          </w:p>
        </w:tc>
        <w:tc>
          <w:tcPr>
            <w:tcW w:w="2540" w:type="dxa"/>
            <w:tcBorders>
              <w:left w:val="nil"/>
            </w:tcBorders>
            <w:shd w:val="clear" w:color="auto" w:fill="006CA7"/>
          </w:tcPr>
          <w:p w:rsidR="007D76BB" w:rsidRDefault="00D70D28">
            <w:pPr>
              <w:pStyle w:val="TableParagraph"/>
              <w:spacing w:before="122"/>
              <w:ind w:left="116"/>
              <w:rPr>
                <w:rFonts w:ascii="Arial Black"/>
              </w:rPr>
            </w:pPr>
            <w:r>
              <w:rPr>
                <w:rFonts w:ascii="Arial Black"/>
                <w:color w:val="FFFFFF"/>
              </w:rPr>
              <w:t>Option 3</w:t>
            </w:r>
          </w:p>
          <w:p w:rsidR="007D76BB" w:rsidRDefault="00D70D28">
            <w:pPr>
              <w:pStyle w:val="TableParagraph"/>
              <w:spacing w:before="16" w:line="264" w:lineRule="auto"/>
              <w:ind w:left="116" w:right="178"/>
              <w:rPr>
                <w:rFonts w:ascii="Times New Roman"/>
                <w:sz w:val="19"/>
              </w:rPr>
            </w:pPr>
            <w:r>
              <w:rPr>
                <w:rFonts w:ascii="Times New Roman"/>
                <w:color w:val="FFFFFF"/>
                <w:sz w:val="19"/>
              </w:rPr>
              <w:t>Products with ingredients of concern (excludes products presented as tablets, capsules or pills).</w:t>
            </w:r>
          </w:p>
        </w:tc>
      </w:tr>
      <w:tr w:rsidR="007D76BB">
        <w:trPr>
          <w:trHeight w:val="3395"/>
        </w:trPr>
        <w:tc>
          <w:tcPr>
            <w:tcW w:w="1834" w:type="dxa"/>
            <w:shd w:val="clear" w:color="auto" w:fill="D2ECFF"/>
          </w:tcPr>
          <w:p w:rsidR="007D76BB" w:rsidRDefault="00D70D28">
            <w:pPr>
              <w:pStyle w:val="TableParagraph"/>
              <w:spacing w:before="119"/>
              <w:ind w:left="107" w:right="516"/>
              <w:rPr>
                <w:b/>
              </w:rPr>
            </w:pPr>
            <w:r>
              <w:t xml:space="preserve">Effect on Government </w:t>
            </w:r>
            <w:r>
              <w:rPr>
                <w:b/>
              </w:rPr>
              <w:t>resources</w:t>
            </w:r>
          </w:p>
        </w:tc>
        <w:tc>
          <w:tcPr>
            <w:tcW w:w="2268" w:type="dxa"/>
          </w:tcPr>
          <w:p w:rsidR="007D76BB" w:rsidRDefault="00D70D28">
            <w:pPr>
              <w:pStyle w:val="TableParagraph"/>
              <w:spacing w:before="119"/>
              <w:ind w:left="107" w:right="75"/>
            </w:pPr>
            <w:r>
              <w:t>Reduced waste of Government resources in pursuing legal proceedings against high-risk products.</w:t>
            </w:r>
          </w:p>
        </w:tc>
        <w:tc>
          <w:tcPr>
            <w:tcW w:w="2410" w:type="dxa"/>
          </w:tcPr>
          <w:p w:rsidR="007D76BB" w:rsidRDefault="00D70D28">
            <w:pPr>
              <w:pStyle w:val="TableParagraph"/>
              <w:spacing w:before="119"/>
              <w:ind w:left="107" w:right="138"/>
            </w:pPr>
            <w:r>
              <w:t>Reduced waste of Government resources in pursuing legal proceedings against high-risk products.</w:t>
            </w:r>
          </w:p>
          <w:p w:rsidR="007D76BB" w:rsidRDefault="00D70D28">
            <w:pPr>
              <w:pStyle w:val="TableParagraph"/>
              <w:spacing w:before="182"/>
              <w:ind w:left="107" w:right="77"/>
            </w:pPr>
            <w:r>
              <w:t>Requires significantly greater resources to implement than Option 2A or Option 3.</w:t>
            </w:r>
          </w:p>
        </w:tc>
        <w:tc>
          <w:tcPr>
            <w:tcW w:w="2540" w:type="dxa"/>
          </w:tcPr>
          <w:p w:rsidR="007D76BB" w:rsidRDefault="00D70D28">
            <w:pPr>
              <w:pStyle w:val="TableParagraph"/>
              <w:spacing w:before="119"/>
              <w:ind w:left="107" w:right="165"/>
            </w:pPr>
            <w:r>
              <w:t>While there may be a reduction in the waste of Government resources in pursuing legal proceedings against high-risk products, such proceedings may still occur in relation to sports food products in medicinal dosage forms presenting at the FMI</w:t>
            </w:r>
          </w:p>
        </w:tc>
      </w:tr>
      <w:tr w:rsidR="007D76BB">
        <w:trPr>
          <w:trHeight w:val="2106"/>
        </w:trPr>
        <w:tc>
          <w:tcPr>
            <w:tcW w:w="1834" w:type="dxa"/>
            <w:shd w:val="clear" w:color="auto" w:fill="D2ECFF"/>
          </w:tcPr>
          <w:p w:rsidR="007D76BB" w:rsidRDefault="00D70D28">
            <w:pPr>
              <w:pStyle w:val="TableParagraph"/>
              <w:spacing w:before="119"/>
              <w:ind w:left="107" w:right="396"/>
              <w:rPr>
                <w:b/>
              </w:rPr>
            </w:pPr>
            <w:r>
              <w:t xml:space="preserve">Effect on manufacturer </w:t>
            </w:r>
            <w:r>
              <w:rPr>
                <w:b/>
              </w:rPr>
              <w:t>compliance</w:t>
            </w:r>
          </w:p>
        </w:tc>
        <w:tc>
          <w:tcPr>
            <w:tcW w:w="2268" w:type="dxa"/>
          </w:tcPr>
          <w:p w:rsidR="007D76BB" w:rsidRDefault="00D70D28">
            <w:pPr>
              <w:pStyle w:val="TableParagraph"/>
              <w:spacing w:before="119"/>
              <w:ind w:left="107" w:right="173"/>
            </w:pPr>
            <w:r>
              <w:t>Reduced inadvertent non-compliance.</w:t>
            </w:r>
          </w:p>
        </w:tc>
        <w:tc>
          <w:tcPr>
            <w:tcW w:w="2410" w:type="dxa"/>
          </w:tcPr>
          <w:p w:rsidR="007D76BB" w:rsidRDefault="00D70D28">
            <w:pPr>
              <w:pStyle w:val="TableParagraph"/>
              <w:spacing w:before="119"/>
              <w:ind w:left="107" w:right="315"/>
            </w:pPr>
            <w:r>
              <w:t>Reduced inadvertent non-compliance.</w:t>
            </w:r>
          </w:p>
        </w:tc>
        <w:tc>
          <w:tcPr>
            <w:tcW w:w="2540" w:type="dxa"/>
          </w:tcPr>
          <w:p w:rsidR="007D76BB" w:rsidRDefault="00D70D28">
            <w:pPr>
              <w:pStyle w:val="TableParagraph"/>
              <w:spacing w:before="119"/>
              <w:ind w:left="106" w:right="242"/>
            </w:pPr>
            <w:r>
              <w:t>There may still be inadvertent sponsor noncompliance due to the ambiguity for food sports supplements presented in medicinal dosage forms.</w:t>
            </w:r>
          </w:p>
        </w:tc>
      </w:tr>
      <w:tr w:rsidR="007D76BB">
        <w:trPr>
          <w:trHeight w:val="4347"/>
        </w:trPr>
        <w:tc>
          <w:tcPr>
            <w:tcW w:w="1834" w:type="dxa"/>
            <w:shd w:val="clear" w:color="auto" w:fill="D2ECFF"/>
          </w:tcPr>
          <w:p w:rsidR="007D76BB" w:rsidRDefault="00D70D28">
            <w:pPr>
              <w:pStyle w:val="TableParagraph"/>
              <w:spacing w:before="119"/>
              <w:ind w:left="107" w:right="615"/>
            </w:pPr>
            <w:r>
              <w:t>Effect on products in scope of proposed declaration</w:t>
            </w:r>
          </w:p>
        </w:tc>
        <w:tc>
          <w:tcPr>
            <w:tcW w:w="2268" w:type="dxa"/>
          </w:tcPr>
          <w:p w:rsidR="007D76BB" w:rsidRDefault="00D70D28">
            <w:pPr>
              <w:pStyle w:val="TableParagraph"/>
              <w:spacing w:before="119"/>
              <w:ind w:left="107" w:right="272"/>
            </w:pPr>
            <w:r>
              <w:t xml:space="preserve">Reformulation ~ </w:t>
            </w:r>
            <w:r>
              <w:rPr>
                <w:spacing w:val="-7"/>
              </w:rPr>
              <w:t xml:space="preserve">93 </w:t>
            </w:r>
            <w:r>
              <w:t>products</w:t>
            </w:r>
          </w:p>
          <w:p w:rsidR="007D76BB" w:rsidRDefault="00D70D28">
            <w:pPr>
              <w:pStyle w:val="TableParagraph"/>
              <w:ind w:left="106" w:right="220"/>
            </w:pPr>
            <w:r>
              <w:t>Entry in the ARTG ~ 87 products Withdrawal from market ~ 86 products</w:t>
            </w:r>
          </w:p>
        </w:tc>
        <w:tc>
          <w:tcPr>
            <w:tcW w:w="2410" w:type="dxa"/>
          </w:tcPr>
          <w:p w:rsidR="007D76BB" w:rsidRDefault="00D70D28">
            <w:pPr>
              <w:pStyle w:val="TableParagraph"/>
              <w:spacing w:before="119"/>
              <w:ind w:left="106" w:right="413"/>
            </w:pPr>
            <w:r>
              <w:t xml:space="preserve">Reformulation ~ </w:t>
            </w:r>
            <w:r>
              <w:rPr>
                <w:spacing w:val="-6"/>
              </w:rPr>
              <w:t xml:space="preserve">93 </w:t>
            </w:r>
            <w:r>
              <w:t>products</w:t>
            </w:r>
          </w:p>
          <w:p w:rsidR="007D76BB" w:rsidRDefault="00D70D28">
            <w:pPr>
              <w:pStyle w:val="TableParagraph"/>
              <w:ind w:left="106" w:right="70"/>
            </w:pPr>
            <w:r>
              <w:t>Entry in the ARTG ~ 87 products</w:t>
            </w:r>
          </w:p>
          <w:p w:rsidR="007D76BB" w:rsidRDefault="00D70D28">
            <w:pPr>
              <w:pStyle w:val="TableParagraph"/>
              <w:ind w:left="106" w:right="200"/>
            </w:pPr>
            <w:r>
              <w:t>Withdrawal from market ~ 86 products</w:t>
            </w:r>
          </w:p>
          <w:p w:rsidR="007D76BB" w:rsidRDefault="00D70D28">
            <w:pPr>
              <w:pStyle w:val="TableParagraph"/>
              <w:spacing w:before="181"/>
              <w:ind w:left="106" w:right="102"/>
            </w:pPr>
            <w:r>
              <w:t xml:space="preserve">These figures may be slightly less as some products may include WADC Prohibited substances that are </w:t>
            </w:r>
            <w:r>
              <w:rPr>
                <w:spacing w:val="-5"/>
              </w:rPr>
              <w:t xml:space="preserve">not </w:t>
            </w:r>
            <w:r>
              <w:t>yet scheduled or included in the Relevant substance list.</w:t>
            </w:r>
          </w:p>
        </w:tc>
        <w:tc>
          <w:tcPr>
            <w:tcW w:w="2540" w:type="dxa"/>
          </w:tcPr>
          <w:p w:rsidR="007D76BB" w:rsidRDefault="00D70D28">
            <w:pPr>
              <w:pStyle w:val="TableParagraph"/>
              <w:spacing w:before="119"/>
              <w:ind w:left="106" w:right="191"/>
            </w:pPr>
            <w:r>
              <w:t xml:space="preserve">Reformulation </w:t>
            </w:r>
            <w:r>
              <w:rPr>
                <w:spacing w:val="-5"/>
              </w:rPr>
              <w:t xml:space="preserve">~85 </w:t>
            </w:r>
            <w:r>
              <w:t>products</w:t>
            </w:r>
          </w:p>
          <w:p w:rsidR="007D76BB" w:rsidRDefault="00D70D28">
            <w:pPr>
              <w:pStyle w:val="TableParagraph"/>
              <w:ind w:left="106" w:right="260"/>
            </w:pPr>
            <w:r>
              <w:t xml:space="preserve">Entry in the ARTG </w:t>
            </w:r>
            <w:r>
              <w:rPr>
                <w:spacing w:val="-4"/>
              </w:rPr>
              <w:t xml:space="preserve">~40 </w:t>
            </w:r>
            <w:r>
              <w:t>products</w:t>
            </w:r>
          </w:p>
          <w:p w:rsidR="007D76BB" w:rsidRDefault="00D70D28">
            <w:pPr>
              <w:pStyle w:val="TableParagraph"/>
              <w:ind w:left="106" w:right="378"/>
            </w:pPr>
            <w:r>
              <w:t>Withdrawal from market ~40 products</w:t>
            </w:r>
          </w:p>
        </w:tc>
      </w:tr>
      <w:tr w:rsidR="007D76BB">
        <w:trPr>
          <w:trHeight w:val="1590"/>
        </w:trPr>
        <w:tc>
          <w:tcPr>
            <w:tcW w:w="1834" w:type="dxa"/>
            <w:shd w:val="clear" w:color="auto" w:fill="D2ECFF"/>
          </w:tcPr>
          <w:p w:rsidR="007D76BB" w:rsidRDefault="00D70D28">
            <w:pPr>
              <w:pStyle w:val="TableParagraph"/>
              <w:spacing w:before="119"/>
              <w:ind w:left="107" w:right="172"/>
            </w:pPr>
            <w:r>
              <w:t>Average annual regulatory costs</w:t>
            </w:r>
          </w:p>
          <w:p w:rsidR="007D76BB" w:rsidRDefault="00D70D28">
            <w:pPr>
              <w:pStyle w:val="TableParagraph"/>
              <w:ind w:left="107" w:right="531"/>
            </w:pPr>
            <w:r>
              <w:t>/10 years (Noetic Appendix 1)</w:t>
            </w:r>
          </w:p>
        </w:tc>
        <w:tc>
          <w:tcPr>
            <w:tcW w:w="2268" w:type="dxa"/>
          </w:tcPr>
          <w:p w:rsidR="007D76BB" w:rsidRDefault="00D70D28">
            <w:pPr>
              <w:pStyle w:val="TableParagraph"/>
              <w:spacing w:before="119"/>
              <w:ind w:left="107"/>
            </w:pPr>
            <w:r>
              <w:t>$0.22m</w:t>
            </w:r>
          </w:p>
        </w:tc>
        <w:tc>
          <w:tcPr>
            <w:tcW w:w="2410" w:type="dxa"/>
          </w:tcPr>
          <w:p w:rsidR="007D76BB" w:rsidRDefault="00D70D28">
            <w:pPr>
              <w:pStyle w:val="TableParagraph"/>
              <w:spacing w:before="119"/>
              <w:ind w:left="107"/>
            </w:pPr>
            <w:r>
              <w:t>$0.22m</w:t>
            </w:r>
          </w:p>
        </w:tc>
        <w:tc>
          <w:tcPr>
            <w:tcW w:w="2540" w:type="dxa"/>
          </w:tcPr>
          <w:p w:rsidR="007D76BB" w:rsidRDefault="00D70D28">
            <w:pPr>
              <w:pStyle w:val="TableParagraph"/>
              <w:spacing w:before="119"/>
              <w:ind w:left="106"/>
            </w:pPr>
            <w:r>
              <w:t>$0.12m</w:t>
            </w:r>
          </w:p>
        </w:tc>
      </w:tr>
    </w:tbl>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b/>
          <w:sz w:val="16"/>
        </w:rPr>
      </w:pPr>
    </w:p>
    <w:p w:rsidR="007D76BB" w:rsidRDefault="00D70D28">
      <w:pPr>
        <w:pStyle w:val="BodyText"/>
        <w:spacing w:before="101"/>
        <w:ind w:left="198" w:right="634"/>
      </w:pPr>
      <w:r>
        <w:t xml:space="preserve">Option 2B may provide less regulatory uncertainty for industry but appears to represent the same level of regulatory burden, particularly as the substances from the WADC Prohibited List that are not expressly scheduled may be included in the list of Relevant substance or subject to a scheduling application. Given Australia is a state party to the UNESCO Convention </w:t>
      </w:r>
      <w:proofErr w:type="gramStart"/>
      <w:r>
        <w:t>Against</w:t>
      </w:r>
      <w:proofErr w:type="gramEnd"/>
      <w:r>
        <w:t xml:space="preserve"> Doping in Sport, Australia has a commitment to limit the availability of prohibited substances in in sport that Option 2B may be seen as failing to meet.</w:t>
      </w:r>
    </w:p>
    <w:p w:rsidR="007D76BB" w:rsidRDefault="00D70D28">
      <w:pPr>
        <w:pStyle w:val="BodyText"/>
        <w:spacing w:before="181"/>
        <w:ind w:left="198" w:right="582"/>
      </w:pPr>
      <w:r>
        <w:t xml:space="preserve">Healthcare professionals, government bodies, regulatory bodies, athletes and sports associations strongly </w:t>
      </w:r>
      <w:proofErr w:type="spellStart"/>
      <w:r>
        <w:t>favoured</w:t>
      </w:r>
      <w:proofErr w:type="spellEnd"/>
      <w:r>
        <w:t xml:space="preserve"> the inclusion of products containing WADC prohibited substances in scope of the declaration. However, other consumers, retailers and manufacturer contested that it is a consumer’s right to be able to consume such substances, based on their own personal risk/benefit assessment.</w:t>
      </w:r>
    </w:p>
    <w:p w:rsidR="007D76BB" w:rsidRDefault="00D70D28">
      <w:pPr>
        <w:pStyle w:val="BodyText"/>
        <w:spacing w:before="181"/>
        <w:ind w:left="198" w:right="599"/>
      </w:pPr>
      <w:r>
        <w:t xml:space="preserve">Without inclusion of the WADC Prohibited List, implementation of the reform would require considerable Government resources to achieve the same effect, causing Option 2B to be a much less efficient mechanism for achieving the proposal’s intent without any considerable increase in benefits to industry or consumers. Rather, there is an increased risk to consumers of unknowing exposure to WADC Prohibited substances until these substances are evaluated by the TGA for inclusion in the </w:t>
      </w:r>
      <w:proofErr w:type="gramStart"/>
      <w:r>
        <w:t>Relevant</w:t>
      </w:r>
      <w:proofErr w:type="gramEnd"/>
      <w:r>
        <w:t xml:space="preserve"> substance list or the Poisons Standard.</w:t>
      </w:r>
    </w:p>
    <w:p w:rsidR="007D76BB" w:rsidRDefault="00D70D28">
      <w:pPr>
        <w:pStyle w:val="BodyText"/>
        <w:spacing w:before="178"/>
        <w:ind w:left="198" w:right="621"/>
      </w:pPr>
      <w:r>
        <w:t>Option 3 is not preferred as it is considered that products making therapeutic indications and presented in medicinal forms more closely align with their being regulated under the therapeutic goods framework. These dosage forms are generally used to deliver concentrated amounts of ‘active’ ingredients and there is a potential for batch variation and accidental overdose if not manufactured safely. Without legal clarity on the jurisdictional responsibility for these products, there will continue to be regulatory uncertainty requiring complex technical FMI assessments thereby delaying action to protect public health when safety concern</w:t>
      </w:r>
      <w:r>
        <w:rPr>
          <w:spacing w:val="-19"/>
        </w:rPr>
        <w:t xml:space="preserve"> </w:t>
      </w:r>
      <w:r>
        <w:t>arises.</w:t>
      </w:r>
    </w:p>
    <w:p w:rsidR="007D76BB" w:rsidRDefault="00D70D28">
      <w:pPr>
        <w:pStyle w:val="BodyText"/>
        <w:spacing w:before="182"/>
        <w:ind w:left="197" w:right="687"/>
      </w:pPr>
      <w:r>
        <w:t xml:space="preserve">Implementation of all the elements of Option 2A will clarify that sports supplements containing certain ingredients (i.e. substances in the Poisons Standard, WADC Prohibited list or </w:t>
      </w:r>
      <w:proofErr w:type="gramStart"/>
      <w:r>
        <w:t>Relevant</w:t>
      </w:r>
      <w:proofErr w:type="gramEnd"/>
      <w:r>
        <w:t xml:space="preserve"> substance list) and/or presented in the form of a tablet, capsule or pill are therapeutic goods in law. Option 2A represents a considered regulatory approach, which has been fully consulted on, that would address many of the safety concerns surrounding the use of sports supplements, while imposing the minimum necessary regulatory burden.</w:t>
      </w:r>
    </w:p>
    <w:p w:rsidR="007D76BB" w:rsidRDefault="00D70D28">
      <w:pPr>
        <w:pStyle w:val="BodyText"/>
        <w:spacing w:before="178"/>
        <w:ind w:left="197" w:right="634"/>
      </w:pPr>
      <w:r>
        <w:t xml:space="preserve">Providing greater clarity for manufacturers and producers of sports supplements will assist them in meeting their obligations, as well as setting a clear standard for Australian supplements that may boost their existing reputation as high-quality products and therefore their desirability in the international market. It also will complement the FSANZ review of the Food Standard and align the </w:t>
      </w:r>
      <w:r>
        <w:lastRenderedPageBreak/>
        <w:t>approaches of FSANZ and the TGA to the regulation of these products.</w:t>
      </w:r>
    </w:p>
    <w:p w:rsidR="007D76BB" w:rsidRDefault="00D70D28">
      <w:pPr>
        <w:pStyle w:val="BodyText"/>
        <w:spacing w:before="182"/>
        <w:ind w:left="197" w:right="789"/>
      </w:pPr>
      <w:r>
        <w:t>The proposal has received broad support from all areas involved in the regulation of food, including the state and territory food regulation authorities, FSANZ and the Department of Agriculture Imported Food Section. It also has the support of health professionals and sporting bodies, including ASADA, as it will provide a safeguard for consumers.</w:t>
      </w:r>
    </w:p>
    <w:p w:rsidR="007D76BB" w:rsidRDefault="00D70D28">
      <w:pPr>
        <w:pStyle w:val="BodyText"/>
        <w:spacing w:before="180"/>
        <w:ind w:left="197" w:right="683"/>
      </w:pPr>
      <w:r>
        <w:t>Stakeholder consultation on this proposal identified that there are some legitimate food products that exist in tablet, capsule or pill form for various reasons, such as products with food ingredients encapsulated due to taste (for example spirulina, apple cider vinegar, fermented soy). Many of these examples may not meet the ‘therapeutic use in sport’ criteria and so would not be affected under the proposal.</w:t>
      </w:r>
    </w:p>
    <w:p w:rsidR="007D76BB" w:rsidRDefault="00D70D28">
      <w:pPr>
        <w:pStyle w:val="BodyText"/>
        <w:spacing w:before="179"/>
        <w:ind w:left="197" w:right="660"/>
      </w:pPr>
      <w:r>
        <w:t>Consideration has been given to products (such as glucose tablets) not intended to be included under Option 2A but which may be affected inadvertently. During the consultation process, industry was asked to identify any other relevant examples for consideration, but as no additional products were provided it is assumed there are only a small number of food products that may inadvertently be declared therapeutic goods under the proposal. These products are</w:t>
      </w:r>
    </w:p>
    <w:p w:rsidR="007D76BB" w:rsidRDefault="007D76BB">
      <w:pPr>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8" w:right="665"/>
      </w:pPr>
      <w:proofErr w:type="gramStart"/>
      <w:r>
        <w:t>considered</w:t>
      </w:r>
      <w:proofErr w:type="gramEnd"/>
      <w:r>
        <w:t xml:space="preserve"> the exception, rather than the rule, for this product class and dosage form and so are recommended to be managed by exclusion, particularly in light of the safety risks outlined.</w:t>
      </w:r>
    </w:p>
    <w:p w:rsidR="007D76BB" w:rsidRDefault="00D70D28">
      <w:pPr>
        <w:pStyle w:val="BodyText"/>
        <w:ind w:left="198" w:right="841"/>
      </w:pPr>
      <w:r>
        <w:t>Specific efforts will be given to avoiding such products’ inclusion under the declaration should the preferred option be implemented.</w:t>
      </w:r>
    </w:p>
    <w:p w:rsidR="007D76BB" w:rsidRDefault="00D70D28">
      <w:pPr>
        <w:pStyle w:val="BodyText"/>
        <w:spacing w:before="181"/>
        <w:ind w:left="198" w:right="644"/>
      </w:pPr>
      <w:r>
        <w:t>Taking relevant considerations into account it is considered that Option 2A provides the highest net benefit as it best mitigates the actual and potential safety risks posed by two categories of sports supplements, currently being marketed as foods in Australia, while imposing the minimal necessary regulatory burden.</w:t>
      </w:r>
    </w:p>
    <w:p w:rsidR="007D76BB" w:rsidRDefault="007D76BB">
      <w:pPr>
        <w:pStyle w:val="BodyText"/>
        <w:rPr>
          <w:sz w:val="26"/>
        </w:rPr>
      </w:pPr>
    </w:p>
    <w:p w:rsidR="007D76BB" w:rsidRDefault="00D70D28">
      <w:pPr>
        <w:pStyle w:val="Heading2"/>
        <w:spacing w:before="172"/>
      </w:pPr>
      <w:bookmarkStart w:id="130" w:name="Implementation_and_evaluation"/>
      <w:bookmarkStart w:id="131" w:name="_bookmark61"/>
      <w:bookmarkEnd w:id="130"/>
      <w:bookmarkEnd w:id="131"/>
      <w:r>
        <w:t>Implementation and evaluation</w:t>
      </w:r>
    </w:p>
    <w:p w:rsidR="007D76BB" w:rsidRDefault="007D76BB">
      <w:pPr>
        <w:pStyle w:val="BodyText"/>
        <w:spacing w:before="7"/>
        <w:rPr>
          <w:rFonts w:ascii="Arial"/>
          <w:b/>
          <w:sz w:val="41"/>
        </w:rPr>
      </w:pPr>
    </w:p>
    <w:p w:rsidR="007D76BB" w:rsidRDefault="00D70D28">
      <w:pPr>
        <w:pStyle w:val="Heading3"/>
        <w:spacing w:before="0"/>
      </w:pPr>
      <w:bookmarkStart w:id="132" w:name="Implementation"/>
      <w:bookmarkStart w:id="133" w:name="_bookmark62"/>
      <w:bookmarkEnd w:id="132"/>
      <w:bookmarkEnd w:id="133"/>
      <w:r>
        <w:t>Implementation</w:t>
      </w:r>
    </w:p>
    <w:p w:rsidR="007D76BB" w:rsidRDefault="00D70D28">
      <w:pPr>
        <w:pStyle w:val="BodyText"/>
        <w:spacing w:before="126"/>
        <w:ind w:left="198" w:right="751"/>
      </w:pPr>
      <w:r>
        <w:t>When designing the implementation and considering the transition approach, the TGA took the following considerations into account:</w:t>
      </w:r>
    </w:p>
    <w:p w:rsidR="007D76BB" w:rsidRDefault="00D70D28">
      <w:pPr>
        <w:pStyle w:val="ListParagraph"/>
        <w:numPr>
          <w:ilvl w:val="0"/>
          <w:numId w:val="72"/>
        </w:numPr>
        <w:tabs>
          <w:tab w:val="left" w:pos="558"/>
          <w:tab w:val="left" w:pos="559"/>
        </w:tabs>
        <w:spacing w:before="120"/>
        <w:ind w:left="558" w:right="1084" w:hanging="360"/>
      </w:pPr>
      <w:r>
        <w:t>The need to implement the changes as quickly as reasonable, while keeping in mind any additional regulatory burden the changes will</w:t>
      </w:r>
      <w:r>
        <w:rPr>
          <w:spacing w:val="-8"/>
        </w:rPr>
        <w:t xml:space="preserve"> </w:t>
      </w:r>
      <w:r>
        <w:t>impose.</w:t>
      </w:r>
    </w:p>
    <w:p w:rsidR="007D76BB" w:rsidRDefault="00D70D28">
      <w:pPr>
        <w:pStyle w:val="ListParagraph"/>
        <w:numPr>
          <w:ilvl w:val="0"/>
          <w:numId w:val="72"/>
        </w:numPr>
        <w:tabs>
          <w:tab w:val="left" w:pos="558"/>
          <w:tab w:val="left" w:pos="559"/>
        </w:tabs>
        <w:spacing w:before="178"/>
        <w:ind w:left="558" w:right="603"/>
      </w:pPr>
      <w:r>
        <w:t>Allowing reasonable time for those manufacturers that are required to obtain compliance for their products, as either foods or</w:t>
      </w:r>
      <w:r>
        <w:rPr>
          <w:spacing w:val="-9"/>
        </w:rPr>
        <w:t xml:space="preserve"> </w:t>
      </w:r>
      <w:r>
        <w:t>medicines.</w:t>
      </w:r>
    </w:p>
    <w:p w:rsidR="007D76BB" w:rsidRDefault="00D70D28">
      <w:pPr>
        <w:pStyle w:val="BodyText"/>
        <w:spacing w:before="180"/>
        <w:ind w:left="198" w:right="1294"/>
      </w:pPr>
      <w:r>
        <w:t>The consultation period for this work, which commenced in 2019, has already resulted in increased understanding of affected stakeholders.</w:t>
      </w:r>
    </w:p>
    <w:p w:rsidR="007D76BB" w:rsidRDefault="00D70D28">
      <w:pPr>
        <w:pStyle w:val="BodyText"/>
        <w:spacing w:before="120"/>
        <w:ind w:left="198" w:right="877"/>
      </w:pPr>
      <w:r>
        <w:t>If a decision is made by the Government to implement Option 2A, the implementation process will include:</w:t>
      </w:r>
    </w:p>
    <w:p w:rsidR="007D76BB" w:rsidRDefault="00D70D28">
      <w:pPr>
        <w:pStyle w:val="Heading7"/>
      </w:pPr>
      <w:r>
        <w:t>Development of the Section 7 declaration instrument</w:t>
      </w:r>
    </w:p>
    <w:p w:rsidR="007D76BB" w:rsidRDefault="00D70D28">
      <w:pPr>
        <w:pStyle w:val="BodyText"/>
        <w:spacing w:before="182"/>
        <w:ind w:left="198" w:right="601"/>
      </w:pPr>
      <w:r>
        <w:t>A Section 7 declaration will be drafted and subject to internal and external targeted consultation, the delegate of the Secretary of the Department of Health will make the declaration, which will be a disallowable instrument. The expected publication on the Federal Register of Legislative Instruments and effective date is anticipated to be around August</w:t>
      </w:r>
      <w:r>
        <w:rPr>
          <w:spacing w:val="-9"/>
        </w:rPr>
        <w:t xml:space="preserve"> </w:t>
      </w:r>
      <w:r>
        <w:t>2020.</w:t>
      </w:r>
    </w:p>
    <w:p w:rsidR="007D76BB" w:rsidRDefault="00D70D28">
      <w:pPr>
        <w:pStyle w:val="Heading7"/>
        <w:ind w:left="197"/>
      </w:pPr>
      <w:r>
        <w:t>Transition</w:t>
      </w:r>
    </w:p>
    <w:p w:rsidR="007D76BB" w:rsidRDefault="00D70D28">
      <w:pPr>
        <w:pStyle w:val="BodyText"/>
        <w:spacing w:before="179"/>
        <w:ind w:left="197" w:right="632"/>
      </w:pPr>
      <w:r>
        <w:t xml:space="preserve">In general, sports supplements that are being supplied in Australia prior to this commencement date, and that would be affected by the proposed reforms, would have the benefit of 3-year transition period to comply with the legislative requirements for foods or medicines, as applicable. The transition period is expected to allow suppliers to use up their stock in trade and help to </w:t>
      </w:r>
      <w:proofErr w:type="spellStart"/>
      <w:r>
        <w:t>minimise</w:t>
      </w:r>
      <w:proofErr w:type="spellEnd"/>
      <w:r>
        <w:t xml:space="preserve"> the disruption of the revised requirements.</w:t>
      </w:r>
    </w:p>
    <w:p w:rsidR="007D76BB" w:rsidRDefault="00D70D28">
      <w:pPr>
        <w:pStyle w:val="BodyText"/>
        <w:spacing w:before="119"/>
        <w:ind w:left="197" w:right="916"/>
      </w:pPr>
      <w:r>
        <w:t>For products containing substances of significant safety con</w:t>
      </w:r>
      <w:r>
        <w:lastRenderedPageBreak/>
        <w:t>cerns to consumers (for example, prescription medicine ingredients) the legislation will be applicable from the effective date of the Section 7 declaration, which will enable swift enforcement action by the regulator in the interest of protecting public safety.</w:t>
      </w:r>
    </w:p>
    <w:p w:rsidR="007D76BB" w:rsidRDefault="00D70D28">
      <w:pPr>
        <w:pStyle w:val="Heading7"/>
        <w:ind w:left="197"/>
      </w:pPr>
      <w:r>
        <w:t>Education</w:t>
      </w:r>
    </w:p>
    <w:p w:rsidR="007D76BB" w:rsidRDefault="00D70D28">
      <w:pPr>
        <w:pStyle w:val="BodyText"/>
        <w:spacing w:before="182"/>
        <w:ind w:left="197" w:right="673"/>
        <w:jc w:val="both"/>
      </w:pPr>
      <w:r>
        <w:t>The implementation of the proposed reforms would require an education effort from the TGA in collaboration with FSANZ. The TGA will publish guidance material on the TGA website and hold stakeholder workshops/webinars.</w:t>
      </w:r>
    </w:p>
    <w:p w:rsidR="007D76BB" w:rsidRDefault="007D76BB">
      <w:pPr>
        <w:jc w:val="both"/>
        <w:sectPr w:rsidR="007D76BB">
          <w:pgSz w:w="11910" w:h="16840"/>
          <w:pgMar w:top="840" w:right="820" w:bottom="1360" w:left="1220" w:header="572" w:footer="1178" w:gutter="0"/>
          <w:cols w:space="720"/>
        </w:sectPr>
      </w:pPr>
    </w:p>
    <w:p w:rsidR="007D76BB" w:rsidRDefault="007D76BB">
      <w:pPr>
        <w:pStyle w:val="BodyText"/>
        <w:spacing w:before="1"/>
        <w:rPr>
          <w:sz w:val="16"/>
        </w:rPr>
      </w:pPr>
    </w:p>
    <w:p w:rsidR="007D76BB" w:rsidRDefault="00D70D28">
      <w:pPr>
        <w:pStyle w:val="BodyText"/>
        <w:spacing w:before="101"/>
        <w:ind w:left="198"/>
      </w:pPr>
      <w:r>
        <w:t>The TGA will also work collaboratively with Sport Integrity Australia</w:t>
      </w:r>
      <w:hyperlink w:anchor="_bookmark64" w:history="1">
        <w:r>
          <w:rPr>
            <w:position w:val="5"/>
            <w:sz w:val="14"/>
          </w:rPr>
          <w:t>14</w:t>
        </w:r>
      </w:hyperlink>
      <w:r>
        <w:rPr>
          <w:position w:val="5"/>
          <w:sz w:val="14"/>
        </w:rPr>
        <w:t xml:space="preserve"> </w:t>
      </w:r>
      <w:r>
        <w:t>in providing education to athletes.</w:t>
      </w:r>
    </w:p>
    <w:p w:rsidR="007D76BB" w:rsidRDefault="00D70D28">
      <w:pPr>
        <w:pStyle w:val="BodyText"/>
        <w:spacing w:before="180"/>
        <w:ind w:left="197" w:right="616"/>
      </w:pPr>
      <w:r>
        <w:t>An education program will be put in place and resources provided to the ABF to allow for faster decision making on products, which will enable a greater number of products to be assessed and improve compliance in this area.</w:t>
      </w:r>
    </w:p>
    <w:p w:rsidR="007D76BB" w:rsidRDefault="00D70D28">
      <w:pPr>
        <w:pStyle w:val="Heading7"/>
        <w:spacing w:before="182"/>
        <w:ind w:left="197"/>
      </w:pPr>
      <w:r>
        <w:t>TGA surveillance program</w:t>
      </w:r>
    </w:p>
    <w:p w:rsidR="007D76BB" w:rsidRDefault="00D70D28">
      <w:pPr>
        <w:pStyle w:val="BodyText"/>
        <w:spacing w:before="179"/>
        <w:ind w:left="197" w:right="1587"/>
      </w:pPr>
      <w:r>
        <w:t>The TGA will develop an enhanced post market testing laboratory program for sports supplements to identify ingredients of concern and take regulatory action as required.</w:t>
      </w:r>
    </w:p>
    <w:p w:rsidR="007D76BB" w:rsidRDefault="007D76BB">
      <w:pPr>
        <w:pStyle w:val="BodyText"/>
        <w:rPr>
          <w:sz w:val="26"/>
        </w:rPr>
      </w:pPr>
    </w:p>
    <w:p w:rsidR="007D76BB" w:rsidRDefault="00D70D28">
      <w:pPr>
        <w:pStyle w:val="Heading3"/>
        <w:spacing w:before="170"/>
      </w:pPr>
      <w:bookmarkStart w:id="134" w:name="Evaluation"/>
      <w:bookmarkStart w:id="135" w:name="_bookmark63"/>
      <w:bookmarkEnd w:id="134"/>
      <w:bookmarkEnd w:id="135"/>
      <w:r>
        <w:t>Evaluation</w:t>
      </w:r>
    </w:p>
    <w:p w:rsidR="007D76BB" w:rsidRDefault="00D70D28">
      <w:pPr>
        <w:pStyle w:val="BodyText"/>
        <w:spacing w:before="127"/>
        <w:ind w:left="198" w:right="930"/>
      </w:pPr>
      <w:r>
        <w:t xml:space="preserve">The purpose of the evaluation will be to assess the impact of the regulatory changes, whether the benefits have been </w:t>
      </w:r>
      <w:proofErr w:type="spellStart"/>
      <w:r>
        <w:t>realised</w:t>
      </w:r>
      <w:proofErr w:type="spellEnd"/>
      <w:r>
        <w:t>, the impact on key stakeholders, and patient safety.</w:t>
      </w:r>
    </w:p>
    <w:p w:rsidR="007D76BB" w:rsidRDefault="00D70D28">
      <w:pPr>
        <w:pStyle w:val="BodyText"/>
        <w:spacing w:before="177"/>
        <w:ind w:left="198" w:right="807"/>
      </w:pPr>
      <w:r>
        <w:t>Evaluation will begin from the commencement of the instrument and conclude 1 year after the transition period ends.</w:t>
      </w:r>
    </w:p>
    <w:p w:rsidR="007D76BB" w:rsidRDefault="00D70D28">
      <w:pPr>
        <w:pStyle w:val="Heading7"/>
        <w:spacing w:before="181"/>
      </w:pPr>
      <w:r>
        <w:t>Methods</w:t>
      </w:r>
    </w:p>
    <w:p w:rsidR="007D76BB" w:rsidRDefault="00D70D28">
      <w:pPr>
        <w:pStyle w:val="BodyText"/>
        <w:spacing w:before="181"/>
        <w:ind w:left="198"/>
      </w:pPr>
      <w:r>
        <w:t>Methods used for data gathering are likely to include:</w:t>
      </w:r>
    </w:p>
    <w:p w:rsidR="007D76BB" w:rsidRDefault="00D70D28">
      <w:pPr>
        <w:pStyle w:val="ListParagraph"/>
        <w:numPr>
          <w:ilvl w:val="0"/>
          <w:numId w:val="72"/>
        </w:numPr>
        <w:tabs>
          <w:tab w:val="left" w:pos="558"/>
          <w:tab w:val="left" w:pos="559"/>
        </w:tabs>
        <w:spacing w:before="119"/>
        <w:ind w:left="558" w:right="1155"/>
      </w:pPr>
      <w:r>
        <w:t>formal and informal engagement with stakeholders through consultation and bi-lateral discussions</w:t>
      </w:r>
    </w:p>
    <w:p w:rsidR="007D76BB" w:rsidRDefault="00D70D28">
      <w:pPr>
        <w:pStyle w:val="ListParagraph"/>
        <w:numPr>
          <w:ilvl w:val="0"/>
          <w:numId w:val="72"/>
        </w:numPr>
        <w:tabs>
          <w:tab w:val="left" w:pos="558"/>
          <w:tab w:val="left" w:pos="559"/>
        </w:tabs>
        <w:ind w:left="558"/>
      </w:pPr>
      <w:r>
        <w:t>analysis of data held in the ARTG and adverse reporting</w:t>
      </w:r>
      <w:r>
        <w:rPr>
          <w:spacing w:val="-13"/>
        </w:rPr>
        <w:t xml:space="preserve"> </w:t>
      </w:r>
      <w:r>
        <w:t>database</w:t>
      </w:r>
    </w:p>
    <w:p w:rsidR="007D76BB" w:rsidRDefault="00D70D28">
      <w:pPr>
        <w:pStyle w:val="ListParagraph"/>
        <w:numPr>
          <w:ilvl w:val="0"/>
          <w:numId w:val="72"/>
        </w:numPr>
        <w:tabs>
          <w:tab w:val="left" w:pos="558"/>
          <w:tab w:val="left" w:pos="559"/>
        </w:tabs>
        <w:spacing w:before="181"/>
        <w:ind w:left="558"/>
      </w:pPr>
      <w:r>
        <w:t>analysis of calls to the TGA Information</w:t>
      </w:r>
      <w:r>
        <w:rPr>
          <w:spacing w:val="-11"/>
        </w:rPr>
        <w:t xml:space="preserve"> </w:t>
      </w:r>
      <w:r>
        <w:t>Line</w:t>
      </w:r>
    </w:p>
    <w:p w:rsidR="007D76BB" w:rsidRDefault="00D70D28">
      <w:pPr>
        <w:pStyle w:val="Heading7"/>
        <w:spacing w:before="179"/>
      </w:pPr>
      <w:r>
        <w:t>Stakeholders</w:t>
      </w:r>
    </w:p>
    <w:p w:rsidR="007D76BB" w:rsidRDefault="00D70D28">
      <w:pPr>
        <w:pStyle w:val="BodyText"/>
        <w:spacing w:before="181"/>
        <w:ind w:left="198"/>
      </w:pPr>
      <w:r>
        <w:t>Stakeholders that will be consulted as part of the evaluation will include:</w:t>
      </w:r>
    </w:p>
    <w:p w:rsidR="007D76BB" w:rsidRDefault="00D70D28">
      <w:pPr>
        <w:pStyle w:val="ListParagraph"/>
        <w:numPr>
          <w:ilvl w:val="0"/>
          <w:numId w:val="72"/>
        </w:numPr>
        <w:tabs>
          <w:tab w:val="left" w:pos="558"/>
          <w:tab w:val="left" w:pos="559"/>
        </w:tabs>
        <w:spacing w:before="119"/>
        <w:ind w:left="558"/>
      </w:pPr>
      <w:r>
        <w:t>industry associations and peak</w:t>
      </w:r>
      <w:r>
        <w:rPr>
          <w:spacing w:val="-6"/>
        </w:rPr>
        <w:t xml:space="preserve"> </w:t>
      </w:r>
      <w:r>
        <w:t>bodies</w:t>
      </w:r>
    </w:p>
    <w:p w:rsidR="007D76BB" w:rsidRDefault="00D70D28">
      <w:pPr>
        <w:pStyle w:val="ListParagraph"/>
        <w:numPr>
          <w:ilvl w:val="0"/>
          <w:numId w:val="72"/>
        </w:numPr>
        <w:tabs>
          <w:tab w:val="left" w:pos="558"/>
          <w:tab w:val="left" w:pos="559"/>
        </w:tabs>
        <w:spacing w:before="182"/>
        <w:ind w:left="558"/>
      </w:pPr>
      <w:r>
        <w:t>industry—manufacturers and</w:t>
      </w:r>
      <w:r>
        <w:rPr>
          <w:spacing w:val="-4"/>
        </w:rPr>
        <w:t xml:space="preserve"> </w:t>
      </w:r>
      <w:r>
        <w:t>sponsors</w:t>
      </w:r>
    </w:p>
    <w:p w:rsidR="007D76BB" w:rsidRDefault="00D70D28">
      <w:pPr>
        <w:pStyle w:val="ListParagraph"/>
        <w:numPr>
          <w:ilvl w:val="0"/>
          <w:numId w:val="72"/>
        </w:numPr>
        <w:tabs>
          <w:tab w:val="left" w:pos="558"/>
          <w:tab w:val="left" w:pos="559"/>
        </w:tabs>
        <w:spacing w:before="178"/>
        <w:ind w:left="558"/>
      </w:pPr>
      <w:r>
        <w:t>consumers</w:t>
      </w:r>
    </w:p>
    <w:p w:rsidR="007D76BB" w:rsidRDefault="00D70D28">
      <w:pPr>
        <w:pStyle w:val="ListParagraph"/>
        <w:numPr>
          <w:ilvl w:val="0"/>
          <w:numId w:val="72"/>
        </w:numPr>
        <w:tabs>
          <w:tab w:val="left" w:pos="558"/>
          <w:tab w:val="left" w:pos="559"/>
        </w:tabs>
        <w:spacing w:before="182"/>
        <w:ind w:left="558"/>
      </w:pPr>
      <w:r>
        <w:t>health</w:t>
      </w:r>
      <w:r>
        <w:rPr>
          <w:spacing w:val="-1"/>
        </w:rPr>
        <w:t xml:space="preserve"> </w:t>
      </w:r>
      <w:r>
        <w:t>practitioners</w:t>
      </w:r>
    </w:p>
    <w:p w:rsidR="007D76BB" w:rsidRDefault="00D70D28">
      <w:pPr>
        <w:pStyle w:val="ListParagraph"/>
        <w:numPr>
          <w:ilvl w:val="0"/>
          <w:numId w:val="72"/>
        </w:numPr>
        <w:tabs>
          <w:tab w:val="left" w:pos="559"/>
          <w:tab w:val="left" w:pos="560"/>
        </w:tabs>
        <w:spacing w:before="179"/>
        <w:ind w:left="559"/>
      </w:pPr>
      <w:r>
        <w:t>governments, the Department of Health, states and</w:t>
      </w:r>
      <w:r>
        <w:rPr>
          <w:spacing w:val="-12"/>
        </w:rPr>
        <w:t xml:space="preserve"> </w:t>
      </w:r>
      <w:r>
        <w:t>territories</w:t>
      </w:r>
    </w:p>
    <w:p w:rsidR="007D76BB" w:rsidRDefault="00D70D28">
      <w:pPr>
        <w:pStyle w:val="Heading7"/>
        <w:spacing w:before="178"/>
        <w:ind w:left="199"/>
      </w:pPr>
      <w:r>
        <w:t>Potential questions</w:t>
      </w:r>
    </w:p>
    <w:p w:rsidR="007D76BB" w:rsidRDefault="00D70D28">
      <w:pPr>
        <w:pStyle w:val="BodyText"/>
        <w:spacing w:before="182"/>
        <w:ind w:left="199"/>
      </w:pPr>
      <w:r>
        <w:t>Questions that the evaluation may consider or address include:</w:t>
      </w:r>
    </w:p>
    <w:p w:rsidR="007D76BB" w:rsidRDefault="00D70D28">
      <w:pPr>
        <w:pStyle w:val="ListParagraph"/>
        <w:numPr>
          <w:ilvl w:val="0"/>
          <w:numId w:val="72"/>
        </w:numPr>
        <w:tabs>
          <w:tab w:val="left" w:pos="559"/>
          <w:tab w:val="left" w:pos="560"/>
        </w:tabs>
        <w:spacing w:before="178"/>
        <w:ind w:left="559"/>
      </w:pPr>
      <w:r>
        <w:t>Did the clarification in regulatory scope encompass all of the products of</w:t>
      </w:r>
      <w:r>
        <w:rPr>
          <w:spacing w:val="-20"/>
        </w:rPr>
        <w:t xml:space="preserve"> </w:t>
      </w:r>
      <w:r>
        <w:t>concern?</w:t>
      </w:r>
    </w:p>
    <w:p w:rsidR="007D76BB" w:rsidRDefault="00D70D28">
      <w:pPr>
        <w:pStyle w:val="ListParagraph"/>
        <w:numPr>
          <w:ilvl w:val="0"/>
          <w:numId w:val="72"/>
        </w:numPr>
        <w:tabs>
          <w:tab w:val="left" w:pos="559"/>
          <w:tab w:val="left" w:pos="560"/>
        </w:tabs>
        <w:spacing w:before="182"/>
        <w:ind w:left="559" w:right="886"/>
      </w:pPr>
      <w:r>
        <w:t xml:space="preserve">Which stakeholders and stakeholder groups did the TGA expect to be impacted by the changes, and did this align with the actual results? For example, did the </w:t>
      </w:r>
      <w:proofErr w:type="spellStart"/>
      <w:r>
        <w:t>organisations</w:t>
      </w:r>
      <w:proofErr w:type="spellEnd"/>
      <w:r>
        <w:t xml:space="preserve"> that now are regulated conform to the regulatory</w:t>
      </w:r>
      <w:r>
        <w:rPr>
          <w:spacing w:val="-10"/>
        </w:rPr>
        <w:t xml:space="preserve"> </w:t>
      </w:r>
      <w:r>
        <w:t>requirements?</w:t>
      </w:r>
    </w:p>
    <w:p w:rsidR="007D76BB" w:rsidRDefault="007D76BB">
      <w:pPr>
        <w:pStyle w:val="BodyText"/>
        <w:rPr>
          <w:sz w:val="20"/>
        </w:rPr>
      </w:pPr>
    </w:p>
    <w:p w:rsidR="007D76BB" w:rsidRDefault="007D76BB">
      <w:pPr>
        <w:pStyle w:val="BodyText"/>
        <w:rPr>
          <w:sz w:val="20"/>
        </w:rPr>
      </w:pPr>
    </w:p>
    <w:p w:rsidR="007D76BB" w:rsidRDefault="007D76BB">
      <w:pPr>
        <w:pStyle w:val="BodyText"/>
        <w:rPr>
          <w:sz w:val="20"/>
        </w:rPr>
      </w:pPr>
    </w:p>
    <w:p w:rsidR="007D76BB" w:rsidRDefault="00D70D28">
      <w:pPr>
        <w:pStyle w:val="BodyText"/>
        <w:spacing w:before="11"/>
        <w:rPr>
          <w:sz w:val="19"/>
        </w:rPr>
      </w:pPr>
      <w:r>
        <w:rPr>
          <w:noProof/>
          <w:lang w:val="en-AU" w:eastAsia="en-AU"/>
        </w:rPr>
        <mc:AlternateContent>
          <mc:Choice Requires="wps">
            <w:drawing>
              <wp:anchor distT="0" distB="0" distL="0" distR="0" simplePos="0" relativeHeight="251680768" behindDoc="1" locked="0" layoutInCell="1" allowOverlap="1">
                <wp:simplePos x="0" y="0"/>
                <wp:positionH relativeFrom="page">
                  <wp:posOffset>900430</wp:posOffset>
                </wp:positionH>
                <wp:positionV relativeFrom="paragraph">
                  <wp:posOffset>177165</wp:posOffset>
                </wp:positionV>
                <wp:extent cx="1828800" cy="1270"/>
                <wp:effectExtent l="0" t="0" r="0" b="0"/>
                <wp:wrapTopAndBottom/>
                <wp:docPr id="412"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76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83C4E" id="Freeform 268" o:spid="_x0000_s1026" style="position:absolute;margin-left:70.9pt;margin-top:13.95pt;width:2in;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" path="m,l2880,e" filled="f" strokeweight=".21131mm">
                <v:path arrowok="t" o:connecttype="custom" o:connectlocs="0,0;1828800,0" o:connectangles="0,0"/>
                <w10:wrap type="topAndBottom" anchorx="page"/>
              </v:shape>
            </w:pict>
          </mc:Fallback>
        </mc:AlternateContent>
      </w:r>
    </w:p>
    <w:p w:rsidR="007D76BB" w:rsidRDefault="00D70D28">
      <w:pPr>
        <w:tabs>
          <w:tab w:val="left" w:pos="8917"/>
        </w:tabs>
        <w:spacing w:before="71" w:line="244" w:lineRule="auto"/>
        <w:ind w:left="198" w:right="610"/>
        <w:rPr>
          <w:sz w:val="20"/>
        </w:rPr>
      </w:pPr>
      <w:bookmarkStart w:id="136" w:name="_bookmark64"/>
      <w:bookmarkEnd w:id="136"/>
      <w:r>
        <w:rPr>
          <w:position w:val="5"/>
          <w:sz w:val="13"/>
        </w:rPr>
        <w:t xml:space="preserve">14 </w:t>
      </w:r>
      <w:r>
        <w:rPr>
          <w:sz w:val="20"/>
        </w:rPr>
        <w:t>On 1 July 2020, Sport Integrity Australia will commence. Sport Integrity Australia will bring together the Australian Sports Anti-Doping Authority (ASADA) the National Integrity of Sports Unit (NISU) and</w:t>
      </w:r>
      <w:r>
        <w:rPr>
          <w:sz w:val="20"/>
          <w:u w:val="single"/>
        </w:rPr>
        <w:t xml:space="preserve"> national integrity programs of Sport Australia into one</w:t>
      </w:r>
      <w:r>
        <w:rPr>
          <w:spacing w:val="-29"/>
          <w:sz w:val="20"/>
          <w:u w:val="single"/>
        </w:rPr>
        <w:t xml:space="preserve"> </w:t>
      </w:r>
      <w:r>
        <w:rPr>
          <w:sz w:val="20"/>
          <w:u w:val="single"/>
        </w:rPr>
        <w:t>entity</w:t>
      </w:r>
      <w:r>
        <w:rPr>
          <w:sz w:val="20"/>
          <w:u w:val="single"/>
        </w:rPr>
        <w:tab/>
      </w:r>
    </w:p>
    <w:p w:rsidR="007D76BB" w:rsidRDefault="007D76BB">
      <w:pPr>
        <w:spacing w:line="244" w:lineRule="auto"/>
        <w:rPr>
          <w:sz w:val="20"/>
        </w:rPr>
        <w:sectPr w:rsidR="007D76BB">
          <w:headerReference w:type="default" r:id="rId150"/>
          <w:footerReference w:type="default" r:id="rId151"/>
          <w:pgSz w:w="11910" w:h="16840"/>
          <w:pgMar w:top="840" w:right="820" w:bottom="1360" w:left="1220" w:header="572" w:footer="1167" w:gutter="0"/>
          <w:pgNumType w:start="91"/>
          <w:cols w:space="720"/>
        </w:sectPr>
      </w:pPr>
    </w:p>
    <w:p w:rsidR="007D76BB" w:rsidRDefault="007D76BB">
      <w:pPr>
        <w:pStyle w:val="BodyText"/>
        <w:spacing w:before="1"/>
        <w:rPr>
          <w:sz w:val="16"/>
        </w:rPr>
      </w:pPr>
    </w:p>
    <w:p w:rsidR="007D76BB" w:rsidRDefault="00D70D28">
      <w:pPr>
        <w:pStyle w:val="ListParagraph"/>
        <w:numPr>
          <w:ilvl w:val="0"/>
          <w:numId w:val="72"/>
        </w:numPr>
        <w:tabs>
          <w:tab w:val="left" w:pos="558"/>
          <w:tab w:val="left" w:pos="559"/>
        </w:tabs>
        <w:spacing w:before="101"/>
        <w:ind w:left="558" w:right="638"/>
      </w:pPr>
      <w:r>
        <w:t>How effective were the communication and education methods that were employed prior to, and during the</w:t>
      </w:r>
      <w:r>
        <w:rPr>
          <w:spacing w:val="-7"/>
        </w:rPr>
        <w:t xml:space="preserve"> </w:t>
      </w:r>
      <w:r>
        <w:t>implementation?</w:t>
      </w:r>
    </w:p>
    <w:p w:rsidR="007D76BB" w:rsidRDefault="00D70D28">
      <w:pPr>
        <w:pStyle w:val="ListParagraph"/>
        <w:numPr>
          <w:ilvl w:val="0"/>
          <w:numId w:val="72"/>
        </w:numPr>
        <w:tabs>
          <w:tab w:val="left" w:pos="558"/>
          <w:tab w:val="left" w:pos="559"/>
        </w:tabs>
        <w:ind w:left="558" w:right="1366" w:hanging="360"/>
      </w:pPr>
      <w:r>
        <w:t>How many sports supplement products are now included in the ARTG because of the changes?</w:t>
      </w:r>
    </w:p>
    <w:p w:rsidR="007D76BB" w:rsidRDefault="00D70D28">
      <w:pPr>
        <w:pStyle w:val="ListParagraph"/>
        <w:numPr>
          <w:ilvl w:val="0"/>
          <w:numId w:val="72"/>
        </w:numPr>
        <w:tabs>
          <w:tab w:val="left" w:pos="558"/>
          <w:tab w:val="left" w:pos="559"/>
        </w:tabs>
        <w:spacing w:before="181"/>
        <w:ind w:left="558" w:right="1340" w:hanging="360"/>
      </w:pPr>
      <w:r>
        <w:t>What was the number of adverse events or recalls involving sports supplements post implementation</w:t>
      </w:r>
    </w:p>
    <w:p w:rsidR="007D76BB" w:rsidRDefault="00D70D28">
      <w:pPr>
        <w:pStyle w:val="ListParagraph"/>
        <w:numPr>
          <w:ilvl w:val="0"/>
          <w:numId w:val="72"/>
        </w:numPr>
        <w:tabs>
          <w:tab w:val="left" w:pos="557"/>
          <w:tab w:val="left" w:pos="559"/>
        </w:tabs>
        <w:ind w:left="558" w:hanging="362"/>
      </w:pPr>
      <w:r>
        <w:t>How many products were entered the</w:t>
      </w:r>
      <w:r>
        <w:rPr>
          <w:spacing w:val="-10"/>
        </w:rPr>
        <w:t xml:space="preserve"> </w:t>
      </w:r>
      <w:r>
        <w:t>ARTG?</w:t>
      </w:r>
    </w:p>
    <w:p w:rsidR="007D76BB" w:rsidRDefault="00D70D28">
      <w:pPr>
        <w:pStyle w:val="ListParagraph"/>
        <w:numPr>
          <w:ilvl w:val="0"/>
          <w:numId w:val="72"/>
        </w:numPr>
        <w:tabs>
          <w:tab w:val="left" w:pos="558"/>
          <w:tab w:val="left" w:pos="559"/>
        </w:tabs>
        <w:spacing w:before="181"/>
        <w:ind w:left="558"/>
      </w:pPr>
      <w:r>
        <w:t>How many products were removed from the</w:t>
      </w:r>
      <w:r>
        <w:rPr>
          <w:spacing w:val="-14"/>
        </w:rPr>
        <w:t xml:space="preserve"> </w:t>
      </w:r>
      <w:r>
        <w:t>market?</w:t>
      </w:r>
    </w:p>
    <w:p w:rsidR="007D76BB" w:rsidRDefault="00D70D28">
      <w:pPr>
        <w:pStyle w:val="ListParagraph"/>
        <w:numPr>
          <w:ilvl w:val="0"/>
          <w:numId w:val="72"/>
        </w:numPr>
        <w:tabs>
          <w:tab w:val="left" w:pos="558"/>
          <w:tab w:val="left" w:pos="559"/>
        </w:tabs>
        <w:spacing w:before="179"/>
        <w:ind w:left="558"/>
      </w:pPr>
      <w:r>
        <w:t>How many products were</w:t>
      </w:r>
      <w:r>
        <w:rPr>
          <w:spacing w:val="-7"/>
        </w:rPr>
        <w:t xml:space="preserve"> </w:t>
      </w:r>
      <w:r>
        <w:t>reformulated?</w:t>
      </w:r>
    </w:p>
    <w:p w:rsidR="007D76BB" w:rsidRDefault="00D70D28">
      <w:pPr>
        <w:pStyle w:val="ListParagraph"/>
        <w:numPr>
          <w:ilvl w:val="0"/>
          <w:numId w:val="72"/>
        </w:numPr>
        <w:tabs>
          <w:tab w:val="left" w:pos="558"/>
          <w:tab w:val="left" w:pos="559"/>
        </w:tabs>
        <w:spacing w:before="181"/>
        <w:ind w:left="558" w:right="1515"/>
      </w:pPr>
      <w:r>
        <w:t>Were there any unintended consequences for manufacturers, sponsors, retailers or consumers?</w:t>
      </w:r>
    </w:p>
    <w:p w:rsidR="007D76BB" w:rsidRDefault="00D70D28">
      <w:pPr>
        <w:pStyle w:val="ListParagraph"/>
        <w:numPr>
          <w:ilvl w:val="0"/>
          <w:numId w:val="72"/>
        </w:numPr>
        <w:tabs>
          <w:tab w:val="left" w:pos="558"/>
          <w:tab w:val="left" w:pos="559"/>
        </w:tabs>
        <w:ind w:left="558"/>
      </w:pPr>
      <w:r>
        <w:t>Did the regulatory burden align with the estimates? If not, where did they</w:t>
      </w:r>
      <w:r>
        <w:rPr>
          <w:spacing w:val="-25"/>
        </w:rPr>
        <w:t xml:space="preserve"> </w:t>
      </w:r>
      <w:r>
        <w:t>differ?</w:t>
      </w:r>
    </w:p>
    <w:p w:rsidR="007D76BB" w:rsidRDefault="00D70D28">
      <w:pPr>
        <w:pStyle w:val="ListParagraph"/>
        <w:numPr>
          <w:ilvl w:val="0"/>
          <w:numId w:val="72"/>
        </w:numPr>
        <w:tabs>
          <w:tab w:val="left" w:pos="558"/>
          <w:tab w:val="left" w:pos="559"/>
        </w:tabs>
        <w:spacing w:before="179"/>
        <w:ind w:left="558" w:right="1135"/>
      </w:pPr>
      <w:r>
        <w:t>Was there a perceived change in consumer confidence in the safety and performance of sports supplements because of the</w:t>
      </w:r>
      <w:r>
        <w:rPr>
          <w:spacing w:val="-3"/>
        </w:rPr>
        <w:t xml:space="preserve"> </w:t>
      </w:r>
      <w:r>
        <w:t>changes?</w:t>
      </w:r>
    </w:p>
    <w:p w:rsidR="007D76BB" w:rsidRDefault="00D70D28">
      <w:pPr>
        <w:pStyle w:val="ListParagraph"/>
        <w:numPr>
          <w:ilvl w:val="0"/>
          <w:numId w:val="72"/>
        </w:numPr>
        <w:tabs>
          <w:tab w:val="left" w:pos="559"/>
          <w:tab w:val="left" w:pos="560"/>
        </w:tabs>
        <w:ind w:left="559"/>
      </w:pPr>
      <w:r>
        <w:t>How many market samples did the TGA carry out? What were the overall results of</w:t>
      </w:r>
      <w:r>
        <w:rPr>
          <w:spacing w:val="-25"/>
        </w:rPr>
        <w:t xml:space="preserve"> </w:t>
      </w:r>
      <w:r>
        <w:t>these?</w:t>
      </w:r>
    </w:p>
    <w:p w:rsidR="007D76BB" w:rsidRDefault="00D70D28">
      <w:pPr>
        <w:pStyle w:val="ListParagraph"/>
        <w:numPr>
          <w:ilvl w:val="0"/>
          <w:numId w:val="72"/>
        </w:numPr>
        <w:tabs>
          <w:tab w:val="left" w:pos="559"/>
          <w:tab w:val="left" w:pos="560"/>
        </w:tabs>
        <w:spacing w:before="179"/>
        <w:ind w:left="559" w:right="665" w:hanging="360"/>
      </w:pPr>
      <w:r>
        <w:t>What have the impacts been on the broader community – for example has this promoted the growth of Australian manufacturers and innovation in this</w:t>
      </w:r>
      <w:r>
        <w:rPr>
          <w:spacing w:val="-11"/>
        </w:rPr>
        <w:t xml:space="preserve"> </w:t>
      </w:r>
      <w:r>
        <w:t>area?</w:t>
      </w:r>
    </w:p>
    <w:p w:rsidR="007D76BB" w:rsidRDefault="00D70D28">
      <w:pPr>
        <w:pStyle w:val="Heading7"/>
        <w:ind w:left="199"/>
      </w:pPr>
      <w:r>
        <w:t>Table 26: Estimated timeframe</w:t>
      </w:r>
    </w:p>
    <w:p w:rsidR="007D76BB" w:rsidRDefault="007D76BB">
      <w:pPr>
        <w:pStyle w:val="BodyText"/>
        <w:spacing w:before="6"/>
        <w:rPr>
          <w:b/>
          <w:sz w:val="15"/>
        </w:rPr>
      </w:pPr>
    </w:p>
    <w:tbl>
      <w:tblPr>
        <w:tblW w:w="0" w:type="auto"/>
        <w:tblInd w:w="218" w:type="dxa"/>
        <w:tblBorders>
          <w:top w:val="single" w:sz="8" w:space="0" w:color="002C46"/>
          <w:left w:val="single" w:sz="8" w:space="0" w:color="002C46"/>
          <w:bottom w:val="single" w:sz="8" w:space="0" w:color="002C46"/>
          <w:right w:val="single" w:sz="8" w:space="0" w:color="002C46"/>
          <w:insideH w:val="single" w:sz="8" w:space="0" w:color="002C46"/>
          <w:insideV w:val="single" w:sz="8" w:space="0" w:color="002C46"/>
        </w:tblBorders>
        <w:tblLayout w:type="fixed"/>
        <w:tblCellMar>
          <w:left w:w="0" w:type="dxa"/>
          <w:right w:w="0" w:type="dxa"/>
        </w:tblCellMar>
        <w:tblLook w:val="01E0" w:firstRow="1" w:lastRow="1" w:firstColumn="1" w:lastColumn="1" w:noHBand="0" w:noVBand="0"/>
      </w:tblPr>
      <w:tblGrid>
        <w:gridCol w:w="5662"/>
        <w:gridCol w:w="3389"/>
      </w:tblGrid>
      <w:tr w:rsidR="007D76BB">
        <w:trPr>
          <w:trHeight w:val="608"/>
        </w:trPr>
        <w:tc>
          <w:tcPr>
            <w:tcW w:w="9051" w:type="dxa"/>
            <w:gridSpan w:val="2"/>
            <w:shd w:val="clear" w:color="auto" w:fill="006CA7"/>
          </w:tcPr>
          <w:p w:rsidR="007D76BB" w:rsidRDefault="00D70D28">
            <w:pPr>
              <w:pStyle w:val="TableParagraph"/>
              <w:tabs>
                <w:tab w:val="left" w:pos="5766"/>
              </w:tabs>
              <w:spacing w:before="120"/>
              <w:ind w:left="107"/>
              <w:rPr>
                <w:rFonts w:ascii="Arial Black"/>
              </w:rPr>
            </w:pPr>
            <w:r>
              <w:rPr>
                <w:rFonts w:ascii="Arial Black"/>
                <w:color w:val="FFFFFF"/>
              </w:rPr>
              <w:t>Activity</w:t>
            </w:r>
            <w:r>
              <w:rPr>
                <w:rFonts w:ascii="Arial Black"/>
                <w:color w:val="FFFFFF"/>
              </w:rPr>
              <w:tab/>
              <w:t>Estimated</w:t>
            </w:r>
            <w:r>
              <w:rPr>
                <w:rFonts w:ascii="Arial Black"/>
                <w:color w:val="FFFFFF"/>
                <w:spacing w:val="-1"/>
              </w:rPr>
              <w:t xml:space="preserve"> </w:t>
            </w:r>
            <w:r>
              <w:rPr>
                <w:rFonts w:ascii="Arial Black"/>
                <w:color w:val="FFFFFF"/>
              </w:rPr>
              <w:t>date</w:t>
            </w:r>
          </w:p>
        </w:tc>
      </w:tr>
      <w:tr w:rsidR="007D76BB">
        <w:trPr>
          <w:trHeight w:val="558"/>
        </w:trPr>
        <w:tc>
          <w:tcPr>
            <w:tcW w:w="5662" w:type="dxa"/>
          </w:tcPr>
          <w:p w:rsidR="007D76BB" w:rsidRDefault="00D70D28">
            <w:pPr>
              <w:pStyle w:val="TableParagraph"/>
              <w:spacing w:before="121"/>
              <w:ind w:left="107"/>
            </w:pPr>
            <w:r>
              <w:t>Government decision</w:t>
            </w:r>
          </w:p>
        </w:tc>
        <w:tc>
          <w:tcPr>
            <w:tcW w:w="3389" w:type="dxa"/>
          </w:tcPr>
          <w:p w:rsidR="007D76BB" w:rsidRDefault="00D70D28">
            <w:pPr>
              <w:pStyle w:val="TableParagraph"/>
              <w:spacing w:before="121"/>
              <w:ind w:left="104"/>
            </w:pPr>
            <w:r>
              <w:t>~ August 2020</w:t>
            </w:r>
          </w:p>
        </w:tc>
      </w:tr>
      <w:tr w:rsidR="007D76BB">
        <w:trPr>
          <w:trHeight w:val="558"/>
        </w:trPr>
        <w:tc>
          <w:tcPr>
            <w:tcW w:w="5662" w:type="dxa"/>
          </w:tcPr>
          <w:p w:rsidR="007D76BB" w:rsidRDefault="00D70D28">
            <w:pPr>
              <w:pStyle w:val="TableParagraph"/>
              <w:spacing w:before="121"/>
              <w:ind w:left="107"/>
            </w:pPr>
            <w:r>
              <w:t>Drafting of section 7 declaration</w:t>
            </w:r>
          </w:p>
        </w:tc>
        <w:tc>
          <w:tcPr>
            <w:tcW w:w="3389" w:type="dxa"/>
          </w:tcPr>
          <w:p w:rsidR="007D76BB" w:rsidRDefault="00D70D28">
            <w:pPr>
              <w:pStyle w:val="TableParagraph"/>
              <w:spacing w:before="121"/>
              <w:ind w:left="104"/>
            </w:pPr>
            <w:r>
              <w:t>~ August 2020</w:t>
            </w:r>
          </w:p>
        </w:tc>
      </w:tr>
      <w:tr w:rsidR="007D76BB">
        <w:trPr>
          <w:trHeight w:val="558"/>
        </w:trPr>
        <w:tc>
          <w:tcPr>
            <w:tcW w:w="5662" w:type="dxa"/>
          </w:tcPr>
          <w:p w:rsidR="007D76BB" w:rsidRDefault="00D70D28">
            <w:pPr>
              <w:pStyle w:val="TableParagraph"/>
              <w:spacing w:before="119"/>
              <w:ind w:left="107"/>
            </w:pPr>
            <w:r>
              <w:t>Publication of declaration</w:t>
            </w:r>
          </w:p>
        </w:tc>
        <w:tc>
          <w:tcPr>
            <w:tcW w:w="3389" w:type="dxa"/>
          </w:tcPr>
          <w:p w:rsidR="007D76BB" w:rsidRDefault="00D70D28">
            <w:pPr>
              <w:pStyle w:val="TableParagraph"/>
              <w:spacing w:before="119"/>
              <w:ind w:left="104"/>
            </w:pPr>
            <w:r>
              <w:t>~ September 2020</w:t>
            </w:r>
          </w:p>
        </w:tc>
      </w:tr>
      <w:tr w:rsidR="007D76BB">
        <w:trPr>
          <w:trHeight w:val="558"/>
        </w:trPr>
        <w:tc>
          <w:tcPr>
            <w:tcW w:w="5662" w:type="dxa"/>
          </w:tcPr>
          <w:p w:rsidR="007D76BB" w:rsidRDefault="00D70D28">
            <w:pPr>
              <w:pStyle w:val="TableParagraph"/>
              <w:spacing w:before="119"/>
              <w:ind w:left="107"/>
            </w:pPr>
            <w:r>
              <w:t>Declaration comes in to effect</w:t>
            </w:r>
          </w:p>
        </w:tc>
        <w:tc>
          <w:tcPr>
            <w:tcW w:w="3389" w:type="dxa"/>
          </w:tcPr>
          <w:p w:rsidR="007D76BB" w:rsidRDefault="00D70D28">
            <w:pPr>
              <w:pStyle w:val="TableParagraph"/>
              <w:spacing w:before="119"/>
              <w:ind w:left="104"/>
            </w:pPr>
            <w:r>
              <w:t>~ September 2020</w:t>
            </w:r>
          </w:p>
        </w:tc>
      </w:tr>
      <w:tr w:rsidR="007D76BB">
        <w:trPr>
          <w:trHeight w:val="1072"/>
        </w:trPr>
        <w:tc>
          <w:tcPr>
            <w:tcW w:w="5662" w:type="dxa"/>
          </w:tcPr>
          <w:p w:rsidR="007D76BB" w:rsidRDefault="00D70D28">
            <w:pPr>
              <w:pStyle w:val="TableParagraph"/>
              <w:spacing w:before="119"/>
              <w:ind w:left="107" w:right="215"/>
            </w:pPr>
            <w:r>
              <w:t>Legislation applicable to products containing substances of concern (included in the Poisons Standard or in the WADC prohibited list)</w:t>
            </w:r>
          </w:p>
        </w:tc>
        <w:tc>
          <w:tcPr>
            <w:tcW w:w="3389" w:type="dxa"/>
          </w:tcPr>
          <w:p w:rsidR="007D76BB" w:rsidRDefault="00D70D28">
            <w:pPr>
              <w:pStyle w:val="TableParagraph"/>
              <w:spacing w:before="119" w:line="257" w:lineRule="exact"/>
              <w:ind w:left="104"/>
            </w:pPr>
            <w:r>
              <w:t>From effective date of instrument</w:t>
            </w:r>
          </w:p>
          <w:p w:rsidR="007D76BB" w:rsidRDefault="00D70D28">
            <w:pPr>
              <w:pStyle w:val="TableParagraph"/>
              <w:spacing w:line="257" w:lineRule="exact"/>
              <w:ind w:left="104"/>
            </w:pPr>
            <w:r>
              <w:t>~ September 2020</w:t>
            </w:r>
          </w:p>
        </w:tc>
      </w:tr>
      <w:tr w:rsidR="007D76BB">
        <w:trPr>
          <w:trHeight w:val="817"/>
        </w:trPr>
        <w:tc>
          <w:tcPr>
            <w:tcW w:w="5662" w:type="dxa"/>
          </w:tcPr>
          <w:p w:rsidR="007D76BB" w:rsidRDefault="00D70D28">
            <w:pPr>
              <w:pStyle w:val="TableParagraph"/>
              <w:spacing w:before="121"/>
              <w:ind w:left="107" w:right="467"/>
            </w:pPr>
            <w:r>
              <w:t>3 year transition commences for products (other than those with ingredients of concern)</w:t>
            </w:r>
          </w:p>
        </w:tc>
        <w:tc>
          <w:tcPr>
            <w:tcW w:w="3389" w:type="dxa"/>
          </w:tcPr>
          <w:p w:rsidR="007D76BB" w:rsidRDefault="00D70D28">
            <w:pPr>
              <w:pStyle w:val="TableParagraph"/>
              <w:spacing w:before="121" w:line="257" w:lineRule="exact"/>
              <w:ind w:left="104"/>
            </w:pPr>
            <w:r>
              <w:t>From effective date of instrument</w:t>
            </w:r>
          </w:p>
          <w:p w:rsidR="007D76BB" w:rsidRDefault="00D70D28">
            <w:pPr>
              <w:pStyle w:val="TableParagraph"/>
              <w:spacing w:line="257" w:lineRule="exact"/>
              <w:ind w:left="104"/>
            </w:pPr>
            <w:r>
              <w:t>~September 2020</w:t>
            </w:r>
          </w:p>
        </w:tc>
      </w:tr>
      <w:tr w:rsidR="007D76BB">
        <w:trPr>
          <w:trHeight w:val="815"/>
        </w:trPr>
        <w:tc>
          <w:tcPr>
            <w:tcW w:w="5662" w:type="dxa"/>
          </w:tcPr>
          <w:p w:rsidR="007D76BB" w:rsidRDefault="00D70D28">
            <w:pPr>
              <w:pStyle w:val="TableParagraph"/>
              <w:spacing w:before="119"/>
              <w:ind w:left="107" w:right="470"/>
            </w:pPr>
            <w:r>
              <w:t>Enhanced post market testing of sports supplements– regulatory action taken a required</w:t>
            </w:r>
          </w:p>
        </w:tc>
        <w:tc>
          <w:tcPr>
            <w:tcW w:w="3389" w:type="dxa"/>
          </w:tcPr>
          <w:p w:rsidR="007D76BB" w:rsidRDefault="00D70D28">
            <w:pPr>
              <w:pStyle w:val="TableParagraph"/>
              <w:spacing w:before="119" w:line="257" w:lineRule="exact"/>
              <w:ind w:left="104"/>
            </w:pPr>
            <w:r>
              <w:t>From effective date of instrument</w:t>
            </w:r>
          </w:p>
          <w:p w:rsidR="007D76BB" w:rsidRDefault="00D70D28">
            <w:pPr>
              <w:pStyle w:val="TableParagraph"/>
              <w:spacing w:line="257" w:lineRule="exact"/>
              <w:ind w:left="104"/>
            </w:pPr>
            <w:r>
              <w:t>~September 2020- ongoing</w:t>
            </w:r>
          </w:p>
        </w:tc>
      </w:tr>
    </w:tbl>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D70D28">
      <w:pPr>
        <w:pStyle w:val="BodyText"/>
        <w:rPr>
          <w:b/>
          <w:sz w:val="23"/>
        </w:rPr>
      </w:pPr>
      <w:r>
        <w:rPr>
          <w:noProof/>
          <w:lang w:val="en-AU" w:eastAsia="en-AU"/>
        </w:rPr>
        <mc:AlternateContent>
          <mc:Choice Requires="wpg">
            <w:drawing>
              <wp:anchor distT="0" distB="0" distL="0" distR="0" simplePos="0" relativeHeight="251681792" behindDoc="1" locked="0" layoutInCell="1" allowOverlap="1">
                <wp:simplePos x="0" y="0"/>
                <wp:positionH relativeFrom="page">
                  <wp:posOffset>900430</wp:posOffset>
                </wp:positionH>
                <wp:positionV relativeFrom="paragraph">
                  <wp:posOffset>196215</wp:posOffset>
                </wp:positionV>
                <wp:extent cx="5537200" cy="6350"/>
                <wp:effectExtent l="0" t="0" r="0" b="0"/>
                <wp:wrapTopAndBottom/>
                <wp:docPr id="408"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0" cy="6350"/>
                          <a:chOff x="1418" y="309"/>
                          <a:chExt cx="8720" cy="10"/>
                        </a:xfrm>
                      </wpg:grpSpPr>
                      <wps:wsp>
                        <wps:cNvPr id="409" name="Line 267"/>
                        <wps:cNvCnPr>
                          <a:cxnSpLocks noChangeShapeType="1"/>
                        </wps:cNvCnPr>
                        <wps:spPr bwMode="auto">
                          <a:xfrm>
                            <a:off x="1418" y="314"/>
                            <a:ext cx="734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 name="Rectangle 266"/>
                        <wps:cNvSpPr>
                          <a:spLocks noChangeArrowheads="1"/>
                        </wps:cNvSpPr>
                        <wps:spPr bwMode="auto">
                          <a:xfrm>
                            <a:off x="8757" y="30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Line 265"/>
                        <wps:cNvCnPr>
                          <a:cxnSpLocks noChangeShapeType="1"/>
                        </wps:cNvCnPr>
                        <wps:spPr bwMode="auto">
                          <a:xfrm>
                            <a:off x="8767" y="314"/>
                            <a:ext cx="1371"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EC5F0F" id="Group 264" o:spid="_x0000_s1026" style="position:absolute;margin-left:70.9pt;margin-top:15.45pt;width:436pt;height:.5pt;z-index:-251634688;mso-wrap-distance-left:0;mso-wrap-distance-right:0;mso-position-horizontal-relative:page" coordorigin="1418,309" coordsize="87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">
                <v:line id="Line 267" o:spid="_x0000_s1027" style="position:absolute;visibility:visible;mso-wrap-style:square" from="1418,314" to="8758,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" strokeweight=".16969mm"/>
                <v:rect id="Rectangle 266" o:spid="_x0000_s1028" style="position:absolute;left:8757;top:30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" fillcolor="black" stroked="f"/>
                <v:line id="Line 265" o:spid="_x0000_s1029" style="position:absolute;visibility:visible;mso-wrap-style:square" from="8767,314" to="10138,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" strokeweight=".16969mm"/>
                <w10:wrap type="topAndBottom" anchorx="page"/>
              </v:group>
            </w:pict>
          </mc:Fallback>
        </mc:AlternateContent>
      </w:r>
    </w:p>
    <w:p w:rsidR="007D76BB" w:rsidRDefault="007D76BB">
      <w:pPr>
        <w:rPr>
          <w:sz w:val="23"/>
        </w:rPr>
        <w:sectPr w:rsidR="007D76BB">
          <w:pgSz w:w="11910" w:h="16840"/>
          <w:pgMar w:top="840" w:right="820" w:bottom="1360" w:left="1220" w:header="572" w:footer="1167" w:gutter="0"/>
          <w:cols w:space="720"/>
        </w:sectPr>
      </w:pPr>
    </w:p>
    <w:p w:rsidR="007D76BB" w:rsidRDefault="007D76BB">
      <w:pPr>
        <w:pStyle w:val="BodyText"/>
        <w:spacing w:before="9"/>
        <w:rPr>
          <w:b/>
          <w:sz w:val="24"/>
        </w:rPr>
      </w:pPr>
    </w:p>
    <w:tbl>
      <w:tblPr>
        <w:tblW w:w="0" w:type="auto"/>
        <w:tblInd w:w="218" w:type="dxa"/>
        <w:tblBorders>
          <w:top w:val="single" w:sz="8" w:space="0" w:color="002C46"/>
          <w:left w:val="single" w:sz="8" w:space="0" w:color="002C46"/>
          <w:bottom w:val="single" w:sz="8" w:space="0" w:color="002C46"/>
          <w:right w:val="single" w:sz="8" w:space="0" w:color="002C46"/>
          <w:insideH w:val="single" w:sz="8" w:space="0" w:color="002C46"/>
          <w:insideV w:val="single" w:sz="8" w:space="0" w:color="002C46"/>
        </w:tblBorders>
        <w:tblLayout w:type="fixed"/>
        <w:tblCellMar>
          <w:left w:w="0" w:type="dxa"/>
          <w:right w:w="0" w:type="dxa"/>
        </w:tblCellMar>
        <w:tblLook w:val="01E0" w:firstRow="1" w:lastRow="1" w:firstColumn="1" w:lastColumn="1" w:noHBand="0" w:noVBand="0"/>
      </w:tblPr>
      <w:tblGrid>
        <w:gridCol w:w="5662"/>
        <w:gridCol w:w="3389"/>
      </w:tblGrid>
      <w:tr w:rsidR="007D76BB">
        <w:trPr>
          <w:trHeight w:val="611"/>
        </w:trPr>
        <w:tc>
          <w:tcPr>
            <w:tcW w:w="5662" w:type="dxa"/>
            <w:tcBorders>
              <w:right w:val="nil"/>
            </w:tcBorders>
            <w:shd w:val="clear" w:color="auto" w:fill="006CA7"/>
          </w:tcPr>
          <w:p w:rsidR="007D76BB" w:rsidRDefault="00D70D28">
            <w:pPr>
              <w:pStyle w:val="TableParagraph"/>
              <w:spacing w:before="122"/>
              <w:ind w:left="107"/>
              <w:rPr>
                <w:rFonts w:ascii="Arial Black"/>
              </w:rPr>
            </w:pPr>
            <w:r>
              <w:rPr>
                <w:rFonts w:ascii="Arial Black"/>
                <w:color w:val="FFFFFF"/>
              </w:rPr>
              <w:t>Activity</w:t>
            </w:r>
          </w:p>
        </w:tc>
        <w:tc>
          <w:tcPr>
            <w:tcW w:w="3389" w:type="dxa"/>
            <w:tcBorders>
              <w:left w:val="nil"/>
            </w:tcBorders>
            <w:shd w:val="clear" w:color="auto" w:fill="006CA7"/>
          </w:tcPr>
          <w:p w:rsidR="007D76BB" w:rsidRDefault="00D70D28">
            <w:pPr>
              <w:pStyle w:val="TableParagraph"/>
              <w:spacing w:before="122"/>
              <w:ind w:left="114"/>
              <w:rPr>
                <w:rFonts w:ascii="Arial Black"/>
              </w:rPr>
            </w:pPr>
            <w:r>
              <w:rPr>
                <w:rFonts w:ascii="Arial Black"/>
                <w:color w:val="FFFFFF"/>
              </w:rPr>
              <w:t>Estimated date</w:t>
            </w:r>
          </w:p>
        </w:tc>
      </w:tr>
      <w:tr w:rsidR="007D76BB">
        <w:trPr>
          <w:trHeight w:val="1691"/>
        </w:trPr>
        <w:tc>
          <w:tcPr>
            <w:tcW w:w="5662" w:type="dxa"/>
          </w:tcPr>
          <w:p w:rsidR="007D76BB" w:rsidRDefault="00D70D28">
            <w:pPr>
              <w:pStyle w:val="TableParagraph"/>
              <w:spacing w:before="119"/>
              <w:ind w:left="107" w:right="517"/>
            </w:pPr>
            <w:r>
              <w:t>Education campaign in collaboration with FSANZ and Sport Integrity Australia</w:t>
            </w:r>
            <w:hyperlink w:anchor="_bookmark66" w:history="1">
              <w:r>
                <w:rPr>
                  <w:position w:val="5"/>
                  <w:sz w:val="14"/>
                </w:rPr>
                <w:t>15</w:t>
              </w:r>
            </w:hyperlink>
            <w:r>
              <w:t>:</w:t>
            </w:r>
          </w:p>
          <w:p w:rsidR="007D76BB" w:rsidRDefault="00D70D28">
            <w:pPr>
              <w:pStyle w:val="TableParagraph"/>
              <w:numPr>
                <w:ilvl w:val="0"/>
                <w:numId w:val="11"/>
              </w:numPr>
              <w:tabs>
                <w:tab w:val="left" w:pos="467"/>
                <w:tab w:val="left" w:pos="468"/>
              </w:tabs>
              <w:spacing w:before="180"/>
            </w:pPr>
            <w:r>
              <w:t>Education material and notices on TGA</w:t>
            </w:r>
            <w:r>
              <w:rPr>
                <w:spacing w:val="-13"/>
              </w:rPr>
              <w:t xml:space="preserve"> </w:t>
            </w:r>
            <w:r>
              <w:t>website</w:t>
            </w:r>
          </w:p>
          <w:p w:rsidR="007D76BB" w:rsidRDefault="00D70D28">
            <w:pPr>
              <w:pStyle w:val="TableParagraph"/>
              <w:numPr>
                <w:ilvl w:val="0"/>
                <w:numId w:val="11"/>
              </w:numPr>
              <w:tabs>
                <w:tab w:val="left" w:pos="467"/>
                <w:tab w:val="left" w:pos="468"/>
              </w:tabs>
              <w:spacing w:before="181"/>
            </w:pPr>
            <w:r>
              <w:t>Sponsor</w:t>
            </w:r>
            <w:r>
              <w:rPr>
                <w:spacing w:val="-2"/>
              </w:rPr>
              <w:t xml:space="preserve"> </w:t>
            </w:r>
            <w:r>
              <w:t>workshops/webinars</w:t>
            </w:r>
          </w:p>
        </w:tc>
        <w:tc>
          <w:tcPr>
            <w:tcW w:w="3389" w:type="dxa"/>
          </w:tcPr>
          <w:p w:rsidR="007D76BB" w:rsidRDefault="00D70D28">
            <w:pPr>
              <w:pStyle w:val="TableParagraph"/>
              <w:spacing w:before="119"/>
              <w:ind w:left="105"/>
            </w:pPr>
            <w:r>
              <w:t>~September 2020- ongoing</w:t>
            </w:r>
          </w:p>
        </w:tc>
      </w:tr>
      <w:tr w:rsidR="007D76BB">
        <w:trPr>
          <w:trHeight w:val="558"/>
        </w:trPr>
        <w:tc>
          <w:tcPr>
            <w:tcW w:w="5662" w:type="dxa"/>
          </w:tcPr>
          <w:p w:rsidR="007D76BB" w:rsidRDefault="00D70D28">
            <w:pPr>
              <w:pStyle w:val="TableParagraph"/>
              <w:spacing w:before="121"/>
              <w:ind w:left="107"/>
            </w:pPr>
            <w:r>
              <w:t>Transition period ends</w:t>
            </w:r>
          </w:p>
        </w:tc>
        <w:tc>
          <w:tcPr>
            <w:tcW w:w="3389" w:type="dxa"/>
          </w:tcPr>
          <w:p w:rsidR="007D76BB" w:rsidRDefault="00D70D28">
            <w:pPr>
              <w:pStyle w:val="TableParagraph"/>
              <w:spacing w:before="121"/>
              <w:ind w:left="104"/>
            </w:pPr>
            <w:r>
              <w:t>~September 2023</w:t>
            </w:r>
          </w:p>
        </w:tc>
      </w:tr>
      <w:tr w:rsidR="007D76BB">
        <w:trPr>
          <w:trHeight w:val="817"/>
        </w:trPr>
        <w:tc>
          <w:tcPr>
            <w:tcW w:w="5662" w:type="dxa"/>
          </w:tcPr>
          <w:p w:rsidR="007D76BB" w:rsidRDefault="00D70D28">
            <w:pPr>
              <w:pStyle w:val="TableParagraph"/>
              <w:spacing w:before="119"/>
              <w:ind w:left="107"/>
            </w:pPr>
            <w:bookmarkStart w:id="137" w:name="_bookmark65"/>
            <w:bookmarkEnd w:id="137"/>
            <w:r>
              <w:t>Evaluation</w:t>
            </w:r>
          </w:p>
        </w:tc>
        <w:tc>
          <w:tcPr>
            <w:tcW w:w="3389" w:type="dxa"/>
          </w:tcPr>
          <w:p w:rsidR="007D76BB" w:rsidRDefault="00D70D28">
            <w:pPr>
              <w:pStyle w:val="TableParagraph"/>
              <w:spacing w:before="119"/>
              <w:ind w:left="104" w:right="144"/>
            </w:pPr>
            <w:r>
              <w:t>~September 2020 – ~September 2024</w:t>
            </w:r>
          </w:p>
        </w:tc>
      </w:tr>
    </w:tbl>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7D76BB">
      <w:pPr>
        <w:pStyle w:val="BodyText"/>
        <w:rPr>
          <w:b/>
          <w:sz w:val="20"/>
        </w:rPr>
      </w:pPr>
    </w:p>
    <w:p w:rsidR="007D76BB" w:rsidRDefault="00D70D28">
      <w:pPr>
        <w:pStyle w:val="BodyText"/>
        <w:spacing w:before="2"/>
        <w:rPr>
          <w:b/>
          <w:sz w:val="19"/>
        </w:rPr>
      </w:pPr>
      <w:r>
        <w:rPr>
          <w:noProof/>
          <w:lang w:val="en-AU" w:eastAsia="en-AU"/>
        </w:rPr>
        <mc:AlternateContent>
          <mc:Choice Requires="wps">
            <w:drawing>
              <wp:anchor distT="0" distB="0" distL="0" distR="0" simplePos="0" relativeHeight="251682816" behindDoc="1" locked="0" layoutInCell="1" allowOverlap="1">
                <wp:simplePos x="0" y="0"/>
                <wp:positionH relativeFrom="page">
                  <wp:posOffset>900430</wp:posOffset>
                </wp:positionH>
                <wp:positionV relativeFrom="paragraph">
                  <wp:posOffset>171450</wp:posOffset>
                </wp:positionV>
                <wp:extent cx="1828800" cy="1270"/>
                <wp:effectExtent l="0" t="0" r="0" b="0"/>
                <wp:wrapTopAndBottom/>
                <wp:docPr id="407"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18 1418"/>
                            <a:gd name="T1" fmla="*/ T0 w 2880"/>
                            <a:gd name="T2" fmla="+- 0 4298 1418"/>
                            <a:gd name="T3" fmla="*/ T2 w 2880"/>
                          </a:gdLst>
                          <a:ahLst/>
                          <a:cxnLst>
                            <a:cxn ang="0">
                              <a:pos x="T1" y="0"/>
                            </a:cxn>
                            <a:cxn ang="0">
                              <a:pos x="T3" y="0"/>
                            </a:cxn>
                          </a:cxnLst>
                          <a:rect l="0" t="0" r="r" b="b"/>
                          <a:pathLst>
                            <a:path w="2880">
                              <a:moveTo>
                                <a:pt x="0" y="0"/>
                              </a:moveTo>
                              <a:lnTo>
                                <a:pt x="2880" y="0"/>
                              </a:lnTo>
                            </a:path>
                          </a:pathLst>
                        </a:custGeom>
                        <a:noFill/>
                        <a:ln w="76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97A23" id="Freeform 263" o:spid="_x0000_s1026" style="position:absolute;margin-left:70.9pt;margin-top:13.5pt;width:2in;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" path="m,l2880,e" filled="f" strokeweight=".21131mm">
                <v:path arrowok="t" o:connecttype="custom" o:connectlocs="0,0;1828800,0" o:connectangles="0,0"/>
                <w10:wrap type="topAndBottom" anchorx="page"/>
              </v:shape>
            </w:pict>
          </mc:Fallback>
        </mc:AlternateContent>
      </w:r>
    </w:p>
    <w:p w:rsidR="007D76BB" w:rsidRDefault="00D70D28">
      <w:pPr>
        <w:tabs>
          <w:tab w:val="left" w:pos="8917"/>
        </w:tabs>
        <w:spacing w:before="71" w:line="244" w:lineRule="auto"/>
        <w:ind w:left="198" w:right="610"/>
        <w:rPr>
          <w:sz w:val="20"/>
        </w:rPr>
      </w:pPr>
      <w:bookmarkStart w:id="138" w:name="_bookmark66"/>
      <w:bookmarkEnd w:id="138"/>
      <w:r>
        <w:rPr>
          <w:position w:val="5"/>
          <w:sz w:val="13"/>
        </w:rPr>
        <w:t xml:space="preserve">15 </w:t>
      </w:r>
      <w:r>
        <w:rPr>
          <w:sz w:val="20"/>
        </w:rPr>
        <w:t>On 1 July 2020, Sport Integrity Australia will commence. Sport Integrity Australia will bring together the Australian Sports Anti-Doping Authority (ASADA) the National Integrity of Sports Unit (NISU) and</w:t>
      </w:r>
      <w:r>
        <w:rPr>
          <w:sz w:val="20"/>
          <w:u w:val="single"/>
        </w:rPr>
        <w:t xml:space="preserve"> national integrity programs of Sport Australia into one</w:t>
      </w:r>
      <w:r>
        <w:rPr>
          <w:spacing w:val="-29"/>
          <w:sz w:val="20"/>
          <w:u w:val="single"/>
        </w:rPr>
        <w:t xml:space="preserve"> </w:t>
      </w:r>
      <w:r>
        <w:rPr>
          <w:sz w:val="20"/>
          <w:u w:val="single"/>
        </w:rPr>
        <w:t>entity</w:t>
      </w:r>
      <w:r>
        <w:rPr>
          <w:sz w:val="20"/>
          <w:u w:val="single"/>
        </w:rPr>
        <w:tab/>
      </w:r>
    </w:p>
    <w:p w:rsidR="007D76BB" w:rsidRDefault="007D76BB">
      <w:pPr>
        <w:spacing w:line="244" w:lineRule="auto"/>
        <w:rPr>
          <w:sz w:val="20"/>
        </w:rPr>
        <w:sectPr w:rsidR="007D76BB">
          <w:pgSz w:w="11910" w:h="16840"/>
          <w:pgMar w:top="840" w:right="820" w:bottom="1360" w:left="1220" w:header="572" w:footer="1167" w:gutter="0"/>
          <w:cols w:space="720"/>
        </w:sectPr>
      </w:pPr>
    </w:p>
    <w:p w:rsidR="007D76BB" w:rsidRDefault="007D76BB">
      <w:pPr>
        <w:pStyle w:val="BodyText"/>
        <w:rPr>
          <w:sz w:val="20"/>
        </w:rPr>
      </w:pPr>
    </w:p>
    <w:p w:rsidR="007D76BB" w:rsidRDefault="007D76BB">
      <w:pPr>
        <w:pStyle w:val="BodyText"/>
        <w:spacing w:before="8"/>
        <w:rPr>
          <w:sz w:val="27"/>
        </w:rPr>
      </w:pPr>
    </w:p>
    <w:p w:rsidR="007D76BB" w:rsidRDefault="00D70D28">
      <w:pPr>
        <w:pStyle w:val="Heading2"/>
      </w:pPr>
      <w:bookmarkStart w:id="139" w:name="Appendix_1_Regulatory_Burden_costings"/>
      <w:bookmarkStart w:id="140" w:name="_bookmark67"/>
      <w:bookmarkEnd w:id="139"/>
      <w:bookmarkEnd w:id="140"/>
      <w:r>
        <w:t>Appendix 1 Regulatory Burden costings</w:t>
      </w: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D70D28">
      <w:pPr>
        <w:pStyle w:val="BodyText"/>
        <w:spacing w:before="6"/>
        <w:rPr>
          <w:rFonts w:ascii="Arial"/>
          <w:b/>
          <w:sz w:val="26"/>
        </w:rPr>
      </w:pPr>
      <w:r>
        <w:rPr>
          <w:noProof/>
          <w:lang w:val="en-AU" w:eastAsia="en-AU"/>
        </w:rPr>
        <w:lastRenderedPageBreak/>
        <mc:AlternateContent>
          <mc:Choice Requires="wpg">
            <w:drawing>
              <wp:anchor distT="0" distB="0" distL="0" distR="0" simplePos="0" relativeHeight="251683840" behindDoc="1" locked="0" layoutInCell="1" allowOverlap="1">
                <wp:simplePos x="0" y="0"/>
                <wp:positionH relativeFrom="page">
                  <wp:posOffset>900430</wp:posOffset>
                </wp:positionH>
                <wp:positionV relativeFrom="paragraph">
                  <wp:posOffset>219075</wp:posOffset>
                </wp:positionV>
                <wp:extent cx="5537200" cy="6350"/>
                <wp:effectExtent l="0" t="0" r="0" b="0"/>
                <wp:wrapTopAndBottom/>
                <wp:docPr id="403"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0" cy="6350"/>
                          <a:chOff x="1418" y="345"/>
                          <a:chExt cx="8720" cy="10"/>
                        </a:xfrm>
                      </wpg:grpSpPr>
                      <wps:wsp>
                        <wps:cNvPr id="404" name="Line 262"/>
                        <wps:cNvCnPr>
                          <a:cxnSpLocks noChangeShapeType="1"/>
                        </wps:cNvCnPr>
                        <wps:spPr bwMode="auto">
                          <a:xfrm>
                            <a:off x="1418" y="350"/>
                            <a:ext cx="734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 name="Rectangle 261"/>
                        <wps:cNvSpPr>
                          <a:spLocks noChangeArrowheads="1"/>
                        </wps:cNvSpPr>
                        <wps:spPr bwMode="auto">
                          <a:xfrm>
                            <a:off x="8757" y="34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Line 260"/>
                        <wps:cNvCnPr>
                          <a:cxnSpLocks noChangeShapeType="1"/>
                        </wps:cNvCnPr>
                        <wps:spPr bwMode="auto">
                          <a:xfrm>
                            <a:off x="8767" y="350"/>
                            <a:ext cx="1371"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E9AEB3" id="Group 259" o:spid="_x0000_s1026" style="position:absolute;margin-left:70.9pt;margin-top:17.25pt;width:436pt;height:.5pt;z-index:-251632640;mso-wrap-distance-left:0;mso-wrap-distance-right:0;mso-position-horizontal-relative:page" coordorigin="1418,345" coordsize="87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">
                <v:line id="Line 262" o:spid="_x0000_s1027" style="position:absolute;visibility:visible;mso-wrap-style:square" from="1418,350" to="875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" strokeweight=".16969mm"/>
                <v:rect id="Rectangle 261" o:spid="_x0000_s1028" style="position:absolute;left:8757;top:34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" fillcolor="black" stroked="f"/>
                <v:line id="Line 260" o:spid="_x0000_s1029" style="position:absolute;visibility:visible;mso-wrap-style:square" from="8767,350" to="1013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" strokeweight=".16969mm"/>
                <w10:wrap type="topAndBottom" anchorx="page"/>
              </v:group>
            </w:pict>
          </mc:Fallback>
        </mc:AlternateContent>
      </w:r>
    </w:p>
    <w:p w:rsidR="007D76BB" w:rsidRDefault="007D76BB">
      <w:pPr>
        <w:rPr>
          <w:rFonts w:ascii="Arial"/>
          <w:sz w:val="26"/>
        </w:rPr>
        <w:sectPr w:rsidR="007D76BB">
          <w:pgSz w:w="11910" w:h="16840"/>
          <w:pgMar w:top="840" w:right="820" w:bottom="1360" w:left="1220" w:header="572" w:footer="1167" w:gutter="0"/>
          <w:cols w:space="720"/>
        </w:sectPr>
      </w:pPr>
    </w:p>
    <w:p w:rsidR="007D76BB" w:rsidRDefault="00D70D28">
      <w:pPr>
        <w:pStyle w:val="BodyText"/>
        <w:rPr>
          <w:rFonts w:ascii="Arial"/>
          <w:b/>
          <w:sz w:val="20"/>
        </w:rPr>
      </w:pPr>
      <w:r>
        <w:rPr>
          <w:noProof/>
          <w:lang w:val="en-AU" w:eastAsia="en-AU"/>
        </w:rPr>
        <w:lastRenderedPageBreak/>
        <mc:AlternateContent>
          <mc:Choice Requires="wpg">
            <w:drawing>
              <wp:anchor distT="0" distB="0" distL="114300" distR="114300" simplePos="0" relativeHeight="242098176" behindDoc="1" locked="0" layoutInCell="1" allowOverlap="1">
                <wp:simplePos x="0" y="0"/>
                <wp:positionH relativeFrom="page">
                  <wp:posOffset>180340</wp:posOffset>
                </wp:positionH>
                <wp:positionV relativeFrom="page">
                  <wp:posOffset>0</wp:posOffset>
                </wp:positionV>
                <wp:extent cx="7380605" cy="6222365"/>
                <wp:effectExtent l="0" t="0" r="0" b="0"/>
                <wp:wrapNone/>
                <wp:docPr id="382"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6222365"/>
                          <a:chOff x="284" y="0"/>
                          <a:chExt cx="11623" cy="9799"/>
                        </a:xfrm>
                      </wpg:grpSpPr>
                      <pic:pic xmlns:pic="http://schemas.openxmlformats.org/drawingml/2006/picture">
                        <pic:nvPicPr>
                          <pic:cNvPr id="383" name="Picture 25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283" y="1360"/>
                            <a:ext cx="11338" cy="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4" name="Rectangle 257"/>
                        <wps:cNvSpPr>
                          <a:spLocks noChangeArrowheads="1"/>
                        </wps:cNvSpPr>
                        <wps:spPr bwMode="auto">
                          <a:xfrm>
                            <a:off x="2552" y="-1"/>
                            <a:ext cx="2551" cy="2122"/>
                          </a:xfrm>
                          <a:prstGeom prst="rect">
                            <a:avLst/>
                          </a:prstGeom>
                          <a:solidFill>
                            <a:srgbClr val="0D21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5" name="Picture 25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3893" y="1578"/>
                            <a:ext cx="115"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 name="Picture 25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4053" y="1580"/>
                            <a:ext cx="108"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 name="Picture 25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4192" y="1578"/>
                            <a:ext cx="123"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8" name="Picture 25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4349" y="1580"/>
                            <a:ext cx="10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9" name="Picture 25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4499" y="1580"/>
                            <a:ext cx="106"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0" name="AutoShape 251"/>
                        <wps:cNvSpPr>
                          <a:spLocks/>
                        </wps:cNvSpPr>
                        <wps:spPr bwMode="auto">
                          <a:xfrm>
                            <a:off x="3292" y="847"/>
                            <a:ext cx="1501" cy="676"/>
                          </a:xfrm>
                          <a:custGeom>
                            <a:avLst/>
                            <a:gdLst>
                              <a:gd name="T0" fmla="+- 0 4324 3293"/>
                              <a:gd name="T1" fmla="*/ T0 w 1501"/>
                              <a:gd name="T2" fmla="+- 0 1173 848"/>
                              <a:gd name="T3" fmla="*/ 1173 h 676"/>
                              <a:gd name="T4" fmla="+- 0 4218 3293"/>
                              <a:gd name="T5" fmla="*/ T4 w 1501"/>
                              <a:gd name="T6" fmla="+- 0 1176 848"/>
                              <a:gd name="T7" fmla="*/ 1176 h 676"/>
                              <a:gd name="T8" fmla="+- 0 4061 3293"/>
                              <a:gd name="T9" fmla="*/ T8 w 1501"/>
                              <a:gd name="T10" fmla="+- 0 1181 848"/>
                              <a:gd name="T11" fmla="*/ 1181 h 676"/>
                              <a:gd name="T12" fmla="+- 0 4135 3293"/>
                              <a:gd name="T13" fmla="*/ T12 w 1501"/>
                              <a:gd name="T14" fmla="+- 0 908 848"/>
                              <a:gd name="T15" fmla="*/ 908 h 676"/>
                              <a:gd name="T16" fmla="+- 0 4104 3293"/>
                              <a:gd name="T17" fmla="*/ T16 w 1501"/>
                              <a:gd name="T18" fmla="+- 0 854 848"/>
                              <a:gd name="T19" fmla="*/ 854 h 676"/>
                              <a:gd name="T20" fmla="+- 0 4034 3293"/>
                              <a:gd name="T21" fmla="*/ T20 w 1501"/>
                              <a:gd name="T22" fmla="+- 0 914 848"/>
                              <a:gd name="T23" fmla="*/ 914 h 676"/>
                              <a:gd name="T24" fmla="+- 0 3961 3293"/>
                              <a:gd name="T25" fmla="*/ T24 w 1501"/>
                              <a:gd name="T26" fmla="+- 0 1185 848"/>
                              <a:gd name="T27" fmla="*/ 1185 h 676"/>
                              <a:gd name="T28" fmla="+- 0 3893 3293"/>
                              <a:gd name="T29" fmla="*/ T28 w 1501"/>
                              <a:gd name="T30" fmla="+- 0 1231 848"/>
                              <a:gd name="T31" fmla="*/ 1231 h 676"/>
                              <a:gd name="T32" fmla="+- 0 3964 3293"/>
                              <a:gd name="T33" fmla="*/ T32 w 1501"/>
                              <a:gd name="T34" fmla="+- 0 1314 848"/>
                              <a:gd name="T35" fmla="*/ 1314 h 676"/>
                              <a:gd name="T36" fmla="+- 0 3731 3293"/>
                              <a:gd name="T37" fmla="*/ T36 w 1501"/>
                              <a:gd name="T38" fmla="+- 0 1445 848"/>
                              <a:gd name="T39" fmla="*/ 1445 h 676"/>
                              <a:gd name="T40" fmla="+- 0 3688 3293"/>
                              <a:gd name="T41" fmla="*/ T40 w 1501"/>
                              <a:gd name="T42" fmla="+- 0 1388 848"/>
                              <a:gd name="T43" fmla="*/ 1388 h 676"/>
                              <a:gd name="T44" fmla="+- 0 3830 3293"/>
                              <a:gd name="T45" fmla="*/ T44 w 1501"/>
                              <a:gd name="T46" fmla="+- 0 1307 848"/>
                              <a:gd name="T47" fmla="*/ 1307 h 676"/>
                              <a:gd name="T48" fmla="+- 0 3802 3293"/>
                              <a:gd name="T49" fmla="*/ T48 w 1501"/>
                              <a:gd name="T50" fmla="+- 0 1132 848"/>
                              <a:gd name="T51" fmla="*/ 1132 h 676"/>
                              <a:gd name="T52" fmla="+- 0 3756 3293"/>
                              <a:gd name="T53" fmla="*/ T52 w 1501"/>
                              <a:gd name="T54" fmla="+- 0 1283 848"/>
                              <a:gd name="T55" fmla="*/ 1283 h 676"/>
                              <a:gd name="T56" fmla="+- 0 3677 3293"/>
                              <a:gd name="T57" fmla="*/ T56 w 1501"/>
                              <a:gd name="T58" fmla="+- 0 1298 848"/>
                              <a:gd name="T59" fmla="*/ 1298 h 676"/>
                              <a:gd name="T60" fmla="+- 0 3687 3293"/>
                              <a:gd name="T61" fmla="*/ T60 w 1501"/>
                              <a:gd name="T62" fmla="+- 0 1246 848"/>
                              <a:gd name="T63" fmla="*/ 1246 h 676"/>
                              <a:gd name="T64" fmla="+- 0 3761 3293"/>
                              <a:gd name="T65" fmla="*/ T64 w 1501"/>
                              <a:gd name="T66" fmla="+- 0 1209 848"/>
                              <a:gd name="T67" fmla="*/ 1209 h 676"/>
                              <a:gd name="T68" fmla="+- 0 3723 3293"/>
                              <a:gd name="T69" fmla="*/ T68 w 1501"/>
                              <a:gd name="T70" fmla="+- 0 1138 848"/>
                              <a:gd name="T71" fmla="*/ 1138 h 676"/>
                              <a:gd name="T72" fmla="+- 0 3562 3293"/>
                              <a:gd name="T73" fmla="*/ T72 w 1501"/>
                              <a:gd name="T74" fmla="+- 0 1296 848"/>
                              <a:gd name="T75" fmla="*/ 1296 h 676"/>
                              <a:gd name="T76" fmla="+- 0 3491 3293"/>
                              <a:gd name="T77" fmla="*/ T76 w 1501"/>
                              <a:gd name="T78" fmla="+- 0 1180 848"/>
                              <a:gd name="T79" fmla="*/ 1180 h 676"/>
                              <a:gd name="T80" fmla="+- 0 3408 3293"/>
                              <a:gd name="T81" fmla="*/ T80 w 1501"/>
                              <a:gd name="T82" fmla="+- 0 1416 848"/>
                              <a:gd name="T83" fmla="*/ 1416 h 676"/>
                              <a:gd name="T84" fmla="+- 0 3394 3293"/>
                              <a:gd name="T85" fmla="*/ T84 w 1501"/>
                              <a:gd name="T86" fmla="+- 0 1290 848"/>
                              <a:gd name="T87" fmla="*/ 1290 h 676"/>
                              <a:gd name="T88" fmla="+- 0 3477 3293"/>
                              <a:gd name="T89" fmla="*/ T88 w 1501"/>
                              <a:gd name="T90" fmla="+- 0 1269 848"/>
                              <a:gd name="T91" fmla="*/ 1269 h 676"/>
                              <a:gd name="T92" fmla="+- 0 3468 3293"/>
                              <a:gd name="T93" fmla="*/ T92 w 1501"/>
                              <a:gd name="T94" fmla="+- 0 1174 848"/>
                              <a:gd name="T95" fmla="*/ 1174 h 676"/>
                              <a:gd name="T96" fmla="+- 0 3311 3293"/>
                              <a:gd name="T97" fmla="*/ T96 w 1501"/>
                              <a:gd name="T98" fmla="+- 0 1268 848"/>
                              <a:gd name="T99" fmla="*/ 1268 h 676"/>
                              <a:gd name="T100" fmla="+- 0 3346 3293"/>
                              <a:gd name="T101" fmla="*/ T100 w 1501"/>
                              <a:gd name="T102" fmla="+- 0 1466 848"/>
                              <a:gd name="T103" fmla="*/ 1466 h 676"/>
                              <a:gd name="T104" fmla="+- 0 3543 3293"/>
                              <a:gd name="T105" fmla="*/ T104 w 1501"/>
                              <a:gd name="T106" fmla="+- 0 1416 848"/>
                              <a:gd name="T107" fmla="*/ 1416 h 676"/>
                              <a:gd name="T108" fmla="+- 0 3574 3293"/>
                              <a:gd name="T109" fmla="*/ T108 w 1501"/>
                              <a:gd name="T110" fmla="+- 0 1472 848"/>
                              <a:gd name="T111" fmla="*/ 1472 h 676"/>
                              <a:gd name="T112" fmla="+- 0 3878 3293"/>
                              <a:gd name="T113" fmla="*/ T112 w 1501"/>
                              <a:gd name="T114" fmla="+- 0 1457 848"/>
                              <a:gd name="T115" fmla="*/ 1457 h 676"/>
                              <a:gd name="T116" fmla="+- 0 3983 3293"/>
                              <a:gd name="T117" fmla="*/ T116 w 1501"/>
                              <a:gd name="T118" fmla="+- 0 1420 848"/>
                              <a:gd name="T119" fmla="*/ 1420 h 676"/>
                              <a:gd name="T120" fmla="+- 0 4009 3293"/>
                              <a:gd name="T121" fmla="*/ T120 w 1501"/>
                              <a:gd name="T122" fmla="+- 0 1471 848"/>
                              <a:gd name="T123" fmla="*/ 1471 h 676"/>
                              <a:gd name="T124" fmla="+- 0 4057 3293"/>
                              <a:gd name="T125" fmla="*/ T124 w 1501"/>
                              <a:gd name="T126" fmla="+- 0 1462 848"/>
                              <a:gd name="T127" fmla="*/ 1462 h 676"/>
                              <a:gd name="T128" fmla="+- 0 4074 3293"/>
                              <a:gd name="T129" fmla="*/ T128 w 1501"/>
                              <a:gd name="T130" fmla="+- 0 1405 848"/>
                              <a:gd name="T131" fmla="*/ 1405 h 676"/>
                              <a:gd name="T132" fmla="+- 0 4060 3293"/>
                              <a:gd name="T133" fmla="*/ T132 w 1501"/>
                              <a:gd name="T134" fmla="+- 0 1347 848"/>
                              <a:gd name="T135" fmla="*/ 1347 h 676"/>
                              <a:gd name="T136" fmla="+- 0 4066 3293"/>
                              <a:gd name="T137" fmla="*/ T136 w 1501"/>
                              <a:gd name="T138" fmla="+- 0 1298 848"/>
                              <a:gd name="T139" fmla="*/ 1298 h 676"/>
                              <a:gd name="T140" fmla="+- 0 4237 3293"/>
                              <a:gd name="T141" fmla="*/ T140 w 1501"/>
                              <a:gd name="T142" fmla="+- 0 1249 848"/>
                              <a:gd name="T143" fmla="*/ 1249 h 676"/>
                              <a:gd name="T144" fmla="+- 0 4247 3293"/>
                              <a:gd name="T145" fmla="*/ T144 w 1501"/>
                              <a:gd name="T146" fmla="+- 0 1312 848"/>
                              <a:gd name="T147" fmla="*/ 1312 h 676"/>
                              <a:gd name="T148" fmla="+- 0 4239 3293"/>
                              <a:gd name="T149" fmla="*/ T148 w 1501"/>
                              <a:gd name="T150" fmla="+- 0 1454 848"/>
                              <a:gd name="T151" fmla="*/ 1454 h 676"/>
                              <a:gd name="T152" fmla="+- 0 4310 3293"/>
                              <a:gd name="T153" fmla="*/ T152 w 1501"/>
                              <a:gd name="T154" fmla="+- 0 1464 848"/>
                              <a:gd name="T155" fmla="*/ 1464 h 676"/>
                              <a:gd name="T156" fmla="+- 0 4331 3293"/>
                              <a:gd name="T157" fmla="*/ T156 w 1501"/>
                              <a:gd name="T158" fmla="+- 0 1249 848"/>
                              <a:gd name="T159" fmla="*/ 1249 h 676"/>
                              <a:gd name="T160" fmla="+- 0 4758 3293"/>
                              <a:gd name="T161" fmla="*/ T160 w 1501"/>
                              <a:gd name="T162" fmla="+- 0 1284 848"/>
                              <a:gd name="T163" fmla="*/ 1284 h 676"/>
                              <a:gd name="T164" fmla="+- 0 4722 3293"/>
                              <a:gd name="T165" fmla="*/ T164 w 1501"/>
                              <a:gd name="T166" fmla="+- 0 1363 848"/>
                              <a:gd name="T167" fmla="*/ 1363 h 676"/>
                              <a:gd name="T168" fmla="+- 0 4456 3293"/>
                              <a:gd name="T169" fmla="*/ T168 w 1501"/>
                              <a:gd name="T170" fmla="+- 0 1408 848"/>
                              <a:gd name="T171" fmla="*/ 1408 h 676"/>
                              <a:gd name="T172" fmla="+- 0 4471 3293"/>
                              <a:gd name="T173" fmla="*/ T172 w 1501"/>
                              <a:gd name="T174" fmla="+- 0 1251 848"/>
                              <a:gd name="T175" fmla="*/ 1251 h 676"/>
                              <a:gd name="T176" fmla="+- 0 4539 3293"/>
                              <a:gd name="T177" fmla="*/ T176 w 1501"/>
                              <a:gd name="T178" fmla="+- 0 1231 848"/>
                              <a:gd name="T179" fmla="*/ 1231 h 676"/>
                              <a:gd name="T180" fmla="+- 0 4581 3293"/>
                              <a:gd name="T181" fmla="*/ T180 w 1501"/>
                              <a:gd name="T182" fmla="+- 0 1253 848"/>
                              <a:gd name="T183" fmla="*/ 1253 h 676"/>
                              <a:gd name="T184" fmla="+- 0 4594 3293"/>
                              <a:gd name="T185" fmla="*/ T184 w 1501"/>
                              <a:gd name="T186" fmla="+- 0 1174 848"/>
                              <a:gd name="T187" fmla="*/ 1174 h 676"/>
                              <a:gd name="T188" fmla="+- 0 4509 3293"/>
                              <a:gd name="T189" fmla="*/ T188 w 1501"/>
                              <a:gd name="T190" fmla="+- 0 1134 848"/>
                              <a:gd name="T191" fmla="*/ 1134 h 676"/>
                              <a:gd name="T192" fmla="+- 0 4394 3293"/>
                              <a:gd name="T193" fmla="*/ T192 w 1501"/>
                              <a:gd name="T194" fmla="+- 0 1232 848"/>
                              <a:gd name="T195" fmla="*/ 1232 h 676"/>
                              <a:gd name="T196" fmla="+- 0 4379 3293"/>
                              <a:gd name="T197" fmla="*/ T196 w 1501"/>
                              <a:gd name="T198" fmla="+- 0 1432 848"/>
                              <a:gd name="T199" fmla="*/ 1432 h 676"/>
                              <a:gd name="T200" fmla="+- 0 4632 3293"/>
                              <a:gd name="T201" fmla="*/ T200 w 1501"/>
                              <a:gd name="T202" fmla="+- 0 1484 848"/>
                              <a:gd name="T203" fmla="*/ 1484 h 676"/>
                              <a:gd name="T204" fmla="+- 0 4793 3293"/>
                              <a:gd name="T205" fmla="*/ T204 w 1501"/>
                              <a:gd name="T206" fmla="+- 0 1334 848"/>
                              <a:gd name="T207" fmla="*/ 1334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501" h="676">
                                <a:moveTo>
                                  <a:pt x="1039" y="355"/>
                                </a:moveTo>
                                <a:lnTo>
                                  <a:pt x="1037" y="344"/>
                                </a:lnTo>
                                <a:lnTo>
                                  <a:pt x="1036" y="339"/>
                                </a:lnTo>
                                <a:lnTo>
                                  <a:pt x="1035" y="334"/>
                                </a:lnTo>
                                <a:lnTo>
                                  <a:pt x="1031" y="325"/>
                                </a:lnTo>
                                <a:lnTo>
                                  <a:pt x="1023" y="317"/>
                                </a:lnTo>
                                <a:lnTo>
                                  <a:pt x="1013" y="310"/>
                                </a:lnTo>
                                <a:lnTo>
                                  <a:pt x="1000" y="311"/>
                                </a:lnTo>
                                <a:lnTo>
                                  <a:pt x="986" y="315"/>
                                </a:lnTo>
                                <a:lnTo>
                                  <a:pt x="925" y="328"/>
                                </a:lnTo>
                                <a:lnTo>
                                  <a:pt x="858" y="336"/>
                                </a:lnTo>
                                <a:lnTo>
                                  <a:pt x="801" y="339"/>
                                </a:lnTo>
                                <a:lnTo>
                                  <a:pt x="772" y="336"/>
                                </a:lnTo>
                                <a:lnTo>
                                  <a:pt x="771" y="336"/>
                                </a:lnTo>
                                <a:lnTo>
                                  <a:pt x="768" y="333"/>
                                </a:lnTo>
                                <a:lnTo>
                                  <a:pt x="777" y="248"/>
                                </a:lnTo>
                                <a:lnTo>
                                  <a:pt x="797" y="175"/>
                                </a:lnTo>
                                <a:lnTo>
                                  <a:pt x="835" y="79"/>
                                </a:lnTo>
                                <a:lnTo>
                                  <a:pt x="839" y="70"/>
                                </a:lnTo>
                                <a:lnTo>
                                  <a:pt x="842" y="60"/>
                                </a:lnTo>
                                <a:lnTo>
                                  <a:pt x="843" y="50"/>
                                </a:lnTo>
                                <a:lnTo>
                                  <a:pt x="841" y="38"/>
                                </a:lnTo>
                                <a:lnTo>
                                  <a:pt x="834" y="24"/>
                                </a:lnTo>
                                <a:lnTo>
                                  <a:pt x="825" y="14"/>
                                </a:lnTo>
                                <a:lnTo>
                                  <a:pt x="811" y="6"/>
                                </a:lnTo>
                                <a:lnTo>
                                  <a:pt x="790" y="0"/>
                                </a:lnTo>
                                <a:lnTo>
                                  <a:pt x="762" y="1"/>
                                </a:lnTo>
                                <a:lnTo>
                                  <a:pt x="746" y="16"/>
                                </a:lnTo>
                                <a:lnTo>
                                  <a:pt x="739" y="40"/>
                                </a:lnTo>
                                <a:lnTo>
                                  <a:pt x="741" y="66"/>
                                </a:lnTo>
                                <a:lnTo>
                                  <a:pt x="734" y="98"/>
                                </a:lnTo>
                                <a:lnTo>
                                  <a:pt x="716" y="160"/>
                                </a:lnTo>
                                <a:lnTo>
                                  <a:pt x="696" y="243"/>
                                </a:lnTo>
                                <a:lnTo>
                                  <a:pt x="686" y="336"/>
                                </a:lnTo>
                                <a:lnTo>
                                  <a:pt x="668" y="337"/>
                                </a:lnTo>
                                <a:lnTo>
                                  <a:pt x="641" y="339"/>
                                </a:lnTo>
                                <a:lnTo>
                                  <a:pt x="614" y="346"/>
                                </a:lnTo>
                                <a:lnTo>
                                  <a:pt x="599" y="361"/>
                                </a:lnTo>
                                <a:lnTo>
                                  <a:pt x="599" y="364"/>
                                </a:lnTo>
                                <a:lnTo>
                                  <a:pt x="600" y="383"/>
                                </a:lnTo>
                                <a:lnTo>
                                  <a:pt x="614" y="404"/>
                                </a:lnTo>
                                <a:lnTo>
                                  <a:pt x="638" y="422"/>
                                </a:lnTo>
                                <a:lnTo>
                                  <a:pt x="670" y="438"/>
                                </a:lnTo>
                                <a:lnTo>
                                  <a:pt x="678" y="441"/>
                                </a:lnTo>
                                <a:lnTo>
                                  <a:pt x="671" y="466"/>
                                </a:lnTo>
                                <a:lnTo>
                                  <a:pt x="669" y="471"/>
                                </a:lnTo>
                                <a:lnTo>
                                  <a:pt x="632" y="516"/>
                                </a:lnTo>
                                <a:lnTo>
                                  <a:pt x="566" y="556"/>
                                </a:lnTo>
                                <a:lnTo>
                                  <a:pt x="493" y="585"/>
                                </a:lnTo>
                                <a:lnTo>
                                  <a:pt x="438" y="597"/>
                                </a:lnTo>
                                <a:lnTo>
                                  <a:pt x="390" y="591"/>
                                </a:lnTo>
                                <a:lnTo>
                                  <a:pt x="372" y="573"/>
                                </a:lnTo>
                                <a:lnTo>
                                  <a:pt x="372" y="554"/>
                                </a:lnTo>
                                <a:lnTo>
                                  <a:pt x="382" y="544"/>
                                </a:lnTo>
                                <a:lnTo>
                                  <a:pt x="395" y="540"/>
                                </a:lnTo>
                                <a:lnTo>
                                  <a:pt x="407" y="537"/>
                                </a:lnTo>
                                <a:lnTo>
                                  <a:pt x="457" y="520"/>
                                </a:lnTo>
                                <a:lnTo>
                                  <a:pt x="514" y="486"/>
                                </a:lnTo>
                                <a:lnTo>
                                  <a:pt x="533" y="463"/>
                                </a:lnTo>
                                <a:lnTo>
                                  <a:pt x="537" y="459"/>
                                </a:lnTo>
                                <a:lnTo>
                                  <a:pt x="558" y="433"/>
                                </a:lnTo>
                                <a:lnTo>
                                  <a:pt x="570" y="361"/>
                                </a:lnTo>
                                <a:lnTo>
                                  <a:pt x="572" y="355"/>
                                </a:lnTo>
                                <a:lnTo>
                                  <a:pt x="550" y="306"/>
                                </a:lnTo>
                                <a:lnTo>
                                  <a:pt x="509" y="284"/>
                                </a:lnTo>
                                <a:lnTo>
                                  <a:pt x="498" y="283"/>
                                </a:lnTo>
                                <a:lnTo>
                                  <a:pt x="498" y="381"/>
                                </a:lnTo>
                                <a:lnTo>
                                  <a:pt x="495" y="399"/>
                                </a:lnTo>
                                <a:lnTo>
                                  <a:pt x="482" y="418"/>
                                </a:lnTo>
                                <a:lnTo>
                                  <a:pt x="463" y="435"/>
                                </a:lnTo>
                                <a:lnTo>
                                  <a:pt x="443" y="448"/>
                                </a:lnTo>
                                <a:lnTo>
                                  <a:pt x="425" y="456"/>
                                </a:lnTo>
                                <a:lnTo>
                                  <a:pt x="409" y="459"/>
                                </a:lnTo>
                                <a:lnTo>
                                  <a:pt x="395" y="457"/>
                                </a:lnTo>
                                <a:lnTo>
                                  <a:pt x="384" y="450"/>
                                </a:lnTo>
                                <a:lnTo>
                                  <a:pt x="379" y="436"/>
                                </a:lnTo>
                                <a:lnTo>
                                  <a:pt x="379" y="425"/>
                                </a:lnTo>
                                <a:lnTo>
                                  <a:pt x="382" y="416"/>
                                </a:lnTo>
                                <a:lnTo>
                                  <a:pt x="387" y="406"/>
                                </a:lnTo>
                                <a:lnTo>
                                  <a:pt x="394" y="398"/>
                                </a:lnTo>
                                <a:lnTo>
                                  <a:pt x="405" y="387"/>
                                </a:lnTo>
                                <a:lnTo>
                                  <a:pt x="415" y="377"/>
                                </a:lnTo>
                                <a:lnTo>
                                  <a:pt x="427" y="369"/>
                                </a:lnTo>
                                <a:lnTo>
                                  <a:pt x="441" y="364"/>
                                </a:lnTo>
                                <a:lnTo>
                                  <a:pt x="468" y="361"/>
                                </a:lnTo>
                                <a:lnTo>
                                  <a:pt x="488" y="368"/>
                                </a:lnTo>
                                <a:lnTo>
                                  <a:pt x="498" y="381"/>
                                </a:lnTo>
                                <a:lnTo>
                                  <a:pt x="498" y="283"/>
                                </a:lnTo>
                                <a:lnTo>
                                  <a:pt x="464" y="281"/>
                                </a:lnTo>
                                <a:lnTo>
                                  <a:pt x="430" y="290"/>
                                </a:lnTo>
                                <a:lnTo>
                                  <a:pt x="353" y="344"/>
                                </a:lnTo>
                                <a:lnTo>
                                  <a:pt x="308" y="401"/>
                                </a:lnTo>
                                <a:lnTo>
                                  <a:pt x="285" y="445"/>
                                </a:lnTo>
                                <a:lnTo>
                                  <a:pt x="272" y="463"/>
                                </a:lnTo>
                                <a:lnTo>
                                  <a:pt x="269" y="448"/>
                                </a:lnTo>
                                <a:lnTo>
                                  <a:pt x="264" y="412"/>
                                </a:lnTo>
                                <a:lnTo>
                                  <a:pt x="263" y="408"/>
                                </a:lnTo>
                                <a:lnTo>
                                  <a:pt x="249" y="371"/>
                                </a:lnTo>
                                <a:lnTo>
                                  <a:pt x="215" y="337"/>
                                </a:lnTo>
                                <a:lnTo>
                                  <a:pt x="198" y="332"/>
                                </a:lnTo>
                                <a:lnTo>
                                  <a:pt x="198" y="471"/>
                                </a:lnTo>
                                <a:lnTo>
                                  <a:pt x="195" y="511"/>
                                </a:lnTo>
                                <a:lnTo>
                                  <a:pt x="177" y="548"/>
                                </a:lnTo>
                                <a:lnTo>
                                  <a:pt x="147" y="566"/>
                                </a:lnTo>
                                <a:lnTo>
                                  <a:pt x="115" y="568"/>
                                </a:lnTo>
                                <a:lnTo>
                                  <a:pt x="90" y="554"/>
                                </a:lnTo>
                                <a:lnTo>
                                  <a:pt x="79" y="528"/>
                                </a:lnTo>
                                <a:lnTo>
                                  <a:pt x="79" y="498"/>
                                </a:lnTo>
                                <a:lnTo>
                                  <a:pt x="88" y="468"/>
                                </a:lnTo>
                                <a:lnTo>
                                  <a:pt x="101" y="442"/>
                                </a:lnTo>
                                <a:lnTo>
                                  <a:pt x="117" y="423"/>
                                </a:lnTo>
                                <a:lnTo>
                                  <a:pt x="133" y="412"/>
                                </a:lnTo>
                                <a:lnTo>
                                  <a:pt x="148" y="408"/>
                                </a:lnTo>
                                <a:lnTo>
                                  <a:pt x="166" y="410"/>
                                </a:lnTo>
                                <a:lnTo>
                                  <a:pt x="184" y="421"/>
                                </a:lnTo>
                                <a:lnTo>
                                  <a:pt x="195" y="441"/>
                                </a:lnTo>
                                <a:lnTo>
                                  <a:pt x="198" y="469"/>
                                </a:lnTo>
                                <a:lnTo>
                                  <a:pt x="198" y="471"/>
                                </a:lnTo>
                                <a:lnTo>
                                  <a:pt x="198" y="332"/>
                                </a:lnTo>
                                <a:lnTo>
                                  <a:pt x="175" y="326"/>
                                </a:lnTo>
                                <a:lnTo>
                                  <a:pt x="135" y="329"/>
                                </a:lnTo>
                                <a:lnTo>
                                  <a:pt x="98" y="341"/>
                                </a:lnTo>
                                <a:lnTo>
                                  <a:pt x="70" y="357"/>
                                </a:lnTo>
                                <a:lnTo>
                                  <a:pt x="40" y="387"/>
                                </a:lnTo>
                                <a:lnTo>
                                  <a:pt x="18" y="420"/>
                                </a:lnTo>
                                <a:lnTo>
                                  <a:pt x="5" y="457"/>
                                </a:lnTo>
                                <a:lnTo>
                                  <a:pt x="5" y="458"/>
                                </a:lnTo>
                                <a:lnTo>
                                  <a:pt x="0" y="501"/>
                                </a:lnTo>
                                <a:lnTo>
                                  <a:pt x="14" y="571"/>
                                </a:lnTo>
                                <a:lnTo>
                                  <a:pt x="53" y="618"/>
                                </a:lnTo>
                                <a:lnTo>
                                  <a:pt x="105" y="640"/>
                                </a:lnTo>
                                <a:lnTo>
                                  <a:pt x="156" y="639"/>
                                </a:lnTo>
                                <a:lnTo>
                                  <a:pt x="201" y="618"/>
                                </a:lnTo>
                                <a:lnTo>
                                  <a:pt x="232" y="592"/>
                                </a:lnTo>
                                <a:lnTo>
                                  <a:pt x="250" y="568"/>
                                </a:lnTo>
                                <a:lnTo>
                                  <a:pt x="253" y="564"/>
                                </a:lnTo>
                                <a:lnTo>
                                  <a:pt x="266" y="540"/>
                                </a:lnTo>
                                <a:lnTo>
                                  <a:pt x="269" y="547"/>
                                </a:lnTo>
                                <a:lnTo>
                                  <a:pt x="270" y="581"/>
                                </a:lnTo>
                                <a:lnTo>
                                  <a:pt x="281" y="624"/>
                                </a:lnTo>
                                <a:lnTo>
                                  <a:pt x="313" y="657"/>
                                </a:lnTo>
                                <a:lnTo>
                                  <a:pt x="381" y="675"/>
                                </a:lnTo>
                                <a:lnTo>
                                  <a:pt x="448" y="669"/>
                                </a:lnTo>
                                <a:lnTo>
                                  <a:pt x="516" y="645"/>
                                </a:lnTo>
                                <a:lnTo>
                                  <a:pt x="585" y="609"/>
                                </a:lnTo>
                                <a:lnTo>
                                  <a:pt x="607" y="597"/>
                                </a:lnTo>
                                <a:lnTo>
                                  <a:pt x="656" y="569"/>
                                </a:lnTo>
                                <a:lnTo>
                                  <a:pt x="669" y="564"/>
                                </a:lnTo>
                                <a:lnTo>
                                  <a:pt x="680" y="565"/>
                                </a:lnTo>
                                <a:lnTo>
                                  <a:pt x="690" y="572"/>
                                </a:lnTo>
                                <a:lnTo>
                                  <a:pt x="697" y="584"/>
                                </a:lnTo>
                                <a:lnTo>
                                  <a:pt x="701" y="594"/>
                                </a:lnTo>
                                <a:lnTo>
                                  <a:pt x="705" y="604"/>
                                </a:lnTo>
                                <a:lnTo>
                                  <a:pt x="710" y="614"/>
                                </a:lnTo>
                                <a:lnTo>
                                  <a:pt x="716" y="623"/>
                                </a:lnTo>
                                <a:lnTo>
                                  <a:pt x="722" y="633"/>
                                </a:lnTo>
                                <a:lnTo>
                                  <a:pt x="730" y="634"/>
                                </a:lnTo>
                                <a:lnTo>
                                  <a:pt x="739" y="633"/>
                                </a:lnTo>
                                <a:lnTo>
                                  <a:pt x="749" y="627"/>
                                </a:lnTo>
                                <a:lnTo>
                                  <a:pt x="764" y="614"/>
                                </a:lnTo>
                                <a:lnTo>
                                  <a:pt x="778" y="598"/>
                                </a:lnTo>
                                <a:lnTo>
                                  <a:pt x="784" y="582"/>
                                </a:lnTo>
                                <a:lnTo>
                                  <a:pt x="783" y="570"/>
                                </a:lnTo>
                                <a:lnTo>
                                  <a:pt x="782" y="564"/>
                                </a:lnTo>
                                <a:lnTo>
                                  <a:pt x="781" y="557"/>
                                </a:lnTo>
                                <a:lnTo>
                                  <a:pt x="778" y="544"/>
                                </a:lnTo>
                                <a:lnTo>
                                  <a:pt x="776" y="532"/>
                                </a:lnTo>
                                <a:lnTo>
                                  <a:pt x="774" y="526"/>
                                </a:lnTo>
                                <a:lnTo>
                                  <a:pt x="770" y="513"/>
                                </a:lnTo>
                                <a:lnTo>
                                  <a:pt x="767" y="499"/>
                                </a:lnTo>
                                <a:lnTo>
                                  <a:pt x="764" y="491"/>
                                </a:lnTo>
                                <a:lnTo>
                                  <a:pt x="763" y="480"/>
                                </a:lnTo>
                                <a:lnTo>
                                  <a:pt x="763" y="469"/>
                                </a:lnTo>
                                <a:lnTo>
                                  <a:pt x="767" y="458"/>
                                </a:lnTo>
                                <a:lnTo>
                                  <a:pt x="773" y="450"/>
                                </a:lnTo>
                                <a:lnTo>
                                  <a:pt x="799" y="440"/>
                                </a:lnTo>
                                <a:lnTo>
                                  <a:pt x="844" y="428"/>
                                </a:lnTo>
                                <a:lnTo>
                                  <a:pt x="889" y="416"/>
                                </a:lnTo>
                                <a:lnTo>
                                  <a:pt x="917" y="408"/>
                                </a:lnTo>
                                <a:lnTo>
                                  <a:pt x="944" y="401"/>
                                </a:lnTo>
                                <a:lnTo>
                                  <a:pt x="956" y="405"/>
                                </a:lnTo>
                                <a:lnTo>
                                  <a:pt x="959" y="416"/>
                                </a:lnTo>
                                <a:lnTo>
                                  <a:pt x="959" y="418"/>
                                </a:lnTo>
                                <a:lnTo>
                                  <a:pt x="958" y="434"/>
                                </a:lnTo>
                                <a:lnTo>
                                  <a:pt x="954" y="464"/>
                                </a:lnTo>
                                <a:lnTo>
                                  <a:pt x="947" y="515"/>
                                </a:lnTo>
                                <a:lnTo>
                                  <a:pt x="940" y="565"/>
                                </a:lnTo>
                                <a:lnTo>
                                  <a:pt x="937" y="591"/>
                                </a:lnTo>
                                <a:lnTo>
                                  <a:pt x="937" y="592"/>
                                </a:lnTo>
                                <a:lnTo>
                                  <a:pt x="946" y="606"/>
                                </a:lnTo>
                                <a:lnTo>
                                  <a:pt x="963" y="614"/>
                                </a:lnTo>
                                <a:lnTo>
                                  <a:pt x="980" y="619"/>
                                </a:lnTo>
                                <a:lnTo>
                                  <a:pt x="987" y="620"/>
                                </a:lnTo>
                                <a:lnTo>
                                  <a:pt x="1003" y="620"/>
                                </a:lnTo>
                                <a:lnTo>
                                  <a:pt x="1017" y="616"/>
                                </a:lnTo>
                                <a:lnTo>
                                  <a:pt x="1026" y="609"/>
                                </a:lnTo>
                                <a:lnTo>
                                  <a:pt x="1031" y="598"/>
                                </a:lnTo>
                                <a:lnTo>
                                  <a:pt x="1034" y="553"/>
                                </a:lnTo>
                                <a:lnTo>
                                  <a:pt x="1037" y="473"/>
                                </a:lnTo>
                                <a:lnTo>
                                  <a:pt x="1038" y="401"/>
                                </a:lnTo>
                                <a:lnTo>
                                  <a:pt x="1038" y="387"/>
                                </a:lnTo>
                                <a:lnTo>
                                  <a:pt x="1039" y="355"/>
                                </a:lnTo>
                                <a:moveTo>
                                  <a:pt x="1500" y="486"/>
                                </a:moveTo>
                                <a:lnTo>
                                  <a:pt x="1490" y="451"/>
                                </a:lnTo>
                                <a:lnTo>
                                  <a:pt x="1465" y="436"/>
                                </a:lnTo>
                                <a:lnTo>
                                  <a:pt x="1455" y="442"/>
                                </a:lnTo>
                                <a:lnTo>
                                  <a:pt x="1451" y="457"/>
                                </a:lnTo>
                                <a:lnTo>
                                  <a:pt x="1451" y="476"/>
                                </a:lnTo>
                                <a:lnTo>
                                  <a:pt x="1448" y="496"/>
                                </a:lnTo>
                                <a:lnTo>
                                  <a:pt x="1429" y="515"/>
                                </a:lnTo>
                                <a:lnTo>
                                  <a:pt x="1385" y="540"/>
                                </a:lnTo>
                                <a:lnTo>
                                  <a:pt x="1326" y="564"/>
                                </a:lnTo>
                                <a:lnTo>
                                  <a:pt x="1261" y="578"/>
                                </a:lnTo>
                                <a:lnTo>
                                  <a:pt x="1204" y="576"/>
                                </a:lnTo>
                                <a:lnTo>
                                  <a:pt x="1163" y="560"/>
                                </a:lnTo>
                                <a:lnTo>
                                  <a:pt x="1138" y="534"/>
                                </a:lnTo>
                                <a:lnTo>
                                  <a:pt x="1129" y="501"/>
                                </a:lnTo>
                                <a:lnTo>
                                  <a:pt x="1133" y="465"/>
                                </a:lnTo>
                                <a:lnTo>
                                  <a:pt x="1150" y="432"/>
                                </a:lnTo>
                                <a:lnTo>
                                  <a:pt x="1178" y="403"/>
                                </a:lnTo>
                                <a:lnTo>
                                  <a:pt x="1215" y="382"/>
                                </a:lnTo>
                                <a:lnTo>
                                  <a:pt x="1221" y="379"/>
                                </a:lnTo>
                                <a:lnTo>
                                  <a:pt x="1230" y="376"/>
                                </a:lnTo>
                                <a:lnTo>
                                  <a:pt x="1235" y="379"/>
                                </a:lnTo>
                                <a:lnTo>
                                  <a:pt x="1246" y="383"/>
                                </a:lnTo>
                                <a:lnTo>
                                  <a:pt x="1256" y="391"/>
                                </a:lnTo>
                                <a:lnTo>
                                  <a:pt x="1266" y="397"/>
                                </a:lnTo>
                                <a:lnTo>
                                  <a:pt x="1273" y="401"/>
                                </a:lnTo>
                                <a:lnTo>
                                  <a:pt x="1281" y="406"/>
                                </a:lnTo>
                                <a:lnTo>
                                  <a:pt x="1288" y="405"/>
                                </a:lnTo>
                                <a:lnTo>
                                  <a:pt x="1301" y="398"/>
                                </a:lnTo>
                                <a:lnTo>
                                  <a:pt x="1307" y="380"/>
                                </a:lnTo>
                                <a:lnTo>
                                  <a:pt x="1307" y="376"/>
                                </a:lnTo>
                                <a:lnTo>
                                  <a:pt x="1308" y="355"/>
                                </a:lnTo>
                                <a:lnTo>
                                  <a:pt x="1301" y="326"/>
                                </a:lnTo>
                                <a:lnTo>
                                  <a:pt x="1288" y="301"/>
                                </a:lnTo>
                                <a:lnTo>
                                  <a:pt x="1271" y="285"/>
                                </a:lnTo>
                                <a:lnTo>
                                  <a:pt x="1250" y="280"/>
                                </a:lnTo>
                                <a:lnTo>
                                  <a:pt x="1225" y="283"/>
                                </a:lnTo>
                                <a:lnTo>
                                  <a:pt x="1216" y="286"/>
                                </a:lnTo>
                                <a:lnTo>
                                  <a:pt x="1201" y="293"/>
                                </a:lnTo>
                                <a:lnTo>
                                  <a:pt x="1182" y="306"/>
                                </a:lnTo>
                                <a:lnTo>
                                  <a:pt x="1156" y="326"/>
                                </a:lnTo>
                                <a:lnTo>
                                  <a:pt x="1128" y="353"/>
                                </a:lnTo>
                                <a:lnTo>
                                  <a:pt x="1101" y="384"/>
                                </a:lnTo>
                                <a:lnTo>
                                  <a:pt x="1079" y="419"/>
                                </a:lnTo>
                                <a:lnTo>
                                  <a:pt x="1064" y="459"/>
                                </a:lnTo>
                                <a:lnTo>
                                  <a:pt x="1058" y="502"/>
                                </a:lnTo>
                                <a:lnTo>
                                  <a:pt x="1065" y="545"/>
                                </a:lnTo>
                                <a:lnTo>
                                  <a:pt x="1086" y="584"/>
                                </a:lnTo>
                                <a:lnTo>
                                  <a:pt x="1122" y="619"/>
                                </a:lnTo>
                                <a:lnTo>
                                  <a:pt x="1155" y="636"/>
                                </a:lnTo>
                                <a:lnTo>
                                  <a:pt x="1205" y="647"/>
                                </a:lnTo>
                                <a:lnTo>
                                  <a:pt x="1267" y="649"/>
                                </a:lnTo>
                                <a:lnTo>
                                  <a:pt x="1339" y="636"/>
                                </a:lnTo>
                                <a:lnTo>
                                  <a:pt x="1415" y="603"/>
                                </a:lnTo>
                                <a:lnTo>
                                  <a:pt x="1448" y="578"/>
                                </a:lnTo>
                                <a:lnTo>
                                  <a:pt x="1492" y="545"/>
                                </a:lnTo>
                                <a:lnTo>
                                  <a:pt x="1500" y="523"/>
                                </a:lnTo>
                                <a:lnTo>
                                  <a:pt x="1500" y="48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1" name="Picture 25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4248" y="949"/>
                            <a:ext cx="107"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 name="AutoShape 249"/>
                        <wps:cNvSpPr>
                          <a:spLocks/>
                        </wps:cNvSpPr>
                        <wps:spPr bwMode="auto">
                          <a:xfrm>
                            <a:off x="2863" y="798"/>
                            <a:ext cx="9043" cy="8869"/>
                          </a:xfrm>
                          <a:custGeom>
                            <a:avLst/>
                            <a:gdLst>
                              <a:gd name="T0" fmla="+- 0 3401 2864"/>
                              <a:gd name="T1" fmla="*/ T0 w 9043"/>
                              <a:gd name="T2" fmla="+- 0 799 799"/>
                              <a:gd name="T3" fmla="*/ 799 h 8869"/>
                              <a:gd name="T4" fmla="+- 0 3292 2864"/>
                              <a:gd name="T5" fmla="*/ T4 w 9043"/>
                              <a:gd name="T6" fmla="+- 0 917 799"/>
                              <a:gd name="T7" fmla="*/ 917 h 8869"/>
                              <a:gd name="T8" fmla="+- 0 3152 2864"/>
                              <a:gd name="T9" fmla="*/ T8 w 9043"/>
                              <a:gd name="T10" fmla="+- 0 1243 799"/>
                              <a:gd name="T11" fmla="*/ 1243 h 8869"/>
                              <a:gd name="T12" fmla="+- 0 2981 2864"/>
                              <a:gd name="T13" fmla="*/ T12 w 9043"/>
                              <a:gd name="T14" fmla="+- 0 1093 799"/>
                              <a:gd name="T15" fmla="*/ 1093 h 8869"/>
                              <a:gd name="T16" fmla="+- 0 2872 2864"/>
                              <a:gd name="T17" fmla="*/ T16 w 9043"/>
                              <a:gd name="T18" fmla="+- 0 1508 799"/>
                              <a:gd name="T19" fmla="*/ 1508 h 8869"/>
                              <a:gd name="T20" fmla="+- 0 2959 2864"/>
                              <a:gd name="T21" fmla="*/ T20 w 9043"/>
                              <a:gd name="T22" fmla="+- 0 1696 799"/>
                              <a:gd name="T23" fmla="*/ 1696 h 8869"/>
                              <a:gd name="T24" fmla="+- 0 3020 2864"/>
                              <a:gd name="T25" fmla="*/ T24 w 9043"/>
                              <a:gd name="T26" fmla="+- 0 1269 799"/>
                              <a:gd name="T27" fmla="*/ 1269 h 8869"/>
                              <a:gd name="T28" fmla="+- 0 3160 2864"/>
                              <a:gd name="T29" fmla="*/ T28 w 9043"/>
                              <a:gd name="T30" fmla="+- 0 1561 799"/>
                              <a:gd name="T31" fmla="*/ 1561 h 8869"/>
                              <a:gd name="T32" fmla="+- 0 3264 2864"/>
                              <a:gd name="T33" fmla="*/ T32 w 9043"/>
                              <a:gd name="T34" fmla="+- 0 1606 799"/>
                              <a:gd name="T35" fmla="*/ 1606 h 8869"/>
                              <a:gd name="T36" fmla="+- 0 3258 2864"/>
                              <a:gd name="T37" fmla="*/ T36 w 9043"/>
                              <a:gd name="T38" fmla="+- 0 1373 799"/>
                              <a:gd name="T39" fmla="*/ 1373 h 8869"/>
                              <a:gd name="T40" fmla="+- 0 3391 2864"/>
                              <a:gd name="T41" fmla="*/ T40 w 9043"/>
                              <a:gd name="T42" fmla="+- 0 919 799"/>
                              <a:gd name="T43" fmla="*/ 919 h 8869"/>
                              <a:gd name="T44" fmla="+- 0 3475 2864"/>
                              <a:gd name="T45" fmla="*/ T44 w 9043"/>
                              <a:gd name="T46" fmla="+- 0 847 799"/>
                              <a:gd name="T47" fmla="*/ 847 h 8869"/>
                              <a:gd name="T48" fmla="+- 0 10872 2864"/>
                              <a:gd name="T49" fmla="*/ T48 w 9043"/>
                              <a:gd name="T50" fmla="+- 0 9564 799"/>
                              <a:gd name="T51" fmla="*/ 9564 h 8869"/>
                              <a:gd name="T52" fmla="+- 0 10872 2864"/>
                              <a:gd name="T53" fmla="*/ T52 w 9043"/>
                              <a:gd name="T54" fmla="+- 0 9223 799"/>
                              <a:gd name="T55" fmla="*/ 9223 h 8869"/>
                              <a:gd name="T56" fmla="+- 0 10917 2864"/>
                              <a:gd name="T57" fmla="*/ T56 w 9043"/>
                              <a:gd name="T58" fmla="+- 0 9259 799"/>
                              <a:gd name="T59" fmla="*/ 9259 h 8869"/>
                              <a:gd name="T60" fmla="+- 0 10872 2864"/>
                              <a:gd name="T61" fmla="*/ T60 w 9043"/>
                              <a:gd name="T62" fmla="+- 0 9017 799"/>
                              <a:gd name="T63" fmla="*/ 9017 h 8869"/>
                              <a:gd name="T64" fmla="+- 0 10913 2864"/>
                              <a:gd name="T65" fmla="*/ T64 w 9043"/>
                              <a:gd name="T66" fmla="+- 0 8984 799"/>
                              <a:gd name="T67" fmla="*/ 8984 h 8869"/>
                              <a:gd name="T68" fmla="+- 0 10913 2864"/>
                              <a:gd name="T69" fmla="*/ T68 w 9043"/>
                              <a:gd name="T70" fmla="+- 0 8710 799"/>
                              <a:gd name="T71" fmla="*/ 8710 h 8869"/>
                              <a:gd name="T72" fmla="+- 0 10917 2864"/>
                              <a:gd name="T73" fmla="*/ T72 w 9043"/>
                              <a:gd name="T74" fmla="+- 0 8703 799"/>
                              <a:gd name="T75" fmla="*/ 8703 h 8869"/>
                              <a:gd name="T76" fmla="+- 0 10872 2864"/>
                              <a:gd name="T77" fmla="*/ T76 w 9043"/>
                              <a:gd name="T78" fmla="+- 0 8471 799"/>
                              <a:gd name="T79" fmla="*/ 8471 h 8869"/>
                              <a:gd name="T80" fmla="+- 0 10872 2864"/>
                              <a:gd name="T81" fmla="*/ T80 w 9043"/>
                              <a:gd name="T82" fmla="+- 0 8130 799"/>
                              <a:gd name="T83" fmla="*/ 8130 h 8869"/>
                              <a:gd name="T84" fmla="+- 0 10925 2864"/>
                              <a:gd name="T85" fmla="*/ T84 w 9043"/>
                              <a:gd name="T86" fmla="+- 0 9533 799"/>
                              <a:gd name="T87" fmla="*/ 9533 h 8869"/>
                              <a:gd name="T88" fmla="+- 0 11150 2864"/>
                              <a:gd name="T89" fmla="*/ T88 w 9043"/>
                              <a:gd name="T90" fmla="+- 0 8847 799"/>
                              <a:gd name="T91" fmla="*/ 8847 h 8869"/>
                              <a:gd name="T92" fmla="+- 0 10925 2864"/>
                              <a:gd name="T93" fmla="*/ T92 w 9043"/>
                              <a:gd name="T94" fmla="+- 0 9250 799"/>
                              <a:gd name="T95" fmla="*/ 9250 h 8869"/>
                              <a:gd name="T96" fmla="+- 0 10925 2864"/>
                              <a:gd name="T97" fmla="*/ T96 w 9043"/>
                              <a:gd name="T98" fmla="+- 0 9527 799"/>
                              <a:gd name="T99" fmla="*/ 9527 h 8869"/>
                              <a:gd name="T100" fmla="+- 0 10929 2864"/>
                              <a:gd name="T101" fmla="*/ T100 w 9043"/>
                              <a:gd name="T102" fmla="+- 0 9257 799"/>
                              <a:gd name="T103" fmla="*/ 9257 h 8869"/>
                              <a:gd name="T104" fmla="+- 0 11153 2864"/>
                              <a:gd name="T105" fmla="*/ T104 w 9043"/>
                              <a:gd name="T106" fmla="+- 0 8854 799"/>
                              <a:gd name="T107" fmla="*/ 8854 h 8869"/>
                              <a:gd name="T108" fmla="+- 0 11149 2864"/>
                              <a:gd name="T109" fmla="*/ T108 w 9043"/>
                              <a:gd name="T110" fmla="+- 0 8573 799"/>
                              <a:gd name="T111" fmla="*/ 8573 h 8869"/>
                              <a:gd name="T112" fmla="+- 0 11153 2864"/>
                              <a:gd name="T113" fmla="*/ T112 w 9043"/>
                              <a:gd name="T114" fmla="+- 0 8845 799"/>
                              <a:gd name="T115" fmla="*/ 8845 h 8869"/>
                              <a:gd name="T116" fmla="+- 0 11153 2864"/>
                              <a:gd name="T117" fmla="*/ T116 w 9043"/>
                              <a:gd name="T118" fmla="+- 0 8565 799"/>
                              <a:gd name="T119" fmla="*/ 8565 h 8869"/>
                              <a:gd name="T120" fmla="+- 0 10925 2864"/>
                              <a:gd name="T121" fmla="*/ T120 w 9043"/>
                              <a:gd name="T122" fmla="+- 0 8434 799"/>
                              <a:gd name="T123" fmla="*/ 8434 h 8869"/>
                              <a:gd name="T124" fmla="+- 0 11160 2864"/>
                              <a:gd name="T125" fmla="*/ T124 w 9043"/>
                              <a:gd name="T126" fmla="+- 0 8023 799"/>
                              <a:gd name="T127" fmla="*/ 8023 h 8869"/>
                              <a:gd name="T128" fmla="+- 0 11389 2864"/>
                              <a:gd name="T129" fmla="*/ T128 w 9043"/>
                              <a:gd name="T130" fmla="+- 0 8155 799"/>
                              <a:gd name="T131" fmla="*/ 8155 h 8869"/>
                              <a:gd name="T132" fmla="+- 0 11162 2864"/>
                              <a:gd name="T133" fmla="*/ T132 w 9043"/>
                              <a:gd name="T134" fmla="+- 0 8303 799"/>
                              <a:gd name="T135" fmla="*/ 8303 h 8869"/>
                              <a:gd name="T136" fmla="+- 0 11162 2864"/>
                              <a:gd name="T137" fmla="*/ T136 w 9043"/>
                              <a:gd name="T138" fmla="+- 0 8581 799"/>
                              <a:gd name="T139" fmla="*/ 8581 h 8869"/>
                              <a:gd name="T140" fmla="+- 0 11387 2864"/>
                              <a:gd name="T141" fmla="*/ T140 w 9043"/>
                              <a:gd name="T142" fmla="+- 0 8983 799"/>
                              <a:gd name="T143" fmla="*/ 8983 h 8869"/>
                              <a:gd name="T144" fmla="+- 0 11162 2864"/>
                              <a:gd name="T145" fmla="*/ T144 w 9043"/>
                              <a:gd name="T146" fmla="+- 0 9386 799"/>
                              <a:gd name="T147" fmla="*/ 9386 h 8869"/>
                              <a:gd name="T148" fmla="+- 0 11162 2864"/>
                              <a:gd name="T149" fmla="*/ T148 w 9043"/>
                              <a:gd name="T150" fmla="+- 0 9664 799"/>
                              <a:gd name="T151" fmla="*/ 9664 h 8869"/>
                              <a:gd name="T152" fmla="+- 0 11167 2864"/>
                              <a:gd name="T153" fmla="*/ T152 w 9043"/>
                              <a:gd name="T154" fmla="+- 0 9394 799"/>
                              <a:gd name="T155" fmla="*/ 9394 h 8869"/>
                              <a:gd name="T156" fmla="+- 0 11389 2864"/>
                              <a:gd name="T157" fmla="*/ T156 w 9043"/>
                              <a:gd name="T158" fmla="+- 0 8991 799"/>
                              <a:gd name="T159" fmla="*/ 8991 h 8869"/>
                              <a:gd name="T160" fmla="+- 0 11389 2864"/>
                              <a:gd name="T161" fmla="*/ T160 w 9043"/>
                              <a:gd name="T162" fmla="+- 0 8712 799"/>
                              <a:gd name="T163" fmla="*/ 8712 h 8869"/>
                              <a:gd name="T164" fmla="+- 0 11389 2864"/>
                              <a:gd name="T165" fmla="*/ T164 w 9043"/>
                              <a:gd name="T166" fmla="+- 0 8435 799"/>
                              <a:gd name="T167" fmla="*/ 8435 h 8869"/>
                              <a:gd name="T168" fmla="+- 0 11389 2864"/>
                              <a:gd name="T169" fmla="*/ T168 w 9043"/>
                              <a:gd name="T170" fmla="+- 0 8155 799"/>
                              <a:gd name="T171" fmla="*/ 8155 h 8869"/>
                              <a:gd name="T172" fmla="+- 0 11398 2864"/>
                              <a:gd name="T173" fmla="*/ T172 w 9043"/>
                              <a:gd name="T174" fmla="+- 0 9537 799"/>
                              <a:gd name="T175" fmla="*/ 9537 h 8869"/>
                              <a:gd name="T176" fmla="+- 0 11626 2864"/>
                              <a:gd name="T177" fmla="*/ T176 w 9043"/>
                              <a:gd name="T178" fmla="+- 0 9396 799"/>
                              <a:gd name="T179" fmla="*/ 9396 h 8869"/>
                              <a:gd name="T180" fmla="+- 0 11398 2864"/>
                              <a:gd name="T181" fmla="*/ T180 w 9043"/>
                              <a:gd name="T182" fmla="+- 0 9264 799"/>
                              <a:gd name="T183" fmla="*/ 9264 h 8869"/>
                              <a:gd name="T184" fmla="+- 0 11626 2864"/>
                              <a:gd name="T185" fmla="*/ T184 w 9043"/>
                              <a:gd name="T186" fmla="+- 0 9122 799"/>
                              <a:gd name="T187" fmla="*/ 9122 h 8869"/>
                              <a:gd name="T188" fmla="+- 0 11398 2864"/>
                              <a:gd name="T189" fmla="*/ T188 w 9043"/>
                              <a:gd name="T190" fmla="+- 0 8990 799"/>
                              <a:gd name="T191" fmla="*/ 8990 h 8869"/>
                              <a:gd name="T192" fmla="+- 0 11626 2864"/>
                              <a:gd name="T193" fmla="*/ T192 w 9043"/>
                              <a:gd name="T194" fmla="+- 0 8849 799"/>
                              <a:gd name="T195" fmla="*/ 8849 h 8869"/>
                              <a:gd name="T196" fmla="+- 0 11398 2864"/>
                              <a:gd name="T197" fmla="*/ T196 w 9043"/>
                              <a:gd name="T198" fmla="+- 0 8717 799"/>
                              <a:gd name="T199" fmla="*/ 8717 h 8869"/>
                              <a:gd name="T200" fmla="+- 0 11626 2864"/>
                              <a:gd name="T201" fmla="*/ T200 w 9043"/>
                              <a:gd name="T202" fmla="+- 0 8576 799"/>
                              <a:gd name="T203" fmla="*/ 8576 h 8869"/>
                              <a:gd name="T204" fmla="+- 0 11398 2864"/>
                              <a:gd name="T205" fmla="*/ T204 w 9043"/>
                              <a:gd name="T206" fmla="+- 0 8444 799"/>
                              <a:gd name="T207" fmla="*/ 8444 h 8869"/>
                              <a:gd name="T208" fmla="+- 0 11626 2864"/>
                              <a:gd name="T209" fmla="*/ T208 w 9043"/>
                              <a:gd name="T210" fmla="+- 0 8302 799"/>
                              <a:gd name="T211" fmla="*/ 8302 h 8869"/>
                              <a:gd name="T212" fmla="+- 0 11398 2864"/>
                              <a:gd name="T213" fmla="*/ T212 w 9043"/>
                              <a:gd name="T214" fmla="+- 0 8170 799"/>
                              <a:gd name="T215" fmla="*/ 8170 h 8869"/>
                              <a:gd name="T216" fmla="+- 0 11626 2864"/>
                              <a:gd name="T217" fmla="*/ T216 w 9043"/>
                              <a:gd name="T218" fmla="+- 0 8029 799"/>
                              <a:gd name="T219" fmla="*/ 8029 h 8869"/>
                              <a:gd name="T220" fmla="+- 0 11626 2864"/>
                              <a:gd name="T221" fmla="*/ T220 w 9043"/>
                              <a:gd name="T222" fmla="+- 0 8023 799"/>
                              <a:gd name="T223" fmla="*/ 8023 h 8869"/>
                              <a:gd name="T224" fmla="+- 0 10867 2864"/>
                              <a:gd name="T225" fmla="*/ T224 w 9043"/>
                              <a:gd name="T226" fmla="+- 0 7318 799"/>
                              <a:gd name="T227" fmla="*/ 7318 h 8869"/>
                              <a:gd name="T228" fmla="+- 0 10867 2864"/>
                              <a:gd name="T229" fmla="*/ T228 w 9043"/>
                              <a:gd name="T230" fmla="+- 0 7045 799"/>
                              <a:gd name="T231" fmla="*/ 7045 h 8869"/>
                              <a:gd name="T232" fmla="+- 0 11906 2864"/>
                              <a:gd name="T233" fmla="*/ T232 w 9043"/>
                              <a:gd name="T234" fmla="+- 0 7371 799"/>
                              <a:gd name="T235" fmla="*/ 7371 h 8869"/>
                              <a:gd name="T236" fmla="+- 0 11906 2864"/>
                              <a:gd name="T237" fmla="*/ T236 w 9043"/>
                              <a:gd name="T238" fmla="+- 0 7088 799"/>
                              <a:gd name="T239" fmla="*/ 7088 h 8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043" h="8869">
                                <a:moveTo>
                                  <a:pt x="611" y="48"/>
                                </a:moveTo>
                                <a:lnTo>
                                  <a:pt x="609" y="33"/>
                                </a:lnTo>
                                <a:lnTo>
                                  <a:pt x="602" y="25"/>
                                </a:lnTo>
                                <a:lnTo>
                                  <a:pt x="582" y="8"/>
                                </a:lnTo>
                                <a:lnTo>
                                  <a:pt x="559" y="0"/>
                                </a:lnTo>
                                <a:lnTo>
                                  <a:pt x="537" y="0"/>
                                </a:lnTo>
                                <a:lnTo>
                                  <a:pt x="515" y="5"/>
                                </a:lnTo>
                                <a:lnTo>
                                  <a:pt x="491" y="18"/>
                                </a:lnTo>
                                <a:lnTo>
                                  <a:pt x="472" y="34"/>
                                </a:lnTo>
                                <a:lnTo>
                                  <a:pt x="458" y="52"/>
                                </a:lnTo>
                                <a:lnTo>
                                  <a:pt x="447" y="72"/>
                                </a:lnTo>
                                <a:lnTo>
                                  <a:pt x="428" y="118"/>
                                </a:lnTo>
                                <a:lnTo>
                                  <a:pt x="404" y="187"/>
                                </a:lnTo>
                                <a:lnTo>
                                  <a:pt x="376" y="273"/>
                                </a:lnTo>
                                <a:lnTo>
                                  <a:pt x="346" y="376"/>
                                </a:lnTo>
                                <a:lnTo>
                                  <a:pt x="315" y="490"/>
                                </a:lnTo>
                                <a:lnTo>
                                  <a:pt x="291" y="448"/>
                                </a:lnTo>
                                <a:lnTo>
                                  <a:pt x="288" y="444"/>
                                </a:lnTo>
                                <a:lnTo>
                                  <a:pt x="248" y="381"/>
                                </a:lnTo>
                                <a:lnTo>
                                  <a:pt x="202" y="321"/>
                                </a:lnTo>
                                <a:lnTo>
                                  <a:pt x="158" y="283"/>
                                </a:lnTo>
                                <a:lnTo>
                                  <a:pt x="144" y="279"/>
                                </a:lnTo>
                                <a:lnTo>
                                  <a:pt x="130" y="282"/>
                                </a:lnTo>
                                <a:lnTo>
                                  <a:pt x="117" y="294"/>
                                </a:lnTo>
                                <a:lnTo>
                                  <a:pt x="105" y="316"/>
                                </a:lnTo>
                                <a:lnTo>
                                  <a:pt x="93" y="350"/>
                                </a:lnTo>
                                <a:lnTo>
                                  <a:pt x="73" y="418"/>
                                </a:lnTo>
                                <a:lnTo>
                                  <a:pt x="49" y="507"/>
                                </a:lnTo>
                                <a:lnTo>
                                  <a:pt x="26" y="607"/>
                                </a:lnTo>
                                <a:lnTo>
                                  <a:pt x="8" y="709"/>
                                </a:lnTo>
                                <a:lnTo>
                                  <a:pt x="0" y="801"/>
                                </a:lnTo>
                                <a:lnTo>
                                  <a:pt x="6" y="874"/>
                                </a:lnTo>
                                <a:lnTo>
                                  <a:pt x="31" y="917"/>
                                </a:lnTo>
                                <a:lnTo>
                                  <a:pt x="51" y="924"/>
                                </a:lnTo>
                                <a:lnTo>
                                  <a:pt x="75" y="918"/>
                                </a:lnTo>
                                <a:lnTo>
                                  <a:pt x="95" y="897"/>
                                </a:lnTo>
                                <a:lnTo>
                                  <a:pt x="107" y="857"/>
                                </a:lnTo>
                                <a:lnTo>
                                  <a:pt x="112" y="798"/>
                                </a:lnTo>
                                <a:lnTo>
                                  <a:pt x="119" y="713"/>
                                </a:lnTo>
                                <a:lnTo>
                                  <a:pt x="129" y="619"/>
                                </a:lnTo>
                                <a:lnTo>
                                  <a:pt x="141" y="533"/>
                                </a:lnTo>
                                <a:lnTo>
                                  <a:pt x="156" y="470"/>
                                </a:lnTo>
                                <a:lnTo>
                                  <a:pt x="173" y="448"/>
                                </a:lnTo>
                                <a:lnTo>
                                  <a:pt x="189" y="474"/>
                                </a:lnTo>
                                <a:lnTo>
                                  <a:pt x="208" y="533"/>
                                </a:lnTo>
                                <a:lnTo>
                                  <a:pt x="231" y="611"/>
                                </a:lnTo>
                                <a:lnTo>
                                  <a:pt x="260" y="692"/>
                                </a:lnTo>
                                <a:lnTo>
                                  <a:pt x="296" y="762"/>
                                </a:lnTo>
                                <a:lnTo>
                                  <a:pt x="339" y="805"/>
                                </a:lnTo>
                                <a:lnTo>
                                  <a:pt x="356" y="812"/>
                                </a:lnTo>
                                <a:lnTo>
                                  <a:pt x="369" y="815"/>
                                </a:lnTo>
                                <a:lnTo>
                                  <a:pt x="378" y="814"/>
                                </a:lnTo>
                                <a:lnTo>
                                  <a:pt x="386" y="813"/>
                                </a:lnTo>
                                <a:lnTo>
                                  <a:pt x="400" y="807"/>
                                </a:lnTo>
                                <a:lnTo>
                                  <a:pt x="411" y="799"/>
                                </a:lnTo>
                                <a:lnTo>
                                  <a:pt x="418" y="787"/>
                                </a:lnTo>
                                <a:lnTo>
                                  <a:pt x="420" y="770"/>
                                </a:lnTo>
                                <a:lnTo>
                                  <a:pt x="402" y="718"/>
                                </a:lnTo>
                                <a:lnTo>
                                  <a:pt x="394" y="651"/>
                                </a:lnTo>
                                <a:lnTo>
                                  <a:pt x="394" y="574"/>
                                </a:lnTo>
                                <a:lnTo>
                                  <a:pt x="402" y="490"/>
                                </a:lnTo>
                                <a:lnTo>
                                  <a:pt x="417" y="404"/>
                                </a:lnTo>
                                <a:lnTo>
                                  <a:pt x="438" y="320"/>
                                </a:lnTo>
                                <a:lnTo>
                                  <a:pt x="463" y="241"/>
                                </a:lnTo>
                                <a:lnTo>
                                  <a:pt x="494" y="173"/>
                                </a:lnTo>
                                <a:lnTo>
                                  <a:pt x="527" y="120"/>
                                </a:lnTo>
                                <a:lnTo>
                                  <a:pt x="563" y="84"/>
                                </a:lnTo>
                                <a:lnTo>
                                  <a:pt x="574" y="78"/>
                                </a:lnTo>
                                <a:lnTo>
                                  <a:pt x="587" y="71"/>
                                </a:lnTo>
                                <a:lnTo>
                                  <a:pt x="598" y="64"/>
                                </a:lnTo>
                                <a:lnTo>
                                  <a:pt x="606" y="56"/>
                                </a:lnTo>
                                <a:lnTo>
                                  <a:pt x="611" y="48"/>
                                </a:lnTo>
                                <a:moveTo>
                                  <a:pt x="8053" y="8723"/>
                                </a:moveTo>
                                <a:lnTo>
                                  <a:pt x="8008" y="8697"/>
                                </a:lnTo>
                                <a:lnTo>
                                  <a:pt x="8003" y="8705"/>
                                </a:lnTo>
                                <a:lnTo>
                                  <a:pt x="8049" y="8731"/>
                                </a:lnTo>
                                <a:lnTo>
                                  <a:pt x="8003" y="8758"/>
                                </a:lnTo>
                                <a:lnTo>
                                  <a:pt x="8008" y="8765"/>
                                </a:lnTo>
                                <a:lnTo>
                                  <a:pt x="8053" y="8739"/>
                                </a:lnTo>
                                <a:lnTo>
                                  <a:pt x="8053" y="8734"/>
                                </a:lnTo>
                                <a:lnTo>
                                  <a:pt x="8053" y="8729"/>
                                </a:lnTo>
                                <a:lnTo>
                                  <a:pt x="8053" y="8723"/>
                                </a:lnTo>
                                <a:moveTo>
                                  <a:pt x="8053" y="8450"/>
                                </a:moveTo>
                                <a:lnTo>
                                  <a:pt x="8008" y="8424"/>
                                </a:lnTo>
                                <a:lnTo>
                                  <a:pt x="8003" y="8432"/>
                                </a:lnTo>
                                <a:lnTo>
                                  <a:pt x="8049" y="8458"/>
                                </a:lnTo>
                                <a:lnTo>
                                  <a:pt x="8003" y="8485"/>
                                </a:lnTo>
                                <a:lnTo>
                                  <a:pt x="8008" y="8491"/>
                                </a:lnTo>
                                <a:lnTo>
                                  <a:pt x="8053" y="8465"/>
                                </a:lnTo>
                                <a:lnTo>
                                  <a:pt x="8053" y="8460"/>
                                </a:lnTo>
                                <a:lnTo>
                                  <a:pt x="8053" y="8456"/>
                                </a:lnTo>
                                <a:lnTo>
                                  <a:pt x="8053" y="8450"/>
                                </a:lnTo>
                                <a:moveTo>
                                  <a:pt x="8053" y="8187"/>
                                </a:moveTo>
                                <a:lnTo>
                                  <a:pt x="8049" y="8185"/>
                                </a:lnTo>
                                <a:lnTo>
                                  <a:pt x="8003" y="8211"/>
                                </a:lnTo>
                                <a:lnTo>
                                  <a:pt x="8008" y="8218"/>
                                </a:lnTo>
                                <a:lnTo>
                                  <a:pt x="8053" y="8192"/>
                                </a:lnTo>
                                <a:lnTo>
                                  <a:pt x="8053" y="8187"/>
                                </a:lnTo>
                                <a:moveTo>
                                  <a:pt x="8053" y="8177"/>
                                </a:moveTo>
                                <a:lnTo>
                                  <a:pt x="8008" y="8151"/>
                                </a:lnTo>
                                <a:lnTo>
                                  <a:pt x="8003" y="8159"/>
                                </a:lnTo>
                                <a:lnTo>
                                  <a:pt x="8049" y="8185"/>
                                </a:lnTo>
                                <a:lnTo>
                                  <a:pt x="8053" y="8183"/>
                                </a:lnTo>
                                <a:lnTo>
                                  <a:pt x="8053" y="8177"/>
                                </a:lnTo>
                                <a:moveTo>
                                  <a:pt x="8053" y="7904"/>
                                </a:moveTo>
                                <a:lnTo>
                                  <a:pt x="8008" y="7878"/>
                                </a:lnTo>
                                <a:lnTo>
                                  <a:pt x="8003" y="7885"/>
                                </a:lnTo>
                                <a:lnTo>
                                  <a:pt x="8049" y="7911"/>
                                </a:lnTo>
                                <a:lnTo>
                                  <a:pt x="8003" y="7937"/>
                                </a:lnTo>
                                <a:lnTo>
                                  <a:pt x="8008" y="7945"/>
                                </a:lnTo>
                                <a:lnTo>
                                  <a:pt x="8053" y="7919"/>
                                </a:lnTo>
                                <a:lnTo>
                                  <a:pt x="8053" y="7913"/>
                                </a:lnTo>
                                <a:lnTo>
                                  <a:pt x="8053" y="7909"/>
                                </a:lnTo>
                                <a:lnTo>
                                  <a:pt x="8053" y="7904"/>
                                </a:lnTo>
                                <a:moveTo>
                                  <a:pt x="8053" y="7630"/>
                                </a:moveTo>
                                <a:lnTo>
                                  <a:pt x="8008" y="7604"/>
                                </a:lnTo>
                                <a:lnTo>
                                  <a:pt x="8003" y="7611"/>
                                </a:lnTo>
                                <a:lnTo>
                                  <a:pt x="8049" y="7638"/>
                                </a:lnTo>
                                <a:lnTo>
                                  <a:pt x="8003" y="7664"/>
                                </a:lnTo>
                                <a:lnTo>
                                  <a:pt x="8008" y="7672"/>
                                </a:lnTo>
                                <a:lnTo>
                                  <a:pt x="8053" y="7646"/>
                                </a:lnTo>
                                <a:lnTo>
                                  <a:pt x="8053" y="7640"/>
                                </a:lnTo>
                                <a:lnTo>
                                  <a:pt x="8053" y="7636"/>
                                </a:lnTo>
                                <a:lnTo>
                                  <a:pt x="8053" y="7630"/>
                                </a:lnTo>
                                <a:moveTo>
                                  <a:pt x="8053" y="7356"/>
                                </a:moveTo>
                                <a:lnTo>
                                  <a:pt x="8008" y="7331"/>
                                </a:lnTo>
                                <a:lnTo>
                                  <a:pt x="8003" y="7338"/>
                                </a:lnTo>
                                <a:lnTo>
                                  <a:pt x="8053" y="7367"/>
                                </a:lnTo>
                                <a:lnTo>
                                  <a:pt x="8053" y="7356"/>
                                </a:lnTo>
                                <a:moveTo>
                                  <a:pt x="8289" y="8860"/>
                                </a:moveTo>
                                <a:lnTo>
                                  <a:pt x="8066" y="8731"/>
                                </a:lnTo>
                                <a:lnTo>
                                  <a:pt x="8061" y="8734"/>
                                </a:lnTo>
                                <a:lnTo>
                                  <a:pt x="8061" y="8739"/>
                                </a:lnTo>
                                <a:lnTo>
                                  <a:pt x="8285" y="8868"/>
                                </a:lnTo>
                                <a:lnTo>
                                  <a:pt x="8289" y="8866"/>
                                </a:lnTo>
                                <a:lnTo>
                                  <a:pt x="8289" y="8860"/>
                                </a:lnTo>
                                <a:moveTo>
                                  <a:pt x="8289" y="8050"/>
                                </a:moveTo>
                                <a:lnTo>
                                  <a:pt x="8286" y="8048"/>
                                </a:lnTo>
                                <a:lnTo>
                                  <a:pt x="8061" y="8178"/>
                                </a:lnTo>
                                <a:lnTo>
                                  <a:pt x="8061" y="8182"/>
                                </a:lnTo>
                                <a:lnTo>
                                  <a:pt x="8061" y="8187"/>
                                </a:lnTo>
                                <a:lnTo>
                                  <a:pt x="8061" y="8192"/>
                                </a:lnTo>
                                <a:lnTo>
                                  <a:pt x="8285" y="8321"/>
                                </a:lnTo>
                                <a:lnTo>
                                  <a:pt x="8061" y="8451"/>
                                </a:lnTo>
                                <a:lnTo>
                                  <a:pt x="8061" y="8455"/>
                                </a:lnTo>
                                <a:lnTo>
                                  <a:pt x="8061" y="8460"/>
                                </a:lnTo>
                                <a:lnTo>
                                  <a:pt x="8061" y="8466"/>
                                </a:lnTo>
                                <a:lnTo>
                                  <a:pt x="8285" y="8595"/>
                                </a:lnTo>
                                <a:lnTo>
                                  <a:pt x="8061" y="8724"/>
                                </a:lnTo>
                                <a:lnTo>
                                  <a:pt x="8061" y="8728"/>
                                </a:lnTo>
                                <a:lnTo>
                                  <a:pt x="8066" y="8731"/>
                                </a:lnTo>
                                <a:lnTo>
                                  <a:pt x="8289" y="8603"/>
                                </a:lnTo>
                                <a:lnTo>
                                  <a:pt x="8289" y="8597"/>
                                </a:lnTo>
                                <a:lnTo>
                                  <a:pt x="8289" y="8592"/>
                                </a:lnTo>
                                <a:lnTo>
                                  <a:pt x="8289" y="8587"/>
                                </a:lnTo>
                                <a:lnTo>
                                  <a:pt x="8065" y="8458"/>
                                </a:lnTo>
                                <a:lnTo>
                                  <a:pt x="8289" y="8328"/>
                                </a:lnTo>
                                <a:lnTo>
                                  <a:pt x="8289" y="8324"/>
                                </a:lnTo>
                                <a:lnTo>
                                  <a:pt x="8289" y="8319"/>
                                </a:lnTo>
                                <a:lnTo>
                                  <a:pt x="8289" y="8314"/>
                                </a:lnTo>
                                <a:lnTo>
                                  <a:pt x="8066" y="8184"/>
                                </a:lnTo>
                                <a:lnTo>
                                  <a:pt x="8289" y="8055"/>
                                </a:lnTo>
                                <a:lnTo>
                                  <a:pt x="8289" y="8050"/>
                                </a:lnTo>
                                <a:moveTo>
                                  <a:pt x="8289" y="7766"/>
                                </a:moveTo>
                                <a:lnTo>
                                  <a:pt x="8066" y="7638"/>
                                </a:lnTo>
                                <a:lnTo>
                                  <a:pt x="8061" y="7641"/>
                                </a:lnTo>
                                <a:lnTo>
                                  <a:pt x="8061" y="7645"/>
                                </a:lnTo>
                                <a:lnTo>
                                  <a:pt x="8285" y="7774"/>
                                </a:lnTo>
                                <a:lnTo>
                                  <a:pt x="8061" y="7904"/>
                                </a:lnTo>
                                <a:lnTo>
                                  <a:pt x="8061" y="7909"/>
                                </a:lnTo>
                                <a:lnTo>
                                  <a:pt x="8061" y="7914"/>
                                </a:lnTo>
                                <a:lnTo>
                                  <a:pt x="8061" y="7918"/>
                                </a:lnTo>
                                <a:lnTo>
                                  <a:pt x="8286" y="8048"/>
                                </a:lnTo>
                                <a:lnTo>
                                  <a:pt x="8289" y="8046"/>
                                </a:lnTo>
                                <a:lnTo>
                                  <a:pt x="8289" y="8041"/>
                                </a:lnTo>
                                <a:lnTo>
                                  <a:pt x="8066" y="7911"/>
                                </a:lnTo>
                                <a:lnTo>
                                  <a:pt x="8289" y="7782"/>
                                </a:lnTo>
                                <a:lnTo>
                                  <a:pt x="8289" y="7777"/>
                                </a:lnTo>
                                <a:lnTo>
                                  <a:pt x="8289" y="7772"/>
                                </a:lnTo>
                                <a:lnTo>
                                  <a:pt x="8289" y="7766"/>
                                </a:lnTo>
                                <a:moveTo>
                                  <a:pt x="8289" y="7493"/>
                                </a:moveTo>
                                <a:lnTo>
                                  <a:pt x="8061" y="7362"/>
                                </a:lnTo>
                                <a:lnTo>
                                  <a:pt x="8061" y="7372"/>
                                </a:lnTo>
                                <a:lnTo>
                                  <a:pt x="8285" y="7501"/>
                                </a:lnTo>
                                <a:lnTo>
                                  <a:pt x="8061" y="7630"/>
                                </a:lnTo>
                                <a:lnTo>
                                  <a:pt x="8061" y="7635"/>
                                </a:lnTo>
                                <a:lnTo>
                                  <a:pt x="8066" y="7638"/>
                                </a:lnTo>
                                <a:lnTo>
                                  <a:pt x="8289" y="7509"/>
                                </a:lnTo>
                                <a:lnTo>
                                  <a:pt x="8289" y="7503"/>
                                </a:lnTo>
                                <a:lnTo>
                                  <a:pt x="8289" y="7499"/>
                                </a:lnTo>
                                <a:lnTo>
                                  <a:pt x="8289" y="7493"/>
                                </a:lnTo>
                                <a:moveTo>
                                  <a:pt x="8296" y="7224"/>
                                </a:moveTo>
                                <a:lnTo>
                                  <a:pt x="8008" y="7057"/>
                                </a:lnTo>
                                <a:lnTo>
                                  <a:pt x="8003" y="7065"/>
                                </a:lnTo>
                                <a:lnTo>
                                  <a:pt x="8289" y="7230"/>
                                </a:lnTo>
                                <a:lnTo>
                                  <a:pt x="8289" y="7224"/>
                                </a:lnTo>
                                <a:lnTo>
                                  <a:pt x="8296" y="7224"/>
                                </a:lnTo>
                                <a:moveTo>
                                  <a:pt x="8525" y="7356"/>
                                </a:moveTo>
                                <a:lnTo>
                                  <a:pt x="8298" y="7225"/>
                                </a:lnTo>
                                <a:lnTo>
                                  <a:pt x="8298" y="7235"/>
                                </a:lnTo>
                                <a:lnTo>
                                  <a:pt x="8522" y="7365"/>
                                </a:lnTo>
                                <a:lnTo>
                                  <a:pt x="8298" y="7494"/>
                                </a:lnTo>
                                <a:lnTo>
                                  <a:pt x="8298" y="7498"/>
                                </a:lnTo>
                                <a:lnTo>
                                  <a:pt x="8298" y="7504"/>
                                </a:lnTo>
                                <a:lnTo>
                                  <a:pt x="8298" y="7509"/>
                                </a:lnTo>
                                <a:lnTo>
                                  <a:pt x="8522" y="7638"/>
                                </a:lnTo>
                                <a:lnTo>
                                  <a:pt x="8298" y="7767"/>
                                </a:lnTo>
                                <a:lnTo>
                                  <a:pt x="8298" y="7772"/>
                                </a:lnTo>
                                <a:lnTo>
                                  <a:pt x="8298" y="7777"/>
                                </a:lnTo>
                                <a:lnTo>
                                  <a:pt x="8298" y="7782"/>
                                </a:lnTo>
                                <a:lnTo>
                                  <a:pt x="8523" y="7911"/>
                                </a:lnTo>
                                <a:lnTo>
                                  <a:pt x="8298" y="8041"/>
                                </a:lnTo>
                                <a:lnTo>
                                  <a:pt x="8298" y="8046"/>
                                </a:lnTo>
                                <a:lnTo>
                                  <a:pt x="8298" y="8050"/>
                                </a:lnTo>
                                <a:lnTo>
                                  <a:pt x="8298" y="8055"/>
                                </a:lnTo>
                                <a:lnTo>
                                  <a:pt x="8523" y="8184"/>
                                </a:lnTo>
                                <a:lnTo>
                                  <a:pt x="8298" y="8314"/>
                                </a:lnTo>
                                <a:lnTo>
                                  <a:pt x="8298" y="8319"/>
                                </a:lnTo>
                                <a:lnTo>
                                  <a:pt x="8298" y="8323"/>
                                </a:lnTo>
                                <a:lnTo>
                                  <a:pt x="8298" y="8329"/>
                                </a:lnTo>
                                <a:lnTo>
                                  <a:pt x="8522" y="8458"/>
                                </a:lnTo>
                                <a:lnTo>
                                  <a:pt x="8298" y="8587"/>
                                </a:lnTo>
                                <a:lnTo>
                                  <a:pt x="8298" y="8592"/>
                                </a:lnTo>
                                <a:lnTo>
                                  <a:pt x="8298" y="8598"/>
                                </a:lnTo>
                                <a:lnTo>
                                  <a:pt x="8298" y="8602"/>
                                </a:lnTo>
                                <a:lnTo>
                                  <a:pt x="8522" y="8731"/>
                                </a:lnTo>
                                <a:lnTo>
                                  <a:pt x="8298" y="8861"/>
                                </a:lnTo>
                                <a:lnTo>
                                  <a:pt x="8298" y="8865"/>
                                </a:lnTo>
                                <a:lnTo>
                                  <a:pt x="8303" y="8868"/>
                                </a:lnTo>
                                <a:lnTo>
                                  <a:pt x="8525" y="8739"/>
                                </a:lnTo>
                                <a:lnTo>
                                  <a:pt x="8525" y="8733"/>
                                </a:lnTo>
                                <a:lnTo>
                                  <a:pt x="8525" y="8729"/>
                                </a:lnTo>
                                <a:lnTo>
                                  <a:pt x="8525" y="8723"/>
                                </a:lnTo>
                                <a:lnTo>
                                  <a:pt x="8303" y="8595"/>
                                </a:lnTo>
                                <a:lnTo>
                                  <a:pt x="8525" y="8466"/>
                                </a:lnTo>
                                <a:lnTo>
                                  <a:pt x="8525" y="8460"/>
                                </a:lnTo>
                                <a:lnTo>
                                  <a:pt x="8525" y="8456"/>
                                </a:lnTo>
                                <a:lnTo>
                                  <a:pt x="8525" y="8450"/>
                                </a:lnTo>
                                <a:lnTo>
                                  <a:pt x="8302" y="8321"/>
                                </a:lnTo>
                                <a:lnTo>
                                  <a:pt x="8525" y="8192"/>
                                </a:lnTo>
                                <a:lnTo>
                                  <a:pt x="8525" y="8186"/>
                                </a:lnTo>
                                <a:lnTo>
                                  <a:pt x="8525" y="8183"/>
                                </a:lnTo>
                                <a:lnTo>
                                  <a:pt x="8525" y="8177"/>
                                </a:lnTo>
                                <a:lnTo>
                                  <a:pt x="8302" y="8048"/>
                                </a:lnTo>
                                <a:lnTo>
                                  <a:pt x="8525" y="7919"/>
                                </a:lnTo>
                                <a:lnTo>
                                  <a:pt x="8525" y="7913"/>
                                </a:lnTo>
                                <a:lnTo>
                                  <a:pt x="8525" y="7910"/>
                                </a:lnTo>
                                <a:lnTo>
                                  <a:pt x="8525" y="7903"/>
                                </a:lnTo>
                                <a:lnTo>
                                  <a:pt x="8303" y="7774"/>
                                </a:lnTo>
                                <a:lnTo>
                                  <a:pt x="8525" y="7646"/>
                                </a:lnTo>
                                <a:lnTo>
                                  <a:pt x="8525" y="7640"/>
                                </a:lnTo>
                                <a:lnTo>
                                  <a:pt x="8525" y="7636"/>
                                </a:lnTo>
                                <a:lnTo>
                                  <a:pt x="8525" y="7630"/>
                                </a:lnTo>
                                <a:lnTo>
                                  <a:pt x="8303" y="7501"/>
                                </a:lnTo>
                                <a:lnTo>
                                  <a:pt x="8525" y="7373"/>
                                </a:lnTo>
                                <a:lnTo>
                                  <a:pt x="8525" y="7367"/>
                                </a:lnTo>
                                <a:lnTo>
                                  <a:pt x="8525" y="7363"/>
                                </a:lnTo>
                                <a:lnTo>
                                  <a:pt x="8525" y="7356"/>
                                </a:lnTo>
                                <a:moveTo>
                                  <a:pt x="8762" y="8597"/>
                                </a:moveTo>
                                <a:lnTo>
                                  <a:pt x="8758" y="8595"/>
                                </a:lnTo>
                                <a:lnTo>
                                  <a:pt x="8534" y="8724"/>
                                </a:lnTo>
                                <a:lnTo>
                                  <a:pt x="8534" y="8728"/>
                                </a:lnTo>
                                <a:lnTo>
                                  <a:pt x="8534" y="8734"/>
                                </a:lnTo>
                                <a:lnTo>
                                  <a:pt x="8534" y="8738"/>
                                </a:lnTo>
                                <a:lnTo>
                                  <a:pt x="8758" y="8868"/>
                                </a:lnTo>
                                <a:lnTo>
                                  <a:pt x="8762" y="8866"/>
                                </a:lnTo>
                                <a:lnTo>
                                  <a:pt x="8762" y="8860"/>
                                </a:lnTo>
                                <a:lnTo>
                                  <a:pt x="8539" y="8731"/>
                                </a:lnTo>
                                <a:lnTo>
                                  <a:pt x="8762" y="8603"/>
                                </a:lnTo>
                                <a:lnTo>
                                  <a:pt x="8762" y="8597"/>
                                </a:lnTo>
                                <a:moveTo>
                                  <a:pt x="8762" y="8323"/>
                                </a:moveTo>
                                <a:lnTo>
                                  <a:pt x="8759" y="8321"/>
                                </a:lnTo>
                                <a:lnTo>
                                  <a:pt x="8534" y="8451"/>
                                </a:lnTo>
                                <a:lnTo>
                                  <a:pt x="8534" y="8455"/>
                                </a:lnTo>
                                <a:lnTo>
                                  <a:pt x="8534" y="8461"/>
                                </a:lnTo>
                                <a:lnTo>
                                  <a:pt x="8534" y="8465"/>
                                </a:lnTo>
                                <a:lnTo>
                                  <a:pt x="8758" y="8595"/>
                                </a:lnTo>
                                <a:lnTo>
                                  <a:pt x="8762" y="8592"/>
                                </a:lnTo>
                                <a:lnTo>
                                  <a:pt x="8762" y="8587"/>
                                </a:lnTo>
                                <a:lnTo>
                                  <a:pt x="8539" y="8458"/>
                                </a:lnTo>
                                <a:lnTo>
                                  <a:pt x="8762" y="8330"/>
                                </a:lnTo>
                                <a:lnTo>
                                  <a:pt x="8762" y="8323"/>
                                </a:lnTo>
                                <a:moveTo>
                                  <a:pt x="8762" y="8050"/>
                                </a:moveTo>
                                <a:lnTo>
                                  <a:pt x="8759" y="8048"/>
                                </a:lnTo>
                                <a:lnTo>
                                  <a:pt x="8534" y="8178"/>
                                </a:lnTo>
                                <a:lnTo>
                                  <a:pt x="8534" y="8182"/>
                                </a:lnTo>
                                <a:lnTo>
                                  <a:pt x="8534" y="8187"/>
                                </a:lnTo>
                                <a:lnTo>
                                  <a:pt x="8534" y="8191"/>
                                </a:lnTo>
                                <a:lnTo>
                                  <a:pt x="8759" y="8321"/>
                                </a:lnTo>
                                <a:lnTo>
                                  <a:pt x="8762" y="8319"/>
                                </a:lnTo>
                                <a:lnTo>
                                  <a:pt x="8762" y="8314"/>
                                </a:lnTo>
                                <a:lnTo>
                                  <a:pt x="8539" y="8184"/>
                                </a:lnTo>
                                <a:lnTo>
                                  <a:pt x="8762" y="8055"/>
                                </a:lnTo>
                                <a:lnTo>
                                  <a:pt x="8762" y="8050"/>
                                </a:lnTo>
                                <a:moveTo>
                                  <a:pt x="8762" y="7777"/>
                                </a:moveTo>
                                <a:lnTo>
                                  <a:pt x="8759" y="7775"/>
                                </a:lnTo>
                                <a:lnTo>
                                  <a:pt x="8534" y="7905"/>
                                </a:lnTo>
                                <a:lnTo>
                                  <a:pt x="8534" y="7908"/>
                                </a:lnTo>
                                <a:lnTo>
                                  <a:pt x="8534" y="7914"/>
                                </a:lnTo>
                                <a:lnTo>
                                  <a:pt x="8534" y="7918"/>
                                </a:lnTo>
                                <a:lnTo>
                                  <a:pt x="8759" y="8048"/>
                                </a:lnTo>
                                <a:lnTo>
                                  <a:pt x="8762" y="8046"/>
                                </a:lnTo>
                                <a:lnTo>
                                  <a:pt x="8762" y="8040"/>
                                </a:lnTo>
                                <a:lnTo>
                                  <a:pt x="8539" y="7911"/>
                                </a:lnTo>
                                <a:lnTo>
                                  <a:pt x="8762" y="7782"/>
                                </a:lnTo>
                                <a:lnTo>
                                  <a:pt x="8762" y="7777"/>
                                </a:lnTo>
                                <a:moveTo>
                                  <a:pt x="8762" y="7503"/>
                                </a:moveTo>
                                <a:lnTo>
                                  <a:pt x="8758" y="7501"/>
                                </a:lnTo>
                                <a:lnTo>
                                  <a:pt x="8534" y="7631"/>
                                </a:lnTo>
                                <a:lnTo>
                                  <a:pt x="8534" y="7635"/>
                                </a:lnTo>
                                <a:lnTo>
                                  <a:pt x="8534" y="7641"/>
                                </a:lnTo>
                                <a:lnTo>
                                  <a:pt x="8534" y="7645"/>
                                </a:lnTo>
                                <a:lnTo>
                                  <a:pt x="8759" y="7775"/>
                                </a:lnTo>
                                <a:lnTo>
                                  <a:pt x="8762" y="7773"/>
                                </a:lnTo>
                                <a:lnTo>
                                  <a:pt x="8762" y="7766"/>
                                </a:lnTo>
                                <a:lnTo>
                                  <a:pt x="8539" y="7638"/>
                                </a:lnTo>
                                <a:lnTo>
                                  <a:pt x="8762" y="7509"/>
                                </a:lnTo>
                                <a:lnTo>
                                  <a:pt x="8762" y="7503"/>
                                </a:lnTo>
                                <a:moveTo>
                                  <a:pt x="8762" y="7230"/>
                                </a:moveTo>
                                <a:lnTo>
                                  <a:pt x="8758" y="7228"/>
                                </a:lnTo>
                                <a:lnTo>
                                  <a:pt x="8534" y="7358"/>
                                </a:lnTo>
                                <a:lnTo>
                                  <a:pt x="8534" y="7362"/>
                                </a:lnTo>
                                <a:lnTo>
                                  <a:pt x="8534" y="7367"/>
                                </a:lnTo>
                                <a:lnTo>
                                  <a:pt x="8534" y="7371"/>
                                </a:lnTo>
                                <a:lnTo>
                                  <a:pt x="8758" y="7501"/>
                                </a:lnTo>
                                <a:lnTo>
                                  <a:pt x="8762" y="7499"/>
                                </a:lnTo>
                                <a:lnTo>
                                  <a:pt x="8762" y="7493"/>
                                </a:lnTo>
                                <a:lnTo>
                                  <a:pt x="8539" y="7365"/>
                                </a:lnTo>
                                <a:lnTo>
                                  <a:pt x="8762" y="7236"/>
                                </a:lnTo>
                                <a:lnTo>
                                  <a:pt x="8762" y="7230"/>
                                </a:lnTo>
                                <a:moveTo>
                                  <a:pt x="8767" y="7223"/>
                                </a:moveTo>
                                <a:lnTo>
                                  <a:pt x="8008" y="6784"/>
                                </a:lnTo>
                                <a:lnTo>
                                  <a:pt x="8003" y="6792"/>
                                </a:lnTo>
                                <a:lnTo>
                                  <a:pt x="8758" y="7228"/>
                                </a:lnTo>
                                <a:lnTo>
                                  <a:pt x="8762" y="7226"/>
                                </a:lnTo>
                                <a:lnTo>
                                  <a:pt x="8762" y="7224"/>
                                </a:lnTo>
                                <a:lnTo>
                                  <a:pt x="8765" y="7224"/>
                                </a:lnTo>
                                <a:lnTo>
                                  <a:pt x="8767" y="7223"/>
                                </a:lnTo>
                                <a:moveTo>
                                  <a:pt x="9012" y="7091"/>
                                </a:moveTo>
                                <a:lnTo>
                                  <a:pt x="9004" y="7086"/>
                                </a:lnTo>
                                <a:lnTo>
                                  <a:pt x="8008" y="6511"/>
                                </a:lnTo>
                                <a:lnTo>
                                  <a:pt x="8003" y="6519"/>
                                </a:lnTo>
                                <a:lnTo>
                                  <a:pt x="8995" y="7091"/>
                                </a:lnTo>
                                <a:lnTo>
                                  <a:pt x="9004" y="7097"/>
                                </a:lnTo>
                                <a:lnTo>
                                  <a:pt x="9012" y="7091"/>
                                </a:lnTo>
                                <a:moveTo>
                                  <a:pt x="9042" y="6836"/>
                                </a:moveTo>
                                <a:lnTo>
                                  <a:pt x="8008" y="6238"/>
                                </a:lnTo>
                                <a:lnTo>
                                  <a:pt x="8003" y="6246"/>
                                </a:lnTo>
                                <a:lnTo>
                                  <a:pt x="9042" y="6846"/>
                                </a:lnTo>
                                <a:lnTo>
                                  <a:pt x="9042" y="6836"/>
                                </a:lnTo>
                                <a:moveTo>
                                  <a:pt x="9042" y="6562"/>
                                </a:moveTo>
                                <a:lnTo>
                                  <a:pt x="8008" y="5965"/>
                                </a:lnTo>
                                <a:lnTo>
                                  <a:pt x="8003" y="5971"/>
                                </a:lnTo>
                                <a:lnTo>
                                  <a:pt x="9042" y="6572"/>
                                </a:lnTo>
                                <a:lnTo>
                                  <a:pt x="9042" y="6562"/>
                                </a:lnTo>
                                <a:moveTo>
                                  <a:pt x="9042" y="6289"/>
                                </a:moveTo>
                                <a:lnTo>
                                  <a:pt x="8481" y="5965"/>
                                </a:lnTo>
                                <a:lnTo>
                                  <a:pt x="8465" y="5965"/>
                                </a:lnTo>
                                <a:lnTo>
                                  <a:pt x="9042" y="6298"/>
                                </a:lnTo>
                                <a:lnTo>
                                  <a:pt x="9042" y="62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Line 248"/>
                        <wps:cNvCnPr>
                          <a:cxnSpLocks noChangeShapeType="1"/>
                        </wps:cNvCnPr>
                        <wps:spPr bwMode="auto">
                          <a:xfrm>
                            <a:off x="11158" y="9113"/>
                            <a:ext cx="0" cy="286"/>
                          </a:xfrm>
                          <a:prstGeom prst="line">
                            <a:avLst/>
                          </a:prstGeom>
                          <a:noFill/>
                          <a:ln w="556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94" name="Line 247"/>
                        <wps:cNvCnPr>
                          <a:cxnSpLocks noChangeShapeType="1"/>
                        </wps:cNvCnPr>
                        <wps:spPr bwMode="auto">
                          <a:xfrm>
                            <a:off x="11156" y="8302"/>
                            <a:ext cx="0" cy="1359"/>
                          </a:xfrm>
                          <a:prstGeom prst="line">
                            <a:avLst/>
                          </a:prstGeom>
                          <a:noFill/>
                          <a:ln w="253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95" name="Line 246"/>
                        <wps:cNvCnPr>
                          <a:cxnSpLocks noChangeShapeType="1"/>
                        </wps:cNvCnPr>
                        <wps:spPr bwMode="auto">
                          <a:xfrm>
                            <a:off x="11158" y="8023"/>
                            <a:ext cx="0" cy="282"/>
                          </a:xfrm>
                          <a:prstGeom prst="line">
                            <a:avLst/>
                          </a:prstGeom>
                          <a:noFill/>
                          <a:ln w="556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96" name="AutoShape 245"/>
                        <wps:cNvSpPr>
                          <a:spLocks/>
                        </wps:cNvSpPr>
                        <wps:spPr bwMode="auto">
                          <a:xfrm>
                            <a:off x="11153" y="8023"/>
                            <a:ext cx="482" cy="1379"/>
                          </a:xfrm>
                          <a:custGeom>
                            <a:avLst/>
                            <a:gdLst>
                              <a:gd name="T0" fmla="+- 0 11158 11153"/>
                              <a:gd name="T1" fmla="*/ T0 w 482"/>
                              <a:gd name="T2" fmla="+- 0 8295 8023"/>
                              <a:gd name="T3" fmla="*/ 8295 h 1379"/>
                              <a:gd name="T4" fmla="+- 0 11153 11153"/>
                              <a:gd name="T5" fmla="*/ T4 w 482"/>
                              <a:gd name="T6" fmla="+- 0 8292 8023"/>
                              <a:gd name="T7" fmla="*/ 8292 h 1379"/>
                              <a:gd name="T8" fmla="+- 0 11153 11153"/>
                              <a:gd name="T9" fmla="*/ T8 w 482"/>
                              <a:gd name="T10" fmla="+- 0 8298 8023"/>
                              <a:gd name="T11" fmla="*/ 8298 h 1379"/>
                              <a:gd name="T12" fmla="+- 0 11158 11153"/>
                              <a:gd name="T13" fmla="*/ T12 w 482"/>
                              <a:gd name="T14" fmla="+- 0 8295 8023"/>
                              <a:gd name="T15" fmla="*/ 8295 h 1379"/>
                              <a:gd name="T16" fmla="+- 0 11162 11153"/>
                              <a:gd name="T17" fmla="*/ T16 w 482"/>
                              <a:gd name="T18" fmla="+- 0 9397 8023"/>
                              <a:gd name="T19" fmla="*/ 9397 h 1379"/>
                              <a:gd name="T20" fmla="+- 0 11158 11153"/>
                              <a:gd name="T21" fmla="*/ T20 w 482"/>
                              <a:gd name="T22" fmla="+- 0 9399 8023"/>
                              <a:gd name="T23" fmla="*/ 9399 h 1379"/>
                              <a:gd name="T24" fmla="+- 0 11162 11153"/>
                              <a:gd name="T25" fmla="*/ T24 w 482"/>
                              <a:gd name="T26" fmla="+- 0 9401 8023"/>
                              <a:gd name="T27" fmla="*/ 9401 h 1379"/>
                              <a:gd name="T28" fmla="+- 0 11162 11153"/>
                              <a:gd name="T29" fmla="*/ T28 w 482"/>
                              <a:gd name="T30" fmla="+- 0 9397 8023"/>
                              <a:gd name="T31" fmla="*/ 9397 h 1379"/>
                              <a:gd name="T32" fmla="+- 0 11162 11153"/>
                              <a:gd name="T33" fmla="*/ T32 w 482"/>
                              <a:gd name="T34" fmla="+- 0 9386 8023"/>
                              <a:gd name="T35" fmla="*/ 9386 h 1379"/>
                              <a:gd name="T36" fmla="+- 0 11158 11153"/>
                              <a:gd name="T37" fmla="*/ T36 w 482"/>
                              <a:gd name="T38" fmla="+- 0 9389 8023"/>
                              <a:gd name="T39" fmla="*/ 9389 h 1379"/>
                              <a:gd name="T40" fmla="+- 0 11162 11153"/>
                              <a:gd name="T41" fmla="*/ T40 w 482"/>
                              <a:gd name="T42" fmla="+- 0 9391 8023"/>
                              <a:gd name="T43" fmla="*/ 9391 h 1379"/>
                              <a:gd name="T44" fmla="+- 0 11162 11153"/>
                              <a:gd name="T45" fmla="*/ T44 w 482"/>
                              <a:gd name="T46" fmla="+- 0 9386 8023"/>
                              <a:gd name="T47" fmla="*/ 9386 h 1379"/>
                              <a:gd name="T48" fmla="+- 0 11162 11153"/>
                              <a:gd name="T49" fmla="*/ T48 w 482"/>
                              <a:gd name="T50" fmla="+- 0 9118 8023"/>
                              <a:gd name="T51" fmla="*/ 9118 h 1379"/>
                              <a:gd name="T52" fmla="+- 0 11158 11153"/>
                              <a:gd name="T53" fmla="*/ T52 w 482"/>
                              <a:gd name="T54" fmla="+- 0 9115 8023"/>
                              <a:gd name="T55" fmla="*/ 9115 h 1379"/>
                              <a:gd name="T56" fmla="+- 0 11153 11153"/>
                              <a:gd name="T57" fmla="*/ T56 w 482"/>
                              <a:gd name="T58" fmla="+- 0 9118 8023"/>
                              <a:gd name="T59" fmla="*/ 9118 h 1379"/>
                              <a:gd name="T60" fmla="+- 0 11153 11153"/>
                              <a:gd name="T61" fmla="*/ T60 w 482"/>
                              <a:gd name="T62" fmla="+- 0 9123 8023"/>
                              <a:gd name="T63" fmla="*/ 9123 h 1379"/>
                              <a:gd name="T64" fmla="+- 0 11157 11153"/>
                              <a:gd name="T65" fmla="*/ T64 w 482"/>
                              <a:gd name="T66" fmla="+- 0 9125 8023"/>
                              <a:gd name="T67" fmla="*/ 9125 h 1379"/>
                              <a:gd name="T68" fmla="+- 0 11162 11153"/>
                              <a:gd name="T69" fmla="*/ T68 w 482"/>
                              <a:gd name="T70" fmla="+- 0 9122 8023"/>
                              <a:gd name="T71" fmla="*/ 9122 h 1379"/>
                              <a:gd name="T72" fmla="+- 0 11162 11153"/>
                              <a:gd name="T73" fmla="*/ T72 w 482"/>
                              <a:gd name="T74" fmla="+- 0 9118 8023"/>
                              <a:gd name="T75" fmla="*/ 9118 h 1379"/>
                              <a:gd name="T76" fmla="+- 0 11162 11153"/>
                              <a:gd name="T77" fmla="*/ T76 w 482"/>
                              <a:gd name="T78" fmla="+- 0 8840 8023"/>
                              <a:gd name="T79" fmla="*/ 8840 h 1379"/>
                              <a:gd name="T80" fmla="+- 0 11158 11153"/>
                              <a:gd name="T81" fmla="*/ T80 w 482"/>
                              <a:gd name="T82" fmla="+- 0 8842 8023"/>
                              <a:gd name="T83" fmla="*/ 8842 h 1379"/>
                              <a:gd name="T84" fmla="+- 0 11153 11153"/>
                              <a:gd name="T85" fmla="*/ T84 w 482"/>
                              <a:gd name="T86" fmla="+- 0 8845 8023"/>
                              <a:gd name="T87" fmla="*/ 8845 h 1379"/>
                              <a:gd name="T88" fmla="+- 0 11153 11153"/>
                              <a:gd name="T89" fmla="*/ T88 w 482"/>
                              <a:gd name="T90" fmla="+- 0 8849 8023"/>
                              <a:gd name="T91" fmla="*/ 8849 h 1379"/>
                              <a:gd name="T92" fmla="+- 0 11158 11153"/>
                              <a:gd name="T93" fmla="*/ T92 w 482"/>
                              <a:gd name="T94" fmla="+- 0 8852 8023"/>
                              <a:gd name="T95" fmla="*/ 8852 h 1379"/>
                              <a:gd name="T96" fmla="+- 0 11162 11153"/>
                              <a:gd name="T97" fmla="*/ T96 w 482"/>
                              <a:gd name="T98" fmla="+- 0 8854 8023"/>
                              <a:gd name="T99" fmla="*/ 8854 h 1379"/>
                              <a:gd name="T100" fmla="+- 0 11162 11153"/>
                              <a:gd name="T101" fmla="*/ T100 w 482"/>
                              <a:gd name="T102" fmla="+- 0 8849 8023"/>
                              <a:gd name="T103" fmla="*/ 8849 h 1379"/>
                              <a:gd name="T104" fmla="+- 0 11162 11153"/>
                              <a:gd name="T105" fmla="*/ T104 w 482"/>
                              <a:gd name="T106" fmla="+- 0 8845 8023"/>
                              <a:gd name="T107" fmla="*/ 8845 h 1379"/>
                              <a:gd name="T108" fmla="+- 0 11162 11153"/>
                              <a:gd name="T109" fmla="*/ T108 w 482"/>
                              <a:gd name="T110" fmla="+- 0 8840 8023"/>
                              <a:gd name="T111" fmla="*/ 8840 h 1379"/>
                              <a:gd name="T112" fmla="+- 0 11162 11153"/>
                              <a:gd name="T113" fmla="*/ T112 w 482"/>
                              <a:gd name="T114" fmla="+- 0 8566 8023"/>
                              <a:gd name="T115" fmla="*/ 8566 h 1379"/>
                              <a:gd name="T116" fmla="+- 0 11158 11153"/>
                              <a:gd name="T117" fmla="*/ T116 w 482"/>
                              <a:gd name="T118" fmla="+- 0 8568 8023"/>
                              <a:gd name="T119" fmla="*/ 8568 h 1379"/>
                              <a:gd name="T120" fmla="+- 0 11153 11153"/>
                              <a:gd name="T121" fmla="*/ T120 w 482"/>
                              <a:gd name="T122" fmla="+- 0 8571 8023"/>
                              <a:gd name="T123" fmla="*/ 8571 h 1379"/>
                              <a:gd name="T124" fmla="+- 0 11153 11153"/>
                              <a:gd name="T125" fmla="*/ T124 w 482"/>
                              <a:gd name="T126" fmla="+- 0 8576 8023"/>
                              <a:gd name="T127" fmla="*/ 8576 h 1379"/>
                              <a:gd name="T128" fmla="+- 0 11158 11153"/>
                              <a:gd name="T129" fmla="*/ T128 w 482"/>
                              <a:gd name="T130" fmla="+- 0 8579 8023"/>
                              <a:gd name="T131" fmla="*/ 8579 h 1379"/>
                              <a:gd name="T132" fmla="+- 0 11162 11153"/>
                              <a:gd name="T133" fmla="*/ T132 w 482"/>
                              <a:gd name="T134" fmla="+- 0 8581 8023"/>
                              <a:gd name="T135" fmla="*/ 8581 h 1379"/>
                              <a:gd name="T136" fmla="+- 0 11162 11153"/>
                              <a:gd name="T137" fmla="*/ T136 w 482"/>
                              <a:gd name="T138" fmla="+- 0 8576 8023"/>
                              <a:gd name="T139" fmla="*/ 8576 h 1379"/>
                              <a:gd name="T140" fmla="+- 0 11162 11153"/>
                              <a:gd name="T141" fmla="*/ T140 w 482"/>
                              <a:gd name="T142" fmla="+- 0 8571 8023"/>
                              <a:gd name="T143" fmla="*/ 8571 h 1379"/>
                              <a:gd name="T144" fmla="+- 0 11162 11153"/>
                              <a:gd name="T145" fmla="*/ T144 w 482"/>
                              <a:gd name="T146" fmla="+- 0 8566 8023"/>
                              <a:gd name="T147" fmla="*/ 8566 h 1379"/>
                              <a:gd name="T148" fmla="+- 0 11162 11153"/>
                              <a:gd name="T149" fmla="*/ T148 w 482"/>
                              <a:gd name="T150" fmla="+- 0 8303 8023"/>
                              <a:gd name="T151" fmla="*/ 8303 h 1379"/>
                              <a:gd name="T152" fmla="+- 0 11158 11153"/>
                              <a:gd name="T153" fmla="*/ T152 w 482"/>
                              <a:gd name="T154" fmla="+- 0 8305 8023"/>
                              <a:gd name="T155" fmla="*/ 8305 h 1379"/>
                              <a:gd name="T156" fmla="+- 0 11162 11153"/>
                              <a:gd name="T157" fmla="*/ T156 w 482"/>
                              <a:gd name="T158" fmla="+- 0 8308 8023"/>
                              <a:gd name="T159" fmla="*/ 8308 h 1379"/>
                              <a:gd name="T160" fmla="+- 0 11162 11153"/>
                              <a:gd name="T161" fmla="*/ T160 w 482"/>
                              <a:gd name="T162" fmla="+- 0 8303 8023"/>
                              <a:gd name="T163" fmla="*/ 8303 h 1379"/>
                              <a:gd name="T164" fmla="+- 0 11162 11153"/>
                              <a:gd name="T165" fmla="*/ T164 w 482"/>
                              <a:gd name="T166" fmla="+- 0 8293 8023"/>
                              <a:gd name="T167" fmla="*/ 8293 h 1379"/>
                              <a:gd name="T168" fmla="+- 0 11158 11153"/>
                              <a:gd name="T169" fmla="*/ T168 w 482"/>
                              <a:gd name="T170" fmla="+- 0 8295 8023"/>
                              <a:gd name="T171" fmla="*/ 8295 h 1379"/>
                              <a:gd name="T172" fmla="+- 0 11162 11153"/>
                              <a:gd name="T173" fmla="*/ T172 w 482"/>
                              <a:gd name="T174" fmla="+- 0 8297 8023"/>
                              <a:gd name="T175" fmla="*/ 8297 h 1379"/>
                              <a:gd name="T176" fmla="+- 0 11162 11153"/>
                              <a:gd name="T177" fmla="*/ T176 w 482"/>
                              <a:gd name="T178" fmla="+- 0 8293 8023"/>
                              <a:gd name="T179" fmla="*/ 8293 h 1379"/>
                              <a:gd name="T180" fmla="+- 0 11162 11153"/>
                              <a:gd name="T181" fmla="*/ T180 w 482"/>
                              <a:gd name="T182" fmla="+- 0 8023 8023"/>
                              <a:gd name="T183" fmla="*/ 8023 h 1379"/>
                              <a:gd name="T184" fmla="+- 0 11160 11153"/>
                              <a:gd name="T185" fmla="*/ T184 w 482"/>
                              <a:gd name="T186" fmla="+- 0 8023 8023"/>
                              <a:gd name="T187" fmla="*/ 8023 h 1379"/>
                              <a:gd name="T188" fmla="+- 0 11162 11153"/>
                              <a:gd name="T189" fmla="*/ T188 w 482"/>
                              <a:gd name="T190" fmla="+- 0 8024 8023"/>
                              <a:gd name="T191" fmla="*/ 8024 h 1379"/>
                              <a:gd name="T192" fmla="+- 0 11162 11153"/>
                              <a:gd name="T193" fmla="*/ T192 w 482"/>
                              <a:gd name="T194" fmla="+- 0 8023 8023"/>
                              <a:gd name="T195" fmla="*/ 8023 h 1379"/>
                              <a:gd name="T196" fmla="+- 0 11635 11153"/>
                              <a:gd name="T197" fmla="*/ T196 w 482"/>
                              <a:gd name="T198" fmla="+- 0 8024 8023"/>
                              <a:gd name="T199" fmla="*/ 8024 h 1379"/>
                              <a:gd name="T200" fmla="+- 0 11633 11153"/>
                              <a:gd name="T201" fmla="*/ T200 w 482"/>
                              <a:gd name="T202" fmla="+- 0 8023 8023"/>
                              <a:gd name="T203" fmla="*/ 8023 h 1379"/>
                              <a:gd name="T204" fmla="+- 0 11629 11153"/>
                              <a:gd name="T205" fmla="*/ T204 w 482"/>
                              <a:gd name="T206" fmla="+- 0 8023 8023"/>
                              <a:gd name="T207" fmla="*/ 8023 h 1379"/>
                              <a:gd name="T208" fmla="+- 0 11626 11153"/>
                              <a:gd name="T209" fmla="*/ T208 w 482"/>
                              <a:gd name="T210" fmla="+- 0 8023 8023"/>
                              <a:gd name="T211" fmla="*/ 8023 h 1379"/>
                              <a:gd name="T212" fmla="+- 0 11626 11153"/>
                              <a:gd name="T213" fmla="*/ T212 w 482"/>
                              <a:gd name="T214" fmla="+- 0 8025 8023"/>
                              <a:gd name="T215" fmla="*/ 8025 h 1379"/>
                              <a:gd name="T216" fmla="+- 0 11626 11153"/>
                              <a:gd name="T217" fmla="*/ T216 w 482"/>
                              <a:gd name="T218" fmla="+- 0 8029 8023"/>
                              <a:gd name="T219" fmla="*/ 8029 h 1379"/>
                              <a:gd name="T220" fmla="+- 0 11631 11153"/>
                              <a:gd name="T221" fmla="*/ T220 w 482"/>
                              <a:gd name="T222" fmla="+- 0 8032 8023"/>
                              <a:gd name="T223" fmla="*/ 8032 h 1379"/>
                              <a:gd name="T224" fmla="+- 0 11635 11153"/>
                              <a:gd name="T225" fmla="*/ T224 w 482"/>
                              <a:gd name="T226" fmla="+- 0 8030 8023"/>
                              <a:gd name="T227" fmla="*/ 8030 h 1379"/>
                              <a:gd name="T228" fmla="+- 0 11635 11153"/>
                              <a:gd name="T229" fmla="*/ T228 w 482"/>
                              <a:gd name="T230" fmla="+- 0 8024 8023"/>
                              <a:gd name="T231" fmla="*/ 8024 h 1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82" h="1379">
                                <a:moveTo>
                                  <a:pt x="5" y="272"/>
                                </a:moveTo>
                                <a:lnTo>
                                  <a:pt x="0" y="269"/>
                                </a:lnTo>
                                <a:lnTo>
                                  <a:pt x="0" y="275"/>
                                </a:lnTo>
                                <a:lnTo>
                                  <a:pt x="5" y="272"/>
                                </a:lnTo>
                                <a:moveTo>
                                  <a:pt x="9" y="1374"/>
                                </a:moveTo>
                                <a:lnTo>
                                  <a:pt x="5" y="1376"/>
                                </a:lnTo>
                                <a:lnTo>
                                  <a:pt x="9" y="1378"/>
                                </a:lnTo>
                                <a:lnTo>
                                  <a:pt x="9" y="1374"/>
                                </a:lnTo>
                                <a:moveTo>
                                  <a:pt x="9" y="1363"/>
                                </a:moveTo>
                                <a:lnTo>
                                  <a:pt x="5" y="1366"/>
                                </a:lnTo>
                                <a:lnTo>
                                  <a:pt x="9" y="1368"/>
                                </a:lnTo>
                                <a:lnTo>
                                  <a:pt x="9" y="1363"/>
                                </a:lnTo>
                                <a:moveTo>
                                  <a:pt x="9" y="1095"/>
                                </a:moveTo>
                                <a:lnTo>
                                  <a:pt x="5" y="1092"/>
                                </a:lnTo>
                                <a:lnTo>
                                  <a:pt x="0" y="1095"/>
                                </a:lnTo>
                                <a:lnTo>
                                  <a:pt x="0" y="1100"/>
                                </a:lnTo>
                                <a:lnTo>
                                  <a:pt x="4" y="1102"/>
                                </a:lnTo>
                                <a:lnTo>
                                  <a:pt x="9" y="1099"/>
                                </a:lnTo>
                                <a:lnTo>
                                  <a:pt x="9" y="1095"/>
                                </a:lnTo>
                                <a:moveTo>
                                  <a:pt x="9" y="817"/>
                                </a:moveTo>
                                <a:lnTo>
                                  <a:pt x="5" y="819"/>
                                </a:lnTo>
                                <a:lnTo>
                                  <a:pt x="0" y="822"/>
                                </a:lnTo>
                                <a:lnTo>
                                  <a:pt x="0" y="826"/>
                                </a:lnTo>
                                <a:lnTo>
                                  <a:pt x="5" y="829"/>
                                </a:lnTo>
                                <a:lnTo>
                                  <a:pt x="9" y="831"/>
                                </a:lnTo>
                                <a:lnTo>
                                  <a:pt x="9" y="826"/>
                                </a:lnTo>
                                <a:lnTo>
                                  <a:pt x="9" y="822"/>
                                </a:lnTo>
                                <a:lnTo>
                                  <a:pt x="9" y="817"/>
                                </a:lnTo>
                                <a:moveTo>
                                  <a:pt x="9" y="543"/>
                                </a:moveTo>
                                <a:lnTo>
                                  <a:pt x="5" y="545"/>
                                </a:lnTo>
                                <a:lnTo>
                                  <a:pt x="0" y="548"/>
                                </a:lnTo>
                                <a:lnTo>
                                  <a:pt x="0" y="553"/>
                                </a:lnTo>
                                <a:lnTo>
                                  <a:pt x="5" y="556"/>
                                </a:lnTo>
                                <a:lnTo>
                                  <a:pt x="9" y="558"/>
                                </a:lnTo>
                                <a:lnTo>
                                  <a:pt x="9" y="553"/>
                                </a:lnTo>
                                <a:lnTo>
                                  <a:pt x="9" y="548"/>
                                </a:lnTo>
                                <a:lnTo>
                                  <a:pt x="9" y="543"/>
                                </a:lnTo>
                                <a:moveTo>
                                  <a:pt x="9" y="280"/>
                                </a:moveTo>
                                <a:lnTo>
                                  <a:pt x="5" y="282"/>
                                </a:lnTo>
                                <a:lnTo>
                                  <a:pt x="9" y="285"/>
                                </a:lnTo>
                                <a:lnTo>
                                  <a:pt x="9" y="280"/>
                                </a:lnTo>
                                <a:moveTo>
                                  <a:pt x="9" y="270"/>
                                </a:moveTo>
                                <a:lnTo>
                                  <a:pt x="5" y="272"/>
                                </a:lnTo>
                                <a:lnTo>
                                  <a:pt x="9" y="274"/>
                                </a:lnTo>
                                <a:lnTo>
                                  <a:pt x="9" y="270"/>
                                </a:lnTo>
                                <a:moveTo>
                                  <a:pt x="9" y="0"/>
                                </a:moveTo>
                                <a:lnTo>
                                  <a:pt x="7" y="0"/>
                                </a:lnTo>
                                <a:lnTo>
                                  <a:pt x="9" y="1"/>
                                </a:lnTo>
                                <a:lnTo>
                                  <a:pt x="9" y="0"/>
                                </a:lnTo>
                                <a:moveTo>
                                  <a:pt x="482" y="1"/>
                                </a:moveTo>
                                <a:lnTo>
                                  <a:pt x="480" y="0"/>
                                </a:lnTo>
                                <a:lnTo>
                                  <a:pt x="476" y="0"/>
                                </a:lnTo>
                                <a:lnTo>
                                  <a:pt x="473" y="0"/>
                                </a:lnTo>
                                <a:lnTo>
                                  <a:pt x="473" y="2"/>
                                </a:lnTo>
                                <a:lnTo>
                                  <a:pt x="473" y="6"/>
                                </a:lnTo>
                                <a:lnTo>
                                  <a:pt x="478" y="9"/>
                                </a:lnTo>
                                <a:lnTo>
                                  <a:pt x="482" y="7"/>
                                </a:lnTo>
                                <a:lnTo>
                                  <a:pt x="482" y="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Line 244"/>
                        <wps:cNvCnPr>
                          <a:cxnSpLocks noChangeShapeType="1"/>
                        </wps:cNvCnPr>
                        <wps:spPr bwMode="auto">
                          <a:xfrm>
                            <a:off x="10921" y="8023"/>
                            <a:ext cx="0" cy="1774"/>
                          </a:xfrm>
                          <a:prstGeom prst="line">
                            <a:avLst/>
                          </a:prstGeom>
                          <a:noFill/>
                          <a:ln w="588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98" name="Line 243"/>
                        <wps:cNvCnPr>
                          <a:cxnSpLocks noChangeShapeType="1"/>
                        </wps:cNvCnPr>
                        <wps:spPr bwMode="auto">
                          <a:xfrm>
                            <a:off x="10926" y="8434"/>
                            <a:ext cx="0" cy="1363"/>
                          </a:xfrm>
                          <a:prstGeom prst="line">
                            <a:avLst/>
                          </a:prstGeom>
                          <a:noFill/>
                          <a:ln w="53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99" name="Line 242"/>
                        <wps:cNvCnPr>
                          <a:cxnSpLocks noChangeShapeType="1"/>
                        </wps:cNvCnPr>
                        <wps:spPr bwMode="auto">
                          <a:xfrm>
                            <a:off x="10919" y="8976"/>
                            <a:ext cx="0" cy="562"/>
                          </a:xfrm>
                          <a:prstGeom prst="line">
                            <a:avLst/>
                          </a:prstGeom>
                          <a:noFill/>
                          <a:ln w="356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0" name="AutoShape 241"/>
                        <wps:cNvSpPr>
                          <a:spLocks/>
                        </wps:cNvSpPr>
                        <wps:spPr bwMode="auto">
                          <a:xfrm>
                            <a:off x="10916" y="8429"/>
                            <a:ext cx="9" cy="1109"/>
                          </a:xfrm>
                          <a:custGeom>
                            <a:avLst/>
                            <a:gdLst>
                              <a:gd name="T0" fmla="+- 0 10921 10917"/>
                              <a:gd name="T1" fmla="*/ T0 w 9"/>
                              <a:gd name="T2" fmla="+- 0 8705 8429"/>
                              <a:gd name="T3" fmla="*/ 8705 h 1109"/>
                              <a:gd name="T4" fmla="+- 0 10917 10917"/>
                              <a:gd name="T5" fmla="*/ T4 w 9"/>
                              <a:gd name="T6" fmla="+- 0 8703 8429"/>
                              <a:gd name="T7" fmla="*/ 8703 h 1109"/>
                              <a:gd name="T8" fmla="+- 0 10917 10917"/>
                              <a:gd name="T9" fmla="*/ T8 w 9"/>
                              <a:gd name="T10" fmla="+- 0 8708 8429"/>
                              <a:gd name="T11" fmla="*/ 8708 h 1109"/>
                              <a:gd name="T12" fmla="+- 0 10921 10917"/>
                              <a:gd name="T13" fmla="*/ T12 w 9"/>
                              <a:gd name="T14" fmla="+- 0 8705 8429"/>
                              <a:gd name="T15" fmla="*/ 8705 h 1109"/>
                              <a:gd name="T16" fmla="+- 0 10922 10917"/>
                              <a:gd name="T17" fmla="*/ T16 w 9"/>
                              <a:gd name="T18" fmla="+- 0 8715 8429"/>
                              <a:gd name="T19" fmla="*/ 8715 h 1109"/>
                              <a:gd name="T20" fmla="+- 0 10917 10917"/>
                              <a:gd name="T21" fmla="*/ T20 w 9"/>
                              <a:gd name="T22" fmla="+- 0 8712 8429"/>
                              <a:gd name="T23" fmla="*/ 8712 h 1109"/>
                              <a:gd name="T24" fmla="+- 0 10917 10917"/>
                              <a:gd name="T25" fmla="*/ T24 w 9"/>
                              <a:gd name="T26" fmla="+- 0 8718 8429"/>
                              <a:gd name="T27" fmla="*/ 8718 h 1109"/>
                              <a:gd name="T28" fmla="+- 0 10922 10917"/>
                              <a:gd name="T29" fmla="*/ T28 w 9"/>
                              <a:gd name="T30" fmla="+- 0 8715 8429"/>
                              <a:gd name="T31" fmla="*/ 8715 h 1109"/>
                              <a:gd name="T32" fmla="+- 0 10925 10917"/>
                              <a:gd name="T33" fmla="*/ T32 w 9"/>
                              <a:gd name="T34" fmla="+- 0 9533 8429"/>
                              <a:gd name="T35" fmla="*/ 9533 h 1109"/>
                              <a:gd name="T36" fmla="+- 0 10922 10917"/>
                              <a:gd name="T37" fmla="*/ T36 w 9"/>
                              <a:gd name="T38" fmla="+- 0 9536 8429"/>
                              <a:gd name="T39" fmla="*/ 9536 h 1109"/>
                              <a:gd name="T40" fmla="+- 0 10925 10917"/>
                              <a:gd name="T41" fmla="*/ T40 w 9"/>
                              <a:gd name="T42" fmla="+- 0 9538 8429"/>
                              <a:gd name="T43" fmla="*/ 9538 h 1109"/>
                              <a:gd name="T44" fmla="+- 0 10925 10917"/>
                              <a:gd name="T45" fmla="*/ T44 w 9"/>
                              <a:gd name="T46" fmla="+- 0 9533 8429"/>
                              <a:gd name="T47" fmla="*/ 9533 h 1109"/>
                              <a:gd name="T48" fmla="+- 0 10925 10917"/>
                              <a:gd name="T49" fmla="*/ T48 w 9"/>
                              <a:gd name="T50" fmla="+- 0 9523 8429"/>
                              <a:gd name="T51" fmla="*/ 9523 h 1109"/>
                              <a:gd name="T52" fmla="+- 0 10922 10917"/>
                              <a:gd name="T53" fmla="*/ T52 w 9"/>
                              <a:gd name="T54" fmla="+- 0 9525 8429"/>
                              <a:gd name="T55" fmla="*/ 9525 h 1109"/>
                              <a:gd name="T56" fmla="+- 0 10925 10917"/>
                              <a:gd name="T57" fmla="*/ T56 w 9"/>
                              <a:gd name="T58" fmla="+- 0 9527 8429"/>
                              <a:gd name="T59" fmla="*/ 9527 h 1109"/>
                              <a:gd name="T60" fmla="+- 0 10925 10917"/>
                              <a:gd name="T61" fmla="*/ T60 w 9"/>
                              <a:gd name="T62" fmla="+- 0 9523 8429"/>
                              <a:gd name="T63" fmla="*/ 9523 h 1109"/>
                              <a:gd name="T64" fmla="+- 0 10925 10917"/>
                              <a:gd name="T65" fmla="*/ T64 w 9"/>
                              <a:gd name="T66" fmla="+- 0 9259 8429"/>
                              <a:gd name="T67" fmla="*/ 9259 h 1109"/>
                              <a:gd name="T68" fmla="+- 0 10921 10917"/>
                              <a:gd name="T69" fmla="*/ T68 w 9"/>
                              <a:gd name="T70" fmla="+- 0 9262 8429"/>
                              <a:gd name="T71" fmla="*/ 9262 h 1109"/>
                              <a:gd name="T72" fmla="+- 0 10925 10917"/>
                              <a:gd name="T73" fmla="*/ T72 w 9"/>
                              <a:gd name="T74" fmla="+- 0 9265 8429"/>
                              <a:gd name="T75" fmla="*/ 9265 h 1109"/>
                              <a:gd name="T76" fmla="+- 0 10925 10917"/>
                              <a:gd name="T77" fmla="*/ T76 w 9"/>
                              <a:gd name="T78" fmla="+- 0 9259 8429"/>
                              <a:gd name="T79" fmla="*/ 9259 h 1109"/>
                              <a:gd name="T80" fmla="+- 0 10925 10917"/>
                              <a:gd name="T81" fmla="*/ T80 w 9"/>
                              <a:gd name="T82" fmla="+- 0 9250 8429"/>
                              <a:gd name="T83" fmla="*/ 9250 h 1109"/>
                              <a:gd name="T84" fmla="+- 0 10922 10917"/>
                              <a:gd name="T85" fmla="*/ T84 w 9"/>
                              <a:gd name="T86" fmla="+- 0 9252 8429"/>
                              <a:gd name="T87" fmla="*/ 9252 h 1109"/>
                              <a:gd name="T88" fmla="+- 0 10925 10917"/>
                              <a:gd name="T89" fmla="*/ T88 w 9"/>
                              <a:gd name="T90" fmla="+- 0 9254 8429"/>
                              <a:gd name="T91" fmla="*/ 9254 h 1109"/>
                              <a:gd name="T92" fmla="+- 0 10925 10917"/>
                              <a:gd name="T93" fmla="*/ T92 w 9"/>
                              <a:gd name="T94" fmla="+- 0 9250 8429"/>
                              <a:gd name="T95" fmla="*/ 9250 h 1109"/>
                              <a:gd name="T96" fmla="+- 0 10925 10917"/>
                              <a:gd name="T97" fmla="*/ T96 w 9"/>
                              <a:gd name="T98" fmla="+- 0 8986 8429"/>
                              <a:gd name="T99" fmla="*/ 8986 h 1109"/>
                              <a:gd name="T100" fmla="+- 0 10921 10917"/>
                              <a:gd name="T101" fmla="*/ T100 w 9"/>
                              <a:gd name="T102" fmla="+- 0 8988 8429"/>
                              <a:gd name="T103" fmla="*/ 8988 h 1109"/>
                              <a:gd name="T104" fmla="+- 0 10925 10917"/>
                              <a:gd name="T105" fmla="*/ T104 w 9"/>
                              <a:gd name="T106" fmla="+- 0 8991 8429"/>
                              <a:gd name="T107" fmla="*/ 8991 h 1109"/>
                              <a:gd name="T108" fmla="+- 0 10925 10917"/>
                              <a:gd name="T109" fmla="*/ T108 w 9"/>
                              <a:gd name="T110" fmla="+- 0 8986 8429"/>
                              <a:gd name="T111" fmla="*/ 8986 h 1109"/>
                              <a:gd name="T112" fmla="+- 0 10925 10917"/>
                              <a:gd name="T113" fmla="*/ T112 w 9"/>
                              <a:gd name="T114" fmla="+- 0 8977 8429"/>
                              <a:gd name="T115" fmla="*/ 8977 h 1109"/>
                              <a:gd name="T116" fmla="+- 0 10922 10917"/>
                              <a:gd name="T117" fmla="*/ T116 w 9"/>
                              <a:gd name="T118" fmla="+- 0 8979 8429"/>
                              <a:gd name="T119" fmla="*/ 8979 h 1109"/>
                              <a:gd name="T120" fmla="+- 0 10925 10917"/>
                              <a:gd name="T121" fmla="*/ T120 w 9"/>
                              <a:gd name="T122" fmla="+- 0 8981 8429"/>
                              <a:gd name="T123" fmla="*/ 8981 h 1109"/>
                              <a:gd name="T124" fmla="+- 0 10925 10917"/>
                              <a:gd name="T125" fmla="*/ T124 w 9"/>
                              <a:gd name="T126" fmla="+- 0 8977 8429"/>
                              <a:gd name="T127" fmla="*/ 8977 h 1109"/>
                              <a:gd name="T128" fmla="+- 0 10925 10917"/>
                              <a:gd name="T129" fmla="*/ T128 w 9"/>
                              <a:gd name="T130" fmla="+- 0 8713 8429"/>
                              <a:gd name="T131" fmla="*/ 8713 h 1109"/>
                              <a:gd name="T132" fmla="+- 0 10922 10917"/>
                              <a:gd name="T133" fmla="*/ T132 w 9"/>
                              <a:gd name="T134" fmla="+- 0 8715 8429"/>
                              <a:gd name="T135" fmla="*/ 8715 h 1109"/>
                              <a:gd name="T136" fmla="+- 0 10925 10917"/>
                              <a:gd name="T137" fmla="*/ T136 w 9"/>
                              <a:gd name="T138" fmla="+- 0 8717 8429"/>
                              <a:gd name="T139" fmla="*/ 8717 h 1109"/>
                              <a:gd name="T140" fmla="+- 0 10925 10917"/>
                              <a:gd name="T141" fmla="*/ T140 w 9"/>
                              <a:gd name="T142" fmla="+- 0 8713 8429"/>
                              <a:gd name="T143" fmla="*/ 8713 h 1109"/>
                              <a:gd name="T144" fmla="+- 0 10925 10917"/>
                              <a:gd name="T145" fmla="*/ T144 w 9"/>
                              <a:gd name="T146" fmla="+- 0 8703 8429"/>
                              <a:gd name="T147" fmla="*/ 8703 h 1109"/>
                              <a:gd name="T148" fmla="+- 0 10921 10917"/>
                              <a:gd name="T149" fmla="*/ T148 w 9"/>
                              <a:gd name="T150" fmla="+- 0 8705 8429"/>
                              <a:gd name="T151" fmla="*/ 8705 h 1109"/>
                              <a:gd name="T152" fmla="+- 0 10925 10917"/>
                              <a:gd name="T153" fmla="*/ T152 w 9"/>
                              <a:gd name="T154" fmla="+- 0 8708 8429"/>
                              <a:gd name="T155" fmla="*/ 8708 h 1109"/>
                              <a:gd name="T156" fmla="+- 0 10925 10917"/>
                              <a:gd name="T157" fmla="*/ T156 w 9"/>
                              <a:gd name="T158" fmla="+- 0 8703 8429"/>
                              <a:gd name="T159" fmla="*/ 8703 h 1109"/>
                              <a:gd name="T160" fmla="+- 0 10925 10917"/>
                              <a:gd name="T161" fmla="*/ T160 w 9"/>
                              <a:gd name="T162" fmla="+- 0 8429 8429"/>
                              <a:gd name="T163" fmla="*/ 8429 h 1109"/>
                              <a:gd name="T164" fmla="+- 0 10922 10917"/>
                              <a:gd name="T165" fmla="*/ T164 w 9"/>
                              <a:gd name="T166" fmla="+- 0 8432 8429"/>
                              <a:gd name="T167" fmla="*/ 8432 h 1109"/>
                              <a:gd name="T168" fmla="+- 0 10925 10917"/>
                              <a:gd name="T169" fmla="*/ T168 w 9"/>
                              <a:gd name="T170" fmla="+- 0 8434 8429"/>
                              <a:gd name="T171" fmla="*/ 8434 h 1109"/>
                              <a:gd name="T172" fmla="+- 0 10925 10917"/>
                              <a:gd name="T173" fmla="*/ T172 w 9"/>
                              <a:gd name="T174" fmla="+- 0 8429 8429"/>
                              <a:gd name="T175" fmla="*/ 8429 h 1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 h="1109">
                                <a:moveTo>
                                  <a:pt x="4" y="276"/>
                                </a:moveTo>
                                <a:lnTo>
                                  <a:pt x="0" y="274"/>
                                </a:lnTo>
                                <a:lnTo>
                                  <a:pt x="0" y="279"/>
                                </a:lnTo>
                                <a:lnTo>
                                  <a:pt x="4" y="276"/>
                                </a:lnTo>
                                <a:moveTo>
                                  <a:pt x="5" y="286"/>
                                </a:moveTo>
                                <a:lnTo>
                                  <a:pt x="0" y="283"/>
                                </a:lnTo>
                                <a:lnTo>
                                  <a:pt x="0" y="289"/>
                                </a:lnTo>
                                <a:lnTo>
                                  <a:pt x="5" y="286"/>
                                </a:lnTo>
                                <a:moveTo>
                                  <a:pt x="8" y="1104"/>
                                </a:moveTo>
                                <a:lnTo>
                                  <a:pt x="5" y="1107"/>
                                </a:lnTo>
                                <a:lnTo>
                                  <a:pt x="8" y="1109"/>
                                </a:lnTo>
                                <a:lnTo>
                                  <a:pt x="8" y="1104"/>
                                </a:lnTo>
                                <a:moveTo>
                                  <a:pt x="8" y="1094"/>
                                </a:moveTo>
                                <a:lnTo>
                                  <a:pt x="5" y="1096"/>
                                </a:lnTo>
                                <a:lnTo>
                                  <a:pt x="8" y="1098"/>
                                </a:lnTo>
                                <a:lnTo>
                                  <a:pt x="8" y="1094"/>
                                </a:lnTo>
                                <a:moveTo>
                                  <a:pt x="8" y="830"/>
                                </a:moveTo>
                                <a:lnTo>
                                  <a:pt x="4" y="833"/>
                                </a:lnTo>
                                <a:lnTo>
                                  <a:pt x="8" y="836"/>
                                </a:lnTo>
                                <a:lnTo>
                                  <a:pt x="8" y="830"/>
                                </a:lnTo>
                                <a:moveTo>
                                  <a:pt x="8" y="821"/>
                                </a:moveTo>
                                <a:lnTo>
                                  <a:pt x="5" y="823"/>
                                </a:lnTo>
                                <a:lnTo>
                                  <a:pt x="8" y="825"/>
                                </a:lnTo>
                                <a:lnTo>
                                  <a:pt x="8" y="821"/>
                                </a:lnTo>
                                <a:moveTo>
                                  <a:pt x="8" y="557"/>
                                </a:moveTo>
                                <a:lnTo>
                                  <a:pt x="4" y="559"/>
                                </a:lnTo>
                                <a:lnTo>
                                  <a:pt x="8" y="562"/>
                                </a:lnTo>
                                <a:lnTo>
                                  <a:pt x="8" y="557"/>
                                </a:lnTo>
                                <a:moveTo>
                                  <a:pt x="8" y="548"/>
                                </a:moveTo>
                                <a:lnTo>
                                  <a:pt x="5" y="550"/>
                                </a:lnTo>
                                <a:lnTo>
                                  <a:pt x="8" y="552"/>
                                </a:lnTo>
                                <a:lnTo>
                                  <a:pt x="8" y="548"/>
                                </a:lnTo>
                                <a:moveTo>
                                  <a:pt x="8" y="284"/>
                                </a:moveTo>
                                <a:lnTo>
                                  <a:pt x="5" y="286"/>
                                </a:lnTo>
                                <a:lnTo>
                                  <a:pt x="8" y="288"/>
                                </a:lnTo>
                                <a:lnTo>
                                  <a:pt x="8" y="284"/>
                                </a:lnTo>
                                <a:moveTo>
                                  <a:pt x="8" y="274"/>
                                </a:moveTo>
                                <a:lnTo>
                                  <a:pt x="4" y="276"/>
                                </a:lnTo>
                                <a:lnTo>
                                  <a:pt x="8" y="279"/>
                                </a:lnTo>
                                <a:lnTo>
                                  <a:pt x="8" y="274"/>
                                </a:lnTo>
                                <a:moveTo>
                                  <a:pt x="8" y="0"/>
                                </a:moveTo>
                                <a:lnTo>
                                  <a:pt x="5" y="3"/>
                                </a:lnTo>
                                <a:lnTo>
                                  <a:pt x="8" y="5"/>
                                </a:lnTo>
                                <a:lnTo>
                                  <a:pt x="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Line 240"/>
                        <wps:cNvCnPr>
                          <a:cxnSpLocks noChangeShapeType="1"/>
                        </wps:cNvCnPr>
                        <wps:spPr bwMode="auto">
                          <a:xfrm>
                            <a:off x="11394" y="8023"/>
                            <a:ext cx="0" cy="1775"/>
                          </a:xfrm>
                          <a:prstGeom prst="line">
                            <a:avLst/>
                          </a:prstGeom>
                          <a:noFill/>
                          <a:ln w="556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2" name="AutoShape 239"/>
                        <wps:cNvSpPr>
                          <a:spLocks/>
                        </wps:cNvSpPr>
                        <wps:spPr bwMode="auto">
                          <a:xfrm>
                            <a:off x="11394" y="8156"/>
                            <a:ext cx="4" cy="1381"/>
                          </a:xfrm>
                          <a:custGeom>
                            <a:avLst/>
                            <a:gdLst>
                              <a:gd name="T0" fmla="+- 0 11398 11395"/>
                              <a:gd name="T1" fmla="*/ T0 w 4"/>
                              <a:gd name="T2" fmla="+- 0 9533 8157"/>
                              <a:gd name="T3" fmla="*/ 9533 h 1381"/>
                              <a:gd name="T4" fmla="+- 0 11395 11395"/>
                              <a:gd name="T5" fmla="*/ T4 w 4"/>
                              <a:gd name="T6" fmla="+- 0 9536 8157"/>
                              <a:gd name="T7" fmla="*/ 9536 h 1381"/>
                              <a:gd name="T8" fmla="+- 0 11398 11395"/>
                              <a:gd name="T9" fmla="*/ T8 w 4"/>
                              <a:gd name="T10" fmla="+- 0 9537 8157"/>
                              <a:gd name="T11" fmla="*/ 9537 h 1381"/>
                              <a:gd name="T12" fmla="+- 0 11398 11395"/>
                              <a:gd name="T13" fmla="*/ T12 w 4"/>
                              <a:gd name="T14" fmla="+- 0 9533 8157"/>
                              <a:gd name="T15" fmla="*/ 9533 h 1381"/>
                              <a:gd name="T16" fmla="+- 0 11398 11395"/>
                              <a:gd name="T17" fmla="*/ T16 w 4"/>
                              <a:gd name="T18" fmla="+- 0 9523 8157"/>
                              <a:gd name="T19" fmla="*/ 9523 h 1381"/>
                              <a:gd name="T20" fmla="+- 0 11395 11395"/>
                              <a:gd name="T21" fmla="*/ T20 w 4"/>
                              <a:gd name="T22" fmla="+- 0 9525 8157"/>
                              <a:gd name="T23" fmla="*/ 9525 h 1381"/>
                              <a:gd name="T24" fmla="+- 0 11398 11395"/>
                              <a:gd name="T25" fmla="*/ T24 w 4"/>
                              <a:gd name="T26" fmla="+- 0 9527 8157"/>
                              <a:gd name="T27" fmla="*/ 9527 h 1381"/>
                              <a:gd name="T28" fmla="+- 0 11398 11395"/>
                              <a:gd name="T29" fmla="*/ T28 w 4"/>
                              <a:gd name="T30" fmla="+- 0 9523 8157"/>
                              <a:gd name="T31" fmla="*/ 9523 h 1381"/>
                              <a:gd name="T32" fmla="+- 0 11398 11395"/>
                              <a:gd name="T33" fmla="*/ T32 w 4"/>
                              <a:gd name="T34" fmla="+- 0 9260 8157"/>
                              <a:gd name="T35" fmla="*/ 9260 h 1381"/>
                              <a:gd name="T36" fmla="+- 0 11395 11395"/>
                              <a:gd name="T37" fmla="*/ T36 w 4"/>
                              <a:gd name="T38" fmla="+- 0 9262 8157"/>
                              <a:gd name="T39" fmla="*/ 9262 h 1381"/>
                              <a:gd name="T40" fmla="+- 0 11398 11395"/>
                              <a:gd name="T41" fmla="*/ T40 w 4"/>
                              <a:gd name="T42" fmla="+- 0 9264 8157"/>
                              <a:gd name="T43" fmla="*/ 9264 h 1381"/>
                              <a:gd name="T44" fmla="+- 0 11398 11395"/>
                              <a:gd name="T45" fmla="*/ T44 w 4"/>
                              <a:gd name="T46" fmla="+- 0 9260 8157"/>
                              <a:gd name="T47" fmla="*/ 9260 h 1381"/>
                              <a:gd name="T48" fmla="+- 0 11398 11395"/>
                              <a:gd name="T49" fmla="*/ T48 w 4"/>
                              <a:gd name="T50" fmla="+- 0 9250 8157"/>
                              <a:gd name="T51" fmla="*/ 9250 h 1381"/>
                              <a:gd name="T52" fmla="+- 0 11395 11395"/>
                              <a:gd name="T53" fmla="*/ T52 w 4"/>
                              <a:gd name="T54" fmla="+- 0 9252 8157"/>
                              <a:gd name="T55" fmla="*/ 9252 h 1381"/>
                              <a:gd name="T56" fmla="+- 0 11398 11395"/>
                              <a:gd name="T57" fmla="*/ T56 w 4"/>
                              <a:gd name="T58" fmla="+- 0 9254 8157"/>
                              <a:gd name="T59" fmla="*/ 9254 h 1381"/>
                              <a:gd name="T60" fmla="+- 0 11398 11395"/>
                              <a:gd name="T61" fmla="*/ T60 w 4"/>
                              <a:gd name="T62" fmla="+- 0 9250 8157"/>
                              <a:gd name="T63" fmla="*/ 9250 h 1381"/>
                              <a:gd name="T64" fmla="+- 0 11398 11395"/>
                              <a:gd name="T65" fmla="*/ T64 w 4"/>
                              <a:gd name="T66" fmla="+- 0 8986 8157"/>
                              <a:gd name="T67" fmla="*/ 8986 h 1381"/>
                              <a:gd name="T68" fmla="+- 0 11395 11395"/>
                              <a:gd name="T69" fmla="*/ T68 w 4"/>
                              <a:gd name="T70" fmla="+- 0 8988 8157"/>
                              <a:gd name="T71" fmla="*/ 8988 h 1381"/>
                              <a:gd name="T72" fmla="+- 0 11398 11395"/>
                              <a:gd name="T73" fmla="*/ T72 w 4"/>
                              <a:gd name="T74" fmla="+- 0 8990 8157"/>
                              <a:gd name="T75" fmla="*/ 8990 h 1381"/>
                              <a:gd name="T76" fmla="+- 0 11398 11395"/>
                              <a:gd name="T77" fmla="*/ T76 w 4"/>
                              <a:gd name="T78" fmla="+- 0 8986 8157"/>
                              <a:gd name="T79" fmla="*/ 8986 h 1381"/>
                              <a:gd name="T80" fmla="+- 0 11398 11395"/>
                              <a:gd name="T81" fmla="*/ T80 w 4"/>
                              <a:gd name="T82" fmla="+- 0 8977 8157"/>
                              <a:gd name="T83" fmla="*/ 8977 h 1381"/>
                              <a:gd name="T84" fmla="+- 0 11395 11395"/>
                              <a:gd name="T85" fmla="*/ T84 w 4"/>
                              <a:gd name="T86" fmla="+- 0 8979 8157"/>
                              <a:gd name="T87" fmla="*/ 8979 h 1381"/>
                              <a:gd name="T88" fmla="+- 0 11398 11395"/>
                              <a:gd name="T89" fmla="*/ T88 w 4"/>
                              <a:gd name="T90" fmla="+- 0 8981 8157"/>
                              <a:gd name="T91" fmla="*/ 8981 h 1381"/>
                              <a:gd name="T92" fmla="+- 0 11398 11395"/>
                              <a:gd name="T93" fmla="*/ T92 w 4"/>
                              <a:gd name="T94" fmla="+- 0 8977 8157"/>
                              <a:gd name="T95" fmla="*/ 8977 h 1381"/>
                              <a:gd name="T96" fmla="+- 0 11398 11395"/>
                              <a:gd name="T97" fmla="*/ T96 w 4"/>
                              <a:gd name="T98" fmla="+- 0 8713 8157"/>
                              <a:gd name="T99" fmla="*/ 8713 h 1381"/>
                              <a:gd name="T100" fmla="+- 0 11395 11395"/>
                              <a:gd name="T101" fmla="*/ T100 w 4"/>
                              <a:gd name="T102" fmla="+- 0 8715 8157"/>
                              <a:gd name="T103" fmla="*/ 8715 h 1381"/>
                              <a:gd name="T104" fmla="+- 0 11398 11395"/>
                              <a:gd name="T105" fmla="*/ T104 w 4"/>
                              <a:gd name="T106" fmla="+- 0 8717 8157"/>
                              <a:gd name="T107" fmla="*/ 8717 h 1381"/>
                              <a:gd name="T108" fmla="+- 0 11398 11395"/>
                              <a:gd name="T109" fmla="*/ T108 w 4"/>
                              <a:gd name="T110" fmla="+- 0 8713 8157"/>
                              <a:gd name="T111" fmla="*/ 8713 h 1381"/>
                              <a:gd name="T112" fmla="+- 0 11398 11395"/>
                              <a:gd name="T113" fmla="*/ T112 w 4"/>
                              <a:gd name="T114" fmla="+- 0 8704 8157"/>
                              <a:gd name="T115" fmla="*/ 8704 h 1381"/>
                              <a:gd name="T116" fmla="+- 0 11395 11395"/>
                              <a:gd name="T117" fmla="*/ T116 w 4"/>
                              <a:gd name="T118" fmla="+- 0 8705 8157"/>
                              <a:gd name="T119" fmla="*/ 8705 h 1381"/>
                              <a:gd name="T120" fmla="+- 0 11398 11395"/>
                              <a:gd name="T121" fmla="*/ T120 w 4"/>
                              <a:gd name="T122" fmla="+- 0 8707 8157"/>
                              <a:gd name="T123" fmla="*/ 8707 h 1381"/>
                              <a:gd name="T124" fmla="+- 0 11398 11395"/>
                              <a:gd name="T125" fmla="*/ T124 w 4"/>
                              <a:gd name="T126" fmla="+- 0 8704 8157"/>
                              <a:gd name="T127" fmla="*/ 8704 h 1381"/>
                              <a:gd name="T128" fmla="+- 0 11398 11395"/>
                              <a:gd name="T129" fmla="*/ T128 w 4"/>
                              <a:gd name="T130" fmla="+- 0 8440 8157"/>
                              <a:gd name="T131" fmla="*/ 8440 h 1381"/>
                              <a:gd name="T132" fmla="+- 0 11395 11395"/>
                              <a:gd name="T133" fmla="*/ T132 w 4"/>
                              <a:gd name="T134" fmla="+- 0 8442 8157"/>
                              <a:gd name="T135" fmla="*/ 8442 h 1381"/>
                              <a:gd name="T136" fmla="+- 0 11398 11395"/>
                              <a:gd name="T137" fmla="*/ T136 w 4"/>
                              <a:gd name="T138" fmla="+- 0 8444 8157"/>
                              <a:gd name="T139" fmla="*/ 8444 h 1381"/>
                              <a:gd name="T140" fmla="+- 0 11398 11395"/>
                              <a:gd name="T141" fmla="*/ T140 w 4"/>
                              <a:gd name="T142" fmla="+- 0 8440 8157"/>
                              <a:gd name="T143" fmla="*/ 8440 h 1381"/>
                              <a:gd name="T144" fmla="+- 0 11398 11395"/>
                              <a:gd name="T145" fmla="*/ T144 w 4"/>
                              <a:gd name="T146" fmla="+- 0 8430 8157"/>
                              <a:gd name="T147" fmla="*/ 8430 h 1381"/>
                              <a:gd name="T148" fmla="+- 0 11395 11395"/>
                              <a:gd name="T149" fmla="*/ T148 w 4"/>
                              <a:gd name="T150" fmla="+- 0 8432 8157"/>
                              <a:gd name="T151" fmla="*/ 8432 h 1381"/>
                              <a:gd name="T152" fmla="+- 0 11398 11395"/>
                              <a:gd name="T153" fmla="*/ T152 w 4"/>
                              <a:gd name="T154" fmla="+- 0 8434 8157"/>
                              <a:gd name="T155" fmla="*/ 8434 h 1381"/>
                              <a:gd name="T156" fmla="+- 0 11398 11395"/>
                              <a:gd name="T157" fmla="*/ T156 w 4"/>
                              <a:gd name="T158" fmla="+- 0 8430 8157"/>
                              <a:gd name="T159" fmla="*/ 8430 h 1381"/>
                              <a:gd name="T160" fmla="+- 0 11398 11395"/>
                              <a:gd name="T161" fmla="*/ T160 w 4"/>
                              <a:gd name="T162" fmla="+- 0 8166 8157"/>
                              <a:gd name="T163" fmla="*/ 8166 h 1381"/>
                              <a:gd name="T164" fmla="+- 0 11395 11395"/>
                              <a:gd name="T165" fmla="*/ T164 w 4"/>
                              <a:gd name="T166" fmla="+- 0 8169 8157"/>
                              <a:gd name="T167" fmla="*/ 8169 h 1381"/>
                              <a:gd name="T168" fmla="+- 0 11398 11395"/>
                              <a:gd name="T169" fmla="*/ T168 w 4"/>
                              <a:gd name="T170" fmla="+- 0 8170 8157"/>
                              <a:gd name="T171" fmla="*/ 8170 h 1381"/>
                              <a:gd name="T172" fmla="+- 0 11398 11395"/>
                              <a:gd name="T173" fmla="*/ T172 w 4"/>
                              <a:gd name="T174" fmla="+- 0 8166 8157"/>
                              <a:gd name="T175" fmla="*/ 8166 h 1381"/>
                              <a:gd name="T176" fmla="+- 0 11398 11395"/>
                              <a:gd name="T177" fmla="*/ T176 w 4"/>
                              <a:gd name="T178" fmla="+- 0 8157 8157"/>
                              <a:gd name="T179" fmla="*/ 8157 h 1381"/>
                              <a:gd name="T180" fmla="+- 0 11395 11395"/>
                              <a:gd name="T181" fmla="*/ T180 w 4"/>
                              <a:gd name="T182" fmla="+- 0 8158 8157"/>
                              <a:gd name="T183" fmla="*/ 8158 h 1381"/>
                              <a:gd name="T184" fmla="+- 0 11398 11395"/>
                              <a:gd name="T185" fmla="*/ T184 w 4"/>
                              <a:gd name="T186" fmla="+- 0 8161 8157"/>
                              <a:gd name="T187" fmla="*/ 8161 h 1381"/>
                              <a:gd name="T188" fmla="+- 0 11398 11395"/>
                              <a:gd name="T189" fmla="*/ T188 w 4"/>
                              <a:gd name="T190" fmla="+- 0 8157 8157"/>
                              <a:gd name="T191" fmla="*/ 8157 h 1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 h="1381">
                                <a:moveTo>
                                  <a:pt x="3" y="1376"/>
                                </a:moveTo>
                                <a:lnTo>
                                  <a:pt x="0" y="1379"/>
                                </a:lnTo>
                                <a:lnTo>
                                  <a:pt x="3" y="1380"/>
                                </a:lnTo>
                                <a:lnTo>
                                  <a:pt x="3" y="1376"/>
                                </a:lnTo>
                                <a:moveTo>
                                  <a:pt x="3" y="1366"/>
                                </a:moveTo>
                                <a:lnTo>
                                  <a:pt x="0" y="1368"/>
                                </a:lnTo>
                                <a:lnTo>
                                  <a:pt x="3" y="1370"/>
                                </a:lnTo>
                                <a:lnTo>
                                  <a:pt x="3" y="1366"/>
                                </a:lnTo>
                                <a:moveTo>
                                  <a:pt x="3" y="1103"/>
                                </a:moveTo>
                                <a:lnTo>
                                  <a:pt x="0" y="1105"/>
                                </a:lnTo>
                                <a:lnTo>
                                  <a:pt x="3" y="1107"/>
                                </a:lnTo>
                                <a:lnTo>
                                  <a:pt x="3" y="1103"/>
                                </a:lnTo>
                                <a:moveTo>
                                  <a:pt x="3" y="1093"/>
                                </a:moveTo>
                                <a:lnTo>
                                  <a:pt x="0" y="1095"/>
                                </a:lnTo>
                                <a:lnTo>
                                  <a:pt x="3" y="1097"/>
                                </a:lnTo>
                                <a:lnTo>
                                  <a:pt x="3" y="1093"/>
                                </a:lnTo>
                                <a:moveTo>
                                  <a:pt x="3" y="829"/>
                                </a:moveTo>
                                <a:lnTo>
                                  <a:pt x="0" y="831"/>
                                </a:lnTo>
                                <a:lnTo>
                                  <a:pt x="3" y="833"/>
                                </a:lnTo>
                                <a:lnTo>
                                  <a:pt x="3" y="829"/>
                                </a:lnTo>
                                <a:moveTo>
                                  <a:pt x="3" y="820"/>
                                </a:moveTo>
                                <a:lnTo>
                                  <a:pt x="0" y="822"/>
                                </a:lnTo>
                                <a:lnTo>
                                  <a:pt x="3" y="824"/>
                                </a:lnTo>
                                <a:lnTo>
                                  <a:pt x="3" y="820"/>
                                </a:lnTo>
                                <a:moveTo>
                                  <a:pt x="3" y="556"/>
                                </a:moveTo>
                                <a:lnTo>
                                  <a:pt x="0" y="558"/>
                                </a:lnTo>
                                <a:lnTo>
                                  <a:pt x="3" y="560"/>
                                </a:lnTo>
                                <a:lnTo>
                                  <a:pt x="3" y="556"/>
                                </a:lnTo>
                                <a:moveTo>
                                  <a:pt x="3" y="547"/>
                                </a:moveTo>
                                <a:lnTo>
                                  <a:pt x="0" y="548"/>
                                </a:lnTo>
                                <a:lnTo>
                                  <a:pt x="3" y="550"/>
                                </a:lnTo>
                                <a:lnTo>
                                  <a:pt x="3" y="547"/>
                                </a:lnTo>
                                <a:moveTo>
                                  <a:pt x="3" y="283"/>
                                </a:moveTo>
                                <a:lnTo>
                                  <a:pt x="0" y="285"/>
                                </a:lnTo>
                                <a:lnTo>
                                  <a:pt x="3" y="287"/>
                                </a:lnTo>
                                <a:lnTo>
                                  <a:pt x="3" y="283"/>
                                </a:lnTo>
                                <a:moveTo>
                                  <a:pt x="3" y="273"/>
                                </a:moveTo>
                                <a:lnTo>
                                  <a:pt x="0" y="275"/>
                                </a:lnTo>
                                <a:lnTo>
                                  <a:pt x="3" y="277"/>
                                </a:lnTo>
                                <a:lnTo>
                                  <a:pt x="3" y="273"/>
                                </a:lnTo>
                                <a:moveTo>
                                  <a:pt x="3" y="9"/>
                                </a:moveTo>
                                <a:lnTo>
                                  <a:pt x="0" y="12"/>
                                </a:lnTo>
                                <a:lnTo>
                                  <a:pt x="3" y="13"/>
                                </a:lnTo>
                                <a:lnTo>
                                  <a:pt x="3" y="9"/>
                                </a:lnTo>
                                <a:moveTo>
                                  <a:pt x="3" y="0"/>
                                </a:moveTo>
                                <a:lnTo>
                                  <a:pt x="0" y="1"/>
                                </a:lnTo>
                                <a:lnTo>
                                  <a:pt x="3" y="4"/>
                                </a:lnTo>
                                <a:lnTo>
                                  <a:pt x="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4D866" id="Group 238" o:spid="_x0000_s1026" style="position:absolute;margin-left:14.2pt;margin-top:0;width:581.15pt;height:489.95pt;z-index:-261218304;mso-position-horizontal-relative:page;mso-position-vertical-relative:page" coordorigin="284" coordsize="11623,97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UAFFFFABRRRQAUUUUAFFFFABRRRQ&#10;AUUUVY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">
                <v:shape id="Picture 258" o:spid="_x0000_s1027" type="#_x0000_t75" style="position:absolute;left:283;top:1360;width:11338;height:8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">
                  <v:imagedata r:id="rId159" o:title=""/>
                </v:shape>
                <v:rect id="Rectangle 257" o:spid="_x0000_s1028" style="position:absolute;left:2552;top:-1;width:2551;height:2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" fillcolor="#0d213e" stroked="f"/>
                <v:shape id="Picture 256" o:spid="_x0000_s1029" type="#_x0000_t75" style="position:absolute;left:3893;top:1578;width:115;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">
                  <v:imagedata r:id="rId160" o:title=""/>
                </v:shape>
                <v:shape id="Picture 255" o:spid="_x0000_s1030" type="#_x0000_t75" style="position:absolute;left:4053;top:1580;width:108;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">
                  <v:imagedata r:id="rId161" o:title=""/>
                </v:shape>
                <v:shape id="Picture 254" o:spid="_x0000_s1031" type="#_x0000_t75" style="position:absolute;left:4192;top:1578;width:123;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">
                  <v:imagedata r:id="rId162" o:title=""/>
                </v:shape>
                <v:shape id="Picture 253" o:spid="_x0000_s1032" type="#_x0000_t75" style="position:absolute;left:4349;top:1580;width:109;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">
                  <v:imagedata r:id="rId163" o:title=""/>
                </v:shape>
                <v:shape id="Picture 252" o:spid="_x0000_s1033" type="#_x0000_t75" style="position:absolute;left:4499;top:1580;width:106;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">
                  <v:imagedata r:id="rId164" o:title=""/>
                </v:shape>
                <v:shape id="AutoShape 251" o:spid="_x0000_s1034" style="position:absolute;left:3292;top:847;width:1501;height:676;visibility:visible;mso-wrap-style:square;v-text-anchor:top" coordsize="150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" path="m1039,355r-2,-11l1036,339r-1,-5l1031,325r-8,-8l1013,310r-13,1l986,315r-61,13l858,336r-57,3l772,336r-1,l768,333r9,-85l797,175,835,79r4,-9l842,60r1,-10l841,38,834,24,825,14,811,6,790,,762,1,746,16r-7,24l741,66r-7,32l716,160r-20,83l686,336r-18,1l641,339r-27,7l599,361r,3l600,383r14,21l638,422r32,16l678,441r-7,25l669,471r-37,45l566,556r-73,29l438,597r-48,-6l372,573r,-19l382,544r13,-4l407,537r50,-17l514,486r19,-23l537,459r21,-26l570,361r2,-6l550,306,509,284r-11,-1l498,381r-3,18l482,418r-19,17l443,448r-18,8l409,459r-14,-2l384,450r-5,-14l379,425r3,-9l387,406r7,-8l405,387r10,-10l427,369r14,-5l468,361r20,7l498,381r,-98l464,281r-34,9l353,344r-45,57l285,445r-13,18l269,448r-5,-36l263,408,249,371,215,337r-17,-5l198,471r-3,40l177,548r-30,18l115,568,90,554,79,528r,-30l88,468r13,-26l117,423r16,-11l148,408r18,2l184,421r11,20l198,469r,2l198,332r-23,-6l135,329,98,341,70,357,40,387,18,420,5,457r,1l,501r14,70l53,618r52,22l156,639r45,-21l232,592r18,-24l253,564r13,-24l269,547r1,34l281,624r32,33l381,675r67,-6l516,645r69,-36l607,597r49,-28l669,564r11,1l690,572r7,12l701,594r4,10l710,614r6,9l722,633r8,1l739,633r10,-6l764,614r14,-16l784,582r-1,-12l782,564r-1,-7l778,544r-2,-12l774,526r-4,-13l767,499r-3,-8l763,480r,-11l767,458r6,-8l799,440r45,-12l889,416r28,-8l944,401r12,4l959,416r,2l958,434r-4,30l947,515r-7,50l937,591r,1l946,606r17,8l980,619r7,1l1003,620r14,-4l1026,609r5,-11l1034,553r3,-80l1038,401r,-14l1039,355t461,131l1490,451r-25,-15l1455,442r-4,15l1451,476r-3,20l1429,515r-44,25l1326,564r-65,14l1204,576r-41,-16l1138,534r-9,-33l1133,465r17,-33l1178,403r37,-21l1221,379r9,-3l1235,379r11,4l1256,391r10,6l1273,401r8,5l1288,405r13,-7l1307,380r,-4l1308,355r-7,-29l1288,301r-17,-16l1250,280r-25,3l1216,286r-15,7l1182,306r-26,20l1128,353r-27,31l1079,419r-15,40l1058,502r7,43l1086,584r36,35l1155,636r50,11l1267,649r72,-13l1415,603r33,-25l1492,545r8,-22l1500,486e" stroked="f">
                  <v:path arrowok="t" o:connecttype="custom" o:connectlocs="1031,1173;925,1176;768,1181;842,908;811,854;741,914;668,1185;600,1231;671,1314;438,1445;395,1388;537,1307;509,1132;463,1283;384,1298;394,1246;468,1209;430,1138;269,1296;198,1180;115,1416;101,1290;184,1269;175,1174;18,1268;53,1466;250,1416;281,1472;585,1457;690,1420;716,1471;764,1462;781,1405;767,1347;773,1298;944,1249;954,1312;946,1454;1017,1464;1038,1249;1465,1284;1429,1363;1163,1408;1178,1251;1246,1231;1288,1253;1301,1174;1216,1134;1101,1232;1086,1432;1339,1484;1500,1334" o:connectangles="0,0,0,0,0,0,0,0,0,0,0,0,0,0,0,0,0,0,0,0,0,0,0,0,0,0,0,0,0,0,0,0,0,0,0,0,0,0,0,0,0,0,0,0,0,0,0,0,0,0,0,0"/>
                </v:shape>
                <v:shape id="Picture 250" o:spid="_x0000_s1035" type="#_x0000_t75" style="position:absolute;left:4248;top:949;width:107;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">
                  <v:imagedata r:id="rId165" o:title=""/>
                </v:shape>
                <v:shape id="AutoShape 249" o:spid="_x0000_s1036" style="position:absolute;left:2863;top:798;width:9043;height:8869;visibility:visible;mso-wrap-style:square;v-text-anchor:top" coordsize="9043,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" path="m611,48l609,33r-7,-8l582,8,559,,537,,515,5,491,18,472,34,458,52,447,72r-19,46l404,187r-28,86l346,376,315,490,291,448r-3,-4l248,381,202,321,158,283r-14,-4l130,282r-13,12l105,316,93,350,73,418,49,507,26,607,8,709,,801r6,73l31,917r20,7l75,918,95,897r12,-40l112,798r7,-85l129,619r12,-86l156,470r17,-22l189,474r19,59l231,611r29,81l296,762r43,43l356,812r13,3l378,814r8,-1l400,807r11,-8l418,787r2,-17l402,718r-8,-67l394,574r8,-84l417,404r21,-84l463,241r31,-68l527,120,563,84r11,-6l587,71r11,-7l606,56r5,-8m8053,8723r-45,-26l8003,8705r46,26l8003,8758r5,7l8053,8739r,-5l8053,8729r,-6m8053,8450r-45,-26l8003,8432r46,26l8003,8485r5,6l8053,8465r,-5l8053,8456r,-6m8053,8187r-4,-2l8003,8211r5,7l8053,8192r,-5m8053,8177r-45,-26l8003,8159r46,26l8053,8183r,-6m8053,7904r-45,-26l8003,7885r46,26l8003,7937r5,8l8053,7919r,-6l8053,7909r,-5m8053,7630r-45,-26l8003,7611r46,27l8003,7664r5,8l8053,7646r,-6l8053,7636r,-6m8053,7356r-45,-25l8003,7338r50,29l8053,7356t236,1504l8066,8731r-5,3l8061,8739r224,129l8289,8866r,-6m8289,8050r-3,-2l8061,8178r,4l8061,8187r,5l8285,8321r-224,130l8061,8455r,5l8061,8466r224,129l8061,8724r,4l8066,8731r223,-128l8289,8597r,-5l8289,8587,8065,8458r224,-130l8289,8324r,-5l8289,8314,8066,8184r223,-129l8289,8050t,-284l8066,7638r-5,3l8061,7645r224,129l8061,7904r,5l8061,7914r,4l8286,8048r3,-2l8289,8041,8066,7911r223,-129l8289,7777r,-5l8289,7766t,-273l8061,7362r,10l8285,7501r-224,129l8061,7635r5,3l8289,7509r,-6l8289,7499r,-6m8296,7224l8008,7057r-5,8l8289,7230r,-6l8296,7224t229,132l8298,7225r,10l8522,7365r-224,129l8298,7498r,6l8298,7509r224,129l8298,7767r,5l8298,7777r,5l8523,7911r-225,130l8298,8046r,4l8298,8055r225,129l8298,8314r,5l8298,8323r,6l8522,8458r-224,129l8298,8592r,6l8298,8602r224,129l8298,8861r,4l8303,8868r222,-129l8525,8733r,-4l8525,8723,8303,8595r222,-129l8525,8460r,-4l8525,8450,8302,8321r223,-129l8525,8186r,-3l8525,8177,8302,8048r223,-129l8525,7913r,-3l8525,7903,8303,7774r222,-128l8525,7640r,-4l8525,7630,8303,7501r222,-128l8525,7367r,-4l8525,7356t237,1241l8758,8595r-224,129l8534,8728r,6l8534,8738r224,130l8762,8866r,-6l8539,8731r223,-128l8762,8597t,-274l8759,8321r-225,130l8534,8455r,6l8534,8465r224,130l8762,8592r,-5l8539,8458r223,-128l8762,8323t,-273l8759,8048r-225,130l8534,8182r,5l8534,8191r225,130l8762,8319r,-5l8539,8184r223,-129l8762,8050t,-273l8759,7775r-225,130l8534,7908r,6l8534,7918r225,130l8762,8046r,-6l8539,7911r223,-129l8762,7777t,-274l8758,7501r-224,130l8534,7635r,6l8534,7645r225,130l8762,7773r,-7l8539,7638r223,-129l8762,7503t,-273l8758,7228r-224,130l8534,7362r,5l8534,7371r224,130l8762,7499r,-6l8539,7365r223,-129l8762,7230t5,-7l8008,6784r-5,8l8758,7228r4,-2l8762,7224r3,l8767,7223t245,-132l9004,7086,8008,6511r-5,8l8995,7091r9,6l9012,7091t30,-255l8008,6238r-5,8l9042,6846r,-10m9042,6562l8008,5965r-5,6l9042,6572r,-10m9042,6289l8481,5965r-16,l9042,6298r,-9e" stroked="f">
                  <v:path arrowok="t" o:connecttype="custom" o:connectlocs="537,799;428,917;288,1243;117,1093;8,1508;95,1696;156,1269;296,1561;400,1606;394,1373;527,919;611,847;8008,9564;8008,9223;8053,9259;8008,9017;8049,8984;8049,8710;8053,8703;8008,8471;8008,8130;8061,9533;8286,8847;8061,9250;8061,9527;8065,9257;8289,8854;8285,8573;8289,8845;8289,8565;8061,8434;8296,8023;8525,8155;8298,8303;8298,8581;8523,8983;8298,9386;8298,9664;8303,9394;8525,8991;8525,8712;8525,8435;8525,8155;8534,9537;8762,9396;8534,9264;8762,9122;8534,8990;8762,8849;8534,8717;8762,8576;8534,8444;8762,8302;8534,8170;8762,8029;8762,8023;8003,7318;8003,7045;9042,7371;9042,7088" o:connectangles="0,0,0,0,0,0,0,0,0,0,0,0,0,0,0,0,0,0,0,0,0,0,0,0,0,0,0,0,0,0,0,0,0,0,0,0,0,0,0,0,0,0,0,0,0,0,0,0,0,0,0,0,0,0,0,0,0,0,0,0"/>
                </v:shape>
                <v:line id="Line 248" o:spid="_x0000_s1037" style="position:absolute;visibility:visible;mso-wrap-style:square" from="11158,9113" to="11158,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" strokecolor="white" strokeweight=".15461mm"/>
                <v:line id="Line 247" o:spid="_x0000_s1038" style="position:absolute;visibility:visible;mso-wrap-style:square" from="11156,8302" to="11156,9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" strokecolor="white" strokeweight=".07047mm"/>
                <v:line id="Line 246" o:spid="_x0000_s1039" style="position:absolute;visibility:visible;mso-wrap-style:square" from="11158,8023" to="11158,8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" strokecolor="white" strokeweight=".15461mm"/>
                <v:shape id="AutoShape 245" o:spid="_x0000_s1040" style="position:absolute;left:11153;top:8023;width:482;height:1379;visibility:visible;mso-wrap-style:square;v-text-anchor:top" coordsize="482,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" path="m5,272l,269r,6l5,272m9,1374r-4,2l9,1378r,-4m9,1363r-4,3l9,1368r,-5m9,1095r-4,-3l,1095r,5l4,1102r5,-3l9,1095m9,817r-4,2l,822r,4l5,829r4,2l9,826r,-4l9,817m9,543r-4,2l,548r,5l5,556r4,2l9,553r,-5l9,543m9,280r-4,2l9,285r,-5m9,270r-4,2l9,274r,-4m9,l7,,9,1,9,m482,1l480,r-4,l473,r,2l473,6r5,3l482,7r,-6e" stroked="f">
                  <v:path arrowok="t" o:connecttype="custom" o:connectlocs="5,8295;0,8292;0,8298;5,8295;9,9397;5,9399;9,9401;9,9397;9,9386;5,9389;9,9391;9,9386;9,9118;5,9115;0,9118;0,9123;4,9125;9,9122;9,9118;9,8840;5,8842;0,8845;0,8849;5,8852;9,8854;9,8849;9,8845;9,8840;9,8566;5,8568;0,8571;0,8576;5,8579;9,8581;9,8576;9,8571;9,8566;9,8303;5,8305;9,8308;9,8303;9,8293;5,8295;9,8297;9,8293;9,8023;7,8023;9,8024;9,8023;482,8024;480,8023;476,8023;473,8023;473,8025;473,8029;478,8032;482,8030;482,8024" o:connectangles="0,0,0,0,0,0,0,0,0,0,0,0,0,0,0,0,0,0,0,0,0,0,0,0,0,0,0,0,0,0,0,0,0,0,0,0,0,0,0,0,0,0,0,0,0,0,0,0,0,0,0,0,0,0,0,0,0,0"/>
                </v:shape>
                <v:line id="Line 244" o:spid="_x0000_s1041" style="position:absolute;visibility:visible;mso-wrap-style:square" from="10921,8023" to="10921,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" strokecolor="white" strokeweight=".16356mm"/>
                <v:line id="Line 243" o:spid="_x0000_s1042" style="position:absolute;visibility:visible;mso-wrap-style:square" from="10926,8434" to="10926,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" strokecolor="white" strokeweight=".14806mm"/>
                <v:line id="Line 242" o:spid="_x0000_s1043" style="position:absolute;visibility:visible;mso-wrap-style:square" from="10919,8976" to="10919,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" strokecolor="white" strokeweight=".09914mm"/>
                <v:shape id="AutoShape 241" o:spid="_x0000_s1044" style="position:absolute;left:10916;top:8429;width:9;height:1109;visibility:visible;mso-wrap-style:square;v-text-anchor:top" coordsize="9,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" path="m4,276l,274r,5l4,276t1,10l,283r,6l5,286t3,818l5,1107r3,2l8,1104t,-10l5,1096r3,2l8,1094m8,830r-4,3l8,836r,-6m8,821r-3,2l8,825r,-4m8,557r-4,2l8,562r,-5m8,548r-3,2l8,552r,-4m8,284r-3,2l8,288r,-4m8,274r-4,2l8,279r,-5m8,l5,3,8,5,8,e" stroked="f">
                  <v:path arrowok="t" o:connecttype="custom" o:connectlocs="4,8705;0,8703;0,8708;4,8705;5,8715;0,8712;0,8718;5,8715;8,9533;5,9536;8,9538;8,9533;8,9523;5,9525;8,9527;8,9523;8,9259;4,9262;8,9265;8,9259;8,9250;5,9252;8,9254;8,9250;8,8986;4,8988;8,8991;8,8986;8,8977;5,8979;8,8981;8,8977;8,8713;5,8715;8,8717;8,8713;8,8703;4,8705;8,8708;8,8703;8,8429;5,8432;8,8434;8,8429" o:connectangles="0,0,0,0,0,0,0,0,0,0,0,0,0,0,0,0,0,0,0,0,0,0,0,0,0,0,0,0,0,0,0,0,0,0,0,0,0,0,0,0,0,0,0,0"/>
                </v:shape>
                <v:line id="Line 240" o:spid="_x0000_s1045" style="position:absolute;visibility:visible;mso-wrap-style:square" from="11394,8023" to="11394,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" strokecolor="white" strokeweight=".15461mm"/>
                <v:shape id="AutoShape 239" o:spid="_x0000_s1046" style="position:absolute;left:11394;top:8156;width:4;height:1381;visibility:visible;mso-wrap-style:square;v-text-anchor:top" coordsize="4,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" path="m3,1376r-3,3l3,1380r,-4m3,1366r-3,2l3,1370r,-4m3,1103r-3,2l3,1107r,-4m3,1093r-3,2l3,1097r,-4m3,829l,831r3,2l3,829t,-9l,822r3,2l3,820m3,556l,558r3,2l3,556t,-9l,548r3,2l3,547m3,283l,285r3,2l3,283t,-10l,275r3,2l3,273m3,9l,12r3,1l3,9m3,l,1,3,4,3,e" stroked="f">
                  <v:path arrowok="t" o:connecttype="custom" o:connectlocs="3,9533;0,9536;3,9537;3,9533;3,9523;0,9525;3,9527;3,9523;3,9260;0,9262;3,9264;3,9260;3,9250;0,9252;3,9254;3,9250;3,8986;0,8988;3,8990;3,8986;3,8977;0,8979;3,8981;3,8977;3,8713;0,8715;3,8717;3,8713;3,8704;0,8705;3,8707;3,8704;3,8440;0,8442;3,8444;3,8440;3,8430;0,8432;3,8434;3,8430;3,8166;0,8169;3,8170;3,8166;3,8157;0,8158;3,8161;3,8157" o:connectangles="0,0,0,0,0,0,0,0,0,0,0,0,0,0,0,0,0,0,0,0,0,0,0,0,0,0,0,0,0,0,0,0,0,0,0,0,0,0,0,0,0,0,0,0,0,0,0,0"/>
                </v:shape>
                <w10:wrap anchorx="page" anchory="page"/>
              </v:group>
            </w:pict>
          </mc:Fallback>
        </mc:AlternateContent>
      </w: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spacing w:before="8"/>
        <w:rPr>
          <w:rFonts w:ascii="Arial"/>
          <w:b/>
          <w:sz w:val="19"/>
        </w:rPr>
      </w:pPr>
    </w:p>
    <w:p w:rsidR="007D76BB" w:rsidRDefault="00D70D28">
      <w:pPr>
        <w:spacing w:before="200" w:line="204" w:lineRule="auto"/>
        <w:ind w:left="482"/>
        <w:rPr>
          <w:rFonts w:ascii="Lucida Sans"/>
          <w:b/>
          <w:sz w:val="64"/>
        </w:rPr>
      </w:pPr>
      <w:bookmarkStart w:id="141" w:name="TGA_Noetic_Sport_Supplement_Regulatory_C"/>
      <w:bookmarkEnd w:id="141"/>
      <w:r>
        <w:rPr>
          <w:rFonts w:ascii="Lucida Sans"/>
          <w:b/>
          <w:color w:val="F9E0A2"/>
          <w:spacing w:val="-20"/>
          <w:w w:val="95"/>
          <w:sz w:val="64"/>
        </w:rPr>
        <w:t xml:space="preserve">REGULATORY </w:t>
      </w:r>
      <w:r>
        <w:rPr>
          <w:rFonts w:ascii="Lucida Sans"/>
          <w:b/>
          <w:color w:val="F9E0A2"/>
          <w:spacing w:val="-12"/>
          <w:w w:val="95"/>
          <w:sz w:val="64"/>
        </w:rPr>
        <w:t xml:space="preserve">BURDEN </w:t>
      </w:r>
      <w:r>
        <w:rPr>
          <w:rFonts w:ascii="Lucida Sans"/>
          <w:b/>
          <w:color w:val="F9E0A2"/>
          <w:spacing w:val="-11"/>
          <w:sz w:val="64"/>
        </w:rPr>
        <w:t>COSTINGS</w:t>
      </w:r>
    </w:p>
    <w:p w:rsidR="007D76BB" w:rsidRDefault="00D70D28">
      <w:pPr>
        <w:spacing w:before="165"/>
        <w:ind w:left="482"/>
        <w:rPr>
          <w:rFonts w:ascii="Lucida Sans"/>
          <w:b/>
          <w:sz w:val="36"/>
        </w:rPr>
      </w:pPr>
      <w:r>
        <w:rPr>
          <w:rFonts w:ascii="Lucida Sans"/>
          <w:b/>
          <w:color w:val="FFFFFF"/>
          <w:sz w:val="36"/>
        </w:rPr>
        <w:t>Sports Supplements Regulatory Clarification</w:t>
      </w:r>
    </w:p>
    <w:p w:rsidR="007D76BB" w:rsidRDefault="00D70D28">
      <w:pPr>
        <w:spacing w:before="298"/>
        <w:ind w:left="482"/>
        <w:rPr>
          <w:rFonts w:ascii="Lucida Sans"/>
          <w:b/>
          <w:sz w:val="40"/>
        </w:rPr>
      </w:pPr>
      <w:r>
        <w:rPr>
          <w:rFonts w:ascii="Lucida Sans"/>
          <w:b/>
          <w:color w:val="9FBAD2"/>
          <w:spacing w:val="-10"/>
          <w:sz w:val="40"/>
        </w:rPr>
        <w:t xml:space="preserve">Department </w:t>
      </w:r>
      <w:r>
        <w:rPr>
          <w:rFonts w:ascii="Lucida Sans"/>
          <w:b/>
          <w:color w:val="9FBAD2"/>
          <w:spacing w:val="-5"/>
          <w:sz w:val="40"/>
        </w:rPr>
        <w:t>of</w:t>
      </w:r>
      <w:r>
        <w:rPr>
          <w:rFonts w:ascii="Lucida Sans"/>
          <w:b/>
          <w:color w:val="9FBAD2"/>
          <w:spacing w:val="-89"/>
          <w:sz w:val="40"/>
        </w:rPr>
        <w:t xml:space="preserve"> </w:t>
      </w:r>
      <w:r>
        <w:rPr>
          <w:rFonts w:ascii="Lucida Sans"/>
          <w:b/>
          <w:color w:val="9FBAD2"/>
          <w:spacing w:val="-10"/>
          <w:sz w:val="40"/>
        </w:rPr>
        <w:t>Health</w:t>
      </w:r>
    </w:p>
    <w:p w:rsidR="007D76BB" w:rsidRDefault="007D76BB">
      <w:pPr>
        <w:pStyle w:val="BodyText"/>
        <w:rPr>
          <w:rFonts w:ascii="Lucida Sans"/>
          <w:b/>
          <w:sz w:val="50"/>
        </w:rPr>
      </w:pPr>
    </w:p>
    <w:p w:rsidR="007D76BB" w:rsidRDefault="007D76BB">
      <w:pPr>
        <w:pStyle w:val="BodyText"/>
        <w:rPr>
          <w:rFonts w:ascii="Lucida Sans"/>
          <w:b/>
          <w:sz w:val="50"/>
        </w:rPr>
      </w:pPr>
    </w:p>
    <w:p w:rsidR="007D76BB" w:rsidRDefault="007D76BB">
      <w:pPr>
        <w:pStyle w:val="BodyText"/>
        <w:rPr>
          <w:rFonts w:ascii="Lucida Sans"/>
          <w:b/>
          <w:sz w:val="50"/>
        </w:rPr>
      </w:pPr>
    </w:p>
    <w:p w:rsidR="007D76BB" w:rsidRDefault="007D76BB">
      <w:pPr>
        <w:pStyle w:val="BodyText"/>
        <w:rPr>
          <w:rFonts w:ascii="Lucida Sans"/>
          <w:b/>
          <w:sz w:val="50"/>
        </w:rPr>
      </w:pPr>
    </w:p>
    <w:p w:rsidR="007D76BB" w:rsidRDefault="007D76BB">
      <w:pPr>
        <w:pStyle w:val="BodyText"/>
        <w:rPr>
          <w:rFonts w:ascii="Lucida Sans"/>
          <w:b/>
          <w:sz w:val="50"/>
        </w:rPr>
      </w:pPr>
    </w:p>
    <w:p w:rsidR="007D76BB" w:rsidRDefault="007D76BB">
      <w:pPr>
        <w:pStyle w:val="BodyText"/>
        <w:rPr>
          <w:rFonts w:ascii="Lucida Sans"/>
          <w:b/>
          <w:sz w:val="50"/>
        </w:rPr>
      </w:pPr>
    </w:p>
    <w:p w:rsidR="007D76BB" w:rsidRDefault="007D76BB">
      <w:pPr>
        <w:pStyle w:val="BodyText"/>
        <w:rPr>
          <w:rFonts w:ascii="Lucida Sans"/>
          <w:b/>
          <w:sz w:val="50"/>
        </w:rPr>
      </w:pPr>
    </w:p>
    <w:p w:rsidR="007D76BB" w:rsidRDefault="00D70D28">
      <w:pPr>
        <w:spacing w:before="313" w:line="290" w:lineRule="auto"/>
        <w:ind w:left="482" w:right="7956"/>
        <w:rPr>
          <w:rFonts w:ascii="Arial"/>
          <w:sz w:val="20"/>
        </w:rPr>
      </w:pPr>
      <w:r>
        <w:rPr>
          <w:rFonts w:ascii="Arial"/>
          <w:color w:val="0D213E"/>
          <w:w w:val="105"/>
          <w:sz w:val="20"/>
        </w:rPr>
        <w:t>30 June 20</w:t>
      </w:r>
      <w:r>
        <w:rPr>
          <w:rFonts w:ascii="Arial"/>
          <w:color w:val="0D213E"/>
          <w:w w:val="105"/>
          <w:sz w:val="20"/>
        </w:rPr>
        <w:lastRenderedPageBreak/>
        <w:t xml:space="preserve">20 </w:t>
      </w:r>
      <w:r>
        <w:rPr>
          <w:rFonts w:ascii="Arial"/>
          <w:color w:val="0D213E"/>
          <w:sz w:val="20"/>
        </w:rPr>
        <w:t>Contact Details:</w:t>
      </w:r>
    </w:p>
    <w:p w:rsidR="007D76BB" w:rsidRDefault="00D70D28">
      <w:pPr>
        <w:spacing w:before="3"/>
        <w:ind w:left="482"/>
        <w:rPr>
          <w:rFonts w:ascii="Arial"/>
          <w:sz w:val="20"/>
        </w:rPr>
      </w:pPr>
      <w:r>
        <w:rPr>
          <w:rFonts w:ascii="Arial"/>
          <w:color w:val="0D213E"/>
          <w:sz w:val="20"/>
        </w:rPr>
        <w:t>Dr. Darren Moore</w:t>
      </w:r>
    </w:p>
    <w:p w:rsidR="007D76BB" w:rsidRDefault="00D70D28">
      <w:pPr>
        <w:spacing w:before="50" w:line="290" w:lineRule="auto"/>
        <w:ind w:left="482" w:right="6481"/>
        <w:rPr>
          <w:rFonts w:ascii="Arial"/>
          <w:sz w:val="20"/>
        </w:rPr>
      </w:pPr>
      <w:r>
        <w:rPr>
          <w:rFonts w:ascii="Arial"/>
          <w:color w:val="0D213E"/>
          <w:sz w:val="20"/>
        </w:rPr>
        <w:t xml:space="preserve">General Manager Government </w:t>
      </w:r>
      <w:proofErr w:type="spellStart"/>
      <w:r>
        <w:rPr>
          <w:rFonts w:ascii="Arial"/>
          <w:color w:val="0D213E"/>
          <w:w w:val="105"/>
          <w:sz w:val="20"/>
        </w:rPr>
        <w:t>Ph</w:t>
      </w:r>
      <w:proofErr w:type="spellEnd"/>
      <w:r>
        <w:rPr>
          <w:rFonts w:ascii="Arial"/>
          <w:color w:val="0D213E"/>
          <w:w w:val="105"/>
          <w:sz w:val="20"/>
        </w:rPr>
        <w:t>: 02 6234 777</w:t>
      </w:r>
      <w:r>
        <w:rPr>
          <w:rFonts w:ascii="Arial"/>
          <w:color w:val="0D213E"/>
          <w:w w:val="105"/>
          <w:sz w:val="20"/>
        </w:rPr>
        <w:lastRenderedPageBreak/>
        <w:t>7</w:t>
      </w:r>
    </w:p>
    <w:p w:rsidR="007D76BB" w:rsidRDefault="00A51832">
      <w:pPr>
        <w:spacing w:before="3"/>
        <w:ind w:left="482"/>
        <w:rPr>
          <w:rFonts w:ascii="Arial"/>
          <w:sz w:val="20"/>
        </w:rPr>
      </w:pPr>
      <w:hyperlink r:id="rId166">
        <w:r w:rsidR="00D70D28">
          <w:rPr>
            <w:rFonts w:ascii="Arial"/>
            <w:color w:val="0D213E"/>
            <w:sz w:val="20"/>
          </w:rPr>
          <w:t>Darren.moore@noeticgroup.com</w:t>
        </w:r>
      </w:hyperlink>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spacing w:before="4"/>
        <w:rPr>
          <w:rFonts w:ascii="Arial"/>
        </w:rPr>
      </w:pPr>
    </w:p>
    <w:p w:rsidR="007D76BB" w:rsidRDefault="00D70D28">
      <w:pPr>
        <w:spacing w:before="108"/>
        <w:ind w:left="1859"/>
        <w:rPr>
          <w:rFonts w:ascii="Arial"/>
          <w:sz w:val="16"/>
        </w:rPr>
      </w:pPr>
      <w:r>
        <w:rPr>
          <w:noProof/>
          <w:lang w:val="en-AU" w:eastAsia="en-AU"/>
        </w:rPr>
        <mc:AlternateContent>
          <mc:Choice Requires="wps">
            <w:drawing>
              <wp:anchor distT="0" distB="0" distL="114300" distR="114300" simplePos="0" relativeHeight="242099200" behindDoc="1" locked="0" layoutInCell="1" allowOverlap="1">
                <wp:simplePos x="0" y="0"/>
                <wp:positionH relativeFrom="page">
                  <wp:posOffset>1620520</wp:posOffset>
                </wp:positionH>
                <wp:positionV relativeFrom="paragraph">
                  <wp:posOffset>-255905</wp:posOffset>
                </wp:positionV>
                <wp:extent cx="1619885" cy="899795"/>
                <wp:effectExtent l="0" t="0" r="0" b="0"/>
                <wp:wrapNone/>
                <wp:docPr id="381"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899795"/>
                        </a:xfrm>
                        <a:prstGeom prst="rect">
                          <a:avLst/>
                        </a:prstGeom>
                        <a:solidFill>
                          <a:srgbClr val="0D21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49D19" id="Rectangle 237" o:spid="_x0000_s1026" style="position:absolute;margin-left:127.6pt;margin-top:-20.15pt;width:127.55pt;height:70.85pt;z-index:-2612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" fillcolor="#0d213e" stroked="f">
                <w10:wrap anchorx="page"/>
              </v:rect>
            </w:pict>
          </mc:Fallback>
        </mc:AlternateContent>
      </w:r>
      <w:hyperlink r:id="rId167">
        <w:r>
          <w:rPr>
            <w:rFonts w:ascii="Arial"/>
            <w:color w:val="FFA200"/>
            <w:sz w:val="16"/>
          </w:rPr>
          <w:t>NOETICGROUP.COM</w:t>
        </w:r>
      </w:hyperlink>
    </w:p>
    <w:p w:rsidR="007D76BB" w:rsidRDefault="007D76BB">
      <w:pPr>
        <w:rPr>
          <w:rFonts w:ascii="Arial"/>
          <w:sz w:val="16"/>
        </w:rPr>
        <w:sectPr w:rsidR="007D76BB">
          <w:headerReference w:type="default" r:id="rId168"/>
          <w:footerReference w:type="default" r:id="rId169"/>
          <w:pgSz w:w="11910" w:h="16850"/>
          <w:pgMar w:top="0" w:right="820" w:bottom="0" w:left="1220" w:header="0" w:footer="0" w:gutter="0"/>
          <w:cols w:space="720"/>
        </w:sectPr>
      </w:pPr>
    </w:p>
    <w:p w:rsidR="007D76BB" w:rsidRDefault="00D70D28">
      <w:pPr>
        <w:pStyle w:val="BodyText"/>
        <w:spacing w:before="3" w:after="1"/>
        <w:rPr>
          <w:rFonts w:ascii="Arial"/>
          <w:sz w:val="13"/>
        </w:rPr>
      </w:pPr>
      <w:r>
        <w:rPr>
          <w:noProof/>
          <w:lang w:val="en-AU" w:eastAsia="en-AU"/>
        </w:rPr>
        <w:lastRenderedPageBreak/>
        <mc:AlternateContent>
          <mc:Choice Requires="wps">
            <w:drawing>
              <wp:anchor distT="0" distB="0" distL="114300" distR="114300" simplePos="0" relativeHeight="242101248" behindDoc="1" locked="0" layoutInCell="1" allowOverlap="1">
                <wp:simplePos x="0" y="0"/>
                <wp:positionH relativeFrom="page">
                  <wp:posOffset>1080770</wp:posOffset>
                </wp:positionH>
                <wp:positionV relativeFrom="page">
                  <wp:posOffset>10278110</wp:posOffset>
                </wp:positionV>
                <wp:extent cx="5399405" cy="130810"/>
                <wp:effectExtent l="0" t="0" r="0" b="0"/>
                <wp:wrapNone/>
                <wp:docPr id="38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tabs>
                                <w:tab w:val="right" w:pos="8502"/>
                              </w:tabs>
                              <w:spacing w:before="10"/>
                              <w:rPr>
                                <w:rFonts w:ascii="Arial"/>
                                <w:sz w:val="16"/>
                              </w:rPr>
                            </w:pPr>
                            <w:hyperlink r:id="rId170">
                              <w:r>
                                <w:rPr>
                                  <w:rFonts w:ascii="Arial"/>
                                  <w:color w:val="FFA200"/>
                                  <w:sz w:val="16"/>
                                </w:rPr>
                                <w:t>NOETICGROUP.COM</w:t>
                              </w:r>
                            </w:hyperlink>
                            <w:r>
                              <w:rPr>
                                <w:rFonts w:ascii="Arial"/>
                                <w:color w:val="FFA200"/>
                                <w:sz w:val="16"/>
                              </w:rPr>
                              <w:tab/>
                            </w:r>
                            <w:r>
                              <w:rPr>
                                <w:rFonts w:ascii="Arial"/>
                                <w:color w:val="608FB5"/>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29" type="#_x0000_t202" style="position:absolute;margin-left:85.1pt;margin-top:809.3pt;width:425.15pt;height:10.3pt;z-index:-2612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7rtgIAALQ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" filled="f" stroked="f">
                <v:textbox inset="0,0,0,0">
                  <w:txbxContent>
                    <w:p w:rsidR="00A51832" w:rsidRDefault="00A51832">
                      <w:pPr>
                        <w:tabs>
                          <w:tab w:val="right" w:pos="8502"/>
                        </w:tabs>
                        <w:spacing w:before="10"/>
                        <w:rPr>
                          <w:rFonts w:ascii="Arial"/>
                          <w:sz w:val="16"/>
                        </w:rPr>
                      </w:pPr>
                      <w:hyperlink r:id="rId171">
                        <w:r>
                          <w:rPr>
                            <w:rFonts w:ascii="Arial"/>
                            <w:color w:val="FFA200"/>
                            <w:sz w:val="16"/>
                          </w:rPr>
                          <w:t>NOETICGROUP.COM</w:t>
                        </w:r>
                      </w:hyperlink>
                      <w:r>
                        <w:rPr>
                          <w:rFonts w:ascii="Arial"/>
                          <w:color w:val="FFA200"/>
                          <w:sz w:val="16"/>
                        </w:rPr>
                        <w:tab/>
                      </w:r>
                      <w:r>
                        <w:rPr>
                          <w:rFonts w:ascii="Arial"/>
                          <w:color w:val="608FB5"/>
                          <w:sz w:val="16"/>
                        </w:rPr>
                        <w:t>2</w:t>
                      </w:r>
                    </w:p>
                  </w:txbxContent>
                </v:textbox>
                <w10:wrap anchorx="page" anchory="page"/>
              </v:shape>
            </w:pict>
          </mc:Fallback>
        </mc:AlternateContent>
      </w:r>
      <w:r>
        <w:rPr>
          <w:noProof/>
          <w:lang w:val="en-AU" w:eastAsia="en-AU"/>
        </w:rPr>
        <mc:AlternateContent>
          <mc:Choice Requires="wpg">
            <w:drawing>
              <wp:anchor distT="0" distB="0" distL="114300" distR="114300" simplePos="0" relativeHeight="251688960" behindDoc="0" locked="0" layoutInCell="1" allowOverlap="1">
                <wp:simplePos x="0" y="0"/>
                <wp:positionH relativeFrom="page">
                  <wp:posOffset>180340</wp:posOffset>
                </wp:positionH>
                <wp:positionV relativeFrom="page">
                  <wp:posOffset>933450</wp:posOffset>
                </wp:positionV>
                <wp:extent cx="7200265" cy="9760585"/>
                <wp:effectExtent l="0" t="0" r="0" b="0"/>
                <wp:wrapNone/>
                <wp:docPr id="376"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9760585"/>
                          <a:chOff x="284" y="1470"/>
                          <a:chExt cx="11339" cy="15371"/>
                        </a:xfrm>
                      </wpg:grpSpPr>
                      <wps:wsp>
                        <wps:cNvPr id="377" name="AutoShape 235"/>
                        <wps:cNvSpPr>
                          <a:spLocks/>
                        </wps:cNvSpPr>
                        <wps:spPr bwMode="auto">
                          <a:xfrm>
                            <a:off x="2022" y="4690"/>
                            <a:ext cx="7092" cy="7464"/>
                          </a:xfrm>
                          <a:custGeom>
                            <a:avLst/>
                            <a:gdLst>
                              <a:gd name="T0" fmla="+- 0 4293 2022"/>
                              <a:gd name="T1" fmla="*/ T0 w 7092"/>
                              <a:gd name="T2" fmla="+- 0 11018 4691"/>
                              <a:gd name="T3" fmla="*/ 11018 h 7464"/>
                              <a:gd name="T4" fmla="+- 0 4165 2022"/>
                              <a:gd name="T5" fmla="*/ T4 w 7092"/>
                              <a:gd name="T6" fmla="+- 0 10720 4691"/>
                              <a:gd name="T7" fmla="*/ 10720 h 7464"/>
                              <a:gd name="T8" fmla="+- 0 4061 2022"/>
                              <a:gd name="T9" fmla="*/ T8 w 7092"/>
                              <a:gd name="T10" fmla="+- 0 11169 4691"/>
                              <a:gd name="T11" fmla="*/ 11169 h 7464"/>
                              <a:gd name="T12" fmla="+- 0 3997 2022"/>
                              <a:gd name="T13" fmla="*/ T12 w 7092"/>
                              <a:gd name="T14" fmla="+- 0 11455 4691"/>
                              <a:gd name="T15" fmla="*/ 11455 h 7464"/>
                              <a:gd name="T16" fmla="+- 0 2382 2022"/>
                              <a:gd name="T17" fmla="*/ T16 w 7092"/>
                              <a:gd name="T18" fmla="+- 0 10486 4691"/>
                              <a:gd name="T19" fmla="*/ 10486 h 7464"/>
                              <a:gd name="T20" fmla="+- 0 2802 2022"/>
                              <a:gd name="T21" fmla="*/ T20 w 7092"/>
                              <a:gd name="T22" fmla="+- 0 10135 4691"/>
                              <a:gd name="T23" fmla="*/ 10135 h 7464"/>
                              <a:gd name="T24" fmla="+- 0 3103 2022"/>
                              <a:gd name="T25" fmla="*/ T24 w 7092"/>
                              <a:gd name="T26" fmla="+- 0 10131 4691"/>
                              <a:gd name="T27" fmla="*/ 10131 h 7464"/>
                              <a:gd name="T28" fmla="+- 0 3387 2022"/>
                              <a:gd name="T29" fmla="*/ T28 w 7092"/>
                              <a:gd name="T30" fmla="+- 0 10252 4691"/>
                              <a:gd name="T31" fmla="*/ 10252 h 7464"/>
                              <a:gd name="T32" fmla="+- 0 3625 2022"/>
                              <a:gd name="T33" fmla="*/ T32 w 7092"/>
                              <a:gd name="T34" fmla="+- 0 10437 4691"/>
                              <a:gd name="T35" fmla="*/ 10437 h 7464"/>
                              <a:gd name="T36" fmla="+- 0 3849 2022"/>
                              <a:gd name="T37" fmla="*/ T36 w 7092"/>
                              <a:gd name="T38" fmla="+- 0 10682 4691"/>
                              <a:gd name="T39" fmla="*/ 10682 h 7464"/>
                              <a:gd name="T40" fmla="+- 0 4003 2022"/>
                              <a:gd name="T41" fmla="*/ T40 w 7092"/>
                              <a:gd name="T42" fmla="+- 0 10951 4691"/>
                              <a:gd name="T43" fmla="*/ 10951 h 7464"/>
                              <a:gd name="T44" fmla="+- 0 4061 2022"/>
                              <a:gd name="T45" fmla="*/ T44 w 7092"/>
                              <a:gd name="T46" fmla="+- 0 10560 4691"/>
                              <a:gd name="T47" fmla="*/ 10560 h 7464"/>
                              <a:gd name="T48" fmla="+- 0 3856 2022"/>
                              <a:gd name="T49" fmla="*/ T48 w 7092"/>
                              <a:gd name="T50" fmla="+- 0 10321 4691"/>
                              <a:gd name="T51" fmla="*/ 10321 h 7464"/>
                              <a:gd name="T52" fmla="+- 0 3630 2022"/>
                              <a:gd name="T53" fmla="*/ T52 w 7092"/>
                              <a:gd name="T54" fmla="+- 0 10125 4691"/>
                              <a:gd name="T55" fmla="*/ 10125 h 7464"/>
                              <a:gd name="T56" fmla="+- 0 3441 2022"/>
                              <a:gd name="T57" fmla="*/ T56 w 7092"/>
                              <a:gd name="T58" fmla="+- 0 10001 4691"/>
                              <a:gd name="T59" fmla="*/ 10001 h 7464"/>
                              <a:gd name="T60" fmla="+- 0 3139 2022"/>
                              <a:gd name="T61" fmla="*/ T60 w 7092"/>
                              <a:gd name="T62" fmla="+- 0 9880 4691"/>
                              <a:gd name="T63" fmla="*/ 9880 h 7464"/>
                              <a:gd name="T64" fmla="+- 0 2827 2022"/>
                              <a:gd name="T65" fmla="*/ T64 w 7092"/>
                              <a:gd name="T66" fmla="+- 0 9863 4691"/>
                              <a:gd name="T67" fmla="*/ 9863 h 7464"/>
                              <a:gd name="T68" fmla="+- 0 2523 2022"/>
                              <a:gd name="T69" fmla="*/ T68 w 7092"/>
                              <a:gd name="T70" fmla="+- 0 9980 4691"/>
                              <a:gd name="T71" fmla="*/ 9980 h 7464"/>
                              <a:gd name="T72" fmla="+- 0 3718 2022"/>
                              <a:gd name="T73" fmla="*/ T72 w 7092"/>
                              <a:gd name="T74" fmla="+- 0 12155 4691"/>
                              <a:gd name="T75" fmla="*/ 12155 h 7464"/>
                              <a:gd name="T76" fmla="+- 0 4178 2022"/>
                              <a:gd name="T77" fmla="*/ T76 w 7092"/>
                              <a:gd name="T78" fmla="+- 0 11678 4691"/>
                              <a:gd name="T79" fmla="*/ 11678 h 7464"/>
                              <a:gd name="T80" fmla="+- 0 4299 2022"/>
                              <a:gd name="T81" fmla="*/ T80 w 7092"/>
                              <a:gd name="T82" fmla="+- 0 11418 4691"/>
                              <a:gd name="T83" fmla="*/ 11418 h 7464"/>
                              <a:gd name="T84" fmla="+- 0 5347 2022"/>
                              <a:gd name="T85" fmla="*/ T84 w 7092"/>
                              <a:gd name="T86" fmla="+- 0 9663 4691"/>
                              <a:gd name="T87" fmla="*/ 9663 h 7464"/>
                              <a:gd name="T88" fmla="+- 0 4996 2022"/>
                              <a:gd name="T89" fmla="*/ T88 w 7092"/>
                              <a:gd name="T90" fmla="+- 0 9230 4691"/>
                              <a:gd name="T91" fmla="*/ 9230 h 7464"/>
                              <a:gd name="T92" fmla="+- 0 4929 2022"/>
                              <a:gd name="T93" fmla="*/ T92 w 7092"/>
                              <a:gd name="T94" fmla="+- 0 8930 4691"/>
                              <a:gd name="T95" fmla="*/ 8930 h 7464"/>
                              <a:gd name="T96" fmla="+- 0 4777 2022"/>
                              <a:gd name="T97" fmla="*/ T96 w 7092"/>
                              <a:gd name="T98" fmla="+- 0 8712 4691"/>
                              <a:gd name="T99" fmla="*/ 8712 h 7464"/>
                              <a:gd name="T100" fmla="+- 0 4721 2022"/>
                              <a:gd name="T101" fmla="*/ T100 w 7092"/>
                              <a:gd name="T102" fmla="+- 0 9265 4691"/>
                              <a:gd name="T103" fmla="*/ 9265 h 7464"/>
                              <a:gd name="T104" fmla="+- 0 3687 2022"/>
                              <a:gd name="T105" fmla="*/ T104 w 7092"/>
                              <a:gd name="T106" fmla="+- 0 9186 4691"/>
                              <a:gd name="T107" fmla="*/ 9186 h 7464"/>
                              <a:gd name="T108" fmla="+- 0 4260 2022"/>
                              <a:gd name="T109" fmla="*/ T108 w 7092"/>
                              <a:gd name="T110" fmla="+- 0 8712 4691"/>
                              <a:gd name="T111" fmla="*/ 8712 h 7464"/>
                              <a:gd name="T112" fmla="+- 0 4533 2022"/>
                              <a:gd name="T113" fmla="*/ T112 w 7092"/>
                              <a:gd name="T114" fmla="+- 0 8809 4691"/>
                              <a:gd name="T115" fmla="*/ 8809 h 7464"/>
                              <a:gd name="T116" fmla="+- 0 4719 2022"/>
                              <a:gd name="T117" fmla="*/ T116 w 7092"/>
                              <a:gd name="T118" fmla="+- 0 9055 4691"/>
                              <a:gd name="T119" fmla="*/ 9055 h 7464"/>
                              <a:gd name="T120" fmla="+- 0 4697 2022"/>
                              <a:gd name="T121" fmla="*/ T120 w 7092"/>
                              <a:gd name="T122" fmla="+- 0 8634 4691"/>
                              <a:gd name="T123" fmla="*/ 8634 h 7464"/>
                              <a:gd name="T124" fmla="+- 0 4446 2022"/>
                              <a:gd name="T125" fmla="*/ T124 w 7092"/>
                              <a:gd name="T126" fmla="+- 0 8480 4691"/>
                              <a:gd name="T127" fmla="*/ 8480 h 7464"/>
                              <a:gd name="T128" fmla="+- 0 4178 2022"/>
                              <a:gd name="T129" fmla="*/ T128 w 7092"/>
                              <a:gd name="T130" fmla="+- 0 8444 4691"/>
                              <a:gd name="T131" fmla="*/ 8444 h 7464"/>
                              <a:gd name="T132" fmla="+- 0 3915 2022"/>
                              <a:gd name="T133" fmla="*/ T132 w 7092"/>
                              <a:gd name="T134" fmla="+- 0 8571 4691"/>
                              <a:gd name="T135" fmla="*/ 8571 h 7464"/>
                              <a:gd name="T136" fmla="+- 0 5187 2022"/>
                              <a:gd name="T137" fmla="*/ T136 w 7092"/>
                              <a:gd name="T138" fmla="+- 0 10686 4691"/>
                              <a:gd name="T139" fmla="*/ 10686 h 7464"/>
                              <a:gd name="T140" fmla="+- 0 5758 2022"/>
                              <a:gd name="T141" fmla="*/ T140 w 7092"/>
                              <a:gd name="T142" fmla="+- 0 10115 4691"/>
                              <a:gd name="T143" fmla="*/ 10115 h 7464"/>
                              <a:gd name="T144" fmla="+- 0 6366 2022"/>
                              <a:gd name="T145" fmla="*/ T144 w 7092"/>
                              <a:gd name="T146" fmla="+- 0 8042 4691"/>
                              <a:gd name="T147" fmla="*/ 8042 h 7464"/>
                              <a:gd name="T148" fmla="+- 0 5559 2022"/>
                              <a:gd name="T149" fmla="*/ T148 w 7092"/>
                              <a:gd name="T150" fmla="+- 0 8067 4691"/>
                              <a:gd name="T151" fmla="*/ 8067 h 7464"/>
                              <a:gd name="T152" fmla="+- 0 5389 2022"/>
                              <a:gd name="T153" fmla="*/ T152 w 7092"/>
                              <a:gd name="T154" fmla="+- 0 7776 4691"/>
                              <a:gd name="T155" fmla="*/ 7776 h 7464"/>
                              <a:gd name="T156" fmla="+- 0 5567 2022"/>
                              <a:gd name="T157" fmla="*/ T156 w 7092"/>
                              <a:gd name="T158" fmla="+- 0 7850 4691"/>
                              <a:gd name="T159" fmla="*/ 7850 h 7464"/>
                              <a:gd name="T160" fmla="+- 0 5134 2022"/>
                              <a:gd name="T161" fmla="*/ T160 w 7092"/>
                              <a:gd name="T162" fmla="+- 0 7348 4691"/>
                              <a:gd name="T163" fmla="*/ 7348 h 7464"/>
                              <a:gd name="T164" fmla="+- 0 6201 2022"/>
                              <a:gd name="T165" fmla="*/ T164 w 7092"/>
                              <a:gd name="T166" fmla="+- 0 9672 4691"/>
                              <a:gd name="T167" fmla="*/ 9672 h 7464"/>
                              <a:gd name="T168" fmla="+- 0 6073 2022"/>
                              <a:gd name="T169" fmla="*/ T168 w 7092"/>
                              <a:gd name="T170" fmla="+- 0 8971 4691"/>
                              <a:gd name="T171" fmla="*/ 8971 h 7464"/>
                              <a:gd name="T172" fmla="+- 0 7303 2022"/>
                              <a:gd name="T173" fmla="*/ T172 w 7092"/>
                              <a:gd name="T174" fmla="+- 0 8570 4691"/>
                              <a:gd name="T175" fmla="*/ 8570 h 7464"/>
                              <a:gd name="T176" fmla="+- 0 7398 2022"/>
                              <a:gd name="T177" fmla="*/ T176 w 7092"/>
                              <a:gd name="T178" fmla="+- 0 6919 4691"/>
                              <a:gd name="T179" fmla="*/ 6919 h 7464"/>
                              <a:gd name="T180" fmla="+- 0 6895 2022"/>
                              <a:gd name="T181" fmla="*/ T180 w 7092"/>
                              <a:gd name="T182" fmla="+- 0 5984 4691"/>
                              <a:gd name="T183" fmla="*/ 5984 h 7464"/>
                              <a:gd name="T184" fmla="+- 0 7754 2022"/>
                              <a:gd name="T185" fmla="*/ T184 w 7092"/>
                              <a:gd name="T186" fmla="+- 0 8119 4691"/>
                              <a:gd name="T187" fmla="*/ 8119 h 7464"/>
                              <a:gd name="T188" fmla="+- 0 7991 2022"/>
                              <a:gd name="T189" fmla="*/ T188 w 7092"/>
                              <a:gd name="T190" fmla="+- 0 4892 4691"/>
                              <a:gd name="T191" fmla="*/ 4892 h 7464"/>
                              <a:gd name="T192" fmla="+- 0 7453 2022"/>
                              <a:gd name="T193" fmla="*/ T192 w 7092"/>
                              <a:gd name="T194" fmla="+- 0 5431 4691"/>
                              <a:gd name="T195" fmla="*/ 5431 h 7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092" h="7464">
                                <a:moveTo>
                                  <a:pt x="2301" y="6565"/>
                                </a:moveTo>
                                <a:lnTo>
                                  <a:pt x="2300" y="6485"/>
                                </a:lnTo>
                                <a:lnTo>
                                  <a:pt x="2290" y="6405"/>
                                </a:lnTo>
                                <a:lnTo>
                                  <a:pt x="2271" y="6327"/>
                                </a:lnTo>
                                <a:lnTo>
                                  <a:pt x="2244" y="6250"/>
                                </a:lnTo>
                                <a:lnTo>
                                  <a:pt x="2214" y="6175"/>
                                </a:lnTo>
                                <a:lnTo>
                                  <a:pt x="2181" y="6101"/>
                                </a:lnTo>
                                <a:lnTo>
                                  <a:pt x="2143" y="6029"/>
                                </a:lnTo>
                                <a:lnTo>
                                  <a:pt x="2101" y="5959"/>
                                </a:lnTo>
                                <a:lnTo>
                                  <a:pt x="2055" y="5890"/>
                                </a:lnTo>
                                <a:lnTo>
                                  <a:pt x="2039" y="5869"/>
                                </a:lnTo>
                                <a:lnTo>
                                  <a:pt x="2039" y="6478"/>
                                </a:lnTo>
                                <a:lnTo>
                                  <a:pt x="2039" y="6551"/>
                                </a:lnTo>
                                <a:lnTo>
                                  <a:pt x="2028" y="6623"/>
                                </a:lnTo>
                                <a:lnTo>
                                  <a:pt x="2007" y="6695"/>
                                </a:lnTo>
                                <a:lnTo>
                                  <a:pt x="1975" y="6764"/>
                                </a:lnTo>
                                <a:lnTo>
                                  <a:pt x="1932" y="6828"/>
                                </a:lnTo>
                                <a:lnTo>
                                  <a:pt x="1878" y="6889"/>
                                </a:lnTo>
                                <a:lnTo>
                                  <a:pt x="1666" y="7101"/>
                                </a:lnTo>
                                <a:lnTo>
                                  <a:pt x="360" y="5795"/>
                                </a:lnTo>
                                <a:lnTo>
                                  <a:pt x="593" y="5562"/>
                                </a:lnTo>
                                <a:lnTo>
                                  <a:pt x="651" y="5512"/>
                                </a:lnTo>
                                <a:lnTo>
                                  <a:pt x="714" y="5472"/>
                                </a:lnTo>
                                <a:lnTo>
                                  <a:pt x="780" y="5444"/>
                                </a:lnTo>
                                <a:lnTo>
                                  <a:pt x="851" y="5427"/>
                                </a:lnTo>
                                <a:lnTo>
                                  <a:pt x="927" y="5423"/>
                                </a:lnTo>
                                <a:lnTo>
                                  <a:pt x="1005" y="5427"/>
                                </a:lnTo>
                                <a:lnTo>
                                  <a:pt x="1081" y="5440"/>
                                </a:lnTo>
                                <a:lnTo>
                                  <a:pt x="1157" y="5460"/>
                                </a:lnTo>
                                <a:lnTo>
                                  <a:pt x="1231" y="5488"/>
                                </a:lnTo>
                                <a:lnTo>
                                  <a:pt x="1304" y="5525"/>
                                </a:lnTo>
                                <a:lnTo>
                                  <a:pt x="1365" y="5561"/>
                                </a:lnTo>
                                <a:lnTo>
                                  <a:pt x="1425" y="5601"/>
                                </a:lnTo>
                                <a:lnTo>
                                  <a:pt x="1485" y="5645"/>
                                </a:lnTo>
                                <a:lnTo>
                                  <a:pt x="1544" y="5694"/>
                                </a:lnTo>
                                <a:lnTo>
                                  <a:pt x="1603" y="5746"/>
                                </a:lnTo>
                                <a:lnTo>
                                  <a:pt x="1662" y="5802"/>
                                </a:lnTo>
                                <a:lnTo>
                                  <a:pt x="1721" y="5864"/>
                                </a:lnTo>
                                <a:lnTo>
                                  <a:pt x="1776" y="5928"/>
                                </a:lnTo>
                                <a:lnTo>
                                  <a:pt x="1827" y="5991"/>
                                </a:lnTo>
                                <a:lnTo>
                                  <a:pt x="1873" y="6056"/>
                                </a:lnTo>
                                <a:lnTo>
                                  <a:pt x="1914" y="6122"/>
                                </a:lnTo>
                                <a:lnTo>
                                  <a:pt x="1950" y="6190"/>
                                </a:lnTo>
                                <a:lnTo>
                                  <a:pt x="1981" y="6260"/>
                                </a:lnTo>
                                <a:lnTo>
                                  <a:pt x="2009" y="6332"/>
                                </a:lnTo>
                                <a:lnTo>
                                  <a:pt x="2029" y="6406"/>
                                </a:lnTo>
                                <a:lnTo>
                                  <a:pt x="2039" y="6478"/>
                                </a:lnTo>
                                <a:lnTo>
                                  <a:pt x="2039" y="5869"/>
                                </a:lnTo>
                                <a:lnTo>
                                  <a:pt x="2005" y="5823"/>
                                </a:lnTo>
                                <a:lnTo>
                                  <a:pt x="1951" y="5758"/>
                                </a:lnTo>
                                <a:lnTo>
                                  <a:pt x="1894" y="5693"/>
                                </a:lnTo>
                                <a:lnTo>
                                  <a:pt x="1834" y="5630"/>
                                </a:lnTo>
                                <a:lnTo>
                                  <a:pt x="1779" y="5577"/>
                                </a:lnTo>
                                <a:lnTo>
                                  <a:pt x="1722" y="5527"/>
                                </a:lnTo>
                                <a:lnTo>
                                  <a:pt x="1666" y="5479"/>
                                </a:lnTo>
                                <a:lnTo>
                                  <a:pt x="1608" y="5434"/>
                                </a:lnTo>
                                <a:lnTo>
                                  <a:pt x="1592" y="5423"/>
                                </a:lnTo>
                                <a:lnTo>
                                  <a:pt x="1550" y="5392"/>
                                </a:lnTo>
                                <a:lnTo>
                                  <a:pt x="1491" y="5353"/>
                                </a:lnTo>
                                <a:lnTo>
                                  <a:pt x="1419" y="5310"/>
                                </a:lnTo>
                                <a:lnTo>
                                  <a:pt x="1345" y="5273"/>
                                </a:lnTo>
                                <a:lnTo>
                                  <a:pt x="1270" y="5240"/>
                                </a:lnTo>
                                <a:lnTo>
                                  <a:pt x="1194" y="5212"/>
                                </a:lnTo>
                                <a:lnTo>
                                  <a:pt x="1117" y="5189"/>
                                </a:lnTo>
                                <a:lnTo>
                                  <a:pt x="1039" y="5172"/>
                                </a:lnTo>
                                <a:lnTo>
                                  <a:pt x="961" y="5163"/>
                                </a:lnTo>
                                <a:lnTo>
                                  <a:pt x="883" y="5163"/>
                                </a:lnTo>
                                <a:lnTo>
                                  <a:pt x="805" y="5172"/>
                                </a:lnTo>
                                <a:lnTo>
                                  <a:pt x="726" y="5187"/>
                                </a:lnTo>
                                <a:lnTo>
                                  <a:pt x="649" y="5212"/>
                                </a:lnTo>
                                <a:lnTo>
                                  <a:pt x="574" y="5246"/>
                                </a:lnTo>
                                <a:lnTo>
                                  <a:pt x="501" y="5289"/>
                                </a:lnTo>
                                <a:lnTo>
                                  <a:pt x="432" y="5342"/>
                                </a:lnTo>
                                <a:lnTo>
                                  <a:pt x="365" y="5403"/>
                                </a:lnTo>
                                <a:lnTo>
                                  <a:pt x="0" y="5768"/>
                                </a:lnTo>
                                <a:lnTo>
                                  <a:pt x="1696" y="7464"/>
                                </a:lnTo>
                                <a:lnTo>
                                  <a:pt x="2053" y="7106"/>
                                </a:lnTo>
                                <a:lnTo>
                                  <a:pt x="2058" y="7101"/>
                                </a:lnTo>
                                <a:lnTo>
                                  <a:pt x="2108" y="7047"/>
                                </a:lnTo>
                                <a:lnTo>
                                  <a:pt x="2156" y="6987"/>
                                </a:lnTo>
                                <a:lnTo>
                                  <a:pt x="2196" y="6925"/>
                                </a:lnTo>
                                <a:lnTo>
                                  <a:pt x="2230" y="6861"/>
                                </a:lnTo>
                                <a:lnTo>
                                  <a:pt x="2257" y="6795"/>
                                </a:lnTo>
                                <a:lnTo>
                                  <a:pt x="2277" y="6727"/>
                                </a:lnTo>
                                <a:lnTo>
                                  <a:pt x="2294" y="6645"/>
                                </a:lnTo>
                                <a:lnTo>
                                  <a:pt x="2301" y="6565"/>
                                </a:lnTo>
                                <a:moveTo>
                                  <a:pt x="3923" y="5237"/>
                                </a:moveTo>
                                <a:lnTo>
                                  <a:pt x="3325" y="4972"/>
                                </a:lnTo>
                                <a:lnTo>
                                  <a:pt x="2895" y="4782"/>
                                </a:lnTo>
                                <a:lnTo>
                                  <a:pt x="2935" y="4702"/>
                                </a:lnTo>
                                <a:lnTo>
                                  <a:pt x="2961" y="4621"/>
                                </a:lnTo>
                                <a:lnTo>
                                  <a:pt x="2974" y="4539"/>
                                </a:lnTo>
                                <a:lnTo>
                                  <a:pt x="2972" y="4457"/>
                                </a:lnTo>
                                <a:lnTo>
                                  <a:pt x="2956" y="4373"/>
                                </a:lnTo>
                                <a:lnTo>
                                  <a:pt x="2934" y="4304"/>
                                </a:lnTo>
                                <a:lnTo>
                                  <a:pt x="2907" y="4239"/>
                                </a:lnTo>
                                <a:lnTo>
                                  <a:pt x="2873" y="4175"/>
                                </a:lnTo>
                                <a:lnTo>
                                  <a:pt x="2833" y="4114"/>
                                </a:lnTo>
                                <a:lnTo>
                                  <a:pt x="2787" y="4055"/>
                                </a:lnTo>
                                <a:lnTo>
                                  <a:pt x="2755" y="4021"/>
                                </a:lnTo>
                                <a:lnTo>
                                  <a:pt x="2734" y="3998"/>
                                </a:lnTo>
                                <a:lnTo>
                                  <a:pt x="2717" y="3982"/>
                                </a:lnTo>
                                <a:lnTo>
                                  <a:pt x="2717" y="4505"/>
                                </a:lnTo>
                                <a:lnTo>
                                  <a:pt x="2699" y="4574"/>
                                </a:lnTo>
                                <a:lnTo>
                                  <a:pt x="2662" y="4642"/>
                                </a:lnTo>
                                <a:lnTo>
                                  <a:pt x="2607" y="4707"/>
                                </a:lnTo>
                                <a:lnTo>
                                  <a:pt x="2242" y="5072"/>
                                </a:lnTo>
                                <a:lnTo>
                                  <a:pt x="1665" y="4495"/>
                                </a:lnTo>
                                <a:lnTo>
                                  <a:pt x="2030" y="4131"/>
                                </a:lnTo>
                                <a:lnTo>
                                  <a:pt x="2098" y="4074"/>
                                </a:lnTo>
                                <a:lnTo>
                                  <a:pt x="2167" y="4037"/>
                                </a:lnTo>
                                <a:lnTo>
                                  <a:pt x="2238" y="4021"/>
                                </a:lnTo>
                                <a:lnTo>
                                  <a:pt x="2310" y="4025"/>
                                </a:lnTo>
                                <a:lnTo>
                                  <a:pt x="2381" y="4046"/>
                                </a:lnTo>
                                <a:lnTo>
                                  <a:pt x="2447" y="4077"/>
                                </a:lnTo>
                                <a:lnTo>
                                  <a:pt x="2511" y="4118"/>
                                </a:lnTo>
                                <a:lnTo>
                                  <a:pt x="2571" y="4171"/>
                                </a:lnTo>
                                <a:lnTo>
                                  <a:pt x="2625" y="4232"/>
                                </a:lnTo>
                                <a:lnTo>
                                  <a:pt x="2667" y="4297"/>
                                </a:lnTo>
                                <a:lnTo>
                                  <a:pt x="2697" y="4364"/>
                                </a:lnTo>
                                <a:lnTo>
                                  <a:pt x="2715" y="4434"/>
                                </a:lnTo>
                                <a:lnTo>
                                  <a:pt x="2717" y="4505"/>
                                </a:lnTo>
                                <a:lnTo>
                                  <a:pt x="2717" y="3982"/>
                                </a:lnTo>
                                <a:lnTo>
                                  <a:pt x="2675" y="3943"/>
                                </a:lnTo>
                                <a:lnTo>
                                  <a:pt x="2614" y="3894"/>
                                </a:lnTo>
                                <a:lnTo>
                                  <a:pt x="2552" y="3852"/>
                                </a:lnTo>
                                <a:lnTo>
                                  <a:pt x="2488" y="3817"/>
                                </a:lnTo>
                                <a:lnTo>
                                  <a:pt x="2424" y="3789"/>
                                </a:lnTo>
                                <a:lnTo>
                                  <a:pt x="2358" y="3768"/>
                                </a:lnTo>
                                <a:lnTo>
                                  <a:pt x="2291" y="3753"/>
                                </a:lnTo>
                                <a:lnTo>
                                  <a:pt x="2223" y="3748"/>
                                </a:lnTo>
                                <a:lnTo>
                                  <a:pt x="2156" y="3753"/>
                                </a:lnTo>
                                <a:lnTo>
                                  <a:pt x="2089" y="3769"/>
                                </a:lnTo>
                                <a:lnTo>
                                  <a:pt x="2023" y="3795"/>
                                </a:lnTo>
                                <a:lnTo>
                                  <a:pt x="1958" y="3833"/>
                                </a:lnTo>
                                <a:lnTo>
                                  <a:pt x="1893" y="3880"/>
                                </a:lnTo>
                                <a:lnTo>
                                  <a:pt x="1830" y="3938"/>
                                </a:lnTo>
                                <a:lnTo>
                                  <a:pt x="1303" y="4465"/>
                                </a:lnTo>
                                <a:lnTo>
                                  <a:pt x="2999" y="6161"/>
                                </a:lnTo>
                                <a:lnTo>
                                  <a:pt x="3165" y="5995"/>
                                </a:lnTo>
                                <a:lnTo>
                                  <a:pt x="2438" y="5268"/>
                                </a:lnTo>
                                <a:lnTo>
                                  <a:pt x="2634" y="5072"/>
                                </a:lnTo>
                                <a:lnTo>
                                  <a:pt x="2734" y="4972"/>
                                </a:lnTo>
                                <a:lnTo>
                                  <a:pt x="3736" y="5424"/>
                                </a:lnTo>
                                <a:lnTo>
                                  <a:pt x="3923" y="5237"/>
                                </a:lnTo>
                                <a:moveTo>
                                  <a:pt x="5281" y="3879"/>
                                </a:moveTo>
                                <a:lnTo>
                                  <a:pt x="5053" y="3749"/>
                                </a:lnTo>
                                <a:lnTo>
                                  <a:pt x="4344" y="3351"/>
                                </a:lnTo>
                                <a:lnTo>
                                  <a:pt x="4344" y="3614"/>
                                </a:lnTo>
                                <a:lnTo>
                                  <a:pt x="3914" y="4044"/>
                                </a:lnTo>
                                <a:lnTo>
                                  <a:pt x="3838" y="3911"/>
                                </a:lnTo>
                                <a:lnTo>
                                  <a:pt x="3537" y="3376"/>
                                </a:lnTo>
                                <a:lnTo>
                                  <a:pt x="3461" y="3243"/>
                                </a:lnTo>
                                <a:lnTo>
                                  <a:pt x="3431" y="3193"/>
                                </a:lnTo>
                                <a:lnTo>
                                  <a:pt x="3400" y="3140"/>
                                </a:lnTo>
                                <a:lnTo>
                                  <a:pt x="3367" y="3085"/>
                                </a:lnTo>
                                <a:lnTo>
                                  <a:pt x="3331" y="3029"/>
                                </a:lnTo>
                                <a:lnTo>
                                  <a:pt x="3368" y="3054"/>
                                </a:lnTo>
                                <a:lnTo>
                                  <a:pt x="3416" y="3083"/>
                                </a:lnTo>
                                <a:lnTo>
                                  <a:pt x="3545" y="3159"/>
                                </a:lnTo>
                                <a:lnTo>
                                  <a:pt x="4344" y="3614"/>
                                </a:lnTo>
                                <a:lnTo>
                                  <a:pt x="4344" y="3351"/>
                                </a:lnTo>
                                <a:lnTo>
                                  <a:pt x="3770" y="3029"/>
                                </a:lnTo>
                                <a:lnTo>
                                  <a:pt x="3112" y="2657"/>
                                </a:lnTo>
                                <a:lnTo>
                                  <a:pt x="2957" y="2811"/>
                                </a:lnTo>
                                <a:lnTo>
                                  <a:pt x="3155" y="3161"/>
                                </a:lnTo>
                                <a:lnTo>
                                  <a:pt x="3941" y="4562"/>
                                </a:lnTo>
                                <a:lnTo>
                                  <a:pt x="4179" y="4981"/>
                                </a:lnTo>
                                <a:lnTo>
                                  <a:pt x="4353" y="4807"/>
                                </a:lnTo>
                                <a:lnTo>
                                  <a:pt x="4315" y="4741"/>
                                </a:lnTo>
                                <a:lnTo>
                                  <a:pt x="4089" y="4346"/>
                                </a:lnTo>
                                <a:lnTo>
                                  <a:pt x="4051" y="4280"/>
                                </a:lnTo>
                                <a:lnTo>
                                  <a:pt x="4287" y="4044"/>
                                </a:lnTo>
                                <a:lnTo>
                                  <a:pt x="4582" y="3749"/>
                                </a:lnTo>
                                <a:lnTo>
                                  <a:pt x="5111" y="4049"/>
                                </a:lnTo>
                                <a:lnTo>
                                  <a:pt x="5281" y="3879"/>
                                </a:lnTo>
                                <a:moveTo>
                                  <a:pt x="5732" y="3428"/>
                                </a:moveTo>
                                <a:lnTo>
                                  <a:pt x="4954" y="2650"/>
                                </a:lnTo>
                                <a:lnTo>
                                  <a:pt x="5152" y="2452"/>
                                </a:lnTo>
                                <a:lnTo>
                                  <a:pt x="5376" y="2228"/>
                                </a:lnTo>
                                <a:lnTo>
                                  <a:pt x="5177" y="2030"/>
                                </a:lnTo>
                                <a:lnTo>
                                  <a:pt x="4755" y="2452"/>
                                </a:lnTo>
                                <a:lnTo>
                                  <a:pt x="4235" y="1931"/>
                                </a:lnTo>
                                <a:lnTo>
                                  <a:pt x="4873" y="1293"/>
                                </a:lnTo>
                                <a:lnTo>
                                  <a:pt x="4674" y="1094"/>
                                </a:lnTo>
                                <a:lnTo>
                                  <a:pt x="3870" y="1898"/>
                                </a:lnTo>
                                <a:lnTo>
                                  <a:pt x="5566" y="3594"/>
                                </a:lnTo>
                                <a:lnTo>
                                  <a:pt x="5732" y="3428"/>
                                </a:lnTo>
                                <a:moveTo>
                                  <a:pt x="7092" y="2068"/>
                                </a:moveTo>
                                <a:lnTo>
                                  <a:pt x="5763" y="740"/>
                                </a:lnTo>
                                <a:lnTo>
                                  <a:pt x="5597" y="573"/>
                                </a:lnTo>
                                <a:lnTo>
                                  <a:pt x="5969" y="201"/>
                                </a:lnTo>
                                <a:lnTo>
                                  <a:pt x="5768" y="0"/>
                                </a:lnTo>
                                <a:lnTo>
                                  <a:pt x="4857" y="911"/>
                                </a:lnTo>
                                <a:lnTo>
                                  <a:pt x="5058" y="1112"/>
                                </a:lnTo>
                                <a:lnTo>
                                  <a:pt x="5431" y="740"/>
                                </a:lnTo>
                                <a:lnTo>
                                  <a:pt x="6925" y="2234"/>
                                </a:lnTo>
                                <a:lnTo>
                                  <a:pt x="7092" y="2068"/>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Rectangle 234"/>
                        <wps:cNvSpPr>
                          <a:spLocks noChangeArrowheads="1"/>
                        </wps:cNvSpPr>
                        <wps:spPr bwMode="auto">
                          <a:xfrm>
                            <a:off x="283" y="1473"/>
                            <a:ext cx="11339" cy="15081"/>
                          </a:xfrm>
                          <a:prstGeom prst="rect">
                            <a:avLst/>
                          </a:prstGeom>
                          <a:solidFill>
                            <a:srgbClr val="C0D2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9" name="Picture 23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285" y="1470"/>
                            <a:ext cx="11228" cy="15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677997" id="Group 232" o:spid="_x0000_s1026" style="position:absolute;margin-left:14.2pt;margin-top:73.5pt;width:566.95pt;height:768.55pt;z-index:251688960;mso-position-horizontal-relative:page;mso-position-vertical-relative:page" coordorigin="284,1470" coordsize="11339,15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">
                <v:shape id="AutoShape 235" o:spid="_x0000_s1027" style="position:absolute;left:2022;top:4690;width:7092;height:7464;visibility:visible;mso-wrap-style:square;v-text-anchor:top" coordsize="7092,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" path="m2301,6565r-1,-80l2290,6405r-19,-78l2244,6250r-30,-75l2181,6101r-38,-72l2101,5959r-46,-69l2039,5869r,609l2039,6551r-11,72l2007,6695r-32,69l1932,6828r-54,61l1666,7101,360,5795,593,5562r58,-50l714,5472r66,-28l851,5427r76,-4l1005,5427r76,13l1157,5460r74,28l1304,5525r61,36l1425,5601r60,44l1544,5694r59,52l1662,5802r59,62l1776,5928r51,63l1873,6056r41,66l1950,6190r31,70l2009,6332r20,74l2039,6478r,-609l2005,5823r-54,-65l1894,5693r-60,-63l1779,5577r-57,-50l1666,5479r-58,-45l1592,5423r-42,-31l1491,5353r-72,-43l1345,5273r-75,-33l1194,5212r-77,-23l1039,5172r-78,-9l883,5163r-78,9l726,5187r-77,25l574,5246r-73,43l432,5342r-67,61l,5768,1696,7464r357,-358l2058,7101r50,-54l2156,6987r40,-62l2230,6861r27,-66l2277,6727r17,-82l2301,6565m3923,5237l3325,4972,2895,4782r40,-80l2961,4621r13,-82l2972,4457r-16,-84l2934,4304r-27,-65l2873,4175r-40,-61l2787,4055r-32,-34l2734,3998r-17,-16l2717,4505r-18,69l2662,4642r-55,65l2242,5072,1665,4495r365,-364l2098,4074r69,-37l2238,4021r72,4l2381,4046r66,31l2511,4118r60,53l2625,4232r42,65l2697,4364r18,70l2717,4505r,-523l2675,3943r-61,-49l2552,3852r-64,-35l2424,3789r-66,-21l2291,3753r-68,-5l2156,3753r-67,16l2023,3795r-65,38l1893,3880r-63,58l1303,4465,2999,6161r166,-166l2438,5268r196,-196l2734,4972r1002,452l3923,5237m5281,3879l5053,3749,4344,3351r,263l3914,4044r-76,-133l3537,3376r-76,-133l3431,3193r-31,-53l3367,3085r-36,-56l3368,3054r48,29l3545,3159r799,455l4344,3351,3770,3029,3112,2657r-155,154l3155,3161r786,1401l4179,4981r174,-174l4315,4741,4089,4346r-38,-66l4287,4044r295,-295l5111,4049r170,-170m5732,3428l4954,2650r198,-198l5376,2228,5177,2030r-422,422l4235,1931r638,-638l4674,1094r-804,804l5566,3594r166,-166m7092,2068l5763,740,5597,573,5969,201,5768,,4857,911r201,201l5431,740,6925,2234r167,-166e" fillcolor="silver" stroked="f">
                  <v:fill opacity="32896f"/>
                  <v:path arrowok="t" o:connecttype="custom" o:connectlocs="2271,11018;2143,10720;2039,11169;1975,11455;360,10486;780,10135;1081,10131;1365,10252;1603,10437;1827,10682;1981,10951;2039,10560;1834,10321;1608,10125;1419,10001;1117,9880;805,9863;501,9980;1696,12155;2156,11678;2277,11418;3325,9663;2974,9230;2907,8930;2755,8712;2699,9265;1665,9186;2238,8712;2511,8809;2697,9055;2675,8634;2424,8480;2156,8444;1893,8571;3165,10686;3736,10115;4344,8042;3537,8067;3367,7776;3545,7850;3112,7348;4179,9672;4051,8971;5281,8570;5376,6919;4873,5984;5732,8119;5969,4892;5431,5431" o:connectangles="0,0,0,0,0,0,0,0,0,0,0,0,0,0,0,0,0,0,0,0,0,0,0,0,0,0,0,0,0,0,0,0,0,0,0,0,0,0,0,0,0,0,0,0,0,0,0,0,0"/>
                </v:shape>
                <v:rect id="Rectangle 234" o:spid="_x0000_s1028" style="position:absolute;left:283;top:1473;width:11339;height:15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" fillcolor="#c0d2e0" stroked="f"/>
                <v:shape id="Picture 233" o:spid="_x0000_s1029" type="#_x0000_t75" style="position:absolute;left:285;top:1470;width:11228;height:15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">
                  <v:imagedata r:id="rId173" o:title=""/>
                </v:shape>
                <w10:wrap anchorx="page" anchory="page"/>
              </v:group>
            </w:pict>
          </mc:Fallback>
        </mc:AlternateContent>
      </w:r>
    </w:p>
    <w:p w:rsidR="007D76BB" w:rsidRDefault="00D70D28">
      <w:pPr>
        <w:pStyle w:val="BodyText"/>
        <w:spacing w:line="20" w:lineRule="exact"/>
        <w:ind w:left="448"/>
        <w:rPr>
          <w:rFonts w:ascii="Arial"/>
          <w:sz w:val="2"/>
        </w:rPr>
      </w:pPr>
      <w:r>
        <w:rPr>
          <w:rFonts w:ascii="Arial"/>
          <w:noProof/>
          <w:sz w:val="2"/>
          <w:lang w:val="en-AU" w:eastAsia="en-AU"/>
        </w:rPr>
        <mc:AlternateContent>
          <mc:Choice Requires="wpg">
            <w:drawing>
              <wp:inline distT="0" distB="0" distL="0" distR="0">
                <wp:extent cx="5438775" cy="6350"/>
                <wp:effectExtent l="11430" t="2540" r="7620" b="10160"/>
                <wp:docPr id="374"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775" cy="6350"/>
                          <a:chOff x="0" y="0"/>
                          <a:chExt cx="8565" cy="10"/>
                        </a:xfrm>
                      </wpg:grpSpPr>
                      <wps:wsp>
                        <wps:cNvPr id="375" name="Line 231"/>
                        <wps:cNvCnPr>
                          <a:cxnSpLocks noChangeShapeType="1"/>
                        </wps:cNvCnPr>
                        <wps:spPr bwMode="auto">
                          <a:xfrm>
                            <a:off x="0" y="5"/>
                            <a:ext cx="8565" cy="0"/>
                          </a:xfrm>
                          <a:prstGeom prst="line">
                            <a:avLst/>
                          </a:prstGeom>
                          <a:noFill/>
                          <a:ln w="6096">
                            <a:solidFill>
                              <a:srgbClr val="608FB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1E3A08" id="Group 230" o:spid="_x0000_s1026" style="width:428.25pt;height:.5pt;mso-position-horizontal-relative:char;mso-position-vertical-relative:line" coordsize="85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">
                <v:line id="Line 231" o:spid="_x0000_s1027" style="position:absolute;visibility:visible;mso-wrap-style:square" from="0,5" to="85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" strokecolor="#608fb5" strokeweight=".48pt"/>
                <w10:anchorlock/>
              </v:group>
            </w:pict>
          </mc:Fallback>
        </mc:AlternateContent>
      </w:r>
    </w:p>
    <w:p w:rsidR="007D76BB" w:rsidRDefault="007D76BB">
      <w:pPr>
        <w:spacing w:line="20" w:lineRule="exact"/>
        <w:rPr>
          <w:rFonts w:ascii="Arial"/>
          <w:sz w:val="2"/>
        </w:rPr>
        <w:sectPr w:rsidR="007D76BB">
          <w:headerReference w:type="default" r:id="rId174"/>
          <w:footerReference w:type="default" r:id="rId175"/>
          <w:pgSz w:w="11910" w:h="16850"/>
          <w:pgMar w:top="660" w:right="820" w:bottom="280" w:left="1220" w:header="459" w:footer="0"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spacing w:before="2"/>
        <w:rPr>
          <w:rFonts w:ascii="Arial"/>
          <w:sz w:val="29"/>
        </w:rPr>
      </w:pPr>
    </w:p>
    <w:p w:rsidR="007D76BB" w:rsidRDefault="00D70D28">
      <w:pPr>
        <w:pStyle w:val="Heading1"/>
        <w:rPr>
          <w:b/>
        </w:rPr>
      </w:pPr>
      <w:r>
        <w:rPr>
          <w:b/>
          <w:color w:val="0D213E"/>
          <w:spacing w:val="-12"/>
        </w:rPr>
        <w:t xml:space="preserve">TABLE </w:t>
      </w:r>
      <w:r>
        <w:rPr>
          <w:b/>
          <w:color w:val="0D213E"/>
          <w:spacing w:val="-9"/>
        </w:rPr>
        <w:t>OF</w:t>
      </w:r>
      <w:r>
        <w:rPr>
          <w:b/>
          <w:color w:val="0D213E"/>
          <w:spacing w:val="-131"/>
        </w:rPr>
        <w:t xml:space="preserve"> </w:t>
      </w:r>
      <w:r>
        <w:rPr>
          <w:b/>
          <w:color w:val="0D213E"/>
          <w:spacing w:val="-13"/>
        </w:rPr>
        <w:t>CONTENTS</w:t>
      </w:r>
    </w:p>
    <w:p w:rsidR="007D76BB" w:rsidRDefault="00D70D28">
      <w:pPr>
        <w:tabs>
          <w:tab w:val="right" w:pos="8989"/>
        </w:tabs>
        <w:spacing w:before="284"/>
        <w:ind w:left="482"/>
        <w:rPr>
          <w:rFonts w:ascii="Arial"/>
          <w:sz w:val="26"/>
        </w:rPr>
      </w:pPr>
      <w:r>
        <w:rPr>
          <w:noProof/>
          <w:lang w:val="en-AU" w:eastAsia="en-AU"/>
        </w:rPr>
        <mc:AlternateContent>
          <mc:Choice Requires="wps">
            <w:drawing>
              <wp:anchor distT="0" distB="0" distL="114300" distR="114300" simplePos="0" relativeHeight="251689984" behindDoc="0" locked="0" layoutInCell="1" allowOverlap="1">
                <wp:simplePos x="0" y="0"/>
                <wp:positionH relativeFrom="page">
                  <wp:posOffset>1062355</wp:posOffset>
                </wp:positionH>
                <wp:positionV relativeFrom="paragraph">
                  <wp:posOffset>429895</wp:posOffset>
                </wp:positionV>
                <wp:extent cx="5438775" cy="0"/>
                <wp:effectExtent l="0" t="0" r="0" b="0"/>
                <wp:wrapNone/>
                <wp:docPr id="373"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line">
                          <a:avLst/>
                        </a:prstGeom>
                        <a:noFill/>
                        <a:ln w="6096">
                          <a:solidFill>
                            <a:srgbClr val="00538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DA76B" id="Line 229"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65pt,33.85pt" to="511.9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" strokecolor="#005386" strokeweight=".48pt">
                <w10:wrap anchorx="page"/>
              </v:line>
            </w:pict>
          </mc:Fallback>
        </mc:AlternateContent>
      </w:r>
      <w:hyperlink w:anchor="_bookmark68" w:history="1">
        <w:r>
          <w:rPr>
            <w:rFonts w:ascii="Arial"/>
            <w:w w:val="105"/>
            <w:sz w:val="26"/>
          </w:rPr>
          <w:t>Executive</w:t>
        </w:r>
        <w:r>
          <w:rPr>
            <w:rFonts w:ascii="Arial"/>
            <w:spacing w:val="-17"/>
            <w:w w:val="105"/>
            <w:sz w:val="26"/>
          </w:rPr>
          <w:t xml:space="preserve"> </w:t>
        </w:r>
        <w:r>
          <w:rPr>
            <w:rFonts w:ascii="Arial"/>
            <w:w w:val="105"/>
            <w:sz w:val="26"/>
          </w:rPr>
          <w:t>Summary</w:t>
        </w:r>
        <w:r>
          <w:rPr>
            <w:rFonts w:ascii="Arial"/>
            <w:w w:val="105"/>
            <w:sz w:val="26"/>
          </w:rPr>
          <w:tab/>
          <w:t>4</w:t>
        </w:r>
      </w:hyperlink>
    </w:p>
    <w:p w:rsidR="007D76BB" w:rsidRDefault="00A51832">
      <w:pPr>
        <w:tabs>
          <w:tab w:val="right" w:pos="8989"/>
        </w:tabs>
        <w:spacing w:before="235"/>
        <w:ind w:left="482"/>
        <w:rPr>
          <w:rFonts w:ascii="Arial"/>
          <w:sz w:val="19"/>
        </w:rPr>
      </w:pPr>
      <w:hyperlink w:anchor="_bookmark69" w:history="1">
        <w:r w:rsidR="00D70D28">
          <w:rPr>
            <w:rFonts w:ascii="Arial"/>
            <w:w w:val="105"/>
            <w:sz w:val="19"/>
          </w:rPr>
          <w:t>Background</w:t>
        </w:r>
        <w:r w:rsidR="00D70D28">
          <w:rPr>
            <w:rFonts w:ascii="Arial"/>
            <w:w w:val="105"/>
            <w:sz w:val="19"/>
          </w:rPr>
          <w:tab/>
          <w:t>4</w:t>
        </w:r>
      </w:hyperlink>
    </w:p>
    <w:p w:rsidR="007D76BB" w:rsidRDefault="00A51832">
      <w:pPr>
        <w:tabs>
          <w:tab w:val="right" w:pos="8989"/>
        </w:tabs>
        <w:spacing w:before="141"/>
        <w:ind w:left="482"/>
        <w:rPr>
          <w:rFonts w:ascii="Arial"/>
          <w:sz w:val="19"/>
        </w:rPr>
      </w:pPr>
      <w:hyperlink w:anchor="_bookmark70" w:history="1">
        <w:r w:rsidR="00D70D28">
          <w:rPr>
            <w:rFonts w:ascii="Arial"/>
            <w:w w:val="110"/>
            <w:sz w:val="19"/>
          </w:rPr>
          <w:t>Purpose of</w:t>
        </w:r>
        <w:r w:rsidR="00D70D28">
          <w:rPr>
            <w:rFonts w:ascii="Arial"/>
            <w:spacing w:val="-30"/>
            <w:w w:val="110"/>
            <w:sz w:val="19"/>
          </w:rPr>
          <w:t xml:space="preserve"> </w:t>
        </w:r>
        <w:r w:rsidR="00D70D28">
          <w:rPr>
            <w:rFonts w:ascii="Arial"/>
            <w:w w:val="110"/>
            <w:sz w:val="19"/>
          </w:rPr>
          <w:t>this</w:t>
        </w:r>
        <w:r w:rsidR="00D70D28">
          <w:rPr>
            <w:rFonts w:ascii="Arial"/>
            <w:spacing w:val="-16"/>
            <w:w w:val="110"/>
            <w:sz w:val="19"/>
          </w:rPr>
          <w:t xml:space="preserve"> </w:t>
        </w:r>
        <w:r w:rsidR="00D70D28">
          <w:rPr>
            <w:rFonts w:ascii="Arial"/>
            <w:w w:val="110"/>
            <w:sz w:val="19"/>
          </w:rPr>
          <w:t>report</w:t>
        </w:r>
        <w:r w:rsidR="00D70D28">
          <w:rPr>
            <w:rFonts w:ascii="Arial"/>
            <w:w w:val="110"/>
            <w:sz w:val="19"/>
          </w:rPr>
          <w:tab/>
          <w:t>4</w:t>
        </w:r>
      </w:hyperlink>
    </w:p>
    <w:p w:rsidR="007D76BB" w:rsidRDefault="00A51832">
      <w:pPr>
        <w:tabs>
          <w:tab w:val="right" w:pos="8989"/>
        </w:tabs>
        <w:spacing w:before="144"/>
        <w:ind w:left="482"/>
        <w:rPr>
          <w:rFonts w:ascii="Arial"/>
          <w:sz w:val="19"/>
        </w:rPr>
      </w:pPr>
      <w:hyperlink w:anchor="_bookmark71" w:history="1">
        <w:r w:rsidR="00D70D28">
          <w:rPr>
            <w:rFonts w:ascii="Arial"/>
            <w:w w:val="105"/>
            <w:sz w:val="19"/>
          </w:rPr>
          <w:t>Approach</w:t>
        </w:r>
        <w:r w:rsidR="00D70D28">
          <w:rPr>
            <w:rFonts w:ascii="Arial"/>
            <w:w w:val="105"/>
            <w:sz w:val="19"/>
          </w:rPr>
          <w:tab/>
          <w:t>4</w:t>
        </w:r>
      </w:hyperlink>
    </w:p>
    <w:p w:rsidR="007D76BB" w:rsidRDefault="00A51832">
      <w:pPr>
        <w:tabs>
          <w:tab w:val="right" w:pos="8989"/>
        </w:tabs>
        <w:spacing w:before="142"/>
        <w:ind w:left="482"/>
        <w:rPr>
          <w:rFonts w:ascii="Arial"/>
          <w:sz w:val="19"/>
        </w:rPr>
      </w:pPr>
      <w:hyperlink w:anchor="_bookmark72" w:history="1">
        <w:r w:rsidR="00D70D28">
          <w:rPr>
            <w:rFonts w:ascii="Arial"/>
            <w:w w:val="105"/>
            <w:sz w:val="19"/>
          </w:rPr>
          <w:t>Conclusion</w:t>
        </w:r>
        <w:r w:rsidR="00D70D28">
          <w:rPr>
            <w:rFonts w:ascii="Arial"/>
            <w:w w:val="105"/>
            <w:sz w:val="19"/>
          </w:rPr>
          <w:tab/>
          <w:t>4</w:t>
        </w:r>
      </w:hyperlink>
    </w:p>
    <w:p w:rsidR="007D76BB" w:rsidRDefault="00D70D28">
      <w:pPr>
        <w:tabs>
          <w:tab w:val="right" w:pos="8987"/>
        </w:tabs>
        <w:spacing w:before="208"/>
        <w:ind w:left="482"/>
        <w:rPr>
          <w:rFonts w:ascii="Arial"/>
          <w:sz w:val="26"/>
        </w:rPr>
      </w:pPr>
      <w:r>
        <w:rPr>
          <w:noProof/>
          <w:lang w:val="en-AU" w:eastAsia="en-AU"/>
        </w:rPr>
        <mc:AlternateContent>
          <mc:Choice Requires="wps">
            <w:drawing>
              <wp:anchor distT="0" distB="0" distL="114300" distR="114300" simplePos="0" relativeHeight="251691008" behindDoc="0" locked="0" layoutInCell="1" allowOverlap="1">
                <wp:simplePos x="0" y="0"/>
                <wp:positionH relativeFrom="page">
                  <wp:posOffset>1062355</wp:posOffset>
                </wp:positionH>
                <wp:positionV relativeFrom="paragraph">
                  <wp:posOffset>381635</wp:posOffset>
                </wp:positionV>
                <wp:extent cx="5438775" cy="0"/>
                <wp:effectExtent l="0" t="0" r="0" b="0"/>
                <wp:wrapNone/>
                <wp:docPr id="372"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line">
                          <a:avLst/>
                        </a:prstGeom>
                        <a:noFill/>
                        <a:ln w="6096">
                          <a:solidFill>
                            <a:srgbClr val="00538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242F5" id="Line 228"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65pt,30.05pt" to="511.9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" strokecolor="#005386" strokeweight=".48pt">
                <w10:wrap anchorx="page"/>
              </v:line>
            </w:pict>
          </mc:Fallback>
        </mc:AlternateContent>
      </w:r>
      <w:hyperlink w:anchor="_bookmark73" w:history="1">
        <w:r>
          <w:rPr>
            <w:rFonts w:ascii="Arial"/>
            <w:w w:val="105"/>
            <w:sz w:val="26"/>
          </w:rPr>
          <w:t>General</w:t>
        </w:r>
        <w:r>
          <w:rPr>
            <w:rFonts w:ascii="Arial"/>
            <w:w w:val="105"/>
            <w:sz w:val="26"/>
          </w:rPr>
          <w:tab/>
          <w:t>6</w:t>
        </w:r>
      </w:hyperlink>
    </w:p>
    <w:p w:rsidR="007D76BB" w:rsidRDefault="00A51832">
      <w:pPr>
        <w:tabs>
          <w:tab w:val="right" w:pos="8989"/>
        </w:tabs>
        <w:spacing w:before="235"/>
        <w:ind w:left="482"/>
        <w:rPr>
          <w:rFonts w:ascii="Arial"/>
          <w:sz w:val="19"/>
        </w:rPr>
      </w:pPr>
      <w:hyperlink w:anchor="_bookmark74" w:history="1">
        <w:r w:rsidR="00D70D28">
          <w:rPr>
            <w:rFonts w:ascii="Arial"/>
            <w:w w:val="105"/>
            <w:sz w:val="19"/>
          </w:rPr>
          <w:t>Background</w:t>
        </w:r>
        <w:r w:rsidR="00D70D28">
          <w:rPr>
            <w:rFonts w:ascii="Arial"/>
            <w:w w:val="105"/>
            <w:sz w:val="19"/>
          </w:rPr>
          <w:tab/>
          <w:t>6</w:t>
        </w:r>
      </w:hyperlink>
    </w:p>
    <w:p w:rsidR="007D76BB" w:rsidRDefault="00A51832">
      <w:pPr>
        <w:tabs>
          <w:tab w:val="right" w:pos="8989"/>
        </w:tabs>
        <w:spacing w:before="142"/>
        <w:ind w:left="935"/>
        <w:rPr>
          <w:rFonts w:ascii="Arial"/>
          <w:sz w:val="19"/>
        </w:rPr>
      </w:pPr>
      <w:hyperlink w:anchor="_bookmark75" w:history="1">
        <w:r w:rsidR="00D70D28">
          <w:rPr>
            <w:rFonts w:ascii="Arial"/>
            <w:w w:val="105"/>
            <w:sz w:val="19"/>
          </w:rPr>
          <w:t>Need</w:t>
        </w:r>
        <w:r w:rsidR="00D70D28">
          <w:rPr>
            <w:rFonts w:ascii="Arial"/>
            <w:spacing w:val="-13"/>
            <w:w w:val="105"/>
            <w:sz w:val="19"/>
          </w:rPr>
          <w:t xml:space="preserve"> </w:t>
        </w:r>
        <w:r w:rsidR="00D70D28">
          <w:rPr>
            <w:rFonts w:ascii="Arial"/>
            <w:w w:val="105"/>
            <w:sz w:val="19"/>
          </w:rPr>
          <w:t>for</w:t>
        </w:r>
        <w:r w:rsidR="00D70D28">
          <w:rPr>
            <w:rFonts w:ascii="Arial"/>
            <w:spacing w:val="-10"/>
            <w:w w:val="105"/>
            <w:sz w:val="19"/>
          </w:rPr>
          <w:t xml:space="preserve"> </w:t>
        </w:r>
        <w:r w:rsidR="00D70D28">
          <w:rPr>
            <w:rFonts w:ascii="Arial"/>
            <w:w w:val="105"/>
            <w:sz w:val="19"/>
          </w:rPr>
          <w:t>regulatory</w:t>
        </w:r>
        <w:r w:rsidR="00D70D28">
          <w:rPr>
            <w:rFonts w:ascii="Arial"/>
            <w:spacing w:val="-13"/>
            <w:w w:val="105"/>
            <w:sz w:val="19"/>
          </w:rPr>
          <w:t xml:space="preserve"> </w:t>
        </w:r>
        <w:r w:rsidR="00D70D28">
          <w:rPr>
            <w:rFonts w:ascii="Arial"/>
            <w:w w:val="105"/>
            <w:sz w:val="19"/>
          </w:rPr>
          <w:t>clarification</w:t>
        </w:r>
        <w:r w:rsidR="00D70D28">
          <w:rPr>
            <w:rFonts w:ascii="Arial"/>
            <w:spacing w:val="-10"/>
            <w:w w:val="105"/>
            <w:sz w:val="19"/>
          </w:rPr>
          <w:t xml:space="preserve"> </w:t>
        </w:r>
        <w:r w:rsidR="00D70D28">
          <w:rPr>
            <w:rFonts w:ascii="Arial"/>
            <w:w w:val="105"/>
            <w:sz w:val="19"/>
          </w:rPr>
          <w:t>for</w:t>
        </w:r>
        <w:r w:rsidR="00D70D28">
          <w:rPr>
            <w:rFonts w:ascii="Arial"/>
            <w:spacing w:val="-11"/>
            <w:w w:val="105"/>
            <w:sz w:val="19"/>
          </w:rPr>
          <w:t xml:space="preserve"> </w:t>
        </w:r>
        <w:r w:rsidR="00D70D28">
          <w:rPr>
            <w:rFonts w:ascii="Arial"/>
            <w:w w:val="105"/>
            <w:sz w:val="19"/>
          </w:rPr>
          <w:t>sports</w:t>
        </w:r>
        <w:r w:rsidR="00D70D28">
          <w:rPr>
            <w:rFonts w:ascii="Arial"/>
            <w:spacing w:val="-11"/>
            <w:w w:val="105"/>
            <w:sz w:val="19"/>
          </w:rPr>
          <w:t xml:space="preserve"> </w:t>
        </w:r>
        <w:r w:rsidR="00D70D28">
          <w:rPr>
            <w:rFonts w:ascii="Arial"/>
            <w:w w:val="105"/>
            <w:sz w:val="19"/>
          </w:rPr>
          <w:t>supplements</w:t>
        </w:r>
        <w:r w:rsidR="00D70D28">
          <w:rPr>
            <w:rFonts w:ascii="Arial"/>
            <w:w w:val="105"/>
            <w:sz w:val="19"/>
          </w:rPr>
          <w:tab/>
          <w:t>6</w:t>
        </w:r>
      </w:hyperlink>
    </w:p>
    <w:p w:rsidR="007D76BB" w:rsidRDefault="00A51832">
      <w:pPr>
        <w:tabs>
          <w:tab w:val="right" w:pos="8989"/>
        </w:tabs>
        <w:spacing w:before="141"/>
        <w:ind w:left="935"/>
        <w:rPr>
          <w:rFonts w:ascii="Arial"/>
          <w:sz w:val="19"/>
        </w:rPr>
      </w:pPr>
      <w:hyperlink w:anchor="_bookmark76" w:history="1">
        <w:r w:rsidR="00D70D28">
          <w:rPr>
            <w:rFonts w:ascii="Arial"/>
            <w:w w:val="105"/>
            <w:sz w:val="19"/>
          </w:rPr>
          <w:t>Summary of proposed</w:t>
        </w:r>
        <w:r w:rsidR="00D70D28">
          <w:rPr>
            <w:rFonts w:ascii="Arial"/>
            <w:spacing w:val="-34"/>
            <w:w w:val="105"/>
            <w:sz w:val="19"/>
          </w:rPr>
          <w:t xml:space="preserve"> </w:t>
        </w:r>
        <w:r w:rsidR="00D70D28">
          <w:rPr>
            <w:rFonts w:ascii="Arial"/>
            <w:w w:val="105"/>
            <w:sz w:val="19"/>
          </w:rPr>
          <w:t>regulatory</w:t>
        </w:r>
        <w:r w:rsidR="00D70D28">
          <w:rPr>
            <w:rFonts w:ascii="Arial"/>
            <w:spacing w:val="-13"/>
            <w:w w:val="105"/>
            <w:sz w:val="19"/>
          </w:rPr>
          <w:t xml:space="preserve"> </w:t>
        </w:r>
        <w:r w:rsidR="00D70D28">
          <w:rPr>
            <w:rFonts w:ascii="Arial"/>
            <w:w w:val="105"/>
            <w:sz w:val="19"/>
          </w:rPr>
          <w:t>clarification</w:t>
        </w:r>
        <w:r w:rsidR="00D70D28">
          <w:rPr>
            <w:rFonts w:ascii="Arial"/>
            <w:w w:val="105"/>
            <w:sz w:val="19"/>
          </w:rPr>
          <w:tab/>
          <w:t>7</w:t>
        </w:r>
      </w:hyperlink>
    </w:p>
    <w:p w:rsidR="007D76BB" w:rsidRDefault="00A51832">
      <w:pPr>
        <w:tabs>
          <w:tab w:val="right" w:pos="8989"/>
        </w:tabs>
        <w:spacing w:before="142"/>
        <w:ind w:left="935"/>
        <w:rPr>
          <w:rFonts w:ascii="Arial"/>
          <w:sz w:val="19"/>
        </w:rPr>
      </w:pPr>
      <w:hyperlink w:anchor="_bookmark77" w:history="1">
        <w:r w:rsidR="00D70D28">
          <w:rPr>
            <w:rFonts w:ascii="Arial"/>
            <w:sz w:val="19"/>
          </w:rPr>
          <w:t>Transition</w:t>
        </w:r>
        <w:r w:rsidR="00D70D28">
          <w:rPr>
            <w:rFonts w:ascii="Arial"/>
            <w:spacing w:val="-9"/>
            <w:sz w:val="19"/>
          </w:rPr>
          <w:t xml:space="preserve"> </w:t>
        </w:r>
        <w:r w:rsidR="00D70D28">
          <w:rPr>
            <w:rFonts w:ascii="Arial"/>
            <w:sz w:val="19"/>
          </w:rPr>
          <w:t>period</w:t>
        </w:r>
        <w:r w:rsidR="00D70D28">
          <w:rPr>
            <w:rFonts w:ascii="Arial"/>
            <w:sz w:val="19"/>
          </w:rPr>
          <w:tab/>
          <w:t>7</w:t>
        </w:r>
      </w:hyperlink>
    </w:p>
    <w:p w:rsidR="007D76BB" w:rsidRDefault="00A51832">
      <w:pPr>
        <w:tabs>
          <w:tab w:val="right" w:pos="8989"/>
        </w:tabs>
        <w:spacing w:before="144"/>
        <w:ind w:left="482"/>
        <w:rPr>
          <w:rFonts w:ascii="Arial"/>
          <w:sz w:val="19"/>
        </w:rPr>
      </w:pPr>
      <w:hyperlink w:anchor="_bookmark78" w:history="1">
        <w:r w:rsidR="00D70D28">
          <w:rPr>
            <w:rFonts w:ascii="Arial"/>
            <w:w w:val="105"/>
            <w:sz w:val="19"/>
          </w:rPr>
          <w:t>Purpose of</w:t>
        </w:r>
        <w:r w:rsidR="00D70D28">
          <w:rPr>
            <w:rFonts w:ascii="Arial"/>
            <w:spacing w:val="-25"/>
            <w:w w:val="105"/>
            <w:sz w:val="19"/>
          </w:rPr>
          <w:t xml:space="preserve"> </w:t>
        </w:r>
        <w:r w:rsidR="00D70D28">
          <w:rPr>
            <w:rFonts w:ascii="Arial"/>
            <w:w w:val="105"/>
            <w:sz w:val="19"/>
          </w:rPr>
          <w:t>this</w:t>
        </w:r>
        <w:r w:rsidR="00D70D28">
          <w:rPr>
            <w:rFonts w:ascii="Arial"/>
            <w:spacing w:val="-13"/>
            <w:w w:val="105"/>
            <w:sz w:val="19"/>
          </w:rPr>
          <w:t xml:space="preserve"> </w:t>
        </w:r>
        <w:r w:rsidR="00D70D28">
          <w:rPr>
            <w:rFonts w:ascii="Arial"/>
            <w:w w:val="105"/>
            <w:sz w:val="19"/>
          </w:rPr>
          <w:t>Report</w:t>
        </w:r>
        <w:r w:rsidR="00D70D28">
          <w:rPr>
            <w:rFonts w:ascii="Arial"/>
            <w:w w:val="105"/>
            <w:sz w:val="19"/>
          </w:rPr>
          <w:tab/>
          <w:t>7</w:t>
        </w:r>
      </w:hyperlink>
    </w:p>
    <w:p w:rsidR="007D76BB" w:rsidRDefault="00A51832">
      <w:pPr>
        <w:tabs>
          <w:tab w:val="right" w:pos="8989"/>
        </w:tabs>
        <w:spacing w:before="141"/>
        <w:ind w:left="482"/>
        <w:rPr>
          <w:rFonts w:ascii="Arial"/>
          <w:sz w:val="19"/>
        </w:rPr>
      </w:pPr>
      <w:hyperlink w:anchor="_bookmark79" w:history="1">
        <w:r w:rsidR="00D70D28">
          <w:rPr>
            <w:rFonts w:ascii="Arial"/>
            <w:w w:val="105"/>
            <w:sz w:val="19"/>
          </w:rPr>
          <w:t>Approach</w:t>
        </w:r>
        <w:r w:rsidR="00D70D28">
          <w:rPr>
            <w:rFonts w:ascii="Arial"/>
            <w:w w:val="105"/>
            <w:sz w:val="19"/>
          </w:rPr>
          <w:tab/>
          <w:t>8</w:t>
        </w:r>
      </w:hyperlink>
    </w:p>
    <w:p w:rsidR="007D76BB" w:rsidRDefault="00D70D28">
      <w:pPr>
        <w:tabs>
          <w:tab w:val="right" w:pos="8991"/>
        </w:tabs>
        <w:spacing w:before="208"/>
        <w:ind w:left="482"/>
        <w:rPr>
          <w:rFonts w:ascii="Arial"/>
          <w:sz w:val="26"/>
        </w:rPr>
      </w:pPr>
      <w:r>
        <w:rPr>
          <w:noProof/>
          <w:lang w:val="en-AU" w:eastAsia="en-AU"/>
        </w:rPr>
        <mc:AlternateContent>
          <mc:Choice Requires="wps">
            <w:drawing>
              <wp:anchor distT="0" distB="0" distL="114300" distR="114300" simplePos="0" relativeHeight="251692032" behindDoc="0" locked="0" layoutInCell="1" allowOverlap="1">
                <wp:simplePos x="0" y="0"/>
                <wp:positionH relativeFrom="page">
                  <wp:posOffset>1062355</wp:posOffset>
                </wp:positionH>
                <wp:positionV relativeFrom="paragraph">
                  <wp:posOffset>381635</wp:posOffset>
                </wp:positionV>
                <wp:extent cx="5438775" cy="0"/>
                <wp:effectExtent l="0" t="0" r="0" b="0"/>
                <wp:wrapNone/>
                <wp:docPr id="371"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line">
                          <a:avLst/>
                        </a:prstGeom>
                        <a:noFill/>
                        <a:ln w="6096">
                          <a:solidFill>
                            <a:srgbClr val="00538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D59D9" id="Line 227"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65pt,30.05pt" to="511.9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" strokecolor="#005386" strokeweight=".48pt">
                <w10:wrap anchorx="page"/>
              </v:line>
            </w:pict>
          </mc:Fallback>
        </mc:AlternateContent>
      </w:r>
      <w:hyperlink w:anchor="_bookmark80" w:history="1">
        <w:r>
          <w:rPr>
            <w:rFonts w:ascii="Arial"/>
            <w:sz w:val="26"/>
          </w:rPr>
          <w:t>The</w:t>
        </w:r>
        <w:r>
          <w:rPr>
            <w:rFonts w:ascii="Arial"/>
            <w:spacing w:val="-14"/>
            <w:sz w:val="26"/>
          </w:rPr>
          <w:t xml:space="preserve"> </w:t>
        </w:r>
        <w:r>
          <w:rPr>
            <w:rFonts w:ascii="Arial"/>
            <w:sz w:val="26"/>
          </w:rPr>
          <w:t>Regulatory</w:t>
        </w:r>
        <w:r>
          <w:rPr>
            <w:rFonts w:ascii="Arial"/>
            <w:spacing w:val="-14"/>
            <w:sz w:val="26"/>
          </w:rPr>
          <w:t xml:space="preserve"> </w:t>
        </w:r>
        <w:r>
          <w:rPr>
            <w:rFonts w:ascii="Arial"/>
            <w:sz w:val="26"/>
          </w:rPr>
          <w:t>Costing</w:t>
        </w:r>
        <w:r>
          <w:rPr>
            <w:rFonts w:ascii="Arial"/>
            <w:sz w:val="26"/>
          </w:rPr>
          <w:tab/>
          <w:t>11</w:t>
        </w:r>
      </w:hyperlink>
    </w:p>
    <w:p w:rsidR="007D76BB" w:rsidRDefault="00A51832">
      <w:pPr>
        <w:tabs>
          <w:tab w:val="right" w:pos="8991"/>
        </w:tabs>
        <w:spacing w:before="235"/>
        <w:ind w:left="482"/>
        <w:rPr>
          <w:rFonts w:ascii="Arial"/>
          <w:sz w:val="19"/>
        </w:rPr>
      </w:pPr>
      <w:hyperlink w:anchor="_bookmark81" w:history="1">
        <w:r w:rsidR="00D70D28">
          <w:rPr>
            <w:rFonts w:ascii="Arial"/>
            <w:sz w:val="19"/>
          </w:rPr>
          <w:t>Costing</w:t>
        </w:r>
        <w:r w:rsidR="00D70D28">
          <w:rPr>
            <w:rFonts w:ascii="Arial"/>
            <w:spacing w:val="-8"/>
            <w:sz w:val="19"/>
          </w:rPr>
          <w:t xml:space="preserve"> </w:t>
        </w:r>
        <w:r w:rsidR="00D70D28">
          <w:rPr>
            <w:rFonts w:ascii="Arial"/>
            <w:sz w:val="19"/>
          </w:rPr>
          <w:t>Model</w:t>
        </w:r>
        <w:r w:rsidR="00D70D28">
          <w:rPr>
            <w:rFonts w:ascii="Arial"/>
            <w:sz w:val="19"/>
          </w:rPr>
          <w:tab/>
          <w:t>11</w:t>
        </w:r>
      </w:hyperlink>
    </w:p>
    <w:p w:rsidR="007D76BB" w:rsidRDefault="00A51832">
      <w:pPr>
        <w:tabs>
          <w:tab w:val="right" w:pos="8991"/>
        </w:tabs>
        <w:spacing w:before="141"/>
        <w:ind w:left="935"/>
        <w:rPr>
          <w:rFonts w:ascii="Arial"/>
          <w:sz w:val="19"/>
        </w:rPr>
      </w:pPr>
      <w:hyperlink w:anchor="_bookmark82" w:history="1">
        <w:proofErr w:type="spellStart"/>
        <w:r w:rsidR="00D70D28">
          <w:rPr>
            <w:rFonts w:ascii="Arial"/>
            <w:sz w:val="19"/>
          </w:rPr>
          <w:t>Labour</w:t>
        </w:r>
        <w:proofErr w:type="spellEnd"/>
        <w:r w:rsidR="00D70D28">
          <w:rPr>
            <w:rFonts w:ascii="Arial"/>
            <w:spacing w:val="-8"/>
            <w:sz w:val="19"/>
          </w:rPr>
          <w:t xml:space="preserve"> </w:t>
        </w:r>
        <w:r w:rsidR="00D70D28">
          <w:rPr>
            <w:rFonts w:ascii="Arial"/>
            <w:sz w:val="19"/>
          </w:rPr>
          <w:t>Cost</w:t>
        </w:r>
        <w:r w:rsidR="00D70D28">
          <w:rPr>
            <w:rFonts w:ascii="Arial"/>
            <w:sz w:val="19"/>
          </w:rPr>
          <w:tab/>
          <w:t>11</w:t>
        </w:r>
      </w:hyperlink>
    </w:p>
    <w:p w:rsidR="007D76BB" w:rsidRDefault="00A51832">
      <w:pPr>
        <w:tabs>
          <w:tab w:val="right" w:pos="8991"/>
        </w:tabs>
        <w:spacing w:before="142"/>
        <w:ind w:left="935"/>
        <w:rPr>
          <w:rFonts w:ascii="Arial"/>
          <w:sz w:val="19"/>
        </w:rPr>
      </w:pPr>
      <w:hyperlink w:anchor="_bookmark83" w:history="1">
        <w:r w:rsidR="00D70D28">
          <w:rPr>
            <w:rFonts w:ascii="Arial"/>
            <w:sz w:val="19"/>
          </w:rPr>
          <w:t>Regulatory</w:t>
        </w:r>
        <w:r w:rsidR="00D70D28">
          <w:rPr>
            <w:rFonts w:ascii="Arial"/>
            <w:spacing w:val="-7"/>
            <w:sz w:val="19"/>
          </w:rPr>
          <w:t xml:space="preserve"> </w:t>
        </w:r>
        <w:r w:rsidR="00D70D28">
          <w:rPr>
            <w:rFonts w:ascii="Arial"/>
            <w:sz w:val="19"/>
          </w:rPr>
          <w:t>impact</w:t>
        </w:r>
        <w:r w:rsidR="00D70D28">
          <w:rPr>
            <w:rFonts w:ascii="Arial"/>
            <w:sz w:val="19"/>
          </w:rPr>
          <w:tab/>
          <w:t>12</w:t>
        </w:r>
      </w:hyperlink>
    </w:p>
    <w:p w:rsidR="007D76BB" w:rsidRDefault="00A51832">
      <w:pPr>
        <w:tabs>
          <w:tab w:val="right" w:pos="8987"/>
        </w:tabs>
        <w:spacing w:before="142"/>
        <w:ind w:left="482"/>
        <w:rPr>
          <w:rFonts w:ascii="Arial"/>
          <w:sz w:val="19"/>
        </w:rPr>
      </w:pPr>
      <w:hyperlink w:anchor="_bookmark84" w:history="1">
        <w:r w:rsidR="00D70D28">
          <w:rPr>
            <w:rFonts w:ascii="Arial"/>
            <w:w w:val="105"/>
            <w:sz w:val="19"/>
          </w:rPr>
          <w:t>Conclusion</w:t>
        </w:r>
        <w:r w:rsidR="00D70D28">
          <w:rPr>
            <w:rFonts w:ascii="Arial"/>
            <w:w w:val="105"/>
            <w:sz w:val="19"/>
          </w:rPr>
          <w:tab/>
          <w:t>40</w:t>
        </w:r>
      </w:hyperlink>
    </w:p>
    <w:p w:rsidR="007D76BB" w:rsidRDefault="00A51832">
      <w:pPr>
        <w:tabs>
          <w:tab w:val="right" w:pos="8987"/>
        </w:tabs>
        <w:spacing w:before="143"/>
        <w:ind w:left="482"/>
        <w:rPr>
          <w:rFonts w:ascii="Arial" w:hAnsi="Arial"/>
          <w:sz w:val="19"/>
        </w:rPr>
      </w:pPr>
      <w:hyperlink w:anchor="_bookmark85" w:history="1">
        <w:r w:rsidR="00D70D28">
          <w:rPr>
            <w:rFonts w:ascii="Arial" w:hAnsi="Arial"/>
            <w:w w:val="105"/>
            <w:sz w:val="19"/>
          </w:rPr>
          <w:t>Annex</w:t>
        </w:r>
        <w:r w:rsidR="00D70D28">
          <w:rPr>
            <w:rFonts w:ascii="Arial" w:hAnsi="Arial"/>
            <w:spacing w:val="-11"/>
            <w:w w:val="105"/>
            <w:sz w:val="19"/>
          </w:rPr>
          <w:t xml:space="preserve"> </w:t>
        </w:r>
        <w:r w:rsidR="00D70D28">
          <w:rPr>
            <w:rFonts w:ascii="Arial" w:hAnsi="Arial"/>
            <w:w w:val="105"/>
            <w:sz w:val="19"/>
          </w:rPr>
          <w:t>A</w:t>
        </w:r>
        <w:r w:rsidR="00D70D28">
          <w:rPr>
            <w:rFonts w:ascii="Arial" w:hAnsi="Arial"/>
            <w:spacing w:val="-13"/>
            <w:w w:val="105"/>
            <w:sz w:val="19"/>
          </w:rPr>
          <w:t xml:space="preserve"> </w:t>
        </w:r>
        <w:r w:rsidR="00D70D28">
          <w:rPr>
            <w:rFonts w:ascii="Arial" w:hAnsi="Arial"/>
            <w:w w:val="105"/>
            <w:sz w:val="19"/>
          </w:rPr>
          <w:t>–</w:t>
        </w:r>
        <w:r w:rsidR="00D70D28">
          <w:rPr>
            <w:rFonts w:ascii="Arial" w:hAnsi="Arial"/>
            <w:spacing w:val="-11"/>
            <w:w w:val="105"/>
            <w:sz w:val="19"/>
          </w:rPr>
          <w:t xml:space="preserve"> </w:t>
        </w:r>
        <w:r w:rsidR="00D70D28">
          <w:rPr>
            <w:rFonts w:ascii="Arial" w:hAnsi="Arial"/>
            <w:w w:val="105"/>
            <w:sz w:val="19"/>
          </w:rPr>
          <w:t>Acronyms</w:t>
        </w:r>
        <w:r w:rsidR="00D70D28">
          <w:rPr>
            <w:rFonts w:ascii="Arial" w:hAnsi="Arial"/>
            <w:spacing w:val="-12"/>
            <w:w w:val="105"/>
            <w:sz w:val="19"/>
          </w:rPr>
          <w:t xml:space="preserve"> </w:t>
        </w:r>
        <w:r w:rsidR="00D70D28">
          <w:rPr>
            <w:rFonts w:ascii="Arial" w:hAnsi="Arial"/>
            <w:w w:val="105"/>
            <w:sz w:val="19"/>
          </w:rPr>
          <w:t>and</w:t>
        </w:r>
        <w:r w:rsidR="00D70D28">
          <w:rPr>
            <w:rFonts w:ascii="Arial" w:hAnsi="Arial"/>
            <w:spacing w:val="-13"/>
            <w:w w:val="105"/>
            <w:sz w:val="19"/>
          </w:rPr>
          <w:t xml:space="preserve"> </w:t>
        </w:r>
        <w:r w:rsidR="00D70D28">
          <w:rPr>
            <w:rFonts w:ascii="Arial" w:hAnsi="Arial"/>
            <w:w w:val="105"/>
            <w:sz w:val="19"/>
          </w:rPr>
          <w:t>Abbreviations</w:t>
        </w:r>
        <w:r w:rsidR="00D70D28">
          <w:rPr>
            <w:rFonts w:ascii="Arial" w:hAnsi="Arial"/>
            <w:w w:val="105"/>
            <w:sz w:val="19"/>
          </w:rPr>
          <w:tab/>
          <w:t>42</w:t>
        </w:r>
      </w:hyperlink>
    </w:p>
    <w:p w:rsidR="007D76BB" w:rsidRDefault="00A51832">
      <w:pPr>
        <w:tabs>
          <w:tab w:val="right" w:pos="8987"/>
        </w:tabs>
        <w:spacing w:before="142"/>
        <w:ind w:left="482"/>
        <w:rPr>
          <w:rFonts w:ascii="Arial" w:hAnsi="Arial"/>
          <w:sz w:val="19"/>
        </w:rPr>
      </w:pPr>
      <w:hyperlink w:anchor="_bookmark86" w:history="1">
        <w:r w:rsidR="00D70D28">
          <w:rPr>
            <w:rFonts w:ascii="Arial" w:hAnsi="Arial"/>
            <w:w w:val="105"/>
            <w:sz w:val="19"/>
          </w:rPr>
          <w:t>Annex B</w:t>
        </w:r>
        <w:r w:rsidR="00D70D28">
          <w:rPr>
            <w:rFonts w:ascii="Arial" w:hAnsi="Arial"/>
            <w:spacing w:val="-23"/>
            <w:w w:val="105"/>
            <w:sz w:val="19"/>
          </w:rPr>
          <w:t xml:space="preserve"> </w:t>
        </w:r>
        <w:r w:rsidR="00D70D28">
          <w:rPr>
            <w:rFonts w:ascii="Arial" w:hAnsi="Arial"/>
            <w:w w:val="105"/>
            <w:sz w:val="19"/>
          </w:rPr>
          <w:t>–</w:t>
        </w:r>
        <w:r w:rsidR="00D70D28">
          <w:rPr>
            <w:rFonts w:ascii="Arial" w:hAnsi="Arial"/>
            <w:spacing w:val="-11"/>
            <w:w w:val="105"/>
            <w:sz w:val="19"/>
          </w:rPr>
          <w:t xml:space="preserve"> </w:t>
        </w:r>
        <w:r w:rsidR="00D70D28">
          <w:rPr>
            <w:rFonts w:ascii="Arial" w:hAnsi="Arial"/>
            <w:w w:val="105"/>
            <w:sz w:val="19"/>
          </w:rPr>
          <w:t>Bibliography</w:t>
        </w:r>
        <w:r w:rsidR="00D70D28">
          <w:rPr>
            <w:rFonts w:ascii="Arial" w:hAnsi="Arial"/>
            <w:w w:val="105"/>
            <w:sz w:val="19"/>
          </w:rPr>
          <w:tab/>
          <w:t>43</w:t>
        </w:r>
      </w:hyperlink>
    </w:p>
    <w:p w:rsidR="007D76BB" w:rsidRDefault="00A51832">
      <w:pPr>
        <w:tabs>
          <w:tab w:val="right" w:pos="8989"/>
        </w:tabs>
        <w:spacing w:before="141"/>
        <w:ind w:left="482"/>
        <w:rPr>
          <w:rFonts w:ascii="Arial" w:hAnsi="Arial"/>
          <w:sz w:val="19"/>
        </w:rPr>
      </w:pPr>
      <w:hyperlink w:anchor="_bookmark87" w:history="1">
        <w:r w:rsidR="00D70D28">
          <w:rPr>
            <w:rFonts w:ascii="Arial" w:hAnsi="Arial"/>
            <w:w w:val="105"/>
            <w:sz w:val="19"/>
          </w:rPr>
          <w:t>Annex C –</w:t>
        </w:r>
        <w:r w:rsidR="00D70D28">
          <w:rPr>
            <w:rFonts w:ascii="Arial" w:hAnsi="Arial"/>
            <w:spacing w:val="-33"/>
            <w:w w:val="105"/>
            <w:sz w:val="19"/>
          </w:rPr>
          <w:t xml:space="preserve"> </w:t>
        </w:r>
        <w:r w:rsidR="00D70D28">
          <w:rPr>
            <w:rFonts w:ascii="Arial" w:hAnsi="Arial"/>
            <w:w w:val="105"/>
            <w:sz w:val="19"/>
          </w:rPr>
          <w:t>Stakeholder</w:t>
        </w:r>
        <w:r w:rsidR="00D70D28">
          <w:rPr>
            <w:rFonts w:ascii="Arial" w:hAnsi="Arial"/>
            <w:spacing w:val="-11"/>
            <w:w w:val="105"/>
            <w:sz w:val="19"/>
          </w:rPr>
          <w:t xml:space="preserve"> </w:t>
        </w:r>
        <w:r w:rsidR="00D70D28">
          <w:rPr>
            <w:rFonts w:ascii="Arial" w:hAnsi="Arial"/>
            <w:w w:val="105"/>
            <w:sz w:val="19"/>
          </w:rPr>
          <w:t>Consultation</w:t>
        </w:r>
        <w:r w:rsidR="00D70D28">
          <w:rPr>
            <w:rFonts w:ascii="Arial" w:hAnsi="Arial"/>
            <w:w w:val="105"/>
            <w:sz w:val="19"/>
          </w:rPr>
          <w:tab/>
          <w:t>44</w:t>
        </w:r>
      </w:hyperlink>
    </w:p>
    <w:p w:rsidR="007D76BB" w:rsidRDefault="007D76BB">
      <w:pPr>
        <w:rPr>
          <w:rFonts w:ascii="Arial" w:hAnsi="Arial"/>
          <w:sz w:val="19"/>
        </w:rPr>
        <w:sectPr w:rsidR="007D76BB">
          <w:headerReference w:type="default" r:id="rId176"/>
          <w:footerReference w:type="default" r:id="rId177"/>
          <w:pgSz w:w="11910" w:h="16850"/>
          <w:pgMar w:top="820" w:right="820" w:bottom="740" w:left="1220" w:header="459" w:footer="546" w:gutter="0"/>
          <w:pgNumType w:start="3"/>
          <w:cols w:space="720"/>
        </w:sectPr>
      </w:pPr>
    </w:p>
    <w:p w:rsidR="007D76BB" w:rsidRDefault="007D76BB">
      <w:pPr>
        <w:pStyle w:val="BodyText"/>
        <w:spacing w:before="3"/>
        <w:rPr>
          <w:rFonts w:ascii="Arial"/>
          <w:sz w:val="78"/>
        </w:rPr>
      </w:pPr>
    </w:p>
    <w:p w:rsidR="007D76BB" w:rsidRDefault="00D70D28">
      <w:pPr>
        <w:ind w:left="482"/>
        <w:rPr>
          <w:rFonts w:ascii="Lucida Sans"/>
          <w:b/>
          <w:sz w:val="56"/>
        </w:rPr>
      </w:pPr>
      <w:bookmarkStart w:id="142" w:name="_bookmark68"/>
      <w:bookmarkEnd w:id="142"/>
      <w:r>
        <w:rPr>
          <w:rFonts w:ascii="Lucida Sans"/>
          <w:b/>
          <w:color w:val="0D213E"/>
          <w:spacing w:val="-14"/>
          <w:sz w:val="56"/>
        </w:rPr>
        <w:t>EXECUTIVE</w:t>
      </w:r>
      <w:r>
        <w:rPr>
          <w:rFonts w:ascii="Lucida Sans"/>
          <w:b/>
          <w:color w:val="0D213E"/>
          <w:spacing w:val="-68"/>
          <w:sz w:val="56"/>
        </w:rPr>
        <w:t xml:space="preserve"> </w:t>
      </w:r>
      <w:r>
        <w:rPr>
          <w:rFonts w:ascii="Lucida Sans"/>
          <w:b/>
          <w:color w:val="0D213E"/>
          <w:spacing w:val="-13"/>
          <w:sz w:val="56"/>
        </w:rPr>
        <w:t>SUMMARY</w:t>
      </w:r>
    </w:p>
    <w:p w:rsidR="007D76BB" w:rsidRDefault="00D70D28">
      <w:pPr>
        <w:pStyle w:val="Heading4"/>
        <w:spacing w:before="458"/>
        <w:rPr>
          <w:b/>
        </w:rPr>
      </w:pPr>
      <w:bookmarkStart w:id="143" w:name="_bookmark69"/>
      <w:bookmarkEnd w:id="143"/>
      <w:r>
        <w:rPr>
          <w:b/>
          <w:color w:val="FFA200"/>
        </w:rPr>
        <w:t>BACKGROUND</w:t>
      </w:r>
    </w:p>
    <w:p w:rsidR="007D76BB" w:rsidRDefault="00D70D28">
      <w:pPr>
        <w:spacing w:before="192" w:line="261" w:lineRule="auto"/>
        <w:ind w:left="482" w:right="900"/>
        <w:rPr>
          <w:rFonts w:ascii="Arial"/>
          <w:sz w:val="20"/>
        </w:rPr>
      </w:pPr>
      <w:r>
        <w:rPr>
          <w:rFonts w:ascii="Arial"/>
          <w:w w:val="105"/>
          <w:sz w:val="20"/>
        </w:rPr>
        <w:t>In</w:t>
      </w:r>
      <w:r>
        <w:rPr>
          <w:rFonts w:ascii="Arial"/>
          <w:spacing w:val="-24"/>
          <w:w w:val="105"/>
          <w:sz w:val="20"/>
        </w:rPr>
        <w:t xml:space="preserve"> </w:t>
      </w:r>
      <w:r>
        <w:rPr>
          <w:rFonts w:ascii="Arial"/>
          <w:w w:val="105"/>
          <w:sz w:val="20"/>
        </w:rPr>
        <w:t>Australia</w:t>
      </w:r>
      <w:r>
        <w:rPr>
          <w:rFonts w:ascii="Arial"/>
          <w:spacing w:val="-22"/>
          <w:w w:val="105"/>
          <w:sz w:val="20"/>
        </w:rPr>
        <w:t xml:space="preserve"> </w:t>
      </w:r>
      <w:r>
        <w:rPr>
          <w:rFonts w:ascii="Arial"/>
          <w:w w:val="105"/>
          <w:sz w:val="20"/>
        </w:rPr>
        <w:t>there</w:t>
      </w:r>
      <w:r>
        <w:rPr>
          <w:rFonts w:ascii="Arial"/>
          <w:spacing w:val="-24"/>
          <w:w w:val="105"/>
          <w:sz w:val="20"/>
        </w:rPr>
        <w:t xml:space="preserve"> </w:t>
      </w:r>
      <w:r>
        <w:rPr>
          <w:rFonts w:ascii="Arial"/>
          <w:w w:val="105"/>
          <w:sz w:val="20"/>
        </w:rPr>
        <w:t>is</w:t>
      </w:r>
      <w:r>
        <w:rPr>
          <w:rFonts w:ascii="Arial"/>
          <w:spacing w:val="-24"/>
          <w:w w:val="105"/>
          <w:sz w:val="20"/>
        </w:rPr>
        <w:t xml:space="preserve"> </w:t>
      </w:r>
      <w:r>
        <w:rPr>
          <w:rFonts w:ascii="Arial"/>
          <w:w w:val="105"/>
          <w:sz w:val="20"/>
        </w:rPr>
        <w:t>currently</w:t>
      </w:r>
      <w:r>
        <w:rPr>
          <w:rFonts w:ascii="Arial"/>
          <w:spacing w:val="-24"/>
          <w:w w:val="105"/>
          <w:sz w:val="20"/>
        </w:rPr>
        <w:t xml:space="preserve"> </w:t>
      </w:r>
      <w:r>
        <w:rPr>
          <w:rFonts w:ascii="Arial"/>
          <w:w w:val="105"/>
          <w:sz w:val="20"/>
        </w:rPr>
        <w:t>confusion</w:t>
      </w:r>
      <w:r>
        <w:rPr>
          <w:rFonts w:ascii="Arial"/>
          <w:spacing w:val="-24"/>
          <w:w w:val="105"/>
          <w:sz w:val="20"/>
        </w:rPr>
        <w:t xml:space="preserve"> </w:t>
      </w:r>
      <w:r>
        <w:rPr>
          <w:rFonts w:ascii="Arial"/>
          <w:w w:val="105"/>
          <w:sz w:val="20"/>
        </w:rPr>
        <w:t>for</w:t>
      </w:r>
      <w:r>
        <w:rPr>
          <w:rFonts w:ascii="Arial"/>
          <w:spacing w:val="-25"/>
          <w:w w:val="105"/>
          <w:sz w:val="20"/>
        </w:rPr>
        <w:t xml:space="preserve"> </w:t>
      </w:r>
      <w:r>
        <w:rPr>
          <w:rFonts w:ascii="Arial"/>
          <w:w w:val="105"/>
          <w:sz w:val="20"/>
        </w:rPr>
        <w:t>both</w:t>
      </w:r>
      <w:r>
        <w:rPr>
          <w:rFonts w:ascii="Arial"/>
          <w:spacing w:val="-23"/>
          <w:w w:val="105"/>
          <w:sz w:val="20"/>
        </w:rPr>
        <w:t xml:space="preserve"> </w:t>
      </w:r>
      <w:r>
        <w:rPr>
          <w:rFonts w:ascii="Arial"/>
          <w:w w:val="105"/>
          <w:sz w:val="20"/>
        </w:rPr>
        <w:t>manufacturers/brand</w:t>
      </w:r>
      <w:r>
        <w:rPr>
          <w:rFonts w:ascii="Arial"/>
          <w:spacing w:val="-24"/>
          <w:w w:val="105"/>
          <w:sz w:val="20"/>
        </w:rPr>
        <w:t xml:space="preserve"> </w:t>
      </w:r>
      <w:r>
        <w:rPr>
          <w:rFonts w:ascii="Arial"/>
          <w:w w:val="105"/>
          <w:sz w:val="20"/>
        </w:rPr>
        <w:t>owners</w:t>
      </w:r>
      <w:r>
        <w:rPr>
          <w:rFonts w:ascii="Arial"/>
          <w:spacing w:val="-23"/>
          <w:w w:val="105"/>
          <w:sz w:val="20"/>
        </w:rPr>
        <w:t xml:space="preserve"> </w:t>
      </w:r>
      <w:r>
        <w:rPr>
          <w:rFonts w:ascii="Arial"/>
          <w:w w:val="105"/>
          <w:sz w:val="20"/>
        </w:rPr>
        <w:t>and</w:t>
      </w:r>
      <w:r>
        <w:rPr>
          <w:rFonts w:ascii="Arial"/>
          <w:spacing w:val="-24"/>
          <w:w w:val="105"/>
          <w:sz w:val="20"/>
        </w:rPr>
        <w:t xml:space="preserve"> </w:t>
      </w:r>
      <w:r>
        <w:rPr>
          <w:rFonts w:ascii="Arial"/>
          <w:w w:val="105"/>
          <w:sz w:val="20"/>
        </w:rPr>
        <w:t>consumers as</w:t>
      </w:r>
      <w:r>
        <w:rPr>
          <w:rFonts w:ascii="Arial"/>
          <w:spacing w:val="-22"/>
          <w:w w:val="105"/>
          <w:sz w:val="20"/>
        </w:rPr>
        <w:t xml:space="preserve"> </w:t>
      </w:r>
      <w:r>
        <w:rPr>
          <w:rFonts w:ascii="Arial"/>
          <w:w w:val="105"/>
          <w:sz w:val="20"/>
        </w:rPr>
        <w:t>to</w:t>
      </w:r>
      <w:r>
        <w:rPr>
          <w:rFonts w:ascii="Arial"/>
          <w:spacing w:val="-23"/>
          <w:w w:val="105"/>
          <w:sz w:val="20"/>
        </w:rPr>
        <w:t xml:space="preserve"> </w:t>
      </w:r>
      <w:r>
        <w:rPr>
          <w:rFonts w:ascii="Arial"/>
          <w:w w:val="105"/>
          <w:sz w:val="20"/>
        </w:rPr>
        <w:t>how</w:t>
      </w:r>
      <w:r>
        <w:rPr>
          <w:rFonts w:ascii="Arial"/>
          <w:spacing w:val="-23"/>
          <w:w w:val="105"/>
          <w:sz w:val="20"/>
        </w:rPr>
        <w:t xml:space="preserve"> </w:t>
      </w:r>
      <w:r>
        <w:rPr>
          <w:rFonts w:ascii="Arial"/>
          <w:w w:val="105"/>
          <w:sz w:val="20"/>
        </w:rPr>
        <w:t>sports</w:t>
      </w:r>
      <w:r>
        <w:rPr>
          <w:rFonts w:ascii="Arial"/>
          <w:spacing w:val="-22"/>
          <w:w w:val="105"/>
          <w:sz w:val="20"/>
        </w:rPr>
        <w:t xml:space="preserve"> </w:t>
      </w:r>
      <w:r>
        <w:rPr>
          <w:rFonts w:ascii="Arial"/>
          <w:w w:val="105"/>
          <w:sz w:val="20"/>
        </w:rPr>
        <w:t>supplements</w:t>
      </w:r>
      <w:r>
        <w:rPr>
          <w:rFonts w:ascii="Arial"/>
          <w:spacing w:val="-22"/>
          <w:w w:val="105"/>
          <w:sz w:val="20"/>
        </w:rPr>
        <w:t xml:space="preserve"> </w:t>
      </w:r>
      <w:r>
        <w:rPr>
          <w:rFonts w:ascii="Arial"/>
          <w:w w:val="105"/>
          <w:sz w:val="20"/>
        </w:rPr>
        <w:t>are</w:t>
      </w:r>
      <w:r>
        <w:rPr>
          <w:rFonts w:ascii="Arial"/>
          <w:spacing w:val="-22"/>
          <w:w w:val="105"/>
          <w:sz w:val="20"/>
        </w:rPr>
        <w:t xml:space="preserve"> </w:t>
      </w:r>
      <w:r>
        <w:rPr>
          <w:rFonts w:ascii="Arial"/>
          <w:w w:val="105"/>
          <w:sz w:val="20"/>
        </w:rPr>
        <w:t>regulated,</w:t>
      </w:r>
      <w:r>
        <w:rPr>
          <w:rFonts w:ascii="Arial"/>
          <w:spacing w:val="-24"/>
          <w:w w:val="105"/>
          <w:sz w:val="20"/>
        </w:rPr>
        <w:t xml:space="preserve"> </w:t>
      </w:r>
      <w:r>
        <w:rPr>
          <w:rFonts w:ascii="Arial"/>
          <w:w w:val="105"/>
          <w:sz w:val="20"/>
        </w:rPr>
        <w:t>as</w:t>
      </w:r>
      <w:r>
        <w:rPr>
          <w:rFonts w:ascii="Arial"/>
          <w:spacing w:val="-22"/>
          <w:w w:val="105"/>
          <w:sz w:val="20"/>
        </w:rPr>
        <w:t xml:space="preserve"> </w:t>
      </w:r>
      <w:r>
        <w:rPr>
          <w:rFonts w:ascii="Arial"/>
          <w:w w:val="105"/>
          <w:sz w:val="20"/>
        </w:rPr>
        <w:t>different</w:t>
      </w:r>
      <w:r>
        <w:rPr>
          <w:rFonts w:ascii="Arial"/>
          <w:spacing w:val="-22"/>
          <w:w w:val="105"/>
          <w:sz w:val="20"/>
        </w:rPr>
        <w:t xml:space="preserve"> </w:t>
      </w:r>
      <w:r>
        <w:rPr>
          <w:rFonts w:ascii="Arial"/>
          <w:w w:val="105"/>
          <w:sz w:val="20"/>
        </w:rPr>
        <w:t>regulatory</w:t>
      </w:r>
      <w:r>
        <w:rPr>
          <w:rFonts w:ascii="Arial"/>
          <w:spacing w:val="-15"/>
          <w:w w:val="105"/>
          <w:sz w:val="20"/>
        </w:rPr>
        <w:t xml:space="preserve"> </w:t>
      </w:r>
      <w:r>
        <w:rPr>
          <w:rFonts w:ascii="Arial"/>
          <w:w w:val="105"/>
          <w:sz w:val="20"/>
        </w:rPr>
        <w:t>frameworks</w:t>
      </w:r>
      <w:r>
        <w:rPr>
          <w:rFonts w:ascii="Arial"/>
          <w:spacing w:val="-19"/>
          <w:w w:val="105"/>
          <w:sz w:val="20"/>
        </w:rPr>
        <w:t xml:space="preserve"> </w:t>
      </w:r>
      <w:r>
        <w:rPr>
          <w:rFonts w:ascii="Arial"/>
          <w:w w:val="105"/>
          <w:sz w:val="20"/>
        </w:rPr>
        <w:t>may</w:t>
      </w:r>
      <w:r>
        <w:rPr>
          <w:rFonts w:ascii="Arial"/>
          <w:spacing w:val="-22"/>
          <w:w w:val="105"/>
          <w:sz w:val="20"/>
        </w:rPr>
        <w:t xml:space="preserve"> </w:t>
      </w:r>
      <w:r>
        <w:rPr>
          <w:rFonts w:ascii="Arial"/>
          <w:w w:val="105"/>
          <w:sz w:val="20"/>
        </w:rPr>
        <w:t>apply (either</w:t>
      </w:r>
      <w:r>
        <w:rPr>
          <w:rFonts w:ascii="Arial"/>
          <w:spacing w:val="-41"/>
          <w:w w:val="105"/>
          <w:sz w:val="20"/>
        </w:rPr>
        <w:t xml:space="preserve"> </w:t>
      </w:r>
      <w:r>
        <w:rPr>
          <w:rFonts w:ascii="Arial"/>
          <w:w w:val="105"/>
          <w:sz w:val="20"/>
        </w:rPr>
        <w:t>the</w:t>
      </w:r>
      <w:r>
        <w:rPr>
          <w:rFonts w:ascii="Arial"/>
          <w:spacing w:val="-40"/>
          <w:w w:val="105"/>
          <w:sz w:val="20"/>
        </w:rPr>
        <w:t xml:space="preserve"> </w:t>
      </w:r>
      <w:r>
        <w:rPr>
          <w:rFonts w:ascii="Arial"/>
          <w:w w:val="105"/>
          <w:sz w:val="20"/>
        </w:rPr>
        <w:t>Australian</w:t>
      </w:r>
      <w:r>
        <w:rPr>
          <w:rFonts w:ascii="Arial"/>
          <w:spacing w:val="-41"/>
          <w:w w:val="105"/>
          <w:sz w:val="20"/>
        </w:rPr>
        <w:t xml:space="preserve"> </w:t>
      </w:r>
      <w:r>
        <w:rPr>
          <w:rFonts w:ascii="Arial"/>
          <w:w w:val="105"/>
          <w:sz w:val="20"/>
        </w:rPr>
        <w:t>New</w:t>
      </w:r>
      <w:r>
        <w:rPr>
          <w:rFonts w:ascii="Arial"/>
          <w:spacing w:val="-41"/>
          <w:w w:val="105"/>
          <w:sz w:val="20"/>
        </w:rPr>
        <w:t xml:space="preserve"> </w:t>
      </w:r>
      <w:r>
        <w:rPr>
          <w:rFonts w:ascii="Arial"/>
          <w:w w:val="105"/>
          <w:sz w:val="20"/>
        </w:rPr>
        <w:t>Zealand</w:t>
      </w:r>
      <w:r>
        <w:rPr>
          <w:rFonts w:ascii="Arial"/>
          <w:spacing w:val="-41"/>
          <w:w w:val="105"/>
          <w:sz w:val="20"/>
        </w:rPr>
        <w:t xml:space="preserve"> </w:t>
      </w:r>
      <w:r>
        <w:rPr>
          <w:rFonts w:ascii="Arial"/>
          <w:w w:val="105"/>
          <w:sz w:val="20"/>
        </w:rPr>
        <w:t>Food</w:t>
      </w:r>
      <w:r>
        <w:rPr>
          <w:rFonts w:ascii="Arial"/>
          <w:spacing w:val="-40"/>
          <w:w w:val="105"/>
          <w:sz w:val="20"/>
        </w:rPr>
        <w:t xml:space="preserve"> </w:t>
      </w:r>
      <w:r>
        <w:rPr>
          <w:rFonts w:ascii="Arial"/>
          <w:w w:val="105"/>
          <w:sz w:val="20"/>
        </w:rPr>
        <w:t>Standards</w:t>
      </w:r>
      <w:r>
        <w:rPr>
          <w:rFonts w:ascii="Arial"/>
          <w:spacing w:val="-41"/>
          <w:w w:val="105"/>
          <w:sz w:val="20"/>
        </w:rPr>
        <w:t xml:space="preserve"> </w:t>
      </w:r>
      <w:r>
        <w:rPr>
          <w:rFonts w:ascii="Arial"/>
          <w:w w:val="105"/>
          <w:sz w:val="20"/>
        </w:rPr>
        <w:t>Code</w:t>
      </w:r>
      <w:r>
        <w:rPr>
          <w:rFonts w:ascii="Arial"/>
          <w:spacing w:val="-38"/>
          <w:w w:val="105"/>
          <w:sz w:val="20"/>
        </w:rPr>
        <w:t xml:space="preserve"> </w:t>
      </w:r>
      <w:r>
        <w:rPr>
          <w:rFonts w:ascii="Arial"/>
          <w:w w:val="105"/>
          <w:sz w:val="20"/>
        </w:rPr>
        <w:t>or</w:t>
      </w:r>
      <w:r>
        <w:rPr>
          <w:rFonts w:ascii="Arial"/>
          <w:spacing w:val="-41"/>
          <w:w w:val="105"/>
          <w:sz w:val="20"/>
        </w:rPr>
        <w:t xml:space="preserve"> </w:t>
      </w:r>
      <w:r>
        <w:rPr>
          <w:rFonts w:ascii="Arial"/>
          <w:w w:val="105"/>
          <w:sz w:val="20"/>
        </w:rPr>
        <w:t>the</w:t>
      </w:r>
      <w:r>
        <w:rPr>
          <w:rFonts w:ascii="Arial"/>
          <w:spacing w:val="-40"/>
          <w:w w:val="105"/>
          <w:sz w:val="20"/>
        </w:rPr>
        <w:t xml:space="preserve"> </w:t>
      </w:r>
      <w:r>
        <w:rPr>
          <w:rFonts w:ascii="Arial"/>
          <w:i/>
          <w:w w:val="105"/>
          <w:sz w:val="21"/>
        </w:rPr>
        <w:t>Therapeutic</w:t>
      </w:r>
      <w:r>
        <w:rPr>
          <w:rFonts w:ascii="Arial"/>
          <w:i/>
          <w:spacing w:val="-43"/>
          <w:w w:val="105"/>
          <w:sz w:val="21"/>
        </w:rPr>
        <w:t xml:space="preserve"> </w:t>
      </w:r>
      <w:r>
        <w:rPr>
          <w:rFonts w:ascii="Arial"/>
          <w:i/>
          <w:w w:val="105"/>
          <w:sz w:val="21"/>
        </w:rPr>
        <w:t>Goods</w:t>
      </w:r>
      <w:r>
        <w:rPr>
          <w:rFonts w:ascii="Arial"/>
          <w:i/>
          <w:spacing w:val="-43"/>
          <w:w w:val="105"/>
          <w:sz w:val="21"/>
        </w:rPr>
        <w:t xml:space="preserve"> </w:t>
      </w:r>
      <w:r>
        <w:rPr>
          <w:rFonts w:ascii="Arial"/>
          <w:i/>
          <w:w w:val="105"/>
          <w:sz w:val="21"/>
        </w:rPr>
        <w:t>Act</w:t>
      </w:r>
      <w:r>
        <w:rPr>
          <w:rFonts w:ascii="Arial"/>
          <w:i/>
          <w:spacing w:val="-44"/>
          <w:w w:val="105"/>
          <w:sz w:val="21"/>
        </w:rPr>
        <w:t xml:space="preserve"> </w:t>
      </w:r>
      <w:r>
        <w:rPr>
          <w:rFonts w:ascii="Arial"/>
          <w:i/>
          <w:w w:val="105"/>
          <w:sz w:val="21"/>
        </w:rPr>
        <w:t>1989</w:t>
      </w:r>
      <w:r>
        <w:rPr>
          <w:rFonts w:ascii="Arial"/>
          <w:w w:val="105"/>
          <w:sz w:val="20"/>
        </w:rPr>
        <w:t>) to</w:t>
      </w:r>
      <w:r>
        <w:rPr>
          <w:rFonts w:ascii="Arial"/>
          <w:spacing w:val="-28"/>
          <w:w w:val="105"/>
          <w:sz w:val="20"/>
        </w:rPr>
        <w:t xml:space="preserve"> </w:t>
      </w:r>
      <w:r>
        <w:rPr>
          <w:rFonts w:ascii="Arial"/>
          <w:w w:val="105"/>
          <w:sz w:val="20"/>
        </w:rPr>
        <w:t>a</w:t>
      </w:r>
      <w:r>
        <w:rPr>
          <w:rFonts w:ascii="Arial"/>
          <w:spacing w:val="-27"/>
          <w:w w:val="105"/>
          <w:sz w:val="20"/>
        </w:rPr>
        <w:t xml:space="preserve"> </w:t>
      </w:r>
      <w:r>
        <w:rPr>
          <w:rFonts w:ascii="Arial"/>
          <w:w w:val="105"/>
          <w:sz w:val="20"/>
        </w:rPr>
        <w:t>single</w:t>
      </w:r>
      <w:r>
        <w:rPr>
          <w:rFonts w:ascii="Arial"/>
          <w:spacing w:val="-28"/>
          <w:w w:val="105"/>
          <w:sz w:val="20"/>
        </w:rPr>
        <w:t xml:space="preserve"> </w:t>
      </w:r>
      <w:r>
        <w:rPr>
          <w:rFonts w:ascii="Arial"/>
          <w:w w:val="105"/>
          <w:sz w:val="20"/>
        </w:rPr>
        <w:t>good</w:t>
      </w:r>
      <w:r>
        <w:rPr>
          <w:rFonts w:ascii="Arial"/>
          <w:spacing w:val="-27"/>
          <w:w w:val="105"/>
          <w:sz w:val="20"/>
        </w:rPr>
        <w:t xml:space="preserve"> </w:t>
      </w:r>
      <w:r>
        <w:rPr>
          <w:rFonts w:ascii="Arial"/>
          <w:w w:val="105"/>
          <w:sz w:val="20"/>
        </w:rPr>
        <w:t>at</w:t>
      </w:r>
      <w:r>
        <w:rPr>
          <w:rFonts w:ascii="Arial"/>
          <w:spacing w:val="-27"/>
          <w:w w:val="105"/>
          <w:sz w:val="20"/>
        </w:rPr>
        <w:t xml:space="preserve"> </w:t>
      </w:r>
      <w:r>
        <w:rPr>
          <w:rFonts w:ascii="Arial"/>
          <w:w w:val="105"/>
          <w:sz w:val="20"/>
        </w:rPr>
        <w:t>any</w:t>
      </w:r>
      <w:r>
        <w:rPr>
          <w:rFonts w:ascii="Arial"/>
          <w:spacing w:val="-28"/>
          <w:w w:val="105"/>
          <w:sz w:val="20"/>
        </w:rPr>
        <w:t xml:space="preserve"> </w:t>
      </w:r>
      <w:r>
        <w:rPr>
          <w:rFonts w:ascii="Arial"/>
          <w:w w:val="105"/>
          <w:sz w:val="20"/>
        </w:rPr>
        <w:t>given</w:t>
      </w:r>
      <w:r>
        <w:rPr>
          <w:rFonts w:ascii="Arial"/>
          <w:spacing w:val="-27"/>
          <w:w w:val="105"/>
          <w:sz w:val="20"/>
        </w:rPr>
        <w:t xml:space="preserve"> </w:t>
      </w:r>
      <w:r>
        <w:rPr>
          <w:rFonts w:ascii="Arial"/>
          <w:w w:val="105"/>
          <w:sz w:val="20"/>
        </w:rPr>
        <w:t>time.</w:t>
      </w:r>
      <w:r>
        <w:rPr>
          <w:rFonts w:ascii="Arial"/>
          <w:spacing w:val="-27"/>
          <w:w w:val="105"/>
          <w:sz w:val="20"/>
        </w:rPr>
        <w:t xml:space="preserve"> </w:t>
      </w:r>
      <w:r>
        <w:rPr>
          <w:rFonts w:ascii="Arial"/>
          <w:w w:val="105"/>
          <w:sz w:val="20"/>
        </w:rPr>
        <w:t>As</w:t>
      </w:r>
      <w:r>
        <w:rPr>
          <w:rFonts w:ascii="Arial"/>
          <w:spacing w:val="-27"/>
          <w:w w:val="105"/>
          <w:sz w:val="20"/>
        </w:rPr>
        <w:t xml:space="preserve"> </w:t>
      </w:r>
      <w:r>
        <w:rPr>
          <w:rFonts w:ascii="Arial"/>
          <w:w w:val="105"/>
          <w:sz w:val="20"/>
        </w:rPr>
        <w:t>such,</w:t>
      </w:r>
      <w:r>
        <w:rPr>
          <w:rFonts w:ascii="Arial"/>
          <w:spacing w:val="-27"/>
          <w:w w:val="105"/>
          <w:sz w:val="20"/>
        </w:rPr>
        <w:t xml:space="preserve"> </w:t>
      </w:r>
      <w:r>
        <w:rPr>
          <w:rFonts w:ascii="Arial"/>
          <w:w w:val="105"/>
          <w:sz w:val="20"/>
        </w:rPr>
        <w:t>the</w:t>
      </w:r>
      <w:r>
        <w:rPr>
          <w:rFonts w:ascii="Arial"/>
          <w:spacing w:val="-28"/>
          <w:w w:val="105"/>
          <w:sz w:val="20"/>
        </w:rPr>
        <w:t xml:space="preserve"> </w:t>
      </w:r>
      <w:r>
        <w:rPr>
          <w:rFonts w:ascii="Arial"/>
          <w:w w:val="105"/>
          <w:sz w:val="20"/>
        </w:rPr>
        <w:t>Therapeutic</w:t>
      </w:r>
      <w:r>
        <w:rPr>
          <w:rFonts w:ascii="Arial"/>
          <w:spacing w:val="-26"/>
          <w:w w:val="105"/>
          <w:sz w:val="20"/>
        </w:rPr>
        <w:t xml:space="preserve"> </w:t>
      </w:r>
      <w:r>
        <w:rPr>
          <w:rFonts w:ascii="Arial"/>
          <w:w w:val="105"/>
          <w:sz w:val="20"/>
        </w:rPr>
        <w:t>Goods</w:t>
      </w:r>
      <w:r>
        <w:rPr>
          <w:rFonts w:ascii="Arial"/>
          <w:spacing w:val="-27"/>
          <w:w w:val="105"/>
          <w:sz w:val="20"/>
        </w:rPr>
        <w:t xml:space="preserve"> </w:t>
      </w:r>
      <w:r>
        <w:rPr>
          <w:rFonts w:ascii="Arial"/>
          <w:w w:val="105"/>
          <w:sz w:val="20"/>
        </w:rPr>
        <w:t>Administration</w:t>
      </w:r>
      <w:r>
        <w:rPr>
          <w:rFonts w:ascii="Arial"/>
          <w:spacing w:val="-26"/>
          <w:w w:val="105"/>
          <w:sz w:val="20"/>
        </w:rPr>
        <w:t xml:space="preserve"> </w:t>
      </w:r>
      <w:r>
        <w:rPr>
          <w:rFonts w:ascii="Arial"/>
          <w:w w:val="105"/>
          <w:sz w:val="20"/>
        </w:rPr>
        <w:t>(TGA)</w:t>
      </w:r>
      <w:r>
        <w:rPr>
          <w:rFonts w:ascii="Arial"/>
          <w:spacing w:val="-26"/>
          <w:w w:val="105"/>
          <w:sz w:val="20"/>
        </w:rPr>
        <w:t xml:space="preserve"> </w:t>
      </w:r>
      <w:r>
        <w:rPr>
          <w:rFonts w:ascii="Arial"/>
          <w:w w:val="105"/>
          <w:sz w:val="20"/>
        </w:rPr>
        <w:t xml:space="preserve">has proposed a regulatory clarification to provide greater clarity around the </w:t>
      </w:r>
      <w:proofErr w:type="spellStart"/>
      <w:r>
        <w:rPr>
          <w:rFonts w:ascii="Arial"/>
          <w:w w:val="105"/>
          <w:sz w:val="20"/>
        </w:rPr>
        <w:t>categorisation</w:t>
      </w:r>
      <w:proofErr w:type="spellEnd"/>
      <w:r>
        <w:rPr>
          <w:rFonts w:ascii="Arial"/>
          <w:w w:val="105"/>
          <w:sz w:val="20"/>
        </w:rPr>
        <w:t xml:space="preserve"> of sports</w:t>
      </w:r>
      <w:r>
        <w:rPr>
          <w:rFonts w:ascii="Arial"/>
          <w:spacing w:val="-24"/>
          <w:w w:val="105"/>
          <w:sz w:val="20"/>
        </w:rPr>
        <w:t xml:space="preserve"> </w:t>
      </w:r>
      <w:r>
        <w:rPr>
          <w:rFonts w:ascii="Arial"/>
          <w:w w:val="105"/>
          <w:sz w:val="20"/>
        </w:rPr>
        <w:t>supplements</w:t>
      </w:r>
      <w:r>
        <w:rPr>
          <w:rFonts w:ascii="Arial"/>
          <w:spacing w:val="-23"/>
          <w:w w:val="105"/>
          <w:sz w:val="20"/>
        </w:rPr>
        <w:t xml:space="preserve"> </w:t>
      </w:r>
      <w:r>
        <w:rPr>
          <w:rFonts w:ascii="Arial"/>
          <w:w w:val="105"/>
          <w:sz w:val="20"/>
        </w:rPr>
        <w:t>and</w:t>
      </w:r>
      <w:r>
        <w:rPr>
          <w:rFonts w:ascii="Arial"/>
          <w:spacing w:val="-23"/>
          <w:w w:val="105"/>
          <w:sz w:val="20"/>
        </w:rPr>
        <w:t xml:space="preserve"> </w:t>
      </w:r>
      <w:r>
        <w:rPr>
          <w:rFonts w:ascii="Arial"/>
          <w:w w:val="105"/>
          <w:sz w:val="20"/>
        </w:rPr>
        <w:t>the</w:t>
      </w:r>
      <w:r>
        <w:rPr>
          <w:rFonts w:ascii="Arial"/>
          <w:spacing w:val="-22"/>
          <w:w w:val="105"/>
          <w:sz w:val="20"/>
        </w:rPr>
        <w:t xml:space="preserve"> </w:t>
      </w:r>
      <w:r>
        <w:rPr>
          <w:rFonts w:ascii="Arial"/>
          <w:w w:val="105"/>
          <w:sz w:val="20"/>
        </w:rPr>
        <w:t>related</w:t>
      </w:r>
      <w:r>
        <w:rPr>
          <w:rFonts w:ascii="Arial"/>
          <w:spacing w:val="-23"/>
          <w:w w:val="105"/>
          <w:sz w:val="20"/>
        </w:rPr>
        <w:t xml:space="preserve"> </w:t>
      </w:r>
      <w:r>
        <w:rPr>
          <w:rFonts w:ascii="Arial"/>
          <w:w w:val="105"/>
          <w:sz w:val="20"/>
        </w:rPr>
        <w:t>regulation</w:t>
      </w:r>
      <w:r>
        <w:rPr>
          <w:rFonts w:ascii="Arial"/>
          <w:spacing w:val="-24"/>
          <w:w w:val="105"/>
          <w:sz w:val="20"/>
        </w:rPr>
        <w:t xml:space="preserve"> </w:t>
      </w:r>
      <w:r>
        <w:rPr>
          <w:rFonts w:ascii="Arial"/>
          <w:w w:val="105"/>
          <w:sz w:val="20"/>
        </w:rPr>
        <w:t>framework,</w:t>
      </w:r>
      <w:r>
        <w:rPr>
          <w:rFonts w:ascii="Arial"/>
          <w:spacing w:val="-23"/>
          <w:w w:val="105"/>
          <w:sz w:val="20"/>
        </w:rPr>
        <w:t xml:space="preserve"> </w:t>
      </w:r>
      <w:r>
        <w:rPr>
          <w:rFonts w:ascii="Arial"/>
          <w:w w:val="105"/>
          <w:sz w:val="20"/>
        </w:rPr>
        <w:t>specifically</w:t>
      </w:r>
      <w:r>
        <w:rPr>
          <w:rFonts w:ascii="Arial"/>
          <w:spacing w:val="-24"/>
          <w:w w:val="105"/>
          <w:sz w:val="20"/>
        </w:rPr>
        <w:t xml:space="preserve"> </w:t>
      </w:r>
      <w:r>
        <w:rPr>
          <w:rFonts w:ascii="Arial"/>
          <w:w w:val="105"/>
          <w:sz w:val="20"/>
        </w:rPr>
        <w:t>for</w:t>
      </w:r>
      <w:r>
        <w:rPr>
          <w:rFonts w:ascii="Arial"/>
          <w:spacing w:val="-24"/>
          <w:w w:val="105"/>
          <w:sz w:val="20"/>
        </w:rPr>
        <w:t xml:space="preserve"> </w:t>
      </w:r>
      <w:r>
        <w:rPr>
          <w:rFonts w:ascii="Arial"/>
          <w:w w:val="105"/>
          <w:sz w:val="20"/>
        </w:rPr>
        <w:t>those</w:t>
      </w:r>
      <w:r>
        <w:rPr>
          <w:rFonts w:ascii="Arial"/>
          <w:spacing w:val="-15"/>
          <w:w w:val="105"/>
          <w:sz w:val="20"/>
        </w:rPr>
        <w:t xml:space="preserve"> </w:t>
      </w:r>
      <w:r>
        <w:rPr>
          <w:rFonts w:ascii="Arial"/>
          <w:w w:val="105"/>
          <w:sz w:val="20"/>
        </w:rPr>
        <w:t>products</w:t>
      </w:r>
      <w:r>
        <w:rPr>
          <w:rFonts w:ascii="Arial"/>
          <w:spacing w:val="-23"/>
          <w:w w:val="105"/>
          <w:sz w:val="20"/>
        </w:rPr>
        <w:t xml:space="preserve"> </w:t>
      </w:r>
      <w:r>
        <w:rPr>
          <w:rFonts w:ascii="Arial"/>
          <w:w w:val="105"/>
          <w:sz w:val="20"/>
        </w:rPr>
        <w:t>that should</w:t>
      </w:r>
      <w:r>
        <w:rPr>
          <w:rFonts w:ascii="Arial"/>
          <w:spacing w:val="-14"/>
          <w:w w:val="105"/>
          <w:sz w:val="20"/>
        </w:rPr>
        <w:t xml:space="preserve"> </w:t>
      </w:r>
      <w:r>
        <w:rPr>
          <w:rFonts w:ascii="Arial"/>
          <w:w w:val="105"/>
          <w:sz w:val="20"/>
        </w:rPr>
        <w:t>be</w:t>
      </w:r>
      <w:r>
        <w:rPr>
          <w:rFonts w:ascii="Arial"/>
          <w:spacing w:val="-13"/>
          <w:w w:val="105"/>
          <w:sz w:val="20"/>
        </w:rPr>
        <w:t xml:space="preserve"> </w:t>
      </w:r>
      <w:r>
        <w:rPr>
          <w:rFonts w:ascii="Arial"/>
          <w:w w:val="105"/>
          <w:sz w:val="20"/>
        </w:rPr>
        <w:t>regulated</w:t>
      </w:r>
      <w:r>
        <w:rPr>
          <w:rFonts w:ascii="Arial"/>
          <w:spacing w:val="-16"/>
          <w:w w:val="105"/>
          <w:sz w:val="20"/>
        </w:rPr>
        <w:t xml:space="preserve"> </w:t>
      </w:r>
      <w:r>
        <w:rPr>
          <w:rFonts w:ascii="Arial"/>
          <w:w w:val="105"/>
          <w:sz w:val="20"/>
        </w:rPr>
        <w:t>as</w:t>
      </w:r>
      <w:r>
        <w:rPr>
          <w:rFonts w:ascii="Arial"/>
          <w:spacing w:val="-15"/>
          <w:w w:val="105"/>
          <w:sz w:val="20"/>
        </w:rPr>
        <w:t xml:space="preserve"> </w:t>
      </w:r>
      <w:r>
        <w:rPr>
          <w:rFonts w:ascii="Arial"/>
          <w:w w:val="105"/>
          <w:sz w:val="20"/>
        </w:rPr>
        <w:t>a</w:t>
      </w:r>
      <w:r>
        <w:rPr>
          <w:rFonts w:ascii="Arial"/>
          <w:spacing w:val="-14"/>
          <w:w w:val="105"/>
          <w:sz w:val="20"/>
        </w:rPr>
        <w:t xml:space="preserve"> </w:t>
      </w:r>
      <w:r>
        <w:rPr>
          <w:rFonts w:ascii="Arial"/>
          <w:w w:val="105"/>
          <w:sz w:val="20"/>
        </w:rPr>
        <w:t>therapeutic</w:t>
      </w:r>
      <w:r>
        <w:rPr>
          <w:rFonts w:ascii="Arial"/>
          <w:spacing w:val="-12"/>
          <w:w w:val="105"/>
          <w:sz w:val="20"/>
        </w:rPr>
        <w:t xml:space="preserve"> </w:t>
      </w:r>
      <w:r>
        <w:rPr>
          <w:rFonts w:ascii="Arial"/>
          <w:w w:val="105"/>
          <w:sz w:val="20"/>
        </w:rPr>
        <w:t>good</w:t>
      </w:r>
      <w:r>
        <w:rPr>
          <w:rFonts w:ascii="Arial"/>
          <w:spacing w:val="-14"/>
          <w:w w:val="105"/>
          <w:sz w:val="20"/>
        </w:rPr>
        <w:t xml:space="preserve"> </w:t>
      </w:r>
      <w:r>
        <w:rPr>
          <w:rFonts w:ascii="Arial"/>
          <w:w w:val="105"/>
          <w:sz w:val="20"/>
        </w:rPr>
        <w:t>rather</w:t>
      </w:r>
      <w:r>
        <w:rPr>
          <w:rFonts w:ascii="Arial"/>
          <w:spacing w:val="-14"/>
          <w:w w:val="105"/>
          <w:sz w:val="20"/>
        </w:rPr>
        <w:t xml:space="preserve"> </w:t>
      </w:r>
      <w:r>
        <w:rPr>
          <w:rFonts w:ascii="Arial"/>
          <w:w w:val="105"/>
          <w:sz w:val="20"/>
        </w:rPr>
        <w:t>than</w:t>
      </w:r>
      <w:r>
        <w:rPr>
          <w:rFonts w:ascii="Arial"/>
          <w:spacing w:val="-11"/>
          <w:w w:val="105"/>
          <w:sz w:val="20"/>
        </w:rPr>
        <w:t xml:space="preserve"> </w:t>
      </w:r>
      <w:r>
        <w:rPr>
          <w:rFonts w:ascii="Arial"/>
          <w:w w:val="105"/>
          <w:sz w:val="20"/>
        </w:rPr>
        <w:t>as</w:t>
      </w:r>
      <w:r>
        <w:rPr>
          <w:rFonts w:ascii="Arial"/>
          <w:spacing w:val="-13"/>
          <w:w w:val="105"/>
          <w:sz w:val="20"/>
        </w:rPr>
        <w:t xml:space="preserve"> </w:t>
      </w:r>
      <w:r>
        <w:rPr>
          <w:rFonts w:ascii="Arial"/>
          <w:w w:val="105"/>
          <w:sz w:val="20"/>
        </w:rPr>
        <w:t>a</w:t>
      </w:r>
      <w:r>
        <w:rPr>
          <w:rFonts w:ascii="Arial"/>
          <w:spacing w:val="-14"/>
          <w:w w:val="105"/>
          <w:sz w:val="20"/>
        </w:rPr>
        <w:t xml:space="preserve"> </w:t>
      </w:r>
      <w:r>
        <w:rPr>
          <w:rFonts w:ascii="Arial"/>
          <w:w w:val="105"/>
          <w:sz w:val="20"/>
        </w:rPr>
        <w:t>food.</w:t>
      </w:r>
    </w:p>
    <w:p w:rsidR="007D76BB" w:rsidRDefault="007D76BB">
      <w:pPr>
        <w:pStyle w:val="BodyText"/>
        <w:rPr>
          <w:rFonts w:ascii="Arial"/>
          <w:sz w:val="24"/>
        </w:rPr>
      </w:pPr>
    </w:p>
    <w:p w:rsidR="007D76BB" w:rsidRDefault="00D70D28">
      <w:pPr>
        <w:pStyle w:val="Heading4"/>
        <w:spacing w:before="147"/>
        <w:rPr>
          <w:b/>
        </w:rPr>
      </w:pPr>
      <w:bookmarkStart w:id="144" w:name="_bookmark70"/>
      <w:bookmarkEnd w:id="144"/>
      <w:r>
        <w:rPr>
          <w:b/>
          <w:color w:val="FFA200"/>
        </w:rPr>
        <w:t>PURPOSE OF THIS REPORT</w:t>
      </w:r>
    </w:p>
    <w:p w:rsidR="007D76BB" w:rsidRDefault="00D70D28">
      <w:pPr>
        <w:spacing w:before="192" w:line="264" w:lineRule="auto"/>
        <w:ind w:left="482" w:right="1229"/>
        <w:jc w:val="both"/>
        <w:rPr>
          <w:rFonts w:ascii="Arial"/>
          <w:sz w:val="19"/>
        </w:rPr>
      </w:pPr>
      <w:r>
        <w:rPr>
          <w:rFonts w:ascii="Arial"/>
          <w:w w:val="110"/>
          <w:sz w:val="19"/>
        </w:rPr>
        <w:t>The</w:t>
      </w:r>
      <w:r>
        <w:rPr>
          <w:rFonts w:ascii="Arial"/>
          <w:spacing w:val="-41"/>
          <w:w w:val="110"/>
          <w:sz w:val="19"/>
        </w:rPr>
        <w:t xml:space="preserve"> </w:t>
      </w:r>
      <w:r>
        <w:rPr>
          <w:rFonts w:ascii="Arial"/>
          <w:w w:val="110"/>
          <w:sz w:val="19"/>
        </w:rPr>
        <w:t>purpose</w:t>
      </w:r>
      <w:r>
        <w:rPr>
          <w:rFonts w:ascii="Arial"/>
          <w:spacing w:val="-41"/>
          <w:w w:val="110"/>
          <w:sz w:val="19"/>
        </w:rPr>
        <w:t xml:space="preserve"> </w:t>
      </w:r>
      <w:r>
        <w:rPr>
          <w:rFonts w:ascii="Arial"/>
          <w:w w:val="110"/>
          <w:sz w:val="19"/>
        </w:rPr>
        <w:t>of</w:t>
      </w:r>
      <w:r>
        <w:rPr>
          <w:rFonts w:ascii="Arial"/>
          <w:spacing w:val="-41"/>
          <w:w w:val="110"/>
          <w:sz w:val="19"/>
        </w:rPr>
        <w:t xml:space="preserve"> </w:t>
      </w:r>
      <w:r>
        <w:rPr>
          <w:rFonts w:ascii="Arial"/>
          <w:w w:val="110"/>
          <w:sz w:val="19"/>
        </w:rPr>
        <w:t>this</w:t>
      </w:r>
      <w:r>
        <w:rPr>
          <w:rFonts w:ascii="Arial"/>
          <w:spacing w:val="-41"/>
          <w:w w:val="110"/>
          <w:sz w:val="19"/>
        </w:rPr>
        <w:t xml:space="preserve"> </w:t>
      </w:r>
      <w:r>
        <w:rPr>
          <w:rFonts w:ascii="Arial"/>
          <w:w w:val="110"/>
          <w:sz w:val="19"/>
        </w:rPr>
        <w:t>report</w:t>
      </w:r>
      <w:r>
        <w:rPr>
          <w:rFonts w:ascii="Arial"/>
          <w:spacing w:val="-40"/>
          <w:w w:val="110"/>
          <w:sz w:val="19"/>
        </w:rPr>
        <w:t xml:space="preserve"> </w:t>
      </w:r>
      <w:r>
        <w:rPr>
          <w:rFonts w:ascii="Arial"/>
          <w:w w:val="110"/>
          <w:sz w:val="19"/>
        </w:rPr>
        <w:t>is</w:t>
      </w:r>
      <w:r>
        <w:rPr>
          <w:rFonts w:ascii="Arial"/>
          <w:spacing w:val="-42"/>
          <w:w w:val="110"/>
          <w:sz w:val="19"/>
        </w:rPr>
        <w:t xml:space="preserve"> </w:t>
      </w:r>
      <w:r>
        <w:rPr>
          <w:rFonts w:ascii="Arial"/>
          <w:w w:val="110"/>
          <w:sz w:val="19"/>
        </w:rPr>
        <w:t>to</w:t>
      </w:r>
      <w:r>
        <w:rPr>
          <w:rFonts w:ascii="Arial"/>
          <w:spacing w:val="-41"/>
          <w:w w:val="110"/>
          <w:sz w:val="19"/>
        </w:rPr>
        <w:t xml:space="preserve"> </w:t>
      </w:r>
      <w:r>
        <w:rPr>
          <w:rFonts w:ascii="Arial"/>
          <w:w w:val="110"/>
          <w:sz w:val="19"/>
        </w:rPr>
        <w:t>provide</w:t>
      </w:r>
      <w:r>
        <w:rPr>
          <w:rFonts w:ascii="Arial"/>
          <w:spacing w:val="-40"/>
          <w:w w:val="110"/>
          <w:sz w:val="19"/>
        </w:rPr>
        <w:t xml:space="preserve"> </w:t>
      </w:r>
      <w:r>
        <w:rPr>
          <w:rFonts w:ascii="Arial"/>
          <w:w w:val="110"/>
          <w:sz w:val="19"/>
        </w:rPr>
        <w:t>a</w:t>
      </w:r>
      <w:r>
        <w:rPr>
          <w:rFonts w:ascii="Arial"/>
          <w:spacing w:val="-41"/>
          <w:w w:val="110"/>
          <w:sz w:val="19"/>
        </w:rPr>
        <w:t xml:space="preserve"> </w:t>
      </w:r>
      <w:r>
        <w:rPr>
          <w:rFonts w:ascii="Arial"/>
          <w:w w:val="110"/>
          <w:sz w:val="19"/>
        </w:rPr>
        <w:t>quantification</w:t>
      </w:r>
      <w:r>
        <w:rPr>
          <w:rFonts w:ascii="Arial"/>
          <w:spacing w:val="-41"/>
          <w:w w:val="110"/>
          <w:sz w:val="19"/>
        </w:rPr>
        <w:t xml:space="preserve"> </w:t>
      </w:r>
      <w:r>
        <w:rPr>
          <w:rFonts w:ascii="Arial"/>
          <w:w w:val="110"/>
          <w:sz w:val="19"/>
        </w:rPr>
        <w:t>of</w:t>
      </w:r>
      <w:r>
        <w:rPr>
          <w:rFonts w:ascii="Arial"/>
          <w:spacing w:val="-41"/>
          <w:w w:val="110"/>
          <w:sz w:val="19"/>
        </w:rPr>
        <w:t xml:space="preserve"> </w:t>
      </w:r>
      <w:r>
        <w:rPr>
          <w:rFonts w:ascii="Arial"/>
          <w:w w:val="110"/>
          <w:sz w:val="19"/>
        </w:rPr>
        <w:t>the</w:t>
      </w:r>
      <w:r>
        <w:rPr>
          <w:rFonts w:ascii="Arial"/>
          <w:spacing w:val="-41"/>
          <w:w w:val="110"/>
          <w:sz w:val="19"/>
        </w:rPr>
        <w:t xml:space="preserve"> </w:t>
      </w:r>
      <w:r>
        <w:rPr>
          <w:rFonts w:ascii="Arial"/>
          <w:w w:val="110"/>
          <w:sz w:val="19"/>
        </w:rPr>
        <w:t>regulatory</w:t>
      </w:r>
      <w:r>
        <w:rPr>
          <w:rFonts w:ascii="Arial"/>
          <w:spacing w:val="-40"/>
          <w:w w:val="110"/>
          <w:sz w:val="19"/>
        </w:rPr>
        <w:t xml:space="preserve"> </w:t>
      </w:r>
      <w:r>
        <w:rPr>
          <w:rFonts w:ascii="Arial"/>
          <w:w w:val="110"/>
          <w:sz w:val="19"/>
        </w:rPr>
        <w:t>impact</w:t>
      </w:r>
      <w:r>
        <w:rPr>
          <w:rFonts w:ascii="Arial"/>
          <w:spacing w:val="-41"/>
          <w:w w:val="110"/>
          <w:sz w:val="19"/>
        </w:rPr>
        <w:t xml:space="preserve"> </w:t>
      </w:r>
      <w:r>
        <w:rPr>
          <w:rFonts w:ascii="Arial"/>
          <w:w w:val="110"/>
          <w:sz w:val="19"/>
        </w:rPr>
        <w:t>of</w:t>
      </w:r>
      <w:r>
        <w:rPr>
          <w:rFonts w:ascii="Arial"/>
          <w:spacing w:val="-41"/>
          <w:w w:val="110"/>
          <w:sz w:val="19"/>
        </w:rPr>
        <w:t xml:space="preserve"> </w:t>
      </w:r>
      <w:r>
        <w:rPr>
          <w:rFonts w:ascii="Arial"/>
          <w:w w:val="110"/>
          <w:sz w:val="19"/>
        </w:rPr>
        <w:t>the</w:t>
      </w:r>
      <w:r>
        <w:rPr>
          <w:rFonts w:ascii="Arial"/>
          <w:spacing w:val="-41"/>
          <w:w w:val="110"/>
          <w:sz w:val="19"/>
        </w:rPr>
        <w:t xml:space="preserve"> </w:t>
      </w:r>
      <w:r>
        <w:rPr>
          <w:rFonts w:ascii="Arial"/>
          <w:w w:val="110"/>
          <w:sz w:val="19"/>
        </w:rPr>
        <w:t xml:space="preserve">proposed </w:t>
      </w:r>
      <w:r>
        <w:rPr>
          <w:rFonts w:ascii="Arial"/>
          <w:w w:val="105"/>
          <w:sz w:val="19"/>
        </w:rPr>
        <w:t>clarification</w:t>
      </w:r>
      <w:r>
        <w:rPr>
          <w:rFonts w:ascii="Arial"/>
          <w:spacing w:val="-18"/>
          <w:w w:val="105"/>
          <w:sz w:val="19"/>
        </w:rPr>
        <w:t xml:space="preserve"> </w:t>
      </w:r>
      <w:r>
        <w:rPr>
          <w:rFonts w:ascii="Arial"/>
          <w:w w:val="105"/>
          <w:sz w:val="19"/>
        </w:rPr>
        <w:t>to</w:t>
      </w:r>
      <w:r>
        <w:rPr>
          <w:rFonts w:ascii="Arial"/>
          <w:spacing w:val="-17"/>
          <w:w w:val="105"/>
          <w:sz w:val="19"/>
        </w:rPr>
        <w:t xml:space="preserve"> </w:t>
      </w:r>
      <w:r>
        <w:rPr>
          <w:rFonts w:ascii="Arial"/>
          <w:w w:val="105"/>
          <w:sz w:val="19"/>
        </w:rPr>
        <w:t>the</w:t>
      </w:r>
      <w:r>
        <w:rPr>
          <w:rFonts w:ascii="Arial"/>
          <w:spacing w:val="-18"/>
          <w:w w:val="105"/>
          <w:sz w:val="19"/>
        </w:rPr>
        <w:t xml:space="preserve"> </w:t>
      </w:r>
      <w:r>
        <w:rPr>
          <w:rFonts w:ascii="Arial"/>
          <w:w w:val="105"/>
          <w:sz w:val="19"/>
        </w:rPr>
        <w:t>regulation</w:t>
      </w:r>
      <w:r>
        <w:rPr>
          <w:rFonts w:ascii="Arial"/>
          <w:spacing w:val="-17"/>
          <w:w w:val="105"/>
          <w:sz w:val="19"/>
        </w:rPr>
        <w:t xml:space="preserve"> </w:t>
      </w:r>
      <w:r>
        <w:rPr>
          <w:rFonts w:ascii="Arial"/>
          <w:w w:val="105"/>
          <w:sz w:val="19"/>
        </w:rPr>
        <w:t>of</w:t>
      </w:r>
      <w:r>
        <w:rPr>
          <w:rFonts w:ascii="Arial"/>
          <w:spacing w:val="-15"/>
          <w:w w:val="105"/>
          <w:sz w:val="19"/>
        </w:rPr>
        <w:t xml:space="preserve"> </w:t>
      </w:r>
      <w:r>
        <w:rPr>
          <w:rFonts w:ascii="Arial"/>
          <w:w w:val="105"/>
          <w:sz w:val="19"/>
        </w:rPr>
        <w:t>sports</w:t>
      </w:r>
      <w:r>
        <w:rPr>
          <w:rFonts w:ascii="Arial"/>
          <w:spacing w:val="-19"/>
          <w:w w:val="105"/>
          <w:sz w:val="19"/>
        </w:rPr>
        <w:t xml:space="preserve"> </w:t>
      </w:r>
      <w:r>
        <w:rPr>
          <w:rFonts w:ascii="Arial"/>
          <w:w w:val="105"/>
          <w:sz w:val="19"/>
        </w:rPr>
        <w:t>supplements</w:t>
      </w:r>
      <w:r>
        <w:rPr>
          <w:rFonts w:ascii="Arial"/>
          <w:spacing w:val="-19"/>
          <w:w w:val="105"/>
          <w:sz w:val="19"/>
        </w:rPr>
        <w:t xml:space="preserve"> </w:t>
      </w:r>
      <w:r>
        <w:rPr>
          <w:rFonts w:ascii="Arial"/>
          <w:w w:val="105"/>
          <w:sz w:val="19"/>
        </w:rPr>
        <w:t>to</w:t>
      </w:r>
      <w:r>
        <w:rPr>
          <w:rFonts w:ascii="Arial"/>
          <w:spacing w:val="-18"/>
          <w:w w:val="105"/>
          <w:sz w:val="19"/>
        </w:rPr>
        <w:t xml:space="preserve"> </w:t>
      </w:r>
      <w:r>
        <w:rPr>
          <w:rFonts w:ascii="Arial"/>
          <w:w w:val="105"/>
          <w:sz w:val="19"/>
        </w:rPr>
        <w:t>inform</w:t>
      </w:r>
      <w:r>
        <w:rPr>
          <w:rFonts w:ascii="Arial"/>
          <w:spacing w:val="-16"/>
          <w:w w:val="105"/>
          <w:sz w:val="19"/>
        </w:rPr>
        <w:t xml:space="preserve"> </w:t>
      </w:r>
      <w:r>
        <w:rPr>
          <w:rFonts w:ascii="Arial"/>
          <w:w w:val="105"/>
          <w:sz w:val="19"/>
        </w:rPr>
        <w:t>the</w:t>
      </w:r>
      <w:r>
        <w:rPr>
          <w:rFonts w:ascii="Arial"/>
          <w:spacing w:val="-17"/>
          <w:w w:val="105"/>
          <w:sz w:val="19"/>
        </w:rPr>
        <w:t xml:space="preserve"> </w:t>
      </w:r>
      <w:r>
        <w:rPr>
          <w:rFonts w:ascii="Arial"/>
          <w:w w:val="105"/>
          <w:sz w:val="19"/>
        </w:rPr>
        <w:t>Regulation</w:t>
      </w:r>
      <w:r>
        <w:rPr>
          <w:rFonts w:ascii="Arial"/>
          <w:spacing w:val="-18"/>
          <w:w w:val="105"/>
          <w:sz w:val="19"/>
        </w:rPr>
        <w:t xml:space="preserve"> </w:t>
      </w:r>
      <w:r>
        <w:rPr>
          <w:rFonts w:ascii="Arial"/>
          <w:w w:val="105"/>
          <w:sz w:val="19"/>
        </w:rPr>
        <w:t>Impact</w:t>
      </w:r>
      <w:r>
        <w:rPr>
          <w:rFonts w:ascii="Arial"/>
          <w:spacing w:val="-18"/>
          <w:w w:val="105"/>
          <w:sz w:val="19"/>
        </w:rPr>
        <w:t xml:space="preserve"> </w:t>
      </w:r>
      <w:r>
        <w:rPr>
          <w:rFonts w:ascii="Arial"/>
          <w:w w:val="105"/>
          <w:sz w:val="19"/>
        </w:rPr>
        <w:t xml:space="preserve">Statement </w:t>
      </w:r>
      <w:r>
        <w:rPr>
          <w:rFonts w:ascii="Arial"/>
          <w:w w:val="110"/>
          <w:sz w:val="19"/>
        </w:rPr>
        <w:t>(RIS)</w:t>
      </w:r>
      <w:r>
        <w:rPr>
          <w:rFonts w:ascii="Arial"/>
          <w:spacing w:val="-17"/>
          <w:w w:val="110"/>
          <w:sz w:val="19"/>
        </w:rPr>
        <w:t xml:space="preserve"> </w:t>
      </w:r>
      <w:r>
        <w:rPr>
          <w:rFonts w:ascii="Arial"/>
          <w:w w:val="110"/>
          <w:sz w:val="19"/>
        </w:rPr>
        <w:t>prepared</w:t>
      </w:r>
      <w:r>
        <w:rPr>
          <w:rFonts w:ascii="Arial"/>
          <w:spacing w:val="-17"/>
          <w:w w:val="110"/>
          <w:sz w:val="19"/>
        </w:rPr>
        <w:t xml:space="preserve"> </w:t>
      </w:r>
      <w:r>
        <w:rPr>
          <w:rFonts w:ascii="Arial"/>
          <w:w w:val="110"/>
          <w:sz w:val="19"/>
        </w:rPr>
        <w:t>by</w:t>
      </w:r>
      <w:r>
        <w:rPr>
          <w:rFonts w:ascii="Arial"/>
          <w:spacing w:val="-16"/>
          <w:w w:val="110"/>
          <w:sz w:val="19"/>
        </w:rPr>
        <w:t xml:space="preserve"> </w:t>
      </w:r>
      <w:r>
        <w:rPr>
          <w:rFonts w:ascii="Arial"/>
          <w:w w:val="110"/>
          <w:sz w:val="19"/>
        </w:rPr>
        <w:t>the</w:t>
      </w:r>
      <w:r>
        <w:rPr>
          <w:rFonts w:ascii="Arial"/>
          <w:spacing w:val="-15"/>
          <w:w w:val="110"/>
          <w:sz w:val="19"/>
        </w:rPr>
        <w:t xml:space="preserve"> </w:t>
      </w:r>
      <w:r>
        <w:rPr>
          <w:rFonts w:ascii="Arial"/>
          <w:w w:val="110"/>
          <w:sz w:val="19"/>
        </w:rPr>
        <w:t>Department</w:t>
      </w:r>
      <w:r>
        <w:rPr>
          <w:rFonts w:ascii="Arial"/>
          <w:spacing w:val="-17"/>
          <w:w w:val="110"/>
          <w:sz w:val="19"/>
        </w:rPr>
        <w:t xml:space="preserve"> </w:t>
      </w:r>
      <w:r>
        <w:rPr>
          <w:rFonts w:ascii="Arial"/>
          <w:w w:val="110"/>
          <w:sz w:val="19"/>
        </w:rPr>
        <w:t>of</w:t>
      </w:r>
      <w:r>
        <w:rPr>
          <w:rFonts w:ascii="Arial"/>
          <w:spacing w:val="-17"/>
          <w:w w:val="110"/>
          <w:sz w:val="19"/>
        </w:rPr>
        <w:t xml:space="preserve"> </w:t>
      </w:r>
      <w:r>
        <w:rPr>
          <w:rFonts w:ascii="Arial"/>
          <w:w w:val="110"/>
          <w:sz w:val="19"/>
        </w:rPr>
        <w:t>Health.</w:t>
      </w:r>
    </w:p>
    <w:p w:rsidR="007D76BB" w:rsidRDefault="007D76BB">
      <w:pPr>
        <w:pStyle w:val="BodyText"/>
        <w:rPr>
          <w:rFonts w:ascii="Arial"/>
          <w:sz w:val="24"/>
        </w:rPr>
      </w:pPr>
    </w:p>
    <w:p w:rsidR="007D76BB" w:rsidRDefault="00D70D28">
      <w:pPr>
        <w:pStyle w:val="Heading4"/>
        <w:spacing w:before="143"/>
        <w:rPr>
          <w:b/>
        </w:rPr>
      </w:pPr>
      <w:bookmarkStart w:id="145" w:name="_bookmark71"/>
      <w:bookmarkEnd w:id="145"/>
      <w:r>
        <w:rPr>
          <w:b/>
          <w:color w:val="FFA200"/>
        </w:rPr>
        <w:t>APPROACH</w:t>
      </w:r>
    </w:p>
    <w:p w:rsidR="007D76BB" w:rsidRDefault="00D70D28">
      <w:pPr>
        <w:spacing w:before="191" w:line="264" w:lineRule="auto"/>
        <w:ind w:left="482" w:right="688"/>
        <w:rPr>
          <w:rFonts w:ascii="Arial" w:hAnsi="Arial"/>
          <w:sz w:val="19"/>
        </w:rPr>
      </w:pPr>
      <w:r>
        <w:rPr>
          <w:rFonts w:ascii="Arial" w:hAnsi="Arial"/>
          <w:w w:val="105"/>
          <w:sz w:val="19"/>
        </w:rPr>
        <w:t>The</w:t>
      </w:r>
      <w:r>
        <w:rPr>
          <w:rFonts w:ascii="Arial" w:hAnsi="Arial"/>
          <w:spacing w:val="-22"/>
          <w:w w:val="105"/>
          <w:sz w:val="19"/>
        </w:rPr>
        <w:t xml:space="preserve"> </w:t>
      </w:r>
      <w:r>
        <w:rPr>
          <w:rFonts w:ascii="Arial" w:hAnsi="Arial"/>
          <w:w w:val="105"/>
          <w:sz w:val="19"/>
        </w:rPr>
        <w:t>modelling</w:t>
      </w:r>
      <w:r>
        <w:rPr>
          <w:rFonts w:ascii="Arial" w:hAnsi="Arial"/>
          <w:spacing w:val="-21"/>
          <w:w w:val="105"/>
          <w:sz w:val="19"/>
        </w:rPr>
        <w:t xml:space="preserve"> </w:t>
      </w:r>
      <w:r>
        <w:rPr>
          <w:rFonts w:ascii="Arial" w:hAnsi="Arial"/>
          <w:w w:val="105"/>
          <w:sz w:val="19"/>
        </w:rPr>
        <w:t>detailed</w:t>
      </w:r>
      <w:r>
        <w:rPr>
          <w:rFonts w:ascii="Arial" w:hAnsi="Arial"/>
          <w:spacing w:val="-23"/>
          <w:w w:val="105"/>
          <w:sz w:val="19"/>
        </w:rPr>
        <w:t xml:space="preserve"> </w:t>
      </w:r>
      <w:r>
        <w:rPr>
          <w:rFonts w:ascii="Arial" w:hAnsi="Arial"/>
          <w:w w:val="105"/>
          <w:sz w:val="19"/>
        </w:rPr>
        <w:t>in</w:t>
      </w:r>
      <w:r>
        <w:rPr>
          <w:rFonts w:ascii="Arial" w:hAnsi="Arial"/>
          <w:spacing w:val="-23"/>
          <w:w w:val="105"/>
          <w:sz w:val="19"/>
        </w:rPr>
        <w:t xml:space="preserve"> </w:t>
      </w:r>
      <w:r>
        <w:rPr>
          <w:rFonts w:ascii="Arial" w:hAnsi="Arial"/>
          <w:w w:val="105"/>
          <w:sz w:val="19"/>
        </w:rPr>
        <w:t>this</w:t>
      </w:r>
      <w:r>
        <w:rPr>
          <w:rFonts w:ascii="Arial" w:hAnsi="Arial"/>
          <w:spacing w:val="-22"/>
          <w:w w:val="105"/>
          <w:sz w:val="19"/>
        </w:rPr>
        <w:t xml:space="preserve"> </w:t>
      </w:r>
      <w:r>
        <w:rPr>
          <w:rFonts w:ascii="Arial" w:hAnsi="Arial"/>
          <w:w w:val="105"/>
          <w:sz w:val="19"/>
        </w:rPr>
        <w:t>report</w:t>
      </w:r>
      <w:r>
        <w:rPr>
          <w:rFonts w:ascii="Arial" w:hAnsi="Arial"/>
          <w:spacing w:val="-21"/>
          <w:w w:val="105"/>
          <w:sz w:val="19"/>
        </w:rPr>
        <w:t xml:space="preserve"> </w:t>
      </w:r>
      <w:r>
        <w:rPr>
          <w:rFonts w:ascii="Arial" w:hAnsi="Arial"/>
          <w:w w:val="105"/>
          <w:sz w:val="19"/>
        </w:rPr>
        <w:t>was</w:t>
      </w:r>
      <w:r>
        <w:rPr>
          <w:rFonts w:ascii="Arial" w:hAnsi="Arial"/>
          <w:spacing w:val="-22"/>
          <w:w w:val="105"/>
          <w:sz w:val="19"/>
        </w:rPr>
        <w:t xml:space="preserve"> </w:t>
      </w:r>
      <w:r>
        <w:rPr>
          <w:rFonts w:ascii="Arial" w:hAnsi="Arial"/>
          <w:w w:val="105"/>
          <w:sz w:val="19"/>
        </w:rPr>
        <w:t>conducted</w:t>
      </w:r>
      <w:r>
        <w:rPr>
          <w:rFonts w:ascii="Arial" w:hAnsi="Arial"/>
          <w:spacing w:val="-23"/>
          <w:w w:val="105"/>
          <w:sz w:val="19"/>
        </w:rPr>
        <w:t xml:space="preserve"> </w:t>
      </w:r>
      <w:r>
        <w:rPr>
          <w:rFonts w:ascii="Arial" w:hAnsi="Arial"/>
          <w:w w:val="105"/>
          <w:sz w:val="19"/>
        </w:rPr>
        <w:t>in</w:t>
      </w:r>
      <w:r>
        <w:rPr>
          <w:rFonts w:ascii="Arial" w:hAnsi="Arial"/>
          <w:spacing w:val="-23"/>
          <w:w w:val="105"/>
          <w:sz w:val="19"/>
        </w:rPr>
        <w:t xml:space="preserve"> </w:t>
      </w:r>
      <w:r>
        <w:rPr>
          <w:rFonts w:ascii="Arial" w:hAnsi="Arial"/>
          <w:w w:val="105"/>
          <w:sz w:val="19"/>
        </w:rPr>
        <w:t>accordance</w:t>
      </w:r>
      <w:r>
        <w:rPr>
          <w:rFonts w:ascii="Arial" w:hAnsi="Arial"/>
          <w:spacing w:val="-21"/>
          <w:w w:val="105"/>
          <w:sz w:val="19"/>
        </w:rPr>
        <w:t xml:space="preserve"> </w:t>
      </w:r>
      <w:r>
        <w:rPr>
          <w:rFonts w:ascii="Arial" w:hAnsi="Arial"/>
          <w:w w:val="105"/>
          <w:sz w:val="19"/>
        </w:rPr>
        <w:t>with</w:t>
      </w:r>
      <w:r>
        <w:rPr>
          <w:rFonts w:ascii="Arial" w:hAnsi="Arial"/>
          <w:spacing w:val="-23"/>
          <w:w w:val="105"/>
          <w:sz w:val="19"/>
        </w:rPr>
        <w:t xml:space="preserve"> </w:t>
      </w:r>
      <w:r>
        <w:rPr>
          <w:rFonts w:ascii="Arial" w:hAnsi="Arial"/>
          <w:w w:val="105"/>
          <w:sz w:val="19"/>
        </w:rPr>
        <w:t>the</w:t>
      </w:r>
      <w:r>
        <w:rPr>
          <w:rFonts w:ascii="Arial" w:hAnsi="Arial"/>
          <w:spacing w:val="-21"/>
          <w:w w:val="105"/>
          <w:sz w:val="19"/>
        </w:rPr>
        <w:t xml:space="preserve"> </w:t>
      </w:r>
      <w:r>
        <w:rPr>
          <w:rFonts w:ascii="Arial" w:hAnsi="Arial"/>
          <w:w w:val="105"/>
          <w:sz w:val="19"/>
        </w:rPr>
        <w:t>Office</w:t>
      </w:r>
      <w:r>
        <w:rPr>
          <w:rFonts w:ascii="Arial" w:hAnsi="Arial"/>
          <w:spacing w:val="-23"/>
          <w:w w:val="105"/>
          <w:sz w:val="19"/>
        </w:rPr>
        <w:t xml:space="preserve"> </w:t>
      </w:r>
      <w:r>
        <w:rPr>
          <w:rFonts w:ascii="Arial" w:hAnsi="Arial"/>
          <w:w w:val="105"/>
          <w:sz w:val="19"/>
        </w:rPr>
        <w:t>of</w:t>
      </w:r>
      <w:r>
        <w:rPr>
          <w:rFonts w:ascii="Arial" w:hAnsi="Arial"/>
          <w:spacing w:val="-23"/>
          <w:w w:val="105"/>
          <w:sz w:val="19"/>
        </w:rPr>
        <w:t xml:space="preserve"> </w:t>
      </w:r>
      <w:r>
        <w:rPr>
          <w:rFonts w:ascii="Arial" w:hAnsi="Arial"/>
          <w:w w:val="105"/>
          <w:sz w:val="19"/>
        </w:rPr>
        <w:t>Best</w:t>
      </w:r>
      <w:r>
        <w:rPr>
          <w:rFonts w:ascii="Arial" w:hAnsi="Arial"/>
          <w:spacing w:val="-21"/>
          <w:w w:val="105"/>
          <w:sz w:val="19"/>
        </w:rPr>
        <w:t xml:space="preserve"> </w:t>
      </w:r>
      <w:r>
        <w:rPr>
          <w:rFonts w:ascii="Arial" w:hAnsi="Arial"/>
          <w:w w:val="105"/>
          <w:sz w:val="19"/>
        </w:rPr>
        <w:t>Practice Regulation’s (OBPR) guidance for the calculation of regulatory costs. Noetic Group (Noetic) engaged</w:t>
      </w:r>
      <w:r>
        <w:rPr>
          <w:rFonts w:ascii="Arial" w:hAnsi="Arial"/>
          <w:spacing w:val="-28"/>
          <w:w w:val="105"/>
          <w:sz w:val="19"/>
        </w:rPr>
        <w:t xml:space="preserve"> </w:t>
      </w:r>
      <w:r>
        <w:rPr>
          <w:rFonts w:ascii="Arial" w:hAnsi="Arial"/>
          <w:w w:val="105"/>
          <w:sz w:val="19"/>
        </w:rPr>
        <w:t>directly</w:t>
      </w:r>
      <w:r>
        <w:rPr>
          <w:rFonts w:ascii="Arial" w:hAnsi="Arial"/>
          <w:spacing w:val="-27"/>
          <w:w w:val="105"/>
          <w:sz w:val="19"/>
        </w:rPr>
        <w:t xml:space="preserve"> </w:t>
      </w:r>
      <w:r>
        <w:rPr>
          <w:rFonts w:ascii="Arial" w:hAnsi="Arial"/>
          <w:w w:val="105"/>
          <w:sz w:val="19"/>
        </w:rPr>
        <w:t>with</w:t>
      </w:r>
      <w:r>
        <w:rPr>
          <w:rFonts w:ascii="Arial" w:hAnsi="Arial"/>
          <w:spacing w:val="-27"/>
          <w:w w:val="105"/>
          <w:sz w:val="19"/>
        </w:rPr>
        <w:t xml:space="preserve"> </w:t>
      </w:r>
      <w:r>
        <w:rPr>
          <w:rFonts w:ascii="Arial" w:hAnsi="Arial"/>
          <w:w w:val="105"/>
          <w:sz w:val="19"/>
        </w:rPr>
        <w:t>a</w:t>
      </w:r>
      <w:r>
        <w:rPr>
          <w:rFonts w:ascii="Arial" w:hAnsi="Arial"/>
          <w:spacing w:val="-26"/>
          <w:w w:val="105"/>
          <w:sz w:val="19"/>
        </w:rPr>
        <w:t xml:space="preserve"> </w:t>
      </w:r>
      <w:r>
        <w:rPr>
          <w:rFonts w:ascii="Arial" w:hAnsi="Arial"/>
          <w:w w:val="105"/>
          <w:sz w:val="19"/>
        </w:rPr>
        <w:t>range</w:t>
      </w:r>
      <w:r>
        <w:rPr>
          <w:rFonts w:ascii="Arial" w:hAnsi="Arial"/>
          <w:spacing w:val="-26"/>
          <w:w w:val="105"/>
          <w:sz w:val="19"/>
        </w:rPr>
        <w:t xml:space="preserve"> </w:t>
      </w:r>
      <w:r>
        <w:rPr>
          <w:rFonts w:ascii="Arial" w:hAnsi="Arial"/>
          <w:w w:val="105"/>
          <w:sz w:val="19"/>
        </w:rPr>
        <w:t>of</w:t>
      </w:r>
      <w:r>
        <w:rPr>
          <w:rFonts w:ascii="Arial" w:hAnsi="Arial"/>
          <w:spacing w:val="-27"/>
          <w:w w:val="105"/>
          <w:sz w:val="19"/>
        </w:rPr>
        <w:t xml:space="preserve"> </w:t>
      </w:r>
      <w:r>
        <w:rPr>
          <w:rFonts w:ascii="Arial" w:hAnsi="Arial"/>
          <w:w w:val="105"/>
          <w:sz w:val="19"/>
        </w:rPr>
        <w:t>industry</w:t>
      </w:r>
      <w:r>
        <w:rPr>
          <w:rFonts w:ascii="Arial" w:hAnsi="Arial"/>
          <w:spacing w:val="-28"/>
          <w:w w:val="105"/>
          <w:sz w:val="19"/>
        </w:rPr>
        <w:t xml:space="preserve"> </w:t>
      </w:r>
      <w:r>
        <w:rPr>
          <w:rFonts w:ascii="Arial" w:hAnsi="Arial"/>
          <w:w w:val="105"/>
          <w:sz w:val="19"/>
        </w:rPr>
        <w:t>representatives</w:t>
      </w:r>
      <w:r>
        <w:rPr>
          <w:rFonts w:ascii="Arial" w:hAnsi="Arial"/>
          <w:spacing w:val="-28"/>
          <w:w w:val="105"/>
          <w:sz w:val="19"/>
        </w:rPr>
        <w:t xml:space="preserve"> </w:t>
      </w:r>
      <w:r>
        <w:rPr>
          <w:rFonts w:ascii="Arial" w:hAnsi="Arial"/>
          <w:w w:val="105"/>
          <w:sz w:val="19"/>
        </w:rPr>
        <w:t>(retailers,</w:t>
      </w:r>
      <w:r>
        <w:rPr>
          <w:rFonts w:ascii="Arial" w:hAnsi="Arial"/>
          <w:spacing w:val="-27"/>
          <w:w w:val="105"/>
          <w:sz w:val="19"/>
        </w:rPr>
        <w:t xml:space="preserve"> </w:t>
      </w:r>
      <w:r>
        <w:rPr>
          <w:rFonts w:ascii="Arial" w:hAnsi="Arial"/>
          <w:w w:val="105"/>
          <w:sz w:val="19"/>
        </w:rPr>
        <w:t>manufactures,</w:t>
      </w:r>
      <w:r>
        <w:rPr>
          <w:rFonts w:ascii="Arial" w:hAnsi="Arial"/>
          <w:spacing w:val="-26"/>
          <w:w w:val="105"/>
          <w:sz w:val="19"/>
        </w:rPr>
        <w:t xml:space="preserve"> </w:t>
      </w:r>
      <w:r>
        <w:rPr>
          <w:rFonts w:ascii="Arial" w:hAnsi="Arial"/>
          <w:w w:val="105"/>
          <w:sz w:val="19"/>
        </w:rPr>
        <w:t>sponsors</w:t>
      </w:r>
      <w:r>
        <w:rPr>
          <w:rFonts w:ascii="Arial" w:hAnsi="Arial"/>
          <w:spacing w:val="-27"/>
          <w:w w:val="105"/>
          <w:sz w:val="19"/>
        </w:rPr>
        <w:t xml:space="preserve"> </w:t>
      </w:r>
      <w:r>
        <w:rPr>
          <w:rFonts w:ascii="Arial" w:hAnsi="Arial"/>
          <w:w w:val="105"/>
          <w:sz w:val="19"/>
        </w:rPr>
        <w:t>etc.), relied on advice provided by the Department and other Government agencies and their own professional</w:t>
      </w:r>
      <w:r>
        <w:rPr>
          <w:rFonts w:ascii="Arial" w:hAnsi="Arial"/>
          <w:spacing w:val="-19"/>
          <w:w w:val="105"/>
          <w:sz w:val="19"/>
        </w:rPr>
        <w:t xml:space="preserve"> </w:t>
      </w:r>
      <w:r>
        <w:rPr>
          <w:rFonts w:ascii="Arial" w:hAnsi="Arial"/>
          <w:w w:val="105"/>
          <w:sz w:val="19"/>
        </w:rPr>
        <w:t>judgement</w:t>
      </w:r>
      <w:r>
        <w:rPr>
          <w:rFonts w:ascii="Arial" w:hAnsi="Arial"/>
          <w:spacing w:val="-21"/>
          <w:w w:val="105"/>
          <w:sz w:val="19"/>
        </w:rPr>
        <w:t xml:space="preserve"> </w:t>
      </w:r>
      <w:r>
        <w:rPr>
          <w:rFonts w:ascii="Arial" w:hAnsi="Arial"/>
          <w:w w:val="105"/>
          <w:sz w:val="19"/>
        </w:rPr>
        <w:t>to</w:t>
      </w:r>
      <w:r>
        <w:rPr>
          <w:rFonts w:ascii="Arial" w:hAnsi="Arial"/>
          <w:spacing w:val="-20"/>
          <w:w w:val="105"/>
          <w:sz w:val="19"/>
        </w:rPr>
        <w:t xml:space="preserve"> </w:t>
      </w:r>
      <w:r>
        <w:rPr>
          <w:rFonts w:ascii="Arial" w:hAnsi="Arial"/>
          <w:w w:val="105"/>
          <w:sz w:val="19"/>
        </w:rPr>
        <w:t>determine</w:t>
      </w:r>
      <w:r>
        <w:rPr>
          <w:rFonts w:ascii="Arial" w:hAnsi="Arial"/>
          <w:spacing w:val="-20"/>
          <w:w w:val="105"/>
          <w:sz w:val="19"/>
        </w:rPr>
        <w:t xml:space="preserve"> </w:t>
      </w:r>
      <w:r>
        <w:rPr>
          <w:rFonts w:ascii="Arial" w:hAnsi="Arial"/>
          <w:w w:val="105"/>
          <w:sz w:val="19"/>
        </w:rPr>
        <w:t>the</w:t>
      </w:r>
      <w:r>
        <w:rPr>
          <w:rFonts w:ascii="Arial" w:hAnsi="Arial"/>
          <w:spacing w:val="-21"/>
          <w:w w:val="105"/>
          <w:sz w:val="19"/>
        </w:rPr>
        <w:t xml:space="preserve"> </w:t>
      </w:r>
      <w:r>
        <w:rPr>
          <w:rFonts w:ascii="Arial" w:hAnsi="Arial"/>
          <w:w w:val="105"/>
          <w:sz w:val="19"/>
        </w:rPr>
        <w:t>time</w:t>
      </w:r>
      <w:r>
        <w:rPr>
          <w:rFonts w:ascii="Arial" w:hAnsi="Arial"/>
          <w:spacing w:val="-20"/>
          <w:w w:val="105"/>
          <w:sz w:val="19"/>
        </w:rPr>
        <w:t xml:space="preserve"> </w:t>
      </w:r>
      <w:r>
        <w:rPr>
          <w:rFonts w:ascii="Arial" w:hAnsi="Arial"/>
          <w:w w:val="105"/>
          <w:sz w:val="19"/>
        </w:rPr>
        <w:t>taken</w:t>
      </w:r>
      <w:r>
        <w:rPr>
          <w:rFonts w:ascii="Arial" w:hAnsi="Arial"/>
          <w:spacing w:val="-21"/>
          <w:w w:val="105"/>
          <w:sz w:val="19"/>
        </w:rPr>
        <w:t xml:space="preserve"> </w:t>
      </w:r>
      <w:r>
        <w:rPr>
          <w:rFonts w:ascii="Arial" w:hAnsi="Arial"/>
          <w:w w:val="105"/>
          <w:sz w:val="19"/>
        </w:rPr>
        <w:t>to</w:t>
      </w:r>
      <w:r>
        <w:rPr>
          <w:rFonts w:ascii="Arial" w:hAnsi="Arial"/>
          <w:spacing w:val="-19"/>
          <w:w w:val="105"/>
          <w:sz w:val="19"/>
        </w:rPr>
        <w:t xml:space="preserve"> </w:t>
      </w:r>
      <w:r>
        <w:rPr>
          <w:rFonts w:ascii="Arial" w:hAnsi="Arial"/>
          <w:w w:val="105"/>
          <w:sz w:val="19"/>
        </w:rPr>
        <w:t>undertake</w:t>
      </w:r>
      <w:r>
        <w:rPr>
          <w:rFonts w:ascii="Arial" w:hAnsi="Arial"/>
          <w:spacing w:val="-19"/>
          <w:w w:val="105"/>
          <w:sz w:val="19"/>
        </w:rPr>
        <w:t xml:space="preserve"> </w:t>
      </w:r>
      <w:r>
        <w:rPr>
          <w:rFonts w:ascii="Arial" w:hAnsi="Arial"/>
          <w:w w:val="105"/>
          <w:sz w:val="19"/>
        </w:rPr>
        <w:t>the</w:t>
      </w:r>
      <w:r>
        <w:rPr>
          <w:rFonts w:ascii="Arial" w:hAnsi="Arial"/>
          <w:spacing w:val="-21"/>
          <w:w w:val="105"/>
          <w:sz w:val="19"/>
        </w:rPr>
        <w:t xml:space="preserve"> </w:t>
      </w:r>
      <w:r>
        <w:rPr>
          <w:rFonts w:ascii="Arial" w:hAnsi="Arial"/>
          <w:w w:val="105"/>
          <w:sz w:val="19"/>
        </w:rPr>
        <w:t>activities</w:t>
      </w:r>
      <w:r>
        <w:rPr>
          <w:rFonts w:ascii="Arial" w:hAnsi="Arial"/>
          <w:spacing w:val="-19"/>
          <w:w w:val="105"/>
          <w:sz w:val="19"/>
        </w:rPr>
        <w:t xml:space="preserve"> </w:t>
      </w:r>
      <w:r>
        <w:rPr>
          <w:rFonts w:ascii="Arial" w:hAnsi="Arial"/>
          <w:w w:val="105"/>
          <w:sz w:val="19"/>
        </w:rPr>
        <w:t>associated</w:t>
      </w:r>
      <w:r>
        <w:rPr>
          <w:rFonts w:ascii="Arial" w:hAnsi="Arial"/>
          <w:spacing w:val="-21"/>
          <w:w w:val="105"/>
          <w:sz w:val="19"/>
        </w:rPr>
        <w:t xml:space="preserve"> </w:t>
      </w:r>
      <w:r>
        <w:rPr>
          <w:rFonts w:ascii="Arial" w:hAnsi="Arial"/>
          <w:w w:val="105"/>
          <w:sz w:val="19"/>
        </w:rPr>
        <w:t>with</w:t>
      </w:r>
      <w:r>
        <w:rPr>
          <w:rFonts w:ascii="Arial" w:hAnsi="Arial"/>
          <w:spacing w:val="-20"/>
          <w:w w:val="105"/>
          <w:sz w:val="19"/>
        </w:rPr>
        <w:t xml:space="preserve"> </w:t>
      </w:r>
      <w:r>
        <w:rPr>
          <w:rFonts w:ascii="Arial" w:hAnsi="Arial"/>
          <w:w w:val="105"/>
          <w:sz w:val="19"/>
        </w:rPr>
        <w:t>the implementation</w:t>
      </w:r>
      <w:r>
        <w:rPr>
          <w:rFonts w:ascii="Arial" w:hAnsi="Arial"/>
          <w:spacing w:val="-11"/>
          <w:w w:val="105"/>
          <w:sz w:val="19"/>
        </w:rPr>
        <w:t xml:space="preserve"> </w:t>
      </w:r>
      <w:r>
        <w:rPr>
          <w:rFonts w:ascii="Arial" w:hAnsi="Arial"/>
          <w:w w:val="105"/>
          <w:sz w:val="19"/>
        </w:rPr>
        <w:t>of</w:t>
      </w:r>
      <w:r>
        <w:rPr>
          <w:rFonts w:ascii="Arial" w:hAnsi="Arial"/>
          <w:spacing w:val="-14"/>
          <w:w w:val="105"/>
          <w:sz w:val="19"/>
        </w:rPr>
        <w:t xml:space="preserve"> </w:t>
      </w:r>
      <w:r>
        <w:rPr>
          <w:rFonts w:ascii="Arial" w:hAnsi="Arial"/>
          <w:w w:val="105"/>
          <w:sz w:val="19"/>
        </w:rPr>
        <w:t>the</w:t>
      </w:r>
      <w:r>
        <w:rPr>
          <w:rFonts w:ascii="Arial" w:hAnsi="Arial"/>
          <w:spacing w:val="-11"/>
          <w:w w:val="105"/>
          <w:sz w:val="19"/>
        </w:rPr>
        <w:t xml:space="preserve"> </w:t>
      </w:r>
      <w:r>
        <w:rPr>
          <w:rFonts w:ascii="Arial" w:hAnsi="Arial"/>
          <w:w w:val="105"/>
          <w:sz w:val="19"/>
        </w:rPr>
        <w:t>proposed</w:t>
      </w:r>
      <w:r>
        <w:rPr>
          <w:rFonts w:ascii="Arial" w:hAnsi="Arial"/>
          <w:spacing w:val="-12"/>
          <w:w w:val="105"/>
          <w:sz w:val="19"/>
        </w:rPr>
        <w:t xml:space="preserve"> </w:t>
      </w:r>
      <w:r>
        <w:rPr>
          <w:rFonts w:ascii="Arial" w:hAnsi="Arial"/>
          <w:w w:val="105"/>
          <w:sz w:val="19"/>
        </w:rPr>
        <w:t>regulatory</w:t>
      </w:r>
      <w:r>
        <w:rPr>
          <w:rFonts w:ascii="Arial" w:hAnsi="Arial"/>
          <w:spacing w:val="-8"/>
          <w:w w:val="105"/>
          <w:sz w:val="19"/>
        </w:rPr>
        <w:t xml:space="preserve"> </w:t>
      </w:r>
      <w:r>
        <w:rPr>
          <w:rFonts w:ascii="Arial" w:hAnsi="Arial"/>
          <w:w w:val="105"/>
          <w:sz w:val="19"/>
        </w:rPr>
        <w:t>clarification.</w:t>
      </w:r>
    </w:p>
    <w:p w:rsidR="007D76BB" w:rsidRDefault="007D76BB">
      <w:pPr>
        <w:pStyle w:val="BodyText"/>
        <w:rPr>
          <w:rFonts w:ascii="Arial"/>
          <w:sz w:val="24"/>
        </w:rPr>
      </w:pPr>
    </w:p>
    <w:p w:rsidR="007D76BB" w:rsidRDefault="00D70D28">
      <w:pPr>
        <w:pStyle w:val="Heading4"/>
        <w:spacing w:before="144"/>
        <w:rPr>
          <w:b/>
        </w:rPr>
      </w:pPr>
      <w:bookmarkStart w:id="146" w:name="_bookmark72"/>
      <w:bookmarkEnd w:id="146"/>
      <w:r>
        <w:rPr>
          <w:b/>
          <w:color w:val="FFA200"/>
        </w:rPr>
        <w:t>CONCLUSION</w:t>
      </w:r>
    </w:p>
    <w:p w:rsidR="007D76BB" w:rsidRDefault="00D70D28">
      <w:pPr>
        <w:spacing w:before="192" w:line="266" w:lineRule="auto"/>
        <w:ind w:left="482" w:right="688"/>
        <w:rPr>
          <w:rFonts w:ascii="Arial"/>
          <w:sz w:val="19"/>
        </w:rPr>
      </w:pPr>
      <w:r>
        <w:rPr>
          <w:rFonts w:ascii="Arial"/>
          <w:w w:val="105"/>
          <w:sz w:val="19"/>
        </w:rPr>
        <w:t>As</w:t>
      </w:r>
      <w:r>
        <w:rPr>
          <w:rFonts w:ascii="Arial"/>
          <w:spacing w:val="-30"/>
          <w:w w:val="105"/>
          <w:sz w:val="19"/>
        </w:rPr>
        <w:t xml:space="preserve"> </w:t>
      </w:r>
      <w:r>
        <w:rPr>
          <w:rFonts w:ascii="Arial"/>
          <w:w w:val="105"/>
          <w:sz w:val="19"/>
        </w:rPr>
        <w:t>per</w:t>
      </w:r>
      <w:r>
        <w:rPr>
          <w:rFonts w:ascii="Arial"/>
          <w:spacing w:val="-30"/>
          <w:w w:val="105"/>
          <w:sz w:val="19"/>
        </w:rPr>
        <w:t xml:space="preserve"> </w:t>
      </w:r>
      <w:r>
        <w:rPr>
          <w:rFonts w:ascii="Arial"/>
          <w:w w:val="105"/>
          <w:sz w:val="19"/>
        </w:rPr>
        <w:t>OBPR</w:t>
      </w:r>
      <w:r>
        <w:rPr>
          <w:rFonts w:ascii="Arial"/>
          <w:spacing w:val="-30"/>
          <w:w w:val="105"/>
          <w:sz w:val="19"/>
        </w:rPr>
        <w:t xml:space="preserve"> </w:t>
      </w:r>
      <w:r>
        <w:rPr>
          <w:rFonts w:ascii="Arial"/>
          <w:w w:val="105"/>
          <w:sz w:val="19"/>
        </w:rPr>
        <w:t>guidance,</w:t>
      </w:r>
      <w:r>
        <w:rPr>
          <w:rFonts w:ascii="Arial"/>
          <w:spacing w:val="-30"/>
          <w:w w:val="105"/>
          <w:sz w:val="19"/>
        </w:rPr>
        <w:t xml:space="preserve"> </w:t>
      </w:r>
      <w:r>
        <w:rPr>
          <w:rFonts w:ascii="Arial"/>
          <w:w w:val="105"/>
          <w:sz w:val="19"/>
        </w:rPr>
        <w:t>regulatory</w:t>
      </w:r>
      <w:r>
        <w:rPr>
          <w:rFonts w:ascii="Arial"/>
          <w:spacing w:val="-30"/>
          <w:w w:val="105"/>
          <w:sz w:val="19"/>
        </w:rPr>
        <w:t xml:space="preserve"> </w:t>
      </w:r>
      <w:r>
        <w:rPr>
          <w:rFonts w:ascii="Arial"/>
          <w:w w:val="105"/>
          <w:sz w:val="19"/>
        </w:rPr>
        <w:t>costs</w:t>
      </w:r>
      <w:r>
        <w:rPr>
          <w:rFonts w:ascii="Arial"/>
          <w:spacing w:val="-30"/>
          <w:w w:val="105"/>
          <w:sz w:val="19"/>
        </w:rPr>
        <w:t xml:space="preserve"> </w:t>
      </w:r>
      <w:r>
        <w:rPr>
          <w:rFonts w:ascii="Arial"/>
          <w:w w:val="105"/>
          <w:sz w:val="19"/>
        </w:rPr>
        <w:t>are</w:t>
      </w:r>
      <w:r>
        <w:rPr>
          <w:rFonts w:ascii="Arial"/>
          <w:spacing w:val="-30"/>
          <w:w w:val="105"/>
          <w:sz w:val="19"/>
        </w:rPr>
        <w:t xml:space="preserve"> </w:t>
      </w:r>
      <w:r>
        <w:rPr>
          <w:rFonts w:ascii="Arial"/>
          <w:w w:val="105"/>
          <w:sz w:val="19"/>
        </w:rPr>
        <w:t>projected</w:t>
      </w:r>
      <w:r>
        <w:rPr>
          <w:rFonts w:ascii="Arial"/>
          <w:spacing w:val="-30"/>
          <w:w w:val="105"/>
          <w:sz w:val="19"/>
        </w:rPr>
        <w:t xml:space="preserve"> </w:t>
      </w:r>
      <w:r>
        <w:rPr>
          <w:rFonts w:ascii="Arial"/>
          <w:w w:val="105"/>
          <w:sz w:val="19"/>
        </w:rPr>
        <w:t>over</w:t>
      </w:r>
      <w:r>
        <w:rPr>
          <w:rFonts w:ascii="Arial"/>
          <w:spacing w:val="-29"/>
          <w:w w:val="105"/>
          <w:sz w:val="19"/>
        </w:rPr>
        <w:t xml:space="preserve"> </w:t>
      </w:r>
      <w:r>
        <w:rPr>
          <w:rFonts w:ascii="Arial"/>
          <w:w w:val="105"/>
          <w:sz w:val="19"/>
        </w:rPr>
        <w:t>a</w:t>
      </w:r>
      <w:r>
        <w:rPr>
          <w:rFonts w:ascii="Arial"/>
          <w:spacing w:val="-31"/>
          <w:w w:val="105"/>
          <w:sz w:val="19"/>
        </w:rPr>
        <w:t xml:space="preserve"> </w:t>
      </w:r>
      <w:r>
        <w:rPr>
          <w:rFonts w:ascii="Arial"/>
          <w:w w:val="105"/>
          <w:sz w:val="19"/>
        </w:rPr>
        <w:t>10-year</w:t>
      </w:r>
      <w:r>
        <w:rPr>
          <w:rFonts w:ascii="Arial"/>
          <w:spacing w:val="-30"/>
          <w:w w:val="105"/>
          <w:sz w:val="19"/>
        </w:rPr>
        <w:t xml:space="preserve"> </w:t>
      </w:r>
      <w:r>
        <w:rPr>
          <w:rFonts w:ascii="Arial"/>
          <w:w w:val="105"/>
          <w:sz w:val="19"/>
        </w:rPr>
        <w:t>period</w:t>
      </w:r>
      <w:r>
        <w:rPr>
          <w:rFonts w:ascii="Arial"/>
          <w:spacing w:val="-31"/>
          <w:w w:val="105"/>
          <w:sz w:val="19"/>
        </w:rPr>
        <w:t xml:space="preserve"> </w:t>
      </w:r>
      <w:r>
        <w:rPr>
          <w:rFonts w:ascii="Arial"/>
          <w:w w:val="105"/>
          <w:sz w:val="19"/>
        </w:rPr>
        <w:t>and</w:t>
      </w:r>
      <w:r>
        <w:rPr>
          <w:rFonts w:ascii="Arial"/>
          <w:spacing w:val="-30"/>
          <w:w w:val="105"/>
          <w:sz w:val="19"/>
        </w:rPr>
        <w:t xml:space="preserve"> </w:t>
      </w:r>
      <w:r>
        <w:rPr>
          <w:rFonts w:ascii="Arial"/>
          <w:w w:val="105"/>
          <w:sz w:val="19"/>
        </w:rPr>
        <w:t>then</w:t>
      </w:r>
      <w:r>
        <w:rPr>
          <w:rFonts w:ascii="Arial"/>
          <w:spacing w:val="-31"/>
          <w:w w:val="105"/>
          <w:sz w:val="19"/>
        </w:rPr>
        <w:t xml:space="preserve"> </w:t>
      </w:r>
      <w:r>
        <w:rPr>
          <w:rFonts w:ascii="Arial"/>
          <w:w w:val="105"/>
          <w:sz w:val="19"/>
        </w:rPr>
        <w:t>averaged</w:t>
      </w:r>
      <w:r>
        <w:rPr>
          <w:rFonts w:ascii="Arial"/>
          <w:spacing w:val="-31"/>
          <w:w w:val="105"/>
          <w:sz w:val="19"/>
        </w:rPr>
        <w:t xml:space="preserve"> </w:t>
      </w:r>
      <w:r>
        <w:rPr>
          <w:rFonts w:ascii="Arial"/>
          <w:w w:val="105"/>
          <w:sz w:val="19"/>
        </w:rPr>
        <w:t>to arrive</w:t>
      </w:r>
      <w:r>
        <w:rPr>
          <w:rFonts w:ascii="Arial"/>
          <w:spacing w:val="-23"/>
          <w:w w:val="105"/>
          <w:sz w:val="19"/>
        </w:rPr>
        <w:t xml:space="preserve"> </w:t>
      </w:r>
      <w:r>
        <w:rPr>
          <w:rFonts w:ascii="Arial"/>
          <w:w w:val="105"/>
          <w:sz w:val="19"/>
        </w:rPr>
        <w:t>at</w:t>
      </w:r>
      <w:r>
        <w:rPr>
          <w:rFonts w:ascii="Arial"/>
          <w:spacing w:val="-23"/>
          <w:w w:val="105"/>
          <w:sz w:val="19"/>
        </w:rPr>
        <w:t xml:space="preserve"> </w:t>
      </w:r>
      <w:r>
        <w:rPr>
          <w:rFonts w:ascii="Arial"/>
          <w:w w:val="105"/>
          <w:sz w:val="19"/>
        </w:rPr>
        <w:t>an</w:t>
      </w:r>
      <w:r>
        <w:rPr>
          <w:rFonts w:ascii="Arial"/>
          <w:spacing w:val="-25"/>
          <w:w w:val="105"/>
          <w:sz w:val="19"/>
        </w:rPr>
        <w:t xml:space="preserve"> </w:t>
      </w:r>
      <w:r>
        <w:rPr>
          <w:rFonts w:ascii="Arial"/>
          <w:w w:val="105"/>
          <w:sz w:val="19"/>
        </w:rPr>
        <w:t>average</w:t>
      </w:r>
      <w:r>
        <w:rPr>
          <w:rFonts w:ascii="Arial"/>
          <w:spacing w:val="-24"/>
          <w:w w:val="105"/>
          <w:sz w:val="19"/>
        </w:rPr>
        <w:t xml:space="preserve"> </w:t>
      </w:r>
      <w:r>
        <w:rPr>
          <w:rFonts w:ascii="Arial"/>
          <w:w w:val="105"/>
          <w:sz w:val="19"/>
        </w:rPr>
        <w:t>annual</w:t>
      </w:r>
      <w:r>
        <w:rPr>
          <w:rFonts w:ascii="Arial"/>
          <w:spacing w:val="-23"/>
          <w:w w:val="105"/>
          <w:sz w:val="19"/>
        </w:rPr>
        <w:t xml:space="preserve"> </w:t>
      </w:r>
      <w:r>
        <w:rPr>
          <w:rFonts w:ascii="Arial"/>
          <w:w w:val="105"/>
          <w:sz w:val="19"/>
        </w:rPr>
        <w:t>regulatory</w:t>
      </w:r>
      <w:r>
        <w:rPr>
          <w:rFonts w:ascii="Arial"/>
          <w:spacing w:val="-25"/>
          <w:w w:val="105"/>
          <w:sz w:val="19"/>
        </w:rPr>
        <w:t xml:space="preserve"> </w:t>
      </w:r>
      <w:r>
        <w:rPr>
          <w:rFonts w:ascii="Arial"/>
          <w:w w:val="105"/>
          <w:sz w:val="19"/>
        </w:rPr>
        <w:t>cost.</w:t>
      </w:r>
      <w:r>
        <w:rPr>
          <w:rFonts w:ascii="Arial"/>
          <w:spacing w:val="-21"/>
          <w:w w:val="105"/>
          <w:sz w:val="19"/>
        </w:rPr>
        <w:t xml:space="preserve"> </w:t>
      </w:r>
      <w:r>
        <w:rPr>
          <w:rFonts w:ascii="Arial"/>
          <w:w w:val="105"/>
          <w:sz w:val="19"/>
        </w:rPr>
        <w:t>The</w:t>
      </w:r>
      <w:r>
        <w:rPr>
          <w:rFonts w:ascii="Arial"/>
          <w:spacing w:val="-25"/>
          <w:w w:val="105"/>
          <w:sz w:val="19"/>
        </w:rPr>
        <w:t xml:space="preserve"> </w:t>
      </w:r>
      <w:r>
        <w:rPr>
          <w:rFonts w:ascii="Arial"/>
          <w:w w:val="105"/>
          <w:sz w:val="19"/>
        </w:rPr>
        <w:t>following</w:t>
      </w:r>
      <w:r>
        <w:rPr>
          <w:rFonts w:ascii="Arial"/>
          <w:spacing w:val="-24"/>
          <w:w w:val="105"/>
          <w:sz w:val="19"/>
        </w:rPr>
        <w:t xml:space="preserve"> </w:t>
      </w:r>
      <w:r>
        <w:rPr>
          <w:rFonts w:ascii="Arial"/>
          <w:w w:val="105"/>
          <w:sz w:val="19"/>
        </w:rPr>
        <w:t>table</w:t>
      </w:r>
      <w:r>
        <w:rPr>
          <w:rFonts w:ascii="Arial"/>
          <w:spacing w:val="-24"/>
          <w:w w:val="105"/>
          <w:sz w:val="19"/>
        </w:rPr>
        <w:t xml:space="preserve"> </w:t>
      </w:r>
      <w:r>
        <w:rPr>
          <w:rFonts w:ascii="Arial"/>
          <w:w w:val="105"/>
          <w:sz w:val="19"/>
        </w:rPr>
        <w:t>provides</w:t>
      </w:r>
      <w:r>
        <w:rPr>
          <w:rFonts w:ascii="Arial"/>
          <w:spacing w:val="-24"/>
          <w:w w:val="105"/>
          <w:sz w:val="19"/>
        </w:rPr>
        <w:t xml:space="preserve"> </w:t>
      </w:r>
      <w:r>
        <w:rPr>
          <w:rFonts w:ascii="Arial"/>
          <w:w w:val="105"/>
          <w:sz w:val="19"/>
        </w:rPr>
        <w:t>the</w:t>
      </w:r>
      <w:r>
        <w:rPr>
          <w:rFonts w:ascii="Arial"/>
          <w:spacing w:val="-24"/>
          <w:w w:val="105"/>
          <w:sz w:val="19"/>
        </w:rPr>
        <w:t xml:space="preserve"> </w:t>
      </w:r>
      <w:r>
        <w:rPr>
          <w:rFonts w:ascii="Arial"/>
          <w:w w:val="105"/>
          <w:sz w:val="19"/>
        </w:rPr>
        <w:t>average</w:t>
      </w:r>
      <w:r>
        <w:rPr>
          <w:rFonts w:ascii="Arial"/>
          <w:spacing w:val="-24"/>
          <w:w w:val="105"/>
          <w:sz w:val="19"/>
        </w:rPr>
        <w:t xml:space="preserve"> </w:t>
      </w:r>
      <w:r>
        <w:rPr>
          <w:rFonts w:ascii="Arial"/>
          <w:w w:val="105"/>
          <w:sz w:val="19"/>
        </w:rPr>
        <w:t>estimated regulatory</w:t>
      </w:r>
      <w:r>
        <w:rPr>
          <w:rFonts w:ascii="Arial"/>
          <w:spacing w:val="-14"/>
          <w:w w:val="105"/>
          <w:sz w:val="19"/>
        </w:rPr>
        <w:t xml:space="preserve"> </w:t>
      </w:r>
      <w:r>
        <w:rPr>
          <w:rFonts w:ascii="Arial"/>
          <w:w w:val="105"/>
          <w:sz w:val="19"/>
        </w:rPr>
        <w:t>compliance</w:t>
      </w:r>
      <w:r>
        <w:rPr>
          <w:rFonts w:ascii="Arial"/>
          <w:spacing w:val="-14"/>
          <w:w w:val="105"/>
          <w:sz w:val="19"/>
        </w:rPr>
        <w:t xml:space="preserve"> </w:t>
      </w:r>
      <w:r>
        <w:rPr>
          <w:rFonts w:ascii="Arial"/>
          <w:w w:val="105"/>
          <w:sz w:val="19"/>
        </w:rPr>
        <w:t>costs</w:t>
      </w:r>
      <w:r>
        <w:rPr>
          <w:rFonts w:ascii="Arial"/>
          <w:spacing w:val="-12"/>
          <w:w w:val="105"/>
          <w:sz w:val="19"/>
        </w:rPr>
        <w:t xml:space="preserve"> </w:t>
      </w:r>
      <w:r>
        <w:rPr>
          <w:rFonts w:ascii="Arial"/>
          <w:w w:val="105"/>
          <w:sz w:val="19"/>
        </w:rPr>
        <w:t>arising</w:t>
      </w:r>
      <w:r>
        <w:rPr>
          <w:rFonts w:ascii="Arial"/>
          <w:spacing w:val="-13"/>
          <w:w w:val="105"/>
          <w:sz w:val="19"/>
        </w:rPr>
        <w:t xml:space="preserve"> </w:t>
      </w:r>
      <w:r>
        <w:rPr>
          <w:rFonts w:ascii="Arial"/>
          <w:w w:val="105"/>
          <w:sz w:val="19"/>
        </w:rPr>
        <w:t>from</w:t>
      </w:r>
      <w:r>
        <w:rPr>
          <w:rFonts w:ascii="Arial"/>
          <w:spacing w:val="-15"/>
          <w:w w:val="105"/>
          <w:sz w:val="19"/>
        </w:rPr>
        <w:t xml:space="preserve"> </w:t>
      </w:r>
      <w:r>
        <w:rPr>
          <w:rFonts w:ascii="Arial"/>
          <w:w w:val="105"/>
          <w:sz w:val="19"/>
        </w:rPr>
        <w:t>the</w:t>
      </w:r>
      <w:r>
        <w:rPr>
          <w:rFonts w:ascii="Arial"/>
          <w:spacing w:val="-14"/>
          <w:w w:val="105"/>
          <w:sz w:val="19"/>
        </w:rPr>
        <w:t xml:space="preserve"> </w:t>
      </w:r>
      <w:r>
        <w:rPr>
          <w:rFonts w:ascii="Arial"/>
          <w:w w:val="105"/>
          <w:sz w:val="19"/>
        </w:rPr>
        <w:t>proposed</w:t>
      </w:r>
      <w:r>
        <w:rPr>
          <w:rFonts w:ascii="Arial"/>
          <w:spacing w:val="-14"/>
          <w:w w:val="105"/>
          <w:sz w:val="19"/>
        </w:rPr>
        <w:t xml:space="preserve"> </w:t>
      </w:r>
      <w:r>
        <w:rPr>
          <w:rFonts w:ascii="Arial"/>
          <w:w w:val="105"/>
          <w:sz w:val="19"/>
        </w:rPr>
        <w:t>regulatory</w:t>
      </w:r>
      <w:r>
        <w:rPr>
          <w:rFonts w:ascii="Arial"/>
          <w:spacing w:val="-12"/>
          <w:w w:val="105"/>
          <w:sz w:val="19"/>
        </w:rPr>
        <w:t xml:space="preserve"> </w:t>
      </w:r>
      <w:r>
        <w:rPr>
          <w:rFonts w:ascii="Arial"/>
          <w:w w:val="105"/>
          <w:sz w:val="19"/>
        </w:rPr>
        <w:t>clarification.</w:t>
      </w:r>
    </w:p>
    <w:p w:rsidR="007D76BB" w:rsidRDefault="007D76BB">
      <w:pPr>
        <w:spacing w:line="266" w:lineRule="auto"/>
        <w:rPr>
          <w:rFonts w:ascii="Arial"/>
          <w:sz w:val="19"/>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8"/>
        </w:rPr>
      </w:pPr>
    </w:p>
    <w:p w:rsidR="007D76BB" w:rsidRDefault="00D70D28">
      <w:pPr>
        <w:spacing w:before="108"/>
        <w:ind w:left="482"/>
        <w:rPr>
          <w:rFonts w:ascii="Arial"/>
          <w:sz w:val="19"/>
        </w:rPr>
      </w:pPr>
      <w:r>
        <w:rPr>
          <w:rFonts w:ascii="Arial"/>
          <w:color w:val="005386"/>
          <w:sz w:val="19"/>
        </w:rPr>
        <w:t>Table ES1. Summary of estimated regulatory compliance costs</w:t>
      </w:r>
    </w:p>
    <w:p w:rsidR="007D76BB" w:rsidRDefault="007D76BB">
      <w:pPr>
        <w:pStyle w:val="BodyText"/>
        <w:spacing w:before="4"/>
        <w:rPr>
          <w:rFonts w:ascii="Arial"/>
          <w:sz w:val="16"/>
        </w:rPr>
      </w:pPr>
    </w:p>
    <w:tbl>
      <w:tblPr>
        <w:tblW w:w="0" w:type="auto"/>
        <w:tblInd w:w="4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824"/>
        <w:gridCol w:w="1136"/>
        <w:gridCol w:w="1424"/>
        <w:gridCol w:w="1115"/>
        <w:gridCol w:w="1292"/>
      </w:tblGrid>
      <w:tr w:rsidR="007D76BB">
        <w:trPr>
          <w:trHeight w:val="501"/>
        </w:trPr>
        <w:tc>
          <w:tcPr>
            <w:tcW w:w="8791" w:type="dxa"/>
            <w:gridSpan w:val="5"/>
            <w:tcBorders>
              <w:bottom w:val="single" w:sz="4" w:space="0" w:color="000000"/>
            </w:tcBorders>
            <w:shd w:val="clear" w:color="auto" w:fill="005386"/>
          </w:tcPr>
          <w:p w:rsidR="007D76BB" w:rsidRDefault="00D70D28">
            <w:pPr>
              <w:pStyle w:val="TableParagraph"/>
              <w:spacing w:before="196"/>
              <w:ind w:left="1534" w:right="1535"/>
              <w:jc w:val="center"/>
              <w:rPr>
                <w:rFonts w:ascii="Arial"/>
                <w:sz w:val="19"/>
              </w:rPr>
            </w:pPr>
            <w:r>
              <w:rPr>
                <w:rFonts w:ascii="Arial"/>
                <w:color w:val="FFFFFF"/>
                <w:sz w:val="19"/>
              </w:rPr>
              <w:t>Average annual regulatory costs (from business as usual) ($million)</w:t>
            </w:r>
          </w:p>
        </w:tc>
      </w:tr>
      <w:tr w:rsidR="007D76BB">
        <w:trPr>
          <w:trHeight w:val="722"/>
        </w:trPr>
        <w:tc>
          <w:tcPr>
            <w:tcW w:w="3824" w:type="dxa"/>
            <w:tcBorders>
              <w:top w:val="single" w:sz="4" w:space="0" w:color="000000"/>
              <w:left w:val="single" w:sz="4" w:space="0" w:color="000000"/>
              <w:bottom w:val="single" w:sz="4" w:space="0" w:color="000000"/>
              <w:right w:val="single" w:sz="4" w:space="0" w:color="000000"/>
            </w:tcBorders>
            <w:shd w:val="clear" w:color="auto" w:fill="FFD16C"/>
          </w:tcPr>
          <w:p w:rsidR="007D76BB" w:rsidRDefault="007D76BB">
            <w:pPr>
              <w:pStyle w:val="TableParagraph"/>
              <w:rPr>
                <w:rFonts w:ascii="Arial"/>
              </w:rPr>
            </w:pPr>
          </w:p>
          <w:p w:rsidR="007D76BB" w:rsidRDefault="00D70D28">
            <w:pPr>
              <w:pStyle w:val="TableParagraph"/>
              <w:ind w:left="107"/>
              <w:rPr>
                <w:rFonts w:ascii="Arial"/>
                <w:sz w:val="19"/>
              </w:rPr>
            </w:pPr>
            <w:r>
              <w:rPr>
                <w:rFonts w:ascii="Arial"/>
                <w:sz w:val="19"/>
              </w:rPr>
              <w:t>Change in costs</w:t>
            </w:r>
          </w:p>
        </w:tc>
        <w:tc>
          <w:tcPr>
            <w:tcW w:w="1136" w:type="dxa"/>
            <w:tcBorders>
              <w:top w:val="single" w:sz="4" w:space="0" w:color="000000"/>
              <w:left w:val="single" w:sz="4" w:space="0" w:color="000000"/>
              <w:bottom w:val="single" w:sz="4" w:space="0" w:color="000000"/>
              <w:right w:val="single" w:sz="4" w:space="0" w:color="000000"/>
            </w:tcBorders>
            <w:shd w:val="clear" w:color="auto" w:fill="FFD16C"/>
          </w:tcPr>
          <w:p w:rsidR="007D76BB" w:rsidRDefault="00D70D28">
            <w:pPr>
              <w:pStyle w:val="TableParagraph"/>
              <w:spacing w:before="133"/>
              <w:ind w:left="82" w:right="232"/>
              <w:jc w:val="center"/>
              <w:rPr>
                <w:rFonts w:ascii="Arial"/>
                <w:sz w:val="19"/>
              </w:rPr>
            </w:pPr>
            <w:r>
              <w:rPr>
                <w:rFonts w:ascii="Arial"/>
                <w:sz w:val="19"/>
              </w:rPr>
              <w:t>Business</w:t>
            </w:r>
          </w:p>
          <w:p w:rsidR="007D76BB" w:rsidRDefault="00D70D28">
            <w:pPr>
              <w:pStyle w:val="TableParagraph"/>
              <w:spacing w:before="22"/>
              <w:ind w:left="6"/>
              <w:jc w:val="center"/>
              <w:rPr>
                <w:rFonts w:ascii="Arial"/>
                <w:sz w:val="19"/>
              </w:rPr>
            </w:pPr>
            <w:r>
              <w:rPr>
                <w:rFonts w:ascii="Arial"/>
                <w:w w:val="105"/>
                <w:sz w:val="19"/>
              </w:rPr>
              <w:t>$</w:t>
            </w:r>
          </w:p>
        </w:tc>
        <w:tc>
          <w:tcPr>
            <w:tcW w:w="1424" w:type="dxa"/>
            <w:tcBorders>
              <w:top w:val="single" w:sz="4" w:space="0" w:color="000000"/>
              <w:left w:val="single" w:sz="4" w:space="0" w:color="000000"/>
              <w:bottom w:val="single" w:sz="4" w:space="0" w:color="000000"/>
              <w:right w:val="single" w:sz="4" w:space="0" w:color="000000"/>
            </w:tcBorders>
            <w:shd w:val="clear" w:color="auto" w:fill="FFD16C"/>
          </w:tcPr>
          <w:p w:rsidR="007D76BB" w:rsidRDefault="00D70D28">
            <w:pPr>
              <w:pStyle w:val="TableParagraph"/>
              <w:spacing w:before="13" w:line="264" w:lineRule="auto"/>
              <w:ind w:left="162" w:right="152" w:hanging="2"/>
              <w:jc w:val="center"/>
              <w:rPr>
                <w:rFonts w:ascii="Arial"/>
                <w:sz w:val="19"/>
              </w:rPr>
            </w:pPr>
            <w:r>
              <w:rPr>
                <w:rFonts w:ascii="Arial"/>
                <w:w w:val="105"/>
                <w:sz w:val="19"/>
              </w:rPr>
              <w:t xml:space="preserve">Community </w:t>
            </w:r>
            <w:proofErr w:type="spellStart"/>
            <w:r>
              <w:rPr>
                <w:rFonts w:ascii="Arial"/>
                <w:sz w:val="19"/>
              </w:rPr>
              <w:t>Organisation</w:t>
            </w:r>
            <w:proofErr w:type="spellEnd"/>
          </w:p>
          <w:p w:rsidR="007D76BB" w:rsidRDefault="00D70D28">
            <w:pPr>
              <w:pStyle w:val="TableParagraph"/>
              <w:spacing w:line="208" w:lineRule="exact"/>
              <w:ind w:left="6"/>
              <w:jc w:val="center"/>
              <w:rPr>
                <w:rFonts w:ascii="Arial"/>
                <w:sz w:val="19"/>
              </w:rPr>
            </w:pPr>
            <w:r>
              <w:rPr>
                <w:rFonts w:ascii="Arial"/>
                <w:w w:val="105"/>
                <w:sz w:val="19"/>
              </w:rPr>
              <w:t>$</w:t>
            </w:r>
          </w:p>
        </w:tc>
        <w:tc>
          <w:tcPr>
            <w:tcW w:w="1115" w:type="dxa"/>
            <w:tcBorders>
              <w:top w:val="single" w:sz="4" w:space="0" w:color="000000"/>
              <w:left w:val="single" w:sz="4" w:space="0" w:color="000000"/>
              <w:bottom w:val="single" w:sz="4" w:space="0" w:color="000000"/>
              <w:right w:val="single" w:sz="4" w:space="0" w:color="000000"/>
            </w:tcBorders>
            <w:shd w:val="clear" w:color="auto" w:fill="FFD16C"/>
          </w:tcPr>
          <w:p w:rsidR="007D76BB" w:rsidRDefault="00D70D28">
            <w:pPr>
              <w:pStyle w:val="TableParagraph"/>
              <w:spacing w:before="133"/>
              <w:ind w:left="112" w:right="109"/>
              <w:jc w:val="center"/>
              <w:rPr>
                <w:rFonts w:ascii="Arial"/>
                <w:sz w:val="19"/>
              </w:rPr>
            </w:pPr>
            <w:r>
              <w:rPr>
                <w:rFonts w:ascii="Arial"/>
                <w:w w:val="105"/>
                <w:sz w:val="19"/>
              </w:rPr>
              <w:t>Individual</w:t>
            </w:r>
          </w:p>
          <w:p w:rsidR="007D76BB" w:rsidRDefault="00D70D28">
            <w:pPr>
              <w:pStyle w:val="TableParagraph"/>
              <w:spacing w:before="22"/>
              <w:ind w:left="1"/>
              <w:jc w:val="center"/>
              <w:rPr>
                <w:rFonts w:ascii="Arial"/>
                <w:sz w:val="19"/>
              </w:rPr>
            </w:pPr>
            <w:r>
              <w:rPr>
                <w:rFonts w:ascii="Arial"/>
                <w:w w:val="105"/>
                <w:sz w:val="19"/>
              </w:rPr>
              <w:t>$</w:t>
            </w:r>
          </w:p>
        </w:tc>
        <w:tc>
          <w:tcPr>
            <w:tcW w:w="1292" w:type="dxa"/>
            <w:tcBorders>
              <w:top w:val="single" w:sz="4" w:space="0" w:color="000000"/>
              <w:left w:val="single" w:sz="4" w:space="0" w:color="000000"/>
              <w:bottom w:val="single" w:sz="4" w:space="0" w:color="000000"/>
              <w:right w:val="single" w:sz="4" w:space="0" w:color="000000"/>
            </w:tcBorders>
            <w:shd w:val="clear" w:color="auto" w:fill="FFD16C"/>
          </w:tcPr>
          <w:p w:rsidR="007D76BB" w:rsidRDefault="00D70D28">
            <w:pPr>
              <w:pStyle w:val="TableParagraph"/>
              <w:spacing w:line="240" w:lineRule="exact"/>
              <w:ind w:left="105" w:right="151"/>
              <w:rPr>
                <w:rFonts w:ascii="Arial"/>
                <w:sz w:val="19"/>
              </w:rPr>
            </w:pPr>
            <w:r>
              <w:rPr>
                <w:rFonts w:ascii="Arial"/>
                <w:sz w:val="19"/>
              </w:rPr>
              <w:t>Total change in costs</w:t>
            </w:r>
          </w:p>
        </w:tc>
      </w:tr>
      <w:tr w:rsidR="007D76BB">
        <w:trPr>
          <w:trHeight w:val="263"/>
        </w:trPr>
        <w:tc>
          <w:tcPr>
            <w:tcW w:w="3824" w:type="dxa"/>
            <w:tcBorders>
              <w:top w:val="single" w:sz="4" w:space="0" w:color="000000"/>
              <w:left w:val="single" w:sz="4" w:space="0" w:color="000000"/>
              <w:bottom w:val="single" w:sz="4" w:space="0" w:color="000000"/>
              <w:right w:val="single" w:sz="4" w:space="0" w:color="000000"/>
            </w:tcBorders>
            <w:shd w:val="clear" w:color="auto" w:fill="005386"/>
          </w:tcPr>
          <w:p w:rsidR="007D76BB" w:rsidRDefault="00D70D28">
            <w:pPr>
              <w:pStyle w:val="TableParagraph"/>
              <w:spacing w:before="25" w:line="218" w:lineRule="exact"/>
              <w:ind w:left="7"/>
              <w:jc w:val="center"/>
              <w:rPr>
                <w:rFonts w:ascii="Arial"/>
                <w:sz w:val="19"/>
              </w:rPr>
            </w:pPr>
            <w:r>
              <w:rPr>
                <w:rFonts w:ascii="Arial"/>
                <w:color w:val="FFFFFF"/>
                <w:sz w:val="19"/>
              </w:rPr>
              <w:t>Option 1</w:t>
            </w:r>
          </w:p>
        </w:tc>
        <w:tc>
          <w:tcPr>
            <w:tcW w:w="1136" w:type="dxa"/>
            <w:vMerge w:val="restart"/>
            <w:tcBorders>
              <w:top w:val="single" w:sz="4" w:space="0" w:color="000000"/>
              <w:left w:val="single" w:sz="4" w:space="0" w:color="000000"/>
              <w:bottom w:val="single" w:sz="4" w:space="0" w:color="000000"/>
              <w:right w:val="single" w:sz="4" w:space="0" w:color="000000"/>
            </w:tcBorders>
          </w:tcPr>
          <w:p w:rsidR="007D76BB" w:rsidRDefault="007D76BB">
            <w:pPr>
              <w:pStyle w:val="TableParagraph"/>
              <w:rPr>
                <w:rFonts w:ascii="Times New Roman"/>
                <w:sz w:val="18"/>
              </w:rPr>
            </w:pPr>
          </w:p>
        </w:tc>
        <w:tc>
          <w:tcPr>
            <w:tcW w:w="1424" w:type="dxa"/>
            <w:vMerge w:val="restart"/>
            <w:tcBorders>
              <w:top w:val="single" w:sz="4" w:space="0" w:color="000000"/>
              <w:left w:val="single" w:sz="4" w:space="0" w:color="000000"/>
              <w:bottom w:val="single" w:sz="4" w:space="0" w:color="000000"/>
              <w:right w:val="single" w:sz="4" w:space="0" w:color="000000"/>
            </w:tcBorders>
          </w:tcPr>
          <w:p w:rsidR="007D76BB" w:rsidRDefault="007D76BB">
            <w:pPr>
              <w:pStyle w:val="TableParagraph"/>
              <w:rPr>
                <w:rFonts w:ascii="Times New Roman"/>
                <w:sz w:val="18"/>
              </w:rPr>
            </w:pPr>
          </w:p>
        </w:tc>
        <w:tc>
          <w:tcPr>
            <w:tcW w:w="1115" w:type="dxa"/>
            <w:vMerge w:val="restart"/>
            <w:tcBorders>
              <w:top w:val="single" w:sz="4" w:space="0" w:color="000000"/>
              <w:left w:val="single" w:sz="4" w:space="0" w:color="000000"/>
              <w:bottom w:val="single" w:sz="4" w:space="0" w:color="000000"/>
              <w:right w:val="single" w:sz="4" w:space="0" w:color="000000"/>
            </w:tcBorders>
          </w:tcPr>
          <w:p w:rsidR="007D76BB" w:rsidRDefault="007D76BB">
            <w:pPr>
              <w:pStyle w:val="TableParagraph"/>
              <w:rPr>
                <w:rFonts w:ascii="Times New Roman"/>
                <w:sz w:val="18"/>
              </w:rPr>
            </w:pPr>
          </w:p>
        </w:tc>
        <w:tc>
          <w:tcPr>
            <w:tcW w:w="1292" w:type="dxa"/>
            <w:vMerge w:val="restart"/>
            <w:tcBorders>
              <w:top w:val="single" w:sz="4" w:space="0" w:color="000000"/>
              <w:left w:val="single" w:sz="4" w:space="0" w:color="000000"/>
              <w:bottom w:val="single" w:sz="4" w:space="0" w:color="000000"/>
              <w:right w:val="single" w:sz="4" w:space="0" w:color="000000"/>
            </w:tcBorders>
          </w:tcPr>
          <w:p w:rsidR="007D76BB" w:rsidRDefault="007D76BB">
            <w:pPr>
              <w:pStyle w:val="TableParagraph"/>
              <w:rPr>
                <w:rFonts w:ascii="Times New Roman"/>
                <w:sz w:val="18"/>
              </w:rPr>
            </w:pPr>
          </w:p>
        </w:tc>
      </w:tr>
      <w:tr w:rsidR="007D76BB">
        <w:trPr>
          <w:trHeight w:val="722"/>
        </w:trPr>
        <w:tc>
          <w:tcPr>
            <w:tcW w:w="3824" w:type="dxa"/>
            <w:tcBorders>
              <w:top w:val="single" w:sz="4" w:space="0" w:color="000000"/>
              <w:left w:val="single" w:sz="4" w:space="0" w:color="000000"/>
              <w:bottom w:val="single" w:sz="4" w:space="0" w:color="000000"/>
              <w:right w:val="single" w:sz="4" w:space="0" w:color="000000"/>
            </w:tcBorders>
            <w:shd w:val="clear" w:color="auto" w:fill="FFD16C"/>
          </w:tcPr>
          <w:p w:rsidR="007D76BB" w:rsidRDefault="00D70D28">
            <w:pPr>
              <w:pStyle w:val="TableParagraph"/>
              <w:spacing w:before="13"/>
              <w:ind w:left="107"/>
              <w:rPr>
                <w:rFonts w:ascii="Arial"/>
                <w:sz w:val="19"/>
              </w:rPr>
            </w:pPr>
            <w:r>
              <w:rPr>
                <w:rFonts w:ascii="Arial"/>
                <w:w w:val="105"/>
                <w:sz w:val="19"/>
              </w:rPr>
              <w:t>Status quo: Current food and therapeutic</w:t>
            </w:r>
          </w:p>
          <w:p w:rsidR="007D76BB" w:rsidRDefault="00D70D28">
            <w:pPr>
              <w:pStyle w:val="TableParagraph"/>
              <w:spacing w:before="3" w:line="240" w:lineRule="atLeast"/>
              <w:ind w:left="107" w:right="238"/>
              <w:rPr>
                <w:rFonts w:ascii="Arial"/>
                <w:sz w:val="19"/>
              </w:rPr>
            </w:pPr>
            <w:r>
              <w:rPr>
                <w:rFonts w:ascii="Arial"/>
                <w:w w:val="105"/>
                <w:sz w:val="19"/>
              </w:rPr>
              <w:t>goods regulatory frameworks are appropriate - no clarification is required</w:t>
            </w:r>
          </w:p>
        </w:tc>
        <w:tc>
          <w:tcPr>
            <w:tcW w:w="1136" w:type="dxa"/>
            <w:vMerge/>
            <w:tcBorders>
              <w:top w:val="nil"/>
              <w:left w:val="single" w:sz="4" w:space="0" w:color="000000"/>
              <w:bottom w:val="single" w:sz="4" w:space="0" w:color="000000"/>
              <w:right w:val="single" w:sz="4" w:space="0" w:color="000000"/>
            </w:tcBorders>
          </w:tcPr>
          <w:p w:rsidR="007D76BB" w:rsidRDefault="007D76BB">
            <w:pPr>
              <w:rPr>
                <w:sz w:val="2"/>
                <w:szCs w:val="2"/>
              </w:rPr>
            </w:pPr>
          </w:p>
        </w:tc>
        <w:tc>
          <w:tcPr>
            <w:tcW w:w="1424" w:type="dxa"/>
            <w:vMerge/>
            <w:tcBorders>
              <w:top w:val="nil"/>
              <w:left w:val="single" w:sz="4" w:space="0" w:color="000000"/>
              <w:bottom w:val="single" w:sz="4" w:space="0" w:color="000000"/>
              <w:right w:val="single" w:sz="4" w:space="0" w:color="000000"/>
            </w:tcBorders>
          </w:tcPr>
          <w:p w:rsidR="007D76BB" w:rsidRDefault="007D76BB">
            <w:pPr>
              <w:rPr>
                <w:sz w:val="2"/>
                <w:szCs w:val="2"/>
              </w:rPr>
            </w:pPr>
          </w:p>
        </w:tc>
        <w:tc>
          <w:tcPr>
            <w:tcW w:w="1115" w:type="dxa"/>
            <w:vMerge/>
            <w:tcBorders>
              <w:top w:val="nil"/>
              <w:left w:val="single" w:sz="4" w:space="0" w:color="000000"/>
              <w:bottom w:val="single" w:sz="4" w:space="0" w:color="000000"/>
              <w:right w:val="single" w:sz="4" w:space="0" w:color="000000"/>
            </w:tcBorders>
          </w:tcPr>
          <w:p w:rsidR="007D76BB" w:rsidRDefault="007D76BB">
            <w:pPr>
              <w:rPr>
                <w:sz w:val="2"/>
                <w:szCs w:val="2"/>
              </w:rPr>
            </w:pPr>
          </w:p>
        </w:tc>
        <w:tc>
          <w:tcPr>
            <w:tcW w:w="1292" w:type="dxa"/>
            <w:vMerge/>
            <w:tcBorders>
              <w:top w:val="nil"/>
              <w:left w:val="single" w:sz="4" w:space="0" w:color="000000"/>
              <w:bottom w:val="single" w:sz="4" w:space="0" w:color="000000"/>
              <w:right w:val="single" w:sz="4" w:space="0" w:color="000000"/>
            </w:tcBorders>
          </w:tcPr>
          <w:p w:rsidR="007D76BB" w:rsidRDefault="007D76BB">
            <w:pPr>
              <w:rPr>
                <w:sz w:val="2"/>
                <w:szCs w:val="2"/>
              </w:rPr>
            </w:pPr>
          </w:p>
        </w:tc>
      </w:tr>
      <w:tr w:rsidR="007D76BB">
        <w:trPr>
          <w:trHeight w:val="263"/>
        </w:trPr>
        <w:tc>
          <w:tcPr>
            <w:tcW w:w="3824" w:type="dxa"/>
            <w:tcBorders>
              <w:top w:val="single" w:sz="4" w:space="0" w:color="000000"/>
              <w:left w:val="single" w:sz="4" w:space="0" w:color="000000"/>
              <w:bottom w:val="single" w:sz="4" w:space="0" w:color="000000"/>
              <w:right w:val="single" w:sz="4" w:space="0" w:color="000000"/>
            </w:tcBorders>
            <w:shd w:val="clear" w:color="auto" w:fill="005386"/>
          </w:tcPr>
          <w:p w:rsidR="007D76BB" w:rsidRDefault="00D70D28">
            <w:pPr>
              <w:pStyle w:val="TableParagraph"/>
              <w:spacing w:before="25" w:line="218" w:lineRule="exact"/>
              <w:ind w:right="1466"/>
              <w:jc w:val="right"/>
              <w:rPr>
                <w:rFonts w:ascii="Arial"/>
                <w:sz w:val="19"/>
              </w:rPr>
            </w:pPr>
            <w:r>
              <w:rPr>
                <w:rFonts w:ascii="Arial"/>
                <w:color w:val="FFFFFF"/>
                <w:w w:val="105"/>
                <w:sz w:val="19"/>
              </w:rPr>
              <w:t>Option 2A</w:t>
            </w:r>
          </w:p>
        </w:tc>
        <w:tc>
          <w:tcPr>
            <w:tcW w:w="1136" w:type="dxa"/>
            <w:vMerge w:val="restart"/>
            <w:tcBorders>
              <w:top w:val="single" w:sz="4" w:space="0" w:color="000000"/>
              <w:left w:val="single" w:sz="4" w:space="0" w:color="000000"/>
              <w:bottom w:val="single" w:sz="4" w:space="0" w:color="000000"/>
              <w:right w:val="single" w:sz="4" w:space="0" w:color="000000"/>
            </w:tcBorders>
          </w:tcPr>
          <w:p w:rsidR="007D76BB" w:rsidRDefault="007D76BB">
            <w:pPr>
              <w:pStyle w:val="TableParagraph"/>
              <w:rPr>
                <w:rFonts w:ascii="Arial"/>
                <w:sz w:val="24"/>
              </w:rPr>
            </w:pPr>
          </w:p>
          <w:p w:rsidR="007D76BB" w:rsidRDefault="007D76BB">
            <w:pPr>
              <w:pStyle w:val="TableParagraph"/>
              <w:spacing w:before="4"/>
              <w:rPr>
                <w:rFonts w:ascii="Arial"/>
                <w:sz w:val="20"/>
              </w:rPr>
            </w:pPr>
          </w:p>
          <w:p w:rsidR="007D76BB" w:rsidRDefault="00D70D28">
            <w:pPr>
              <w:pStyle w:val="TableParagraph"/>
              <w:ind w:left="357"/>
              <w:rPr>
                <w:rFonts w:ascii="Arial"/>
                <w:sz w:val="19"/>
              </w:rPr>
            </w:pPr>
            <w:r>
              <w:rPr>
                <w:rFonts w:ascii="Arial"/>
                <w:w w:val="105"/>
                <w:sz w:val="19"/>
              </w:rPr>
              <w:t>$0.22m</w:t>
            </w:r>
          </w:p>
        </w:tc>
        <w:tc>
          <w:tcPr>
            <w:tcW w:w="1424" w:type="dxa"/>
            <w:vMerge w:val="restart"/>
            <w:tcBorders>
              <w:top w:val="single" w:sz="4" w:space="0" w:color="000000"/>
              <w:left w:val="single" w:sz="4" w:space="0" w:color="000000"/>
              <w:bottom w:val="single" w:sz="4" w:space="0" w:color="000000"/>
              <w:right w:val="single" w:sz="4" w:space="0" w:color="000000"/>
            </w:tcBorders>
          </w:tcPr>
          <w:p w:rsidR="007D76BB" w:rsidRDefault="007D76BB">
            <w:pPr>
              <w:pStyle w:val="TableParagraph"/>
              <w:rPr>
                <w:rFonts w:ascii="Times New Roman"/>
                <w:sz w:val="18"/>
              </w:rPr>
            </w:pPr>
          </w:p>
        </w:tc>
        <w:tc>
          <w:tcPr>
            <w:tcW w:w="1115" w:type="dxa"/>
            <w:vMerge w:val="restart"/>
            <w:tcBorders>
              <w:top w:val="single" w:sz="4" w:space="0" w:color="000000"/>
              <w:left w:val="single" w:sz="4" w:space="0" w:color="000000"/>
              <w:bottom w:val="single" w:sz="4" w:space="0" w:color="000000"/>
              <w:right w:val="single" w:sz="4" w:space="0" w:color="000000"/>
            </w:tcBorders>
          </w:tcPr>
          <w:p w:rsidR="007D76BB" w:rsidRDefault="007D76BB">
            <w:pPr>
              <w:pStyle w:val="TableParagraph"/>
              <w:rPr>
                <w:rFonts w:ascii="Times New Roman"/>
                <w:sz w:val="18"/>
              </w:rPr>
            </w:pPr>
          </w:p>
        </w:tc>
        <w:tc>
          <w:tcPr>
            <w:tcW w:w="1292" w:type="dxa"/>
            <w:vMerge w:val="restart"/>
            <w:tcBorders>
              <w:top w:val="single" w:sz="4" w:space="0" w:color="000000"/>
              <w:left w:val="single" w:sz="4" w:space="0" w:color="000000"/>
              <w:bottom w:val="single" w:sz="4" w:space="0" w:color="000000"/>
              <w:right w:val="single" w:sz="4" w:space="0" w:color="000000"/>
            </w:tcBorders>
          </w:tcPr>
          <w:p w:rsidR="007D76BB" w:rsidRDefault="007D76BB">
            <w:pPr>
              <w:pStyle w:val="TableParagraph"/>
              <w:rPr>
                <w:rFonts w:ascii="Arial"/>
                <w:sz w:val="24"/>
              </w:rPr>
            </w:pPr>
          </w:p>
          <w:p w:rsidR="007D76BB" w:rsidRDefault="007D76BB">
            <w:pPr>
              <w:pStyle w:val="TableParagraph"/>
              <w:spacing w:before="4"/>
              <w:rPr>
                <w:rFonts w:ascii="Arial"/>
                <w:sz w:val="20"/>
              </w:rPr>
            </w:pPr>
          </w:p>
          <w:p w:rsidR="007D76BB" w:rsidRDefault="00D70D28">
            <w:pPr>
              <w:pStyle w:val="TableParagraph"/>
              <w:ind w:left="511"/>
              <w:rPr>
                <w:rFonts w:ascii="Arial"/>
                <w:sz w:val="19"/>
              </w:rPr>
            </w:pPr>
            <w:r>
              <w:rPr>
                <w:rFonts w:ascii="Arial"/>
                <w:w w:val="105"/>
                <w:sz w:val="19"/>
              </w:rPr>
              <w:t>$0.22m</w:t>
            </w:r>
          </w:p>
        </w:tc>
      </w:tr>
      <w:tr w:rsidR="007D76BB">
        <w:trPr>
          <w:trHeight w:val="962"/>
        </w:trPr>
        <w:tc>
          <w:tcPr>
            <w:tcW w:w="3824" w:type="dxa"/>
            <w:tcBorders>
              <w:top w:val="single" w:sz="4" w:space="0" w:color="000000"/>
              <w:left w:val="single" w:sz="4" w:space="0" w:color="000000"/>
              <w:bottom w:val="single" w:sz="4" w:space="0" w:color="000000"/>
              <w:right w:val="single" w:sz="4" w:space="0" w:color="000000"/>
            </w:tcBorders>
            <w:shd w:val="clear" w:color="auto" w:fill="FFD16C"/>
          </w:tcPr>
          <w:p w:rsidR="007D76BB" w:rsidRDefault="00D70D28">
            <w:pPr>
              <w:pStyle w:val="TableParagraph"/>
              <w:spacing w:before="13" w:line="264" w:lineRule="auto"/>
              <w:ind w:left="107" w:right="110"/>
              <w:rPr>
                <w:rFonts w:ascii="Arial"/>
                <w:sz w:val="19"/>
              </w:rPr>
            </w:pPr>
            <w:r>
              <w:rPr>
                <w:rFonts w:ascii="Arial"/>
                <w:w w:val="105"/>
                <w:sz w:val="19"/>
              </w:rPr>
              <w:t>Clarify the therapeutic goods regulatory framework to make clear that certain sports</w:t>
            </w:r>
            <w:r>
              <w:rPr>
                <w:rFonts w:ascii="Arial"/>
                <w:spacing w:val="-35"/>
                <w:w w:val="105"/>
                <w:sz w:val="19"/>
              </w:rPr>
              <w:t xml:space="preserve"> </w:t>
            </w:r>
            <w:r>
              <w:rPr>
                <w:rFonts w:ascii="Arial"/>
                <w:w w:val="105"/>
                <w:sz w:val="19"/>
              </w:rPr>
              <w:t>supplements</w:t>
            </w:r>
            <w:r>
              <w:rPr>
                <w:rFonts w:ascii="Arial"/>
                <w:spacing w:val="-35"/>
                <w:w w:val="105"/>
                <w:sz w:val="19"/>
              </w:rPr>
              <w:t xml:space="preserve"> </w:t>
            </w:r>
            <w:r>
              <w:rPr>
                <w:rFonts w:ascii="Arial"/>
                <w:w w:val="105"/>
                <w:sz w:val="19"/>
              </w:rPr>
              <w:t>are</w:t>
            </w:r>
            <w:r>
              <w:rPr>
                <w:rFonts w:ascii="Arial"/>
                <w:spacing w:val="-34"/>
                <w:w w:val="105"/>
                <w:sz w:val="19"/>
              </w:rPr>
              <w:t xml:space="preserve"> </w:t>
            </w:r>
            <w:r>
              <w:rPr>
                <w:rFonts w:ascii="Arial"/>
                <w:w w:val="105"/>
                <w:sz w:val="19"/>
              </w:rPr>
              <w:t>therapeutic</w:t>
            </w:r>
            <w:r>
              <w:rPr>
                <w:rFonts w:ascii="Arial"/>
                <w:spacing w:val="-35"/>
                <w:w w:val="105"/>
                <w:sz w:val="19"/>
              </w:rPr>
              <w:t xml:space="preserve"> </w:t>
            </w:r>
            <w:r>
              <w:rPr>
                <w:rFonts w:ascii="Arial"/>
                <w:w w:val="105"/>
                <w:sz w:val="19"/>
              </w:rPr>
              <w:t>goods</w:t>
            </w:r>
          </w:p>
          <w:p w:rsidR="007D76BB" w:rsidRDefault="00D70D28">
            <w:pPr>
              <w:pStyle w:val="TableParagraph"/>
              <w:spacing w:before="2" w:line="206" w:lineRule="exact"/>
              <w:ind w:left="107"/>
              <w:rPr>
                <w:rFonts w:ascii="Arial"/>
                <w:sz w:val="19"/>
              </w:rPr>
            </w:pPr>
            <w:r>
              <w:rPr>
                <w:rFonts w:ascii="Arial"/>
                <w:sz w:val="19"/>
              </w:rPr>
              <w:t>(includes WADC Prohibited List)</w:t>
            </w:r>
          </w:p>
        </w:tc>
        <w:tc>
          <w:tcPr>
            <w:tcW w:w="1136" w:type="dxa"/>
            <w:vMerge/>
            <w:tcBorders>
              <w:top w:val="nil"/>
              <w:left w:val="single" w:sz="4" w:space="0" w:color="000000"/>
              <w:bottom w:val="single" w:sz="4" w:space="0" w:color="000000"/>
              <w:right w:val="single" w:sz="4" w:space="0" w:color="000000"/>
            </w:tcBorders>
          </w:tcPr>
          <w:p w:rsidR="007D76BB" w:rsidRDefault="007D76BB">
            <w:pPr>
              <w:rPr>
                <w:sz w:val="2"/>
                <w:szCs w:val="2"/>
              </w:rPr>
            </w:pPr>
          </w:p>
        </w:tc>
        <w:tc>
          <w:tcPr>
            <w:tcW w:w="1424" w:type="dxa"/>
            <w:vMerge/>
            <w:tcBorders>
              <w:top w:val="nil"/>
              <w:left w:val="single" w:sz="4" w:space="0" w:color="000000"/>
              <w:bottom w:val="single" w:sz="4" w:space="0" w:color="000000"/>
              <w:right w:val="single" w:sz="4" w:space="0" w:color="000000"/>
            </w:tcBorders>
          </w:tcPr>
          <w:p w:rsidR="007D76BB" w:rsidRDefault="007D76BB">
            <w:pPr>
              <w:rPr>
                <w:sz w:val="2"/>
                <w:szCs w:val="2"/>
              </w:rPr>
            </w:pPr>
          </w:p>
        </w:tc>
        <w:tc>
          <w:tcPr>
            <w:tcW w:w="1115" w:type="dxa"/>
            <w:vMerge/>
            <w:tcBorders>
              <w:top w:val="nil"/>
              <w:left w:val="single" w:sz="4" w:space="0" w:color="000000"/>
              <w:bottom w:val="single" w:sz="4" w:space="0" w:color="000000"/>
              <w:right w:val="single" w:sz="4" w:space="0" w:color="000000"/>
            </w:tcBorders>
          </w:tcPr>
          <w:p w:rsidR="007D76BB" w:rsidRDefault="007D76BB">
            <w:pPr>
              <w:rPr>
                <w:sz w:val="2"/>
                <w:szCs w:val="2"/>
              </w:rPr>
            </w:pPr>
          </w:p>
        </w:tc>
        <w:tc>
          <w:tcPr>
            <w:tcW w:w="1292" w:type="dxa"/>
            <w:vMerge/>
            <w:tcBorders>
              <w:top w:val="nil"/>
              <w:left w:val="single" w:sz="4" w:space="0" w:color="000000"/>
              <w:bottom w:val="single" w:sz="4" w:space="0" w:color="000000"/>
              <w:right w:val="single" w:sz="4" w:space="0" w:color="000000"/>
            </w:tcBorders>
          </w:tcPr>
          <w:p w:rsidR="007D76BB" w:rsidRDefault="007D76BB">
            <w:pPr>
              <w:rPr>
                <w:sz w:val="2"/>
                <w:szCs w:val="2"/>
              </w:rPr>
            </w:pPr>
          </w:p>
        </w:tc>
      </w:tr>
      <w:tr w:rsidR="007D76BB">
        <w:trPr>
          <w:trHeight w:val="239"/>
        </w:trPr>
        <w:tc>
          <w:tcPr>
            <w:tcW w:w="3824" w:type="dxa"/>
            <w:tcBorders>
              <w:top w:val="single" w:sz="4" w:space="0" w:color="000000"/>
              <w:left w:val="single" w:sz="4" w:space="0" w:color="000000"/>
              <w:bottom w:val="single" w:sz="4" w:space="0" w:color="000000"/>
              <w:right w:val="single" w:sz="4" w:space="0" w:color="000000"/>
            </w:tcBorders>
            <w:shd w:val="clear" w:color="auto" w:fill="005386"/>
          </w:tcPr>
          <w:p w:rsidR="007D76BB" w:rsidRDefault="00D70D28">
            <w:pPr>
              <w:pStyle w:val="TableParagraph"/>
              <w:spacing w:before="13" w:line="206" w:lineRule="exact"/>
              <w:ind w:right="1468"/>
              <w:jc w:val="right"/>
              <w:rPr>
                <w:rFonts w:ascii="Arial"/>
                <w:sz w:val="19"/>
              </w:rPr>
            </w:pPr>
            <w:r>
              <w:rPr>
                <w:rFonts w:ascii="Arial"/>
                <w:color w:val="FFFFFF"/>
                <w:w w:val="105"/>
                <w:sz w:val="19"/>
              </w:rPr>
              <w:t>Option 2B</w:t>
            </w:r>
          </w:p>
        </w:tc>
        <w:tc>
          <w:tcPr>
            <w:tcW w:w="1136" w:type="dxa"/>
            <w:vMerge w:val="restart"/>
            <w:tcBorders>
              <w:top w:val="single" w:sz="4" w:space="0" w:color="000000"/>
              <w:left w:val="single" w:sz="4" w:space="0" w:color="000000"/>
              <w:bottom w:val="single" w:sz="4" w:space="0" w:color="000000"/>
              <w:right w:val="single" w:sz="4" w:space="0" w:color="000000"/>
            </w:tcBorders>
          </w:tcPr>
          <w:p w:rsidR="007D76BB" w:rsidRDefault="007D76BB">
            <w:pPr>
              <w:pStyle w:val="TableParagraph"/>
              <w:rPr>
                <w:rFonts w:ascii="Arial"/>
                <w:sz w:val="24"/>
              </w:rPr>
            </w:pPr>
          </w:p>
          <w:p w:rsidR="007D76BB" w:rsidRDefault="007D76BB">
            <w:pPr>
              <w:pStyle w:val="TableParagraph"/>
              <w:spacing w:before="3"/>
              <w:rPr>
                <w:rFonts w:ascii="Arial"/>
                <w:sz w:val="19"/>
              </w:rPr>
            </w:pPr>
          </w:p>
          <w:p w:rsidR="007D76BB" w:rsidRDefault="00D70D28">
            <w:pPr>
              <w:pStyle w:val="TableParagraph"/>
              <w:spacing w:before="1"/>
              <w:ind w:left="357"/>
              <w:rPr>
                <w:rFonts w:ascii="Arial"/>
                <w:sz w:val="19"/>
              </w:rPr>
            </w:pPr>
            <w:r>
              <w:rPr>
                <w:rFonts w:ascii="Arial"/>
                <w:w w:val="105"/>
                <w:sz w:val="19"/>
              </w:rPr>
              <w:t>$0.22m</w:t>
            </w:r>
          </w:p>
        </w:tc>
        <w:tc>
          <w:tcPr>
            <w:tcW w:w="1424" w:type="dxa"/>
            <w:vMerge w:val="restart"/>
            <w:tcBorders>
              <w:top w:val="single" w:sz="4" w:space="0" w:color="000000"/>
              <w:left w:val="single" w:sz="4" w:space="0" w:color="000000"/>
              <w:bottom w:val="single" w:sz="4" w:space="0" w:color="000000"/>
              <w:right w:val="single" w:sz="4" w:space="0" w:color="000000"/>
            </w:tcBorders>
          </w:tcPr>
          <w:p w:rsidR="007D76BB" w:rsidRDefault="007D76BB">
            <w:pPr>
              <w:pStyle w:val="TableParagraph"/>
              <w:rPr>
                <w:rFonts w:ascii="Times New Roman"/>
                <w:sz w:val="18"/>
              </w:rPr>
            </w:pPr>
          </w:p>
        </w:tc>
        <w:tc>
          <w:tcPr>
            <w:tcW w:w="1115" w:type="dxa"/>
            <w:vMerge w:val="restart"/>
            <w:tcBorders>
              <w:top w:val="single" w:sz="4" w:space="0" w:color="000000"/>
              <w:left w:val="single" w:sz="4" w:space="0" w:color="000000"/>
              <w:bottom w:val="single" w:sz="4" w:space="0" w:color="000000"/>
              <w:right w:val="single" w:sz="4" w:space="0" w:color="000000"/>
            </w:tcBorders>
          </w:tcPr>
          <w:p w:rsidR="007D76BB" w:rsidRDefault="007D76BB">
            <w:pPr>
              <w:pStyle w:val="TableParagraph"/>
              <w:rPr>
                <w:rFonts w:ascii="Times New Roman"/>
                <w:sz w:val="18"/>
              </w:rPr>
            </w:pPr>
          </w:p>
        </w:tc>
        <w:tc>
          <w:tcPr>
            <w:tcW w:w="1292" w:type="dxa"/>
            <w:vMerge w:val="restart"/>
            <w:tcBorders>
              <w:top w:val="single" w:sz="4" w:space="0" w:color="000000"/>
              <w:left w:val="single" w:sz="4" w:space="0" w:color="000000"/>
              <w:bottom w:val="single" w:sz="4" w:space="0" w:color="000000"/>
              <w:right w:val="single" w:sz="4" w:space="0" w:color="000000"/>
            </w:tcBorders>
          </w:tcPr>
          <w:p w:rsidR="007D76BB" w:rsidRDefault="007D76BB">
            <w:pPr>
              <w:pStyle w:val="TableParagraph"/>
              <w:rPr>
                <w:rFonts w:ascii="Arial"/>
                <w:sz w:val="24"/>
              </w:rPr>
            </w:pPr>
          </w:p>
          <w:p w:rsidR="007D76BB" w:rsidRDefault="007D76BB">
            <w:pPr>
              <w:pStyle w:val="TableParagraph"/>
              <w:spacing w:before="3"/>
              <w:rPr>
                <w:rFonts w:ascii="Arial"/>
                <w:sz w:val="19"/>
              </w:rPr>
            </w:pPr>
          </w:p>
          <w:p w:rsidR="007D76BB" w:rsidRDefault="00D70D28">
            <w:pPr>
              <w:pStyle w:val="TableParagraph"/>
              <w:spacing w:before="1"/>
              <w:ind w:left="511"/>
              <w:rPr>
                <w:rFonts w:ascii="Arial"/>
                <w:sz w:val="19"/>
              </w:rPr>
            </w:pPr>
            <w:r>
              <w:rPr>
                <w:rFonts w:ascii="Arial"/>
                <w:w w:val="105"/>
                <w:sz w:val="19"/>
              </w:rPr>
              <w:t>$0.22m</w:t>
            </w:r>
          </w:p>
        </w:tc>
      </w:tr>
      <w:tr w:rsidR="007D76BB">
        <w:trPr>
          <w:trHeight w:val="962"/>
        </w:trPr>
        <w:tc>
          <w:tcPr>
            <w:tcW w:w="3824" w:type="dxa"/>
            <w:tcBorders>
              <w:top w:val="single" w:sz="4" w:space="0" w:color="000000"/>
              <w:left w:val="single" w:sz="4" w:space="0" w:color="000000"/>
              <w:bottom w:val="single" w:sz="4" w:space="0" w:color="000000"/>
              <w:right w:val="single" w:sz="4" w:space="0" w:color="000000"/>
            </w:tcBorders>
            <w:shd w:val="clear" w:color="auto" w:fill="FFD16C"/>
          </w:tcPr>
          <w:p w:rsidR="007D76BB" w:rsidRDefault="00D70D28">
            <w:pPr>
              <w:pStyle w:val="TableParagraph"/>
              <w:spacing w:before="13" w:line="264" w:lineRule="auto"/>
              <w:ind w:left="107" w:right="112"/>
              <w:rPr>
                <w:rFonts w:ascii="Arial"/>
                <w:sz w:val="19"/>
              </w:rPr>
            </w:pPr>
            <w:r>
              <w:rPr>
                <w:rFonts w:ascii="Arial"/>
                <w:w w:val="105"/>
                <w:sz w:val="19"/>
              </w:rPr>
              <w:t>Clarify the therapeutic goods regulatory framework to make clear that certain sports</w:t>
            </w:r>
            <w:r>
              <w:rPr>
                <w:rFonts w:ascii="Arial"/>
                <w:spacing w:val="-35"/>
                <w:w w:val="105"/>
                <w:sz w:val="19"/>
              </w:rPr>
              <w:t xml:space="preserve"> </w:t>
            </w:r>
            <w:r>
              <w:rPr>
                <w:rFonts w:ascii="Arial"/>
                <w:w w:val="105"/>
                <w:sz w:val="19"/>
              </w:rPr>
              <w:t>supplements</w:t>
            </w:r>
            <w:r>
              <w:rPr>
                <w:rFonts w:ascii="Arial"/>
                <w:spacing w:val="-35"/>
                <w:w w:val="105"/>
                <w:sz w:val="19"/>
              </w:rPr>
              <w:t xml:space="preserve"> </w:t>
            </w:r>
            <w:r>
              <w:rPr>
                <w:rFonts w:ascii="Arial"/>
                <w:w w:val="105"/>
                <w:sz w:val="19"/>
              </w:rPr>
              <w:t>are</w:t>
            </w:r>
            <w:r>
              <w:rPr>
                <w:rFonts w:ascii="Arial"/>
                <w:spacing w:val="-36"/>
                <w:w w:val="105"/>
                <w:sz w:val="19"/>
              </w:rPr>
              <w:t xml:space="preserve"> </w:t>
            </w:r>
            <w:r>
              <w:rPr>
                <w:rFonts w:ascii="Arial"/>
                <w:w w:val="105"/>
                <w:sz w:val="19"/>
              </w:rPr>
              <w:t>therapeutic</w:t>
            </w:r>
            <w:r>
              <w:rPr>
                <w:rFonts w:ascii="Arial"/>
                <w:spacing w:val="-35"/>
                <w:w w:val="105"/>
                <w:sz w:val="19"/>
              </w:rPr>
              <w:t xml:space="preserve"> </w:t>
            </w:r>
            <w:r>
              <w:rPr>
                <w:rFonts w:ascii="Arial"/>
                <w:w w:val="105"/>
                <w:sz w:val="19"/>
              </w:rPr>
              <w:t>goods</w:t>
            </w:r>
          </w:p>
          <w:p w:rsidR="007D76BB" w:rsidRDefault="00D70D28">
            <w:pPr>
              <w:pStyle w:val="TableParagraph"/>
              <w:spacing w:before="2" w:line="206" w:lineRule="exact"/>
              <w:ind w:left="107"/>
              <w:rPr>
                <w:rFonts w:ascii="Arial"/>
                <w:sz w:val="19"/>
              </w:rPr>
            </w:pPr>
            <w:r>
              <w:rPr>
                <w:rFonts w:ascii="Arial"/>
                <w:sz w:val="19"/>
              </w:rPr>
              <w:t>(excludes WADC Prohibited List)</w:t>
            </w:r>
          </w:p>
        </w:tc>
        <w:tc>
          <w:tcPr>
            <w:tcW w:w="1136" w:type="dxa"/>
            <w:vMerge/>
            <w:tcBorders>
              <w:top w:val="nil"/>
              <w:left w:val="single" w:sz="4" w:space="0" w:color="000000"/>
              <w:bottom w:val="single" w:sz="4" w:space="0" w:color="000000"/>
              <w:right w:val="single" w:sz="4" w:space="0" w:color="000000"/>
            </w:tcBorders>
          </w:tcPr>
          <w:p w:rsidR="007D76BB" w:rsidRDefault="007D76BB">
            <w:pPr>
              <w:rPr>
                <w:sz w:val="2"/>
                <w:szCs w:val="2"/>
              </w:rPr>
            </w:pPr>
          </w:p>
        </w:tc>
        <w:tc>
          <w:tcPr>
            <w:tcW w:w="1424" w:type="dxa"/>
            <w:vMerge/>
            <w:tcBorders>
              <w:top w:val="nil"/>
              <w:left w:val="single" w:sz="4" w:space="0" w:color="000000"/>
              <w:bottom w:val="single" w:sz="4" w:space="0" w:color="000000"/>
              <w:right w:val="single" w:sz="4" w:space="0" w:color="000000"/>
            </w:tcBorders>
          </w:tcPr>
          <w:p w:rsidR="007D76BB" w:rsidRDefault="007D76BB">
            <w:pPr>
              <w:rPr>
                <w:sz w:val="2"/>
                <w:szCs w:val="2"/>
              </w:rPr>
            </w:pPr>
          </w:p>
        </w:tc>
        <w:tc>
          <w:tcPr>
            <w:tcW w:w="1115" w:type="dxa"/>
            <w:vMerge/>
            <w:tcBorders>
              <w:top w:val="nil"/>
              <w:left w:val="single" w:sz="4" w:space="0" w:color="000000"/>
              <w:bottom w:val="single" w:sz="4" w:space="0" w:color="000000"/>
              <w:right w:val="single" w:sz="4" w:space="0" w:color="000000"/>
            </w:tcBorders>
          </w:tcPr>
          <w:p w:rsidR="007D76BB" w:rsidRDefault="007D76BB">
            <w:pPr>
              <w:rPr>
                <w:sz w:val="2"/>
                <w:szCs w:val="2"/>
              </w:rPr>
            </w:pPr>
          </w:p>
        </w:tc>
        <w:tc>
          <w:tcPr>
            <w:tcW w:w="1292" w:type="dxa"/>
            <w:vMerge/>
            <w:tcBorders>
              <w:top w:val="nil"/>
              <w:left w:val="single" w:sz="4" w:space="0" w:color="000000"/>
              <w:bottom w:val="single" w:sz="4" w:space="0" w:color="000000"/>
              <w:right w:val="single" w:sz="4" w:space="0" w:color="000000"/>
            </w:tcBorders>
          </w:tcPr>
          <w:p w:rsidR="007D76BB" w:rsidRDefault="007D76BB">
            <w:pPr>
              <w:rPr>
                <w:sz w:val="2"/>
                <w:szCs w:val="2"/>
              </w:rPr>
            </w:pPr>
          </w:p>
        </w:tc>
      </w:tr>
      <w:tr w:rsidR="007D76BB">
        <w:trPr>
          <w:trHeight w:val="242"/>
        </w:trPr>
        <w:tc>
          <w:tcPr>
            <w:tcW w:w="3824" w:type="dxa"/>
            <w:tcBorders>
              <w:top w:val="single" w:sz="4" w:space="0" w:color="000000"/>
              <w:left w:val="single" w:sz="4" w:space="0" w:color="000000"/>
              <w:bottom w:val="single" w:sz="4" w:space="0" w:color="000000"/>
              <w:right w:val="single" w:sz="4" w:space="0" w:color="000000"/>
            </w:tcBorders>
            <w:shd w:val="clear" w:color="auto" w:fill="005386"/>
          </w:tcPr>
          <w:p w:rsidR="007D76BB" w:rsidRDefault="00D70D28">
            <w:pPr>
              <w:pStyle w:val="TableParagraph"/>
              <w:spacing w:before="13" w:line="208" w:lineRule="exact"/>
              <w:ind w:left="8"/>
              <w:jc w:val="center"/>
              <w:rPr>
                <w:rFonts w:ascii="Arial"/>
                <w:sz w:val="19"/>
              </w:rPr>
            </w:pPr>
            <w:r>
              <w:rPr>
                <w:rFonts w:ascii="Arial"/>
                <w:color w:val="FFFFFF"/>
                <w:w w:val="105"/>
                <w:sz w:val="19"/>
              </w:rPr>
              <w:t>Option 3</w:t>
            </w:r>
          </w:p>
        </w:tc>
        <w:tc>
          <w:tcPr>
            <w:tcW w:w="1136" w:type="dxa"/>
            <w:vMerge w:val="restart"/>
            <w:tcBorders>
              <w:top w:val="single" w:sz="4" w:space="0" w:color="000000"/>
              <w:left w:val="single" w:sz="4" w:space="0" w:color="000000"/>
              <w:bottom w:val="single" w:sz="4" w:space="0" w:color="000000"/>
              <w:right w:val="single" w:sz="4" w:space="0" w:color="000000"/>
            </w:tcBorders>
          </w:tcPr>
          <w:p w:rsidR="007D76BB" w:rsidRDefault="007D76BB">
            <w:pPr>
              <w:pStyle w:val="TableParagraph"/>
              <w:rPr>
                <w:rFonts w:ascii="Arial"/>
                <w:sz w:val="24"/>
              </w:rPr>
            </w:pPr>
          </w:p>
          <w:p w:rsidR="007D76BB" w:rsidRDefault="007D76BB">
            <w:pPr>
              <w:pStyle w:val="TableParagraph"/>
              <w:spacing w:before="11"/>
              <w:rPr>
                <w:rFonts w:ascii="Arial"/>
                <w:sz w:val="29"/>
              </w:rPr>
            </w:pPr>
          </w:p>
          <w:p w:rsidR="007D76BB" w:rsidRDefault="00D70D28">
            <w:pPr>
              <w:pStyle w:val="TableParagraph"/>
              <w:ind w:left="402"/>
              <w:rPr>
                <w:rFonts w:ascii="Arial"/>
                <w:sz w:val="19"/>
              </w:rPr>
            </w:pPr>
            <w:r>
              <w:rPr>
                <w:rFonts w:ascii="Arial"/>
                <w:sz w:val="19"/>
              </w:rPr>
              <w:t>$0.12m</w:t>
            </w:r>
          </w:p>
        </w:tc>
        <w:tc>
          <w:tcPr>
            <w:tcW w:w="1424" w:type="dxa"/>
            <w:vMerge w:val="restart"/>
            <w:tcBorders>
              <w:top w:val="single" w:sz="4" w:space="0" w:color="000000"/>
              <w:left w:val="single" w:sz="4" w:space="0" w:color="000000"/>
              <w:bottom w:val="single" w:sz="4" w:space="0" w:color="000000"/>
              <w:right w:val="single" w:sz="4" w:space="0" w:color="000000"/>
            </w:tcBorders>
          </w:tcPr>
          <w:p w:rsidR="007D76BB" w:rsidRDefault="007D76BB">
            <w:pPr>
              <w:pStyle w:val="TableParagraph"/>
              <w:rPr>
                <w:rFonts w:ascii="Times New Roman"/>
                <w:sz w:val="18"/>
              </w:rPr>
            </w:pPr>
          </w:p>
        </w:tc>
        <w:tc>
          <w:tcPr>
            <w:tcW w:w="1115" w:type="dxa"/>
            <w:vMerge w:val="restart"/>
            <w:tcBorders>
              <w:top w:val="single" w:sz="4" w:space="0" w:color="000000"/>
              <w:left w:val="single" w:sz="4" w:space="0" w:color="000000"/>
              <w:bottom w:val="single" w:sz="4" w:space="0" w:color="000000"/>
              <w:right w:val="single" w:sz="4" w:space="0" w:color="000000"/>
            </w:tcBorders>
          </w:tcPr>
          <w:p w:rsidR="007D76BB" w:rsidRDefault="007D76BB">
            <w:pPr>
              <w:pStyle w:val="TableParagraph"/>
              <w:rPr>
                <w:rFonts w:ascii="Times New Roman"/>
                <w:sz w:val="18"/>
              </w:rPr>
            </w:pPr>
          </w:p>
        </w:tc>
        <w:tc>
          <w:tcPr>
            <w:tcW w:w="1292" w:type="dxa"/>
            <w:vMerge w:val="restart"/>
            <w:tcBorders>
              <w:top w:val="single" w:sz="4" w:space="0" w:color="000000"/>
              <w:left w:val="single" w:sz="4" w:space="0" w:color="000000"/>
              <w:bottom w:val="single" w:sz="4" w:space="0" w:color="000000"/>
              <w:right w:val="single" w:sz="4" w:space="0" w:color="000000"/>
            </w:tcBorders>
          </w:tcPr>
          <w:p w:rsidR="007D76BB" w:rsidRDefault="007D76BB">
            <w:pPr>
              <w:pStyle w:val="TableParagraph"/>
              <w:rPr>
                <w:rFonts w:ascii="Arial"/>
                <w:sz w:val="24"/>
              </w:rPr>
            </w:pPr>
          </w:p>
          <w:p w:rsidR="007D76BB" w:rsidRDefault="007D76BB">
            <w:pPr>
              <w:pStyle w:val="TableParagraph"/>
              <w:spacing w:before="11"/>
              <w:rPr>
                <w:rFonts w:ascii="Arial"/>
                <w:sz w:val="29"/>
              </w:rPr>
            </w:pPr>
          </w:p>
          <w:p w:rsidR="007D76BB" w:rsidRDefault="00D70D28">
            <w:pPr>
              <w:pStyle w:val="TableParagraph"/>
              <w:ind w:left="556"/>
              <w:rPr>
                <w:rFonts w:ascii="Arial"/>
                <w:sz w:val="19"/>
              </w:rPr>
            </w:pPr>
            <w:r>
              <w:rPr>
                <w:rFonts w:ascii="Arial"/>
                <w:sz w:val="19"/>
              </w:rPr>
              <w:t>$0.12m</w:t>
            </w:r>
          </w:p>
        </w:tc>
      </w:tr>
      <w:tr w:rsidR="007D76BB">
        <w:trPr>
          <w:trHeight w:val="1201"/>
        </w:trPr>
        <w:tc>
          <w:tcPr>
            <w:tcW w:w="3824" w:type="dxa"/>
            <w:tcBorders>
              <w:top w:val="single" w:sz="4" w:space="0" w:color="000000"/>
              <w:left w:val="single" w:sz="4" w:space="0" w:color="000000"/>
              <w:bottom w:val="single" w:sz="4" w:space="0" w:color="000000"/>
              <w:right w:val="single" w:sz="4" w:space="0" w:color="000000"/>
            </w:tcBorders>
            <w:shd w:val="clear" w:color="auto" w:fill="FFD16C"/>
          </w:tcPr>
          <w:p w:rsidR="007D76BB" w:rsidRDefault="00D70D28">
            <w:pPr>
              <w:pStyle w:val="TableParagraph"/>
              <w:spacing w:before="13" w:line="264" w:lineRule="auto"/>
              <w:ind w:left="107" w:right="112"/>
              <w:rPr>
                <w:rFonts w:ascii="Arial"/>
                <w:sz w:val="19"/>
              </w:rPr>
            </w:pPr>
            <w:r>
              <w:rPr>
                <w:rFonts w:ascii="Arial"/>
                <w:w w:val="105"/>
                <w:sz w:val="19"/>
              </w:rPr>
              <w:t>Clarify the therapeutic goods regulatory framework to make clear that certain sports</w:t>
            </w:r>
            <w:r>
              <w:rPr>
                <w:rFonts w:ascii="Arial"/>
                <w:spacing w:val="-35"/>
                <w:w w:val="105"/>
                <w:sz w:val="19"/>
              </w:rPr>
              <w:t xml:space="preserve"> </w:t>
            </w:r>
            <w:r>
              <w:rPr>
                <w:rFonts w:ascii="Arial"/>
                <w:w w:val="105"/>
                <w:sz w:val="19"/>
              </w:rPr>
              <w:t>supplements</w:t>
            </w:r>
            <w:r>
              <w:rPr>
                <w:rFonts w:ascii="Arial"/>
                <w:spacing w:val="-35"/>
                <w:w w:val="105"/>
                <w:sz w:val="19"/>
              </w:rPr>
              <w:t xml:space="preserve"> </w:t>
            </w:r>
            <w:r>
              <w:rPr>
                <w:rFonts w:ascii="Arial"/>
                <w:w w:val="105"/>
                <w:sz w:val="19"/>
              </w:rPr>
              <w:t>are</w:t>
            </w:r>
            <w:r>
              <w:rPr>
                <w:rFonts w:ascii="Arial"/>
                <w:spacing w:val="-36"/>
                <w:w w:val="105"/>
                <w:sz w:val="19"/>
              </w:rPr>
              <w:t xml:space="preserve"> </w:t>
            </w:r>
            <w:r>
              <w:rPr>
                <w:rFonts w:ascii="Arial"/>
                <w:w w:val="105"/>
                <w:sz w:val="19"/>
              </w:rPr>
              <w:t>therapeutic</w:t>
            </w:r>
            <w:r>
              <w:rPr>
                <w:rFonts w:ascii="Arial"/>
                <w:spacing w:val="-35"/>
                <w:w w:val="105"/>
                <w:sz w:val="19"/>
              </w:rPr>
              <w:t xml:space="preserve"> </w:t>
            </w:r>
            <w:r>
              <w:rPr>
                <w:rFonts w:ascii="Arial"/>
                <w:w w:val="105"/>
                <w:sz w:val="19"/>
              </w:rPr>
              <w:t>goods (excludes presentation of</w:t>
            </w:r>
            <w:r>
              <w:rPr>
                <w:rFonts w:ascii="Arial"/>
                <w:spacing w:val="-44"/>
                <w:w w:val="105"/>
                <w:sz w:val="19"/>
              </w:rPr>
              <w:t xml:space="preserve"> </w:t>
            </w:r>
            <w:r>
              <w:rPr>
                <w:rFonts w:ascii="Arial"/>
                <w:w w:val="105"/>
                <w:sz w:val="19"/>
              </w:rPr>
              <w:t>sports</w:t>
            </w:r>
          </w:p>
          <w:p w:rsidR="007D76BB" w:rsidRDefault="00D70D28">
            <w:pPr>
              <w:pStyle w:val="TableParagraph"/>
              <w:spacing w:before="1" w:line="206" w:lineRule="exact"/>
              <w:ind w:left="107"/>
              <w:rPr>
                <w:rFonts w:ascii="Arial"/>
                <w:sz w:val="19"/>
              </w:rPr>
            </w:pPr>
            <w:r>
              <w:rPr>
                <w:rFonts w:ascii="Arial"/>
                <w:w w:val="105"/>
                <w:sz w:val="19"/>
              </w:rPr>
              <w:t>supplements</w:t>
            </w:r>
            <w:r>
              <w:rPr>
                <w:rFonts w:ascii="Arial"/>
                <w:spacing w:val="-32"/>
                <w:w w:val="105"/>
                <w:sz w:val="19"/>
              </w:rPr>
              <w:t xml:space="preserve"> </w:t>
            </w:r>
            <w:r>
              <w:rPr>
                <w:rFonts w:ascii="Arial"/>
                <w:w w:val="105"/>
                <w:sz w:val="19"/>
              </w:rPr>
              <w:t>as</w:t>
            </w:r>
            <w:r>
              <w:rPr>
                <w:rFonts w:ascii="Arial"/>
                <w:spacing w:val="-31"/>
                <w:w w:val="105"/>
                <w:sz w:val="19"/>
              </w:rPr>
              <w:t xml:space="preserve"> </w:t>
            </w:r>
            <w:r>
              <w:rPr>
                <w:rFonts w:ascii="Arial"/>
                <w:w w:val="105"/>
                <w:sz w:val="19"/>
              </w:rPr>
              <w:t>pills,</w:t>
            </w:r>
            <w:r>
              <w:rPr>
                <w:rFonts w:ascii="Arial"/>
                <w:spacing w:val="-30"/>
                <w:w w:val="105"/>
                <w:sz w:val="19"/>
              </w:rPr>
              <w:t xml:space="preserve"> </w:t>
            </w:r>
            <w:r>
              <w:rPr>
                <w:rFonts w:ascii="Arial"/>
                <w:w w:val="105"/>
                <w:sz w:val="19"/>
              </w:rPr>
              <w:t>tablets</w:t>
            </w:r>
            <w:r>
              <w:rPr>
                <w:rFonts w:ascii="Arial"/>
                <w:spacing w:val="-33"/>
                <w:w w:val="105"/>
                <w:sz w:val="19"/>
              </w:rPr>
              <w:t xml:space="preserve"> </w:t>
            </w:r>
            <w:r>
              <w:rPr>
                <w:rFonts w:ascii="Arial"/>
                <w:w w:val="105"/>
                <w:sz w:val="19"/>
              </w:rPr>
              <w:t>and</w:t>
            </w:r>
            <w:r>
              <w:rPr>
                <w:rFonts w:ascii="Arial"/>
                <w:spacing w:val="-32"/>
                <w:w w:val="105"/>
                <w:sz w:val="19"/>
              </w:rPr>
              <w:t xml:space="preserve"> </w:t>
            </w:r>
            <w:r>
              <w:rPr>
                <w:rFonts w:ascii="Arial"/>
                <w:w w:val="105"/>
                <w:sz w:val="19"/>
              </w:rPr>
              <w:t>capsules)</w:t>
            </w:r>
          </w:p>
        </w:tc>
        <w:tc>
          <w:tcPr>
            <w:tcW w:w="1136" w:type="dxa"/>
            <w:vMerge/>
            <w:tcBorders>
              <w:top w:val="nil"/>
              <w:left w:val="single" w:sz="4" w:space="0" w:color="000000"/>
              <w:bottom w:val="single" w:sz="4" w:space="0" w:color="000000"/>
              <w:right w:val="single" w:sz="4" w:space="0" w:color="000000"/>
            </w:tcBorders>
          </w:tcPr>
          <w:p w:rsidR="007D76BB" w:rsidRDefault="007D76BB">
            <w:pPr>
              <w:rPr>
                <w:sz w:val="2"/>
                <w:szCs w:val="2"/>
              </w:rPr>
            </w:pPr>
          </w:p>
        </w:tc>
        <w:tc>
          <w:tcPr>
            <w:tcW w:w="1424" w:type="dxa"/>
            <w:vMerge/>
            <w:tcBorders>
              <w:top w:val="nil"/>
              <w:left w:val="single" w:sz="4" w:space="0" w:color="000000"/>
              <w:bottom w:val="single" w:sz="4" w:space="0" w:color="000000"/>
              <w:right w:val="single" w:sz="4" w:space="0" w:color="000000"/>
            </w:tcBorders>
          </w:tcPr>
          <w:p w:rsidR="007D76BB" w:rsidRDefault="007D76BB">
            <w:pPr>
              <w:rPr>
                <w:sz w:val="2"/>
                <w:szCs w:val="2"/>
              </w:rPr>
            </w:pPr>
          </w:p>
        </w:tc>
        <w:tc>
          <w:tcPr>
            <w:tcW w:w="1115" w:type="dxa"/>
            <w:vMerge/>
            <w:tcBorders>
              <w:top w:val="nil"/>
              <w:left w:val="single" w:sz="4" w:space="0" w:color="000000"/>
              <w:bottom w:val="single" w:sz="4" w:space="0" w:color="000000"/>
              <w:right w:val="single" w:sz="4" w:space="0" w:color="000000"/>
            </w:tcBorders>
          </w:tcPr>
          <w:p w:rsidR="007D76BB" w:rsidRDefault="007D76BB">
            <w:pPr>
              <w:rPr>
                <w:sz w:val="2"/>
                <w:szCs w:val="2"/>
              </w:rPr>
            </w:pPr>
          </w:p>
        </w:tc>
        <w:tc>
          <w:tcPr>
            <w:tcW w:w="1292" w:type="dxa"/>
            <w:vMerge/>
            <w:tcBorders>
              <w:top w:val="nil"/>
              <w:left w:val="single" w:sz="4" w:space="0" w:color="000000"/>
              <w:bottom w:val="single" w:sz="4" w:space="0" w:color="000000"/>
              <w:right w:val="single" w:sz="4" w:space="0" w:color="000000"/>
            </w:tcBorders>
          </w:tcPr>
          <w:p w:rsidR="007D76BB" w:rsidRDefault="007D76BB">
            <w:pPr>
              <w:rPr>
                <w:sz w:val="2"/>
                <w:szCs w:val="2"/>
              </w:rPr>
            </w:pPr>
          </w:p>
        </w:tc>
      </w:tr>
    </w:tbl>
    <w:p w:rsidR="007D76BB" w:rsidRDefault="007D76BB">
      <w:pPr>
        <w:rPr>
          <w:sz w:val="2"/>
          <w:szCs w:val="2"/>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spacing w:before="2"/>
        <w:rPr>
          <w:rFonts w:ascii="Arial"/>
          <w:sz w:val="29"/>
        </w:rPr>
      </w:pPr>
    </w:p>
    <w:p w:rsidR="007D76BB" w:rsidRDefault="00D70D28">
      <w:pPr>
        <w:pStyle w:val="Heading1"/>
        <w:rPr>
          <w:b/>
        </w:rPr>
      </w:pPr>
      <w:bookmarkStart w:id="147" w:name="_bookmark73"/>
      <w:bookmarkEnd w:id="147"/>
      <w:r>
        <w:rPr>
          <w:b/>
          <w:color w:val="0D213E"/>
        </w:rPr>
        <w:t>GENERAL</w:t>
      </w:r>
    </w:p>
    <w:p w:rsidR="007D76BB" w:rsidRDefault="00D70D28">
      <w:pPr>
        <w:pStyle w:val="Heading4"/>
        <w:spacing w:before="457"/>
        <w:rPr>
          <w:b/>
        </w:rPr>
      </w:pPr>
      <w:bookmarkStart w:id="148" w:name="_bookmark74"/>
      <w:bookmarkEnd w:id="148"/>
      <w:r>
        <w:rPr>
          <w:b/>
          <w:color w:val="FFA200"/>
        </w:rPr>
        <w:t>BACKGROUND</w:t>
      </w:r>
    </w:p>
    <w:p w:rsidR="007D76BB" w:rsidRDefault="00D70D28">
      <w:pPr>
        <w:spacing w:before="191"/>
        <w:ind w:left="482"/>
        <w:rPr>
          <w:rFonts w:ascii="Lucida Sans"/>
          <w:b/>
          <w:sz w:val="28"/>
        </w:rPr>
      </w:pPr>
      <w:bookmarkStart w:id="149" w:name="_bookmark75"/>
      <w:bookmarkEnd w:id="149"/>
      <w:r>
        <w:rPr>
          <w:rFonts w:ascii="Lucida Sans"/>
          <w:b/>
          <w:color w:val="005386"/>
          <w:sz w:val="28"/>
        </w:rPr>
        <w:t>Need for regulatory clarification for sports supplements</w:t>
      </w:r>
    </w:p>
    <w:p w:rsidR="007D76BB" w:rsidRDefault="00D70D28">
      <w:pPr>
        <w:spacing w:before="190" w:line="264" w:lineRule="auto"/>
        <w:ind w:left="482" w:right="923"/>
        <w:rPr>
          <w:rFonts w:ascii="Arial" w:hAnsi="Arial"/>
          <w:sz w:val="19"/>
        </w:rPr>
      </w:pPr>
      <w:r>
        <w:rPr>
          <w:rFonts w:ascii="Arial" w:hAnsi="Arial"/>
          <w:w w:val="105"/>
          <w:sz w:val="19"/>
        </w:rPr>
        <w:t>Sports</w:t>
      </w:r>
      <w:r>
        <w:rPr>
          <w:rFonts w:ascii="Arial" w:hAnsi="Arial"/>
          <w:spacing w:val="-24"/>
          <w:w w:val="105"/>
          <w:sz w:val="19"/>
        </w:rPr>
        <w:t xml:space="preserve"> </w:t>
      </w:r>
      <w:r>
        <w:rPr>
          <w:rFonts w:ascii="Arial" w:hAnsi="Arial"/>
          <w:w w:val="105"/>
          <w:sz w:val="19"/>
        </w:rPr>
        <w:t>supplements</w:t>
      </w:r>
      <w:r>
        <w:rPr>
          <w:rFonts w:ascii="Arial" w:hAnsi="Arial"/>
          <w:spacing w:val="-24"/>
          <w:w w:val="105"/>
          <w:sz w:val="19"/>
        </w:rPr>
        <w:t xml:space="preserve"> </w:t>
      </w:r>
      <w:r>
        <w:rPr>
          <w:rFonts w:ascii="Arial" w:hAnsi="Arial"/>
          <w:w w:val="105"/>
          <w:sz w:val="19"/>
        </w:rPr>
        <w:t>may</w:t>
      </w:r>
      <w:r>
        <w:rPr>
          <w:rFonts w:ascii="Arial" w:hAnsi="Arial"/>
          <w:spacing w:val="-26"/>
          <w:w w:val="105"/>
          <w:sz w:val="19"/>
        </w:rPr>
        <w:t xml:space="preserve"> </w:t>
      </w:r>
      <w:r>
        <w:rPr>
          <w:rFonts w:ascii="Arial" w:hAnsi="Arial"/>
          <w:w w:val="105"/>
          <w:sz w:val="19"/>
        </w:rPr>
        <w:t>be</w:t>
      </w:r>
      <w:r>
        <w:rPr>
          <w:rFonts w:ascii="Arial" w:hAnsi="Arial"/>
          <w:spacing w:val="-25"/>
          <w:w w:val="105"/>
          <w:sz w:val="19"/>
        </w:rPr>
        <w:t xml:space="preserve"> </w:t>
      </w:r>
      <w:r>
        <w:rPr>
          <w:rFonts w:ascii="Arial" w:hAnsi="Arial"/>
          <w:w w:val="105"/>
          <w:sz w:val="19"/>
        </w:rPr>
        <w:t>regulated</w:t>
      </w:r>
      <w:r>
        <w:rPr>
          <w:rFonts w:ascii="Arial" w:hAnsi="Arial"/>
          <w:spacing w:val="-24"/>
          <w:w w:val="105"/>
          <w:sz w:val="19"/>
        </w:rPr>
        <w:t xml:space="preserve"> </w:t>
      </w:r>
      <w:r>
        <w:rPr>
          <w:rFonts w:ascii="Arial" w:hAnsi="Arial"/>
          <w:w w:val="105"/>
          <w:sz w:val="19"/>
        </w:rPr>
        <w:t>as</w:t>
      </w:r>
      <w:r>
        <w:rPr>
          <w:rFonts w:ascii="Arial" w:hAnsi="Arial"/>
          <w:spacing w:val="-26"/>
          <w:w w:val="105"/>
          <w:sz w:val="19"/>
        </w:rPr>
        <w:t xml:space="preserve"> </w:t>
      </w:r>
      <w:r>
        <w:rPr>
          <w:rFonts w:ascii="Arial" w:hAnsi="Arial"/>
          <w:w w:val="105"/>
          <w:sz w:val="19"/>
        </w:rPr>
        <w:t>either</w:t>
      </w:r>
      <w:r>
        <w:rPr>
          <w:rFonts w:ascii="Arial" w:hAnsi="Arial"/>
          <w:spacing w:val="-24"/>
          <w:w w:val="105"/>
          <w:sz w:val="19"/>
        </w:rPr>
        <w:t xml:space="preserve"> </w:t>
      </w:r>
      <w:r>
        <w:rPr>
          <w:rFonts w:ascii="Arial" w:hAnsi="Arial"/>
          <w:w w:val="105"/>
          <w:sz w:val="19"/>
        </w:rPr>
        <w:t>a</w:t>
      </w:r>
      <w:r>
        <w:rPr>
          <w:rFonts w:ascii="Arial" w:hAnsi="Arial"/>
          <w:spacing w:val="-24"/>
          <w:w w:val="105"/>
          <w:sz w:val="19"/>
        </w:rPr>
        <w:t xml:space="preserve"> </w:t>
      </w:r>
      <w:r>
        <w:rPr>
          <w:rFonts w:ascii="Arial" w:hAnsi="Arial"/>
          <w:w w:val="105"/>
          <w:sz w:val="19"/>
        </w:rPr>
        <w:t>food</w:t>
      </w:r>
      <w:r>
        <w:rPr>
          <w:rFonts w:ascii="Arial" w:hAnsi="Arial"/>
          <w:spacing w:val="-24"/>
          <w:w w:val="105"/>
          <w:sz w:val="19"/>
        </w:rPr>
        <w:t xml:space="preserve"> </w:t>
      </w:r>
      <w:r>
        <w:rPr>
          <w:rFonts w:ascii="Arial" w:hAnsi="Arial"/>
          <w:w w:val="105"/>
          <w:sz w:val="19"/>
        </w:rPr>
        <w:t>or</w:t>
      </w:r>
      <w:r>
        <w:rPr>
          <w:rFonts w:ascii="Arial" w:hAnsi="Arial"/>
          <w:spacing w:val="-26"/>
          <w:w w:val="105"/>
          <w:sz w:val="19"/>
        </w:rPr>
        <w:t xml:space="preserve"> </w:t>
      </w:r>
      <w:r>
        <w:rPr>
          <w:rFonts w:ascii="Arial" w:hAnsi="Arial"/>
          <w:w w:val="105"/>
          <w:sz w:val="19"/>
        </w:rPr>
        <w:t>a</w:t>
      </w:r>
      <w:r>
        <w:rPr>
          <w:rFonts w:ascii="Arial" w:hAnsi="Arial"/>
          <w:spacing w:val="-23"/>
          <w:w w:val="105"/>
          <w:sz w:val="19"/>
        </w:rPr>
        <w:t xml:space="preserve"> </w:t>
      </w:r>
      <w:r>
        <w:rPr>
          <w:rFonts w:ascii="Arial" w:hAnsi="Arial"/>
          <w:w w:val="105"/>
          <w:sz w:val="19"/>
        </w:rPr>
        <w:t>medicine</w:t>
      </w:r>
      <w:r>
        <w:rPr>
          <w:rFonts w:ascii="Arial" w:hAnsi="Arial"/>
          <w:spacing w:val="-23"/>
          <w:w w:val="105"/>
          <w:sz w:val="19"/>
        </w:rPr>
        <w:t xml:space="preserve"> </w:t>
      </w:r>
      <w:r>
        <w:rPr>
          <w:rFonts w:ascii="Arial" w:hAnsi="Arial"/>
          <w:w w:val="105"/>
          <w:sz w:val="19"/>
        </w:rPr>
        <w:t>depending</w:t>
      </w:r>
      <w:r>
        <w:rPr>
          <w:rFonts w:ascii="Arial" w:hAnsi="Arial"/>
          <w:spacing w:val="-25"/>
          <w:w w:val="105"/>
          <w:sz w:val="19"/>
        </w:rPr>
        <w:t xml:space="preserve"> </w:t>
      </w:r>
      <w:r>
        <w:rPr>
          <w:rFonts w:ascii="Arial" w:hAnsi="Arial"/>
          <w:w w:val="105"/>
          <w:sz w:val="19"/>
        </w:rPr>
        <w:t>on</w:t>
      </w:r>
      <w:r>
        <w:rPr>
          <w:rFonts w:ascii="Arial" w:hAnsi="Arial"/>
          <w:spacing w:val="-25"/>
          <w:w w:val="105"/>
          <w:sz w:val="19"/>
        </w:rPr>
        <w:t xml:space="preserve"> </w:t>
      </w:r>
      <w:r>
        <w:rPr>
          <w:rFonts w:ascii="Arial" w:hAnsi="Arial"/>
          <w:w w:val="105"/>
          <w:sz w:val="19"/>
        </w:rPr>
        <w:t>the</w:t>
      </w:r>
      <w:r>
        <w:rPr>
          <w:rFonts w:ascii="Arial" w:hAnsi="Arial"/>
          <w:spacing w:val="-24"/>
          <w:w w:val="105"/>
          <w:sz w:val="19"/>
        </w:rPr>
        <w:t xml:space="preserve"> </w:t>
      </w:r>
      <w:r>
        <w:rPr>
          <w:rFonts w:ascii="Arial" w:hAnsi="Arial"/>
          <w:w w:val="105"/>
          <w:sz w:val="19"/>
        </w:rPr>
        <w:t xml:space="preserve">applicability of criteria and definitions outlined in the Australian New Zealand Food Standards Code and the </w:t>
      </w:r>
      <w:r>
        <w:rPr>
          <w:rFonts w:ascii="Arial" w:hAnsi="Arial"/>
          <w:i/>
          <w:w w:val="105"/>
          <w:sz w:val="20"/>
        </w:rPr>
        <w:t>Therapeutic</w:t>
      </w:r>
      <w:r>
        <w:rPr>
          <w:rFonts w:ascii="Arial" w:hAnsi="Arial"/>
          <w:i/>
          <w:spacing w:val="-42"/>
          <w:w w:val="105"/>
          <w:sz w:val="20"/>
        </w:rPr>
        <w:t xml:space="preserve"> </w:t>
      </w:r>
      <w:r>
        <w:rPr>
          <w:rFonts w:ascii="Arial" w:hAnsi="Arial"/>
          <w:i/>
          <w:w w:val="105"/>
          <w:sz w:val="20"/>
        </w:rPr>
        <w:t>Goods</w:t>
      </w:r>
      <w:r>
        <w:rPr>
          <w:rFonts w:ascii="Arial" w:hAnsi="Arial"/>
          <w:i/>
          <w:spacing w:val="-41"/>
          <w:w w:val="105"/>
          <w:sz w:val="20"/>
        </w:rPr>
        <w:t xml:space="preserve"> </w:t>
      </w:r>
      <w:r>
        <w:rPr>
          <w:rFonts w:ascii="Arial" w:hAnsi="Arial"/>
          <w:i/>
          <w:w w:val="105"/>
          <w:sz w:val="20"/>
        </w:rPr>
        <w:t>Act</w:t>
      </w:r>
      <w:r>
        <w:rPr>
          <w:rFonts w:ascii="Arial" w:hAnsi="Arial"/>
          <w:i/>
          <w:spacing w:val="-40"/>
          <w:w w:val="105"/>
          <w:sz w:val="20"/>
        </w:rPr>
        <w:t xml:space="preserve"> </w:t>
      </w:r>
      <w:r>
        <w:rPr>
          <w:rFonts w:ascii="Arial" w:hAnsi="Arial"/>
          <w:i/>
          <w:w w:val="105"/>
          <w:sz w:val="20"/>
        </w:rPr>
        <w:t>1989</w:t>
      </w:r>
      <w:r>
        <w:rPr>
          <w:rFonts w:ascii="Arial" w:hAnsi="Arial"/>
          <w:i/>
          <w:w w:val="105"/>
          <w:position w:val="7"/>
          <w:sz w:val="11"/>
        </w:rPr>
        <w:t>1</w:t>
      </w:r>
      <w:r>
        <w:rPr>
          <w:rFonts w:ascii="Arial" w:hAnsi="Arial"/>
          <w:i/>
          <w:spacing w:val="-16"/>
          <w:w w:val="105"/>
          <w:position w:val="7"/>
          <w:sz w:val="11"/>
        </w:rPr>
        <w:t xml:space="preserve"> </w:t>
      </w:r>
      <w:r>
        <w:rPr>
          <w:rFonts w:ascii="Arial" w:hAnsi="Arial"/>
          <w:w w:val="105"/>
          <w:sz w:val="19"/>
        </w:rPr>
        <w:t>(TG</w:t>
      </w:r>
      <w:r>
        <w:rPr>
          <w:rFonts w:ascii="Arial" w:hAnsi="Arial"/>
          <w:spacing w:val="-38"/>
          <w:w w:val="105"/>
          <w:sz w:val="19"/>
        </w:rPr>
        <w:t xml:space="preserve"> </w:t>
      </w:r>
      <w:r>
        <w:rPr>
          <w:rFonts w:ascii="Arial" w:hAnsi="Arial"/>
          <w:w w:val="105"/>
          <w:sz w:val="19"/>
        </w:rPr>
        <w:t>Act)</w:t>
      </w:r>
      <w:r>
        <w:rPr>
          <w:rFonts w:ascii="Arial" w:hAnsi="Arial"/>
          <w:i/>
          <w:w w:val="105"/>
          <w:sz w:val="20"/>
        </w:rPr>
        <w:t>.</w:t>
      </w:r>
      <w:r>
        <w:rPr>
          <w:rFonts w:ascii="Arial" w:hAnsi="Arial"/>
          <w:i/>
          <w:spacing w:val="-40"/>
          <w:w w:val="105"/>
          <w:sz w:val="20"/>
        </w:rPr>
        <w:t xml:space="preserve"> </w:t>
      </w:r>
      <w:r>
        <w:rPr>
          <w:rFonts w:ascii="Arial" w:hAnsi="Arial"/>
          <w:w w:val="105"/>
          <w:sz w:val="19"/>
        </w:rPr>
        <w:t>The</w:t>
      </w:r>
      <w:r>
        <w:rPr>
          <w:rFonts w:ascii="Arial" w:hAnsi="Arial"/>
          <w:spacing w:val="-38"/>
          <w:w w:val="105"/>
          <w:sz w:val="19"/>
        </w:rPr>
        <w:t xml:space="preserve"> </w:t>
      </w:r>
      <w:r>
        <w:rPr>
          <w:rFonts w:ascii="Arial" w:hAnsi="Arial"/>
          <w:w w:val="105"/>
          <w:sz w:val="19"/>
        </w:rPr>
        <w:t>TG</w:t>
      </w:r>
      <w:r>
        <w:rPr>
          <w:rFonts w:ascii="Arial" w:hAnsi="Arial"/>
          <w:spacing w:val="-38"/>
          <w:w w:val="105"/>
          <w:sz w:val="19"/>
        </w:rPr>
        <w:t xml:space="preserve"> </w:t>
      </w:r>
      <w:r>
        <w:rPr>
          <w:rFonts w:ascii="Arial" w:hAnsi="Arial"/>
          <w:w w:val="105"/>
          <w:sz w:val="19"/>
        </w:rPr>
        <w:t>Act</w:t>
      </w:r>
      <w:r>
        <w:rPr>
          <w:rFonts w:ascii="Arial" w:hAnsi="Arial"/>
          <w:spacing w:val="-38"/>
          <w:w w:val="105"/>
          <w:sz w:val="19"/>
        </w:rPr>
        <w:t xml:space="preserve"> </w:t>
      </w:r>
      <w:r>
        <w:rPr>
          <w:rFonts w:ascii="Arial" w:hAnsi="Arial"/>
          <w:w w:val="105"/>
          <w:sz w:val="19"/>
        </w:rPr>
        <w:t>defines</w:t>
      </w:r>
      <w:r>
        <w:rPr>
          <w:rFonts w:ascii="Arial" w:hAnsi="Arial"/>
          <w:spacing w:val="-38"/>
          <w:w w:val="105"/>
          <w:sz w:val="19"/>
        </w:rPr>
        <w:t xml:space="preserve"> </w:t>
      </w:r>
      <w:r>
        <w:rPr>
          <w:rFonts w:ascii="Arial" w:hAnsi="Arial"/>
          <w:w w:val="105"/>
          <w:sz w:val="19"/>
        </w:rPr>
        <w:t>therapeutic</w:t>
      </w:r>
      <w:r>
        <w:rPr>
          <w:rFonts w:ascii="Arial" w:hAnsi="Arial"/>
          <w:spacing w:val="-38"/>
          <w:w w:val="105"/>
          <w:sz w:val="19"/>
        </w:rPr>
        <w:t xml:space="preserve"> </w:t>
      </w:r>
      <w:r>
        <w:rPr>
          <w:rFonts w:ascii="Arial" w:hAnsi="Arial"/>
          <w:w w:val="105"/>
          <w:sz w:val="19"/>
        </w:rPr>
        <w:t>goods</w:t>
      </w:r>
      <w:r>
        <w:rPr>
          <w:rFonts w:ascii="Arial" w:hAnsi="Arial"/>
          <w:spacing w:val="-36"/>
          <w:w w:val="105"/>
          <w:sz w:val="19"/>
        </w:rPr>
        <w:t xml:space="preserve"> </w:t>
      </w:r>
      <w:r>
        <w:rPr>
          <w:rFonts w:ascii="Arial" w:hAnsi="Arial"/>
          <w:w w:val="105"/>
          <w:sz w:val="19"/>
        </w:rPr>
        <w:t>as</w:t>
      </w:r>
      <w:r>
        <w:rPr>
          <w:rFonts w:ascii="Arial" w:hAnsi="Arial"/>
          <w:spacing w:val="-39"/>
          <w:w w:val="105"/>
          <w:sz w:val="19"/>
        </w:rPr>
        <w:t xml:space="preserve"> </w:t>
      </w:r>
      <w:r>
        <w:rPr>
          <w:rFonts w:ascii="Arial" w:hAnsi="Arial"/>
          <w:w w:val="105"/>
          <w:sz w:val="19"/>
        </w:rPr>
        <w:t>those</w:t>
      </w:r>
      <w:r>
        <w:rPr>
          <w:rFonts w:ascii="Arial" w:hAnsi="Arial"/>
          <w:spacing w:val="-38"/>
          <w:w w:val="105"/>
          <w:sz w:val="19"/>
        </w:rPr>
        <w:t xml:space="preserve"> </w:t>
      </w:r>
      <w:r>
        <w:rPr>
          <w:rFonts w:ascii="Arial" w:hAnsi="Arial"/>
          <w:w w:val="105"/>
          <w:sz w:val="19"/>
        </w:rPr>
        <w:t>that</w:t>
      </w:r>
      <w:r>
        <w:rPr>
          <w:rFonts w:ascii="Arial" w:hAnsi="Arial"/>
          <w:spacing w:val="-39"/>
          <w:w w:val="105"/>
          <w:sz w:val="19"/>
        </w:rPr>
        <w:t xml:space="preserve"> </w:t>
      </w:r>
      <w:r>
        <w:rPr>
          <w:rFonts w:ascii="Arial" w:hAnsi="Arial"/>
          <w:w w:val="105"/>
          <w:sz w:val="19"/>
        </w:rPr>
        <w:t>are</w:t>
      </w:r>
      <w:r>
        <w:rPr>
          <w:rFonts w:ascii="Arial" w:hAnsi="Arial"/>
          <w:spacing w:val="-37"/>
          <w:w w:val="105"/>
          <w:sz w:val="19"/>
        </w:rPr>
        <w:t xml:space="preserve"> </w:t>
      </w:r>
      <w:r>
        <w:rPr>
          <w:rFonts w:ascii="Arial" w:hAnsi="Arial"/>
          <w:w w:val="105"/>
          <w:sz w:val="19"/>
        </w:rPr>
        <w:t>likely to</w:t>
      </w:r>
      <w:r>
        <w:rPr>
          <w:rFonts w:ascii="Arial" w:hAnsi="Arial"/>
          <w:spacing w:val="-25"/>
          <w:w w:val="105"/>
          <w:sz w:val="19"/>
        </w:rPr>
        <w:t xml:space="preserve"> </w:t>
      </w:r>
      <w:r>
        <w:rPr>
          <w:rFonts w:ascii="Arial" w:hAnsi="Arial"/>
          <w:w w:val="105"/>
          <w:sz w:val="19"/>
        </w:rPr>
        <w:t>be</w:t>
      </w:r>
      <w:r>
        <w:rPr>
          <w:rFonts w:ascii="Arial" w:hAnsi="Arial"/>
          <w:spacing w:val="-25"/>
          <w:w w:val="105"/>
          <w:sz w:val="19"/>
        </w:rPr>
        <w:t xml:space="preserve"> </w:t>
      </w:r>
      <w:r>
        <w:rPr>
          <w:rFonts w:ascii="Arial" w:hAnsi="Arial"/>
          <w:w w:val="105"/>
          <w:sz w:val="19"/>
        </w:rPr>
        <w:t>taken</w:t>
      </w:r>
      <w:r>
        <w:rPr>
          <w:rFonts w:ascii="Arial" w:hAnsi="Arial"/>
          <w:spacing w:val="-25"/>
          <w:w w:val="105"/>
          <w:sz w:val="19"/>
        </w:rPr>
        <w:t xml:space="preserve"> </w:t>
      </w:r>
      <w:r>
        <w:rPr>
          <w:rFonts w:ascii="Arial" w:hAnsi="Arial"/>
          <w:w w:val="105"/>
          <w:sz w:val="19"/>
        </w:rPr>
        <w:t>to</w:t>
      </w:r>
      <w:r>
        <w:rPr>
          <w:rFonts w:ascii="Arial" w:hAnsi="Arial"/>
          <w:spacing w:val="-25"/>
          <w:w w:val="105"/>
          <w:sz w:val="19"/>
        </w:rPr>
        <w:t xml:space="preserve"> </w:t>
      </w:r>
      <w:r>
        <w:rPr>
          <w:rFonts w:ascii="Arial" w:hAnsi="Arial"/>
          <w:w w:val="105"/>
          <w:sz w:val="19"/>
        </w:rPr>
        <w:t>influence,</w:t>
      </w:r>
      <w:r>
        <w:rPr>
          <w:rFonts w:ascii="Arial" w:hAnsi="Arial"/>
          <w:spacing w:val="-24"/>
          <w:w w:val="105"/>
          <w:sz w:val="19"/>
        </w:rPr>
        <w:t xml:space="preserve"> </w:t>
      </w:r>
      <w:r>
        <w:rPr>
          <w:rFonts w:ascii="Arial" w:hAnsi="Arial"/>
          <w:w w:val="105"/>
          <w:sz w:val="19"/>
        </w:rPr>
        <w:t>inhibit</w:t>
      </w:r>
      <w:r>
        <w:rPr>
          <w:rFonts w:ascii="Arial" w:hAnsi="Arial"/>
          <w:spacing w:val="-25"/>
          <w:w w:val="105"/>
          <w:sz w:val="19"/>
        </w:rPr>
        <w:t xml:space="preserve"> </w:t>
      </w:r>
      <w:r>
        <w:rPr>
          <w:rFonts w:ascii="Arial" w:hAnsi="Arial"/>
          <w:w w:val="105"/>
          <w:sz w:val="19"/>
        </w:rPr>
        <w:t>or</w:t>
      </w:r>
      <w:r>
        <w:rPr>
          <w:rFonts w:ascii="Arial" w:hAnsi="Arial"/>
          <w:spacing w:val="-24"/>
          <w:w w:val="105"/>
          <w:sz w:val="19"/>
        </w:rPr>
        <w:t xml:space="preserve"> </w:t>
      </w:r>
      <w:r>
        <w:rPr>
          <w:rFonts w:ascii="Arial" w:hAnsi="Arial"/>
          <w:w w:val="105"/>
          <w:sz w:val="19"/>
        </w:rPr>
        <w:t>modify</w:t>
      </w:r>
      <w:r>
        <w:rPr>
          <w:rFonts w:ascii="Arial" w:hAnsi="Arial"/>
          <w:spacing w:val="-25"/>
          <w:w w:val="105"/>
          <w:sz w:val="19"/>
        </w:rPr>
        <w:t xml:space="preserve"> </w:t>
      </w:r>
      <w:r>
        <w:rPr>
          <w:rFonts w:ascii="Arial" w:hAnsi="Arial"/>
          <w:w w:val="105"/>
          <w:sz w:val="19"/>
        </w:rPr>
        <w:t>a</w:t>
      </w:r>
      <w:r>
        <w:rPr>
          <w:rFonts w:ascii="Arial" w:hAnsi="Arial"/>
          <w:spacing w:val="-24"/>
          <w:w w:val="105"/>
          <w:sz w:val="19"/>
        </w:rPr>
        <w:t xml:space="preserve"> </w:t>
      </w:r>
      <w:r>
        <w:rPr>
          <w:rFonts w:ascii="Arial" w:hAnsi="Arial"/>
          <w:w w:val="105"/>
          <w:sz w:val="19"/>
        </w:rPr>
        <w:t>physiological</w:t>
      </w:r>
      <w:r>
        <w:rPr>
          <w:rFonts w:ascii="Arial" w:hAnsi="Arial"/>
          <w:spacing w:val="-28"/>
          <w:w w:val="105"/>
          <w:sz w:val="19"/>
        </w:rPr>
        <w:t xml:space="preserve"> </w:t>
      </w:r>
      <w:r>
        <w:rPr>
          <w:rFonts w:ascii="Arial" w:hAnsi="Arial"/>
          <w:w w:val="105"/>
          <w:sz w:val="19"/>
        </w:rPr>
        <w:t>process</w:t>
      </w:r>
      <w:r>
        <w:rPr>
          <w:rFonts w:ascii="Arial" w:hAnsi="Arial"/>
          <w:spacing w:val="-24"/>
          <w:w w:val="105"/>
          <w:sz w:val="19"/>
        </w:rPr>
        <w:t xml:space="preserve"> </w:t>
      </w:r>
      <w:r>
        <w:rPr>
          <w:rFonts w:ascii="Arial" w:hAnsi="Arial"/>
          <w:w w:val="105"/>
          <w:sz w:val="19"/>
        </w:rPr>
        <w:t>in</w:t>
      </w:r>
      <w:r>
        <w:rPr>
          <w:rFonts w:ascii="Arial" w:hAnsi="Arial"/>
          <w:spacing w:val="-25"/>
          <w:w w:val="105"/>
          <w:sz w:val="19"/>
        </w:rPr>
        <w:t xml:space="preserve"> </w:t>
      </w:r>
      <w:r>
        <w:rPr>
          <w:rFonts w:ascii="Arial" w:hAnsi="Arial"/>
          <w:w w:val="105"/>
          <w:sz w:val="19"/>
        </w:rPr>
        <w:t>persons,</w:t>
      </w:r>
      <w:r>
        <w:rPr>
          <w:rFonts w:ascii="Arial" w:hAnsi="Arial"/>
          <w:spacing w:val="-26"/>
          <w:w w:val="105"/>
          <w:sz w:val="19"/>
        </w:rPr>
        <w:t xml:space="preserve"> </w:t>
      </w:r>
      <w:r>
        <w:rPr>
          <w:rFonts w:ascii="Arial" w:hAnsi="Arial"/>
          <w:w w:val="105"/>
          <w:sz w:val="19"/>
        </w:rPr>
        <w:t>unless,</w:t>
      </w:r>
      <w:r>
        <w:rPr>
          <w:rFonts w:ascii="Arial" w:hAnsi="Arial"/>
          <w:spacing w:val="-25"/>
          <w:w w:val="105"/>
          <w:sz w:val="19"/>
        </w:rPr>
        <w:t xml:space="preserve"> </w:t>
      </w:r>
      <w:r>
        <w:rPr>
          <w:rFonts w:ascii="Arial" w:hAnsi="Arial"/>
          <w:w w:val="105"/>
          <w:sz w:val="19"/>
        </w:rPr>
        <w:t>in</w:t>
      </w:r>
      <w:r>
        <w:rPr>
          <w:rFonts w:ascii="Arial" w:hAnsi="Arial"/>
          <w:spacing w:val="-25"/>
          <w:w w:val="105"/>
          <w:sz w:val="19"/>
        </w:rPr>
        <w:t xml:space="preserve"> </w:t>
      </w:r>
      <w:r>
        <w:rPr>
          <w:rFonts w:ascii="Arial" w:hAnsi="Arial"/>
          <w:w w:val="105"/>
          <w:sz w:val="19"/>
        </w:rPr>
        <w:t>the</w:t>
      </w:r>
      <w:r>
        <w:rPr>
          <w:rFonts w:ascii="Arial" w:hAnsi="Arial"/>
          <w:spacing w:val="-25"/>
          <w:w w:val="105"/>
          <w:sz w:val="19"/>
        </w:rPr>
        <w:t xml:space="preserve"> </w:t>
      </w:r>
      <w:r>
        <w:rPr>
          <w:rFonts w:ascii="Arial" w:hAnsi="Arial"/>
          <w:w w:val="105"/>
          <w:sz w:val="19"/>
        </w:rPr>
        <w:t>absence of</w:t>
      </w:r>
      <w:r>
        <w:rPr>
          <w:rFonts w:ascii="Arial" w:hAnsi="Arial"/>
          <w:spacing w:val="-21"/>
          <w:w w:val="105"/>
          <w:sz w:val="19"/>
        </w:rPr>
        <w:t xml:space="preserve"> </w:t>
      </w:r>
      <w:r>
        <w:rPr>
          <w:rFonts w:ascii="Arial" w:hAnsi="Arial"/>
          <w:w w:val="105"/>
          <w:sz w:val="19"/>
        </w:rPr>
        <w:t>a</w:t>
      </w:r>
      <w:r>
        <w:rPr>
          <w:rFonts w:ascii="Arial" w:hAnsi="Arial"/>
          <w:spacing w:val="-19"/>
          <w:w w:val="105"/>
          <w:sz w:val="19"/>
        </w:rPr>
        <w:t xml:space="preserve"> </w:t>
      </w:r>
      <w:r>
        <w:rPr>
          <w:rFonts w:ascii="Arial" w:hAnsi="Arial"/>
          <w:w w:val="105"/>
          <w:sz w:val="19"/>
        </w:rPr>
        <w:t>relevant</w:t>
      </w:r>
      <w:r>
        <w:rPr>
          <w:rFonts w:ascii="Arial" w:hAnsi="Arial"/>
          <w:spacing w:val="-19"/>
          <w:w w:val="105"/>
          <w:sz w:val="19"/>
        </w:rPr>
        <w:t xml:space="preserve"> </w:t>
      </w:r>
      <w:r>
        <w:rPr>
          <w:rFonts w:ascii="Arial" w:hAnsi="Arial"/>
          <w:w w:val="105"/>
          <w:sz w:val="19"/>
        </w:rPr>
        <w:t>declaration</w:t>
      </w:r>
      <w:r>
        <w:rPr>
          <w:rFonts w:ascii="Arial" w:hAnsi="Arial"/>
          <w:spacing w:val="-20"/>
          <w:w w:val="105"/>
          <w:sz w:val="19"/>
        </w:rPr>
        <w:t xml:space="preserve"> </w:t>
      </w:r>
      <w:r>
        <w:rPr>
          <w:rFonts w:ascii="Arial" w:hAnsi="Arial"/>
          <w:w w:val="105"/>
          <w:sz w:val="19"/>
        </w:rPr>
        <w:t>under</w:t>
      </w:r>
      <w:r>
        <w:rPr>
          <w:rFonts w:ascii="Arial" w:hAnsi="Arial"/>
          <w:spacing w:val="-19"/>
          <w:w w:val="105"/>
          <w:sz w:val="19"/>
        </w:rPr>
        <w:t xml:space="preserve"> </w:t>
      </w:r>
      <w:r>
        <w:rPr>
          <w:rFonts w:ascii="Arial" w:hAnsi="Arial"/>
          <w:w w:val="105"/>
          <w:sz w:val="19"/>
        </w:rPr>
        <w:t>section</w:t>
      </w:r>
      <w:r>
        <w:rPr>
          <w:rFonts w:ascii="Arial" w:hAnsi="Arial"/>
          <w:spacing w:val="-21"/>
          <w:w w:val="105"/>
          <w:sz w:val="19"/>
        </w:rPr>
        <w:t xml:space="preserve"> </w:t>
      </w:r>
      <w:r>
        <w:rPr>
          <w:rFonts w:ascii="Arial" w:hAnsi="Arial"/>
          <w:w w:val="105"/>
          <w:sz w:val="19"/>
        </w:rPr>
        <w:t>7</w:t>
      </w:r>
      <w:r>
        <w:rPr>
          <w:rFonts w:ascii="Arial" w:hAnsi="Arial"/>
          <w:spacing w:val="-19"/>
          <w:w w:val="105"/>
          <w:sz w:val="19"/>
        </w:rPr>
        <w:t xml:space="preserve"> </w:t>
      </w:r>
      <w:r>
        <w:rPr>
          <w:rFonts w:ascii="Arial" w:hAnsi="Arial"/>
          <w:w w:val="105"/>
          <w:sz w:val="19"/>
        </w:rPr>
        <w:t>of</w:t>
      </w:r>
      <w:r>
        <w:rPr>
          <w:rFonts w:ascii="Arial" w:hAnsi="Arial"/>
          <w:spacing w:val="-21"/>
          <w:w w:val="105"/>
          <w:sz w:val="19"/>
        </w:rPr>
        <w:t xml:space="preserve"> </w:t>
      </w:r>
      <w:r>
        <w:rPr>
          <w:rFonts w:ascii="Arial" w:hAnsi="Arial"/>
          <w:w w:val="105"/>
          <w:sz w:val="19"/>
        </w:rPr>
        <w:t>the</w:t>
      </w:r>
      <w:r>
        <w:rPr>
          <w:rFonts w:ascii="Arial" w:hAnsi="Arial"/>
          <w:spacing w:val="-19"/>
          <w:w w:val="105"/>
          <w:sz w:val="19"/>
        </w:rPr>
        <w:t xml:space="preserve"> </w:t>
      </w:r>
      <w:r>
        <w:rPr>
          <w:rFonts w:ascii="Arial" w:hAnsi="Arial"/>
          <w:w w:val="105"/>
          <w:sz w:val="19"/>
        </w:rPr>
        <w:t>TG</w:t>
      </w:r>
      <w:r>
        <w:rPr>
          <w:rFonts w:ascii="Arial" w:hAnsi="Arial"/>
          <w:spacing w:val="-20"/>
          <w:w w:val="105"/>
          <w:sz w:val="19"/>
        </w:rPr>
        <w:t xml:space="preserve"> </w:t>
      </w:r>
      <w:r>
        <w:rPr>
          <w:rFonts w:ascii="Arial" w:hAnsi="Arial"/>
          <w:w w:val="105"/>
          <w:sz w:val="19"/>
        </w:rPr>
        <w:t>Act,</w:t>
      </w:r>
      <w:r>
        <w:rPr>
          <w:rFonts w:ascii="Arial" w:hAnsi="Arial"/>
          <w:spacing w:val="-18"/>
          <w:w w:val="105"/>
          <w:sz w:val="19"/>
        </w:rPr>
        <w:t xml:space="preserve"> </w:t>
      </w:r>
      <w:r>
        <w:rPr>
          <w:rFonts w:ascii="Arial" w:hAnsi="Arial"/>
          <w:w w:val="105"/>
          <w:sz w:val="19"/>
        </w:rPr>
        <w:t>there</w:t>
      </w:r>
      <w:r>
        <w:rPr>
          <w:rFonts w:ascii="Arial" w:hAnsi="Arial"/>
          <w:spacing w:val="-19"/>
          <w:w w:val="105"/>
          <w:sz w:val="19"/>
        </w:rPr>
        <w:t xml:space="preserve"> </w:t>
      </w:r>
      <w:r>
        <w:rPr>
          <w:rFonts w:ascii="Arial" w:hAnsi="Arial"/>
          <w:w w:val="105"/>
          <w:sz w:val="19"/>
        </w:rPr>
        <w:t>is</w:t>
      </w:r>
      <w:r>
        <w:rPr>
          <w:rFonts w:ascii="Arial" w:hAnsi="Arial"/>
          <w:spacing w:val="-20"/>
          <w:w w:val="105"/>
          <w:sz w:val="19"/>
        </w:rPr>
        <w:t xml:space="preserve"> </w:t>
      </w:r>
      <w:r>
        <w:rPr>
          <w:rFonts w:ascii="Arial" w:hAnsi="Arial"/>
          <w:w w:val="105"/>
          <w:sz w:val="19"/>
        </w:rPr>
        <w:t>an</w:t>
      </w:r>
      <w:r>
        <w:rPr>
          <w:rFonts w:ascii="Arial" w:hAnsi="Arial"/>
          <w:spacing w:val="-19"/>
          <w:w w:val="105"/>
          <w:sz w:val="19"/>
        </w:rPr>
        <w:t xml:space="preserve"> </w:t>
      </w:r>
      <w:r>
        <w:rPr>
          <w:rFonts w:ascii="Arial" w:hAnsi="Arial"/>
          <w:w w:val="105"/>
          <w:sz w:val="19"/>
        </w:rPr>
        <w:t>existing</w:t>
      </w:r>
      <w:r>
        <w:rPr>
          <w:rFonts w:ascii="Arial" w:hAnsi="Arial"/>
          <w:spacing w:val="-19"/>
          <w:w w:val="105"/>
          <w:sz w:val="19"/>
        </w:rPr>
        <w:t xml:space="preserve"> </w:t>
      </w:r>
      <w:r>
        <w:rPr>
          <w:rFonts w:ascii="Arial" w:hAnsi="Arial"/>
          <w:w w:val="105"/>
          <w:sz w:val="19"/>
        </w:rPr>
        <w:t>food</w:t>
      </w:r>
      <w:r>
        <w:rPr>
          <w:rFonts w:ascii="Arial" w:hAnsi="Arial"/>
          <w:spacing w:val="-20"/>
          <w:w w:val="105"/>
          <w:sz w:val="19"/>
        </w:rPr>
        <w:t xml:space="preserve"> </w:t>
      </w:r>
      <w:r>
        <w:rPr>
          <w:rFonts w:ascii="Arial" w:hAnsi="Arial"/>
          <w:w w:val="105"/>
          <w:sz w:val="19"/>
        </w:rPr>
        <w:t>standard</w:t>
      </w:r>
      <w:r>
        <w:rPr>
          <w:rFonts w:ascii="Arial" w:hAnsi="Arial"/>
          <w:spacing w:val="-21"/>
          <w:w w:val="105"/>
          <w:sz w:val="19"/>
        </w:rPr>
        <w:t xml:space="preserve"> </w:t>
      </w:r>
      <w:r>
        <w:rPr>
          <w:rFonts w:ascii="Arial" w:hAnsi="Arial"/>
          <w:w w:val="105"/>
          <w:sz w:val="19"/>
        </w:rPr>
        <w:t>for</w:t>
      </w:r>
      <w:r>
        <w:rPr>
          <w:rFonts w:ascii="Arial" w:hAnsi="Arial"/>
          <w:spacing w:val="-19"/>
          <w:w w:val="105"/>
          <w:sz w:val="19"/>
        </w:rPr>
        <w:t xml:space="preserve"> </w:t>
      </w:r>
      <w:r>
        <w:rPr>
          <w:rFonts w:ascii="Arial" w:hAnsi="Arial"/>
          <w:w w:val="105"/>
          <w:sz w:val="19"/>
        </w:rPr>
        <w:t>these goods.</w:t>
      </w:r>
      <w:r>
        <w:rPr>
          <w:rFonts w:ascii="Arial" w:hAnsi="Arial"/>
          <w:spacing w:val="-21"/>
          <w:w w:val="105"/>
          <w:sz w:val="19"/>
        </w:rPr>
        <w:t xml:space="preserve"> </w:t>
      </w:r>
      <w:r>
        <w:rPr>
          <w:rFonts w:ascii="Arial" w:hAnsi="Arial"/>
          <w:w w:val="105"/>
          <w:sz w:val="19"/>
        </w:rPr>
        <w:t>This</w:t>
      </w:r>
      <w:r>
        <w:rPr>
          <w:rFonts w:ascii="Arial" w:hAnsi="Arial"/>
          <w:spacing w:val="-22"/>
          <w:w w:val="105"/>
          <w:sz w:val="19"/>
        </w:rPr>
        <w:t xml:space="preserve"> </w:t>
      </w:r>
      <w:r>
        <w:rPr>
          <w:rFonts w:ascii="Arial" w:hAnsi="Arial"/>
          <w:w w:val="105"/>
          <w:sz w:val="19"/>
        </w:rPr>
        <w:t>exception</w:t>
      </w:r>
      <w:r>
        <w:rPr>
          <w:rFonts w:ascii="Arial" w:hAnsi="Arial"/>
          <w:spacing w:val="-24"/>
          <w:w w:val="105"/>
          <w:sz w:val="19"/>
        </w:rPr>
        <w:t xml:space="preserve"> </w:t>
      </w:r>
      <w:proofErr w:type="spellStart"/>
      <w:r>
        <w:rPr>
          <w:rFonts w:ascii="Arial" w:hAnsi="Arial"/>
          <w:w w:val="105"/>
          <w:sz w:val="19"/>
        </w:rPr>
        <w:t>materialises</w:t>
      </w:r>
      <w:proofErr w:type="spellEnd"/>
      <w:r>
        <w:rPr>
          <w:rFonts w:ascii="Arial" w:hAnsi="Arial"/>
          <w:spacing w:val="-22"/>
          <w:w w:val="105"/>
          <w:sz w:val="19"/>
        </w:rPr>
        <w:t xml:space="preserve"> </w:t>
      </w:r>
      <w:r>
        <w:rPr>
          <w:rFonts w:ascii="Arial" w:hAnsi="Arial"/>
          <w:w w:val="105"/>
          <w:sz w:val="19"/>
        </w:rPr>
        <w:t>in</w:t>
      </w:r>
      <w:r>
        <w:rPr>
          <w:rFonts w:ascii="Arial" w:hAnsi="Arial"/>
          <w:spacing w:val="-23"/>
          <w:w w:val="105"/>
          <w:sz w:val="19"/>
        </w:rPr>
        <w:t xml:space="preserve"> </w:t>
      </w:r>
      <w:r>
        <w:rPr>
          <w:rFonts w:ascii="Arial" w:hAnsi="Arial"/>
          <w:w w:val="105"/>
          <w:sz w:val="19"/>
        </w:rPr>
        <w:t>the</w:t>
      </w:r>
      <w:r>
        <w:rPr>
          <w:rFonts w:ascii="Arial" w:hAnsi="Arial"/>
          <w:spacing w:val="-22"/>
          <w:w w:val="105"/>
          <w:sz w:val="19"/>
        </w:rPr>
        <w:t xml:space="preserve"> </w:t>
      </w:r>
      <w:r>
        <w:rPr>
          <w:rFonts w:ascii="Arial" w:hAnsi="Arial"/>
          <w:w w:val="105"/>
          <w:sz w:val="19"/>
        </w:rPr>
        <w:t>form</w:t>
      </w:r>
      <w:r>
        <w:rPr>
          <w:rFonts w:ascii="Arial" w:hAnsi="Arial"/>
          <w:spacing w:val="-22"/>
          <w:w w:val="105"/>
          <w:sz w:val="19"/>
        </w:rPr>
        <w:t xml:space="preserve"> </w:t>
      </w:r>
      <w:r>
        <w:rPr>
          <w:rFonts w:ascii="Arial" w:hAnsi="Arial"/>
          <w:w w:val="105"/>
          <w:sz w:val="19"/>
        </w:rPr>
        <w:t>of</w:t>
      </w:r>
      <w:r>
        <w:rPr>
          <w:rFonts w:ascii="Arial" w:hAnsi="Arial"/>
          <w:spacing w:val="-23"/>
          <w:w w:val="105"/>
          <w:sz w:val="19"/>
        </w:rPr>
        <w:t xml:space="preserve"> </w:t>
      </w:r>
      <w:r>
        <w:rPr>
          <w:rFonts w:ascii="Arial" w:hAnsi="Arial"/>
          <w:w w:val="105"/>
          <w:sz w:val="19"/>
        </w:rPr>
        <w:t>Food</w:t>
      </w:r>
      <w:r>
        <w:rPr>
          <w:rFonts w:ascii="Arial" w:hAnsi="Arial"/>
          <w:spacing w:val="-23"/>
          <w:w w:val="105"/>
          <w:sz w:val="19"/>
        </w:rPr>
        <w:t xml:space="preserve"> </w:t>
      </w:r>
      <w:r>
        <w:rPr>
          <w:rFonts w:ascii="Arial" w:hAnsi="Arial"/>
          <w:w w:val="105"/>
          <w:sz w:val="19"/>
        </w:rPr>
        <w:t>Standard</w:t>
      </w:r>
      <w:r>
        <w:rPr>
          <w:rFonts w:ascii="Arial" w:hAnsi="Arial"/>
          <w:spacing w:val="-24"/>
          <w:w w:val="105"/>
          <w:sz w:val="19"/>
        </w:rPr>
        <w:t xml:space="preserve"> </w:t>
      </w:r>
      <w:r>
        <w:rPr>
          <w:rFonts w:ascii="Arial" w:hAnsi="Arial"/>
          <w:w w:val="105"/>
          <w:sz w:val="19"/>
        </w:rPr>
        <w:t>2.9.4,</w:t>
      </w:r>
      <w:r>
        <w:rPr>
          <w:rFonts w:ascii="Arial" w:hAnsi="Arial"/>
          <w:spacing w:val="-21"/>
          <w:w w:val="105"/>
          <w:sz w:val="19"/>
        </w:rPr>
        <w:t xml:space="preserve"> </w:t>
      </w:r>
      <w:r>
        <w:rPr>
          <w:rFonts w:ascii="Arial" w:hAnsi="Arial"/>
          <w:w w:val="105"/>
          <w:sz w:val="19"/>
        </w:rPr>
        <w:t>which</w:t>
      </w:r>
      <w:r>
        <w:rPr>
          <w:rFonts w:ascii="Arial" w:hAnsi="Arial"/>
          <w:spacing w:val="-24"/>
          <w:w w:val="105"/>
          <w:sz w:val="19"/>
        </w:rPr>
        <w:t xml:space="preserve"> </w:t>
      </w:r>
      <w:r>
        <w:rPr>
          <w:rFonts w:ascii="Arial" w:hAnsi="Arial"/>
          <w:w w:val="105"/>
          <w:sz w:val="19"/>
        </w:rPr>
        <w:t>states</w:t>
      </w:r>
      <w:r>
        <w:rPr>
          <w:rFonts w:ascii="Arial" w:hAnsi="Arial"/>
          <w:spacing w:val="-24"/>
          <w:w w:val="105"/>
          <w:sz w:val="19"/>
        </w:rPr>
        <w:t xml:space="preserve"> </w:t>
      </w:r>
      <w:r>
        <w:rPr>
          <w:rFonts w:ascii="Arial" w:hAnsi="Arial"/>
          <w:w w:val="105"/>
          <w:sz w:val="19"/>
        </w:rPr>
        <w:t>that</w:t>
      </w:r>
      <w:r>
        <w:rPr>
          <w:rFonts w:ascii="Arial" w:hAnsi="Arial"/>
          <w:spacing w:val="-21"/>
          <w:w w:val="105"/>
          <w:sz w:val="19"/>
        </w:rPr>
        <w:t xml:space="preserve"> </w:t>
      </w:r>
      <w:r>
        <w:rPr>
          <w:rFonts w:ascii="Arial" w:hAnsi="Arial"/>
          <w:w w:val="105"/>
          <w:sz w:val="19"/>
        </w:rPr>
        <w:t>a</w:t>
      </w:r>
      <w:r>
        <w:rPr>
          <w:rFonts w:ascii="Arial" w:hAnsi="Arial"/>
          <w:spacing w:val="-24"/>
          <w:w w:val="105"/>
          <w:sz w:val="19"/>
        </w:rPr>
        <w:t xml:space="preserve"> </w:t>
      </w:r>
      <w:r>
        <w:rPr>
          <w:rFonts w:ascii="Arial" w:hAnsi="Arial"/>
          <w:w w:val="105"/>
          <w:sz w:val="19"/>
        </w:rPr>
        <w:t>product that</w:t>
      </w:r>
      <w:r>
        <w:rPr>
          <w:rFonts w:ascii="Arial" w:hAnsi="Arial"/>
          <w:spacing w:val="-20"/>
          <w:w w:val="105"/>
          <w:sz w:val="19"/>
        </w:rPr>
        <w:t xml:space="preserve"> </w:t>
      </w:r>
      <w:r>
        <w:rPr>
          <w:rFonts w:ascii="Arial" w:hAnsi="Arial"/>
          <w:w w:val="105"/>
          <w:sz w:val="19"/>
        </w:rPr>
        <w:t>is</w:t>
      </w:r>
      <w:r>
        <w:rPr>
          <w:rFonts w:ascii="Arial" w:hAnsi="Arial"/>
          <w:spacing w:val="-20"/>
          <w:w w:val="105"/>
          <w:sz w:val="19"/>
        </w:rPr>
        <w:t xml:space="preserve"> </w:t>
      </w:r>
      <w:r>
        <w:rPr>
          <w:rFonts w:ascii="Arial" w:hAnsi="Arial"/>
          <w:w w:val="105"/>
          <w:sz w:val="19"/>
        </w:rPr>
        <w:t>‘specifically</w:t>
      </w:r>
      <w:r>
        <w:rPr>
          <w:rFonts w:ascii="Arial" w:hAnsi="Arial"/>
          <w:spacing w:val="-20"/>
          <w:w w:val="105"/>
          <w:sz w:val="19"/>
        </w:rPr>
        <w:t xml:space="preserve"> </w:t>
      </w:r>
      <w:r>
        <w:rPr>
          <w:rFonts w:ascii="Arial" w:hAnsi="Arial"/>
          <w:w w:val="105"/>
          <w:sz w:val="19"/>
        </w:rPr>
        <w:t>formulated</w:t>
      </w:r>
      <w:r>
        <w:rPr>
          <w:rFonts w:ascii="Arial" w:hAnsi="Arial"/>
          <w:spacing w:val="-21"/>
          <w:w w:val="105"/>
          <w:sz w:val="19"/>
        </w:rPr>
        <w:t xml:space="preserve"> </w:t>
      </w:r>
      <w:r>
        <w:rPr>
          <w:rFonts w:ascii="Arial" w:hAnsi="Arial"/>
          <w:w w:val="105"/>
          <w:sz w:val="19"/>
        </w:rPr>
        <w:t>to</w:t>
      </w:r>
      <w:r>
        <w:rPr>
          <w:rFonts w:ascii="Arial" w:hAnsi="Arial"/>
          <w:spacing w:val="-20"/>
          <w:w w:val="105"/>
          <w:sz w:val="19"/>
        </w:rPr>
        <w:t xml:space="preserve"> </w:t>
      </w:r>
      <w:r>
        <w:rPr>
          <w:rFonts w:ascii="Arial" w:hAnsi="Arial"/>
          <w:w w:val="105"/>
          <w:sz w:val="19"/>
        </w:rPr>
        <w:t>assist</w:t>
      </w:r>
      <w:r>
        <w:rPr>
          <w:rFonts w:ascii="Arial" w:hAnsi="Arial"/>
          <w:spacing w:val="-20"/>
          <w:w w:val="105"/>
          <w:sz w:val="19"/>
        </w:rPr>
        <w:t xml:space="preserve"> </w:t>
      </w:r>
      <w:r>
        <w:rPr>
          <w:rFonts w:ascii="Arial" w:hAnsi="Arial"/>
          <w:w w:val="105"/>
          <w:sz w:val="19"/>
        </w:rPr>
        <w:t>sports</w:t>
      </w:r>
      <w:r>
        <w:rPr>
          <w:rFonts w:ascii="Arial" w:hAnsi="Arial"/>
          <w:spacing w:val="-20"/>
          <w:w w:val="105"/>
          <w:sz w:val="19"/>
        </w:rPr>
        <w:t xml:space="preserve"> </w:t>
      </w:r>
      <w:r>
        <w:rPr>
          <w:rFonts w:ascii="Arial" w:hAnsi="Arial"/>
          <w:w w:val="105"/>
          <w:sz w:val="19"/>
        </w:rPr>
        <w:t>people</w:t>
      </w:r>
      <w:r>
        <w:rPr>
          <w:rFonts w:ascii="Arial" w:hAnsi="Arial"/>
          <w:spacing w:val="-19"/>
          <w:w w:val="105"/>
          <w:sz w:val="19"/>
        </w:rPr>
        <w:t xml:space="preserve"> </w:t>
      </w:r>
      <w:r>
        <w:rPr>
          <w:rFonts w:ascii="Arial" w:hAnsi="Arial"/>
          <w:w w:val="105"/>
          <w:sz w:val="19"/>
        </w:rPr>
        <w:t>in</w:t>
      </w:r>
      <w:r>
        <w:rPr>
          <w:rFonts w:ascii="Arial" w:hAnsi="Arial"/>
          <w:spacing w:val="-21"/>
          <w:w w:val="105"/>
          <w:sz w:val="19"/>
        </w:rPr>
        <w:t xml:space="preserve"> </w:t>
      </w:r>
      <w:r>
        <w:rPr>
          <w:rFonts w:ascii="Arial" w:hAnsi="Arial"/>
          <w:w w:val="105"/>
          <w:sz w:val="19"/>
        </w:rPr>
        <w:t>achieving</w:t>
      </w:r>
      <w:r>
        <w:rPr>
          <w:rFonts w:ascii="Arial" w:hAnsi="Arial"/>
          <w:spacing w:val="-21"/>
          <w:w w:val="105"/>
          <w:sz w:val="19"/>
        </w:rPr>
        <w:t xml:space="preserve"> </w:t>
      </w:r>
      <w:r>
        <w:rPr>
          <w:rFonts w:ascii="Arial" w:hAnsi="Arial"/>
          <w:w w:val="105"/>
          <w:sz w:val="19"/>
        </w:rPr>
        <w:t>specific</w:t>
      </w:r>
      <w:r>
        <w:rPr>
          <w:rFonts w:ascii="Arial" w:hAnsi="Arial"/>
          <w:spacing w:val="-19"/>
          <w:w w:val="105"/>
          <w:sz w:val="19"/>
        </w:rPr>
        <w:t xml:space="preserve"> </w:t>
      </w:r>
      <w:r>
        <w:rPr>
          <w:rFonts w:ascii="Arial" w:hAnsi="Arial"/>
          <w:w w:val="105"/>
          <w:sz w:val="19"/>
        </w:rPr>
        <w:t>nutrition</w:t>
      </w:r>
      <w:r>
        <w:rPr>
          <w:rFonts w:ascii="Arial" w:hAnsi="Arial"/>
          <w:spacing w:val="-20"/>
          <w:w w:val="105"/>
          <w:sz w:val="19"/>
        </w:rPr>
        <w:t xml:space="preserve"> </w:t>
      </w:r>
      <w:r>
        <w:rPr>
          <w:rFonts w:ascii="Arial" w:hAnsi="Arial"/>
          <w:w w:val="105"/>
          <w:sz w:val="19"/>
        </w:rPr>
        <w:t>or</w:t>
      </w:r>
      <w:r>
        <w:rPr>
          <w:rFonts w:ascii="Arial" w:hAnsi="Arial"/>
          <w:spacing w:val="-21"/>
          <w:w w:val="105"/>
          <w:sz w:val="19"/>
        </w:rPr>
        <w:t xml:space="preserve"> </w:t>
      </w:r>
      <w:r>
        <w:rPr>
          <w:rFonts w:ascii="Arial" w:hAnsi="Arial"/>
          <w:w w:val="105"/>
          <w:sz w:val="19"/>
        </w:rPr>
        <w:t>performance goals’</w:t>
      </w:r>
      <w:r>
        <w:rPr>
          <w:rFonts w:ascii="Arial" w:hAnsi="Arial"/>
          <w:w w:val="105"/>
          <w:position w:val="7"/>
          <w:sz w:val="11"/>
        </w:rPr>
        <w:t>2</w:t>
      </w:r>
      <w:r>
        <w:rPr>
          <w:rFonts w:ascii="Arial" w:hAnsi="Arial"/>
          <w:spacing w:val="-3"/>
          <w:w w:val="105"/>
          <w:position w:val="7"/>
          <w:sz w:val="11"/>
        </w:rPr>
        <w:t xml:space="preserve"> </w:t>
      </w:r>
      <w:r>
        <w:rPr>
          <w:rFonts w:ascii="Arial" w:hAnsi="Arial"/>
          <w:w w:val="105"/>
          <w:sz w:val="19"/>
        </w:rPr>
        <w:t>can</w:t>
      </w:r>
      <w:r>
        <w:rPr>
          <w:rFonts w:ascii="Arial" w:hAnsi="Arial"/>
          <w:spacing w:val="-25"/>
          <w:w w:val="105"/>
          <w:sz w:val="19"/>
        </w:rPr>
        <w:t xml:space="preserve"> </w:t>
      </w:r>
      <w:r>
        <w:rPr>
          <w:rFonts w:ascii="Arial" w:hAnsi="Arial"/>
          <w:w w:val="105"/>
          <w:sz w:val="19"/>
        </w:rPr>
        <w:t>also</w:t>
      </w:r>
      <w:r>
        <w:rPr>
          <w:rFonts w:ascii="Arial" w:hAnsi="Arial"/>
          <w:spacing w:val="-26"/>
          <w:w w:val="105"/>
          <w:sz w:val="19"/>
        </w:rPr>
        <w:t xml:space="preserve"> </w:t>
      </w:r>
      <w:r>
        <w:rPr>
          <w:rFonts w:ascii="Arial" w:hAnsi="Arial"/>
          <w:w w:val="105"/>
          <w:sz w:val="19"/>
        </w:rPr>
        <w:t>be</w:t>
      </w:r>
      <w:r>
        <w:rPr>
          <w:rFonts w:ascii="Arial" w:hAnsi="Arial"/>
          <w:spacing w:val="-25"/>
          <w:w w:val="105"/>
          <w:sz w:val="19"/>
        </w:rPr>
        <w:t xml:space="preserve"> </w:t>
      </w:r>
      <w:r>
        <w:rPr>
          <w:rFonts w:ascii="Arial" w:hAnsi="Arial"/>
          <w:w w:val="105"/>
          <w:sz w:val="19"/>
        </w:rPr>
        <w:t>classified</w:t>
      </w:r>
      <w:r>
        <w:rPr>
          <w:rFonts w:ascii="Arial" w:hAnsi="Arial"/>
          <w:spacing w:val="-27"/>
          <w:w w:val="105"/>
          <w:sz w:val="19"/>
        </w:rPr>
        <w:t xml:space="preserve"> </w:t>
      </w:r>
      <w:r>
        <w:rPr>
          <w:rFonts w:ascii="Arial" w:hAnsi="Arial"/>
          <w:w w:val="105"/>
          <w:sz w:val="19"/>
        </w:rPr>
        <w:t>as</w:t>
      </w:r>
      <w:r>
        <w:rPr>
          <w:rFonts w:ascii="Arial" w:hAnsi="Arial"/>
          <w:spacing w:val="-26"/>
          <w:w w:val="105"/>
          <w:sz w:val="19"/>
        </w:rPr>
        <w:t xml:space="preserve"> </w:t>
      </w:r>
      <w:r>
        <w:rPr>
          <w:rFonts w:ascii="Arial" w:hAnsi="Arial"/>
          <w:w w:val="105"/>
          <w:sz w:val="19"/>
        </w:rPr>
        <w:t>a</w:t>
      </w:r>
      <w:r>
        <w:rPr>
          <w:rFonts w:ascii="Arial" w:hAnsi="Arial"/>
          <w:spacing w:val="-25"/>
          <w:w w:val="105"/>
          <w:sz w:val="19"/>
        </w:rPr>
        <w:t xml:space="preserve"> </w:t>
      </w:r>
      <w:r>
        <w:rPr>
          <w:rFonts w:ascii="Arial" w:hAnsi="Arial"/>
          <w:w w:val="105"/>
          <w:sz w:val="19"/>
        </w:rPr>
        <w:t>food;</w:t>
      </w:r>
      <w:r>
        <w:rPr>
          <w:rFonts w:ascii="Arial" w:hAnsi="Arial"/>
          <w:spacing w:val="-25"/>
          <w:w w:val="105"/>
          <w:sz w:val="19"/>
        </w:rPr>
        <w:t xml:space="preserve"> </w:t>
      </w:r>
      <w:r>
        <w:rPr>
          <w:rFonts w:ascii="Arial" w:hAnsi="Arial"/>
          <w:w w:val="105"/>
          <w:sz w:val="19"/>
        </w:rPr>
        <w:t>convoluting</w:t>
      </w:r>
      <w:r>
        <w:rPr>
          <w:rFonts w:ascii="Arial" w:hAnsi="Arial"/>
          <w:spacing w:val="-25"/>
          <w:w w:val="105"/>
          <w:sz w:val="19"/>
        </w:rPr>
        <w:t xml:space="preserve"> </w:t>
      </w:r>
      <w:r>
        <w:rPr>
          <w:rFonts w:ascii="Arial" w:hAnsi="Arial"/>
          <w:w w:val="105"/>
          <w:sz w:val="19"/>
        </w:rPr>
        <w:t>the</w:t>
      </w:r>
      <w:r>
        <w:rPr>
          <w:rFonts w:ascii="Arial" w:hAnsi="Arial"/>
          <w:spacing w:val="-26"/>
          <w:w w:val="105"/>
          <w:sz w:val="19"/>
        </w:rPr>
        <w:t xml:space="preserve"> </w:t>
      </w:r>
      <w:r>
        <w:rPr>
          <w:rFonts w:ascii="Arial" w:hAnsi="Arial"/>
          <w:w w:val="105"/>
          <w:sz w:val="19"/>
        </w:rPr>
        <w:t>appropriate</w:t>
      </w:r>
      <w:r>
        <w:rPr>
          <w:rFonts w:ascii="Arial" w:hAnsi="Arial"/>
          <w:spacing w:val="-27"/>
          <w:w w:val="105"/>
          <w:sz w:val="19"/>
        </w:rPr>
        <w:t xml:space="preserve"> </w:t>
      </w:r>
      <w:r>
        <w:rPr>
          <w:rFonts w:ascii="Arial" w:hAnsi="Arial"/>
          <w:w w:val="105"/>
          <w:sz w:val="19"/>
        </w:rPr>
        <w:t>regulatory</w:t>
      </w:r>
      <w:r>
        <w:rPr>
          <w:rFonts w:ascii="Arial" w:hAnsi="Arial"/>
          <w:spacing w:val="-27"/>
          <w:w w:val="105"/>
          <w:sz w:val="19"/>
        </w:rPr>
        <w:t xml:space="preserve"> </w:t>
      </w:r>
      <w:r>
        <w:rPr>
          <w:rFonts w:ascii="Arial" w:hAnsi="Arial"/>
          <w:w w:val="105"/>
          <w:sz w:val="19"/>
        </w:rPr>
        <w:t>pathway</w:t>
      </w:r>
      <w:r>
        <w:rPr>
          <w:rFonts w:ascii="Arial" w:hAnsi="Arial"/>
          <w:spacing w:val="-26"/>
          <w:w w:val="105"/>
          <w:sz w:val="19"/>
        </w:rPr>
        <w:t xml:space="preserve"> </w:t>
      </w:r>
      <w:r>
        <w:rPr>
          <w:rFonts w:ascii="Arial" w:hAnsi="Arial"/>
          <w:w w:val="105"/>
          <w:sz w:val="19"/>
        </w:rPr>
        <w:t>for</w:t>
      </w:r>
      <w:r>
        <w:rPr>
          <w:rFonts w:ascii="Arial" w:hAnsi="Arial"/>
          <w:spacing w:val="-25"/>
          <w:w w:val="105"/>
          <w:sz w:val="19"/>
        </w:rPr>
        <w:t xml:space="preserve"> </w:t>
      </w:r>
      <w:r>
        <w:rPr>
          <w:rFonts w:ascii="Arial" w:hAnsi="Arial"/>
          <w:w w:val="105"/>
          <w:sz w:val="19"/>
        </w:rPr>
        <w:t>products that</w:t>
      </w:r>
      <w:r>
        <w:rPr>
          <w:rFonts w:ascii="Arial" w:hAnsi="Arial"/>
          <w:spacing w:val="-11"/>
          <w:w w:val="105"/>
          <w:sz w:val="19"/>
        </w:rPr>
        <w:t xml:space="preserve"> </w:t>
      </w:r>
      <w:r>
        <w:rPr>
          <w:rFonts w:ascii="Arial" w:hAnsi="Arial"/>
          <w:w w:val="105"/>
          <w:sz w:val="19"/>
        </w:rPr>
        <w:t>sit</w:t>
      </w:r>
      <w:r>
        <w:rPr>
          <w:rFonts w:ascii="Arial" w:hAnsi="Arial"/>
          <w:spacing w:val="-12"/>
          <w:w w:val="105"/>
          <w:sz w:val="19"/>
        </w:rPr>
        <w:t xml:space="preserve"> </w:t>
      </w:r>
      <w:r>
        <w:rPr>
          <w:rFonts w:ascii="Arial" w:hAnsi="Arial"/>
          <w:w w:val="105"/>
          <w:sz w:val="19"/>
        </w:rPr>
        <w:t>within</w:t>
      </w:r>
      <w:r>
        <w:rPr>
          <w:rFonts w:ascii="Arial" w:hAnsi="Arial"/>
          <w:spacing w:val="-12"/>
          <w:w w:val="105"/>
          <w:sz w:val="19"/>
        </w:rPr>
        <w:t xml:space="preserve"> </w:t>
      </w:r>
      <w:r>
        <w:rPr>
          <w:rFonts w:ascii="Arial" w:hAnsi="Arial"/>
          <w:w w:val="105"/>
          <w:sz w:val="19"/>
        </w:rPr>
        <w:t>the</w:t>
      </w:r>
      <w:r>
        <w:rPr>
          <w:rFonts w:ascii="Arial" w:hAnsi="Arial"/>
          <w:spacing w:val="-10"/>
          <w:w w:val="105"/>
          <w:sz w:val="19"/>
        </w:rPr>
        <w:t xml:space="preserve"> </w:t>
      </w:r>
      <w:r>
        <w:rPr>
          <w:rFonts w:ascii="Arial" w:hAnsi="Arial"/>
          <w:w w:val="105"/>
          <w:sz w:val="19"/>
        </w:rPr>
        <w:t>food-medicine</w:t>
      </w:r>
      <w:r>
        <w:rPr>
          <w:rFonts w:ascii="Arial" w:hAnsi="Arial"/>
          <w:spacing w:val="-12"/>
          <w:w w:val="105"/>
          <w:sz w:val="19"/>
        </w:rPr>
        <w:t xml:space="preserve"> </w:t>
      </w:r>
      <w:r>
        <w:rPr>
          <w:rFonts w:ascii="Arial" w:hAnsi="Arial"/>
          <w:w w:val="105"/>
          <w:sz w:val="19"/>
        </w:rPr>
        <w:t>interface</w:t>
      </w:r>
      <w:r>
        <w:rPr>
          <w:rFonts w:ascii="Arial" w:hAnsi="Arial"/>
          <w:spacing w:val="-11"/>
          <w:w w:val="105"/>
          <w:sz w:val="19"/>
        </w:rPr>
        <w:t xml:space="preserve"> </w:t>
      </w:r>
      <w:r>
        <w:rPr>
          <w:rFonts w:ascii="Arial" w:hAnsi="Arial"/>
          <w:w w:val="105"/>
          <w:sz w:val="19"/>
        </w:rPr>
        <w:t>(FMI).</w:t>
      </w:r>
    </w:p>
    <w:p w:rsidR="007D76BB" w:rsidRDefault="00D70D28">
      <w:pPr>
        <w:spacing w:before="172" w:line="264" w:lineRule="auto"/>
        <w:ind w:left="482" w:right="788"/>
        <w:rPr>
          <w:rFonts w:ascii="Arial" w:hAnsi="Arial"/>
          <w:sz w:val="19"/>
        </w:rPr>
      </w:pPr>
      <w:r>
        <w:rPr>
          <w:rFonts w:ascii="Arial" w:hAnsi="Arial"/>
          <w:w w:val="105"/>
          <w:sz w:val="19"/>
        </w:rPr>
        <w:t>Whether</w:t>
      </w:r>
      <w:r>
        <w:rPr>
          <w:rFonts w:ascii="Arial" w:hAnsi="Arial"/>
          <w:spacing w:val="-28"/>
          <w:w w:val="105"/>
          <w:sz w:val="19"/>
        </w:rPr>
        <w:t xml:space="preserve"> </w:t>
      </w:r>
      <w:r>
        <w:rPr>
          <w:rFonts w:ascii="Arial" w:hAnsi="Arial"/>
          <w:w w:val="105"/>
          <w:sz w:val="19"/>
        </w:rPr>
        <w:t>a</w:t>
      </w:r>
      <w:r>
        <w:rPr>
          <w:rFonts w:ascii="Arial" w:hAnsi="Arial"/>
          <w:spacing w:val="-25"/>
          <w:w w:val="105"/>
          <w:sz w:val="19"/>
        </w:rPr>
        <w:t xml:space="preserve"> </w:t>
      </w:r>
      <w:r>
        <w:rPr>
          <w:rFonts w:ascii="Arial" w:hAnsi="Arial"/>
          <w:w w:val="105"/>
          <w:sz w:val="19"/>
        </w:rPr>
        <w:t>product</w:t>
      </w:r>
      <w:r>
        <w:rPr>
          <w:rFonts w:ascii="Arial" w:hAnsi="Arial"/>
          <w:spacing w:val="-25"/>
          <w:w w:val="105"/>
          <w:sz w:val="19"/>
        </w:rPr>
        <w:t xml:space="preserve"> </w:t>
      </w:r>
      <w:r>
        <w:rPr>
          <w:rFonts w:ascii="Arial" w:hAnsi="Arial"/>
          <w:w w:val="105"/>
          <w:sz w:val="19"/>
        </w:rPr>
        <w:t>is</w:t>
      </w:r>
      <w:r>
        <w:rPr>
          <w:rFonts w:ascii="Arial" w:hAnsi="Arial"/>
          <w:spacing w:val="-27"/>
          <w:w w:val="105"/>
          <w:sz w:val="19"/>
        </w:rPr>
        <w:t xml:space="preserve"> </w:t>
      </w:r>
      <w:r>
        <w:rPr>
          <w:rFonts w:ascii="Arial" w:hAnsi="Arial"/>
          <w:w w:val="105"/>
          <w:sz w:val="19"/>
        </w:rPr>
        <w:t>classified</w:t>
      </w:r>
      <w:r>
        <w:rPr>
          <w:rFonts w:ascii="Arial" w:hAnsi="Arial"/>
          <w:spacing w:val="-27"/>
          <w:w w:val="105"/>
          <w:sz w:val="19"/>
        </w:rPr>
        <w:t xml:space="preserve"> </w:t>
      </w:r>
      <w:r>
        <w:rPr>
          <w:rFonts w:ascii="Arial" w:hAnsi="Arial"/>
          <w:w w:val="105"/>
          <w:sz w:val="19"/>
        </w:rPr>
        <w:t>as</w:t>
      </w:r>
      <w:r>
        <w:rPr>
          <w:rFonts w:ascii="Arial" w:hAnsi="Arial"/>
          <w:spacing w:val="-26"/>
          <w:w w:val="105"/>
          <w:sz w:val="19"/>
        </w:rPr>
        <w:t xml:space="preserve"> </w:t>
      </w:r>
      <w:r>
        <w:rPr>
          <w:rFonts w:ascii="Arial" w:hAnsi="Arial"/>
          <w:w w:val="105"/>
          <w:sz w:val="19"/>
        </w:rPr>
        <w:t>a</w:t>
      </w:r>
      <w:r>
        <w:rPr>
          <w:rFonts w:ascii="Arial" w:hAnsi="Arial"/>
          <w:spacing w:val="-26"/>
          <w:w w:val="105"/>
          <w:sz w:val="19"/>
        </w:rPr>
        <w:t xml:space="preserve"> </w:t>
      </w:r>
      <w:r>
        <w:rPr>
          <w:rFonts w:ascii="Arial" w:hAnsi="Arial"/>
          <w:w w:val="105"/>
          <w:sz w:val="19"/>
        </w:rPr>
        <w:t>food</w:t>
      </w:r>
      <w:r>
        <w:rPr>
          <w:rFonts w:ascii="Arial" w:hAnsi="Arial"/>
          <w:spacing w:val="-27"/>
          <w:w w:val="105"/>
          <w:sz w:val="19"/>
        </w:rPr>
        <w:t xml:space="preserve"> </w:t>
      </w:r>
      <w:r>
        <w:rPr>
          <w:rFonts w:ascii="Arial" w:hAnsi="Arial"/>
          <w:w w:val="105"/>
          <w:sz w:val="19"/>
        </w:rPr>
        <w:t>or</w:t>
      </w:r>
      <w:r>
        <w:rPr>
          <w:rFonts w:ascii="Arial" w:hAnsi="Arial"/>
          <w:spacing w:val="-25"/>
          <w:w w:val="105"/>
          <w:sz w:val="19"/>
        </w:rPr>
        <w:t xml:space="preserve"> </w:t>
      </w:r>
      <w:r>
        <w:rPr>
          <w:rFonts w:ascii="Arial" w:hAnsi="Arial"/>
          <w:w w:val="105"/>
          <w:sz w:val="19"/>
        </w:rPr>
        <w:t>medicine</w:t>
      </w:r>
      <w:r>
        <w:rPr>
          <w:rFonts w:ascii="Arial" w:hAnsi="Arial"/>
          <w:spacing w:val="-26"/>
          <w:w w:val="105"/>
          <w:sz w:val="19"/>
        </w:rPr>
        <w:t xml:space="preserve"> </w:t>
      </w:r>
      <w:r>
        <w:rPr>
          <w:rFonts w:ascii="Arial" w:hAnsi="Arial"/>
          <w:w w:val="105"/>
          <w:sz w:val="19"/>
        </w:rPr>
        <w:t>in</w:t>
      </w:r>
      <w:r>
        <w:rPr>
          <w:rFonts w:ascii="Arial" w:hAnsi="Arial"/>
          <w:spacing w:val="-27"/>
          <w:w w:val="105"/>
          <w:sz w:val="19"/>
        </w:rPr>
        <w:t xml:space="preserve"> </w:t>
      </w:r>
      <w:r>
        <w:rPr>
          <w:rFonts w:ascii="Arial" w:hAnsi="Arial"/>
          <w:w w:val="105"/>
          <w:sz w:val="19"/>
        </w:rPr>
        <w:t>law</w:t>
      </w:r>
      <w:r>
        <w:rPr>
          <w:rFonts w:ascii="Arial" w:hAnsi="Arial"/>
          <w:spacing w:val="-25"/>
          <w:w w:val="105"/>
          <w:sz w:val="19"/>
        </w:rPr>
        <w:t xml:space="preserve"> </w:t>
      </w:r>
      <w:r>
        <w:rPr>
          <w:rFonts w:ascii="Arial" w:hAnsi="Arial"/>
          <w:w w:val="105"/>
          <w:sz w:val="19"/>
        </w:rPr>
        <w:t>can</w:t>
      </w:r>
      <w:r>
        <w:rPr>
          <w:rFonts w:ascii="Arial" w:hAnsi="Arial"/>
          <w:spacing w:val="-21"/>
          <w:w w:val="105"/>
          <w:sz w:val="19"/>
        </w:rPr>
        <w:t xml:space="preserve"> </w:t>
      </w:r>
      <w:r>
        <w:rPr>
          <w:rFonts w:ascii="Arial" w:hAnsi="Arial"/>
          <w:w w:val="105"/>
          <w:sz w:val="19"/>
        </w:rPr>
        <w:t>depend</w:t>
      </w:r>
      <w:r>
        <w:rPr>
          <w:rFonts w:ascii="Arial" w:hAnsi="Arial"/>
          <w:spacing w:val="-27"/>
          <w:w w:val="105"/>
          <w:sz w:val="19"/>
        </w:rPr>
        <w:t xml:space="preserve"> </w:t>
      </w:r>
      <w:r>
        <w:rPr>
          <w:rFonts w:ascii="Arial" w:hAnsi="Arial"/>
          <w:w w:val="105"/>
          <w:sz w:val="19"/>
        </w:rPr>
        <w:t>on</w:t>
      </w:r>
      <w:r>
        <w:rPr>
          <w:rFonts w:ascii="Arial" w:hAnsi="Arial"/>
          <w:spacing w:val="-25"/>
          <w:w w:val="105"/>
          <w:sz w:val="19"/>
        </w:rPr>
        <w:t xml:space="preserve"> </w:t>
      </w:r>
      <w:r>
        <w:rPr>
          <w:rFonts w:ascii="Arial" w:hAnsi="Arial"/>
          <w:w w:val="105"/>
          <w:sz w:val="19"/>
        </w:rPr>
        <w:t>ingredients,</w:t>
      </w:r>
      <w:r>
        <w:rPr>
          <w:rFonts w:ascii="Arial" w:hAnsi="Arial"/>
          <w:spacing w:val="-25"/>
          <w:w w:val="105"/>
          <w:sz w:val="19"/>
        </w:rPr>
        <w:t xml:space="preserve"> </w:t>
      </w:r>
      <w:r>
        <w:rPr>
          <w:rFonts w:ascii="Arial" w:hAnsi="Arial"/>
          <w:w w:val="105"/>
          <w:sz w:val="19"/>
        </w:rPr>
        <w:t>claims</w:t>
      </w:r>
      <w:r>
        <w:rPr>
          <w:rFonts w:ascii="Arial" w:hAnsi="Arial"/>
          <w:spacing w:val="-26"/>
          <w:w w:val="105"/>
          <w:sz w:val="19"/>
        </w:rPr>
        <w:t xml:space="preserve"> </w:t>
      </w:r>
      <w:r>
        <w:rPr>
          <w:rFonts w:ascii="Arial" w:hAnsi="Arial"/>
          <w:w w:val="105"/>
          <w:sz w:val="19"/>
        </w:rPr>
        <w:t>and overall</w:t>
      </w:r>
      <w:r>
        <w:rPr>
          <w:rFonts w:ascii="Arial" w:hAnsi="Arial"/>
          <w:spacing w:val="-27"/>
          <w:w w:val="105"/>
          <w:sz w:val="19"/>
        </w:rPr>
        <w:t xml:space="preserve"> </w:t>
      </w:r>
      <w:r>
        <w:rPr>
          <w:rFonts w:ascii="Arial" w:hAnsi="Arial"/>
          <w:w w:val="105"/>
          <w:sz w:val="19"/>
        </w:rPr>
        <w:t>presentation</w:t>
      </w:r>
      <w:r>
        <w:rPr>
          <w:rFonts w:ascii="Arial" w:hAnsi="Arial"/>
          <w:spacing w:val="-25"/>
          <w:w w:val="105"/>
          <w:sz w:val="19"/>
        </w:rPr>
        <w:t xml:space="preserve"> </w:t>
      </w:r>
      <w:r>
        <w:rPr>
          <w:rFonts w:ascii="Arial" w:hAnsi="Arial"/>
          <w:w w:val="105"/>
          <w:sz w:val="19"/>
        </w:rPr>
        <w:t>(powder,</w:t>
      </w:r>
      <w:r>
        <w:rPr>
          <w:rFonts w:ascii="Arial" w:hAnsi="Arial"/>
          <w:spacing w:val="-25"/>
          <w:w w:val="105"/>
          <w:sz w:val="19"/>
        </w:rPr>
        <w:t xml:space="preserve"> </w:t>
      </w:r>
      <w:r>
        <w:rPr>
          <w:rFonts w:ascii="Arial" w:hAnsi="Arial"/>
          <w:w w:val="105"/>
          <w:sz w:val="19"/>
        </w:rPr>
        <w:t>pill,</w:t>
      </w:r>
      <w:r>
        <w:rPr>
          <w:rFonts w:ascii="Arial" w:hAnsi="Arial"/>
          <w:spacing w:val="-25"/>
          <w:w w:val="105"/>
          <w:sz w:val="19"/>
        </w:rPr>
        <w:t xml:space="preserve"> </w:t>
      </w:r>
      <w:r>
        <w:rPr>
          <w:rFonts w:ascii="Arial" w:hAnsi="Arial"/>
          <w:w w:val="105"/>
          <w:sz w:val="19"/>
        </w:rPr>
        <w:t>capsule</w:t>
      </w:r>
      <w:r>
        <w:rPr>
          <w:rFonts w:ascii="Arial" w:hAnsi="Arial"/>
          <w:spacing w:val="-26"/>
          <w:w w:val="105"/>
          <w:sz w:val="19"/>
        </w:rPr>
        <w:t xml:space="preserve"> </w:t>
      </w:r>
      <w:r>
        <w:rPr>
          <w:rFonts w:ascii="Arial" w:hAnsi="Arial"/>
          <w:w w:val="105"/>
          <w:sz w:val="19"/>
        </w:rPr>
        <w:t>etc.);</w:t>
      </w:r>
      <w:r>
        <w:rPr>
          <w:rFonts w:ascii="Arial" w:hAnsi="Arial"/>
          <w:spacing w:val="-28"/>
          <w:w w:val="105"/>
          <w:sz w:val="19"/>
        </w:rPr>
        <w:t xml:space="preserve"> </w:t>
      </w:r>
      <w:r>
        <w:rPr>
          <w:rFonts w:ascii="Arial" w:hAnsi="Arial"/>
          <w:w w:val="105"/>
          <w:sz w:val="19"/>
        </w:rPr>
        <w:t>however,</w:t>
      </w:r>
      <w:r>
        <w:rPr>
          <w:rFonts w:ascii="Arial" w:hAnsi="Arial"/>
          <w:spacing w:val="-27"/>
          <w:w w:val="105"/>
          <w:sz w:val="19"/>
        </w:rPr>
        <w:t xml:space="preserve"> </w:t>
      </w:r>
      <w:r>
        <w:rPr>
          <w:rFonts w:ascii="Arial" w:hAnsi="Arial"/>
          <w:w w:val="105"/>
          <w:sz w:val="19"/>
        </w:rPr>
        <w:t>a</w:t>
      </w:r>
      <w:r>
        <w:rPr>
          <w:rFonts w:ascii="Arial" w:hAnsi="Arial"/>
          <w:spacing w:val="-25"/>
          <w:w w:val="105"/>
          <w:sz w:val="19"/>
        </w:rPr>
        <w:t xml:space="preserve"> </w:t>
      </w:r>
      <w:r>
        <w:rPr>
          <w:rFonts w:ascii="Arial" w:hAnsi="Arial"/>
          <w:w w:val="105"/>
          <w:sz w:val="19"/>
        </w:rPr>
        <w:t>product</w:t>
      </w:r>
      <w:r>
        <w:rPr>
          <w:rFonts w:ascii="Arial" w:hAnsi="Arial"/>
          <w:spacing w:val="-27"/>
          <w:w w:val="105"/>
          <w:sz w:val="19"/>
        </w:rPr>
        <w:t xml:space="preserve"> </w:t>
      </w:r>
      <w:r>
        <w:rPr>
          <w:rFonts w:ascii="Arial" w:hAnsi="Arial"/>
          <w:w w:val="105"/>
          <w:sz w:val="19"/>
        </w:rPr>
        <w:t>cannot</w:t>
      </w:r>
      <w:r>
        <w:rPr>
          <w:rFonts w:ascii="Arial" w:hAnsi="Arial"/>
          <w:spacing w:val="-25"/>
          <w:w w:val="105"/>
          <w:sz w:val="19"/>
        </w:rPr>
        <w:t xml:space="preserve"> </w:t>
      </w:r>
      <w:r>
        <w:rPr>
          <w:rFonts w:ascii="Arial" w:hAnsi="Arial"/>
          <w:w w:val="105"/>
          <w:sz w:val="19"/>
        </w:rPr>
        <w:t>be</w:t>
      </w:r>
      <w:r>
        <w:rPr>
          <w:rFonts w:ascii="Arial" w:hAnsi="Arial"/>
          <w:spacing w:val="-26"/>
          <w:w w:val="105"/>
          <w:sz w:val="19"/>
        </w:rPr>
        <w:t xml:space="preserve"> </w:t>
      </w:r>
      <w:r>
        <w:rPr>
          <w:rFonts w:ascii="Arial" w:hAnsi="Arial"/>
          <w:w w:val="105"/>
          <w:sz w:val="19"/>
        </w:rPr>
        <w:t>classified</w:t>
      </w:r>
      <w:r>
        <w:rPr>
          <w:rFonts w:ascii="Arial" w:hAnsi="Arial"/>
          <w:spacing w:val="-27"/>
          <w:w w:val="105"/>
          <w:sz w:val="19"/>
        </w:rPr>
        <w:t xml:space="preserve"> </w:t>
      </w:r>
      <w:r>
        <w:rPr>
          <w:rFonts w:ascii="Arial" w:hAnsi="Arial"/>
          <w:w w:val="105"/>
          <w:sz w:val="19"/>
        </w:rPr>
        <w:t>as</w:t>
      </w:r>
      <w:r>
        <w:rPr>
          <w:rFonts w:ascii="Arial" w:hAnsi="Arial"/>
          <w:spacing w:val="-26"/>
          <w:w w:val="105"/>
          <w:sz w:val="19"/>
        </w:rPr>
        <w:t xml:space="preserve"> </w:t>
      </w:r>
      <w:r>
        <w:rPr>
          <w:rFonts w:ascii="Arial" w:hAnsi="Arial"/>
          <w:w w:val="105"/>
          <w:sz w:val="19"/>
        </w:rPr>
        <w:t>both</w:t>
      </w:r>
      <w:r>
        <w:rPr>
          <w:rFonts w:ascii="Arial" w:hAnsi="Arial"/>
          <w:spacing w:val="-25"/>
          <w:w w:val="105"/>
          <w:sz w:val="19"/>
        </w:rPr>
        <w:t xml:space="preserve"> </w:t>
      </w:r>
      <w:r>
        <w:rPr>
          <w:rFonts w:ascii="Arial" w:hAnsi="Arial"/>
          <w:w w:val="105"/>
          <w:sz w:val="19"/>
        </w:rPr>
        <w:t>a food</w:t>
      </w:r>
      <w:r>
        <w:rPr>
          <w:rFonts w:ascii="Arial" w:hAnsi="Arial"/>
          <w:spacing w:val="-34"/>
          <w:w w:val="105"/>
          <w:sz w:val="19"/>
        </w:rPr>
        <w:t xml:space="preserve"> </w:t>
      </w:r>
      <w:r>
        <w:rPr>
          <w:rFonts w:ascii="Arial" w:hAnsi="Arial"/>
          <w:w w:val="105"/>
          <w:sz w:val="19"/>
        </w:rPr>
        <w:t>and</w:t>
      </w:r>
      <w:r>
        <w:rPr>
          <w:rFonts w:ascii="Arial" w:hAnsi="Arial"/>
          <w:spacing w:val="-33"/>
          <w:w w:val="105"/>
          <w:sz w:val="19"/>
        </w:rPr>
        <w:t xml:space="preserve"> </w:t>
      </w:r>
      <w:r>
        <w:rPr>
          <w:rFonts w:ascii="Arial" w:hAnsi="Arial"/>
          <w:w w:val="105"/>
          <w:sz w:val="19"/>
        </w:rPr>
        <w:t>medicine</w:t>
      </w:r>
      <w:r>
        <w:rPr>
          <w:rFonts w:ascii="Arial" w:hAnsi="Arial"/>
          <w:spacing w:val="-32"/>
          <w:w w:val="105"/>
          <w:sz w:val="19"/>
        </w:rPr>
        <w:t xml:space="preserve"> </w:t>
      </w:r>
      <w:r>
        <w:rPr>
          <w:rFonts w:ascii="Arial" w:hAnsi="Arial"/>
          <w:w w:val="105"/>
          <w:sz w:val="19"/>
        </w:rPr>
        <w:t>simultaneously.</w:t>
      </w:r>
      <w:r>
        <w:rPr>
          <w:rFonts w:ascii="Arial" w:hAnsi="Arial"/>
          <w:spacing w:val="-30"/>
          <w:w w:val="105"/>
          <w:sz w:val="19"/>
        </w:rPr>
        <w:t xml:space="preserve"> </w:t>
      </w:r>
      <w:r>
        <w:rPr>
          <w:rFonts w:ascii="Arial" w:hAnsi="Arial"/>
          <w:w w:val="105"/>
          <w:sz w:val="19"/>
        </w:rPr>
        <w:t>‘Sports</w:t>
      </w:r>
      <w:r>
        <w:rPr>
          <w:rFonts w:ascii="Arial" w:hAnsi="Arial"/>
          <w:spacing w:val="-33"/>
          <w:w w:val="105"/>
          <w:sz w:val="19"/>
        </w:rPr>
        <w:t xml:space="preserve"> </w:t>
      </w:r>
      <w:r>
        <w:rPr>
          <w:rFonts w:ascii="Arial" w:hAnsi="Arial"/>
          <w:w w:val="105"/>
          <w:sz w:val="19"/>
        </w:rPr>
        <w:t>supplements’</w:t>
      </w:r>
      <w:r>
        <w:rPr>
          <w:rFonts w:ascii="Arial" w:hAnsi="Arial"/>
          <w:spacing w:val="-32"/>
          <w:w w:val="105"/>
          <w:sz w:val="19"/>
        </w:rPr>
        <w:t xml:space="preserve"> </w:t>
      </w:r>
      <w:r>
        <w:rPr>
          <w:rFonts w:ascii="Arial" w:hAnsi="Arial"/>
          <w:w w:val="105"/>
          <w:sz w:val="19"/>
        </w:rPr>
        <w:t>encompass</w:t>
      </w:r>
      <w:r>
        <w:rPr>
          <w:rFonts w:ascii="Arial" w:hAnsi="Arial"/>
          <w:spacing w:val="-33"/>
          <w:w w:val="105"/>
          <w:sz w:val="19"/>
        </w:rPr>
        <w:t xml:space="preserve"> </w:t>
      </w:r>
      <w:r>
        <w:rPr>
          <w:rFonts w:ascii="Arial" w:hAnsi="Arial"/>
          <w:w w:val="105"/>
          <w:sz w:val="19"/>
        </w:rPr>
        <w:t>a</w:t>
      </w:r>
      <w:r>
        <w:rPr>
          <w:rFonts w:ascii="Arial" w:hAnsi="Arial"/>
          <w:spacing w:val="-33"/>
          <w:w w:val="105"/>
          <w:sz w:val="19"/>
        </w:rPr>
        <w:t xml:space="preserve"> </w:t>
      </w:r>
      <w:r>
        <w:rPr>
          <w:rFonts w:ascii="Arial" w:hAnsi="Arial"/>
          <w:w w:val="105"/>
          <w:sz w:val="19"/>
        </w:rPr>
        <w:t>broad</w:t>
      </w:r>
      <w:r>
        <w:rPr>
          <w:rFonts w:ascii="Arial" w:hAnsi="Arial"/>
          <w:spacing w:val="-33"/>
          <w:w w:val="105"/>
          <w:sz w:val="19"/>
        </w:rPr>
        <w:t xml:space="preserve"> </w:t>
      </w:r>
      <w:r>
        <w:rPr>
          <w:rFonts w:ascii="Arial" w:hAnsi="Arial"/>
          <w:w w:val="105"/>
          <w:sz w:val="19"/>
        </w:rPr>
        <w:t>range</w:t>
      </w:r>
      <w:r>
        <w:rPr>
          <w:rFonts w:ascii="Arial" w:hAnsi="Arial"/>
          <w:spacing w:val="-33"/>
          <w:w w:val="105"/>
          <w:sz w:val="19"/>
        </w:rPr>
        <w:t xml:space="preserve"> </w:t>
      </w:r>
      <w:r>
        <w:rPr>
          <w:rFonts w:ascii="Arial" w:hAnsi="Arial"/>
          <w:w w:val="105"/>
          <w:sz w:val="19"/>
        </w:rPr>
        <w:t>of</w:t>
      </w:r>
      <w:r>
        <w:rPr>
          <w:rFonts w:ascii="Arial" w:hAnsi="Arial"/>
          <w:spacing w:val="-34"/>
          <w:w w:val="105"/>
          <w:sz w:val="19"/>
        </w:rPr>
        <w:t xml:space="preserve"> </w:t>
      </w:r>
      <w:r>
        <w:rPr>
          <w:rFonts w:ascii="Arial" w:hAnsi="Arial"/>
          <w:w w:val="105"/>
          <w:sz w:val="19"/>
        </w:rPr>
        <w:t>products</w:t>
      </w:r>
      <w:r>
        <w:rPr>
          <w:rFonts w:ascii="Arial" w:hAnsi="Arial"/>
          <w:spacing w:val="-33"/>
          <w:w w:val="105"/>
          <w:sz w:val="19"/>
        </w:rPr>
        <w:t xml:space="preserve"> </w:t>
      </w:r>
      <w:r>
        <w:rPr>
          <w:rFonts w:ascii="Arial" w:hAnsi="Arial"/>
          <w:w w:val="105"/>
          <w:sz w:val="19"/>
        </w:rPr>
        <w:t>that often blur the lines between food and medicine classification. Some of these products claim to provide</w:t>
      </w:r>
      <w:r>
        <w:rPr>
          <w:rFonts w:ascii="Arial" w:hAnsi="Arial"/>
          <w:spacing w:val="-22"/>
          <w:w w:val="105"/>
          <w:sz w:val="19"/>
        </w:rPr>
        <w:t xml:space="preserve"> </w:t>
      </w:r>
      <w:r>
        <w:rPr>
          <w:rFonts w:ascii="Arial" w:hAnsi="Arial"/>
          <w:w w:val="105"/>
          <w:sz w:val="19"/>
        </w:rPr>
        <w:t>therapeutic</w:t>
      </w:r>
      <w:r>
        <w:rPr>
          <w:rFonts w:ascii="Arial" w:hAnsi="Arial"/>
          <w:spacing w:val="-21"/>
          <w:w w:val="105"/>
          <w:sz w:val="19"/>
        </w:rPr>
        <w:t xml:space="preserve"> </w:t>
      </w:r>
      <w:r>
        <w:rPr>
          <w:rFonts w:ascii="Arial" w:hAnsi="Arial"/>
          <w:w w:val="105"/>
          <w:sz w:val="19"/>
        </w:rPr>
        <w:t>benefits</w:t>
      </w:r>
      <w:r>
        <w:rPr>
          <w:rFonts w:ascii="Arial" w:hAnsi="Arial"/>
          <w:spacing w:val="-24"/>
          <w:w w:val="105"/>
          <w:sz w:val="19"/>
        </w:rPr>
        <w:t xml:space="preserve"> </w:t>
      </w:r>
      <w:r>
        <w:rPr>
          <w:rFonts w:ascii="Arial" w:hAnsi="Arial"/>
          <w:w w:val="105"/>
          <w:sz w:val="19"/>
        </w:rPr>
        <w:t>(and</w:t>
      </w:r>
      <w:r>
        <w:rPr>
          <w:rFonts w:ascii="Arial" w:hAnsi="Arial"/>
          <w:spacing w:val="-23"/>
          <w:w w:val="105"/>
          <w:sz w:val="19"/>
        </w:rPr>
        <w:t xml:space="preserve"> </w:t>
      </w:r>
      <w:r>
        <w:rPr>
          <w:rFonts w:ascii="Arial" w:hAnsi="Arial"/>
          <w:w w:val="105"/>
          <w:sz w:val="19"/>
        </w:rPr>
        <w:t>thus</w:t>
      </w:r>
      <w:r>
        <w:rPr>
          <w:rFonts w:ascii="Arial" w:hAnsi="Arial"/>
          <w:spacing w:val="-24"/>
          <w:w w:val="105"/>
          <w:sz w:val="19"/>
        </w:rPr>
        <w:t xml:space="preserve"> </w:t>
      </w:r>
      <w:r>
        <w:rPr>
          <w:rFonts w:ascii="Arial" w:hAnsi="Arial"/>
          <w:w w:val="105"/>
          <w:sz w:val="19"/>
        </w:rPr>
        <w:t>are</w:t>
      </w:r>
      <w:r>
        <w:rPr>
          <w:rFonts w:ascii="Arial" w:hAnsi="Arial"/>
          <w:spacing w:val="-23"/>
          <w:w w:val="105"/>
          <w:sz w:val="19"/>
        </w:rPr>
        <w:t xml:space="preserve"> </w:t>
      </w:r>
      <w:r>
        <w:rPr>
          <w:rFonts w:ascii="Arial" w:hAnsi="Arial"/>
          <w:w w:val="105"/>
          <w:sz w:val="19"/>
        </w:rPr>
        <w:t>likely</w:t>
      </w:r>
      <w:r>
        <w:rPr>
          <w:rFonts w:ascii="Arial" w:hAnsi="Arial"/>
          <w:spacing w:val="-25"/>
          <w:w w:val="105"/>
          <w:sz w:val="19"/>
        </w:rPr>
        <w:t xml:space="preserve"> </w:t>
      </w:r>
      <w:r>
        <w:rPr>
          <w:rFonts w:ascii="Arial" w:hAnsi="Arial"/>
          <w:w w:val="105"/>
          <w:sz w:val="19"/>
        </w:rPr>
        <w:t>to</w:t>
      </w:r>
      <w:r>
        <w:rPr>
          <w:rFonts w:ascii="Arial" w:hAnsi="Arial"/>
          <w:spacing w:val="-23"/>
          <w:w w:val="105"/>
          <w:sz w:val="19"/>
        </w:rPr>
        <w:t xml:space="preserve"> </w:t>
      </w:r>
      <w:r>
        <w:rPr>
          <w:rFonts w:ascii="Arial" w:hAnsi="Arial"/>
          <w:w w:val="105"/>
          <w:sz w:val="19"/>
        </w:rPr>
        <w:t>be</w:t>
      </w:r>
      <w:r>
        <w:rPr>
          <w:rFonts w:ascii="Arial" w:hAnsi="Arial"/>
          <w:spacing w:val="-24"/>
          <w:w w:val="105"/>
          <w:sz w:val="19"/>
        </w:rPr>
        <w:t xml:space="preserve"> </w:t>
      </w:r>
      <w:r>
        <w:rPr>
          <w:rFonts w:ascii="Arial" w:hAnsi="Arial"/>
          <w:w w:val="105"/>
          <w:sz w:val="19"/>
        </w:rPr>
        <w:t>marketed</w:t>
      </w:r>
      <w:r>
        <w:rPr>
          <w:rFonts w:ascii="Arial" w:hAnsi="Arial"/>
          <w:spacing w:val="-23"/>
          <w:w w:val="105"/>
          <w:sz w:val="19"/>
        </w:rPr>
        <w:t xml:space="preserve"> </w:t>
      </w:r>
      <w:r>
        <w:rPr>
          <w:rFonts w:ascii="Arial" w:hAnsi="Arial"/>
          <w:w w:val="105"/>
          <w:sz w:val="19"/>
        </w:rPr>
        <w:t>and</w:t>
      </w:r>
      <w:r>
        <w:rPr>
          <w:rFonts w:ascii="Arial" w:hAnsi="Arial"/>
          <w:spacing w:val="-24"/>
          <w:w w:val="105"/>
          <w:sz w:val="19"/>
        </w:rPr>
        <w:t xml:space="preserve"> </w:t>
      </w:r>
      <w:r>
        <w:rPr>
          <w:rFonts w:ascii="Arial" w:hAnsi="Arial"/>
          <w:w w:val="105"/>
          <w:sz w:val="19"/>
        </w:rPr>
        <w:t>consumed</w:t>
      </w:r>
      <w:r>
        <w:rPr>
          <w:rFonts w:ascii="Arial" w:hAnsi="Arial"/>
          <w:spacing w:val="-24"/>
          <w:w w:val="105"/>
          <w:sz w:val="19"/>
        </w:rPr>
        <w:t xml:space="preserve"> </w:t>
      </w:r>
      <w:r>
        <w:rPr>
          <w:rFonts w:ascii="Arial" w:hAnsi="Arial"/>
          <w:w w:val="105"/>
          <w:sz w:val="19"/>
        </w:rPr>
        <w:t>for</w:t>
      </w:r>
      <w:r>
        <w:rPr>
          <w:rFonts w:ascii="Arial" w:hAnsi="Arial"/>
          <w:spacing w:val="-24"/>
          <w:w w:val="105"/>
          <w:sz w:val="19"/>
        </w:rPr>
        <w:t xml:space="preserve"> </w:t>
      </w:r>
      <w:r>
        <w:rPr>
          <w:rFonts w:ascii="Arial" w:hAnsi="Arial"/>
          <w:w w:val="105"/>
          <w:sz w:val="19"/>
        </w:rPr>
        <w:t>therapeutic</w:t>
      </w:r>
      <w:r>
        <w:rPr>
          <w:rFonts w:ascii="Arial" w:hAnsi="Arial"/>
          <w:spacing w:val="-24"/>
          <w:w w:val="105"/>
          <w:sz w:val="19"/>
        </w:rPr>
        <w:t xml:space="preserve"> </w:t>
      </w:r>
      <w:r>
        <w:rPr>
          <w:rFonts w:ascii="Arial" w:hAnsi="Arial"/>
          <w:w w:val="105"/>
          <w:sz w:val="19"/>
        </w:rPr>
        <w:t>use) yet</w:t>
      </w:r>
      <w:r>
        <w:rPr>
          <w:rFonts w:ascii="Arial" w:hAnsi="Arial"/>
          <w:spacing w:val="-11"/>
          <w:w w:val="105"/>
          <w:sz w:val="19"/>
        </w:rPr>
        <w:t xml:space="preserve"> </w:t>
      </w:r>
      <w:r>
        <w:rPr>
          <w:rFonts w:ascii="Arial" w:hAnsi="Arial"/>
          <w:w w:val="105"/>
          <w:sz w:val="19"/>
        </w:rPr>
        <w:t>may</w:t>
      </w:r>
      <w:r>
        <w:rPr>
          <w:rFonts w:ascii="Arial" w:hAnsi="Arial"/>
          <w:spacing w:val="-12"/>
          <w:w w:val="105"/>
          <w:sz w:val="19"/>
        </w:rPr>
        <w:t xml:space="preserve"> </w:t>
      </w:r>
      <w:r>
        <w:rPr>
          <w:rFonts w:ascii="Arial" w:hAnsi="Arial"/>
          <w:w w:val="105"/>
          <w:sz w:val="19"/>
        </w:rPr>
        <w:t>still</w:t>
      </w:r>
      <w:r>
        <w:rPr>
          <w:rFonts w:ascii="Arial" w:hAnsi="Arial"/>
          <w:spacing w:val="-10"/>
          <w:w w:val="105"/>
          <w:sz w:val="19"/>
        </w:rPr>
        <w:t xml:space="preserve"> </w:t>
      </w:r>
      <w:r>
        <w:rPr>
          <w:rFonts w:ascii="Arial" w:hAnsi="Arial"/>
          <w:w w:val="105"/>
          <w:sz w:val="19"/>
        </w:rPr>
        <w:t>be</w:t>
      </w:r>
      <w:r>
        <w:rPr>
          <w:rFonts w:ascii="Arial" w:hAnsi="Arial"/>
          <w:spacing w:val="-13"/>
          <w:w w:val="105"/>
          <w:sz w:val="19"/>
        </w:rPr>
        <w:t xml:space="preserve"> </w:t>
      </w:r>
      <w:r>
        <w:rPr>
          <w:rFonts w:ascii="Arial" w:hAnsi="Arial"/>
          <w:w w:val="105"/>
          <w:sz w:val="19"/>
        </w:rPr>
        <w:t>considered</w:t>
      </w:r>
      <w:r>
        <w:rPr>
          <w:rFonts w:ascii="Arial" w:hAnsi="Arial"/>
          <w:spacing w:val="-12"/>
          <w:w w:val="105"/>
          <w:sz w:val="19"/>
        </w:rPr>
        <w:t xml:space="preserve"> </w:t>
      </w:r>
      <w:r>
        <w:rPr>
          <w:rFonts w:ascii="Arial" w:hAnsi="Arial"/>
          <w:w w:val="105"/>
          <w:sz w:val="19"/>
        </w:rPr>
        <w:t>food</w:t>
      </w:r>
      <w:r>
        <w:rPr>
          <w:rFonts w:ascii="Arial" w:hAnsi="Arial"/>
          <w:spacing w:val="-13"/>
          <w:w w:val="105"/>
          <w:sz w:val="19"/>
        </w:rPr>
        <w:t xml:space="preserve"> </w:t>
      </w:r>
      <w:r>
        <w:rPr>
          <w:rFonts w:ascii="Arial" w:hAnsi="Arial"/>
          <w:w w:val="105"/>
          <w:sz w:val="19"/>
        </w:rPr>
        <w:t>under</w:t>
      </w:r>
      <w:r>
        <w:rPr>
          <w:rFonts w:ascii="Arial" w:hAnsi="Arial"/>
          <w:spacing w:val="-10"/>
          <w:w w:val="105"/>
          <w:sz w:val="19"/>
        </w:rPr>
        <w:t xml:space="preserve"> </w:t>
      </w:r>
      <w:r>
        <w:rPr>
          <w:rFonts w:ascii="Arial" w:hAnsi="Arial"/>
          <w:w w:val="105"/>
          <w:sz w:val="19"/>
        </w:rPr>
        <w:t>law.</w:t>
      </w:r>
    </w:p>
    <w:p w:rsidR="007D76BB" w:rsidRDefault="00D70D28">
      <w:pPr>
        <w:spacing w:before="180" w:line="264" w:lineRule="auto"/>
        <w:ind w:left="482" w:right="888"/>
        <w:rPr>
          <w:rFonts w:ascii="Arial" w:hAnsi="Arial"/>
          <w:sz w:val="11"/>
        </w:rPr>
      </w:pPr>
      <w:r>
        <w:rPr>
          <w:rFonts w:ascii="Arial" w:hAnsi="Arial"/>
          <w:w w:val="105"/>
          <w:sz w:val="19"/>
        </w:rPr>
        <w:t xml:space="preserve">The TGA’s proposed regulatory clarification aims to establish greater clarity around the </w:t>
      </w:r>
      <w:proofErr w:type="spellStart"/>
      <w:r>
        <w:rPr>
          <w:rFonts w:ascii="Arial" w:hAnsi="Arial"/>
          <w:w w:val="105"/>
          <w:sz w:val="19"/>
        </w:rPr>
        <w:t>categorisation</w:t>
      </w:r>
      <w:proofErr w:type="spellEnd"/>
      <w:r>
        <w:rPr>
          <w:rFonts w:ascii="Arial" w:hAnsi="Arial"/>
          <w:spacing w:val="-23"/>
          <w:w w:val="105"/>
          <w:sz w:val="19"/>
        </w:rPr>
        <w:t xml:space="preserve"> </w:t>
      </w:r>
      <w:r>
        <w:rPr>
          <w:rFonts w:ascii="Arial" w:hAnsi="Arial"/>
          <w:w w:val="105"/>
          <w:sz w:val="19"/>
        </w:rPr>
        <w:t>and</w:t>
      </w:r>
      <w:r>
        <w:rPr>
          <w:rFonts w:ascii="Arial" w:hAnsi="Arial"/>
          <w:spacing w:val="-24"/>
          <w:w w:val="105"/>
          <w:sz w:val="19"/>
        </w:rPr>
        <w:t xml:space="preserve"> </w:t>
      </w:r>
      <w:r>
        <w:rPr>
          <w:rFonts w:ascii="Arial" w:hAnsi="Arial"/>
          <w:w w:val="105"/>
          <w:sz w:val="19"/>
        </w:rPr>
        <w:t>regulation</w:t>
      </w:r>
      <w:r>
        <w:rPr>
          <w:rFonts w:ascii="Arial" w:hAnsi="Arial"/>
          <w:spacing w:val="-22"/>
          <w:w w:val="105"/>
          <w:sz w:val="19"/>
        </w:rPr>
        <w:t xml:space="preserve"> </w:t>
      </w:r>
      <w:r>
        <w:rPr>
          <w:rFonts w:ascii="Arial" w:hAnsi="Arial"/>
          <w:w w:val="105"/>
          <w:sz w:val="19"/>
        </w:rPr>
        <w:t>of</w:t>
      </w:r>
      <w:r>
        <w:rPr>
          <w:rFonts w:ascii="Arial" w:hAnsi="Arial"/>
          <w:spacing w:val="-24"/>
          <w:w w:val="105"/>
          <w:sz w:val="19"/>
        </w:rPr>
        <w:t xml:space="preserve"> </w:t>
      </w:r>
      <w:r>
        <w:rPr>
          <w:rFonts w:ascii="Arial" w:hAnsi="Arial"/>
          <w:w w:val="105"/>
          <w:sz w:val="19"/>
        </w:rPr>
        <w:t>sports</w:t>
      </w:r>
      <w:r>
        <w:rPr>
          <w:rFonts w:ascii="Arial" w:hAnsi="Arial"/>
          <w:spacing w:val="-26"/>
          <w:w w:val="105"/>
          <w:sz w:val="19"/>
        </w:rPr>
        <w:t xml:space="preserve"> </w:t>
      </w:r>
      <w:r>
        <w:rPr>
          <w:rFonts w:ascii="Arial" w:hAnsi="Arial"/>
          <w:w w:val="105"/>
          <w:sz w:val="19"/>
        </w:rPr>
        <w:t>supplements.</w:t>
      </w:r>
      <w:r>
        <w:rPr>
          <w:rFonts w:ascii="Arial" w:hAnsi="Arial"/>
          <w:spacing w:val="-23"/>
          <w:w w:val="105"/>
          <w:sz w:val="19"/>
        </w:rPr>
        <w:t xml:space="preserve"> </w:t>
      </w:r>
      <w:r>
        <w:rPr>
          <w:rFonts w:ascii="Arial" w:hAnsi="Arial"/>
          <w:w w:val="105"/>
          <w:sz w:val="19"/>
        </w:rPr>
        <w:t>In</w:t>
      </w:r>
      <w:r>
        <w:rPr>
          <w:rFonts w:ascii="Arial" w:hAnsi="Arial"/>
          <w:spacing w:val="-24"/>
          <w:w w:val="105"/>
          <w:sz w:val="19"/>
        </w:rPr>
        <w:t xml:space="preserve"> </w:t>
      </w:r>
      <w:r>
        <w:rPr>
          <w:rFonts w:ascii="Arial" w:hAnsi="Arial"/>
          <w:w w:val="105"/>
          <w:sz w:val="19"/>
        </w:rPr>
        <w:t>October</w:t>
      </w:r>
      <w:r>
        <w:rPr>
          <w:rFonts w:ascii="Arial" w:hAnsi="Arial"/>
          <w:spacing w:val="-23"/>
          <w:w w:val="105"/>
          <w:sz w:val="19"/>
        </w:rPr>
        <w:t xml:space="preserve"> </w:t>
      </w:r>
      <w:r>
        <w:rPr>
          <w:rFonts w:ascii="Arial" w:hAnsi="Arial"/>
          <w:w w:val="105"/>
          <w:sz w:val="19"/>
        </w:rPr>
        <w:t>2019,</w:t>
      </w:r>
      <w:r>
        <w:rPr>
          <w:rFonts w:ascii="Arial" w:hAnsi="Arial"/>
          <w:spacing w:val="-23"/>
          <w:w w:val="105"/>
          <w:sz w:val="19"/>
        </w:rPr>
        <w:t xml:space="preserve"> </w:t>
      </w:r>
      <w:r>
        <w:rPr>
          <w:rFonts w:ascii="Arial" w:hAnsi="Arial"/>
          <w:w w:val="105"/>
          <w:sz w:val="19"/>
        </w:rPr>
        <w:t>the</w:t>
      </w:r>
      <w:r>
        <w:rPr>
          <w:rFonts w:ascii="Arial" w:hAnsi="Arial"/>
          <w:spacing w:val="-25"/>
          <w:w w:val="105"/>
          <w:sz w:val="19"/>
        </w:rPr>
        <w:t xml:space="preserve"> </w:t>
      </w:r>
      <w:r>
        <w:rPr>
          <w:rFonts w:ascii="Arial" w:hAnsi="Arial"/>
          <w:w w:val="105"/>
          <w:sz w:val="19"/>
        </w:rPr>
        <w:t>TGA</w:t>
      </w:r>
      <w:r>
        <w:rPr>
          <w:rFonts w:ascii="Arial" w:hAnsi="Arial"/>
          <w:spacing w:val="-23"/>
          <w:w w:val="105"/>
          <w:sz w:val="19"/>
        </w:rPr>
        <w:t xml:space="preserve"> </w:t>
      </w:r>
      <w:r>
        <w:rPr>
          <w:rFonts w:ascii="Arial" w:hAnsi="Arial"/>
          <w:w w:val="105"/>
          <w:sz w:val="19"/>
        </w:rPr>
        <w:t>released</w:t>
      </w:r>
      <w:r>
        <w:rPr>
          <w:rFonts w:ascii="Arial" w:hAnsi="Arial"/>
          <w:spacing w:val="-24"/>
          <w:w w:val="105"/>
          <w:sz w:val="19"/>
        </w:rPr>
        <w:t xml:space="preserve"> </w:t>
      </w:r>
      <w:r>
        <w:rPr>
          <w:rFonts w:ascii="Arial" w:hAnsi="Arial"/>
          <w:w w:val="105"/>
          <w:sz w:val="19"/>
        </w:rPr>
        <w:t>a</w:t>
      </w:r>
      <w:r>
        <w:rPr>
          <w:rFonts w:ascii="Arial" w:hAnsi="Arial"/>
          <w:spacing w:val="-23"/>
          <w:w w:val="105"/>
          <w:sz w:val="19"/>
        </w:rPr>
        <w:t xml:space="preserve"> </w:t>
      </w:r>
      <w:r>
        <w:rPr>
          <w:rFonts w:ascii="Arial" w:hAnsi="Arial"/>
          <w:w w:val="105"/>
          <w:sz w:val="19"/>
        </w:rPr>
        <w:t>public consultation paper outlining the proposed regulatory clarification. This clarification entailed pre- market quality and safety assessments (largely via self-assessment by the sponsor), stricter evidentiary</w:t>
      </w:r>
      <w:r>
        <w:rPr>
          <w:rFonts w:ascii="Arial" w:hAnsi="Arial"/>
          <w:spacing w:val="-26"/>
          <w:w w:val="105"/>
          <w:sz w:val="19"/>
        </w:rPr>
        <w:t xml:space="preserve"> </w:t>
      </w:r>
      <w:r>
        <w:rPr>
          <w:rFonts w:ascii="Arial" w:hAnsi="Arial"/>
          <w:w w:val="105"/>
          <w:sz w:val="19"/>
        </w:rPr>
        <w:t>requirements</w:t>
      </w:r>
      <w:r>
        <w:rPr>
          <w:rFonts w:ascii="Arial" w:hAnsi="Arial"/>
          <w:spacing w:val="-22"/>
          <w:w w:val="105"/>
          <w:sz w:val="19"/>
        </w:rPr>
        <w:t xml:space="preserve"> </w:t>
      </w:r>
      <w:r>
        <w:rPr>
          <w:rFonts w:ascii="Arial" w:hAnsi="Arial"/>
          <w:w w:val="105"/>
          <w:sz w:val="19"/>
        </w:rPr>
        <w:t>for</w:t>
      </w:r>
      <w:r>
        <w:rPr>
          <w:rFonts w:ascii="Arial" w:hAnsi="Arial"/>
          <w:spacing w:val="-26"/>
          <w:w w:val="105"/>
          <w:sz w:val="19"/>
        </w:rPr>
        <w:t xml:space="preserve"> </w:t>
      </w:r>
      <w:r>
        <w:rPr>
          <w:rFonts w:ascii="Arial" w:hAnsi="Arial"/>
          <w:w w:val="105"/>
          <w:sz w:val="19"/>
        </w:rPr>
        <w:t>therapeutic</w:t>
      </w:r>
      <w:r>
        <w:rPr>
          <w:rFonts w:ascii="Arial" w:hAnsi="Arial"/>
          <w:spacing w:val="-24"/>
          <w:w w:val="105"/>
          <w:sz w:val="19"/>
        </w:rPr>
        <w:t xml:space="preserve"> </w:t>
      </w:r>
      <w:r>
        <w:rPr>
          <w:rFonts w:ascii="Arial" w:hAnsi="Arial"/>
          <w:w w:val="105"/>
          <w:sz w:val="19"/>
        </w:rPr>
        <w:t>claims,</w:t>
      </w:r>
      <w:r>
        <w:rPr>
          <w:rFonts w:ascii="Arial" w:hAnsi="Arial"/>
          <w:spacing w:val="-26"/>
          <w:w w:val="105"/>
          <w:sz w:val="19"/>
        </w:rPr>
        <w:t xml:space="preserve"> </w:t>
      </w:r>
      <w:r>
        <w:rPr>
          <w:rFonts w:ascii="Arial" w:hAnsi="Arial"/>
          <w:w w:val="105"/>
          <w:sz w:val="19"/>
        </w:rPr>
        <w:t>revised</w:t>
      </w:r>
      <w:r>
        <w:rPr>
          <w:rFonts w:ascii="Arial" w:hAnsi="Arial"/>
          <w:spacing w:val="-26"/>
          <w:w w:val="105"/>
          <w:sz w:val="19"/>
        </w:rPr>
        <w:t xml:space="preserve"> </w:t>
      </w:r>
      <w:r>
        <w:rPr>
          <w:rFonts w:ascii="Arial" w:hAnsi="Arial"/>
          <w:w w:val="105"/>
          <w:sz w:val="19"/>
        </w:rPr>
        <w:t>advertising</w:t>
      </w:r>
      <w:r>
        <w:rPr>
          <w:rFonts w:ascii="Arial" w:hAnsi="Arial"/>
          <w:spacing w:val="-25"/>
          <w:w w:val="105"/>
          <w:sz w:val="19"/>
        </w:rPr>
        <w:t xml:space="preserve"> </w:t>
      </w:r>
      <w:r>
        <w:rPr>
          <w:rFonts w:ascii="Arial" w:hAnsi="Arial"/>
          <w:w w:val="105"/>
          <w:sz w:val="19"/>
        </w:rPr>
        <w:t>and</w:t>
      </w:r>
      <w:r>
        <w:rPr>
          <w:rFonts w:ascii="Arial" w:hAnsi="Arial"/>
          <w:spacing w:val="-25"/>
          <w:w w:val="105"/>
          <w:sz w:val="19"/>
        </w:rPr>
        <w:t xml:space="preserve"> </w:t>
      </w:r>
      <w:r>
        <w:rPr>
          <w:rFonts w:ascii="Arial" w:hAnsi="Arial"/>
          <w:w w:val="105"/>
          <w:sz w:val="19"/>
        </w:rPr>
        <w:t>labelling,</w:t>
      </w:r>
      <w:r>
        <w:rPr>
          <w:rFonts w:ascii="Arial" w:hAnsi="Arial"/>
          <w:spacing w:val="-25"/>
          <w:w w:val="105"/>
          <w:sz w:val="19"/>
        </w:rPr>
        <w:t xml:space="preserve"> </w:t>
      </w:r>
      <w:r>
        <w:rPr>
          <w:rFonts w:ascii="Arial" w:hAnsi="Arial"/>
          <w:w w:val="105"/>
          <w:sz w:val="19"/>
        </w:rPr>
        <w:t>appropriate</w:t>
      </w:r>
      <w:r>
        <w:rPr>
          <w:rFonts w:ascii="Arial" w:hAnsi="Arial"/>
          <w:spacing w:val="-25"/>
          <w:w w:val="105"/>
          <w:sz w:val="19"/>
        </w:rPr>
        <w:t xml:space="preserve"> </w:t>
      </w:r>
      <w:r>
        <w:rPr>
          <w:rFonts w:ascii="Arial" w:hAnsi="Arial"/>
          <w:w w:val="105"/>
          <w:sz w:val="19"/>
        </w:rPr>
        <w:t>use of</w:t>
      </w:r>
      <w:r>
        <w:rPr>
          <w:rFonts w:ascii="Arial" w:hAnsi="Arial"/>
          <w:spacing w:val="-21"/>
          <w:w w:val="105"/>
          <w:sz w:val="19"/>
        </w:rPr>
        <w:t xml:space="preserve"> </w:t>
      </w:r>
      <w:r>
        <w:rPr>
          <w:rFonts w:ascii="Arial" w:hAnsi="Arial"/>
          <w:w w:val="105"/>
          <w:sz w:val="19"/>
        </w:rPr>
        <w:t>ingredients</w:t>
      </w:r>
      <w:r>
        <w:rPr>
          <w:rFonts w:ascii="Arial" w:hAnsi="Arial"/>
          <w:spacing w:val="-18"/>
          <w:w w:val="105"/>
          <w:sz w:val="19"/>
        </w:rPr>
        <w:t xml:space="preserve"> </w:t>
      </w:r>
      <w:r>
        <w:rPr>
          <w:rFonts w:ascii="Arial" w:hAnsi="Arial"/>
          <w:w w:val="105"/>
          <w:sz w:val="19"/>
        </w:rPr>
        <w:t>(in</w:t>
      </w:r>
      <w:r>
        <w:rPr>
          <w:rFonts w:ascii="Arial" w:hAnsi="Arial"/>
          <w:spacing w:val="-20"/>
          <w:w w:val="105"/>
          <w:sz w:val="19"/>
        </w:rPr>
        <w:t xml:space="preserve"> </w:t>
      </w:r>
      <w:r>
        <w:rPr>
          <w:rFonts w:ascii="Arial" w:hAnsi="Arial"/>
          <w:w w:val="105"/>
          <w:sz w:val="19"/>
        </w:rPr>
        <w:t>relation</w:t>
      </w:r>
      <w:r>
        <w:rPr>
          <w:rFonts w:ascii="Arial" w:hAnsi="Arial"/>
          <w:spacing w:val="-20"/>
          <w:w w:val="105"/>
          <w:sz w:val="19"/>
        </w:rPr>
        <w:t xml:space="preserve"> </w:t>
      </w:r>
      <w:r>
        <w:rPr>
          <w:rFonts w:ascii="Arial" w:hAnsi="Arial"/>
          <w:w w:val="105"/>
          <w:sz w:val="19"/>
        </w:rPr>
        <w:t>to</w:t>
      </w:r>
      <w:r>
        <w:rPr>
          <w:rFonts w:ascii="Arial" w:hAnsi="Arial"/>
          <w:spacing w:val="-21"/>
          <w:w w:val="105"/>
          <w:sz w:val="19"/>
        </w:rPr>
        <w:t xml:space="preserve"> </w:t>
      </w:r>
      <w:r>
        <w:rPr>
          <w:rFonts w:ascii="Arial" w:hAnsi="Arial"/>
          <w:w w:val="105"/>
          <w:sz w:val="19"/>
        </w:rPr>
        <w:t>substance</w:t>
      </w:r>
      <w:r>
        <w:rPr>
          <w:rFonts w:ascii="Arial" w:hAnsi="Arial"/>
          <w:spacing w:val="-19"/>
          <w:w w:val="105"/>
          <w:sz w:val="19"/>
        </w:rPr>
        <w:t xml:space="preserve"> </w:t>
      </w:r>
      <w:r>
        <w:rPr>
          <w:rFonts w:ascii="Arial" w:hAnsi="Arial"/>
          <w:w w:val="105"/>
          <w:sz w:val="19"/>
        </w:rPr>
        <w:t>and</w:t>
      </w:r>
      <w:r>
        <w:rPr>
          <w:rFonts w:ascii="Arial" w:hAnsi="Arial"/>
          <w:spacing w:val="-20"/>
          <w:w w:val="105"/>
          <w:sz w:val="19"/>
        </w:rPr>
        <w:t xml:space="preserve"> </w:t>
      </w:r>
      <w:r>
        <w:rPr>
          <w:rFonts w:ascii="Arial" w:hAnsi="Arial"/>
          <w:w w:val="105"/>
          <w:sz w:val="19"/>
        </w:rPr>
        <w:t>quality)</w:t>
      </w:r>
      <w:r>
        <w:rPr>
          <w:rFonts w:ascii="Arial" w:hAnsi="Arial"/>
          <w:spacing w:val="-19"/>
          <w:w w:val="105"/>
          <w:sz w:val="19"/>
        </w:rPr>
        <w:t xml:space="preserve"> </w:t>
      </w:r>
      <w:r>
        <w:rPr>
          <w:rFonts w:ascii="Arial" w:hAnsi="Arial"/>
          <w:w w:val="105"/>
          <w:sz w:val="19"/>
        </w:rPr>
        <w:t>and</w:t>
      </w:r>
      <w:r>
        <w:rPr>
          <w:rFonts w:ascii="Arial" w:hAnsi="Arial"/>
          <w:spacing w:val="-20"/>
          <w:w w:val="105"/>
          <w:sz w:val="19"/>
        </w:rPr>
        <w:t xml:space="preserve"> </w:t>
      </w:r>
      <w:r>
        <w:rPr>
          <w:rFonts w:ascii="Arial" w:hAnsi="Arial"/>
          <w:w w:val="105"/>
          <w:sz w:val="19"/>
        </w:rPr>
        <w:t>ongoing</w:t>
      </w:r>
      <w:r>
        <w:rPr>
          <w:rFonts w:ascii="Arial" w:hAnsi="Arial"/>
          <w:spacing w:val="-20"/>
          <w:w w:val="105"/>
          <w:sz w:val="19"/>
        </w:rPr>
        <w:t xml:space="preserve"> </w:t>
      </w:r>
      <w:r>
        <w:rPr>
          <w:rFonts w:ascii="Arial" w:hAnsi="Arial"/>
          <w:w w:val="105"/>
          <w:sz w:val="19"/>
        </w:rPr>
        <w:t>regulatory</w:t>
      </w:r>
      <w:r>
        <w:rPr>
          <w:rFonts w:ascii="Arial" w:hAnsi="Arial"/>
          <w:spacing w:val="-21"/>
          <w:w w:val="105"/>
          <w:sz w:val="19"/>
        </w:rPr>
        <w:t xml:space="preserve"> </w:t>
      </w:r>
      <w:r>
        <w:rPr>
          <w:rFonts w:ascii="Arial" w:hAnsi="Arial"/>
          <w:w w:val="105"/>
          <w:sz w:val="19"/>
        </w:rPr>
        <w:t>oversight</w:t>
      </w:r>
      <w:r>
        <w:rPr>
          <w:rFonts w:ascii="Arial" w:hAnsi="Arial"/>
          <w:spacing w:val="-20"/>
          <w:w w:val="105"/>
          <w:sz w:val="19"/>
        </w:rPr>
        <w:t xml:space="preserve"> </w:t>
      </w:r>
      <w:r>
        <w:rPr>
          <w:rFonts w:ascii="Arial" w:hAnsi="Arial"/>
          <w:w w:val="105"/>
          <w:sz w:val="19"/>
        </w:rPr>
        <w:t>by</w:t>
      </w:r>
      <w:r>
        <w:rPr>
          <w:rFonts w:ascii="Arial" w:hAnsi="Arial"/>
          <w:spacing w:val="-19"/>
          <w:w w:val="105"/>
          <w:sz w:val="19"/>
        </w:rPr>
        <w:t xml:space="preserve"> </w:t>
      </w:r>
      <w:r>
        <w:rPr>
          <w:rFonts w:ascii="Arial" w:hAnsi="Arial"/>
          <w:w w:val="105"/>
          <w:sz w:val="19"/>
        </w:rPr>
        <w:t>the</w:t>
      </w:r>
      <w:r>
        <w:rPr>
          <w:rFonts w:ascii="Arial" w:hAnsi="Arial"/>
          <w:spacing w:val="-20"/>
          <w:w w:val="105"/>
          <w:sz w:val="19"/>
        </w:rPr>
        <w:t xml:space="preserve"> </w:t>
      </w:r>
      <w:r>
        <w:rPr>
          <w:rFonts w:ascii="Arial" w:hAnsi="Arial"/>
          <w:w w:val="105"/>
          <w:sz w:val="19"/>
        </w:rPr>
        <w:t>TGA. The proposed clarification generated a fair amount of concern in the sports supplements sector, resulting</w:t>
      </w:r>
      <w:r>
        <w:rPr>
          <w:rFonts w:ascii="Arial" w:hAnsi="Arial"/>
          <w:spacing w:val="-32"/>
          <w:w w:val="105"/>
          <w:sz w:val="19"/>
        </w:rPr>
        <w:t xml:space="preserve"> </w:t>
      </w:r>
      <w:r>
        <w:rPr>
          <w:rFonts w:ascii="Arial" w:hAnsi="Arial"/>
          <w:w w:val="105"/>
          <w:sz w:val="19"/>
        </w:rPr>
        <w:t>in</w:t>
      </w:r>
      <w:r>
        <w:rPr>
          <w:rFonts w:ascii="Arial" w:hAnsi="Arial"/>
          <w:spacing w:val="-32"/>
          <w:w w:val="105"/>
          <w:sz w:val="19"/>
        </w:rPr>
        <w:t xml:space="preserve"> </w:t>
      </w:r>
      <w:r>
        <w:rPr>
          <w:rFonts w:ascii="Arial" w:hAnsi="Arial"/>
          <w:w w:val="105"/>
          <w:sz w:val="19"/>
        </w:rPr>
        <w:t>considerable</w:t>
      </w:r>
      <w:r>
        <w:rPr>
          <w:rFonts w:ascii="Arial" w:hAnsi="Arial"/>
          <w:spacing w:val="-32"/>
          <w:w w:val="105"/>
          <w:sz w:val="19"/>
        </w:rPr>
        <w:t xml:space="preserve"> </w:t>
      </w:r>
      <w:r>
        <w:rPr>
          <w:rFonts w:ascii="Arial" w:hAnsi="Arial"/>
          <w:w w:val="105"/>
          <w:sz w:val="19"/>
        </w:rPr>
        <w:t>media</w:t>
      </w:r>
      <w:r>
        <w:rPr>
          <w:rFonts w:ascii="Arial" w:hAnsi="Arial"/>
          <w:spacing w:val="-30"/>
          <w:w w:val="105"/>
          <w:sz w:val="19"/>
        </w:rPr>
        <w:t xml:space="preserve"> </w:t>
      </w:r>
      <w:r>
        <w:rPr>
          <w:rFonts w:ascii="Arial" w:hAnsi="Arial"/>
          <w:w w:val="105"/>
          <w:sz w:val="19"/>
        </w:rPr>
        <w:t>attention</w:t>
      </w:r>
      <w:r>
        <w:rPr>
          <w:rFonts w:ascii="Arial" w:hAnsi="Arial"/>
          <w:spacing w:val="-31"/>
          <w:w w:val="105"/>
          <w:sz w:val="19"/>
        </w:rPr>
        <w:t xml:space="preserve"> </w:t>
      </w:r>
      <w:r>
        <w:rPr>
          <w:rFonts w:ascii="Arial" w:hAnsi="Arial"/>
          <w:w w:val="105"/>
          <w:sz w:val="19"/>
        </w:rPr>
        <w:t>and</w:t>
      </w:r>
      <w:r>
        <w:rPr>
          <w:rFonts w:ascii="Arial" w:hAnsi="Arial"/>
          <w:spacing w:val="-32"/>
          <w:w w:val="105"/>
          <w:sz w:val="19"/>
        </w:rPr>
        <w:t xml:space="preserve"> </w:t>
      </w:r>
      <w:r>
        <w:rPr>
          <w:rFonts w:ascii="Arial" w:hAnsi="Arial"/>
          <w:w w:val="105"/>
          <w:sz w:val="19"/>
        </w:rPr>
        <w:t>public</w:t>
      </w:r>
      <w:r>
        <w:rPr>
          <w:rFonts w:ascii="Arial" w:hAnsi="Arial"/>
          <w:spacing w:val="-31"/>
          <w:w w:val="105"/>
          <w:sz w:val="19"/>
        </w:rPr>
        <w:t xml:space="preserve"> </w:t>
      </w:r>
      <w:r>
        <w:rPr>
          <w:rFonts w:ascii="Arial" w:hAnsi="Arial"/>
          <w:w w:val="105"/>
          <w:sz w:val="19"/>
        </w:rPr>
        <w:t>response.</w:t>
      </w:r>
      <w:r>
        <w:rPr>
          <w:rFonts w:ascii="Arial" w:hAnsi="Arial"/>
          <w:spacing w:val="-30"/>
          <w:w w:val="105"/>
          <w:sz w:val="19"/>
        </w:rPr>
        <w:t xml:space="preserve"> </w:t>
      </w:r>
      <w:r>
        <w:rPr>
          <w:rFonts w:ascii="Arial" w:hAnsi="Arial"/>
          <w:w w:val="105"/>
          <w:sz w:val="19"/>
        </w:rPr>
        <w:t>One</w:t>
      </w:r>
      <w:r>
        <w:rPr>
          <w:rFonts w:ascii="Arial" w:hAnsi="Arial"/>
          <w:spacing w:val="-32"/>
          <w:w w:val="105"/>
          <w:sz w:val="19"/>
        </w:rPr>
        <w:t xml:space="preserve"> </w:t>
      </w:r>
      <w:r>
        <w:rPr>
          <w:rFonts w:ascii="Arial" w:hAnsi="Arial"/>
          <w:w w:val="105"/>
          <w:sz w:val="19"/>
        </w:rPr>
        <w:t>such</w:t>
      </w:r>
      <w:r>
        <w:rPr>
          <w:rFonts w:ascii="Arial" w:hAnsi="Arial"/>
          <w:spacing w:val="-31"/>
          <w:w w:val="105"/>
          <w:sz w:val="19"/>
        </w:rPr>
        <w:t xml:space="preserve"> </w:t>
      </w:r>
      <w:r>
        <w:rPr>
          <w:rFonts w:ascii="Arial" w:hAnsi="Arial"/>
          <w:w w:val="105"/>
          <w:sz w:val="19"/>
        </w:rPr>
        <w:t>response</w:t>
      </w:r>
      <w:r>
        <w:rPr>
          <w:rFonts w:ascii="Arial" w:hAnsi="Arial"/>
          <w:spacing w:val="-31"/>
          <w:w w:val="105"/>
          <w:sz w:val="19"/>
        </w:rPr>
        <w:t xml:space="preserve"> </w:t>
      </w:r>
      <w:r>
        <w:rPr>
          <w:rFonts w:ascii="Arial" w:hAnsi="Arial"/>
          <w:w w:val="105"/>
          <w:sz w:val="19"/>
        </w:rPr>
        <w:t>was</w:t>
      </w:r>
      <w:r>
        <w:rPr>
          <w:rFonts w:ascii="Arial" w:hAnsi="Arial"/>
          <w:spacing w:val="-32"/>
          <w:w w:val="105"/>
          <w:sz w:val="19"/>
        </w:rPr>
        <w:t xml:space="preserve"> </w:t>
      </w:r>
      <w:r>
        <w:rPr>
          <w:rFonts w:ascii="Arial" w:hAnsi="Arial"/>
          <w:w w:val="105"/>
          <w:sz w:val="19"/>
        </w:rPr>
        <w:t>the</w:t>
      </w:r>
      <w:r>
        <w:rPr>
          <w:rFonts w:ascii="Arial" w:hAnsi="Arial"/>
          <w:spacing w:val="-31"/>
          <w:w w:val="105"/>
          <w:sz w:val="19"/>
        </w:rPr>
        <w:t xml:space="preserve"> </w:t>
      </w:r>
      <w:r>
        <w:rPr>
          <w:rFonts w:ascii="Arial" w:hAnsi="Arial"/>
          <w:w w:val="105"/>
          <w:sz w:val="19"/>
        </w:rPr>
        <w:t>formation of</w:t>
      </w:r>
      <w:r>
        <w:rPr>
          <w:rFonts w:ascii="Arial" w:hAnsi="Arial"/>
          <w:spacing w:val="-29"/>
          <w:w w:val="105"/>
          <w:sz w:val="19"/>
        </w:rPr>
        <w:t xml:space="preserve"> </w:t>
      </w:r>
      <w:r>
        <w:rPr>
          <w:rFonts w:ascii="Arial" w:hAnsi="Arial"/>
          <w:w w:val="105"/>
          <w:sz w:val="19"/>
        </w:rPr>
        <w:t>a</w:t>
      </w:r>
      <w:r>
        <w:rPr>
          <w:rFonts w:ascii="Arial" w:hAnsi="Arial"/>
          <w:spacing w:val="-28"/>
          <w:w w:val="105"/>
          <w:sz w:val="19"/>
        </w:rPr>
        <w:t xml:space="preserve"> </w:t>
      </w:r>
      <w:r>
        <w:rPr>
          <w:rFonts w:ascii="Arial" w:hAnsi="Arial"/>
          <w:w w:val="105"/>
          <w:sz w:val="19"/>
        </w:rPr>
        <w:t>grass</w:t>
      </w:r>
      <w:r>
        <w:rPr>
          <w:rFonts w:ascii="Arial" w:hAnsi="Arial"/>
          <w:spacing w:val="-28"/>
          <w:w w:val="105"/>
          <w:sz w:val="19"/>
        </w:rPr>
        <w:t xml:space="preserve"> </w:t>
      </w:r>
      <w:r>
        <w:rPr>
          <w:rFonts w:ascii="Arial" w:hAnsi="Arial"/>
          <w:w w:val="105"/>
          <w:sz w:val="19"/>
        </w:rPr>
        <w:t>roots</w:t>
      </w:r>
      <w:r>
        <w:rPr>
          <w:rFonts w:ascii="Arial" w:hAnsi="Arial"/>
          <w:spacing w:val="-29"/>
          <w:w w:val="105"/>
          <w:sz w:val="19"/>
        </w:rPr>
        <w:t xml:space="preserve"> </w:t>
      </w:r>
      <w:r>
        <w:rPr>
          <w:rFonts w:ascii="Arial" w:hAnsi="Arial"/>
          <w:w w:val="105"/>
          <w:sz w:val="19"/>
        </w:rPr>
        <w:t>campaign</w:t>
      </w:r>
      <w:r>
        <w:rPr>
          <w:rFonts w:ascii="Arial" w:hAnsi="Arial"/>
          <w:spacing w:val="-29"/>
          <w:w w:val="105"/>
          <w:sz w:val="19"/>
        </w:rPr>
        <w:t xml:space="preserve"> </w:t>
      </w:r>
      <w:r>
        <w:rPr>
          <w:rFonts w:ascii="Arial" w:hAnsi="Arial"/>
          <w:w w:val="105"/>
          <w:sz w:val="19"/>
        </w:rPr>
        <w:t>‘Save</w:t>
      </w:r>
      <w:r>
        <w:rPr>
          <w:rFonts w:ascii="Arial" w:hAnsi="Arial"/>
          <w:spacing w:val="-27"/>
          <w:w w:val="105"/>
          <w:sz w:val="19"/>
        </w:rPr>
        <w:t xml:space="preserve"> </w:t>
      </w:r>
      <w:r>
        <w:rPr>
          <w:rFonts w:ascii="Arial" w:hAnsi="Arial"/>
          <w:w w:val="105"/>
          <w:sz w:val="19"/>
        </w:rPr>
        <w:t>Aussie</w:t>
      </w:r>
      <w:r>
        <w:rPr>
          <w:rFonts w:ascii="Arial" w:hAnsi="Arial"/>
          <w:spacing w:val="-29"/>
          <w:w w:val="105"/>
          <w:sz w:val="19"/>
        </w:rPr>
        <w:t xml:space="preserve"> </w:t>
      </w:r>
      <w:r>
        <w:rPr>
          <w:rFonts w:ascii="Arial" w:hAnsi="Arial"/>
          <w:w w:val="105"/>
          <w:sz w:val="19"/>
        </w:rPr>
        <w:t>Supplements’,</w:t>
      </w:r>
      <w:r>
        <w:rPr>
          <w:rFonts w:ascii="Arial" w:hAnsi="Arial"/>
          <w:spacing w:val="-27"/>
          <w:w w:val="105"/>
          <w:sz w:val="19"/>
        </w:rPr>
        <w:t xml:space="preserve"> </w:t>
      </w:r>
      <w:r>
        <w:rPr>
          <w:rFonts w:ascii="Arial" w:hAnsi="Arial"/>
          <w:w w:val="105"/>
          <w:sz w:val="19"/>
        </w:rPr>
        <w:t>which</w:t>
      </w:r>
      <w:r>
        <w:rPr>
          <w:rFonts w:ascii="Arial" w:hAnsi="Arial"/>
          <w:spacing w:val="-28"/>
          <w:w w:val="105"/>
          <w:sz w:val="19"/>
        </w:rPr>
        <w:t xml:space="preserve"> </w:t>
      </w:r>
      <w:r>
        <w:rPr>
          <w:rFonts w:ascii="Arial" w:hAnsi="Arial"/>
          <w:w w:val="105"/>
          <w:sz w:val="19"/>
        </w:rPr>
        <w:t>pushed</w:t>
      </w:r>
      <w:r>
        <w:rPr>
          <w:rFonts w:ascii="Arial" w:hAnsi="Arial"/>
          <w:spacing w:val="-29"/>
          <w:w w:val="105"/>
          <w:sz w:val="19"/>
        </w:rPr>
        <w:t xml:space="preserve"> </w:t>
      </w:r>
      <w:r>
        <w:rPr>
          <w:rFonts w:ascii="Arial" w:hAnsi="Arial"/>
          <w:w w:val="105"/>
          <w:sz w:val="19"/>
        </w:rPr>
        <w:t>for</w:t>
      </w:r>
      <w:r>
        <w:rPr>
          <w:rFonts w:ascii="Arial" w:hAnsi="Arial"/>
          <w:spacing w:val="-27"/>
          <w:w w:val="105"/>
          <w:sz w:val="19"/>
        </w:rPr>
        <w:t xml:space="preserve"> </w:t>
      </w:r>
      <w:r>
        <w:rPr>
          <w:rFonts w:ascii="Arial" w:hAnsi="Arial"/>
          <w:w w:val="105"/>
          <w:sz w:val="19"/>
        </w:rPr>
        <w:t>more</w:t>
      </w:r>
      <w:r>
        <w:rPr>
          <w:rFonts w:ascii="Arial" w:hAnsi="Arial"/>
          <w:spacing w:val="-29"/>
          <w:w w:val="105"/>
          <w:sz w:val="19"/>
        </w:rPr>
        <w:t xml:space="preserve"> </w:t>
      </w:r>
      <w:r>
        <w:rPr>
          <w:rFonts w:ascii="Arial" w:hAnsi="Arial"/>
          <w:w w:val="105"/>
          <w:sz w:val="19"/>
        </w:rPr>
        <w:t>consultation</w:t>
      </w:r>
      <w:r>
        <w:rPr>
          <w:rFonts w:ascii="Arial" w:hAnsi="Arial"/>
          <w:spacing w:val="-28"/>
          <w:w w:val="105"/>
          <w:sz w:val="19"/>
        </w:rPr>
        <w:t xml:space="preserve"> </w:t>
      </w:r>
      <w:r>
        <w:rPr>
          <w:rFonts w:ascii="Arial" w:hAnsi="Arial"/>
          <w:w w:val="105"/>
          <w:sz w:val="19"/>
        </w:rPr>
        <w:t>around the proposed clarification (the campaign had collected 14,000 signatures in support by mid- December</w:t>
      </w:r>
      <w:r>
        <w:rPr>
          <w:rFonts w:ascii="Arial" w:hAnsi="Arial"/>
          <w:spacing w:val="-27"/>
          <w:w w:val="105"/>
          <w:sz w:val="19"/>
        </w:rPr>
        <w:t xml:space="preserve"> </w:t>
      </w:r>
      <w:r>
        <w:rPr>
          <w:rFonts w:ascii="Arial" w:hAnsi="Arial"/>
          <w:w w:val="105"/>
          <w:sz w:val="19"/>
        </w:rPr>
        <w:t>2019).</w:t>
      </w:r>
      <w:r>
        <w:rPr>
          <w:rFonts w:ascii="Arial" w:hAnsi="Arial"/>
          <w:spacing w:val="-26"/>
          <w:w w:val="105"/>
          <w:sz w:val="19"/>
        </w:rPr>
        <w:t xml:space="preserve"> </w:t>
      </w:r>
      <w:r>
        <w:rPr>
          <w:rFonts w:ascii="Arial" w:hAnsi="Arial"/>
          <w:w w:val="105"/>
          <w:sz w:val="19"/>
        </w:rPr>
        <w:t>The</w:t>
      </w:r>
      <w:r>
        <w:rPr>
          <w:rFonts w:ascii="Arial" w:hAnsi="Arial"/>
          <w:spacing w:val="-27"/>
          <w:w w:val="105"/>
          <w:sz w:val="19"/>
        </w:rPr>
        <w:t xml:space="preserve"> </w:t>
      </w:r>
      <w:r>
        <w:rPr>
          <w:rFonts w:ascii="Arial" w:hAnsi="Arial"/>
          <w:w w:val="105"/>
          <w:sz w:val="19"/>
        </w:rPr>
        <w:t>campaign</w:t>
      </w:r>
      <w:r>
        <w:rPr>
          <w:rFonts w:ascii="Arial" w:hAnsi="Arial"/>
          <w:spacing w:val="-26"/>
          <w:w w:val="105"/>
          <w:sz w:val="19"/>
        </w:rPr>
        <w:t xml:space="preserve"> </w:t>
      </w:r>
      <w:r>
        <w:rPr>
          <w:rFonts w:ascii="Arial" w:hAnsi="Arial"/>
          <w:w w:val="105"/>
          <w:sz w:val="19"/>
        </w:rPr>
        <w:t>made</w:t>
      </w:r>
      <w:r>
        <w:rPr>
          <w:rFonts w:ascii="Arial" w:hAnsi="Arial"/>
          <w:spacing w:val="-26"/>
          <w:w w:val="105"/>
          <w:sz w:val="19"/>
        </w:rPr>
        <w:t xml:space="preserve"> </w:t>
      </w:r>
      <w:r>
        <w:rPr>
          <w:rFonts w:ascii="Arial" w:hAnsi="Arial"/>
          <w:w w:val="105"/>
          <w:sz w:val="19"/>
        </w:rPr>
        <w:t>claims</w:t>
      </w:r>
      <w:r>
        <w:rPr>
          <w:rFonts w:ascii="Arial" w:hAnsi="Arial"/>
          <w:spacing w:val="-26"/>
          <w:w w:val="105"/>
          <w:sz w:val="19"/>
        </w:rPr>
        <w:t xml:space="preserve"> </w:t>
      </w:r>
      <w:r>
        <w:rPr>
          <w:rFonts w:ascii="Arial" w:hAnsi="Arial"/>
          <w:w w:val="105"/>
          <w:sz w:val="19"/>
        </w:rPr>
        <w:t>linking</w:t>
      </w:r>
      <w:r>
        <w:rPr>
          <w:rFonts w:ascii="Arial" w:hAnsi="Arial"/>
          <w:spacing w:val="-27"/>
          <w:w w:val="105"/>
          <w:sz w:val="19"/>
        </w:rPr>
        <w:t xml:space="preserve"> </w:t>
      </w:r>
      <w:r>
        <w:rPr>
          <w:rFonts w:ascii="Arial" w:hAnsi="Arial"/>
          <w:w w:val="105"/>
          <w:sz w:val="19"/>
        </w:rPr>
        <w:t>the</w:t>
      </w:r>
      <w:r>
        <w:rPr>
          <w:rFonts w:ascii="Arial" w:hAnsi="Arial"/>
          <w:spacing w:val="-24"/>
          <w:w w:val="105"/>
          <w:sz w:val="19"/>
        </w:rPr>
        <w:t xml:space="preserve"> </w:t>
      </w:r>
      <w:r>
        <w:rPr>
          <w:rFonts w:ascii="Arial" w:hAnsi="Arial"/>
          <w:w w:val="105"/>
          <w:sz w:val="19"/>
        </w:rPr>
        <w:t>clarification</w:t>
      </w:r>
      <w:r>
        <w:rPr>
          <w:rFonts w:ascii="Arial" w:hAnsi="Arial"/>
          <w:spacing w:val="-24"/>
          <w:w w:val="105"/>
          <w:sz w:val="19"/>
        </w:rPr>
        <w:t xml:space="preserve"> </w:t>
      </w:r>
      <w:r>
        <w:rPr>
          <w:rFonts w:ascii="Arial" w:hAnsi="Arial"/>
          <w:w w:val="105"/>
          <w:sz w:val="19"/>
        </w:rPr>
        <w:t>to</w:t>
      </w:r>
      <w:r>
        <w:rPr>
          <w:rFonts w:ascii="Arial" w:hAnsi="Arial"/>
          <w:spacing w:val="-28"/>
          <w:w w:val="105"/>
          <w:sz w:val="19"/>
        </w:rPr>
        <w:t xml:space="preserve"> </w:t>
      </w:r>
      <w:r>
        <w:rPr>
          <w:rFonts w:ascii="Arial" w:hAnsi="Arial"/>
          <w:w w:val="105"/>
          <w:sz w:val="19"/>
        </w:rPr>
        <w:t>the</w:t>
      </w:r>
      <w:r>
        <w:rPr>
          <w:rFonts w:ascii="Arial" w:hAnsi="Arial"/>
          <w:spacing w:val="-26"/>
          <w:w w:val="105"/>
          <w:sz w:val="19"/>
        </w:rPr>
        <w:t xml:space="preserve"> </w:t>
      </w:r>
      <w:r>
        <w:rPr>
          <w:rFonts w:ascii="Arial" w:hAnsi="Arial"/>
          <w:w w:val="105"/>
          <w:sz w:val="19"/>
        </w:rPr>
        <w:t>withdrawal</w:t>
      </w:r>
      <w:r>
        <w:rPr>
          <w:rFonts w:ascii="Arial" w:hAnsi="Arial"/>
          <w:spacing w:val="-27"/>
          <w:w w:val="105"/>
          <w:sz w:val="19"/>
        </w:rPr>
        <w:t xml:space="preserve"> </w:t>
      </w:r>
      <w:r>
        <w:rPr>
          <w:rFonts w:ascii="Arial" w:hAnsi="Arial"/>
          <w:w w:val="105"/>
          <w:sz w:val="19"/>
        </w:rPr>
        <w:t>from</w:t>
      </w:r>
      <w:r>
        <w:rPr>
          <w:rFonts w:ascii="Arial" w:hAnsi="Arial"/>
          <w:spacing w:val="-26"/>
          <w:w w:val="105"/>
          <w:sz w:val="19"/>
        </w:rPr>
        <w:t xml:space="preserve"> </w:t>
      </w:r>
      <w:r>
        <w:rPr>
          <w:rFonts w:ascii="Arial" w:hAnsi="Arial"/>
          <w:w w:val="105"/>
          <w:sz w:val="19"/>
        </w:rPr>
        <w:t>sale</w:t>
      </w:r>
      <w:r>
        <w:rPr>
          <w:rFonts w:ascii="Arial" w:hAnsi="Arial"/>
          <w:spacing w:val="-26"/>
          <w:w w:val="105"/>
          <w:sz w:val="19"/>
        </w:rPr>
        <w:t xml:space="preserve"> </w:t>
      </w:r>
      <w:r>
        <w:rPr>
          <w:rFonts w:ascii="Arial" w:hAnsi="Arial"/>
          <w:w w:val="105"/>
          <w:sz w:val="19"/>
        </w:rPr>
        <w:t>of</w:t>
      </w:r>
      <w:r>
        <w:rPr>
          <w:rFonts w:ascii="Arial" w:hAnsi="Arial"/>
          <w:spacing w:val="-27"/>
          <w:w w:val="105"/>
          <w:sz w:val="19"/>
        </w:rPr>
        <w:t xml:space="preserve"> </w:t>
      </w:r>
      <w:r>
        <w:rPr>
          <w:rFonts w:ascii="Arial" w:hAnsi="Arial"/>
          <w:w w:val="105"/>
          <w:sz w:val="19"/>
        </w:rPr>
        <w:t>a large</w:t>
      </w:r>
      <w:r>
        <w:rPr>
          <w:rFonts w:ascii="Arial" w:hAnsi="Arial"/>
          <w:spacing w:val="-17"/>
          <w:w w:val="105"/>
          <w:sz w:val="19"/>
        </w:rPr>
        <w:t xml:space="preserve"> </w:t>
      </w:r>
      <w:r>
        <w:rPr>
          <w:rFonts w:ascii="Arial" w:hAnsi="Arial"/>
          <w:w w:val="105"/>
          <w:sz w:val="19"/>
        </w:rPr>
        <w:t>number</w:t>
      </w:r>
      <w:r>
        <w:rPr>
          <w:rFonts w:ascii="Arial" w:hAnsi="Arial"/>
          <w:spacing w:val="-17"/>
          <w:w w:val="105"/>
          <w:sz w:val="19"/>
        </w:rPr>
        <w:t xml:space="preserve"> </w:t>
      </w:r>
      <w:r>
        <w:rPr>
          <w:rFonts w:ascii="Arial" w:hAnsi="Arial"/>
          <w:w w:val="105"/>
          <w:sz w:val="19"/>
        </w:rPr>
        <w:t>of</w:t>
      </w:r>
      <w:r>
        <w:rPr>
          <w:rFonts w:ascii="Arial" w:hAnsi="Arial"/>
          <w:spacing w:val="-21"/>
          <w:w w:val="105"/>
          <w:sz w:val="19"/>
        </w:rPr>
        <w:t xml:space="preserve"> </w:t>
      </w:r>
      <w:r>
        <w:rPr>
          <w:rFonts w:ascii="Arial" w:hAnsi="Arial"/>
          <w:w w:val="105"/>
          <w:sz w:val="19"/>
        </w:rPr>
        <w:t>products</w:t>
      </w:r>
      <w:r>
        <w:rPr>
          <w:rFonts w:ascii="Arial" w:hAnsi="Arial"/>
          <w:spacing w:val="-19"/>
          <w:w w:val="105"/>
          <w:sz w:val="19"/>
        </w:rPr>
        <w:t xml:space="preserve"> </w:t>
      </w:r>
      <w:r>
        <w:rPr>
          <w:rFonts w:ascii="Arial" w:hAnsi="Arial"/>
          <w:w w:val="105"/>
          <w:sz w:val="19"/>
        </w:rPr>
        <w:t>from</w:t>
      </w:r>
      <w:r>
        <w:rPr>
          <w:rFonts w:ascii="Arial" w:hAnsi="Arial"/>
          <w:spacing w:val="-18"/>
          <w:w w:val="105"/>
          <w:sz w:val="19"/>
        </w:rPr>
        <w:t xml:space="preserve"> </w:t>
      </w:r>
      <w:r>
        <w:rPr>
          <w:rFonts w:ascii="Arial" w:hAnsi="Arial"/>
          <w:w w:val="105"/>
          <w:sz w:val="19"/>
        </w:rPr>
        <w:t>the</w:t>
      </w:r>
      <w:r>
        <w:rPr>
          <w:rFonts w:ascii="Arial" w:hAnsi="Arial"/>
          <w:spacing w:val="-17"/>
          <w:w w:val="105"/>
          <w:sz w:val="19"/>
        </w:rPr>
        <w:t xml:space="preserve"> </w:t>
      </w:r>
      <w:r>
        <w:rPr>
          <w:rFonts w:ascii="Arial" w:hAnsi="Arial"/>
          <w:w w:val="105"/>
          <w:sz w:val="19"/>
        </w:rPr>
        <w:t>Australian</w:t>
      </w:r>
      <w:r>
        <w:rPr>
          <w:rFonts w:ascii="Arial" w:hAnsi="Arial"/>
          <w:spacing w:val="-18"/>
          <w:w w:val="105"/>
          <w:sz w:val="19"/>
        </w:rPr>
        <w:t xml:space="preserve"> </w:t>
      </w:r>
      <w:r>
        <w:rPr>
          <w:rFonts w:ascii="Arial" w:hAnsi="Arial"/>
          <w:w w:val="105"/>
          <w:sz w:val="19"/>
        </w:rPr>
        <w:t>market</w:t>
      </w:r>
      <w:r>
        <w:rPr>
          <w:rFonts w:ascii="Arial" w:hAnsi="Arial"/>
          <w:spacing w:val="-19"/>
          <w:w w:val="105"/>
          <w:sz w:val="19"/>
        </w:rPr>
        <w:t xml:space="preserve"> </w:t>
      </w:r>
      <w:r>
        <w:rPr>
          <w:rFonts w:ascii="Arial" w:hAnsi="Arial"/>
          <w:w w:val="105"/>
          <w:sz w:val="19"/>
        </w:rPr>
        <w:t>and</w:t>
      </w:r>
      <w:r>
        <w:rPr>
          <w:rFonts w:ascii="Arial" w:hAnsi="Arial"/>
          <w:spacing w:val="-20"/>
          <w:w w:val="105"/>
          <w:sz w:val="19"/>
        </w:rPr>
        <w:t xml:space="preserve"> </w:t>
      </w:r>
      <w:r>
        <w:rPr>
          <w:rFonts w:ascii="Arial" w:hAnsi="Arial"/>
          <w:w w:val="105"/>
          <w:sz w:val="19"/>
        </w:rPr>
        <w:t>the</w:t>
      </w:r>
      <w:r>
        <w:rPr>
          <w:rFonts w:ascii="Arial" w:hAnsi="Arial"/>
          <w:spacing w:val="-17"/>
          <w:w w:val="105"/>
          <w:sz w:val="19"/>
        </w:rPr>
        <w:t xml:space="preserve"> </w:t>
      </w:r>
      <w:r>
        <w:rPr>
          <w:rFonts w:ascii="Arial" w:hAnsi="Arial"/>
          <w:w w:val="105"/>
          <w:sz w:val="19"/>
        </w:rPr>
        <w:t>potential</w:t>
      </w:r>
      <w:r>
        <w:rPr>
          <w:rFonts w:ascii="Arial" w:hAnsi="Arial"/>
          <w:spacing w:val="-19"/>
          <w:w w:val="105"/>
          <w:sz w:val="19"/>
        </w:rPr>
        <w:t xml:space="preserve"> </w:t>
      </w:r>
      <w:r>
        <w:rPr>
          <w:rFonts w:ascii="Arial" w:hAnsi="Arial"/>
          <w:w w:val="105"/>
          <w:sz w:val="19"/>
        </w:rPr>
        <w:t>loss</w:t>
      </w:r>
      <w:r>
        <w:rPr>
          <w:rFonts w:ascii="Arial" w:hAnsi="Arial"/>
          <w:spacing w:val="-17"/>
          <w:w w:val="105"/>
          <w:sz w:val="19"/>
        </w:rPr>
        <w:t xml:space="preserve"> </w:t>
      </w:r>
      <w:r>
        <w:rPr>
          <w:rFonts w:ascii="Arial" w:hAnsi="Arial"/>
          <w:w w:val="105"/>
          <w:sz w:val="19"/>
        </w:rPr>
        <w:t>of</w:t>
      </w:r>
      <w:r>
        <w:rPr>
          <w:rFonts w:ascii="Arial" w:hAnsi="Arial"/>
          <w:spacing w:val="-19"/>
          <w:w w:val="105"/>
          <w:sz w:val="19"/>
        </w:rPr>
        <w:t xml:space="preserve"> </w:t>
      </w:r>
      <w:r>
        <w:rPr>
          <w:rFonts w:ascii="Arial" w:hAnsi="Arial"/>
          <w:w w:val="105"/>
          <w:sz w:val="19"/>
        </w:rPr>
        <w:t>tens</w:t>
      </w:r>
      <w:r>
        <w:rPr>
          <w:rFonts w:ascii="Arial" w:hAnsi="Arial"/>
          <w:spacing w:val="-18"/>
          <w:w w:val="105"/>
          <w:sz w:val="19"/>
        </w:rPr>
        <w:t xml:space="preserve"> </w:t>
      </w:r>
      <w:r>
        <w:rPr>
          <w:rFonts w:ascii="Arial" w:hAnsi="Arial"/>
          <w:spacing w:val="4"/>
          <w:w w:val="105"/>
          <w:sz w:val="19"/>
        </w:rPr>
        <w:t>of</w:t>
      </w:r>
      <w:r>
        <w:rPr>
          <w:rFonts w:ascii="Arial" w:hAnsi="Arial"/>
          <w:spacing w:val="-20"/>
          <w:w w:val="105"/>
          <w:sz w:val="19"/>
        </w:rPr>
        <w:t xml:space="preserve"> </w:t>
      </w:r>
      <w:r>
        <w:rPr>
          <w:rFonts w:ascii="Arial" w:hAnsi="Arial"/>
          <w:w w:val="105"/>
          <w:sz w:val="19"/>
        </w:rPr>
        <w:t>thousands</w:t>
      </w:r>
      <w:r>
        <w:rPr>
          <w:rFonts w:ascii="Arial" w:hAnsi="Arial"/>
          <w:spacing w:val="-18"/>
          <w:w w:val="105"/>
          <w:sz w:val="19"/>
        </w:rPr>
        <w:t xml:space="preserve"> </w:t>
      </w:r>
      <w:r>
        <w:rPr>
          <w:rFonts w:ascii="Arial" w:hAnsi="Arial"/>
          <w:w w:val="105"/>
          <w:sz w:val="19"/>
        </w:rPr>
        <w:t>of jobs across the</w:t>
      </w:r>
      <w:r>
        <w:rPr>
          <w:rFonts w:ascii="Arial" w:hAnsi="Arial"/>
          <w:spacing w:val="-33"/>
          <w:w w:val="105"/>
          <w:sz w:val="19"/>
        </w:rPr>
        <w:t xml:space="preserve"> </w:t>
      </w:r>
      <w:r>
        <w:rPr>
          <w:rFonts w:ascii="Arial" w:hAnsi="Arial"/>
          <w:w w:val="105"/>
          <w:sz w:val="19"/>
        </w:rPr>
        <w:t>country.</w:t>
      </w:r>
      <w:r>
        <w:rPr>
          <w:rFonts w:ascii="Arial" w:hAnsi="Arial"/>
          <w:w w:val="105"/>
          <w:position w:val="7"/>
          <w:sz w:val="11"/>
        </w:rPr>
        <w:t>3</w:t>
      </w:r>
    </w:p>
    <w:p w:rsidR="007D76BB" w:rsidRDefault="00D70D28">
      <w:pPr>
        <w:spacing w:before="184" w:line="264" w:lineRule="auto"/>
        <w:ind w:left="482" w:right="688"/>
        <w:rPr>
          <w:rFonts w:ascii="Arial"/>
          <w:sz w:val="19"/>
        </w:rPr>
      </w:pPr>
      <w:r>
        <w:rPr>
          <w:rFonts w:ascii="Arial"/>
          <w:w w:val="105"/>
          <w:sz w:val="19"/>
        </w:rPr>
        <w:t>After consideration of submissions to the public consultation paper and feedback from two stakeholder</w:t>
      </w:r>
      <w:r>
        <w:rPr>
          <w:rFonts w:ascii="Arial"/>
          <w:spacing w:val="-27"/>
          <w:w w:val="105"/>
          <w:sz w:val="19"/>
        </w:rPr>
        <w:t xml:space="preserve"> </w:t>
      </w:r>
      <w:r>
        <w:rPr>
          <w:rFonts w:ascii="Arial"/>
          <w:w w:val="105"/>
          <w:sz w:val="19"/>
        </w:rPr>
        <w:t>workshops</w:t>
      </w:r>
      <w:r>
        <w:rPr>
          <w:rFonts w:ascii="Arial"/>
          <w:spacing w:val="-28"/>
          <w:w w:val="105"/>
          <w:sz w:val="19"/>
        </w:rPr>
        <w:t xml:space="preserve"> </w:t>
      </w:r>
      <w:r>
        <w:rPr>
          <w:rFonts w:ascii="Arial"/>
          <w:w w:val="105"/>
          <w:sz w:val="19"/>
        </w:rPr>
        <w:t>held</w:t>
      </w:r>
      <w:r>
        <w:rPr>
          <w:rFonts w:ascii="Arial"/>
          <w:spacing w:val="-29"/>
          <w:w w:val="105"/>
          <w:sz w:val="19"/>
        </w:rPr>
        <w:t xml:space="preserve"> </w:t>
      </w:r>
      <w:r>
        <w:rPr>
          <w:rFonts w:ascii="Arial"/>
          <w:w w:val="105"/>
          <w:sz w:val="19"/>
        </w:rPr>
        <w:t>in</w:t>
      </w:r>
      <w:r>
        <w:rPr>
          <w:rFonts w:ascii="Arial"/>
          <w:spacing w:val="-25"/>
          <w:w w:val="105"/>
          <w:sz w:val="19"/>
        </w:rPr>
        <w:t xml:space="preserve"> </w:t>
      </w:r>
      <w:r>
        <w:rPr>
          <w:rFonts w:ascii="Arial"/>
          <w:w w:val="105"/>
          <w:sz w:val="19"/>
        </w:rPr>
        <w:t>Sydney</w:t>
      </w:r>
      <w:r>
        <w:rPr>
          <w:rFonts w:ascii="Arial"/>
          <w:spacing w:val="-27"/>
          <w:w w:val="105"/>
          <w:sz w:val="19"/>
        </w:rPr>
        <w:t xml:space="preserve"> </w:t>
      </w:r>
      <w:r>
        <w:rPr>
          <w:rFonts w:ascii="Arial"/>
          <w:w w:val="105"/>
          <w:sz w:val="19"/>
        </w:rPr>
        <w:t>and</w:t>
      </w:r>
      <w:r>
        <w:rPr>
          <w:rFonts w:ascii="Arial"/>
          <w:spacing w:val="-28"/>
          <w:w w:val="105"/>
          <w:sz w:val="19"/>
        </w:rPr>
        <w:t xml:space="preserve"> </w:t>
      </w:r>
      <w:r>
        <w:rPr>
          <w:rFonts w:ascii="Arial"/>
          <w:w w:val="105"/>
          <w:sz w:val="19"/>
        </w:rPr>
        <w:t>Melbourne</w:t>
      </w:r>
      <w:r>
        <w:rPr>
          <w:rFonts w:ascii="Arial"/>
          <w:spacing w:val="-25"/>
          <w:w w:val="105"/>
          <w:sz w:val="19"/>
        </w:rPr>
        <w:t xml:space="preserve"> </w:t>
      </w:r>
      <w:r>
        <w:rPr>
          <w:rFonts w:ascii="Arial"/>
          <w:w w:val="105"/>
          <w:sz w:val="19"/>
        </w:rPr>
        <w:t>in</w:t>
      </w:r>
      <w:r>
        <w:rPr>
          <w:rFonts w:ascii="Arial"/>
          <w:spacing w:val="-29"/>
          <w:w w:val="105"/>
          <w:sz w:val="19"/>
        </w:rPr>
        <w:t xml:space="preserve"> </w:t>
      </w:r>
      <w:r>
        <w:rPr>
          <w:rFonts w:ascii="Arial"/>
          <w:w w:val="105"/>
          <w:sz w:val="19"/>
        </w:rPr>
        <w:t>February</w:t>
      </w:r>
      <w:r>
        <w:rPr>
          <w:rFonts w:ascii="Arial"/>
          <w:spacing w:val="-28"/>
          <w:w w:val="105"/>
          <w:sz w:val="19"/>
        </w:rPr>
        <w:t xml:space="preserve"> </w:t>
      </w:r>
      <w:r>
        <w:rPr>
          <w:rFonts w:ascii="Arial"/>
          <w:w w:val="105"/>
          <w:sz w:val="19"/>
        </w:rPr>
        <w:t>2020,</w:t>
      </w:r>
      <w:r>
        <w:rPr>
          <w:rFonts w:ascii="Arial"/>
          <w:spacing w:val="-28"/>
          <w:w w:val="105"/>
          <w:sz w:val="19"/>
        </w:rPr>
        <w:t xml:space="preserve"> </w:t>
      </w:r>
      <w:r>
        <w:rPr>
          <w:rFonts w:ascii="Arial"/>
          <w:w w:val="105"/>
          <w:sz w:val="19"/>
        </w:rPr>
        <w:t>the</w:t>
      </w:r>
      <w:r>
        <w:rPr>
          <w:rFonts w:ascii="Arial"/>
          <w:spacing w:val="-28"/>
          <w:w w:val="105"/>
          <w:sz w:val="19"/>
        </w:rPr>
        <w:t xml:space="preserve"> </w:t>
      </w:r>
      <w:r>
        <w:rPr>
          <w:rFonts w:ascii="Arial"/>
          <w:w w:val="105"/>
          <w:sz w:val="19"/>
        </w:rPr>
        <w:t>proposal</w:t>
      </w:r>
      <w:r>
        <w:rPr>
          <w:rFonts w:ascii="Arial"/>
          <w:spacing w:val="-27"/>
          <w:w w:val="105"/>
          <w:sz w:val="19"/>
        </w:rPr>
        <w:t xml:space="preserve"> </w:t>
      </w:r>
      <w:r>
        <w:rPr>
          <w:rFonts w:ascii="Arial"/>
          <w:w w:val="105"/>
          <w:sz w:val="19"/>
        </w:rPr>
        <w:t>was</w:t>
      </w:r>
      <w:r>
        <w:rPr>
          <w:rFonts w:ascii="Arial"/>
          <w:spacing w:val="-28"/>
          <w:w w:val="105"/>
          <w:sz w:val="19"/>
        </w:rPr>
        <w:t xml:space="preserve"> </w:t>
      </w:r>
      <w:r>
        <w:rPr>
          <w:rFonts w:ascii="Arial"/>
          <w:w w:val="105"/>
          <w:sz w:val="19"/>
        </w:rPr>
        <w:t>refined</w:t>
      </w:r>
      <w:r>
        <w:rPr>
          <w:rFonts w:ascii="Arial"/>
          <w:spacing w:val="-29"/>
          <w:w w:val="105"/>
          <w:sz w:val="19"/>
        </w:rPr>
        <w:t xml:space="preserve"> </w:t>
      </w:r>
      <w:r>
        <w:rPr>
          <w:rFonts w:ascii="Arial"/>
          <w:w w:val="105"/>
          <w:sz w:val="19"/>
        </w:rPr>
        <w:t>to clarify the intent of the reform and avoid unintentionally capturing food products (such as whey protein,</w:t>
      </w:r>
      <w:r>
        <w:rPr>
          <w:rFonts w:ascii="Arial"/>
          <w:spacing w:val="-28"/>
          <w:w w:val="105"/>
          <w:sz w:val="19"/>
        </w:rPr>
        <w:t xml:space="preserve"> </w:t>
      </w:r>
      <w:r>
        <w:rPr>
          <w:rFonts w:ascii="Arial"/>
          <w:w w:val="105"/>
          <w:sz w:val="19"/>
        </w:rPr>
        <w:t>sugar</w:t>
      </w:r>
      <w:r>
        <w:rPr>
          <w:rFonts w:ascii="Arial"/>
          <w:spacing w:val="-28"/>
          <w:w w:val="105"/>
          <w:sz w:val="19"/>
        </w:rPr>
        <w:t xml:space="preserve"> </w:t>
      </w:r>
      <w:r>
        <w:rPr>
          <w:rFonts w:ascii="Arial"/>
          <w:w w:val="105"/>
          <w:sz w:val="19"/>
        </w:rPr>
        <w:t>substitutes</w:t>
      </w:r>
      <w:r>
        <w:rPr>
          <w:rFonts w:ascii="Arial"/>
          <w:spacing w:val="-30"/>
          <w:w w:val="105"/>
          <w:sz w:val="19"/>
        </w:rPr>
        <w:t xml:space="preserve"> </w:t>
      </w:r>
      <w:r>
        <w:rPr>
          <w:rFonts w:ascii="Arial"/>
          <w:w w:val="105"/>
          <w:sz w:val="19"/>
        </w:rPr>
        <w:t>and</w:t>
      </w:r>
      <w:r>
        <w:rPr>
          <w:rFonts w:ascii="Arial"/>
          <w:spacing w:val="-28"/>
          <w:w w:val="105"/>
          <w:sz w:val="19"/>
        </w:rPr>
        <w:t xml:space="preserve"> </w:t>
      </w:r>
      <w:r>
        <w:rPr>
          <w:rFonts w:ascii="Arial"/>
          <w:w w:val="105"/>
          <w:sz w:val="19"/>
        </w:rPr>
        <w:t>meal</w:t>
      </w:r>
      <w:r>
        <w:rPr>
          <w:rFonts w:ascii="Arial"/>
          <w:spacing w:val="-29"/>
          <w:w w:val="105"/>
          <w:sz w:val="19"/>
        </w:rPr>
        <w:t xml:space="preserve"> </w:t>
      </w:r>
      <w:r>
        <w:rPr>
          <w:rFonts w:ascii="Arial"/>
          <w:w w:val="105"/>
          <w:sz w:val="19"/>
        </w:rPr>
        <w:t>replacement</w:t>
      </w:r>
      <w:r>
        <w:rPr>
          <w:rFonts w:ascii="Arial"/>
          <w:spacing w:val="-27"/>
          <w:w w:val="105"/>
          <w:sz w:val="19"/>
        </w:rPr>
        <w:t xml:space="preserve"> </w:t>
      </w:r>
      <w:r>
        <w:rPr>
          <w:rFonts w:ascii="Arial"/>
          <w:w w:val="105"/>
          <w:sz w:val="19"/>
        </w:rPr>
        <w:lastRenderedPageBreak/>
        <w:t>shakes).</w:t>
      </w:r>
      <w:r>
        <w:rPr>
          <w:rFonts w:ascii="Arial"/>
          <w:spacing w:val="-26"/>
          <w:w w:val="105"/>
          <w:sz w:val="19"/>
        </w:rPr>
        <w:t xml:space="preserve"> </w:t>
      </w:r>
      <w:r>
        <w:rPr>
          <w:rFonts w:ascii="Arial"/>
          <w:w w:val="105"/>
          <w:sz w:val="19"/>
        </w:rPr>
        <w:t>Specifically,</w:t>
      </w:r>
      <w:r>
        <w:rPr>
          <w:rFonts w:ascii="Arial"/>
          <w:spacing w:val="-28"/>
          <w:w w:val="105"/>
          <w:sz w:val="19"/>
        </w:rPr>
        <w:t xml:space="preserve"> </w:t>
      </w:r>
      <w:r>
        <w:rPr>
          <w:rFonts w:ascii="Arial"/>
          <w:w w:val="105"/>
          <w:sz w:val="19"/>
        </w:rPr>
        <w:t>the</w:t>
      </w:r>
      <w:r>
        <w:rPr>
          <w:rFonts w:ascii="Arial"/>
          <w:spacing w:val="-27"/>
          <w:w w:val="105"/>
          <w:sz w:val="19"/>
        </w:rPr>
        <w:t xml:space="preserve"> </w:t>
      </w:r>
      <w:r>
        <w:rPr>
          <w:rFonts w:ascii="Arial"/>
          <w:w w:val="105"/>
          <w:sz w:val="19"/>
        </w:rPr>
        <w:t>following</w:t>
      </w:r>
      <w:r>
        <w:rPr>
          <w:rFonts w:ascii="Arial"/>
          <w:spacing w:val="-29"/>
          <w:w w:val="105"/>
          <w:sz w:val="19"/>
        </w:rPr>
        <w:t xml:space="preserve"> </w:t>
      </w:r>
      <w:r>
        <w:rPr>
          <w:rFonts w:ascii="Arial"/>
          <w:w w:val="105"/>
          <w:sz w:val="19"/>
        </w:rPr>
        <w:t>changes</w:t>
      </w:r>
      <w:r>
        <w:rPr>
          <w:rFonts w:ascii="Arial"/>
          <w:spacing w:val="-28"/>
          <w:w w:val="105"/>
          <w:sz w:val="19"/>
        </w:rPr>
        <w:t xml:space="preserve"> </w:t>
      </w:r>
      <w:r>
        <w:rPr>
          <w:rFonts w:ascii="Arial"/>
          <w:w w:val="105"/>
          <w:sz w:val="19"/>
        </w:rPr>
        <w:t>were made</w:t>
      </w:r>
      <w:r>
        <w:rPr>
          <w:rFonts w:ascii="Arial"/>
          <w:spacing w:val="-11"/>
          <w:w w:val="105"/>
          <w:sz w:val="19"/>
        </w:rPr>
        <w:t xml:space="preserve"> </w:t>
      </w:r>
      <w:r>
        <w:rPr>
          <w:rFonts w:ascii="Arial"/>
          <w:w w:val="105"/>
          <w:sz w:val="19"/>
        </w:rPr>
        <w:t>to</w:t>
      </w:r>
      <w:r>
        <w:rPr>
          <w:rFonts w:ascii="Arial"/>
          <w:spacing w:val="-13"/>
          <w:w w:val="105"/>
          <w:sz w:val="19"/>
        </w:rPr>
        <w:t xml:space="preserve"> </w:t>
      </w:r>
      <w:r>
        <w:rPr>
          <w:rFonts w:ascii="Arial"/>
          <w:w w:val="105"/>
          <w:sz w:val="19"/>
        </w:rPr>
        <w:t>the</w:t>
      </w:r>
      <w:r>
        <w:rPr>
          <w:rFonts w:ascii="Arial"/>
          <w:spacing w:val="-10"/>
          <w:w w:val="105"/>
          <w:sz w:val="19"/>
        </w:rPr>
        <w:t xml:space="preserve"> </w:t>
      </w:r>
      <w:r>
        <w:rPr>
          <w:rFonts w:ascii="Arial"/>
          <w:w w:val="105"/>
          <w:sz w:val="19"/>
        </w:rPr>
        <w:t>proposed</w:t>
      </w:r>
      <w:r>
        <w:rPr>
          <w:rFonts w:ascii="Arial"/>
          <w:spacing w:val="-13"/>
          <w:w w:val="105"/>
          <w:sz w:val="19"/>
        </w:rPr>
        <w:t xml:space="preserve"> </w:t>
      </w:r>
      <w:r>
        <w:rPr>
          <w:rFonts w:ascii="Arial"/>
          <w:w w:val="105"/>
          <w:sz w:val="19"/>
        </w:rPr>
        <w:t>draft</w:t>
      </w:r>
      <w:r>
        <w:rPr>
          <w:rFonts w:ascii="Arial"/>
          <w:spacing w:val="-12"/>
          <w:w w:val="105"/>
          <w:sz w:val="19"/>
        </w:rPr>
        <w:t xml:space="preserve"> </w:t>
      </w:r>
      <w:r>
        <w:rPr>
          <w:rFonts w:ascii="Arial"/>
          <w:w w:val="105"/>
          <w:sz w:val="19"/>
        </w:rPr>
        <w:t>declaration:</w:t>
      </w:r>
    </w:p>
    <w:p w:rsidR="007D76BB" w:rsidRDefault="00D70D28">
      <w:pPr>
        <w:pStyle w:val="ListParagraph"/>
        <w:numPr>
          <w:ilvl w:val="0"/>
          <w:numId w:val="10"/>
        </w:numPr>
        <w:tabs>
          <w:tab w:val="left" w:pos="766"/>
        </w:tabs>
        <w:spacing w:before="80" w:line="266" w:lineRule="auto"/>
        <w:ind w:right="947"/>
        <w:rPr>
          <w:rFonts w:ascii="Arial" w:hAnsi="Arial"/>
          <w:sz w:val="19"/>
        </w:rPr>
      </w:pPr>
      <w:r>
        <w:rPr>
          <w:rFonts w:ascii="Arial" w:hAnsi="Arial"/>
          <w:w w:val="105"/>
          <w:sz w:val="19"/>
        </w:rPr>
        <w:t>Exclude</w:t>
      </w:r>
      <w:r>
        <w:rPr>
          <w:rFonts w:ascii="Arial" w:hAnsi="Arial"/>
          <w:spacing w:val="-24"/>
          <w:w w:val="105"/>
          <w:sz w:val="19"/>
        </w:rPr>
        <w:t xml:space="preserve"> </w:t>
      </w:r>
      <w:r>
        <w:rPr>
          <w:rFonts w:ascii="Arial" w:hAnsi="Arial"/>
          <w:w w:val="105"/>
          <w:sz w:val="19"/>
        </w:rPr>
        <w:t>from</w:t>
      </w:r>
      <w:r>
        <w:rPr>
          <w:rFonts w:ascii="Arial" w:hAnsi="Arial"/>
          <w:spacing w:val="-26"/>
          <w:w w:val="105"/>
          <w:sz w:val="19"/>
        </w:rPr>
        <w:t xml:space="preserve"> </w:t>
      </w:r>
      <w:r>
        <w:rPr>
          <w:rFonts w:ascii="Arial" w:hAnsi="Arial"/>
          <w:w w:val="105"/>
          <w:sz w:val="19"/>
        </w:rPr>
        <w:t>the</w:t>
      </w:r>
      <w:r>
        <w:rPr>
          <w:rFonts w:ascii="Arial" w:hAnsi="Arial"/>
          <w:spacing w:val="-25"/>
          <w:w w:val="105"/>
          <w:sz w:val="19"/>
        </w:rPr>
        <w:t xml:space="preserve"> </w:t>
      </w:r>
      <w:r>
        <w:rPr>
          <w:rFonts w:ascii="Arial" w:hAnsi="Arial"/>
          <w:w w:val="105"/>
          <w:sz w:val="19"/>
        </w:rPr>
        <w:t>scope</w:t>
      </w:r>
      <w:r>
        <w:rPr>
          <w:rFonts w:ascii="Arial" w:hAnsi="Arial"/>
          <w:spacing w:val="-24"/>
          <w:w w:val="105"/>
          <w:sz w:val="19"/>
        </w:rPr>
        <w:t xml:space="preserve"> </w:t>
      </w:r>
      <w:r>
        <w:rPr>
          <w:rFonts w:ascii="Arial" w:hAnsi="Arial"/>
          <w:w w:val="105"/>
          <w:sz w:val="19"/>
        </w:rPr>
        <w:t>of</w:t>
      </w:r>
      <w:r>
        <w:rPr>
          <w:rFonts w:ascii="Arial" w:hAnsi="Arial"/>
          <w:spacing w:val="-26"/>
          <w:w w:val="105"/>
          <w:sz w:val="19"/>
        </w:rPr>
        <w:t xml:space="preserve"> </w:t>
      </w:r>
      <w:r>
        <w:rPr>
          <w:rFonts w:ascii="Arial" w:hAnsi="Arial"/>
          <w:w w:val="105"/>
          <w:sz w:val="19"/>
        </w:rPr>
        <w:t>the</w:t>
      </w:r>
      <w:r>
        <w:rPr>
          <w:rFonts w:ascii="Arial" w:hAnsi="Arial"/>
          <w:spacing w:val="-24"/>
          <w:w w:val="105"/>
          <w:sz w:val="19"/>
        </w:rPr>
        <w:t xml:space="preserve"> </w:t>
      </w:r>
      <w:r>
        <w:rPr>
          <w:rFonts w:ascii="Arial" w:hAnsi="Arial"/>
          <w:w w:val="105"/>
          <w:sz w:val="19"/>
        </w:rPr>
        <w:t>declaration</w:t>
      </w:r>
      <w:r>
        <w:rPr>
          <w:rFonts w:ascii="Arial" w:hAnsi="Arial"/>
          <w:spacing w:val="-25"/>
          <w:w w:val="105"/>
          <w:sz w:val="19"/>
        </w:rPr>
        <w:t xml:space="preserve"> </w:t>
      </w:r>
      <w:r>
        <w:rPr>
          <w:rFonts w:ascii="Arial" w:hAnsi="Arial"/>
          <w:w w:val="105"/>
          <w:sz w:val="19"/>
        </w:rPr>
        <w:t>products</w:t>
      </w:r>
      <w:r>
        <w:rPr>
          <w:rFonts w:ascii="Arial" w:hAnsi="Arial"/>
          <w:spacing w:val="-26"/>
          <w:w w:val="105"/>
          <w:sz w:val="19"/>
        </w:rPr>
        <w:t xml:space="preserve"> </w:t>
      </w:r>
      <w:r>
        <w:rPr>
          <w:rFonts w:ascii="Arial" w:hAnsi="Arial"/>
          <w:w w:val="105"/>
          <w:sz w:val="19"/>
        </w:rPr>
        <w:t>containing</w:t>
      </w:r>
      <w:r>
        <w:rPr>
          <w:rFonts w:ascii="Arial" w:hAnsi="Arial"/>
          <w:spacing w:val="-20"/>
          <w:w w:val="105"/>
          <w:sz w:val="19"/>
        </w:rPr>
        <w:t xml:space="preserve"> </w:t>
      </w:r>
      <w:r>
        <w:rPr>
          <w:rFonts w:ascii="Arial" w:hAnsi="Arial"/>
          <w:w w:val="105"/>
          <w:sz w:val="19"/>
        </w:rPr>
        <w:t>substances</w:t>
      </w:r>
      <w:r>
        <w:rPr>
          <w:rFonts w:ascii="Arial" w:hAnsi="Arial"/>
          <w:spacing w:val="-25"/>
          <w:w w:val="105"/>
          <w:sz w:val="19"/>
        </w:rPr>
        <w:t xml:space="preserve"> </w:t>
      </w:r>
      <w:r>
        <w:rPr>
          <w:rFonts w:ascii="Arial" w:hAnsi="Arial"/>
          <w:w w:val="105"/>
          <w:sz w:val="19"/>
        </w:rPr>
        <w:t>in</w:t>
      </w:r>
      <w:r>
        <w:rPr>
          <w:rFonts w:ascii="Arial" w:hAnsi="Arial"/>
          <w:spacing w:val="-25"/>
          <w:w w:val="105"/>
          <w:sz w:val="19"/>
        </w:rPr>
        <w:t xml:space="preserve"> </w:t>
      </w:r>
      <w:r>
        <w:rPr>
          <w:rFonts w:ascii="Arial" w:hAnsi="Arial"/>
          <w:w w:val="105"/>
          <w:sz w:val="19"/>
        </w:rPr>
        <w:t>excess</w:t>
      </w:r>
      <w:r>
        <w:rPr>
          <w:rFonts w:ascii="Arial" w:hAnsi="Arial"/>
          <w:spacing w:val="-27"/>
          <w:w w:val="105"/>
          <w:sz w:val="19"/>
        </w:rPr>
        <w:t xml:space="preserve"> </w:t>
      </w:r>
      <w:r>
        <w:rPr>
          <w:rFonts w:ascii="Arial" w:hAnsi="Arial"/>
          <w:w w:val="105"/>
          <w:sz w:val="19"/>
        </w:rPr>
        <w:t>of</w:t>
      </w:r>
      <w:r>
        <w:rPr>
          <w:rFonts w:ascii="Arial" w:hAnsi="Arial"/>
          <w:spacing w:val="-25"/>
          <w:w w:val="105"/>
          <w:sz w:val="19"/>
        </w:rPr>
        <w:t xml:space="preserve"> </w:t>
      </w:r>
      <w:r>
        <w:rPr>
          <w:rFonts w:ascii="Arial" w:hAnsi="Arial"/>
          <w:w w:val="105"/>
          <w:sz w:val="19"/>
        </w:rPr>
        <w:t>the</w:t>
      </w:r>
      <w:r>
        <w:rPr>
          <w:rFonts w:ascii="Arial" w:hAnsi="Arial"/>
          <w:spacing w:val="-24"/>
          <w:w w:val="105"/>
          <w:sz w:val="19"/>
        </w:rPr>
        <w:t xml:space="preserve"> </w:t>
      </w:r>
      <w:r>
        <w:rPr>
          <w:rFonts w:ascii="Arial" w:hAnsi="Arial"/>
          <w:w w:val="105"/>
          <w:sz w:val="19"/>
        </w:rPr>
        <w:t>limits provided</w:t>
      </w:r>
      <w:r>
        <w:rPr>
          <w:rFonts w:ascii="Arial" w:hAnsi="Arial"/>
          <w:spacing w:val="-16"/>
          <w:w w:val="105"/>
          <w:sz w:val="19"/>
        </w:rPr>
        <w:t xml:space="preserve"> </w:t>
      </w:r>
      <w:r>
        <w:rPr>
          <w:rFonts w:ascii="Arial" w:hAnsi="Arial"/>
          <w:w w:val="105"/>
          <w:sz w:val="19"/>
        </w:rPr>
        <w:t>in</w:t>
      </w:r>
      <w:r>
        <w:rPr>
          <w:rFonts w:ascii="Arial" w:hAnsi="Arial"/>
          <w:spacing w:val="-14"/>
          <w:w w:val="105"/>
          <w:sz w:val="19"/>
        </w:rPr>
        <w:t xml:space="preserve"> </w:t>
      </w:r>
      <w:r>
        <w:rPr>
          <w:rFonts w:ascii="Arial" w:hAnsi="Arial"/>
          <w:w w:val="105"/>
          <w:sz w:val="19"/>
        </w:rPr>
        <w:t>Schedule</w:t>
      </w:r>
      <w:r>
        <w:rPr>
          <w:rFonts w:ascii="Arial" w:hAnsi="Arial"/>
          <w:spacing w:val="-13"/>
          <w:w w:val="105"/>
          <w:sz w:val="19"/>
        </w:rPr>
        <w:t xml:space="preserve"> </w:t>
      </w:r>
      <w:r>
        <w:rPr>
          <w:rFonts w:ascii="Arial" w:hAnsi="Arial"/>
          <w:w w:val="105"/>
          <w:sz w:val="19"/>
        </w:rPr>
        <w:t>29-18</w:t>
      </w:r>
      <w:r>
        <w:rPr>
          <w:rFonts w:ascii="Arial" w:hAnsi="Arial"/>
          <w:spacing w:val="-17"/>
          <w:w w:val="105"/>
          <w:sz w:val="19"/>
        </w:rPr>
        <w:t xml:space="preserve"> </w:t>
      </w:r>
      <w:r>
        <w:rPr>
          <w:rFonts w:ascii="Arial" w:hAnsi="Arial"/>
          <w:w w:val="105"/>
          <w:sz w:val="19"/>
        </w:rPr>
        <w:t>and</w:t>
      </w:r>
      <w:r>
        <w:rPr>
          <w:rFonts w:ascii="Arial" w:hAnsi="Arial"/>
          <w:spacing w:val="-16"/>
          <w:w w:val="105"/>
          <w:sz w:val="19"/>
        </w:rPr>
        <w:t xml:space="preserve"> </w:t>
      </w:r>
      <w:r>
        <w:rPr>
          <w:rFonts w:ascii="Arial" w:hAnsi="Arial"/>
          <w:w w:val="105"/>
          <w:sz w:val="19"/>
        </w:rPr>
        <w:t>29-19</w:t>
      </w:r>
      <w:r>
        <w:rPr>
          <w:rFonts w:ascii="Arial" w:hAnsi="Arial"/>
          <w:spacing w:val="-14"/>
          <w:w w:val="105"/>
          <w:sz w:val="19"/>
        </w:rPr>
        <w:t xml:space="preserve"> </w:t>
      </w:r>
      <w:r>
        <w:rPr>
          <w:rFonts w:ascii="Arial" w:hAnsi="Arial"/>
          <w:w w:val="105"/>
          <w:sz w:val="19"/>
        </w:rPr>
        <w:t>of</w:t>
      </w:r>
      <w:r>
        <w:rPr>
          <w:rFonts w:ascii="Arial" w:hAnsi="Arial"/>
          <w:spacing w:val="-16"/>
          <w:w w:val="105"/>
          <w:sz w:val="19"/>
        </w:rPr>
        <w:t xml:space="preserve"> </w:t>
      </w:r>
      <w:r>
        <w:rPr>
          <w:rFonts w:ascii="Arial" w:hAnsi="Arial"/>
          <w:w w:val="105"/>
          <w:sz w:val="19"/>
        </w:rPr>
        <w:t>the</w:t>
      </w:r>
      <w:r>
        <w:rPr>
          <w:rFonts w:ascii="Arial" w:hAnsi="Arial"/>
          <w:spacing w:val="-13"/>
          <w:w w:val="105"/>
          <w:sz w:val="19"/>
        </w:rPr>
        <w:t xml:space="preserve"> </w:t>
      </w:r>
      <w:r>
        <w:rPr>
          <w:rFonts w:ascii="Arial" w:hAnsi="Arial"/>
          <w:w w:val="105"/>
          <w:sz w:val="19"/>
        </w:rPr>
        <w:t>Food</w:t>
      </w:r>
      <w:r>
        <w:rPr>
          <w:rFonts w:ascii="Arial" w:hAnsi="Arial"/>
          <w:spacing w:val="-16"/>
          <w:w w:val="105"/>
          <w:sz w:val="19"/>
        </w:rPr>
        <w:t xml:space="preserve"> </w:t>
      </w:r>
      <w:r>
        <w:rPr>
          <w:rFonts w:ascii="Arial" w:hAnsi="Arial"/>
          <w:w w:val="105"/>
          <w:sz w:val="19"/>
        </w:rPr>
        <w:t>Standards</w:t>
      </w:r>
      <w:r>
        <w:rPr>
          <w:rFonts w:ascii="Arial" w:hAnsi="Arial"/>
          <w:spacing w:val="-14"/>
          <w:w w:val="105"/>
          <w:sz w:val="19"/>
        </w:rPr>
        <w:t xml:space="preserve"> </w:t>
      </w:r>
      <w:r>
        <w:rPr>
          <w:rFonts w:ascii="Arial" w:hAnsi="Arial"/>
          <w:w w:val="105"/>
          <w:sz w:val="19"/>
        </w:rPr>
        <w:t>Code.</w:t>
      </w:r>
    </w:p>
    <w:p w:rsidR="007D76BB" w:rsidRDefault="00D70D28">
      <w:pPr>
        <w:pStyle w:val="ListParagraph"/>
        <w:numPr>
          <w:ilvl w:val="0"/>
          <w:numId w:val="10"/>
        </w:numPr>
        <w:tabs>
          <w:tab w:val="left" w:pos="766"/>
        </w:tabs>
        <w:spacing w:before="77" w:line="266" w:lineRule="auto"/>
        <w:ind w:right="1068"/>
        <w:rPr>
          <w:rFonts w:ascii="Arial" w:hAnsi="Arial"/>
          <w:sz w:val="19"/>
        </w:rPr>
      </w:pPr>
      <w:r>
        <w:rPr>
          <w:rFonts w:ascii="Arial" w:hAnsi="Arial"/>
          <w:w w:val="105"/>
          <w:sz w:val="19"/>
        </w:rPr>
        <w:t>Exclude</w:t>
      </w:r>
      <w:r>
        <w:rPr>
          <w:rFonts w:ascii="Arial" w:hAnsi="Arial"/>
          <w:spacing w:val="-23"/>
          <w:w w:val="105"/>
          <w:sz w:val="19"/>
        </w:rPr>
        <w:t xml:space="preserve"> </w:t>
      </w:r>
      <w:r>
        <w:rPr>
          <w:rFonts w:ascii="Arial" w:hAnsi="Arial"/>
          <w:w w:val="105"/>
          <w:sz w:val="19"/>
        </w:rPr>
        <w:t>from</w:t>
      </w:r>
      <w:r>
        <w:rPr>
          <w:rFonts w:ascii="Arial" w:hAnsi="Arial"/>
          <w:spacing w:val="-26"/>
          <w:w w:val="105"/>
          <w:sz w:val="19"/>
        </w:rPr>
        <w:t xml:space="preserve"> </w:t>
      </w:r>
      <w:r>
        <w:rPr>
          <w:rFonts w:ascii="Arial" w:hAnsi="Arial"/>
          <w:w w:val="105"/>
          <w:sz w:val="19"/>
        </w:rPr>
        <w:t>the</w:t>
      </w:r>
      <w:r>
        <w:rPr>
          <w:rFonts w:ascii="Arial" w:hAnsi="Arial"/>
          <w:spacing w:val="-25"/>
          <w:w w:val="105"/>
          <w:sz w:val="19"/>
        </w:rPr>
        <w:t xml:space="preserve"> </w:t>
      </w:r>
      <w:r>
        <w:rPr>
          <w:rFonts w:ascii="Arial" w:hAnsi="Arial"/>
          <w:w w:val="105"/>
          <w:sz w:val="19"/>
        </w:rPr>
        <w:t>scope</w:t>
      </w:r>
      <w:r>
        <w:rPr>
          <w:rFonts w:ascii="Arial" w:hAnsi="Arial"/>
          <w:spacing w:val="-23"/>
          <w:w w:val="105"/>
          <w:sz w:val="19"/>
        </w:rPr>
        <w:t xml:space="preserve"> </w:t>
      </w:r>
      <w:r>
        <w:rPr>
          <w:rFonts w:ascii="Arial" w:hAnsi="Arial"/>
          <w:w w:val="105"/>
          <w:sz w:val="19"/>
        </w:rPr>
        <w:t>of</w:t>
      </w:r>
      <w:r>
        <w:rPr>
          <w:rFonts w:ascii="Arial" w:hAnsi="Arial"/>
          <w:spacing w:val="-25"/>
          <w:w w:val="105"/>
          <w:sz w:val="19"/>
        </w:rPr>
        <w:t xml:space="preserve"> </w:t>
      </w:r>
      <w:r>
        <w:rPr>
          <w:rFonts w:ascii="Arial" w:hAnsi="Arial"/>
          <w:w w:val="105"/>
          <w:sz w:val="19"/>
        </w:rPr>
        <w:t>the</w:t>
      </w:r>
      <w:r>
        <w:rPr>
          <w:rFonts w:ascii="Arial" w:hAnsi="Arial"/>
          <w:spacing w:val="-23"/>
          <w:w w:val="105"/>
          <w:sz w:val="19"/>
        </w:rPr>
        <w:t xml:space="preserve"> </w:t>
      </w:r>
      <w:r>
        <w:rPr>
          <w:rFonts w:ascii="Arial" w:hAnsi="Arial"/>
          <w:w w:val="105"/>
          <w:sz w:val="19"/>
        </w:rPr>
        <w:t>declaration</w:t>
      </w:r>
      <w:r>
        <w:rPr>
          <w:rFonts w:ascii="Arial" w:hAnsi="Arial"/>
          <w:spacing w:val="-25"/>
          <w:w w:val="105"/>
          <w:sz w:val="19"/>
        </w:rPr>
        <w:t xml:space="preserve"> </w:t>
      </w:r>
      <w:r>
        <w:rPr>
          <w:rFonts w:ascii="Arial" w:hAnsi="Arial"/>
          <w:w w:val="105"/>
          <w:sz w:val="19"/>
        </w:rPr>
        <w:t>products</w:t>
      </w:r>
      <w:r>
        <w:rPr>
          <w:rFonts w:ascii="Arial" w:hAnsi="Arial"/>
          <w:spacing w:val="-24"/>
          <w:w w:val="105"/>
          <w:sz w:val="19"/>
        </w:rPr>
        <w:t xml:space="preserve"> </w:t>
      </w:r>
      <w:r>
        <w:rPr>
          <w:rFonts w:ascii="Arial" w:hAnsi="Arial"/>
          <w:w w:val="105"/>
          <w:sz w:val="19"/>
        </w:rPr>
        <w:t>containing</w:t>
      </w:r>
      <w:r>
        <w:rPr>
          <w:rFonts w:ascii="Arial" w:hAnsi="Arial"/>
          <w:spacing w:val="-23"/>
          <w:w w:val="105"/>
          <w:sz w:val="19"/>
        </w:rPr>
        <w:t xml:space="preserve"> </w:t>
      </w:r>
      <w:r>
        <w:rPr>
          <w:rFonts w:ascii="Arial" w:hAnsi="Arial"/>
          <w:w w:val="105"/>
          <w:sz w:val="19"/>
        </w:rPr>
        <w:t>ingredients</w:t>
      </w:r>
      <w:r>
        <w:rPr>
          <w:rFonts w:ascii="Arial" w:hAnsi="Arial"/>
          <w:spacing w:val="-26"/>
          <w:w w:val="105"/>
          <w:sz w:val="19"/>
        </w:rPr>
        <w:t xml:space="preserve"> </w:t>
      </w:r>
      <w:r>
        <w:rPr>
          <w:rFonts w:ascii="Arial" w:hAnsi="Arial"/>
          <w:w w:val="105"/>
          <w:sz w:val="19"/>
        </w:rPr>
        <w:t>exceeding</w:t>
      </w:r>
      <w:r>
        <w:rPr>
          <w:rFonts w:ascii="Arial" w:hAnsi="Arial"/>
          <w:spacing w:val="-25"/>
          <w:w w:val="105"/>
          <w:sz w:val="19"/>
        </w:rPr>
        <w:t xml:space="preserve"> </w:t>
      </w:r>
      <w:r>
        <w:rPr>
          <w:rFonts w:ascii="Arial" w:hAnsi="Arial"/>
          <w:w w:val="105"/>
          <w:sz w:val="19"/>
        </w:rPr>
        <w:t>the</w:t>
      </w:r>
      <w:r>
        <w:rPr>
          <w:rFonts w:ascii="Arial" w:hAnsi="Arial"/>
          <w:spacing w:val="-23"/>
          <w:w w:val="105"/>
          <w:sz w:val="19"/>
        </w:rPr>
        <w:t xml:space="preserve"> </w:t>
      </w:r>
      <w:r>
        <w:rPr>
          <w:rFonts w:ascii="Arial" w:hAnsi="Arial"/>
          <w:w w:val="105"/>
          <w:sz w:val="19"/>
        </w:rPr>
        <w:t>limits specified</w:t>
      </w:r>
      <w:r>
        <w:rPr>
          <w:rFonts w:ascii="Arial" w:hAnsi="Arial"/>
          <w:spacing w:val="-14"/>
          <w:w w:val="105"/>
          <w:sz w:val="19"/>
        </w:rPr>
        <w:t xml:space="preserve"> </w:t>
      </w:r>
      <w:r>
        <w:rPr>
          <w:rFonts w:ascii="Arial" w:hAnsi="Arial"/>
          <w:w w:val="105"/>
          <w:sz w:val="19"/>
        </w:rPr>
        <w:t>in</w:t>
      </w:r>
      <w:r>
        <w:rPr>
          <w:rFonts w:ascii="Arial" w:hAnsi="Arial"/>
          <w:spacing w:val="-13"/>
          <w:w w:val="105"/>
          <w:sz w:val="19"/>
        </w:rPr>
        <w:t xml:space="preserve"> </w:t>
      </w:r>
      <w:r>
        <w:rPr>
          <w:rFonts w:ascii="Arial" w:hAnsi="Arial"/>
          <w:w w:val="105"/>
          <w:sz w:val="19"/>
        </w:rPr>
        <w:t>the</w:t>
      </w:r>
      <w:r>
        <w:rPr>
          <w:rFonts w:ascii="Arial" w:hAnsi="Arial"/>
          <w:spacing w:val="-11"/>
          <w:w w:val="105"/>
          <w:sz w:val="19"/>
        </w:rPr>
        <w:t xml:space="preserve"> </w:t>
      </w:r>
      <w:r>
        <w:rPr>
          <w:rFonts w:ascii="Arial" w:hAnsi="Arial"/>
          <w:w w:val="105"/>
          <w:sz w:val="19"/>
        </w:rPr>
        <w:t>Permissible</w:t>
      </w:r>
      <w:r>
        <w:rPr>
          <w:rFonts w:ascii="Arial" w:hAnsi="Arial"/>
          <w:spacing w:val="-11"/>
          <w:w w:val="105"/>
          <w:sz w:val="19"/>
        </w:rPr>
        <w:t xml:space="preserve"> </w:t>
      </w:r>
      <w:r>
        <w:rPr>
          <w:rFonts w:ascii="Arial" w:hAnsi="Arial"/>
          <w:w w:val="105"/>
          <w:sz w:val="19"/>
        </w:rPr>
        <w:t>Ingredients</w:t>
      </w:r>
      <w:r>
        <w:rPr>
          <w:rFonts w:ascii="Arial" w:hAnsi="Arial"/>
          <w:spacing w:val="-13"/>
          <w:w w:val="105"/>
          <w:sz w:val="19"/>
        </w:rPr>
        <w:t xml:space="preserve"> </w:t>
      </w:r>
      <w:r>
        <w:rPr>
          <w:rFonts w:ascii="Arial" w:hAnsi="Arial"/>
          <w:w w:val="105"/>
          <w:sz w:val="19"/>
        </w:rPr>
        <w:t>Determination.</w:t>
      </w:r>
    </w:p>
    <w:p w:rsidR="007D76BB" w:rsidRDefault="007D76BB">
      <w:pPr>
        <w:pStyle w:val="BodyText"/>
        <w:rPr>
          <w:rFonts w:ascii="Arial"/>
          <w:sz w:val="20"/>
        </w:rPr>
      </w:pPr>
    </w:p>
    <w:p w:rsidR="007D76BB" w:rsidRDefault="007D76BB">
      <w:pPr>
        <w:pStyle w:val="BodyText"/>
        <w:rPr>
          <w:rFonts w:ascii="Arial"/>
          <w:sz w:val="20"/>
        </w:rPr>
      </w:pPr>
    </w:p>
    <w:p w:rsidR="007D76BB" w:rsidRDefault="00D70D28">
      <w:pPr>
        <w:pStyle w:val="BodyText"/>
        <w:spacing w:before="8"/>
        <w:rPr>
          <w:rFonts w:ascii="Arial"/>
          <w:sz w:val="12"/>
        </w:rPr>
      </w:pPr>
      <w:r>
        <w:rPr>
          <w:noProof/>
          <w:lang w:val="en-AU" w:eastAsia="en-AU"/>
        </w:rPr>
        <mc:AlternateContent>
          <mc:Choice Requires="wps">
            <w:drawing>
              <wp:anchor distT="0" distB="0" distL="0" distR="0" simplePos="0" relativeHeight="251693056" behindDoc="1" locked="0" layoutInCell="1" allowOverlap="1">
                <wp:simplePos x="0" y="0"/>
                <wp:positionH relativeFrom="page">
                  <wp:posOffset>1080770</wp:posOffset>
                </wp:positionH>
                <wp:positionV relativeFrom="paragraph">
                  <wp:posOffset>123190</wp:posOffset>
                </wp:positionV>
                <wp:extent cx="1829435" cy="1270"/>
                <wp:effectExtent l="0" t="0" r="0" b="0"/>
                <wp:wrapTopAndBottom/>
                <wp:docPr id="370"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8D21B" id="Freeform 226" o:spid="_x0000_s1026" style="position:absolute;margin-left:85.1pt;margin-top:9.7pt;width:144.05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" path="m,l2880,e" filled="f" strokeweight=".84pt">
                <v:path arrowok="t" o:connecttype="custom" o:connectlocs="0,0;1828800,0" o:connectangles="0,0"/>
                <w10:wrap type="topAndBottom" anchorx="page"/>
              </v:shape>
            </w:pict>
          </mc:Fallback>
        </mc:AlternateContent>
      </w:r>
    </w:p>
    <w:p w:rsidR="007D76BB" w:rsidRDefault="00D70D28">
      <w:pPr>
        <w:spacing w:before="132"/>
        <w:ind w:left="482"/>
        <w:rPr>
          <w:rFonts w:ascii="Arial"/>
          <w:sz w:val="14"/>
        </w:rPr>
      </w:pPr>
      <w:r>
        <w:rPr>
          <w:rFonts w:ascii="Arial"/>
          <w:color w:val="5B6761"/>
          <w:w w:val="66"/>
          <w:position w:val="5"/>
          <w:sz w:val="8"/>
        </w:rPr>
        <w:t>1</w:t>
      </w:r>
      <w:r>
        <w:rPr>
          <w:rFonts w:ascii="Arial"/>
          <w:color w:val="5B6761"/>
          <w:spacing w:val="10"/>
          <w:position w:val="5"/>
          <w:sz w:val="8"/>
        </w:rPr>
        <w:t xml:space="preserve"> </w:t>
      </w:r>
      <w:r>
        <w:rPr>
          <w:rFonts w:ascii="Arial"/>
          <w:i/>
          <w:color w:val="5B6761"/>
          <w:w w:val="94"/>
          <w:sz w:val="14"/>
        </w:rPr>
        <w:t>T</w:t>
      </w:r>
      <w:r>
        <w:rPr>
          <w:rFonts w:ascii="Arial"/>
          <w:i/>
          <w:color w:val="5B6761"/>
          <w:sz w:val="14"/>
        </w:rPr>
        <w:t>h</w:t>
      </w:r>
      <w:r>
        <w:rPr>
          <w:rFonts w:ascii="Arial"/>
          <w:i/>
          <w:color w:val="5B6761"/>
          <w:spacing w:val="-1"/>
          <w:w w:val="96"/>
          <w:sz w:val="14"/>
        </w:rPr>
        <w:t>e</w:t>
      </w:r>
      <w:r>
        <w:rPr>
          <w:rFonts w:ascii="Arial"/>
          <w:i/>
          <w:color w:val="5B6761"/>
          <w:w w:val="116"/>
          <w:sz w:val="14"/>
        </w:rPr>
        <w:t>r</w:t>
      </w:r>
      <w:r>
        <w:rPr>
          <w:rFonts w:ascii="Arial"/>
          <w:i/>
          <w:color w:val="5B6761"/>
          <w:w w:val="94"/>
          <w:sz w:val="14"/>
        </w:rPr>
        <w:t>a</w:t>
      </w:r>
      <w:r>
        <w:rPr>
          <w:rFonts w:ascii="Arial"/>
          <w:i/>
          <w:color w:val="5B6761"/>
          <w:sz w:val="14"/>
        </w:rPr>
        <w:t>p</w:t>
      </w:r>
      <w:r>
        <w:rPr>
          <w:rFonts w:ascii="Arial"/>
          <w:i/>
          <w:color w:val="5B6761"/>
          <w:spacing w:val="-1"/>
          <w:w w:val="96"/>
          <w:sz w:val="14"/>
        </w:rPr>
        <w:t>e</w:t>
      </w:r>
      <w:r>
        <w:rPr>
          <w:rFonts w:ascii="Arial"/>
          <w:i/>
          <w:color w:val="5B6761"/>
          <w:sz w:val="14"/>
        </w:rPr>
        <w:t>u</w:t>
      </w:r>
      <w:r>
        <w:rPr>
          <w:rFonts w:ascii="Arial"/>
          <w:i/>
          <w:color w:val="5B6761"/>
          <w:w w:val="133"/>
          <w:sz w:val="14"/>
        </w:rPr>
        <w:t>t</w:t>
      </w:r>
      <w:r>
        <w:rPr>
          <w:rFonts w:ascii="Arial"/>
          <w:i/>
          <w:color w:val="5B6761"/>
          <w:w w:val="113"/>
          <w:sz w:val="14"/>
        </w:rPr>
        <w:t>i</w:t>
      </w:r>
      <w:r>
        <w:rPr>
          <w:rFonts w:ascii="Arial"/>
          <w:i/>
          <w:color w:val="5B6761"/>
          <w:w w:val="99"/>
          <w:sz w:val="14"/>
        </w:rPr>
        <w:t>c</w:t>
      </w:r>
      <w:r>
        <w:rPr>
          <w:rFonts w:ascii="Arial"/>
          <w:i/>
          <w:color w:val="5B6761"/>
          <w:spacing w:val="-6"/>
          <w:sz w:val="14"/>
        </w:rPr>
        <w:t xml:space="preserve"> </w:t>
      </w:r>
      <w:r>
        <w:rPr>
          <w:rFonts w:ascii="Arial"/>
          <w:i/>
          <w:color w:val="5B6761"/>
          <w:w w:val="92"/>
          <w:sz w:val="14"/>
        </w:rPr>
        <w:t>G</w:t>
      </w:r>
      <w:r>
        <w:rPr>
          <w:rFonts w:ascii="Arial"/>
          <w:i/>
          <w:color w:val="5B6761"/>
          <w:spacing w:val="-1"/>
          <w:w w:val="92"/>
          <w:sz w:val="14"/>
        </w:rPr>
        <w:t>o</w:t>
      </w:r>
      <w:r>
        <w:rPr>
          <w:rFonts w:ascii="Arial"/>
          <w:i/>
          <w:color w:val="5B6761"/>
          <w:spacing w:val="-1"/>
          <w:w w:val="99"/>
          <w:sz w:val="14"/>
        </w:rPr>
        <w:t>o</w:t>
      </w:r>
      <w:r>
        <w:rPr>
          <w:rFonts w:ascii="Arial"/>
          <w:i/>
          <w:color w:val="5B6761"/>
          <w:sz w:val="14"/>
        </w:rPr>
        <w:t>d</w:t>
      </w:r>
      <w:r>
        <w:rPr>
          <w:rFonts w:ascii="Arial"/>
          <w:i/>
          <w:color w:val="5B6761"/>
          <w:w w:val="93"/>
          <w:sz w:val="14"/>
        </w:rPr>
        <w:t>s</w:t>
      </w:r>
      <w:r>
        <w:rPr>
          <w:rFonts w:ascii="Arial"/>
          <w:i/>
          <w:color w:val="5B6761"/>
          <w:spacing w:val="-6"/>
          <w:sz w:val="14"/>
        </w:rPr>
        <w:t xml:space="preserve"> </w:t>
      </w:r>
      <w:r>
        <w:rPr>
          <w:rFonts w:ascii="Arial"/>
          <w:i/>
          <w:color w:val="5B6761"/>
          <w:spacing w:val="-1"/>
          <w:w w:val="101"/>
          <w:sz w:val="14"/>
        </w:rPr>
        <w:t>A</w:t>
      </w:r>
      <w:r>
        <w:rPr>
          <w:rFonts w:ascii="Arial"/>
          <w:i/>
          <w:color w:val="5B6761"/>
          <w:w w:val="111"/>
          <w:sz w:val="14"/>
        </w:rPr>
        <w:t>ct</w:t>
      </w:r>
      <w:r>
        <w:rPr>
          <w:rFonts w:ascii="Arial"/>
          <w:i/>
          <w:color w:val="5B6761"/>
          <w:spacing w:val="-5"/>
          <w:sz w:val="14"/>
        </w:rPr>
        <w:t xml:space="preserve"> </w:t>
      </w:r>
      <w:r>
        <w:rPr>
          <w:rFonts w:ascii="Arial"/>
          <w:i/>
          <w:color w:val="5B6761"/>
          <w:w w:val="66"/>
          <w:sz w:val="14"/>
        </w:rPr>
        <w:t>1</w:t>
      </w:r>
      <w:r>
        <w:rPr>
          <w:rFonts w:ascii="Arial"/>
          <w:i/>
          <w:color w:val="5B6761"/>
          <w:w w:val="106"/>
          <w:sz w:val="14"/>
        </w:rPr>
        <w:t>9</w:t>
      </w:r>
      <w:r>
        <w:rPr>
          <w:rFonts w:ascii="Arial"/>
          <w:i/>
          <w:color w:val="5B6761"/>
          <w:spacing w:val="-2"/>
          <w:w w:val="109"/>
          <w:sz w:val="14"/>
        </w:rPr>
        <w:t>8</w:t>
      </w:r>
      <w:r>
        <w:rPr>
          <w:rFonts w:ascii="Arial"/>
          <w:i/>
          <w:color w:val="5B6761"/>
          <w:w w:val="106"/>
          <w:sz w:val="14"/>
        </w:rPr>
        <w:t>9</w:t>
      </w:r>
      <w:r>
        <w:rPr>
          <w:rFonts w:ascii="Arial"/>
          <w:i/>
          <w:color w:val="5B6761"/>
          <w:w w:val="80"/>
          <w:sz w:val="14"/>
        </w:rPr>
        <w:t>,</w:t>
      </w:r>
      <w:r>
        <w:rPr>
          <w:rFonts w:ascii="Arial"/>
          <w:i/>
          <w:color w:val="5B6761"/>
          <w:spacing w:val="-6"/>
          <w:sz w:val="14"/>
        </w:rPr>
        <w:t xml:space="preserve"> </w:t>
      </w:r>
      <w:r>
        <w:rPr>
          <w:rFonts w:ascii="Arial"/>
          <w:i/>
          <w:color w:val="5B6761"/>
          <w:spacing w:val="-1"/>
          <w:w w:val="93"/>
          <w:sz w:val="14"/>
        </w:rPr>
        <w:t>s</w:t>
      </w:r>
      <w:r>
        <w:rPr>
          <w:rFonts w:ascii="Arial"/>
          <w:i/>
          <w:color w:val="5B6761"/>
          <w:spacing w:val="-1"/>
          <w:w w:val="96"/>
          <w:sz w:val="14"/>
        </w:rPr>
        <w:t>e</w:t>
      </w:r>
      <w:r>
        <w:rPr>
          <w:rFonts w:ascii="Arial"/>
          <w:i/>
          <w:color w:val="5B6761"/>
          <w:w w:val="96"/>
          <w:sz w:val="14"/>
        </w:rPr>
        <w:t>e</w:t>
      </w:r>
      <w:r>
        <w:rPr>
          <w:rFonts w:ascii="Arial"/>
          <w:i/>
          <w:color w:val="5B6761"/>
          <w:spacing w:val="-4"/>
          <w:sz w:val="14"/>
        </w:rPr>
        <w:t xml:space="preserve"> </w:t>
      </w:r>
      <w:r>
        <w:rPr>
          <w:rFonts w:ascii="Arial"/>
          <w:i/>
          <w:color w:val="5B6761"/>
          <w:spacing w:val="2"/>
          <w:w w:val="109"/>
          <w:sz w:val="14"/>
        </w:rPr>
        <w:t>&lt;</w:t>
      </w:r>
      <w:hyperlink r:id="rId178">
        <w:r>
          <w:rPr>
            <w:rFonts w:ascii="Arial"/>
            <w:sz w:val="14"/>
            <w:u w:val="single" w:color="006FC0"/>
          </w:rPr>
          <w:t>h</w:t>
        </w:r>
        <w:r>
          <w:rPr>
            <w:rFonts w:ascii="Arial"/>
            <w:w w:val="133"/>
            <w:sz w:val="14"/>
            <w:u w:val="single" w:color="006FC0"/>
          </w:rPr>
          <w:t>tt</w:t>
        </w:r>
        <w:r>
          <w:rPr>
            <w:rFonts w:ascii="Arial"/>
            <w:sz w:val="14"/>
            <w:u w:val="single" w:color="006FC0"/>
          </w:rPr>
          <w:t>p</w:t>
        </w:r>
        <w:r>
          <w:rPr>
            <w:rFonts w:ascii="Arial"/>
            <w:spacing w:val="-1"/>
            <w:w w:val="93"/>
            <w:sz w:val="14"/>
            <w:u w:val="single" w:color="006FC0"/>
          </w:rPr>
          <w:t>s</w:t>
        </w:r>
        <w:r>
          <w:rPr>
            <w:rFonts w:ascii="Arial"/>
            <w:w w:val="127"/>
            <w:sz w:val="14"/>
            <w:u w:val="single" w:color="006FC0"/>
          </w:rPr>
          <w:t>:</w:t>
        </w:r>
        <w:r>
          <w:rPr>
            <w:rFonts w:ascii="Arial"/>
            <w:spacing w:val="1"/>
            <w:w w:val="127"/>
            <w:sz w:val="14"/>
            <w:u w:val="single" w:color="006FC0"/>
          </w:rPr>
          <w:t>/</w:t>
        </w:r>
        <w:r>
          <w:rPr>
            <w:rFonts w:ascii="Arial"/>
            <w:spacing w:val="-1"/>
            <w:w w:val="175"/>
            <w:sz w:val="14"/>
            <w:u w:val="single" w:color="006FC0"/>
          </w:rPr>
          <w:t>/</w:t>
        </w:r>
        <w:r>
          <w:rPr>
            <w:rFonts w:ascii="Arial"/>
            <w:spacing w:val="1"/>
            <w:w w:val="98"/>
            <w:sz w:val="14"/>
            <w:u w:val="single" w:color="006FC0"/>
          </w:rPr>
          <w:t>www</w:t>
        </w:r>
        <w:r>
          <w:rPr>
            <w:rFonts w:ascii="Arial"/>
            <w:w w:val="96"/>
            <w:sz w:val="14"/>
            <w:u w:val="single" w:color="006FC0"/>
          </w:rPr>
          <w:t>.</w:t>
        </w:r>
        <w:r>
          <w:rPr>
            <w:rFonts w:ascii="Arial"/>
            <w:spacing w:val="-1"/>
            <w:w w:val="96"/>
            <w:sz w:val="14"/>
            <w:u w:val="single" w:color="006FC0"/>
          </w:rPr>
          <w:t>le</w:t>
        </w:r>
        <w:r>
          <w:rPr>
            <w:rFonts w:ascii="Arial"/>
            <w:sz w:val="14"/>
            <w:u w:val="single" w:color="006FC0"/>
          </w:rPr>
          <w:t>g</w:t>
        </w:r>
        <w:r>
          <w:rPr>
            <w:rFonts w:ascii="Arial"/>
            <w:w w:val="113"/>
            <w:sz w:val="14"/>
            <w:u w:val="single" w:color="006FC0"/>
          </w:rPr>
          <w:t>i</w:t>
        </w:r>
        <w:r>
          <w:rPr>
            <w:rFonts w:ascii="Arial"/>
            <w:spacing w:val="-1"/>
            <w:w w:val="93"/>
            <w:sz w:val="14"/>
            <w:u w:val="single" w:color="006FC0"/>
          </w:rPr>
          <w:t>s</w:t>
        </w:r>
        <w:r>
          <w:rPr>
            <w:rFonts w:ascii="Arial"/>
            <w:spacing w:val="-1"/>
            <w:w w:val="117"/>
            <w:sz w:val="14"/>
            <w:u w:val="single" w:color="006FC0"/>
          </w:rPr>
          <w:t>l</w:t>
        </w:r>
        <w:r>
          <w:rPr>
            <w:rFonts w:ascii="Arial"/>
            <w:w w:val="94"/>
            <w:sz w:val="14"/>
            <w:u w:val="single" w:color="006FC0"/>
          </w:rPr>
          <w:t>a</w:t>
        </w:r>
        <w:r>
          <w:rPr>
            <w:rFonts w:ascii="Arial"/>
            <w:w w:val="133"/>
            <w:sz w:val="14"/>
            <w:u w:val="single" w:color="006FC0"/>
          </w:rPr>
          <w:t>t</w:t>
        </w:r>
        <w:r>
          <w:rPr>
            <w:rFonts w:ascii="Arial"/>
            <w:w w:val="113"/>
            <w:sz w:val="14"/>
            <w:u w:val="single" w:color="006FC0"/>
          </w:rPr>
          <w:t>i</w:t>
        </w:r>
        <w:r>
          <w:rPr>
            <w:rFonts w:ascii="Arial"/>
            <w:spacing w:val="-1"/>
            <w:w w:val="99"/>
            <w:sz w:val="14"/>
            <w:u w:val="single" w:color="006FC0"/>
          </w:rPr>
          <w:t>o</w:t>
        </w:r>
        <w:r>
          <w:rPr>
            <w:rFonts w:ascii="Arial"/>
            <w:sz w:val="14"/>
            <w:u w:val="single" w:color="006FC0"/>
          </w:rPr>
          <w:t>n</w:t>
        </w:r>
        <w:r>
          <w:rPr>
            <w:rFonts w:ascii="Arial"/>
            <w:w w:val="93"/>
            <w:sz w:val="14"/>
            <w:u w:val="single" w:color="006FC0"/>
          </w:rPr>
          <w:t>.g</w:t>
        </w:r>
        <w:r>
          <w:rPr>
            <w:rFonts w:ascii="Arial"/>
            <w:spacing w:val="-1"/>
            <w:w w:val="99"/>
            <w:sz w:val="14"/>
            <w:u w:val="single" w:color="006FC0"/>
          </w:rPr>
          <w:t>o</w:t>
        </w:r>
        <w:r>
          <w:rPr>
            <w:rFonts w:ascii="Arial"/>
            <w:w w:val="101"/>
            <w:sz w:val="14"/>
            <w:u w:val="single" w:color="006FC0"/>
          </w:rPr>
          <w:t>v</w:t>
        </w:r>
        <w:r>
          <w:rPr>
            <w:rFonts w:ascii="Arial"/>
            <w:w w:val="89"/>
            <w:sz w:val="14"/>
            <w:u w:val="single" w:color="006FC0"/>
          </w:rPr>
          <w:t>.a</w:t>
        </w:r>
        <w:r>
          <w:rPr>
            <w:rFonts w:ascii="Arial"/>
            <w:sz w:val="14"/>
            <w:u w:val="single" w:color="006FC0"/>
          </w:rPr>
          <w:t>u</w:t>
        </w:r>
        <w:r>
          <w:rPr>
            <w:rFonts w:ascii="Arial"/>
            <w:spacing w:val="-1"/>
            <w:w w:val="175"/>
            <w:sz w:val="14"/>
            <w:u w:val="single" w:color="006FC0"/>
          </w:rPr>
          <w:t>/</w:t>
        </w:r>
        <w:r>
          <w:rPr>
            <w:rFonts w:ascii="Arial"/>
            <w:w w:val="93"/>
            <w:sz w:val="14"/>
            <w:u w:val="single" w:color="006FC0"/>
          </w:rPr>
          <w:t>D</w:t>
        </w:r>
        <w:r>
          <w:rPr>
            <w:rFonts w:ascii="Arial"/>
            <w:spacing w:val="-1"/>
            <w:w w:val="96"/>
            <w:sz w:val="14"/>
            <w:u w:val="single" w:color="006FC0"/>
          </w:rPr>
          <w:t>e</w:t>
        </w:r>
        <w:r>
          <w:rPr>
            <w:rFonts w:ascii="Arial"/>
            <w:w w:val="133"/>
            <w:sz w:val="14"/>
            <w:u w:val="single" w:color="006FC0"/>
          </w:rPr>
          <w:t>t</w:t>
        </w:r>
        <w:r>
          <w:rPr>
            <w:rFonts w:ascii="Arial"/>
            <w:w w:val="94"/>
            <w:sz w:val="14"/>
            <w:u w:val="single" w:color="006FC0"/>
          </w:rPr>
          <w:t>a</w:t>
        </w:r>
        <w:r>
          <w:rPr>
            <w:rFonts w:ascii="Arial"/>
            <w:w w:val="113"/>
            <w:sz w:val="14"/>
            <w:u w:val="single" w:color="006FC0"/>
          </w:rPr>
          <w:t>i</w:t>
        </w:r>
        <w:r>
          <w:rPr>
            <w:rFonts w:ascii="Arial"/>
            <w:spacing w:val="-1"/>
            <w:w w:val="117"/>
            <w:sz w:val="14"/>
            <w:u w:val="single" w:color="006FC0"/>
          </w:rPr>
          <w:t>l</w:t>
        </w:r>
        <w:r>
          <w:rPr>
            <w:rFonts w:ascii="Arial"/>
            <w:spacing w:val="1"/>
            <w:w w:val="93"/>
            <w:sz w:val="14"/>
            <w:u w:val="single" w:color="006FC0"/>
          </w:rPr>
          <w:t>s</w:t>
        </w:r>
        <w:r>
          <w:rPr>
            <w:rFonts w:ascii="Arial"/>
            <w:spacing w:val="-1"/>
            <w:w w:val="175"/>
            <w:sz w:val="14"/>
            <w:u w:val="single" w:color="006FC0"/>
          </w:rPr>
          <w:t>/</w:t>
        </w:r>
        <w:r>
          <w:rPr>
            <w:rFonts w:ascii="Arial"/>
            <w:spacing w:val="3"/>
            <w:w w:val="89"/>
            <w:sz w:val="14"/>
            <w:u w:val="single" w:color="006FC0"/>
          </w:rPr>
          <w:t>C</w:t>
        </w:r>
        <w:r>
          <w:rPr>
            <w:rFonts w:ascii="Arial"/>
            <w:spacing w:val="1"/>
            <w:w w:val="109"/>
            <w:sz w:val="14"/>
            <w:u w:val="single" w:color="006FC0"/>
          </w:rPr>
          <w:t>2</w:t>
        </w:r>
        <w:r>
          <w:rPr>
            <w:rFonts w:ascii="Arial"/>
            <w:w w:val="111"/>
            <w:sz w:val="14"/>
            <w:u w:val="single" w:color="006FC0"/>
          </w:rPr>
          <w:t>02</w:t>
        </w:r>
        <w:r>
          <w:rPr>
            <w:rFonts w:ascii="Arial"/>
            <w:sz w:val="14"/>
            <w:u w:val="single" w:color="006FC0"/>
          </w:rPr>
          <w:t>0C</w:t>
        </w:r>
        <w:r>
          <w:rPr>
            <w:rFonts w:ascii="Arial"/>
            <w:w w:val="114"/>
            <w:sz w:val="14"/>
            <w:u w:val="single" w:color="006FC0"/>
          </w:rPr>
          <w:t>00</w:t>
        </w:r>
        <w:r>
          <w:rPr>
            <w:rFonts w:ascii="Arial"/>
            <w:spacing w:val="-1"/>
            <w:w w:val="114"/>
            <w:sz w:val="14"/>
            <w:u w:val="single" w:color="006FC0"/>
          </w:rPr>
          <w:t>0</w:t>
        </w:r>
        <w:r>
          <w:rPr>
            <w:rFonts w:ascii="Arial"/>
            <w:spacing w:val="1"/>
            <w:w w:val="109"/>
            <w:sz w:val="14"/>
            <w:u w:val="single" w:color="006FC0"/>
          </w:rPr>
          <w:t>2</w:t>
        </w:r>
        <w:r>
          <w:rPr>
            <w:rFonts w:ascii="Arial"/>
            <w:spacing w:val="5"/>
            <w:w w:val="109"/>
            <w:sz w:val="14"/>
            <w:u w:val="single" w:color="006FC0"/>
          </w:rPr>
          <w:t>8</w:t>
        </w:r>
      </w:hyperlink>
      <w:r>
        <w:rPr>
          <w:rFonts w:ascii="Arial"/>
          <w:spacing w:val="-1"/>
          <w:w w:val="109"/>
          <w:sz w:val="14"/>
          <w:u w:val="single" w:color="006FC0"/>
        </w:rPr>
        <w:t>&gt;</w:t>
      </w:r>
      <w:r>
        <w:rPr>
          <w:rFonts w:ascii="Arial"/>
          <w:spacing w:val="-1"/>
          <w:w w:val="80"/>
          <w:sz w:val="14"/>
        </w:rPr>
        <w:t>.</w:t>
      </w:r>
    </w:p>
    <w:p w:rsidR="007D76BB" w:rsidRDefault="00D70D28">
      <w:pPr>
        <w:spacing w:before="79"/>
        <w:ind w:left="482"/>
        <w:rPr>
          <w:rFonts w:ascii="Arial" w:hAnsi="Arial"/>
          <w:sz w:val="14"/>
        </w:rPr>
      </w:pPr>
      <w:r>
        <w:rPr>
          <w:rFonts w:ascii="Arial" w:hAnsi="Arial"/>
          <w:color w:val="5B6761"/>
          <w:w w:val="105"/>
          <w:position w:val="5"/>
          <w:sz w:val="8"/>
        </w:rPr>
        <w:t xml:space="preserve">2 </w:t>
      </w:r>
      <w:r>
        <w:rPr>
          <w:rFonts w:ascii="Arial" w:hAnsi="Arial"/>
          <w:color w:val="5B6761"/>
          <w:w w:val="105"/>
          <w:sz w:val="14"/>
        </w:rPr>
        <w:t>‘Australia New Zealand Food Standards Code – Standard 2.9.4 – Formulated supplementary sports foods’, see</w:t>
      </w:r>
    </w:p>
    <w:p w:rsidR="007D76BB" w:rsidRDefault="00D70D28">
      <w:pPr>
        <w:spacing w:before="19"/>
        <w:ind w:left="477" w:right="5549"/>
        <w:jc w:val="center"/>
        <w:rPr>
          <w:rFonts w:ascii="Arial"/>
          <w:sz w:val="14"/>
        </w:rPr>
      </w:pPr>
      <w:r>
        <w:rPr>
          <w:rFonts w:ascii="Arial"/>
          <w:color w:val="5B6761"/>
          <w:spacing w:val="-1"/>
          <w:w w:val="109"/>
          <w:sz w:val="14"/>
        </w:rPr>
        <w:t>&lt;</w:t>
      </w:r>
      <w:hyperlink r:id="rId179">
        <w:r>
          <w:rPr>
            <w:rFonts w:ascii="Arial"/>
            <w:w w:val="111"/>
            <w:sz w:val="14"/>
            <w:u w:val="single" w:color="006FC0"/>
          </w:rPr>
          <w:t>http</w:t>
        </w:r>
        <w:r>
          <w:rPr>
            <w:rFonts w:ascii="Arial"/>
            <w:spacing w:val="-1"/>
            <w:w w:val="93"/>
            <w:sz w:val="14"/>
            <w:u w:val="single" w:color="006FC0"/>
          </w:rPr>
          <w:t>s</w:t>
        </w:r>
        <w:r>
          <w:rPr>
            <w:rFonts w:ascii="Arial"/>
            <w:w w:val="127"/>
            <w:sz w:val="14"/>
            <w:u w:val="single" w:color="006FC0"/>
          </w:rPr>
          <w:t>:</w:t>
        </w:r>
        <w:r>
          <w:rPr>
            <w:rFonts w:ascii="Arial"/>
            <w:spacing w:val="1"/>
            <w:w w:val="127"/>
            <w:sz w:val="14"/>
            <w:u w:val="single" w:color="006FC0"/>
          </w:rPr>
          <w:t>/</w:t>
        </w:r>
        <w:r>
          <w:rPr>
            <w:rFonts w:ascii="Arial"/>
            <w:spacing w:val="-1"/>
            <w:w w:val="175"/>
            <w:sz w:val="14"/>
            <w:u w:val="single" w:color="006FC0"/>
          </w:rPr>
          <w:t>/</w:t>
        </w:r>
        <w:r>
          <w:rPr>
            <w:rFonts w:ascii="Arial"/>
            <w:spacing w:val="1"/>
            <w:w w:val="98"/>
            <w:sz w:val="14"/>
            <w:u w:val="single" w:color="006FC0"/>
          </w:rPr>
          <w:t>www</w:t>
        </w:r>
        <w:r>
          <w:rPr>
            <w:rFonts w:ascii="Arial"/>
            <w:w w:val="96"/>
            <w:sz w:val="14"/>
            <w:u w:val="single" w:color="006FC0"/>
          </w:rPr>
          <w:t>.</w:t>
        </w:r>
        <w:r>
          <w:rPr>
            <w:rFonts w:ascii="Arial"/>
            <w:spacing w:val="-1"/>
            <w:w w:val="96"/>
            <w:sz w:val="14"/>
            <w:u w:val="single" w:color="006FC0"/>
          </w:rPr>
          <w:t>le</w:t>
        </w:r>
        <w:r>
          <w:rPr>
            <w:rFonts w:ascii="Arial"/>
            <w:sz w:val="14"/>
            <w:u w:val="single" w:color="006FC0"/>
          </w:rPr>
          <w:t>g</w:t>
        </w:r>
        <w:r>
          <w:rPr>
            <w:rFonts w:ascii="Arial"/>
            <w:w w:val="113"/>
            <w:sz w:val="14"/>
            <w:u w:val="single" w:color="006FC0"/>
          </w:rPr>
          <w:t>i</w:t>
        </w:r>
        <w:r>
          <w:rPr>
            <w:rFonts w:ascii="Arial"/>
            <w:spacing w:val="-1"/>
            <w:w w:val="93"/>
            <w:sz w:val="14"/>
            <w:u w:val="single" w:color="006FC0"/>
          </w:rPr>
          <w:t>s</w:t>
        </w:r>
        <w:r>
          <w:rPr>
            <w:rFonts w:ascii="Arial"/>
            <w:spacing w:val="-1"/>
            <w:w w:val="117"/>
            <w:sz w:val="14"/>
            <w:u w:val="single" w:color="006FC0"/>
          </w:rPr>
          <w:t>l</w:t>
        </w:r>
        <w:r>
          <w:rPr>
            <w:rFonts w:ascii="Arial"/>
            <w:w w:val="94"/>
            <w:sz w:val="14"/>
            <w:u w:val="single" w:color="006FC0"/>
          </w:rPr>
          <w:t>a</w:t>
        </w:r>
        <w:r>
          <w:rPr>
            <w:rFonts w:ascii="Arial"/>
            <w:w w:val="133"/>
            <w:sz w:val="14"/>
            <w:u w:val="single" w:color="006FC0"/>
          </w:rPr>
          <w:t>t</w:t>
        </w:r>
        <w:r>
          <w:rPr>
            <w:rFonts w:ascii="Arial"/>
            <w:w w:val="113"/>
            <w:sz w:val="14"/>
            <w:u w:val="single" w:color="006FC0"/>
          </w:rPr>
          <w:t>i</w:t>
        </w:r>
        <w:r>
          <w:rPr>
            <w:rFonts w:ascii="Arial"/>
            <w:spacing w:val="-1"/>
            <w:w w:val="99"/>
            <w:sz w:val="14"/>
            <w:u w:val="single" w:color="006FC0"/>
          </w:rPr>
          <w:t>o</w:t>
        </w:r>
        <w:r>
          <w:rPr>
            <w:rFonts w:ascii="Arial"/>
            <w:sz w:val="14"/>
            <w:u w:val="single" w:color="006FC0"/>
          </w:rPr>
          <w:t>n</w:t>
        </w:r>
        <w:r>
          <w:rPr>
            <w:rFonts w:ascii="Arial"/>
            <w:w w:val="93"/>
            <w:sz w:val="14"/>
            <w:u w:val="single" w:color="006FC0"/>
          </w:rPr>
          <w:t>.g</w:t>
        </w:r>
        <w:r>
          <w:rPr>
            <w:rFonts w:ascii="Arial"/>
            <w:spacing w:val="-1"/>
            <w:w w:val="99"/>
            <w:sz w:val="14"/>
            <w:u w:val="single" w:color="006FC0"/>
          </w:rPr>
          <w:t>o</w:t>
        </w:r>
        <w:r>
          <w:rPr>
            <w:rFonts w:ascii="Arial"/>
            <w:w w:val="101"/>
            <w:sz w:val="14"/>
            <w:u w:val="single" w:color="006FC0"/>
          </w:rPr>
          <w:t>v</w:t>
        </w:r>
        <w:r>
          <w:rPr>
            <w:rFonts w:ascii="Arial"/>
            <w:w w:val="89"/>
            <w:sz w:val="14"/>
            <w:u w:val="single" w:color="006FC0"/>
          </w:rPr>
          <w:t>.a</w:t>
        </w:r>
        <w:r>
          <w:rPr>
            <w:rFonts w:ascii="Arial"/>
            <w:sz w:val="14"/>
            <w:u w:val="single" w:color="006FC0"/>
          </w:rPr>
          <w:t>u</w:t>
        </w:r>
        <w:r>
          <w:rPr>
            <w:rFonts w:ascii="Arial"/>
            <w:spacing w:val="-1"/>
            <w:w w:val="175"/>
            <w:sz w:val="14"/>
            <w:u w:val="single" w:color="006FC0"/>
          </w:rPr>
          <w:t>/</w:t>
        </w:r>
        <w:r>
          <w:rPr>
            <w:rFonts w:ascii="Arial"/>
            <w:w w:val="93"/>
            <w:sz w:val="14"/>
            <w:u w:val="single" w:color="006FC0"/>
          </w:rPr>
          <w:t>D</w:t>
        </w:r>
        <w:r>
          <w:rPr>
            <w:rFonts w:ascii="Arial"/>
            <w:spacing w:val="-1"/>
            <w:w w:val="96"/>
            <w:sz w:val="14"/>
            <w:u w:val="single" w:color="006FC0"/>
          </w:rPr>
          <w:t>e</w:t>
        </w:r>
        <w:r>
          <w:rPr>
            <w:rFonts w:ascii="Arial"/>
            <w:w w:val="133"/>
            <w:sz w:val="14"/>
            <w:u w:val="single" w:color="006FC0"/>
          </w:rPr>
          <w:t>t</w:t>
        </w:r>
        <w:r>
          <w:rPr>
            <w:rFonts w:ascii="Arial"/>
            <w:w w:val="94"/>
            <w:sz w:val="14"/>
            <w:u w:val="single" w:color="006FC0"/>
          </w:rPr>
          <w:t>a</w:t>
        </w:r>
        <w:r>
          <w:rPr>
            <w:rFonts w:ascii="Arial"/>
            <w:w w:val="113"/>
            <w:sz w:val="14"/>
            <w:u w:val="single" w:color="006FC0"/>
          </w:rPr>
          <w:t>i</w:t>
        </w:r>
        <w:r>
          <w:rPr>
            <w:rFonts w:ascii="Arial"/>
            <w:spacing w:val="1"/>
            <w:w w:val="117"/>
            <w:sz w:val="14"/>
            <w:u w:val="single" w:color="006FC0"/>
          </w:rPr>
          <w:t>l</w:t>
        </w:r>
        <w:r>
          <w:rPr>
            <w:rFonts w:ascii="Arial"/>
            <w:spacing w:val="-1"/>
            <w:w w:val="93"/>
            <w:sz w:val="14"/>
            <w:u w:val="single" w:color="006FC0"/>
          </w:rPr>
          <w:t>s</w:t>
        </w:r>
        <w:r>
          <w:rPr>
            <w:rFonts w:ascii="Arial"/>
            <w:spacing w:val="-1"/>
            <w:w w:val="175"/>
            <w:sz w:val="14"/>
            <w:u w:val="single" w:color="006FC0"/>
          </w:rPr>
          <w:t>/</w:t>
        </w:r>
        <w:r>
          <w:rPr>
            <w:rFonts w:ascii="Arial"/>
            <w:w w:val="91"/>
            <w:sz w:val="14"/>
            <w:u w:val="single" w:color="006FC0"/>
          </w:rPr>
          <w:t>F</w:t>
        </w:r>
        <w:r>
          <w:rPr>
            <w:rFonts w:ascii="Arial"/>
            <w:spacing w:val="1"/>
            <w:w w:val="109"/>
            <w:sz w:val="14"/>
            <w:u w:val="single" w:color="006FC0"/>
          </w:rPr>
          <w:t>2</w:t>
        </w:r>
        <w:r>
          <w:rPr>
            <w:rFonts w:ascii="Arial"/>
            <w:w w:val="90"/>
            <w:sz w:val="14"/>
            <w:u w:val="single" w:color="006FC0"/>
          </w:rPr>
          <w:t>01</w:t>
        </w:r>
        <w:r>
          <w:rPr>
            <w:rFonts w:ascii="Arial"/>
            <w:spacing w:val="-1"/>
            <w:w w:val="93"/>
            <w:sz w:val="14"/>
            <w:u w:val="single" w:color="006FC0"/>
          </w:rPr>
          <w:t>7</w:t>
        </w:r>
        <w:r>
          <w:rPr>
            <w:rFonts w:ascii="Arial"/>
            <w:w w:val="89"/>
            <w:sz w:val="14"/>
            <w:u w:val="single" w:color="006FC0"/>
          </w:rPr>
          <w:t>C</w:t>
        </w:r>
        <w:r>
          <w:rPr>
            <w:rFonts w:ascii="Arial"/>
            <w:w w:val="110"/>
            <w:sz w:val="14"/>
            <w:u w:val="single" w:color="006FC0"/>
          </w:rPr>
          <w:t>0033</w:t>
        </w:r>
        <w:r>
          <w:rPr>
            <w:rFonts w:ascii="Arial"/>
            <w:spacing w:val="6"/>
            <w:w w:val="106"/>
            <w:sz w:val="14"/>
            <w:u w:val="single" w:color="006FC0"/>
          </w:rPr>
          <w:t>6</w:t>
        </w:r>
      </w:hyperlink>
      <w:r>
        <w:rPr>
          <w:rFonts w:ascii="Arial"/>
          <w:spacing w:val="-1"/>
          <w:w w:val="109"/>
          <w:sz w:val="14"/>
          <w:u w:val="single" w:color="006FC0"/>
        </w:rPr>
        <w:t>&gt;</w:t>
      </w:r>
      <w:r>
        <w:rPr>
          <w:rFonts w:ascii="Arial"/>
          <w:spacing w:val="-1"/>
          <w:w w:val="80"/>
          <w:sz w:val="14"/>
        </w:rPr>
        <w:t>.</w:t>
      </w:r>
    </w:p>
    <w:p w:rsidR="007D76BB" w:rsidRDefault="00D70D28">
      <w:pPr>
        <w:spacing w:before="79"/>
        <w:ind w:left="477" w:right="5621"/>
        <w:jc w:val="center"/>
        <w:rPr>
          <w:rFonts w:ascii="Arial"/>
          <w:sz w:val="14"/>
        </w:rPr>
      </w:pPr>
      <w:proofErr w:type="gramStart"/>
      <w:r>
        <w:rPr>
          <w:rFonts w:ascii="Arial"/>
          <w:color w:val="5B6761"/>
          <w:w w:val="107"/>
          <w:position w:val="5"/>
          <w:sz w:val="8"/>
        </w:rPr>
        <w:t>3</w:t>
      </w:r>
      <w:r>
        <w:rPr>
          <w:rFonts w:ascii="Arial"/>
          <w:color w:val="5B6761"/>
          <w:position w:val="5"/>
          <w:sz w:val="8"/>
        </w:rPr>
        <w:t xml:space="preserve"> </w:t>
      </w:r>
      <w:r>
        <w:rPr>
          <w:rFonts w:ascii="Arial"/>
          <w:color w:val="5B6761"/>
          <w:spacing w:val="-11"/>
          <w:position w:val="5"/>
          <w:sz w:val="8"/>
        </w:rPr>
        <w:t xml:space="preserve"> </w:t>
      </w:r>
      <w:r>
        <w:rPr>
          <w:rFonts w:ascii="Arial"/>
          <w:color w:val="5B6761"/>
          <w:w w:val="89"/>
          <w:sz w:val="14"/>
        </w:rPr>
        <w:t>S</w:t>
      </w:r>
      <w:r>
        <w:rPr>
          <w:rFonts w:ascii="Arial"/>
          <w:color w:val="5B6761"/>
          <w:spacing w:val="-1"/>
          <w:w w:val="96"/>
          <w:sz w:val="14"/>
        </w:rPr>
        <w:t>e</w:t>
      </w:r>
      <w:r>
        <w:rPr>
          <w:rFonts w:ascii="Arial"/>
          <w:color w:val="5B6761"/>
          <w:w w:val="96"/>
          <w:sz w:val="14"/>
        </w:rPr>
        <w:t>e</w:t>
      </w:r>
      <w:proofErr w:type="gramEnd"/>
      <w:r>
        <w:rPr>
          <w:rFonts w:ascii="Arial"/>
          <w:color w:val="5B6761"/>
          <w:spacing w:val="-7"/>
          <w:sz w:val="14"/>
        </w:rPr>
        <w:t xml:space="preserve"> </w:t>
      </w:r>
      <w:r>
        <w:rPr>
          <w:rFonts w:ascii="Arial"/>
          <w:color w:val="5B6761"/>
          <w:spacing w:val="-1"/>
          <w:w w:val="109"/>
          <w:sz w:val="14"/>
        </w:rPr>
        <w:t>&lt;</w:t>
      </w:r>
      <w:hyperlink r:id="rId180">
        <w:r>
          <w:rPr>
            <w:rFonts w:ascii="Arial"/>
            <w:sz w:val="14"/>
            <w:u w:val="single" w:color="006FC0"/>
          </w:rPr>
          <w:t>h</w:t>
        </w:r>
        <w:r>
          <w:rPr>
            <w:rFonts w:ascii="Arial"/>
            <w:w w:val="133"/>
            <w:sz w:val="14"/>
            <w:u w:val="single" w:color="006FC0"/>
          </w:rPr>
          <w:t>tt</w:t>
        </w:r>
        <w:r>
          <w:rPr>
            <w:rFonts w:ascii="Arial"/>
            <w:sz w:val="14"/>
            <w:u w:val="single" w:color="006FC0"/>
          </w:rPr>
          <w:t>p</w:t>
        </w:r>
        <w:r>
          <w:rPr>
            <w:rFonts w:ascii="Arial"/>
            <w:spacing w:val="-1"/>
            <w:w w:val="93"/>
            <w:sz w:val="14"/>
            <w:u w:val="single" w:color="006FC0"/>
          </w:rPr>
          <w:t>s</w:t>
        </w:r>
        <w:r>
          <w:rPr>
            <w:rFonts w:ascii="Arial"/>
            <w:w w:val="127"/>
            <w:sz w:val="14"/>
            <w:u w:val="single" w:color="006FC0"/>
          </w:rPr>
          <w:t>:</w:t>
        </w:r>
        <w:r>
          <w:rPr>
            <w:rFonts w:ascii="Arial"/>
            <w:spacing w:val="1"/>
            <w:w w:val="127"/>
            <w:sz w:val="14"/>
            <w:u w:val="single" w:color="006FC0"/>
          </w:rPr>
          <w:t>/</w:t>
        </w:r>
        <w:r>
          <w:rPr>
            <w:rFonts w:ascii="Arial"/>
            <w:spacing w:val="-1"/>
            <w:w w:val="175"/>
            <w:sz w:val="14"/>
            <w:u w:val="single" w:color="006FC0"/>
          </w:rPr>
          <w:t>/</w:t>
        </w:r>
        <w:r>
          <w:rPr>
            <w:rFonts w:ascii="Arial"/>
            <w:spacing w:val="1"/>
            <w:w w:val="98"/>
            <w:sz w:val="14"/>
            <w:u w:val="single" w:color="006FC0"/>
          </w:rPr>
          <w:t>www</w:t>
        </w:r>
        <w:r>
          <w:rPr>
            <w:rFonts w:ascii="Arial"/>
            <w:w w:val="88"/>
            <w:sz w:val="14"/>
            <w:u w:val="single" w:color="006FC0"/>
          </w:rPr>
          <w:t>.</w:t>
        </w:r>
        <w:r>
          <w:rPr>
            <w:rFonts w:ascii="Arial"/>
            <w:spacing w:val="-1"/>
            <w:w w:val="88"/>
            <w:sz w:val="14"/>
            <w:u w:val="single" w:color="006FC0"/>
          </w:rPr>
          <w:t>s</w:t>
        </w:r>
        <w:r>
          <w:rPr>
            <w:rFonts w:ascii="Arial"/>
            <w:w w:val="94"/>
            <w:sz w:val="14"/>
            <w:u w:val="single" w:color="006FC0"/>
          </w:rPr>
          <w:t>a</w:t>
        </w:r>
        <w:r>
          <w:rPr>
            <w:rFonts w:ascii="Arial"/>
            <w:w w:val="101"/>
            <w:sz w:val="14"/>
            <w:u w:val="single" w:color="006FC0"/>
          </w:rPr>
          <w:t>v</w:t>
        </w:r>
        <w:r>
          <w:rPr>
            <w:rFonts w:ascii="Arial"/>
            <w:spacing w:val="-1"/>
            <w:w w:val="96"/>
            <w:sz w:val="14"/>
            <w:u w:val="single" w:color="006FC0"/>
          </w:rPr>
          <w:t>e</w:t>
        </w:r>
        <w:r>
          <w:rPr>
            <w:rFonts w:ascii="Arial"/>
            <w:w w:val="94"/>
            <w:sz w:val="14"/>
            <w:u w:val="single" w:color="006FC0"/>
          </w:rPr>
          <w:t>a</w:t>
        </w:r>
        <w:r>
          <w:rPr>
            <w:rFonts w:ascii="Arial"/>
            <w:sz w:val="14"/>
            <w:u w:val="single" w:color="006FC0"/>
          </w:rPr>
          <w:t>u</w:t>
        </w:r>
        <w:r>
          <w:rPr>
            <w:rFonts w:ascii="Arial"/>
            <w:spacing w:val="-1"/>
            <w:w w:val="93"/>
            <w:sz w:val="14"/>
            <w:u w:val="single" w:color="006FC0"/>
          </w:rPr>
          <w:t>ss</w:t>
        </w:r>
        <w:r>
          <w:rPr>
            <w:rFonts w:ascii="Arial"/>
            <w:w w:val="113"/>
            <w:sz w:val="14"/>
            <w:u w:val="single" w:color="006FC0"/>
          </w:rPr>
          <w:t>i</w:t>
        </w:r>
        <w:r>
          <w:rPr>
            <w:rFonts w:ascii="Arial"/>
            <w:spacing w:val="-1"/>
            <w:w w:val="96"/>
            <w:sz w:val="14"/>
            <w:u w:val="single" w:color="006FC0"/>
          </w:rPr>
          <w:t>e</w:t>
        </w:r>
        <w:r>
          <w:rPr>
            <w:rFonts w:ascii="Arial"/>
            <w:spacing w:val="-1"/>
            <w:w w:val="93"/>
            <w:sz w:val="14"/>
            <w:u w:val="single" w:color="006FC0"/>
          </w:rPr>
          <w:t>s</w:t>
        </w:r>
        <w:r>
          <w:rPr>
            <w:rFonts w:ascii="Arial"/>
            <w:sz w:val="14"/>
            <w:u w:val="single" w:color="006FC0"/>
          </w:rPr>
          <w:t>upp</w:t>
        </w:r>
        <w:r>
          <w:rPr>
            <w:rFonts w:ascii="Arial"/>
            <w:spacing w:val="-1"/>
            <w:w w:val="117"/>
            <w:sz w:val="14"/>
            <w:u w:val="single" w:color="006FC0"/>
          </w:rPr>
          <w:t>l</w:t>
        </w:r>
        <w:r>
          <w:rPr>
            <w:rFonts w:ascii="Arial"/>
            <w:spacing w:val="1"/>
            <w:w w:val="96"/>
            <w:sz w:val="14"/>
            <w:u w:val="single" w:color="006FC0"/>
          </w:rPr>
          <w:t>e</w:t>
        </w:r>
        <w:r>
          <w:rPr>
            <w:rFonts w:ascii="Arial"/>
            <w:spacing w:val="2"/>
            <w:sz w:val="14"/>
            <w:u w:val="single" w:color="006FC0"/>
          </w:rPr>
          <w:t>m</w:t>
        </w:r>
        <w:r>
          <w:rPr>
            <w:rFonts w:ascii="Arial"/>
            <w:spacing w:val="-1"/>
            <w:w w:val="96"/>
            <w:sz w:val="14"/>
            <w:u w:val="single" w:color="006FC0"/>
          </w:rPr>
          <w:t>e</w:t>
        </w:r>
        <w:r>
          <w:rPr>
            <w:rFonts w:ascii="Arial"/>
            <w:sz w:val="14"/>
            <w:u w:val="single" w:color="006FC0"/>
          </w:rPr>
          <w:t>n</w:t>
        </w:r>
        <w:r>
          <w:rPr>
            <w:rFonts w:ascii="Arial"/>
            <w:w w:val="133"/>
            <w:sz w:val="14"/>
            <w:u w:val="single" w:color="006FC0"/>
          </w:rPr>
          <w:t>t</w:t>
        </w:r>
        <w:r>
          <w:rPr>
            <w:rFonts w:ascii="Arial"/>
            <w:spacing w:val="-1"/>
            <w:w w:val="93"/>
            <w:sz w:val="14"/>
            <w:u w:val="single" w:color="006FC0"/>
          </w:rPr>
          <w:t>s</w:t>
        </w:r>
        <w:r>
          <w:rPr>
            <w:rFonts w:ascii="Arial"/>
            <w:w w:val="95"/>
            <w:sz w:val="14"/>
            <w:u w:val="single" w:color="006FC0"/>
          </w:rPr>
          <w:t>.c</w:t>
        </w:r>
        <w:r>
          <w:rPr>
            <w:rFonts w:ascii="Arial"/>
            <w:spacing w:val="1"/>
            <w:w w:val="95"/>
            <w:sz w:val="14"/>
            <w:u w:val="single" w:color="006FC0"/>
          </w:rPr>
          <w:t>o</w:t>
        </w:r>
        <w:r>
          <w:rPr>
            <w:rFonts w:ascii="Arial"/>
            <w:w w:val="95"/>
            <w:sz w:val="14"/>
            <w:u w:val="single" w:color="006FC0"/>
          </w:rPr>
          <w:t>m</w:t>
        </w:r>
        <w:r>
          <w:rPr>
            <w:rFonts w:ascii="Arial"/>
            <w:spacing w:val="3"/>
            <w:w w:val="95"/>
            <w:sz w:val="14"/>
            <w:u w:val="single" w:color="006FC0"/>
          </w:rPr>
          <w:t>.</w:t>
        </w:r>
        <w:r>
          <w:rPr>
            <w:rFonts w:ascii="Arial"/>
            <w:w w:val="94"/>
            <w:sz w:val="14"/>
            <w:u w:val="single" w:color="006FC0"/>
          </w:rPr>
          <w:t>a</w:t>
        </w:r>
        <w:r>
          <w:rPr>
            <w:rFonts w:ascii="Arial"/>
            <w:sz w:val="14"/>
            <w:u w:val="single" w:color="006FC0"/>
          </w:rPr>
          <w:t>u</w:t>
        </w:r>
        <w:r>
          <w:rPr>
            <w:rFonts w:ascii="Arial"/>
            <w:spacing w:val="-1"/>
            <w:w w:val="175"/>
            <w:sz w:val="14"/>
            <w:u w:val="single" w:color="006FC0"/>
          </w:rPr>
          <w:t>/</w:t>
        </w:r>
        <w:r>
          <w:rPr>
            <w:rFonts w:ascii="Arial"/>
            <w:spacing w:val="-1"/>
            <w:w w:val="119"/>
            <w:sz w:val="14"/>
            <w:u w:val="single" w:color="006FC0"/>
          </w:rPr>
          <w:t>f</w:t>
        </w:r>
        <w:r>
          <w:rPr>
            <w:rFonts w:ascii="Arial"/>
            <w:w w:val="94"/>
            <w:sz w:val="14"/>
            <w:u w:val="single" w:color="006FC0"/>
          </w:rPr>
          <w:t>a</w:t>
        </w:r>
        <w:r>
          <w:rPr>
            <w:rFonts w:ascii="Arial"/>
            <w:sz w:val="14"/>
            <w:u w:val="single" w:color="006FC0"/>
          </w:rPr>
          <w:t>q</w:t>
        </w:r>
        <w:r>
          <w:rPr>
            <w:rFonts w:ascii="Arial"/>
            <w:spacing w:val="1"/>
            <w:w w:val="93"/>
            <w:sz w:val="14"/>
            <w:u w:val="single" w:color="006FC0"/>
          </w:rPr>
          <w:t>s</w:t>
        </w:r>
        <w:r>
          <w:rPr>
            <w:rFonts w:ascii="Arial"/>
            <w:spacing w:val="-1"/>
            <w:w w:val="175"/>
            <w:sz w:val="14"/>
            <w:u w:val="single" w:color="006FC0"/>
          </w:rPr>
          <w:t>/</w:t>
        </w:r>
      </w:hyperlink>
      <w:r>
        <w:rPr>
          <w:rFonts w:ascii="Arial"/>
          <w:spacing w:val="-1"/>
          <w:w w:val="109"/>
          <w:sz w:val="14"/>
          <w:u w:val="single" w:color="006FC0"/>
        </w:rPr>
        <w:t>&gt;</w:t>
      </w:r>
      <w:r>
        <w:rPr>
          <w:rFonts w:ascii="Arial"/>
          <w:spacing w:val="-1"/>
          <w:w w:val="80"/>
          <w:sz w:val="14"/>
        </w:rPr>
        <w:t>.</w:t>
      </w:r>
    </w:p>
    <w:p w:rsidR="007D76BB" w:rsidRDefault="007D76BB">
      <w:pPr>
        <w:jc w:val="center"/>
        <w:rPr>
          <w:rFonts w:ascii="Arial"/>
          <w:sz w:val="14"/>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8"/>
        </w:rPr>
      </w:pPr>
    </w:p>
    <w:p w:rsidR="007D76BB" w:rsidRDefault="00D70D28">
      <w:pPr>
        <w:pStyle w:val="ListParagraph"/>
        <w:numPr>
          <w:ilvl w:val="0"/>
          <w:numId w:val="10"/>
        </w:numPr>
        <w:tabs>
          <w:tab w:val="left" w:pos="766"/>
        </w:tabs>
        <w:spacing w:before="108" w:line="264" w:lineRule="auto"/>
        <w:ind w:right="1370"/>
        <w:rPr>
          <w:rFonts w:ascii="Arial" w:hAnsi="Arial"/>
          <w:sz w:val="11"/>
        </w:rPr>
      </w:pPr>
      <w:r>
        <w:rPr>
          <w:rFonts w:ascii="Arial" w:hAnsi="Arial"/>
          <w:w w:val="105"/>
          <w:sz w:val="19"/>
        </w:rPr>
        <w:t>Clarify</w:t>
      </w:r>
      <w:r>
        <w:rPr>
          <w:rFonts w:ascii="Arial" w:hAnsi="Arial"/>
          <w:spacing w:val="-30"/>
          <w:w w:val="105"/>
          <w:sz w:val="19"/>
        </w:rPr>
        <w:t xml:space="preserve"> </w:t>
      </w:r>
      <w:r>
        <w:rPr>
          <w:rFonts w:ascii="Arial" w:hAnsi="Arial"/>
          <w:w w:val="105"/>
          <w:sz w:val="19"/>
        </w:rPr>
        <w:t>that</w:t>
      </w:r>
      <w:r>
        <w:rPr>
          <w:rFonts w:ascii="Arial" w:hAnsi="Arial"/>
          <w:spacing w:val="-31"/>
          <w:w w:val="105"/>
          <w:sz w:val="19"/>
        </w:rPr>
        <w:t xml:space="preserve"> </w:t>
      </w:r>
      <w:r>
        <w:rPr>
          <w:rFonts w:ascii="Arial" w:hAnsi="Arial"/>
          <w:w w:val="105"/>
          <w:sz w:val="19"/>
        </w:rPr>
        <w:t>substances</w:t>
      </w:r>
      <w:r>
        <w:rPr>
          <w:rFonts w:ascii="Arial" w:hAnsi="Arial"/>
          <w:spacing w:val="-31"/>
          <w:w w:val="105"/>
          <w:sz w:val="19"/>
        </w:rPr>
        <w:t xml:space="preserve"> </w:t>
      </w:r>
      <w:r>
        <w:rPr>
          <w:rFonts w:ascii="Arial" w:hAnsi="Arial"/>
          <w:w w:val="105"/>
          <w:sz w:val="19"/>
        </w:rPr>
        <w:t>included</w:t>
      </w:r>
      <w:r>
        <w:rPr>
          <w:rFonts w:ascii="Arial" w:hAnsi="Arial"/>
          <w:spacing w:val="-30"/>
          <w:w w:val="105"/>
          <w:sz w:val="19"/>
        </w:rPr>
        <w:t xml:space="preserve"> </w:t>
      </w:r>
      <w:r>
        <w:rPr>
          <w:rFonts w:ascii="Arial" w:hAnsi="Arial"/>
          <w:w w:val="105"/>
          <w:sz w:val="19"/>
        </w:rPr>
        <w:t>in</w:t>
      </w:r>
      <w:r>
        <w:rPr>
          <w:rFonts w:ascii="Arial" w:hAnsi="Arial"/>
          <w:spacing w:val="-30"/>
          <w:w w:val="105"/>
          <w:sz w:val="19"/>
        </w:rPr>
        <w:t xml:space="preserve"> </w:t>
      </w:r>
      <w:r>
        <w:rPr>
          <w:rFonts w:ascii="Arial" w:hAnsi="Arial"/>
          <w:w w:val="105"/>
          <w:sz w:val="19"/>
        </w:rPr>
        <w:t>the</w:t>
      </w:r>
      <w:r>
        <w:rPr>
          <w:rFonts w:ascii="Arial" w:hAnsi="Arial"/>
          <w:spacing w:val="-30"/>
          <w:w w:val="105"/>
          <w:sz w:val="19"/>
        </w:rPr>
        <w:t xml:space="preserve"> </w:t>
      </w:r>
      <w:r>
        <w:rPr>
          <w:rFonts w:ascii="Arial" w:hAnsi="Arial"/>
          <w:w w:val="105"/>
          <w:sz w:val="19"/>
        </w:rPr>
        <w:t>World</w:t>
      </w:r>
      <w:r>
        <w:rPr>
          <w:rFonts w:ascii="Arial" w:hAnsi="Arial"/>
          <w:spacing w:val="-31"/>
          <w:w w:val="105"/>
          <w:sz w:val="19"/>
        </w:rPr>
        <w:t xml:space="preserve"> </w:t>
      </w:r>
      <w:r>
        <w:rPr>
          <w:rFonts w:ascii="Arial" w:hAnsi="Arial"/>
          <w:w w:val="105"/>
          <w:sz w:val="19"/>
        </w:rPr>
        <w:t>Anti-Doping</w:t>
      </w:r>
      <w:r>
        <w:rPr>
          <w:rFonts w:ascii="Arial" w:hAnsi="Arial"/>
          <w:spacing w:val="-30"/>
          <w:w w:val="105"/>
          <w:sz w:val="19"/>
        </w:rPr>
        <w:t xml:space="preserve"> </w:t>
      </w:r>
      <w:r>
        <w:rPr>
          <w:rFonts w:ascii="Arial" w:hAnsi="Arial"/>
          <w:w w:val="105"/>
          <w:sz w:val="19"/>
        </w:rPr>
        <w:t>Code</w:t>
      </w:r>
      <w:r>
        <w:rPr>
          <w:rFonts w:ascii="Arial" w:hAnsi="Arial"/>
          <w:spacing w:val="-29"/>
          <w:w w:val="105"/>
          <w:sz w:val="19"/>
        </w:rPr>
        <w:t xml:space="preserve"> </w:t>
      </w:r>
      <w:r>
        <w:rPr>
          <w:rFonts w:ascii="Arial" w:hAnsi="Arial"/>
          <w:w w:val="105"/>
          <w:sz w:val="19"/>
        </w:rPr>
        <w:t>(WADC)</w:t>
      </w:r>
      <w:r>
        <w:rPr>
          <w:rFonts w:ascii="Arial" w:hAnsi="Arial"/>
          <w:spacing w:val="-30"/>
          <w:w w:val="105"/>
          <w:sz w:val="19"/>
        </w:rPr>
        <w:t xml:space="preserve"> </w:t>
      </w:r>
      <w:r>
        <w:rPr>
          <w:rFonts w:ascii="Arial" w:hAnsi="Arial"/>
          <w:w w:val="105"/>
          <w:sz w:val="19"/>
        </w:rPr>
        <w:t>Prohibited</w:t>
      </w:r>
      <w:r>
        <w:rPr>
          <w:rFonts w:ascii="Arial" w:hAnsi="Arial"/>
          <w:spacing w:val="-31"/>
          <w:w w:val="105"/>
          <w:sz w:val="19"/>
        </w:rPr>
        <w:t xml:space="preserve"> </w:t>
      </w:r>
      <w:r>
        <w:rPr>
          <w:rFonts w:ascii="Arial" w:hAnsi="Arial"/>
          <w:w w:val="105"/>
          <w:sz w:val="19"/>
        </w:rPr>
        <w:t>List,</w:t>
      </w:r>
      <w:r>
        <w:rPr>
          <w:rFonts w:ascii="Arial" w:hAnsi="Arial"/>
          <w:spacing w:val="-30"/>
          <w:w w:val="105"/>
          <w:sz w:val="19"/>
        </w:rPr>
        <w:t xml:space="preserve"> </w:t>
      </w:r>
      <w:r>
        <w:rPr>
          <w:rFonts w:ascii="Arial" w:hAnsi="Arial"/>
          <w:w w:val="105"/>
          <w:sz w:val="19"/>
        </w:rPr>
        <w:t>the Poisons</w:t>
      </w:r>
      <w:r>
        <w:rPr>
          <w:rFonts w:ascii="Arial" w:hAnsi="Arial"/>
          <w:spacing w:val="-25"/>
          <w:w w:val="105"/>
          <w:sz w:val="19"/>
        </w:rPr>
        <w:t xml:space="preserve"> </w:t>
      </w:r>
      <w:r>
        <w:rPr>
          <w:rFonts w:ascii="Arial" w:hAnsi="Arial"/>
          <w:w w:val="105"/>
          <w:sz w:val="19"/>
        </w:rPr>
        <w:t>Standard,</w:t>
      </w:r>
      <w:r>
        <w:rPr>
          <w:rFonts w:ascii="Arial" w:hAnsi="Arial"/>
          <w:spacing w:val="-24"/>
          <w:w w:val="105"/>
          <w:sz w:val="19"/>
        </w:rPr>
        <w:t xml:space="preserve"> </w:t>
      </w:r>
      <w:r>
        <w:rPr>
          <w:rFonts w:ascii="Arial" w:hAnsi="Arial"/>
          <w:w w:val="105"/>
          <w:sz w:val="19"/>
        </w:rPr>
        <w:t>or</w:t>
      </w:r>
      <w:r>
        <w:rPr>
          <w:rFonts w:ascii="Arial" w:hAnsi="Arial"/>
          <w:spacing w:val="-25"/>
          <w:w w:val="105"/>
          <w:sz w:val="19"/>
        </w:rPr>
        <w:t xml:space="preserve"> </w:t>
      </w:r>
      <w:r>
        <w:rPr>
          <w:rFonts w:ascii="Arial" w:hAnsi="Arial"/>
          <w:w w:val="105"/>
          <w:sz w:val="19"/>
        </w:rPr>
        <w:t>the</w:t>
      </w:r>
      <w:r>
        <w:rPr>
          <w:rFonts w:ascii="Arial" w:hAnsi="Arial"/>
          <w:spacing w:val="-24"/>
          <w:w w:val="105"/>
          <w:sz w:val="19"/>
        </w:rPr>
        <w:t xml:space="preserve"> </w:t>
      </w:r>
      <w:r>
        <w:rPr>
          <w:rFonts w:ascii="Arial" w:hAnsi="Arial"/>
          <w:w w:val="105"/>
          <w:sz w:val="19"/>
        </w:rPr>
        <w:t>relevant</w:t>
      </w:r>
      <w:r>
        <w:rPr>
          <w:rFonts w:ascii="Arial" w:hAnsi="Arial"/>
          <w:spacing w:val="-24"/>
          <w:w w:val="105"/>
          <w:sz w:val="19"/>
        </w:rPr>
        <w:t xml:space="preserve"> </w:t>
      </w:r>
      <w:r>
        <w:rPr>
          <w:rFonts w:ascii="Arial" w:hAnsi="Arial"/>
          <w:w w:val="105"/>
          <w:sz w:val="19"/>
        </w:rPr>
        <w:t>substances</w:t>
      </w:r>
      <w:r>
        <w:rPr>
          <w:rFonts w:ascii="Arial" w:hAnsi="Arial"/>
          <w:spacing w:val="-24"/>
          <w:w w:val="105"/>
          <w:sz w:val="19"/>
        </w:rPr>
        <w:t xml:space="preserve"> </w:t>
      </w:r>
      <w:r>
        <w:rPr>
          <w:rFonts w:ascii="Arial" w:hAnsi="Arial"/>
          <w:w w:val="105"/>
          <w:sz w:val="19"/>
        </w:rPr>
        <w:t>list,</w:t>
      </w:r>
      <w:r>
        <w:rPr>
          <w:rFonts w:ascii="Arial" w:hAnsi="Arial"/>
          <w:spacing w:val="-23"/>
          <w:w w:val="105"/>
          <w:sz w:val="19"/>
        </w:rPr>
        <w:t xml:space="preserve"> </w:t>
      </w:r>
      <w:r>
        <w:rPr>
          <w:rFonts w:ascii="Arial" w:hAnsi="Arial"/>
          <w:w w:val="105"/>
          <w:sz w:val="19"/>
        </w:rPr>
        <w:t>are</w:t>
      </w:r>
      <w:r>
        <w:rPr>
          <w:rFonts w:ascii="Arial" w:hAnsi="Arial"/>
          <w:spacing w:val="-24"/>
          <w:w w:val="105"/>
          <w:sz w:val="19"/>
        </w:rPr>
        <w:t xml:space="preserve"> </w:t>
      </w:r>
      <w:r>
        <w:rPr>
          <w:rFonts w:ascii="Arial" w:hAnsi="Arial"/>
          <w:w w:val="105"/>
          <w:sz w:val="19"/>
        </w:rPr>
        <w:t>in-scope</w:t>
      </w:r>
      <w:r>
        <w:rPr>
          <w:rFonts w:ascii="Arial" w:hAnsi="Arial"/>
          <w:spacing w:val="-24"/>
          <w:w w:val="105"/>
          <w:sz w:val="19"/>
        </w:rPr>
        <w:t xml:space="preserve"> </w:t>
      </w:r>
      <w:r>
        <w:rPr>
          <w:rFonts w:ascii="Arial" w:hAnsi="Arial"/>
          <w:w w:val="105"/>
          <w:sz w:val="19"/>
        </w:rPr>
        <w:t>of</w:t>
      </w:r>
      <w:r>
        <w:rPr>
          <w:rFonts w:ascii="Arial" w:hAnsi="Arial"/>
          <w:spacing w:val="-26"/>
          <w:w w:val="105"/>
          <w:sz w:val="19"/>
        </w:rPr>
        <w:t xml:space="preserve"> </w:t>
      </w:r>
      <w:r>
        <w:rPr>
          <w:rFonts w:ascii="Arial" w:hAnsi="Arial"/>
          <w:w w:val="105"/>
          <w:sz w:val="19"/>
        </w:rPr>
        <w:t>the</w:t>
      </w:r>
      <w:r>
        <w:rPr>
          <w:rFonts w:ascii="Arial" w:hAnsi="Arial"/>
          <w:spacing w:val="-26"/>
          <w:w w:val="105"/>
          <w:sz w:val="19"/>
        </w:rPr>
        <w:t xml:space="preserve"> </w:t>
      </w:r>
      <w:r>
        <w:rPr>
          <w:rFonts w:ascii="Arial" w:hAnsi="Arial"/>
          <w:w w:val="105"/>
          <w:sz w:val="19"/>
        </w:rPr>
        <w:t>declaration</w:t>
      </w:r>
      <w:r>
        <w:rPr>
          <w:rFonts w:ascii="Arial" w:hAnsi="Arial"/>
          <w:spacing w:val="-21"/>
          <w:w w:val="105"/>
          <w:sz w:val="19"/>
        </w:rPr>
        <w:t xml:space="preserve"> </w:t>
      </w:r>
      <w:r>
        <w:rPr>
          <w:rFonts w:ascii="Arial" w:hAnsi="Arial"/>
          <w:w w:val="105"/>
          <w:sz w:val="19"/>
        </w:rPr>
        <w:t>only</w:t>
      </w:r>
      <w:r>
        <w:rPr>
          <w:rFonts w:ascii="Arial" w:hAnsi="Arial"/>
          <w:spacing w:val="-25"/>
          <w:w w:val="105"/>
          <w:sz w:val="19"/>
        </w:rPr>
        <w:t xml:space="preserve"> </w:t>
      </w:r>
      <w:r>
        <w:rPr>
          <w:rFonts w:ascii="Arial" w:hAnsi="Arial"/>
          <w:w w:val="105"/>
          <w:sz w:val="19"/>
        </w:rPr>
        <w:t>if</w:t>
      </w:r>
      <w:r>
        <w:rPr>
          <w:rFonts w:ascii="Arial" w:hAnsi="Arial"/>
          <w:spacing w:val="-25"/>
          <w:w w:val="105"/>
          <w:sz w:val="19"/>
        </w:rPr>
        <w:t xml:space="preserve"> </w:t>
      </w:r>
      <w:r>
        <w:rPr>
          <w:rFonts w:ascii="Arial" w:hAnsi="Arial"/>
          <w:w w:val="105"/>
          <w:sz w:val="19"/>
        </w:rPr>
        <w:t>the substances</w:t>
      </w:r>
      <w:r>
        <w:rPr>
          <w:rFonts w:ascii="Arial" w:hAnsi="Arial"/>
          <w:spacing w:val="-22"/>
          <w:w w:val="105"/>
          <w:sz w:val="19"/>
        </w:rPr>
        <w:t xml:space="preserve"> </w:t>
      </w:r>
      <w:r>
        <w:rPr>
          <w:rFonts w:ascii="Arial" w:hAnsi="Arial"/>
          <w:w w:val="105"/>
          <w:sz w:val="19"/>
        </w:rPr>
        <w:t>are</w:t>
      </w:r>
      <w:r>
        <w:rPr>
          <w:rFonts w:ascii="Arial" w:hAnsi="Arial"/>
          <w:spacing w:val="-21"/>
          <w:w w:val="105"/>
          <w:sz w:val="19"/>
        </w:rPr>
        <w:t xml:space="preserve"> </w:t>
      </w:r>
      <w:r>
        <w:rPr>
          <w:rFonts w:ascii="Arial" w:hAnsi="Arial"/>
          <w:w w:val="105"/>
          <w:sz w:val="19"/>
        </w:rPr>
        <w:t>added</w:t>
      </w:r>
      <w:r>
        <w:rPr>
          <w:rFonts w:ascii="Arial" w:hAnsi="Arial"/>
          <w:spacing w:val="-22"/>
          <w:w w:val="105"/>
          <w:sz w:val="19"/>
        </w:rPr>
        <w:t xml:space="preserve"> </w:t>
      </w:r>
      <w:r>
        <w:rPr>
          <w:rFonts w:ascii="Arial" w:hAnsi="Arial"/>
          <w:w w:val="105"/>
          <w:sz w:val="19"/>
        </w:rPr>
        <w:t>as</w:t>
      </w:r>
      <w:r>
        <w:rPr>
          <w:rFonts w:ascii="Arial" w:hAnsi="Arial"/>
          <w:spacing w:val="-21"/>
          <w:w w:val="105"/>
          <w:sz w:val="19"/>
        </w:rPr>
        <w:t xml:space="preserve"> </w:t>
      </w:r>
      <w:r>
        <w:rPr>
          <w:rFonts w:ascii="Arial" w:hAnsi="Arial"/>
          <w:w w:val="105"/>
          <w:sz w:val="19"/>
        </w:rPr>
        <w:t>ingredients</w:t>
      </w:r>
      <w:r>
        <w:rPr>
          <w:rFonts w:ascii="Arial" w:hAnsi="Arial"/>
          <w:spacing w:val="-23"/>
          <w:w w:val="105"/>
          <w:sz w:val="19"/>
        </w:rPr>
        <w:t xml:space="preserve"> </w:t>
      </w:r>
      <w:r>
        <w:rPr>
          <w:rFonts w:ascii="Arial" w:hAnsi="Arial"/>
          <w:w w:val="105"/>
          <w:sz w:val="19"/>
        </w:rPr>
        <w:t>to</w:t>
      </w:r>
      <w:r>
        <w:rPr>
          <w:rFonts w:ascii="Arial" w:hAnsi="Arial"/>
          <w:spacing w:val="-21"/>
          <w:w w:val="105"/>
          <w:sz w:val="19"/>
        </w:rPr>
        <w:t xml:space="preserve"> </w:t>
      </w:r>
      <w:r>
        <w:rPr>
          <w:rFonts w:ascii="Arial" w:hAnsi="Arial"/>
          <w:w w:val="105"/>
          <w:sz w:val="19"/>
        </w:rPr>
        <w:t>the</w:t>
      </w:r>
      <w:r>
        <w:rPr>
          <w:rFonts w:ascii="Arial" w:hAnsi="Arial"/>
          <w:spacing w:val="-22"/>
          <w:w w:val="105"/>
          <w:sz w:val="19"/>
        </w:rPr>
        <w:t xml:space="preserve"> </w:t>
      </w:r>
      <w:r>
        <w:rPr>
          <w:rFonts w:ascii="Arial" w:hAnsi="Arial"/>
          <w:w w:val="105"/>
          <w:sz w:val="19"/>
        </w:rPr>
        <w:t>formulation</w:t>
      </w:r>
      <w:r>
        <w:rPr>
          <w:rFonts w:ascii="Arial" w:hAnsi="Arial"/>
          <w:spacing w:val="-20"/>
          <w:w w:val="105"/>
          <w:sz w:val="19"/>
        </w:rPr>
        <w:t xml:space="preserve"> </w:t>
      </w:r>
      <w:r>
        <w:rPr>
          <w:rFonts w:ascii="Arial" w:hAnsi="Arial"/>
          <w:w w:val="105"/>
          <w:sz w:val="19"/>
        </w:rPr>
        <w:t>of</w:t>
      </w:r>
      <w:r>
        <w:rPr>
          <w:rFonts w:ascii="Arial" w:hAnsi="Arial"/>
          <w:spacing w:val="-22"/>
          <w:w w:val="105"/>
          <w:sz w:val="19"/>
        </w:rPr>
        <w:t xml:space="preserve"> </w:t>
      </w:r>
      <w:r>
        <w:rPr>
          <w:rFonts w:ascii="Arial" w:hAnsi="Arial"/>
          <w:w w:val="105"/>
          <w:sz w:val="19"/>
        </w:rPr>
        <w:t>the</w:t>
      </w:r>
      <w:r>
        <w:rPr>
          <w:rFonts w:ascii="Arial" w:hAnsi="Arial"/>
          <w:spacing w:val="-22"/>
          <w:w w:val="105"/>
          <w:sz w:val="19"/>
        </w:rPr>
        <w:t xml:space="preserve"> </w:t>
      </w:r>
      <w:r>
        <w:rPr>
          <w:rFonts w:ascii="Arial" w:hAnsi="Arial"/>
          <w:w w:val="105"/>
          <w:sz w:val="19"/>
        </w:rPr>
        <w:t>products</w:t>
      </w:r>
      <w:r>
        <w:rPr>
          <w:rFonts w:ascii="Arial" w:hAnsi="Arial"/>
          <w:spacing w:val="-21"/>
          <w:w w:val="105"/>
          <w:sz w:val="19"/>
        </w:rPr>
        <w:t xml:space="preserve"> </w:t>
      </w:r>
      <w:r>
        <w:rPr>
          <w:rFonts w:ascii="Arial" w:hAnsi="Arial"/>
          <w:w w:val="105"/>
          <w:sz w:val="19"/>
        </w:rPr>
        <w:t>(to</w:t>
      </w:r>
      <w:r>
        <w:rPr>
          <w:rFonts w:ascii="Arial" w:hAnsi="Arial"/>
          <w:spacing w:val="-23"/>
          <w:w w:val="105"/>
          <w:sz w:val="19"/>
        </w:rPr>
        <w:t xml:space="preserve"> </w:t>
      </w:r>
      <w:r>
        <w:rPr>
          <w:rFonts w:ascii="Arial" w:hAnsi="Arial"/>
          <w:w w:val="105"/>
          <w:sz w:val="19"/>
        </w:rPr>
        <w:t>avoid</w:t>
      </w:r>
      <w:r>
        <w:rPr>
          <w:rFonts w:ascii="Arial" w:hAnsi="Arial"/>
          <w:spacing w:val="-22"/>
          <w:w w:val="105"/>
          <w:sz w:val="19"/>
        </w:rPr>
        <w:t xml:space="preserve"> </w:t>
      </w:r>
      <w:r>
        <w:rPr>
          <w:rFonts w:ascii="Arial" w:hAnsi="Arial"/>
          <w:w w:val="105"/>
          <w:sz w:val="19"/>
        </w:rPr>
        <w:t>capturing products</w:t>
      </w:r>
      <w:r>
        <w:rPr>
          <w:rFonts w:ascii="Arial" w:hAnsi="Arial"/>
          <w:spacing w:val="-25"/>
          <w:w w:val="105"/>
          <w:sz w:val="19"/>
        </w:rPr>
        <w:t xml:space="preserve"> </w:t>
      </w:r>
      <w:r>
        <w:rPr>
          <w:rFonts w:ascii="Arial" w:hAnsi="Arial"/>
          <w:w w:val="105"/>
          <w:sz w:val="19"/>
        </w:rPr>
        <w:t>which</w:t>
      </w:r>
      <w:r>
        <w:rPr>
          <w:rFonts w:ascii="Arial" w:hAnsi="Arial"/>
          <w:spacing w:val="-24"/>
          <w:w w:val="105"/>
          <w:sz w:val="19"/>
        </w:rPr>
        <w:t xml:space="preserve"> </w:t>
      </w:r>
      <w:r>
        <w:rPr>
          <w:rFonts w:ascii="Arial" w:hAnsi="Arial"/>
          <w:w w:val="105"/>
          <w:sz w:val="19"/>
        </w:rPr>
        <w:t>contain</w:t>
      </w:r>
      <w:r>
        <w:rPr>
          <w:rFonts w:ascii="Arial" w:hAnsi="Arial"/>
          <w:spacing w:val="-24"/>
          <w:w w:val="105"/>
          <w:sz w:val="19"/>
        </w:rPr>
        <w:t xml:space="preserve"> </w:t>
      </w:r>
      <w:r>
        <w:rPr>
          <w:rFonts w:ascii="Arial" w:hAnsi="Arial"/>
          <w:w w:val="105"/>
          <w:sz w:val="19"/>
        </w:rPr>
        <w:t>these</w:t>
      </w:r>
      <w:r>
        <w:rPr>
          <w:rFonts w:ascii="Arial" w:hAnsi="Arial"/>
          <w:spacing w:val="-23"/>
          <w:w w:val="105"/>
          <w:sz w:val="19"/>
        </w:rPr>
        <w:t xml:space="preserve"> </w:t>
      </w:r>
      <w:r>
        <w:rPr>
          <w:rFonts w:ascii="Arial" w:hAnsi="Arial"/>
          <w:w w:val="105"/>
          <w:sz w:val="19"/>
        </w:rPr>
        <w:t>substances</w:t>
      </w:r>
      <w:r>
        <w:rPr>
          <w:rFonts w:ascii="Arial" w:hAnsi="Arial"/>
          <w:spacing w:val="-25"/>
          <w:w w:val="105"/>
          <w:sz w:val="19"/>
        </w:rPr>
        <w:t xml:space="preserve"> </w:t>
      </w:r>
      <w:r>
        <w:rPr>
          <w:rFonts w:ascii="Arial" w:hAnsi="Arial"/>
          <w:w w:val="105"/>
          <w:sz w:val="19"/>
        </w:rPr>
        <w:t>only</w:t>
      </w:r>
      <w:r>
        <w:rPr>
          <w:rFonts w:ascii="Arial" w:hAnsi="Arial"/>
          <w:spacing w:val="-25"/>
          <w:w w:val="105"/>
          <w:sz w:val="19"/>
        </w:rPr>
        <w:t xml:space="preserve"> </w:t>
      </w:r>
      <w:r>
        <w:rPr>
          <w:rFonts w:ascii="Arial" w:hAnsi="Arial"/>
          <w:w w:val="105"/>
          <w:sz w:val="19"/>
        </w:rPr>
        <w:t>because</w:t>
      </w:r>
      <w:r>
        <w:rPr>
          <w:rFonts w:ascii="Arial" w:hAnsi="Arial"/>
          <w:spacing w:val="-25"/>
          <w:w w:val="105"/>
          <w:sz w:val="19"/>
        </w:rPr>
        <w:t xml:space="preserve"> </w:t>
      </w:r>
      <w:r>
        <w:rPr>
          <w:rFonts w:ascii="Arial" w:hAnsi="Arial"/>
          <w:w w:val="105"/>
          <w:sz w:val="19"/>
        </w:rPr>
        <w:t>they</w:t>
      </w:r>
      <w:r>
        <w:rPr>
          <w:rFonts w:ascii="Arial" w:hAnsi="Arial"/>
          <w:spacing w:val="-25"/>
          <w:w w:val="105"/>
          <w:sz w:val="19"/>
        </w:rPr>
        <w:t xml:space="preserve"> </w:t>
      </w:r>
      <w:r>
        <w:rPr>
          <w:rFonts w:ascii="Arial" w:hAnsi="Arial"/>
          <w:w w:val="105"/>
          <w:sz w:val="19"/>
        </w:rPr>
        <w:t>are</w:t>
      </w:r>
      <w:r>
        <w:rPr>
          <w:rFonts w:ascii="Arial" w:hAnsi="Arial"/>
          <w:spacing w:val="-24"/>
          <w:w w:val="105"/>
          <w:sz w:val="19"/>
        </w:rPr>
        <w:t xml:space="preserve"> </w:t>
      </w:r>
      <w:r>
        <w:rPr>
          <w:rFonts w:ascii="Arial" w:hAnsi="Arial"/>
          <w:w w:val="105"/>
          <w:sz w:val="19"/>
        </w:rPr>
        <w:t>naturally</w:t>
      </w:r>
      <w:r>
        <w:rPr>
          <w:rFonts w:ascii="Arial" w:hAnsi="Arial"/>
          <w:spacing w:val="-25"/>
          <w:w w:val="105"/>
          <w:sz w:val="19"/>
        </w:rPr>
        <w:t xml:space="preserve"> </w:t>
      </w:r>
      <w:r>
        <w:rPr>
          <w:rFonts w:ascii="Arial" w:hAnsi="Arial"/>
          <w:w w:val="105"/>
          <w:sz w:val="19"/>
        </w:rPr>
        <w:t>present</w:t>
      </w:r>
      <w:r>
        <w:rPr>
          <w:rFonts w:ascii="Arial" w:hAnsi="Arial"/>
          <w:spacing w:val="-23"/>
          <w:w w:val="105"/>
          <w:sz w:val="19"/>
        </w:rPr>
        <w:t xml:space="preserve"> </w:t>
      </w:r>
      <w:r>
        <w:rPr>
          <w:rFonts w:ascii="Arial" w:hAnsi="Arial"/>
          <w:w w:val="105"/>
          <w:sz w:val="19"/>
        </w:rPr>
        <w:t>in</w:t>
      </w:r>
      <w:r>
        <w:rPr>
          <w:rFonts w:ascii="Arial" w:hAnsi="Arial"/>
          <w:spacing w:val="-24"/>
          <w:w w:val="105"/>
          <w:sz w:val="19"/>
        </w:rPr>
        <w:t xml:space="preserve"> </w:t>
      </w:r>
      <w:r>
        <w:rPr>
          <w:rFonts w:ascii="Arial" w:hAnsi="Arial"/>
          <w:w w:val="105"/>
          <w:sz w:val="19"/>
        </w:rPr>
        <w:t>other ingredients in the</w:t>
      </w:r>
      <w:r>
        <w:rPr>
          <w:rFonts w:ascii="Arial" w:hAnsi="Arial"/>
          <w:spacing w:val="-32"/>
          <w:w w:val="105"/>
          <w:sz w:val="19"/>
        </w:rPr>
        <w:t xml:space="preserve"> </w:t>
      </w:r>
      <w:r>
        <w:rPr>
          <w:rFonts w:ascii="Arial" w:hAnsi="Arial"/>
          <w:w w:val="105"/>
          <w:sz w:val="19"/>
        </w:rPr>
        <w:t>product).</w:t>
      </w:r>
      <w:r>
        <w:rPr>
          <w:rFonts w:ascii="Arial" w:hAnsi="Arial"/>
          <w:w w:val="105"/>
          <w:position w:val="7"/>
          <w:sz w:val="11"/>
        </w:rPr>
        <w:t>4</w:t>
      </w:r>
    </w:p>
    <w:p w:rsidR="007D76BB" w:rsidRDefault="00D70D28">
      <w:pPr>
        <w:spacing w:before="181"/>
        <w:ind w:left="482"/>
        <w:rPr>
          <w:rFonts w:ascii="Arial"/>
          <w:sz w:val="19"/>
        </w:rPr>
      </w:pPr>
      <w:r>
        <w:rPr>
          <w:rFonts w:ascii="Arial"/>
          <w:w w:val="105"/>
          <w:sz w:val="19"/>
        </w:rPr>
        <w:t>These changes addressed some of the key stakeholder concerns.</w:t>
      </w:r>
    </w:p>
    <w:p w:rsidR="007D76BB" w:rsidRDefault="00D70D28">
      <w:pPr>
        <w:pStyle w:val="Heading4"/>
        <w:spacing w:before="198"/>
        <w:rPr>
          <w:b/>
        </w:rPr>
      </w:pPr>
      <w:bookmarkStart w:id="150" w:name="_bookmark76"/>
      <w:bookmarkEnd w:id="150"/>
      <w:r>
        <w:rPr>
          <w:b/>
          <w:color w:val="005386"/>
        </w:rPr>
        <w:t>Summary of proposed regulatory clarification</w:t>
      </w:r>
    </w:p>
    <w:p w:rsidR="007D76BB" w:rsidRDefault="00D70D28">
      <w:pPr>
        <w:spacing w:before="194" w:line="266" w:lineRule="auto"/>
        <w:ind w:left="482" w:right="1181"/>
        <w:rPr>
          <w:rFonts w:ascii="Arial"/>
          <w:sz w:val="19"/>
        </w:rPr>
      </w:pPr>
      <w:r>
        <w:rPr>
          <w:rFonts w:ascii="Arial"/>
          <w:w w:val="105"/>
          <w:sz w:val="19"/>
        </w:rPr>
        <w:t>The</w:t>
      </w:r>
      <w:r>
        <w:rPr>
          <w:rFonts w:ascii="Arial"/>
          <w:spacing w:val="-16"/>
          <w:w w:val="105"/>
          <w:sz w:val="19"/>
        </w:rPr>
        <w:t xml:space="preserve"> </w:t>
      </w:r>
      <w:r>
        <w:rPr>
          <w:rFonts w:ascii="Arial"/>
          <w:w w:val="105"/>
          <w:sz w:val="19"/>
        </w:rPr>
        <w:t>proposed</w:t>
      </w:r>
      <w:r>
        <w:rPr>
          <w:rFonts w:ascii="Arial"/>
          <w:spacing w:val="-16"/>
          <w:w w:val="105"/>
          <w:sz w:val="19"/>
        </w:rPr>
        <w:t xml:space="preserve"> </w:t>
      </w:r>
      <w:r>
        <w:rPr>
          <w:rFonts w:ascii="Arial"/>
          <w:w w:val="105"/>
          <w:sz w:val="19"/>
        </w:rPr>
        <w:t>regulatory</w:t>
      </w:r>
      <w:r>
        <w:rPr>
          <w:rFonts w:ascii="Arial"/>
          <w:spacing w:val="-17"/>
          <w:w w:val="105"/>
          <w:sz w:val="19"/>
        </w:rPr>
        <w:t xml:space="preserve"> </w:t>
      </w:r>
      <w:r>
        <w:rPr>
          <w:rFonts w:ascii="Arial"/>
          <w:w w:val="105"/>
          <w:sz w:val="19"/>
        </w:rPr>
        <w:t>clarification</w:t>
      </w:r>
      <w:r>
        <w:rPr>
          <w:rFonts w:ascii="Arial"/>
          <w:spacing w:val="-12"/>
          <w:w w:val="105"/>
          <w:sz w:val="19"/>
        </w:rPr>
        <w:t xml:space="preserve"> </w:t>
      </w:r>
      <w:r>
        <w:rPr>
          <w:rFonts w:ascii="Arial"/>
          <w:w w:val="105"/>
          <w:sz w:val="19"/>
        </w:rPr>
        <w:t>(Option</w:t>
      </w:r>
      <w:r>
        <w:rPr>
          <w:rFonts w:ascii="Arial"/>
          <w:spacing w:val="-16"/>
          <w:w w:val="105"/>
          <w:sz w:val="19"/>
        </w:rPr>
        <w:t xml:space="preserve"> </w:t>
      </w:r>
      <w:r>
        <w:rPr>
          <w:rFonts w:ascii="Arial"/>
          <w:w w:val="105"/>
          <w:sz w:val="19"/>
        </w:rPr>
        <w:t>2A)</w:t>
      </w:r>
      <w:r>
        <w:rPr>
          <w:rFonts w:ascii="Arial"/>
          <w:spacing w:val="-16"/>
          <w:w w:val="105"/>
          <w:sz w:val="19"/>
        </w:rPr>
        <w:t xml:space="preserve"> </w:t>
      </w:r>
      <w:r>
        <w:rPr>
          <w:rFonts w:ascii="Arial"/>
          <w:w w:val="105"/>
          <w:sz w:val="19"/>
        </w:rPr>
        <w:t>sets</w:t>
      </w:r>
      <w:r>
        <w:rPr>
          <w:rFonts w:ascii="Arial"/>
          <w:spacing w:val="-18"/>
          <w:w w:val="105"/>
          <w:sz w:val="19"/>
        </w:rPr>
        <w:t xml:space="preserve"> </w:t>
      </w:r>
      <w:r>
        <w:rPr>
          <w:rFonts w:ascii="Arial"/>
          <w:w w:val="105"/>
          <w:sz w:val="19"/>
        </w:rPr>
        <w:t>out</w:t>
      </w:r>
      <w:r>
        <w:rPr>
          <w:rFonts w:ascii="Arial"/>
          <w:spacing w:val="-17"/>
          <w:w w:val="105"/>
          <w:sz w:val="19"/>
        </w:rPr>
        <w:t xml:space="preserve"> </w:t>
      </w:r>
      <w:r>
        <w:rPr>
          <w:rFonts w:ascii="Arial"/>
          <w:w w:val="105"/>
          <w:sz w:val="19"/>
        </w:rPr>
        <w:t>the</w:t>
      </w:r>
      <w:r>
        <w:rPr>
          <w:rFonts w:ascii="Arial"/>
          <w:spacing w:val="-17"/>
          <w:w w:val="105"/>
          <w:sz w:val="19"/>
        </w:rPr>
        <w:t xml:space="preserve"> </w:t>
      </w:r>
      <w:r>
        <w:rPr>
          <w:rFonts w:ascii="Arial"/>
          <w:w w:val="105"/>
          <w:sz w:val="19"/>
        </w:rPr>
        <w:t>following</w:t>
      </w:r>
      <w:r>
        <w:rPr>
          <w:rFonts w:ascii="Arial"/>
          <w:spacing w:val="-16"/>
          <w:w w:val="105"/>
          <w:sz w:val="19"/>
        </w:rPr>
        <w:t xml:space="preserve"> </w:t>
      </w:r>
      <w:r>
        <w:rPr>
          <w:rFonts w:ascii="Arial"/>
          <w:w w:val="105"/>
          <w:sz w:val="19"/>
        </w:rPr>
        <w:t>criteria</w:t>
      </w:r>
      <w:r>
        <w:rPr>
          <w:rFonts w:ascii="Arial"/>
          <w:spacing w:val="-15"/>
          <w:w w:val="105"/>
          <w:sz w:val="19"/>
        </w:rPr>
        <w:t xml:space="preserve"> </w:t>
      </w:r>
      <w:r>
        <w:rPr>
          <w:rFonts w:ascii="Arial"/>
          <w:w w:val="105"/>
          <w:sz w:val="19"/>
        </w:rPr>
        <w:t>for</w:t>
      </w:r>
      <w:r>
        <w:rPr>
          <w:rFonts w:ascii="Arial"/>
          <w:spacing w:val="-18"/>
          <w:w w:val="105"/>
          <w:sz w:val="19"/>
        </w:rPr>
        <w:t xml:space="preserve"> </w:t>
      </w:r>
      <w:r>
        <w:rPr>
          <w:rFonts w:ascii="Arial"/>
          <w:w w:val="105"/>
          <w:sz w:val="19"/>
        </w:rPr>
        <w:t>products</w:t>
      </w:r>
      <w:r>
        <w:rPr>
          <w:rFonts w:ascii="Arial"/>
          <w:spacing w:val="-16"/>
          <w:w w:val="105"/>
          <w:sz w:val="19"/>
        </w:rPr>
        <w:t xml:space="preserve"> </w:t>
      </w:r>
      <w:r>
        <w:rPr>
          <w:rFonts w:ascii="Arial"/>
          <w:w w:val="105"/>
          <w:sz w:val="19"/>
        </w:rPr>
        <w:t xml:space="preserve">in- </w:t>
      </w:r>
      <w:r>
        <w:rPr>
          <w:rFonts w:ascii="Arial"/>
          <w:w w:val="110"/>
          <w:sz w:val="19"/>
        </w:rPr>
        <w:t>scope</w:t>
      </w:r>
      <w:r>
        <w:rPr>
          <w:rFonts w:ascii="Arial"/>
          <w:spacing w:val="-15"/>
          <w:w w:val="110"/>
          <w:sz w:val="19"/>
        </w:rPr>
        <w:t xml:space="preserve"> </w:t>
      </w:r>
      <w:r>
        <w:rPr>
          <w:rFonts w:ascii="Arial"/>
          <w:w w:val="110"/>
          <w:sz w:val="19"/>
        </w:rPr>
        <w:t>of</w:t>
      </w:r>
      <w:r>
        <w:rPr>
          <w:rFonts w:ascii="Arial"/>
          <w:spacing w:val="-16"/>
          <w:w w:val="110"/>
          <w:sz w:val="19"/>
        </w:rPr>
        <w:t xml:space="preserve"> </w:t>
      </w:r>
      <w:r>
        <w:rPr>
          <w:rFonts w:ascii="Arial"/>
          <w:w w:val="110"/>
          <w:sz w:val="19"/>
        </w:rPr>
        <w:t>the</w:t>
      </w:r>
      <w:r>
        <w:rPr>
          <w:rFonts w:ascii="Arial"/>
          <w:spacing w:val="-17"/>
          <w:w w:val="110"/>
          <w:sz w:val="19"/>
        </w:rPr>
        <w:t xml:space="preserve"> </w:t>
      </w:r>
      <w:r>
        <w:rPr>
          <w:rFonts w:ascii="Arial"/>
          <w:w w:val="110"/>
          <w:sz w:val="19"/>
        </w:rPr>
        <w:t>proposed</w:t>
      </w:r>
      <w:r>
        <w:rPr>
          <w:rFonts w:ascii="Arial"/>
          <w:spacing w:val="-16"/>
          <w:w w:val="110"/>
          <w:sz w:val="19"/>
        </w:rPr>
        <w:t xml:space="preserve"> </w:t>
      </w:r>
      <w:r>
        <w:rPr>
          <w:rFonts w:ascii="Arial"/>
          <w:w w:val="110"/>
          <w:sz w:val="19"/>
        </w:rPr>
        <w:t>draft</w:t>
      </w:r>
      <w:r>
        <w:rPr>
          <w:rFonts w:ascii="Arial"/>
          <w:spacing w:val="-17"/>
          <w:w w:val="110"/>
          <w:sz w:val="19"/>
        </w:rPr>
        <w:t xml:space="preserve"> </w:t>
      </w:r>
      <w:r>
        <w:rPr>
          <w:rFonts w:ascii="Arial"/>
          <w:w w:val="110"/>
          <w:sz w:val="19"/>
        </w:rPr>
        <w:t>declaration:</w:t>
      </w:r>
    </w:p>
    <w:p w:rsidR="007D76BB" w:rsidRDefault="00D70D28">
      <w:pPr>
        <w:pStyle w:val="ListParagraph"/>
        <w:numPr>
          <w:ilvl w:val="0"/>
          <w:numId w:val="10"/>
        </w:numPr>
        <w:tabs>
          <w:tab w:val="left" w:pos="766"/>
        </w:tabs>
        <w:spacing w:before="77" w:line="266" w:lineRule="auto"/>
        <w:ind w:right="1913"/>
        <w:rPr>
          <w:rFonts w:ascii="Arial" w:hAnsi="Arial"/>
          <w:sz w:val="19"/>
        </w:rPr>
      </w:pPr>
      <w:r>
        <w:rPr>
          <w:rFonts w:ascii="Arial" w:hAnsi="Arial"/>
          <w:w w:val="105"/>
          <w:sz w:val="19"/>
        </w:rPr>
        <w:t>Products</w:t>
      </w:r>
      <w:r>
        <w:rPr>
          <w:rFonts w:ascii="Arial" w:hAnsi="Arial"/>
          <w:spacing w:val="-18"/>
          <w:w w:val="105"/>
          <w:sz w:val="19"/>
        </w:rPr>
        <w:t xml:space="preserve"> </w:t>
      </w:r>
      <w:r>
        <w:rPr>
          <w:rFonts w:ascii="Arial" w:hAnsi="Arial"/>
          <w:w w:val="105"/>
          <w:sz w:val="19"/>
        </w:rPr>
        <w:t>for</w:t>
      </w:r>
      <w:r>
        <w:rPr>
          <w:rFonts w:ascii="Arial" w:hAnsi="Arial"/>
          <w:spacing w:val="-18"/>
          <w:w w:val="105"/>
          <w:sz w:val="19"/>
        </w:rPr>
        <w:t xml:space="preserve"> </w:t>
      </w:r>
      <w:r>
        <w:rPr>
          <w:rFonts w:ascii="Arial" w:hAnsi="Arial"/>
          <w:w w:val="105"/>
          <w:sz w:val="19"/>
        </w:rPr>
        <w:t>oral</w:t>
      </w:r>
      <w:r>
        <w:rPr>
          <w:rFonts w:ascii="Arial" w:hAnsi="Arial"/>
          <w:spacing w:val="-16"/>
          <w:w w:val="105"/>
          <w:sz w:val="19"/>
        </w:rPr>
        <w:t xml:space="preserve"> </w:t>
      </w:r>
      <w:r>
        <w:rPr>
          <w:rFonts w:ascii="Arial" w:hAnsi="Arial"/>
          <w:w w:val="105"/>
          <w:sz w:val="19"/>
        </w:rPr>
        <w:t>administration</w:t>
      </w:r>
      <w:r>
        <w:rPr>
          <w:rFonts w:ascii="Arial" w:hAnsi="Arial"/>
          <w:spacing w:val="-17"/>
          <w:w w:val="105"/>
          <w:sz w:val="19"/>
        </w:rPr>
        <w:t xml:space="preserve"> </w:t>
      </w:r>
      <w:r>
        <w:rPr>
          <w:rFonts w:ascii="Arial" w:hAnsi="Arial"/>
          <w:w w:val="105"/>
          <w:sz w:val="19"/>
        </w:rPr>
        <w:t>that</w:t>
      </w:r>
      <w:r>
        <w:rPr>
          <w:rFonts w:ascii="Arial" w:hAnsi="Arial"/>
          <w:spacing w:val="-18"/>
          <w:w w:val="105"/>
          <w:sz w:val="19"/>
        </w:rPr>
        <w:t xml:space="preserve"> </w:t>
      </w:r>
      <w:r>
        <w:rPr>
          <w:rFonts w:ascii="Arial" w:hAnsi="Arial"/>
          <w:w w:val="105"/>
          <w:sz w:val="19"/>
        </w:rPr>
        <w:t>claim</w:t>
      </w:r>
      <w:r>
        <w:rPr>
          <w:rFonts w:ascii="Arial" w:hAnsi="Arial"/>
          <w:spacing w:val="-17"/>
          <w:w w:val="105"/>
          <w:sz w:val="19"/>
        </w:rPr>
        <w:t xml:space="preserve"> </w:t>
      </w:r>
      <w:r>
        <w:rPr>
          <w:rFonts w:ascii="Arial" w:hAnsi="Arial"/>
          <w:w w:val="105"/>
          <w:sz w:val="19"/>
        </w:rPr>
        <w:t>to</w:t>
      </w:r>
      <w:r>
        <w:rPr>
          <w:rFonts w:ascii="Arial" w:hAnsi="Arial"/>
          <w:spacing w:val="-17"/>
          <w:w w:val="105"/>
          <w:sz w:val="19"/>
        </w:rPr>
        <w:t xml:space="preserve"> </w:t>
      </w:r>
      <w:r>
        <w:rPr>
          <w:rFonts w:ascii="Arial" w:hAnsi="Arial"/>
          <w:w w:val="105"/>
          <w:sz w:val="19"/>
        </w:rPr>
        <w:t>improve</w:t>
      </w:r>
      <w:r>
        <w:rPr>
          <w:rFonts w:ascii="Arial" w:hAnsi="Arial"/>
          <w:spacing w:val="-16"/>
          <w:w w:val="105"/>
          <w:sz w:val="19"/>
        </w:rPr>
        <w:t xml:space="preserve"> </w:t>
      </w:r>
      <w:r>
        <w:rPr>
          <w:rFonts w:ascii="Arial" w:hAnsi="Arial"/>
          <w:w w:val="105"/>
          <w:sz w:val="19"/>
        </w:rPr>
        <w:t>or</w:t>
      </w:r>
      <w:r>
        <w:rPr>
          <w:rFonts w:ascii="Arial" w:hAnsi="Arial"/>
          <w:spacing w:val="-19"/>
          <w:w w:val="105"/>
          <w:sz w:val="19"/>
        </w:rPr>
        <w:t xml:space="preserve"> </w:t>
      </w:r>
      <w:r>
        <w:rPr>
          <w:rFonts w:ascii="Arial" w:hAnsi="Arial"/>
          <w:w w:val="105"/>
          <w:sz w:val="19"/>
        </w:rPr>
        <w:t>maintain</w:t>
      </w:r>
      <w:r>
        <w:rPr>
          <w:rFonts w:ascii="Arial" w:hAnsi="Arial"/>
          <w:spacing w:val="-18"/>
          <w:w w:val="105"/>
          <w:sz w:val="19"/>
        </w:rPr>
        <w:t xml:space="preserve"> </w:t>
      </w:r>
      <w:r>
        <w:rPr>
          <w:rFonts w:ascii="Arial" w:hAnsi="Arial"/>
          <w:w w:val="105"/>
          <w:sz w:val="19"/>
        </w:rPr>
        <w:t>physical</w:t>
      </w:r>
      <w:r>
        <w:rPr>
          <w:rFonts w:ascii="Arial" w:hAnsi="Arial"/>
          <w:spacing w:val="-17"/>
          <w:w w:val="105"/>
          <w:sz w:val="19"/>
        </w:rPr>
        <w:t xml:space="preserve"> </w:t>
      </w:r>
      <w:r>
        <w:rPr>
          <w:rFonts w:ascii="Arial" w:hAnsi="Arial"/>
          <w:spacing w:val="2"/>
          <w:w w:val="105"/>
          <w:sz w:val="19"/>
        </w:rPr>
        <w:t>or</w:t>
      </w:r>
      <w:r>
        <w:rPr>
          <w:rFonts w:ascii="Arial" w:hAnsi="Arial"/>
          <w:spacing w:val="-18"/>
          <w:w w:val="105"/>
          <w:sz w:val="19"/>
        </w:rPr>
        <w:t xml:space="preserve"> </w:t>
      </w:r>
      <w:r>
        <w:rPr>
          <w:rFonts w:ascii="Arial" w:hAnsi="Arial"/>
          <w:w w:val="105"/>
          <w:sz w:val="19"/>
        </w:rPr>
        <w:t>mental performance</w:t>
      </w:r>
      <w:r>
        <w:rPr>
          <w:rFonts w:ascii="Arial" w:hAnsi="Arial"/>
          <w:spacing w:val="-17"/>
          <w:w w:val="105"/>
          <w:sz w:val="19"/>
        </w:rPr>
        <w:t xml:space="preserve"> </w:t>
      </w:r>
      <w:r>
        <w:rPr>
          <w:rFonts w:ascii="Arial" w:hAnsi="Arial"/>
          <w:w w:val="105"/>
          <w:sz w:val="19"/>
        </w:rPr>
        <w:t>in</w:t>
      </w:r>
      <w:r>
        <w:rPr>
          <w:rFonts w:ascii="Arial" w:hAnsi="Arial"/>
          <w:spacing w:val="-14"/>
          <w:w w:val="105"/>
          <w:sz w:val="19"/>
        </w:rPr>
        <w:t xml:space="preserve"> </w:t>
      </w:r>
      <w:r>
        <w:rPr>
          <w:rFonts w:ascii="Arial" w:hAnsi="Arial"/>
          <w:w w:val="105"/>
          <w:sz w:val="19"/>
        </w:rPr>
        <w:t>sport,</w:t>
      </w:r>
      <w:r>
        <w:rPr>
          <w:rFonts w:ascii="Arial" w:hAnsi="Arial"/>
          <w:spacing w:val="-17"/>
          <w:w w:val="105"/>
          <w:sz w:val="19"/>
        </w:rPr>
        <w:t xml:space="preserve"> </w:t>
      </w:r>
      <w:r>
        <w:rPr>
          <w:rFonts w:ascii="Arial" w:hAnsi="Arial"/>
          <w:w w:val="105"/>
          <w:sz w:val="19"/>
        </w:rPr>
        <w:t>exercise</w:t>
      </w:r>
      <w:r>
        <w:rPr>
          <w:rFonts w:ascii="Arial" w:hAnsi="Arial"/>
          <w:spacing w:val="-14"/>
          <w:w w:val="105"/>
          <w:sz w:val="19"/>
        </w:rPr>
        <w:t xml:space="preserve"> </w:t>
      </w:r>
      <w:r>
        <w:rPr>
          <w:rFonts w:ascii="Arial" w:hAnsi="Arial"/>
          <w:w w:val="105"/>
          <w:sz w:val="19"/>
        </w:rPr>
        <w:t>or</w:t>
      </w:r>
      <w:r>
        <w:rPr>
          <w:rFonts w:ascii="Arial" w:hAnsi="Arial"/>
          <w:spacing w:val="-14"/>
          <w:w w:val="105"/>
          <w:sz w:val="19"/>
        </w:rPr>
        <w:t xml:space="preserve"> </w:t>
      </w:r>
      <w:r>
        <w:rPr>
          <w:rFonts w:ascii="Arial" w:hAnsi="Arial"/>
          <w:w w:val="105"/>
          <w:sz w:val="19"/>
        </w:rPr>
        <w:t>other</w:t>
      </w:r>
      <w:r>
        <w:rPr>
          <w:rFonts w:ascii="Arial" w:hAnsi="Arial"/>
          <w:spacing w:val="-16"/>
          <w:w w:val="105"/>
          <w:sz w:val="19"/>
        </w:rPr>
        <w:t xml:space="preserve"> </w:t>
      </w:r>
      <w:r>
        <w:rPr>
          <w:rFonts w:ascii="Arial" w:hAnsi="Arial"/>
          <w:w w:val="105"/>
          <w:sz w:val="19"/>
        </w:rPr>
        <w:t>recreational</w:t>
      </w:r>
      <w:r>
        <w:rPr>
          <w:rFonts w:ascii="Arial" w:hAnsi="Arial"/>
          <w:spacing w:val="-16"/>
          <w:w w:val="105"/>
          <w:sz w:val="19"/>
        </w:rPr>
        <w:t xml:space="preserve"> </w:t>
      </w:r>
      <w:r>
        <w:rPr>
          <w:rFonts w:ascii="Arial" w:hAnsi="Arial"/>
          <w:w w:val="105"/>
          <w:sz w:val="19"/>
        </w:rPr>
        <w:t>activity</w:t>
      </w:r>
      <w:r>
        <w:rPr>
          <w:rFonts w:ascii="Arial" w:hAnsi="Arial"/>
          <w:spacing w:val="-16"/>
          <w:w w:val="105"/>
          <w:sz w:val="19"/>
        </w:rPr>
        <w:t xml:space="preserve"> </w:t>
      </w:r>
      <w:r>
        <w:rPr>
          <w:rFonts w:ascii="Arial" w:hAnsi="Arial"/>
          <w:w w:val="105"/>
          <w:sz w:val="19"/>
        </w:rPr>
        <w:t>(e.g.</w:t>
      </w:r>
      <w:r>
        <w:rPr>
          <w:rFonts w:ascii="Arial" w:hAnsi="Arial"/>
          <w:spacing w:val="-16"/>
          <w:w w:val="105"/>
          <w:sz w:val="19"/>
        </w:rPr>
        <w:t xml:space="preserve"> </w:t>
      </w:r>
      <w:r>
        <w:rPr>
          <w:rFonts w:ascii="Arial" w:hAnsi="Arial"/>
          <w:w w:val="105"/>
          <w:sz w:val="19"/>
        </w:rPr>
        <w:t>gaming)</w:t>
      </w:r>
    </w:p>
    <w:p w:rsidR="007D76BB" w:rsidRDefault="00D70D28">
      <w:pPr>
        <w:spacing w:before="77"/>
        <w:ind w:left="765"/>
        <w:rPr>
          <w:rFonts w:ascii="Arial"/>
          <w:sz w:val="19"/>
        </w:rPr>
      </w:pPr>
      <w:r>
        <w:rPr>
          <w:rFonts w:ascii="Arial"/>
          <w:w w:val="105"/>
          <w:sz w:val="19"/>
        </w:rPr>
        <w:t>AND either</w:t>
      </w:r>
    </w:p>
    <w:p w:rsidR="007D76BB" w:rsidRDefault="00D70D28">
      <w:pPr>
        <w:pStyle w:val="ListParagraph"/>
        <w:numPr>
          <w:ilvl w:val="1"/>
          <w:numId w:val="49"/>
        </w:numPr>
        <w:tabs>
          <w:tab w:val="left" w:pos="1126"/>
        </w:tabs>
        <w:spacing w:before="103"/>
        <w:ind w:hanging="361"/>
        <w:rPr>
          <w:rFonts w:ascii="Arial"/>
          <w:sz w:val="19"/>
        </w:rPr>
      </w:pPr>
      <w:r>
        <w:rPr>
          <w:rFonts w:ascii="Arial"/>
          <w:w w:val="105"/>
          <w:sz w:val="19"/>
        </w:rPr>
        <w:t>contain</w:t>
      </w:r>
      <w:r>
        <w:rPr>
          <w:rFonts w:ascii="Arial"/>
          <w:spacing w:val="-12"/>
          <w:w w:val="105"/>
          <w:sz w:val="19"/>
        </w:rPr>
        <w:t xml:space="preserve"> </w:t>
      </w:r>
      <w:r>
        <w:rPr>
          <w:rFonts w:ascii="Arial"/>
          <w:w w:val="105"/>
          <w:sz w:val="19"/>
        </w:rPr>
        <w:t>ingredients</w:t>
      </w:r>
      <w:r>
        <w:rPr>
          <w:rFonts w:ascii="Arial"/>
          <w:spacing w:val="-11"/>
          <w:w w:val="105"/>
          <w:sz w:val="19"/>
        </w:rPr>
        <w:t xml:space="preserve"> </w:t>
      </w:r>
      <w:r>
        <w:rPr>
          <w:rFonts w:ascii="Arial"/>
          <w:w w:val="105"/>
          <w:sz w:val="19"/>
        </w:rPr>
        <w:t>that</w:t>
      </w:r>
      <w:r>
        <w:rPr>
          <w:rFonts w:ascii="Arial"/>
          <w:spacing w:val="-12"/>
          <w:w w:val="105"/>
          <w:sz w:val="19"/>
        </w:rPr>
        <w:t xml:space="preserve"> </w:t>
      </w:r>
      <w:r>
        <w:rPr>
          <w:rFonts w:ascii="Arial"/>
          <w:w w:val="105"/>
          <w:sz w:val="19"/>
        </w:rPr>
        <w:t>are</w:t>
      </w:r>
      <w:r>
        <w:rPr>
          <w:rFonts w:ascii="Arial"/>
          <w:spacing w:val="-14"/>
          <w:w w:val="105"/>
          <w:sz w:val="19"/>
        </w:rPr>
        <w:t xml:space="preserve"> </w:t>
      </w:r>
      <w:r>
        <w:rPr>
          <w:rFonts w:ascii="Arial"/>
          <w:w w:val="105"/>
          <w:sz w:val="19"/>
        </w:rPr>
        <w:t>not</w:t>
      </w:r>
      <w:r>
        <w:rPr>
          <w:rFonts w:ascii="Arial"/>
          <w:spacing w:val="-10"/>
          <w:w w:val="105"/>
          <w:sz w:val="19"/>
        </w:rPr>
        <w:t xml:space="preserve"> </w:t>
      </w:r>
      <w:r>
        <w:rPr>
          <w:rFonts w:ascii="Arial"/>
          <w:w w:val="105"/>
          <w:sz w:val="19"/>
        </w:rPr>
        <w:t>appropriate</w:t>
      </w:r>
      <w:r>
        <w:rPr>
          <w:rFonts w:ascii="Arial"/>
          <w:spacing w:val="-10"/>
          <w:w w:val="105"/>
          <w:sz w:val="19"/>
        </w:rPr>
        <w:t xml:space="preserve"> </w:t>
      </w:r>
      <w:r>
        <w:rPr>
          <w:rFonts w:ascii="Arial"/>
          <w:w w:val="105"/>
          <w:sz w:val="19"/>
        </w:rPr>
        <w:t>for</w:t>
      </w:r>
      <w:r>
        <w:rPr>
          <w:rFonts w:ascii="Arial"/>
          <w:spacing w:val="-11"/>
          <w:w w:val="105"/>
          <w:sz w:val="19"/>
        </w:rPr>
        <w:t xml:space="preserve"> </w:t>
      </w:r>
      <w:r>
        <w:rPr>
          <w:rFonts w:ascii="Arial"/>
          <w:w w:val="105"/>
          <w:sz w:val="19"/>
        </w:rPr>
        <w:t>food:</w:t>
      </w:r>
    </w:p>
    <w:p w:rsidR="007D76BB" w:rsidRDefault="00D70D28">
      <w:pPr>
        <w:pStyle w:val="ListParagraph"/>
        <w:numPr>
          <w:ilvl w:val="2"/>
          <w:numId w:val="49"/>
        </w:numPr>
        <w:tabs>
          <w:tab w:val="left" w:pos="1845"/>
          <w:tab w:val="left" w:pos="1846"/>
        </w:tabs>
        <w:spacing w:before="101"/>
        <w:ind w:hanging="361"/>
        <w:rPr>
          <w:rFonts w:ascii="Arial" w:hAnsi="Arial"/>
          <w:sz w:val="19"/>
        </w:rPr>
      </w:pPr>
      <w:r>
        <w:rPr>
          <w:rFonts w:ascii="Arial" w:hAnsi="Arial"/>
          <w:w w:val="105"/>
          <w:sz w:val="19"/>
        </w:rPr>
        <w:t>a</w:t>
      </w:r>
      <w:r>
        <w:rPr>
          <w:rFonts w:ascii="Arial" w:hAnsi="Arial"/>
          <w:spacing w:val="-13"/>
          <w:w w:val="105"/>
          <w:sz w:val="19"/>
        </w:rPr>
        <w:t xml:space="preserve"> </w:t>
      </w:r>
      <w:r>
        <w:rPr>
          <w:rFonts w:ascii="Arial" w:hAnsi="Arial"/>
          <w:w w:val="105"/>
          <w:sz w:val="19"/>
        </w:rPr>
        <w:t>substance</w:t>
      </w:r>
      <w:r>
        <w:rPr>
          <w:rFonts w:ascii="Arial" w:hAnsi="Arial"/>
          <w:spacing w:val="-14"/>
          <w:w w:val="105"/>
          <w:sz w:val="19"/>
        </w:rPr>
        <w:t xml:space="preserve"> </w:t>
      </w:r>
      <w:r>
        <w:rPr>
          <w:rFonts w:ascii="Arial" w:hAnsi="Arial"/>
          <w:w w:val="105"/>
          <w:sz w:val="19"/>
        </w:rPr>
        <w:t>included</w:t>
      </w:r>
      <w:r>
        <w:rPr>
          <w:rFonts w:ascii="Arial" w:hAnsi="Arial"/>
          <w:spacing w:val="-14"/>
          <w:w w:val="105"/>
          <w:sz w:val="19"/>
        </w:rPr>
        <w:t xml:space="preserve"> </w:t>
      </w:r>
      <w:r>
        <w:rPr>
          <w:rFonts w:ascii="Arial" w:hAnsi="Arial"/>
          <w:w w:val="105"/>
          <w:sz w:val="19"/>
        </w:rPr>
        <w:t>in</w:t>
      </w:r>
      <w:r>
        <w:rPr>
          <w:rFonts w:ascii="Arial" w:hAnsi="Arial"/>
          <w:spacing w:val="-15"/>
          <w:w w:val="105"/>
          <w:sz w:val="19"/>
        </w:rPr>
        <w:t xml:space="preserve"> </w:t>
      </w:r>
      <w:r>
        <w:rPr>
          <w:rFonts w:ascii="Arial" w:hAnsi="Arial"/>
          <w:w w:val="105"/>
          <w:sz w:val="19"/>
        </w:rPr>
        <w:t>a</w:t>
      </w:r>
      <w:r>
        <w:rPr>
          <w:rFonts w:ascii="Arial" w:hAnsi="Arial"/>
          <w:spacing w:val="-14"/>
          <w:w w:val="105"/>
          <w:sz w:val="19"/>
        </w:rPr>
        <w:t xml:space="preserve"> </w:t>
      </w:r>
      <w:r>
        <w:rPr>
          <w:rFonts w:ascii="Arial" w:hAnsi="Arial"/>
          <w:w w:val="105"/>
          <w:sz w:val="19"/>
        </w:rPr>
        <w:t>schedule</w:t>
      </w:r>
      <w:r>
        <w:rPr>
          <w:rFonts w:ascii="Arial" w:hAnsi="Arial"/>
          <w:spacing w:val="-14"/>
          <w:w w:val="105"/>
          <w:sz w:val="19"/>
        </w:rPr>
        <w:t xml:space="preserve"> </w:t>
      </w:r>
      <w:r>
        <w:rPr>
          <w:rFonts w:ascii="Arial" w:hAnsi="Arial"/>
          <w:w w:val="105"/>
          <w:sz w:val="19"/>
        </w:rPr>
        <w:t>to</w:t>
      </w:r>
      <w:r>
        <w:rPr>
          <w:rFonts w:ascii="Arial" w:hAnsi="Arial"/>
          <w:spacing w:val="-15"/>
          <w:w w:val="105"/>
          <w:sz w:val="19"/>
        </w:rPr>
        <w:t xml:space="preserve"> </w:t>
      </w:r>
      <w:r>
        <w:rPr>
          <w:rFonts w:ascii="Arial" w:hAnsi="Arial"/>
          <w:w w:val="105"/>
          <w:sz w:val="19"/>
        </w:rPr>
        <w:t>the</w:t>
      </w:r>
      <w:r>
        <w:rPr>
          <w:rFonts w:ascii="Arial" w:hAnsi="Arial"/>
          <w:spacing w:val="-13"/>
          <w:w w:val="105"/>
          <w:sz w:val="19"/>
        </w:rPr>
        <w:t xml:space="preserve"> </w:t>
      </w:r>
      <w:r>
        <w:rPr>
          <w:rFonts w:ascii="Arial" w:hAnsi="Arial"/>
          <w:w w:val="105"/>
          <w:sz w:val="19"/>
        </w:rPr>
        <w:t>Poisons</w:t>
      </w:r>
      <w:r>
        <w:rPr>
          <w:rFonts w:ascii="Arial" w:hAnsi="Arial"/>
          <w:spacing w:val="-13"/>
          <w:w w:val="105"/>
          <w:sz w:val="19"/>
        </w:rPr>
        <w:t xml:space="preserve"> </w:t>
      </w:r>
      <w:r>
        <w:rPr>
          <w:rFonts w:ascii="Arial" w:hAnsi="Arial"/>
          <w:w w:val="105"/>
          <w:sz w:val="19"/>
        </w:rPr>
        <w:t>Standard</w:t>
      </w:r>
    </w:p>
    <w:p w:rsidR="007D76BB" w:rsidRDefault="00D70D28">
      <w:pPr>
        <w:pStyle w:val="ListParagraph"/>
        <w:numPr>
          <w:ilvl w:val="2"/>
          <w:numId w:val="49"/>
        </w:numPr>
        <w:tabs>
          <w:tab w:val="left" w:pos="1845"/>
          <w:tab w:val="left" w:pos="1846"/>
        </w:tabs>
        <w:spacing w:before="86"/>
        <w:ind w:hanging="361"/>
        <w:rPr>
          <w:rFonts w:ascii="Arial" w:hAnsi="Arial"/>
          <w:sz w:val="19"/>
        </w:rPr>
      </w:pPr>
      <w:r>
        <w:rPr>
          <w:rFonts w:ascii="Arial" w:hAnsi="Arial"/>
          <w:w w:val="105"/>
          <w:sz w:val="19"/>
        </w:rPr>
        <w:t>a</w:t>
      </w:r>
      <w:r>
        <w:rPr>
          <w:rFonts w:ascii="Arial" w:hAnsi="Arial"/>
          <w:spacing w:val="-13"/>
          <w:w w:val="105"/>
          <w:sz w:val="19"/>
        </w:rPr>
        <w:t xml:space="preserve"> </w:t>
      </w:r>
      <w:r>
        <w:rPr>
          <w:rFonts w:ascii="Arial" w:hAnsi="Arial"/>
          <w:w w:val="105"/>
          <w:sz w:val="19"/>
        </w:rPr>
        <w:t>substance</w:t>
      </w:r>
      <w:r>
        <w:rPr>
          <w:rFonts w:ascii="Arial" w:hAnsi="Arial"/>
          <w:spacing w:val="-15"/>
          <w:w w:val="105"/>
          <w:sz w:val="19"/>
        </w:rPr>
        <w:t xml:space="preserve"> </w:t>
      </w:r>
      <w:r>
        <w:rPr>
          <w:rFonts w:ascii="Arial" w:hAnsi="Arial"/>
          <w:w w:val="105"/>
          <w:sz w:val="19"/>
        </w:rPr>
        <w:t>that</w:t>
      </w:r>
      <w:r>
        <w:rPr>
          <w:rFonts w:ascii="Arial" w:hAnsi="Arial"/>
          <w:spacing w:val="-15"/>
          <w:w w:val="105"/>
          <w:sz w:val="19"/>
        </w:rPr>
        <w:t xml:space="preserve"> </w:t>
      </w:r>
      <w:r>
        <w:rPr>
          <w:rFonts w:ascii="Arial" w:hAnsi="Arial"/>
          <w:w w:val="105"/>
          <w:sz w:val="19"/>
        </w:rPr>
        <w:t>is</w:t>
      </w:r>
      <w:r>
        <w:rPr>
          <w:rFonts w:ascii="Arial" w:hAnsi="Arial"/>
          <w:spacing w:val="-13"/>
          <w:w w:val="105"/>
          <w:sz w:val="19"/>
        </w:rPr>
        <w:t xml:space="preserve"> </w:t>
      </w:r>
      <w:r>
        <w:rPr>
          <w:rFonts w:ascii="Arial" w:hAnsi="Arial"/>
          <w:w w:val="105"/>
          <w:sz w:val="19"/>
        </w:rPr>
        <w:t>prohibited</w:t>
      </w:r>
      <w:r>
        <w:rPr>
          <w:rFonts w:ascii="Arial" w:hAnsi="Arial"/>
          <w:spacing w:val="-15"/>
          <w:w w:val="105"/>
          <w:sz w:val="19"/>
        </w:rPr>
        <w:t xml:space="preserve"> </w:t>
      </w:r>
      <w:r>
        <w:rPr>
          <w:rFonts w:ascii="Arial" w:hAnsi="Arial"/>
          <w:w w:val="105"/>
          <w:sz w:val="19"/>
        </w:rPr>
        <w:t>from</w:t>
      </w:r>
      <w:r>
        <w:rPr>
          <w:rFonts w:ascii="Arial" w:hAnsi="Arial"/>
          <w:spacing w:val="-14"/>
          <w:w w:val="105"/>
          <w:sz w:val="19"/>
        </w:rPr>
        <w:t xml:space="preserve"> </w:t>
      </w:r>
      <w:r>
        <w:rPr>
          <w:rFonts w:ascii="Arial" w:hAnsi="Arial"/>
          <w:w w:val="105"/>
          <w:sz w:val="19"/>
        </w:rPr>
        <w:t>sport</w:t>
      </w:r>
      <w:r>
        <w:rPr>
          <w:rFonts w:ascii="Arial" w:hAnsi="Arial"/>
          <w:spacing w:val="-8"/>
          <w:w w:val="105"/>
          <w:sz w:val="19"/>
        </w:rPr>
        <w:t xml:space="preserve"> </w:t>
      </w:r>
      <w:r>
        <w:rPr>
          <w:rFonts w:ascii="Arial" w:hAnsi="Arial"/>
          <w:w w:val="105"/>
          <w:sz w:val="19"/>
        </w:rPr>
        <w:t>under</w:t>
      </w:r>
      <w:r>
        <w:rPr>
          <w:rFonts w:ascii="Arial" w:hAnsi="Arial"/>
          <w:spacing w:val="-15"/>
          <w:w w:val="105"/>
          <w:sz w:val="19"/>
        </w:rPr>
        <w:t xml:space="preserve"> </w:t>
      </w:r>
      <w:r>
        <w:rPr>
          <w:rFonts w:ascii="Arial" w:hAnsi="Arial"/>
          <w:w w:val="105"/>
          <w:sz w:val="19"/>
        </w:rPr>
        <w:t>the</w:t>
      </w:r>
      <w:r>
        <w:rPr>
          <w:rFonts w:ascii="Arial" w:hAnsi="Arial"/>
          <w:spacing w:val="-13"/>
          <w:w w:val="105"/>
          <w:sz w:val="19"/>
        </w:rPr>
        <w:t xml:space="preserve"> </w:t>
      </w:r>
      <w:r>
        <w:rPr>
          <w:rFonts w:ascii="Arial" w:hAnsi="Arial"/>
          <w:w w:val="105"/>
          <w:sz w:val="19"/>
        </w:rPr>
        <w:t>World</w:t>
      </w:r>
      <w:r>
        <w:rPr>
          <w:rFonts w:ascii="Arial" w:hAnsi="Arial"/>
          <w:spacing w:val="-15"/>
          <w:w w:val="105"/>
          <w:sz w:val="19"/>
        </w:rPr>
        <w:t xml:space="preserve"> </w:t>
      </w:r>
      <w:r>
        <w:rPr>
          <w:rFonts w:ascii="Arial" w:hAnsi="Arial"/>
          <w:w w:val="105"/>
          <w:sz w:val="19"/>
        </w:rPr>
        <w:t>Anti-Doping</w:t>
      </w:r>
      <w:r>
        <w:rPr>
          <w:rFonts w:ascii="Arial" w:hAnsi="Arial"/>
          <w:spacing w:val="-12"/>
          <w:w w:val="105"/>
          <w:sz w:val="19"/>
        </w:rPr>
        <w:t xml:space="preserve"> </w:t>
      </w:r>
      <w:r>
        <w:rPr>
          <w:rFonts w:ascii="Arial" w:hAnsi="Arial"/>
          <w:w w:val="105"/>
          <w:sz w:val="19"/>
        </w:rPr>
        <w:t>Code</w:t>
      </w:r>
    </w:p>
    <w:p w:rsidR="007D76BB" w:rsidRDefault="00D70D28">
      <w:pPr>
        <w:pStyle w:val="ListParagraph"/>
        <w:numPr>
          <w:ilvl w:val="2"/>
          <w:numId w:val="49"/>
        </w:numPr>
        <w:tabs>
          <w:tab w:val="left" w:pos="1845"/>
          <w:tab w:val="left" w:pos="1846"/>
        </w:tabs>
        <w:spacing w:before="84" w:line="247" w:lineRule="auto"/>
        <w:ind w:right="1414"/>
        <w:rPr>
          <w:rFonts w:ascii="Arial" w:hAnsi="Arial"/>
          <w:sz w:val="19"/>
        </w:rPr>
      </w:pPr>
      <w:proofErr w:type="gramStart"/>
      <w:r>
        <w:rPr>
          <w:rFonts w:ascii="Arial" w:hAnsi="Arial"/>
          <w:w w:val="105"/>
          <w:sz w:val="19"/>
        </w:rPr>
        <w:t>a</w:t>
      </w:r>
      <w:proofErr w:type="gramEnd"/>
      <w:r>
        <w:rPr>
          <w:rFonts w:ascii="Arial" w:hAnsi="Arial"/>
          <w:spacing w:val="-18"/>
          <w:w w:val="105"/>
          <w:sz w:val="19"/>
        </w:rPr>
        <w:t xml:space="preserve"> </w:t>
      </w:r>
      <w:r>
        <w:rPr>
          <w:rFonts w:ascii="Arial" w:hAnsi="Arial"/>
          <w:w w:val="105"/>
          <w:sz w:val="19"/>
        </w:rPr>
        <w:t>substance</w:t>
      </w:r>
      <w:r>
        <w:rPr>
          <w:rFonts w:ascii="Arial" w:hAnsi="Arial"/>
          <w:spacing w:val="-20"/>
          <w:w w:val="105"/>
          <w:sz w:val="19"/>
        </w:rPr>
        <w:t xml:space="preserve"> </w:t>
      </w:r>
      <w:r>
        <w:rPr>
          <w:rFonts w:ascii="Arial" w:hAnsi="Arial"/>
          <w:w w:val="105"/>
          <w:sz w:val="19"/>
        </w:rPr>
        <w:t>that</w:t>
      </w:r>
      <w:r>
        <w:rPr>
          <w:rFonts w:ascii="Arial" w:hAnsi="Arial"/>
          <w:spacing w:val="-19"/>
          <w:w w:val="105"/>
          <w:sz w:val="19"/>
        </w:rPr>
        <w:t xml:space="preserve"> </w:t>
      </w:r>
      <w:r>
        <w:rPr>
          <w:rFonts w:ascii="Arial" w:hAnsi="Arial"/>
          <w:w w:val="105"/>
          <w:sz w:val="19"/>
        </w:rPr>
        <w:t>the</w:t>
      </w:r>
      <w:r>
        <w:rPr>
          <w:rFonts w:ascii="Arial" w:hAnsi="Arial"/>
          <w:spacing w:val="-18"/>
          <w:w w:val="105"/>
          <w:sz w:val="19"/>
        </w:rPr>
        <w:t xml:space="preserve"> </w:t>
      </w:r>
      <w:r>
        <w:rPr>
          <w:rFonts w:ascii="Arial" w:hAnsi="Arial"/>
          <w:w w:val="105"/>
          <w:sz w:val="19"/>
        </w:rPr>
        <w:t>Secretary</w:t>
      </w:r>
      <w:r>
        <w:rPr>
          <w:rFonts w:ascii="Arial" w:hAnsi="Arial"/>
          <w:spacing w:val="-18"/>
          <w:w w:val="105"/>
          <w:sz w:val="19"/>
        </w:rPr>
        <w:t xml:space="preserve"> </w:t>
      </w:r>
      <w:r>
        <w:rPr>
          <w:rFonts w:ascii="Arial" w:hAnsi="Arial"/>
          <w:w w:val="105"/>
          <w:sz w:val="19"/>
        </w:rPr>
        <w:t>or</w:t>
      </w:r>
      <w:r>
        <w:rPr>
          <w:rFonts w:ascii="Arial" w:hAnsi="Arial"/>
          <w:spacing w:val="-18"/>
          <w:w w:val="105"/>
          <w:sz w:val="19"/>
        </w:rPr>
        <w:t xml:space="preserve"> </w:t>
      </w:r>
      <w:r>
        <w:rPr>
          <w:rFonts w:ascii="Arial" w:hAnsi="Arial"/>
          <w:w w:val="105"/>
          <w:sz w:val="19"/>
        </w:rPr>
        <w:t>their</w:t>
      </w:r>
      <w:r>
        <w:rPr>
          <w:rFonts w:ascii="Arial" w:hAnsi="Arial"/>
          <w:spacing w:val="-20"/>
          <w:w w:val="105"/>
          <w:sz w:val="19"/>
        </w:rPr>
        <w:t xml:space="preserve"> </w:t>
      </w:r>
      <w:r>
        <w:rPr>
          <w:rFonts w:ascii="Arial" w:hAnsi="Arial"/>
          <w:w w:val="105"/>
          <w:sz w:val="19"/>
        </w:rPr>
        <w:t>delegate</w:t>
      </w:r>
      <w:r>
        <w:rPr>
          <w:rFonts w:ascii="Arial" w:hAnsi="Arial"/>
          <w:spacing w:val="-18"/>
          <w:w w:val="105"/>
          <w:sz w:val="19"/>
        </w:rPr>
        <w:t xml:space="preserve"> </w:t>
      </w:r>
      <w:r>
        <w:rPr>
          <w:rFonts w:ascii="Arial" w:hAnsi="Arial"/>
          <w:w w:val="105"/>
          <w:sz w:val="19"/>
        </w:rPr>
        <w:t>includes</w:t>
      </w:r>
      <w:r>
        <w:rPr>
          <w:rFonts w:ascii="Arial" w:hAnsi="Arial"/>
          <w:spacing w:val="-20"/>
          <w:w w:val="105"/>
          <w:sz w:val="19"/>
        </w:rPr>
        <w:t xml:space="preserve"> </w:t>
      </w:r>
      <w:r>
        <w:rPr>
          <w:rFonts w:ascii="Arial" w:hAnsi="Arial"/>
          <w:w w:val="105"/>
          <w:sz w:val="19"/>
        </w:rPr>
        <w:t>in</w:t>
      </w:r>
      <w:r>
        <w:rPr>
          <w:rFonts w:ascii="Arial" w:hAnsi="Arial"/>
          <w:spacing w:val="-18"/>
          <w:w w:val="105"/>
          <w:sz w:val="19"/>
        </w:rPr>
        <w:t xml:space="preserve"> </w:t>
      </w:r>
      <w:r>
        <w:rPr>
          <w:rFonts w:ascii="Arial" w:hAnsi="Arial"/>
          <w:w w:val="105"/>
          <w:sz w:val="19"/>
        </w:rPr>
        <w:t>the</w:t>
      </w:r>
      <w:r>
        <w:rPr>
          <w:rFonts w:ascii="Arial" w:hAnsi="Arial"/>
          <w:spacing w:val="-19"/>
          <w:w w:val="105"/>
          <w:sz w:val="19"/>
        </w:rPr>
        <w:t xml:space="preserve"> </w:t>
      </w:r>
      <w:r>
        <w:rPr>
          <w:rFonts w:ascii="Arial" w:hAnsi="Arial"/>
          <w:w w:val="105"/>
          <w:sz w:val="19"/>
        </w:rPr>
        <w:t>list</w:t>
      </w:r>
      <w:r>
        <w:rPr>
          <w:rFonts w:ascii="Arial" w:hAnsi="Arial"/>
          <w:spacing w:val="-18"/>
          <w:w w:val="105"/>
          <w:sz w:val="19"/>
        </w:rPr>
        <w:t xml:space="preserve"> </w:t>
      </w:r>
      <w:r>
        <w:rPr>
          <w:rFonts w:ascii="Arial" w:hAnsi="Arial"/>
          <w:w w:val="105"/>
          <w:sz w:val="19"/>
        </w:rPr>
        <w:t>of</w:t>
      </w:r>
      <w:r>
        <w:rPr>
          <w:rFonts w:ascii="Arial" w:hAnsi="Arial"/>
          <w:spacing w:val="-19"/>
          <w:w w:val="105"/>
          <w:sz w:val="19"/>
        </w:rPr>
        <w:t xml:space="preserve"> </w:t>
      </w:r>
      <w:r>
        <w:rPr>
          <w:rFonts w:ascii="Arial" w:hAnsi="Arial"/>
          <w:w w:val="105"/>
          <w:sz w:val="19"/>
        </w:rPr>
        <w:t>relevant substances.</w:t>
      </w:r>
    </w:p>
    <w:p w:rsidR="007D76BB" w:rsidRDefault="00D70D28">
      <w:pPr>
        <w:spacing w:before="95"/>
        <w:ind w:left="750"/>
        <w:rPr>
          <w:rFonts w:ascii="Arial"/>
          <w:sz w:val="19"/>
        </w:rPr>
      </w:pPr>
      <w:r>
        <w:rPr>
          <w:rFonts w:ascii="Arial"/>
          <w:sz w:val="19"/>
        </w:rPr>
        <w:t>OR</w:t>
      </w:r>
    </w:p>
    <w:p w:rsidR="007D76BB" w:rsidRDefault="00D70D28">
      <w:pPr>
        <w:pStyle w:val="ListParagraph"/>
        <w:numPr>
          <w:ilvl w:val="1"/>
          <w:numId w:val="49"/>
        </w:numPr>
        <w:tabs>
          <w:tab w:val="left" w:pos="1126"/>
        </w:tabs>
        <w:spacing w:before="101" w:line="266" w:lineRule="auto"/>
        <w:ind w:right="1221"/>
        <w:rPr>
          <w:rFonts w:ascii="Arial"/>
          <w:sz w:val="11"/>
        </w:rPr>
      </w:pPr>
      <w:r>
        <w:rPr>
          <w:rFonts w:ascii="Arial"/>
          <w:w w:val="105"/>
          <w:sz w:val="19"/>
        </w:rPr>
        <w:t>are</w:t>
      </w:r>
      <w:r>
        <w:rPr>
          <w:rFonts w:ascii="Arial"/>
          <w:spacing w:val="-27"/>
          <w:w w:val="105"/>
          <w:sz w:val="19"/>
        </w:rPr>
        <w:t xml:space="preserve"> </w:t>
      </w:r>
      <w:r>
        <w:rPr>
          <w:rFonts w:ascii="Arial"/>
          <w:w w:val="105"/>
          <w:sz w:val="19"/>
        </w:rPr>
        <w:t>presented</w:t>
      </w:r>
      <w:r>
        <w:rPr>
          <w:rFonts w:ascii="Arial"/>
          <w:spacing w:val="-26"/>
          <w:w w:val="105"/>
          <w:sz w:val="19"/>
        </w:rPr>
        <w:t xml:space="preserve"> </w:t>
      </w:r>
      <w:r>
        <w:rPr>
          <w:rFonts w:ascii="Arial"/>
          <w:w w:val="105"/>
          <w:sz w:val="19"/>
        </w:rPr>
        <w:t>in</w:t>
      </w:r>
      <w:r>
        <w:rPr>
          <w:rFonts w:ascii="Arial"/>
          <w:spacing w:val="-26"/>
          <w:w w:val="105"/>
          <w:sz w:val="19"/>
        </w:rPr>
        <w:t xml:space="preserve"> </w:t>
      </w:r>
      <w:r>
        <w:rPr>
          <w:rFonts w:ascii="Arial"/>
          <w:w w:val="105"/>
          <w:sz w:val="19"/>
        </w:rPr>
        <w:t>a</w:t>
      </w:r>
      <w:r>
        <w:rPr>
          <w:rFonts w:ascii="Arial"/>
          <w:spacing w:val="-25"/>
          <w:w w:val="105"/>
          <w:sz w:val="19"/>
        </w:rPr>
        <w:t xml:space="preserve"> </w:t>
      </w:r>
      <w:r>
        <w:rPr>
          <w:rFonts w:ascii="Arial"/>
          <w:w w:val="105"/>
          <w:sz w:val="19"/>
        </w:rPr>
        <w:t>form</w:t>
      </w:r>
      <w:r>
        <w:rPr>
          <w:rFonts w:ascii="Arial"/>
          <w:spacing w:val="-25"/>
          <w:w w:val="105"/>
          <w:sz w:val="19"/>
        </w:rPr>
        <w:t xml:space="preserve"> </w:t>
      </w:r>
      <w:r>
        <w:rPr>
          <w:rFonts w:ascii="Arial"/>
          <w:w w:val="105"/>
          <w:sz w:val="19"/>
        </w:rPr>
        <w:t>associated</w:t>
      </w:r>
      <w:r>
        <w:rPr>
          <w:rFonts w:ascii="Arial"/>
          <w:spacing w:val="-26"/>
          <w:w w:val="105"/>
          <w:sz w:val="19"/>
        </w:rPr>
        <w:t xml:space="preserve"> </w:t>
      </w:r>
      <w:r>
        <w:rPr>
          <w:rFonts w:ascii="Arial"/>
          <w:w w:val="105"/>
          <w:sz w:val="19"/>
        </w:rPr>
        <w:t>with</w:t>
      </w:r>
      <w:r>
        <w:rPr>
          <w:rFonts w:ascii="Arial"/>
          <w:spacing w:val="-25"/>
          <w:w w:val="105"/>
          <w:sz w:val="19"/>
        </w:rPr>
        <w:t xml:space="preserve"> </w:t>
      </w:r>
      <w:r>
        <w:rPr>
          <w:rFonts w:ascii="Arial"/>
          <w:w w:val="105"/>
          <w:sz w:val="19"/>
        </w:rPr>
        <w:t>medicines</w:t>
      </w:r>
      <w:r>
        <w:rPr>
          <w:rFonts w:ascii="Arial"/>
          <w:spacing w:val="-27"/>
          <w:w w:val="105"/>
          <w:sz w:val="19"/>
        </w:rPr>
        <w:t xml:space="preserve"> </w:t>
      </w:r>
      <w:r>
        <w:rPr>
          <w:rFonts w:ascii="Arial"/>
          <w:w w:val="105"/>
          <w:sz w:val="19"/>
        </w:rPr>
        <w:t>rather</w:t>
      </w:r>
      <w:r>
        <w:rPr>
          <w:rFonts w:ascii="Arial"/>
          <w:spacing w:val="-28"/>
          <w:w w:val="105"/>
          <w:sz w:val="19"/>
        </w:rPr>
        <w:t xml:space="preserve"> </w:t>
      </w:r>
      <w:r>
        <w:rPr>
          <w:rFonts w:ascii="Arial"/>
          <w:w w:val="105"/>
          <w:sz w:val="19"/>
        </w:rPr>
        <w:t>than</w:t>
      </w:r>
      <w:r>
        <w:rPr>
          <w:rFonts w:ascii="Arial"/>
          <w:spacing w:val="-25"/>
          <w:w w:val="105"/>
          <w:sz w:val="19"/>
        </w:rPr>
        <w:t xml:space="preserve"> </w:t>
      </w:r>
      <w:r>
        <w:rPr>
          <w:rFonts w:ascii="Arial"/>
          <w:w w:val="105"/>
          <w:sz w:val="19"/>
        </w:rPr>
        <w:t>foods</w:t>
      </w:r>
      <w:r>
        <w:rPr>
          <w:rFonts w:ascii="Arial"/>
          <w:spacing w:val="-26"/>
          <w:w w:val="105"/>
          <w:sz w:val="19"/>
        </w:rPr>
        <w:t xml:space="preserve"> </w:t>
      </w:r>
      <w:r>
        <w:rPr>
          <w:rFonts w:ascii="Arial"/>
          <w:w w:val="105"/>
          <w:sz w:val="19"/>
        </w:rPr>
        <w:t>(i.e.</w:t>
      </w:r>
      <w:r>
        <w:rPr>
          <w:rFonts w:ascii="Arial"/>
          <w:spacing w:val="-25"/>
          <w:w w:val="105"/>
          <w:sz w:val="19"/>
        </w:rPr>
        <w:t xml:space="preserve"> </w:t>
      </w:r>
      <w:r>
        <w:rPr>
          <w:rFonts w:ascii="Arial"/>
          <w:w w:val="105"/>
          <w:sz w:val="19"/>
        </w:rPr>
        <w:t>a</w:t>
      </w:r>
      <w:r>
        <w:rPr>
          <w:rFonts w:ascii="Arial"/>
          <w:spacing w:val="-25"/>
          <w:w w:val="105"/>
          <w:sz w:val="19"/>
        </w:rPr>
        <w:t xml:space="preserve"> </w:t>
      </w:r>
      <w:r>
        <w:rPr>
          <w:rFonts w:ascii="Arial"/>
          <w:w w:val="105"/>
          <w:sz w:val="19"/>
        </w:rPr>
        <w:t>pill,</w:t>
      </w:r>
      <w:r>
        <w:rPr>
          <w:rFonts w:ascii="Arial"/>
          <w:spacing w:val="-25"/>
          <w:w w:val="105"/>
          <w:sz w:val="19"/>
        </w:rPr>
        <w:t xml:space="preserve"> </w:t>
      </w:r>
      <w:r>
        <w:rPr>
          <w:rFonts w:ascii="Arial"/>
          <w:w w:val="105"/>
          <w:sz w:val="19"/>
        </w:rPr>
        <w:t>capsule</w:t>
      </w:r>
      <w:r>
        <w:rPr>
          <w:rFonts w:ascii="Arial"/>
          <w:spacing w:val="-26"/>
          <w:w w:val="105"/>
          <w:sz w:val="19"/>
        </w:rPr>
        <w:t xml:space="preserve"> </w:t>
      </w:r>
      <w:r>
        <w:rPr>
          <w:rFonts w:ascii="Arial"/>
          <w:w w:val="105"/>
          <w:sz w:val="19"/>
        </w:rPr>
        <w:t>or tablet).</w:t>
      </w:r>
      <w:r>
        <w:rPr>
          <w:rFonts w:ascii="Arial"/>
          <w:w w:val="105"/>
          <w:position w:val="7"/>
          <w:sz w:val="11"/>
        </w:rPr>
        <w:t>5</w:t>
      </w:r>
    </w:p>
    <w:p w:rsidR="007D76BB" w:rsidRDefault="00D70D28">
      <w:pPr>
        <w:pStyle w:val="Heading4"/>
        <w:spacing w:before="174"/>
        <w:rPr>
          <w:b/>
        </w:rPr>
      </w:pPr>
      <w:bookmarkStart w:id="151" w:name="_bookmark77"/>
      <w:bookmarkEnd w:id="151"/>
      <w:r>
        <w:rPr>
          <w:b/>
          <w:color w:val="005386"/>
        </w:rPr>
        <w:t>Transition period</w:t>
      </w:r>
    </w:p>
    <w:p w:rsidR="007D76BB" w:rsidRDefault="00D70D28">
      <w:pPr>
        <w:spacing w:before="192" w:line="264" w:lineRule="auto"/>
        <w:ind w:left="482" w:right="688"/>
        <w:rPr>
          <w:rFonts w:ascii="Arial"/>
          <w:sz w:val="19"/>
        </w:rPr>
      </w:pPr>
      <w:r>
        <w:rPr>
          <w:rFonts w:ascii="Arial"/>
          <w:w w:val="105"/>
          <w:sz w:val="19"/>
        </w:rPr>
        <w:t>While a formal transition period has not been announced</w:t>
      </w:r>
      <w:r>
        <w:rPr>
          <w:rFonts w:ascii="Arial"/>
          <w:w w:val="105"/>
          <w:position w:val="7"/>
          <w:sz w:val="11"/>
        </w:rPr>
        <w:t>6</w:t>
      </w:r>
      <w:r>
        <w:rPr>
          <w:rFonts w:ascii="Arial"/>
          <w:w w:val="105"/>
          <w:sz w:val="19"/>
        </w:rPr>
        <w:t>, for the purpose of preparing the regulatory</w:t>
      </w:r>
      <w:r>
        <w:rPr>
          <w:rFonts w:ascii="Arial"/>
          <w:spacing w:val="-20"/>
          <w:w w:val="105"/>
          <w:sz w:val="19"/>
        </w:rPr>
        <w:t xml:space="preserve"> </w:t>
      </w:r>
      <w:r>
        <w:rPr>
          <w:rFonts w:ascii="Arial"/>
          <w:w w:val="105"/>
          <w:sz w:val="19"/>
        </w:rPr>
        <w:t>costing,</w:t>
      </w:r>
      <w:r>
        <w:rPr>
          <w:rFonts w:ascii="Arial"/>
          <w:spacing w:val="-21"/>
          <w:w w:val="105"/>
          <w:sz w:val="19"/>
        </w:rPr>
        <w:t xml:space="preserve"> </w:t>
      </w:r>
      <w:r>
        <w:rPr>
          <w:rFonts w:ascii="Arial"/>
          <w:w w:val="105"/>
          <w:sz w:val="19"/>
        </w:rPr>
        <w:t>Noetic</w:t>
      </w:r>
      <w:r>
        <w:rPr>
          <w:rFonts w:ascii="Arial"/>
          <w:spacing w:val="-19"/>
          <w:w w:val="105"/>
          <w:sz w:val="19"/>
        </w:rPr>
        <w:t xml:space="preserve"> </w:t>
      </w:r>
      <w:r>
        <w:rPr>
          <w:rFonts w:ascii="Arial"/>
          <w:w w:val="105"/>
          <w:sz w:val="19"/>
        </w:rPr>
        <w:t>has</w:t>
      </w:r>
      <w:r>
        <w:rPr>
          <w:rFonts w:ascii="Arial"/>
          <w:spacing w:val="-20"/>
          <w:w w:val="105"/>
          <w:sz w:val="19"/>
        </w:rPr>
        <w:t xml:space="preserve"> </w:t>
      </w:r>
      <w:r>
        <w:rPr>
          <w:rFonts w:ascii="Arial"/>
          <w:w w:val="105"/>
          <w:sz w:val="19"/>
        </w:rPr>
        <w:t>assumed</w:t>
      </w:r>
      <w:r>
        <w:rPr>
          <w:rFonts w:ascii="Arial"/>
          <w:spacing w:val="-20"/>
          <w:w w:val="105"/>
          <w:sz w:val="19"/>
        </w:rPr>
        <w:t xml:space="preserve"> </w:t>
      </w:r>
      <w:r>
        <w:rPr>
          <w:rFonts w:ascii="Arial"/>
          <w:w w:val="105"/>
          <w:sz w:val="19"/>
        </w:rPr>
        <w:t>a</w:t>
      </w:r>
      <w:r>
        <w:rPr>
          <w:rFonts w:ascii="Arial"/>
          <w:spacing w:val="-21"/>
          <w:w w:val="105"/>
          <w:sz w:val="19"/>
        </w:rPr>
        <w:t xml:space="preserve"> </w:t>
      </w:r>
      <w:r>
        <w:rPr>
          <w:rFonts w:ascii="Arial"/>
          <w:w w:val="105"/>
          <w:sz w:val="19"/>
        </w:rPr>
        <w:t>three-year</w:t>
      </w:r>
      <w:r>
        <w:rPr>
          <w:rFonts w:ascii="Arial"/>
          <w:spacing w:val="-20"/>
          <w:w w:val="105"/>
          <w:sz w:val="19"/>
        </w:rPr>
        <w:t xml:space="preserve"> </w:t>
      </w:r>
      <w:r>
        <w:rPr>
          <w:rFonts w:ascii="Arial"/>
          <w:w w:val="105"/>
          <w:sz w:val="19"/>
        </w:rPr>
        <w:t>transition</w:t>
      </w:r>
      <w:r>
        <w:rPr>
          <w:rFonts w:ascii="Arial"/>
          <w:spacing w:val="-19"/>
          <w:w w:val="105"/>
          <w:sz w:val="19"/>
        </w:rPr>
        <w:t xml:space="preserve"> </w:t>
      </w:r>
      <w:r>
        <w:rPr>
          <w:rFonts w:ascii="Arial"/>
          <w:w w:val="105"/>
          <w:sz w:val="19"/>
        </w:rPr>
        <w:t>period</w:t>
      </w:r>
      <w:r>
        <w:rPr>
          <w:rFonts w:ascii="Arial"/>
          <w:w w:val="105"/>
          <w:position w:val="7"/>
          <w:sz w:val="11"/>
        </w:rPr>
        <w:t>7</w:t>
      </w:r>
      <w:r>
        <w:rPr>
          <w:rFonts w:ascii="Arial"/>
          <w:spacing w:val="5"/>
          <w:w w:val="105"/>
          <w:position w:val="7"/>
          <w:sz w:val="11"/>
        </w:rPr>
        <w:t xml:space="preserve"> </w:t>
      </w:r>
      <w:r>
        <w:rPr>
          <w:rFonts w:ascii="Arial"/>
          <w:w w:val="105"/>
          <w:sz w:val="19"/>
        </w:rPr>
        <w:t>from</w:t>
      </w:r>
      <w:r>
        <w:rPr>
          <w:rFonts w:ascii="Arial"/>
          <w:spacing w:val="-20"/>
          <w:w w:val="105"/>
          <w:sz w:val="19"/>
        </w:rPr>
        <w:t xml:space="preserve"> </w:t>
      </w:r>
      <w:r>
        <w:rPr>
          <w:rFonts w:ascii="Arial"/>
          <w:sz w:val="19"/>
        </w:rPr>
        <w:t>1</w:t>
      </w:r>
      <w:r>
        <w:rPr>
          <w:rFonts w:ascii="Arial"/>
          <w:spacing w:val="-16"/>
          <w:sz w:val="19"/>
        </w:rPr>
        <w:t xml:space="preserve"> </w:t>
      </w:r>
      <w:r>
        <w:rPr>
          <w:rFonts w:ascii="Arial"/>
          <w:w w:val="105"/>
          <w:sz w:val="19"/>
        </w:rPr>
        <w:t>July</w:t>
      </w:r>
      <w:r>
        <w:rPr>
          <w:rFonts w:ascii="Arial"/>
          <w:spacing w:val="-20"/>
          <w:w w:val="105"/>
          <w:sz w:val="19"/>
        </w:rPr>
        <w:t xml:space="preserve"> </w:t>
      </w:r>
      <w:r>
        <w:rPr>
          <w:rFonts w:ascii="Arial"/>
          <w:w w:val="105"/>
          <w:sz w:val="19"/>
        </w:rPr>
        <w:t>2020</w:t>
      </w:r>
      <w:r>
        <w:rPr>
          <w:rFonts w:ascii="Arial"/>
          <w:spacing w:val="-19"/>
          <w:w w:val="105"/>
          <w:sz w:val="19"/>
        </w:rPr>
        <w:t xml:space="preserve"> </w:t>
      </w:r>
      <w:r>
        <w:rPr>
          <w:rFonts w:ascii="Arial"/>
          <w:w w:val="105"/>
          <w:sz w:val="19"/>
        </w:rPr>
        <w:t>to</w:t>
      </w:r>
      <w:r>
        <w:rPr>
          <w:rFonts w:ascii="Arial"/>
          <w:spacing w:val="-19"/>
          <w:w w:val="105"/>
          <w:sz w:val="19"/>
        </w:rPr>
        <w:t xml:space="preserve"> </w:t>
      </w:r>
      <w:r>
        <w:rPr>
          <w:rFonts w:ascii="Arial"/>
          <w:w w:val="105"/>
          <w:sz w:val="19"/>
        </w:rPr>
        <w:t>30</w:t>
      </w:r>
      <w:r>
        <w:rPr>
          <w:rFonts w:ascii="Arial"/>
          <w:spacing w:val="-21"/>
          <w:w w:val="105"/>
          <w:sz w:val="19"/>
        </w:rPr>
        <w:t xml:space="preserve"> </w:t>
      </w:r>
      <w:r>
        <w:rPr>
          <w:rFonts w:ascii="Arial"/>
          <w:w w:val="105"/>
          <w:sz w:val="19"/>
        </w:rPr>
        <w:t>June 2023.</w:t>
      </w:r>
    </w:p>
    <w:p w:rsidR="007D76BB" w:rsidRDefault="007D76BB">
      <w:pPr>
        <w:pStyle w:val="BodyText"/>
        <w:rPr>
          <w:rFonts w:ascii="Arial"/>
          <w:sz w:val="24"/>
        </w:rPr>
      </w:pPr>
    </w:p>
    <w:p w:rsidR="007D76BB" w:rsidRDefault="00D70D28">
      <w:pPr>
        <w:pStyle w:val="Heading4"/>
        <w:spacing w:before="142"/>
        <w:rPr>
          <w:b/>
        </w:rPr>
      </w:pPr>
      <w:bookmarkStart w:id="152" w:name="_bookmark78"/>
      <w:bookmarkEnd w:id="152"/>
      <w:r>
        <w:rPr>
          <w:b/>
          <w:color w:val="FFA200"/>
        </w:rPr>
        <w:t>PURPOSE OF THIS REPORT</w:t>
      </w:r>
    </w:p>
    <w:p w:rsidR="007D76BB" w:rsidRDefault="00D70D28">
      <w:pPr>
        <w:spacing w:before="192" w:line="266" w:lineRule="auto"/>
        <w:ind w:left="482" w:right="1236"/>
        <w:jc w:val="both"/>
        <w:rPr>
          <w:rFonts w:ascii="Arial"/>
          <w:sz w:val="19"/>
        </w:rPr>
      </w:pPr>
      <w:r>
        <w:rPr>
          <w:rFonts w:ascii="Arial"/>
          <w:w w:val="110"/>
          <w:sz w:val="19"/>
        </w:rPr>
        <w:t>The</w:t>
      </w:r>
      <w:r>
        <w:rPr>
          <w:rFonts w:ascii="Arial"/>
          <w:spacing w:val="-41"/>
          <w:w w:val="110"/>
          <w:sz w:val="19"/>
        </w:rPr>
        <w:t xml:space="preserve"> </w:t>
      </w:r>
      <w:r>
        <w:rPr>
          <w:rFonts w:ascii="Arial"/>
          <w:w w:val="110"/>
          <w:sz w:val="19"/>
        </w:rPr>
        <w:t>purpose</w:t>
      </w:r>
      <w:r>
        <w:rPr>
          <w:rFonts w:ascii="Arial"/>
          <w:spacing w:val="-42"/>
          <w:w w:val="110"/>
          <w:sz w:val="19"/>
        </w:rPr>
        <w:t xml:space="preserve"> </w:t>
      </w:r>
      <w:r>
        <w:rPr>
          <w:rFonts w:ascii="Arial"/>
          <w:w w:val="110"/>
          <w:sz w:val="19"/>
        </w:rPr>
        <w:t>of</w:t>
      </w:r>
      <w:r>
        <w:rPr>
          <w:rFonts w:ascii="Arial"/>
          <w:spacing w:val="-41"/>
          <w:w w:val="110"/>
          <w:sz w:val="19"/>
        </w:rPr>
        <w:t xml:space="preserve"> </w:t>
      </w:r>
      <w:r>
        <w:rPr>
          <w:rFonts w:ascii="Arial"/>
          <w:w w:val="110"/>
          <w:sz w:val="19"/>
        </w:rPr>
        <w:t>this</w:t>
      </w:r>
      <w:r>
        <w:rPr>
          <w:rFonts w:ascii="Arial"/>
          <w:spacing w:val="-41"/>
          <w:w w:val="110"/>
          <w:sz w:val="19"/>
        </w:rPr>
        <w:t xml:space="preserve"> </w:t>
      </w:r>
      <w:r>
        <w:rPr>
          <w:rFonts w:ascii="Arial"/>
          <w:w w:val="110"/>
          <w:sz w:val="19"/>
        </w:rPr>
        <w:t>report</w:t>
      </w:r>
      <w:r>
        <w:rPr>
          <w:rFonts w:ascii="Arial"/>
          <w:spacing w:val="-40"/>
          <w:w w:val="110"/>
          <w:sz w:val="19"/>
        </w:rPr>
        <w:t xml:space="preserve"> </w:t>
      </w:r>
      <w:r>
        <w:rPr>
          <w:rFonts w:ascii="Arial"/>
          <w:w w:val="110"/>
          <w:sz w:val="19"/>
        </w:rPr>
        <w:t>is</w:t>
      </w:r>
      <w:r>
        <w:rPr>
          <w:rFonts w:ascii="Arial"/>
          <w:spacing w:val="-43"/>
          <w:w w:val="110"/>
          <w:sz w:val="19"/>
        </w:rPr>
        <w:t xml:space="preserve"> </w:t>
      </w:r>
      <w:r>
        <w:rPr>
          <w:rFonts w:ascii="Arial"/>
          <w:w w:val="110"/>
          <w:sz w:val="19"/>
        </w:rPr>
        <w:t>to</w:t>
      </w:r>
      <w:r>
        <w:rPr>
          <w:rFonts w:ascii="Arial"/>
          <w:spacing w:val="-41"/>
          <w:w w:val="110"/>
          <w:sz w:val="19"/>
        </w:rPr>
        <w:t xml:space="preserve"> </w:t>
      </w:r>
      <w:r>
        <w:rPr>
          <w:rFonts w:ascii="Arial"/>
          <w:w w:val="110"/>
          <w:sz w:val="19"/>
        </w:rPr>
        <w:t>provide</w:t>
      </w:r>
      <w:r>
        <w:rPr>
          <w:rFonts w:ascii="Arial"/>
          <w:spacing w:val="-41"/>
          <w:w w:val="110"/>
          <w:sz w:val="19"/>
        </w:rPr>
        <w:t xml:space="preserve"> </w:t>
      </w:r>
      <w:r>
        <w:rPr>
          <w:rFonts w:ascii="Arial"/>
          <w:w w:val="110"/>
          <w:sz w:val="19"/>
        </w:rPr>
        <w:t>a</w:t>
      </w:r>
      <w:r>
        <w:rPr>
          <w:rFonts w:ascii="Arial"/>
          <w:spacing w:val="-41"/>
          <w:w w:val="110"/>
          <w:sz w:val="19"/>
        </w:rPr>
        <w:t xml:space="preserve"> </w:t>
      </w:r>
      <w:r>
        <w:rPr>
          <w:rFonts w:ascii="Arial"/>
          <w:w w:val="110"/>
          <w:sz w:val="19"/>
        </w:rPr>
        <w:t>quantification</w:t>
      </w:r>
      <w:r>
        <w:rPr>
          <w:rFonts w:ascii="Arial"/>
          <w:spacing w:val="-42"/>
          <w:w w:val="110"/>
          <w:sz w:val="19"/>
        </w:rPr>
        <w:t xml:space="preserve"> </w:t>
      </w:r>
      <w:r>
        <w:rPr>
          <w:rFonts w:ascii="Arial"/>
          <w:w w:val="110"/>
          <w:sz w:val="19"/>
        </w:rPr>
        <w:t>of</w:t>
      </w:r>
      <w:r>
        <w:rPr>
          <w:rFonts w:ascii="Arial"/>
          <w:spacing w:val="-41"/>
          <w:w w:val="110"/>
          <w:sz w:val="19"/>
        </w:rPr>
        <w:t xml:space="preserve"> </w:t>
      </w:r>
      <w:r>
        <w:rPr>
          <w:rFonts w:ascii="Arial"/>
          <w:w w:val="110"/>
          <w:sz w:val="19"/>
        </w:rPr>
        <w:t>the</w:t>
      </w:r>
      <w:r>
        <w:rPr>
          <w:rFonts w:ascii="Arial"/>
          <w:spacing w:val="-41"/>
          <w:w w:val="110"/>
          <w:sz w:val="19"/>
        </w:rPr>
        <w:t xml:space="preserve"> </w:t>
      </w:r>
      <w:r>
        <w:rPr>
          <w:rFonts w:ascii="Arial"/>
          <w:w w:val="110"/>
          <w:sz w:val="19"/>
        </w:rPr>
        <w:t>regulatory</w:t>
      </w:r>
      <w:r>
        <w:rPr>
          <w:rFonts w:ascii="Arial"/>
          <w:spacing w:val="-41"/>
          <w:w w:val="110"/>
          <w:sz w:val="19"/>
        </w:rPr>
        <w:t xml:space="preserve"> </w:t>
      </w:r>
      <w:r>
        <w:rPr>
          <w:rFonts w:ascii="Arial"/>
          <w:w w:val="110"/>
          <w:sz w:val="19"/>
        </w:rPr>
        <w:t>impact</w:t>
      </w:r>
      <w:r>
        <w:rPr>
          <w:rFonts w:ascii="Arial"/>
          <w:spacing w:val="-41"/>
          <w:w w:val="110"/>
          <w:sz w:val="19"/>
        </w:rPr>
        <w:t xml:space="preserve"> </w:t>
      </w:r>
      <w:r>
        <w:rPr>
          <w:rFonts w:ascii="Arial"/>
          <w:w w:val="110"/>
          <w:sz w:val="19"/>
        </w:rPr>
        <w:t>of</w:t>
      </w:r>
      <w:r>
        <w:rPr>
          <w:rFonts w:ascii="Arial"/>
          <w:spacing w:val="-42"/>
          <w:w w:val="110"/>
          <w:sz w:val="19"/>
        </w:rPr>
        <w:t xml:space="preserve"> </w:t>
      </w:r>
      <w:r>
        <w:rPr>
          <w:rFonts w:ascii="Arial"/>
          <w:w w:val="110"/>
          <w:sz w:val="19"/>
        </w:rPr>
        <w:t>the</w:t>
      </w:r>
      <w:r>
        <w:rPr>
          <w:rFonts w:ascii="Arial"/>
          <w:spacing w:val="-41"/>
          <w:w w:val="110"/>
          <w:sz w:val="19"/>
        </w:rPr>
        <w:t xml:space="preserve"> </w:t>
      </w:r>
      <w:r>
        <w:rPr>
          <w:rFonts w:ascii="Arial"/>
          <w:w w:val="110"/>
          <w:sz w:val="19"/>
        </w:rPr>
        <w:t xml:space="preserve">proposed </w:t>
      </w:r>
      <w:r>
        <w:rPr>
          <w:rFonts w:ascii="Arial"/>
          <w:w w:val="105"/>
          <w:sz w:val="19"/>
        </w:rPr>
        <w:t>clarification</w:t>
      </w:r>
      <w:r>
        <w:rPr>
          <w:rFonts w:ascii="Arial"/>
          <w:spacing w:val="-18"/>
          <w:w w:val="105"/>
          <w:sz w:val="19"/>
        </w:rPr>
        <w:t xml:space="preserve"> </w:t>
      </w:r>
      <w:r>
        <w:rPr>
          <w:rFonts w:ascii="Arial"/>
          <w:w w:val="105"/>
          <w:sz w:val="19"/>
        </w:rPr>
        <w:t>to</w:t>
      </w:r>
      <w:r>
        <w:rPr>
          <w:rFonts w:ascii="Arial"/>
          <w:spacing w:val="-18"/>
          <w:w w:val="105"/>
          <w:sz w:val="19"/>
        </w:rPr>
        <w:t xml:space="preserve"> </w:t>
      </w:r>
      <w:r>
        <w:rPr>
          <w:rFonts w:ascii="Arial"/>
          <w:w w:val="105"/>
          <w:sz w:val="19"/>
        </w:rPr>
        <w:t>the</w:t>
      </w:r>
      <w:r>
        <w:rPr>
          <w:rFonts w:ascii="Arial"/>
          <w:spacing w:val="-18"/>
          <w:w w:val="105"/>
          <w:sz w:val="19"/>
        </w:rPr>
        <w:t xml:space="preserve"> </w:t>
      </w:r>
      <w:r>
        <w:rPr>
          <w:rFonts w:ascii="Arial"/>
          <w:w w:val="105"/>
          <w:sz w:val="19"/>
        </w:rPr>
        <w:t>regulation</w:t>
      </w:r>
      <w:r>
        <w:rPr>
          <w:rFonts w:ascii="Arial"/>
          <w:spacing w:val="-17"/>
          <w:w w:val="105"/>
          <w:sz w:val="19"/>
        </w:rPr>
        <w:t xml:space="preserve"> </w:t>
      </w:r>
      <w:r>
        <w:rPr>
          <w:rFonts w:ascii="Arial"/>
          <w:w w:val="105"/>
          <w:sz w:val="19"/>
        </w:rPr>
        <w:t>of</w:t>
      </w:r>
      <w:r>
        <w:rPr>
          <w:rFonts w:ascii="Arial"/>
          <w:spacing w:val="-17"/>
          <w:w w:val="105"/>
          <w:sz w:val="19"/>
        </w:rPr>
        <w:t xml:space="preserve"> </w:t>
      </w:r>
      <w:r>
        <w:rPr>
          <w:rFonts w:ascii="Arial"/>
          <w:w w:val="105"/>
          <w:sz w:val="19"/>
        </w:rPr>
        <w:t>sports</w:t>
      </w:r>
      <w:r>
        <w:rPr>
          <w:rFonts w:ascii="Arial"/>
          <w:spacing w:val="-19"/>
          <w:w w:val="105"/>
          <w:sz w:val="19"/>
        </w:rPr>
        <w:t xml:space="preserve"> </w:t>
      </w:r>
      <w:r>
        <w:rPr>
          <w:rFonts w:ascii="Arial"/>
          <w:w w:val="105"/>
          <w:sz w:val="19"/>
        </w:rPr>
        <w:t>supplements</w:t>
      </w:r>
      <w:r>
        <w:rPr>
          <w:rFonts w:ascii="Arial"/>
          <w:spacing w:val="-18"/>
          <w:w w:val="105"/>
          <w:sz w:val="19"/>
        </w:rPr>
        <w:t xml:space="preserve"> </w:t>
      </w:r>
      <w:r>
        <w:rPr>
          <w:rFonts w:ascii="Arial"/>
          <w:w w:val="105"/>
          <w:sz w:val="19"/>
        </w:rPr>
        <w:t>to</w:t>
      </w:r>
      <w:r>
        <w:rPr>
          <w:rFonts w:ascii="Arial"/>
          <w:spacing w:val="-18"/>
          <w:w w:val="105"/>
          <w:sz w:val="19"/>
        </w:rPr>
        <w:t xml:space="preserve"> </w:t>
      </w:r>
      <w:r>
        <w:rPr>
          <w:rFonts w:ascii="Arial"/>
          <w:w w:val="105"/>
          <w:sz w:val="19"/>
        </w:rPr>
        <w:t>inform</w:t>
      </w:r>
      <w:r>
        <w:rPr>
          <w:rFonts w:ascii="Arial"/>
          <w:spacing w:val="-17"/>
          <w:w w:val="105"/>
          <w:sz w:val="19"/>
        </w:rPr>
        <w:t xml:space="preserve"> </w:t>
      </w:r>
      <w:r>
        <w:rPr>
          <w:rFonts w:ascii="Arial"/>
          <w:w w:val="105"/>
          <w:sz w:val="19"/>
        </w:rPr>
        <w:t>the</w:t>
      </w:r>
      <w:r>
        <w:rPr>
          <w:rFonts w:ascii="Arial"/>
          <w:spacing w:val="-17"/>
          <w:w w:val="105"/>
          <w:sz w:val="19"/>
        </w:rPr>
        <w:t xml:space="preserve"> </w:t>
      </w:r>
      <w:r>
        <w:rPr>
          <w:rFonts w:ascii="Arial"/>
          <w:w w:val="105"/>
          <w:sz w:val="19"/>
        </w:rPr>
        <w:t>Regulation</w:t>
      </w:r>
      <w:r>
        <w:rPr>
          <w:rFonts w:ascii="Arial"/>
          <w:spacing w:val="-18"/>
          <w:w w:val="105"/>
          <w:sz w:val="19"/>
        </w:rPr>
        <w:t xml:space="preserve"> </w:t>
      </w:r>
      <w:r>
        <w:rPr>
          <w:rFonts w:ascii="Arial"/>
          <w:w w:val="105"/>
          <w:sz w:val="19"/>
        </w:rPr>
        <w:t>Impact</w:t>
      </w:r>
      <w:r>
        <w:rPr>
          <w:rFonts w:ascii="Arial"/>
          <w:spacing w:val="-19"/>
          <w:w w:val="105"/>
          <w:sz w:val="19"/>
        </w:rPr>
        <w:t xml:space="preserve"> </w:t>
      </w:r>
      <w:r>
        <w:rPr>
          <w:rFonts w:ascii="Arial"/>
          <w:w w:val="105"/>
          <w:sz w:val="19"/>
        </w:rPr>
        <w:t xml:space="preserve">Statement </w:t>
      </w:r>
      <w:r>
        <w:rPr>
          <w:rFonts w:ascii="Arial"/>
          <w:w w:val="110"/>
          <w:sz w:val="19"/>
        </w:rPr>
        <w:t>(RIS)</w:t>
      </w:r>
      <w:r>
        <w:rPr>
          <w:rFonts w:ascii="Arial"/>
          <w:spacing w:val="-17"/>
          <w:w w:val="110"/>
          <w:sz w:val="19"/>
        </w:rPr>
        <w:t xml:space="preserve"> </w:t>
      </w:r>
      <w:r>
        <w:rPr>
          <w:rFonts w:ascii="Arial"/>
          <w:w w:val="110"/>
          <w:sz w:val="19"/>
        </w:rPr>
        <w:t>prepared</w:t>
      </w:r>
      <w:r>
        <w:rPr>
          <w:rFonts w:ascii="Arial"/>
          <w:spacing w:val="-17"/>
          <w:w w:val="110"/>
          <w:sz w:val="19"/>
        </w:rPr>
        <w:t xml:space="preserve"> </w:t>
      </w:r>
      <w:r>
        <w:rPr>
          <w:rFonts w:ascii="Arial"/>
          <w:w w:val="110"/>
          <w:sz w:val="19"/>
        </w:rPr>
        <w:t>by</w:t>
      </w:r>
      <w:r>
        <w:rPr>
          <w:rFonts w:ascii="Arial"/>
          <w:spacing w:val="-16"/>
          <w:w w:val="110"/>
          <w:sz w:val="19"/>
        </w:rPr>
        <w:t xml:space="preserve"> </w:t>
      </w:r>
      <w:r>
        <w:rPr>
          <w:rFonts w:ascii="Arial"/>
          <w:w w:val="110"/>
          <w:sz w:val="19"/>
        </w:rPr>
        <w:t>the</w:t>
      </w:r>
      <w:r>
        <w:rPr>
          <w:rFonts w:ascii="Arial"/>
          <w:spacing w:val="-13"/>
          <w:w w:val="110"/>
          <w:sz w:val="19"/>
        </w:rPr>
        <w:t xml:space="preserve"> </w:t>
      </w:r>
      <w:r>
        <w:rPr>
          <w:rFonts w:ascii="Arial"/>
          <w:w w:val="110"/>
          <w:sz w:val="19"/>
        </w:rPr>
        <w:t>Department</w:t>
      </w:r>
      <w:r>
        <w:rPr>
          <w:rFonts w:ascii="Arial"/>
          <w:spacing w:val="-17"/>
          <w:w w:val="110"/>
          <w:sz w:val="19"/>
        </w:rPr>
        <w:t xml:space="preserve"> </w:t>
      </w:r>
      <w:r>
        <w:rPr>
          <w:rFonts w:ascii="Arial"/>
          <w:w w:val="110"/>
          <w:sz w:val="19"/>
        </w:rPr>
        <w:t>of</w:t>
      </w:r>
      <w:r>
        <w:rPr>
          <w:rFonts w:ascii="Arial"/>
          <w:spacing w:val="-17"/>
          <w:w w:val="110"/>
          <w:sz w:val="19"/>
        </w:rPr>
        <w:t xml:space="preserve"> </w:t>
      </w:r>
      <w:r>
        <w:rPr>
          <w:rFonts w:ascii="Arial"/>
          <w:w w:val="110"/>
          <w:sz w:val="19"/>
        </w:rPr>
        <w:t>Health.</w:t>
      </w: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D70D28">
      <w:pPr>
        <w:pStyle w:val="BodyText"/>
        <w:spacing w:before="3"/>
        <w:rPr>
          <w:rFonts w:ascii="Arial"/>
          <w:sz w:val="19"/>
        </w:rPr>
      </w:pPr>
      <w:r>
        <w:rPr>
          <w:noProof/>
          <w:lang w:val="en-AU" w:eastAsia="en-AU"/>
        </w:rPr>
        <mc:AlternateContent>
          <mc:Choice Requires="wps">
            <w:drawing>
              <wp:anchor distT="0" distB="0" distL="0" distR="0" simplePos="0" relativeHeight="251694080" behindDoc="1" locked="0" layoutInCell="1" allowOverlap="1">
                <wp:simplePos x="0" y="0"/>
                <wp:positionH relativeFrom="page">
                  <wp:posOffset>1080770</wp:posOffset>
                </wp:positionH>
                <wp:positionV relativeFrom="paragraph">
                  <wp:posOffset>171450</wp:posOffset>
                </wp:positionV>
                <wp:extent cx="1829435" cy="1270"/>
                <wp:effectExtent l="0" t="0" r="0" b="0"/>
                <wp:wrapTopAndBottom/>
                <wp:docPr id="369"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CD151" id="Freeform 225" o:spid="_x0000_s1026" style="position:absolute;margin-left:85.1pt;margin-top:13.5pt;width:144.05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" path="m,l2880,e" filled="f" strokeweight=".84pt">
                <v:path arrowok="t" o:connecttype="custom" o:connectlocs="0,0;1828800,0" o:connectangles="0,0"/>
                <w10:wrap type="topAndBottom" anchorx="page"/>
              </v:shape>
            </w:pict>
          </mc:Fallback>
        </mc:AlternateContent>
      </w:r>
    </w:p>
    <w:p w:rsidR="007D76BB" w:rsidRDefault="00D70D28">
      <w:pPr>
        <w:spacing w:before="132"/>
        <w:ind w:left="482"/>
        <w:rPr>
          <w:rFonts w:ascii="Arial" w:hAnsi="Arial"/>
          <w:sz w:val="14"/>
        </w:rPr>
      </w:pPr>
      <w:r>
        <w:rPr>
          <w:rFonts w:ascii="Arial" w:hAnsi="Arial"/>
          <w:color w:val="5B6761"/>
          <w:position w:val="5"/>
          <w:sz w:val="8"/>
        </w:rPr>
        <w:t xml:space="preserve">4 </w:t>
      </w:r>
      <w:r>
        <w:rPr>
          <w:rFonts w:ascii="Arial" w:hAnsi="Arial"/>
          <w:color w:val="5B6761"/>
          <w:sz w:val="14"/>
        </w:rPr>
        <w:t xml:space="preserve">For example, Insulin </w:t>
      </w:r>
      <w:proofErr w:type="gramStart"/>
      <w:r>
        <w:rPr>
          <w:rFonts w:ascii="Arial" w:hAnsi="Arial"/>
          <w:color w:val="5B6761"/>
          <w:sz w:val="14"/>
        </w:rPr>
        <w:t>Like</w:t>
      </w:r>
      <w:proofErr w:type="gramEnd"/>
      <w:r>
        <w:rPr>
          <w:rFonts w:ascii="Arial" w:hAnsi="Arial"/>
          <w:color w:val="5B6761"/>
          <w:sz w:val="14"/>
        </w:rPr>
        <w:t xml:space="preserve"> Growth Factor-1 (IGF-1) is found in cow’s milk and thus included in many whey proteins products.</w:t>
      </w:r>
    </w:p>
    <w:p w:rsidR="007D76BB" w:rsidRDefault="00D70D28">
      <w:pPr>
        <w:spacing w:before="79" w:line="268" w:lineRule="auto"/>
        <w:ind w:left="594" w:right="1930" w:hanging="113"/>
        <w:rPr>
          <w:rFonts w:ascii="Arial" w:hAnsi="Arial"/>
          <w:sz w:val="14"/>
        </w:rPr>
      </w:pPr>
      <w:r>
        <w:rPr>
          <w:rFonts w:ascii="Arial" w:hAnsi="Arial"/>
          <w:color w:val="5B6761"/>
          <w:w w:val="105"/>
          <w:position w:val="5"/>
          <w:sz w:val="8"/>
        </w:rPr>
        <w:t xml:space="preserve">5 </w:t>
      </w:r>
      <w:r>
        <w:rPr>
          <w:rFonts w:ascii="Arial" w:hAnsi="Arial"/>
          <w:color w:val="5B6761"/>
          <w:w w:val="105"/>
          <w:sz w:val="14"/>
        </w:rPr>
        <w:t>TGA,</w:t>
      </w:r>
      <w:r>
        <w:rPr>
          <w:rFonts w:ascii="Arial" w:hAnsi="Arial"/>
          <w:color w:val="5B6761"/>
          <w:spacing w:val="-19"/>
          <w:w w:val="105"/>
          <w:sz w:val="14"/>
        </w:rPr>
        <w:t xml:space="preserve"> </w:t>
      </w:r>
      <w:r>
        <w:rPr>
          <w:rFonts w:ascii="Arial" w:hAnsi="Arial"/>
          <w:color w:val="5B6761"/>
          <w:w w:val="105"/>
          <w:sz w:val="14"/>
        </w:rPr>
        <w:t>‘Update</w:t>
      </w:r>
      <w:r>
        <w:rPr>
          <w:rFonts w:ascii="Arial" w:hAnsi="Arial"/>
          <w:color w:val="5B6761"/>
          <w:spacing w:val="-19"/>
          <w:w w:val="105"/>
          <w:sz w:val="14"/>
        </w:rPr>
        <w:t xml:space="preserve"> </w:t>
      </w:r>
      <w:r>
        <w:rPr>
          <w:rFonts w:ascii="Arial" w:hAnsi="Arial"/>
          <w:color w:val="5B6761"/>
          <w:w w:val="105"/>
          <w:sz w:val="14"/>
        </w:rPr>
        <w:t>on</w:t>
      </w:r>
      <w:r>
        <w:rPr>
          <w:rFonts w:ascii="Arial" w:hAnsi="Arial"/>
          <w:color w:val="5B6761"/>
          <w:spacing w:val="-18"/>
          <w:w w:val="105"/>
          <w:sz w:val="14"/>
        </w:rPr>
        <w:t xml:space="preserve"> </w:t>
      </w:r>
      <w:r>
        <w:rPr>
          <w:rFonts w:ascii="Arial" w:hAnsi="Arial"/>
          <w:color w:val="5B6761"/>
          <w:w w:val="105"/>
          <w:sz w:val="14"/>
        </w:rPr>
        <w:t>proposed</w:t>
      </w:r>
      <w:r>
        <w:rPr>
          <w:rFonts w:ascii="Arial" w:hAnsi="Arial"/>
          <w:color w:val="5B6761"/>
          <w:spacing w:val="-18"/>
          <w:w w:val="105"/>
          <w:sz w:val="14"/>
        </w:rPr>
        <w:t xml:space="preserve"> </w:t>
      </w:r>
      <w:r>
        <w:rPr>
          <w:rFonts w:ascii="Arial" w:hAnsi="Arial"/>
          <w:color w:val="5B6761"/>
          <w:w w:val="105"/>
          <w:sz w:val="14"/>
        </w:rPr>
        <w:t>clarification</w:t>
      </w:r>
      <w:r>
        <w:rPr>
          <w:rFonts w:ascii="Arial" w:hAnsi="Arial"/>
          <w:color w:val="5B6761"/>
          <w:spacing w:val="-16"/>
          <w:w w:val="105"/>
          <w:sz w:val="14"/>
        </w:rPr>
        <w:t xml:space="preserve"> </w:t>
      </w:r>
      <w:r>
        <w:rPr>
          <w:rFonts w:ascii="Arial" w:hAnsi="Arial"/>
          <w:color w:val="5B6761"/>
          <w:w w:val="105"/>
          <w:sz w:val="14"/>
        </w:rPr>
        <w:t>that</w:t>
      </w:r>
      <w:r>
        <w:rPr>
          <w:rFonts w:ascii="Arial" w:hAnsi="Arial"/>
          <w:color w:val="5B6761"/>
          <w:spacing w:val="-18"/>
          <w:w w:val="105"/>
          <w:sz w:val="14"/>
        </w:rPr>
        <w:t xml:space="preserve"> </w:t>
      </w:r>
      <w:r>
        <w:rPr>
          <w:rFonts w:ascii="Arial" w:hAnsi="Arial"/>
          <w:color w:val="5B6761"/>
          <w:w w:val="105"/>
          <w:sz w:val="14"/>
        </w:rPr>
        <w:t>certain</w:t>
      </w:r>
      <w:r>
        <w:rPr>
          <w:rFonts w:ascii="Arial" w:hAnsi="Arial"/>
          <w:color w:val="5B6761"/>
          <w:spacing w:val="-18"/>
          <w:w w:val="105"/>
          <w:sz w:val="14"/>
        </w:rPr>
        <w:t xml:space="preserve"> </w:t>
      </w:r>
      <w:r>
        <w:rPr>
          <w:rFonts w:ascii="Arial" w:hAnsi="Arial"/>
          <w:color w:val="5B6761"/>
          <w:w w:val="105"/>
          <w:sz w:val="14"/>
        </w:rPr>
        <w:t>sports</w:t>
      </w:r>
      <w:r>
        <w:rPr>
          <w:rFonts w:ascii="Arial" w:hAnsi="Arial"/>
          <w:color w:val="5B6761"/>
          <w:spacing w:val="-18"/>
          <w:w w:val="105"/>
          <w:sz w:val="14"/>
        </w:rPr>
        <w:t xml:space="preserve"> </w:t>
      </w:r>
      <w:r>
        <w:rPr>
          <w:rFonts w:ascii="Arial" w:hAnsi="Arial"/>
          <w:color w:val="5B6761"/>
          <w:w w:val="105"/>
          <w:sz w:val="14"/>
        </w:rPr>
        <w:t>supplements</w:t>
      </w:r>
      <w:r>
        <w:rPr>
          <w:rFonts w:ascii="Arial" w:hAnsi="Arial"/>
          <w:color w:val="5B6761"/>
          <w:spacing w:val="-19"/>
          <w:w w:val="105"/>
          <w:sz w:val="14"/>
        </w:rPr>
        <w:t xml:space="preserve"> </w:t>
      </w:r>
      <w:r>
        <w:rPr>
          <w:rFonts w:ascii="Arial" w:hAnsi="Arial"/>
          <w:color w:val="5B6761"/>
          <w:w w:val="105"/>
          <w:sz w:val="14"/>
        </w:rPr>
        <w:t>are</w:t>
      </w:r>
      <w:r>
        <w:rPr>
          <w:rFonts w:ascii="Arial" w:hAnsi="Arial"/>
          <w:color w:val="5B6761"/>
          <w:spacing w:val="-19"/>
          <w:w w:val="105"/>
          <w:sz w:val="14"/>
        </w:rPr>
        <w:t xml:space="preserve"> </w:t>
      </w:r>
      <w:r>
        <w:rPr>
          <w:rFonts w:ascii="Arial" w:hAnsi="Arial"/>
          <w:color w:val="5B6761"/>
          <w:w w:val="105"/>
          <w:sz w:val="14"/>
        </w:rPr>
        <w:t>therapeutic</w:t>
      </w:r>
      <w:r>
        <w:rPr>
          <w:rFonts w:ascii="Arial" w:hAnsi="Arial"/>
          <w:color w:val="5B6761"/>
          <w:spacing w:val="-19"/>
          <w:w w:val="105"/>
          <w:sz w:val="14"/>
        </w:rPr>
        <w:t xml:space="preserve"> </w:t>
      </w:r>
      <w:r>
        <w:rPr>
          <w:rFonts w:ascii="Arial" w:hAnsi="Arial"/>
          <w:color w:val="5B6761"/>
          <w:w w:val="105"/>
          <w:sz w:val="14"/>
        </w:rPr>
        <w:t>goods’,</w:t>
      </w:r>
      <w:r>
        <w:rPr>
          <w:rFonts w:ascii="Arial" w:hAnsi="Arial"/>
          <w:color w:val="5B6761"/>
          <w:spacing w:val="-18"/>
          <w:w w:val="105"/>
          <w:sz w:val="14"/>
        </w:rPr>
        <w:t xml:space="preserve"> </w:t>
      </w:r>
      <w:r>
        <w:rPr>
          <w:rFonts w:ascii="Arial" w:hAnsi="Arial"/>
          <w:color w:val="5B6761"/>
          <w:w w:val="105"/>
          <w:sz w:val="14"/>
        </w:rPr>
        <w:t>viewed</w:t>
      </w:r>
      <w:r>
        <w:rPr>
          <w:rFonts w:ascii="Arial" w:hAnsi="Arial"/>
          <w:color w:val="5B6761"/>
          <w:spacing w:val="-18"/>
          <w:w w:val="105"/>
          <w:sz w:val="14"/>
        </w:rPr>
        <w:t xml:space="preserve"> </w:t>
      </w:r>
      <w:r>
        <w:rPr>
          <w:rFonts w:ascii="Arial" w:hAnsi="Arial"/>
          <w:color w:val="5B6761"/>
          <w:w w:val="105"/>
          <w:sz w:val="14"/>
        </w:rPr>
        <w:t>2</w:t>
      </w:r>
      <w:r>
        <w:rPr>
          <w:rFonts w:ascii="Arial" w:hAnsi="Arial"/>
          <w:color w:val="5B6761"/>
          <w:spacing w:val="-18"/>
          <w:w w:val="105"/>
          <w:sz w:val="14"/>
        </w:rPr>
        <w:t xml:space="preserve"> </w:t>
      </w:r>
      <w:r>
        <w:rPr>
          <w:rFonts w:ascii="Arial" w:hAnsi="Arial"/>
          <w:color w:val="5B6761"/>
          <w:w w:val="105"/>
          <w:sz w:val="14"/>
        </w:rPr>
        <w:t>April</w:t>
      </w:r>
      <w:r>
        <w:rPr>
          <w:rFonts w:ascii="Arial" w:hAnsi="Arial"/>
          <w:color w:val="5B6761"/>
          <w:spacing w:val="-18"/>
          <w:w w:val="105"/>
          <w:sz w:val="14"/>
        </w:rPr>
        <w:t xml:space="preserve"> </w:t>
      </w:r>
      <w:r>
        <w:rPr>
          <w:rFonts w:ascii="Arial" w:hAnsi="Arial"/>
          <w:color w:val="5B6761"/>
          <w:w w:val="105"/>
          <w:sz w:val="14"/>
        </w:rPr>
        <w:t>2020,</w:t>
      </w:r>
      <w:r>
        <w:rPr>
          <w:rFonts w:ascii="Arial" w:hAnsi="Arial"/>
          <w:color w:val="5B6761"/>
          <w:spacing w:val="-13"/>
          <w:w w:val="105"/>
          <w:sz w:val="14"/>
        </w:rPr>
        <w:t xml:space="preserve"> </w:t>
      </w:r>
      <w:r>
        <w:rPr>
          <w:rFonts w:ascii="Arial" w:hAnsi="Arial"/>
          <w:color w:val="5B6761"/>
          <w:w w:val="105"/>
          <w:sz w:val="14"/>
        </w:rPr>
        <w:t xml:space="preserve">&lt; </w:t>
      </w:r>
      <w:hyperlink r:id="rId181">
        <w:r>
          <w:rPr>
            <w:rFonts w:ascii="Arial" w:hAnsi="Arial"/>
            <w:w w:val="105"/>
            <w:sz w:val="14"/>
            <w:u w:val="single" w:color="006FC0"/>
          </w:rPr>
          <w:t>https://www.tga.gov.au/update-proposed-clarification-certain-sports-supplements-are-therapeutic-goods</w:t>
        </w:r>
      </w:hyperlink>
      <w:r>
        <w:rPr>
          <w:rFonts w:ascii="Arial" w:hAnsi="Arial"/>
          <w:color w:val="5B6761"/>
          <w:w w:val="105"/>
          <w:sz w:val="14"/>
        </w:rPr>
        <w:t>&gt;.</w:t>
      </w:r>
    </w:p>
    <w:p w:rsidR="007D76BB" w:rsidRDefault="00D70D28">
      <w:pPr>
        <w:spacing w:before="59" w:line="268" w:lineRule="auto"/>
        <w:ind w:left="594" w:right="1226" w:hanging="113"/>
        <w:rPr>
          <w:rFonts w:ascii="Arial" w:hAnsi="Arial"/>
          <w:sz w:val="14"/>
        </w:rPr>
      </w:pPr>
      <w:r>
        <w:rPr>
          <w:rFonts w:ascii="Arial" w:hAnsi="Arial"/>
          <w:color w:val="5B6761"/>
          <w:w w:val="105"/>
          <w:position w:val="5"/>
          <w:sz w:val="8"/>
        </w:rPr>
        <w:t xml:space="preserve">6 </w:t>
      </w:r>
      <w:r>
        <w:rPr>
          <w:rFonts w:ascii="Arial" w:hAnsi="Arial"/>
          <w:color w:val="5B6761"/>
          <w:w w:val="105"/>
          <w:sz w:val="14"/>
        </w:rPr>
        <w:t>TGA</w:t>
      </w:r>
      <w:r>
        <w:rPr>
          <w:rFonts w:ascii="Arial" w:hAnsi="Arial"/>
          <w:color w:val="5B6761"/>
          <w:spacing w:val="-18"/>
          <w:w w:val="105"/>
          <w:sz w:val="14"/>
        </w:rPr>
        <w:t xml:space="preserve"> </w:t>
      </w:r>
      <w:r>
        <w:rPr>
          <w:rFonts w:ascii="Arial" w:hAnsi="Arial"/>
          <w:color w:val="5B6761"/>
          <w:w w:val="105"/>
          <w:sz w:val="14"/>
        </w:rPr>
        <w:t>has</w:t>
      </w:r>
      <w:r>
        <w:rPr>
          <w:rFonts w:ascii="Arial" w:hAnsi="Arial"/>
          <w:color w:val="5B6761"/>
          <w:spacing w:val="-18"/>
          <w:w w:val="105"/>
          <w:sz w:val="14"/>
        </w:rPr>
        <w:t xml:space="preserve"> </w:t>
      </w:r>
      <w:r>
        <w:rPr>
          <w:rFonts w:ascii="Arial" w:hAnsi="Arial"/>
          <w:color w:val="5B6761"/>
          <w:w w:val="105"/>
          <w:sz w:val="14"/>
        </w:rPr>
        <w:t>publicly</w:t>
      </w:r>
      <w:r>
        <w:rPr>
          <w:rFonts w:ascii="Arial" w:hAnsi="Arial"/>
          <w:color w:val="5B6761"/>
          <w:spacing w:val="-17"/>
          <w:w w:val="105"/>
          <w:sz w:val="14"/>
        </w:rPr>
        <w:t xml:space="preserve"> </w:t>
      </w:r>
      <w:r>
        <w:rPr>
          <w:rFonts w:ascii="Arial" w:hAnsi="Arial"/>
          <w:color w:val="5B6761"/>
          <w:w w:val="105"/>
          <w:sz w:val="14"/>
        </w:rPr>
        <w:t>stated</w:t>
      </w:r>
      <w:r>
        <w:rPr>
          <w:rFonts w:ascii="Arial" w:hAnsi="Arial"/>
          <w:color w:val="5B6761"/>
          <w:spacing w:val="-17"/>
          <w:w w:val="105"/>
          <w:sz w:val="14"/>
        </w:rPr>
        <w:t xml:space="preserve"> </w:t>
      </w:r>
      <w:r>
        <w:rPr>
          <w:rFonts w:ascii="Arial" w:hAnsi="Arial"/>
          <w:color w:val="5B6761"/>
          <w:w w:val="105"/>
          <w:sz w:val="14"/>
        </w:rPr>
        <w:t>that,</w:t>
      </w:r>
      <w:r>
        <w:rPr>
          <w:rFonts w:ascii="Arial" w:hAnsi="Arial"/>
          <w:color w:val="5B6761"/>
          <w:spacing w:val="-15"/>
          <w:w w:val="105"/>
          <w:sz w:val="14"/>
        </w:rPr>
        <w:t xml:space="preserve"> </w:t>
      </w:r>
      <w:r>
        <w:rPr>
          <w:rFonts w:ascii="Arial" w:hAnsi="Arial"/>
          <w:color w:val="5B6761"/>
          <w:w w:val="105"/>
          <w:sz w:val="14"/>
        </w:rPr>
        <w:t>‘There</w:t>
      </w:r>
      <w:r>
        <w:rPr>
          <w:rFonts w:ascii="Arial" w:hAnsi="Arial"/>
          <w:color w:val="5B6761"/>
          <w:spacing w:val="-18"/>
          <w:w w:val="105"/>
          <w:sz w:val="14"/>
        </w:rPr>
        <w:t xml:space="preserve"> </w:t>
      </w:r>
      <w:r>
        <w:rPr>
          <w:rFonts w:ascii="Arial" w:hAnsi="Arial"/>
          <w:color w:val="5B6761"/>
          <w:w w:val="105"/>
          <w:sz w:val="14"/>
        </w:rPr>
        <w:t>will</w:t>
      </w:r>
      <w:r>
        <w:rPr>
          <w:rFonts w:ascii="Arial" w:hAnsi="Arial"/>
          <w:color w:val="5B6761"/>
          <w:spacing w:val="-17"/>
          <w:w w:val="105"/>
          <w:sz w:val="14"/>
        </w:rPr>
        <w:t xml:space="preserve"> </w:t>
      </w:r>
      <w:r>
        <w:rPr>
          <w:rFonts w:ascii="Arial" w:hAnsi="Arial"/>
          <w:color w:val="5B6761"/>
          <w:w w:val="105"/>
          <w:sz w:val="14"/>
        </w:rPr>
        <w:t>be</w:t>
      </w:r>
      <w:r>
        <w:rPr>
          <w:rFonts w:ascii="Arial" w:hAnsi="Arial"/>
          <w:color w:val="5B6761"/>
          <w:spacing w:val="-18"/>
          <w:w w:val="105"/>
          <w:sz w:val="14"/>
        </w:rPr>
        <w:t xml:space="preserve"> </w:t>
      </w:r>
      <w:r>
        <w:rPr>
          <w:rFonts w:ascii="Arial" w:hAnsi="Arial"/>
          <w:color w:val="5B6761"/>
          <w:w w:val="105"/>
          <w:sz w:val="14"/>
        </w:rPr>
        <w:t>sufficient</w:t>
      </w:r>
      <w:r>
        <w:rPr>
          <w:rFonts w:ascii="Arial" w:hAnsi="Arial"/>
          <w:color w:val="5B6761"/>
          <w:spacing w:val="-17"/>
          <w:w w:val="105"/>
          <w:sz w:val="14"/>
        </w:rPr>
        <w:t xml:space="preserve"> </w:t>
      </w:r>
      <w:r>
        <w:rPr>
          <w:rFonts w:ascii="Arial" w:hAnsi="Arial"/>
          <w:color w:val="5B6761"/>
          <w:w w:val="105"/>
          <w:sz w:val="14"/>
        </w:rPr>
        <w:t>transition</w:t>
      </w:r>
      <w:r>
        <w:rPr>
          <w:rFonts w:ascii="Arial" w:hAnsi="Arial"/>
          <w:color w:val="5B6761"/>
          <w:spacing w:val="-17"/>
          <w:w w:val="105"/>
          <w:sz w:val="14"/>
        </w:rPr>
        <w:t xml:space="preserve"> </w:t>
      </w:r>
      <w:r>
        <w:rPr>
          <w:rFonts w:ascii="Arial" w:hAnsi="Arial"/>
          <w:color w:val="5B6761"/>
          <w:w w:val="105"/>
          <w:sz w:val="14"/>
        </w:rPr>
        <w:t>arrangements</w:t>
      </w:r>
      <w:r>
        <w:rPr>
          <w:rFonts w:ascii="Arial" w:hAnsi="Arial"/>
          <w:color w:val="5B6761"/>
          <w:spacing w:val="-17"/>
          <w:w w:val="105"/>
          <w:sz w:val="14"/>
        </w:rPr>
        <w:t xml:space="preserve"> </w:t>
      </w:r>
      <w:r>
        <w:rPr>
          <w:rFonts w:ascii="Arial" w:hAnsi="Arial"/>
          <w:color w:val="5B6761"/>
          <w:w w:val="105"/>
          <w:sz w:val="14"/>
        </w:rPr>
        <w:t>for</w:t>
      </w:r>
      <w:r>
        <w:rPr>
          <w:rFonts w:ascii="Arial" w:hAnsi="Arial"/>
          <w:color w:val="5B6761"/>
          <w:spacing w:val="-17"/>
          <w:w w:val="105"/>
          <w:sz w:val="14"/>
        </w:rPr>
        <w:t xml:space="preserve"> </w:t>
      </w:r>
      <w:r>
        <w:rPr>
          <w:rFonts w:ascii="Arial" w:hAnsi="Arial"/>
          <w:color w:val="5B6761"/>
          <w:w w:val="105"/>
          <w:sz w:val="14"/>
        </w:rPr>
        <w:t>companies</w:t>
      </w:r>
      <w:r>
        <w:rPr>
          <w:rFonts w:ascii="Arial" w:hAnsi="Arial"/>
          <w:color w:val="5B6761"/>
          <w:spacing w:val="-17"/>
          <w:w w:val="105"/>
          <w:sz w:val="14"/>
        </w:rPr>
        <w:t xml:space="preserve"> </w:t>
      </w:r>
      <w:r>
        <w:rPr>
          <w:rFonts w:ascii="Arial" w:hAnsi="Arial"/>
          <w:color w:val="5B6761"/>
          <w:w w:val="105"/>
          <w:sz w:val="14"/>
        </w:rPr>
        <w:t>who</w:t>
      </w:r>
      <w:r>
        <w:rPr>
          <w:rFonts w:ascii="Arial" w:hAnsi="Arial"/>
          <w:color w:val="5B6761"/>
          <w:spacing w:val="-18"/>
          <w:w w:val="105"/>
          <w:sz w:val="14"/>
        </w:rPr>
        <w:t xml:space="preserve"> </w:t>
      </w:r>
      <w:r>
        <w:rPr>
          <w:rFonts w:ascii="Arial" w:hAnsi="Arial"/>
          <w:color w:val="5B6761"/>
          <w:w w:val="105"/>
          <w:sz w:val="14"/>
        </w:rPr>
        <w:t>may</w:t>
      </w:r>
      <w:r>
        <w:rPr>
          <w:rFonts w:ascii="Arial" w:hAnsi="Arial"/>
          <w:color w:val="5B6761"/>
          <w:spacing w:val="-18"/>
          <w:w w:val="105"/>
          <w:sz w:val="14"/>
        </w:rPr>
        <w:t xml:space="preserve"> </w:t>
      </w:r>
      <w:r>
        <w:rPr>
          <w:rFonts w:ascii="Arial" w:hAnsi="Arial"/>
          <w:color w:val="5B6761"/>
          <w:w w:val="105"/>
          <w:sz w:val="14"/>
        </w:rPr>
        <w:t>be</w:t>
      </w:r>
      <w:r>
        <w:rPr>
          <w:rFonts w:ascii="Arial" w:hAnsi="Arial"/>
          <w:color w:val="5B6761"/>
          <w:spacing w:val="-18"/>
          <w:w w:val="105"/>
          <w:sz w:val="14"/>
        </w:rPr>
        <w:t xml:space="preserve"> </w:t>
      </w:r>
      <w:r>
        <w:rPr>
          <w:rFonts w:ascii="Arial" w:hAnsi="Arial"/>
          <w:color w:val="5B6761"/>
          <w:w w:val="105"/>
          <w:sz w:val="14"/>
        </w:rPr>
        <w:t>required</w:t>
      </w:r>
      <w:r>
        <w:rPr>
          <w:rFonts w:ascii="Arial" w:hAnsi="Arial"/>
          <w:color w:val="5B6761"/>
          <w:spacing w:val="-17"/>
          <w:w w:val="105"/>
          <w:sz w:val="14"/>
        </w:rPr>
        <w:t xml:space="preserve"> </w:t>
      </w:r>
      <w:r>
        <w:rPr>
          <w:rFonts w:ascii="Arial" w:hAnsi="Arial"/>
          <w:color w:val="5B6761"/>
          <w:w w:val="105"/>
          <w:sz w:val="14"/>
        </w:rPr>
        <w:t>to</w:t>
      </w:r>
      <w:r>
        <w:rPr>
          <w:rFonts w:ascii="Arial" w:hAnsi="Arial"/>
          <w:color w:val="5B6761"/>
          <w:spacing w:val="-19"/>
          <w:w w:val="105"/>
          <w:sz w:val="14"/>
        </w:rPr>
        <w:t xml:space="preserve"> </w:t>
      </w:r>
      <w:r>
        <w:rPr>
          <w:rFonts w:ascii="Arial" w:hAnsi="Arial"/>
          <w:color w:val="5B6761"/>
          <w:w w:val="105"/>
          <w:sz w:val="14"/>
        </w:rPr>
        <w:t>reformulate products</w:t>
      </w:r>
      <w:r>
        <w:rPr>
          <w:rFonts w:ascii="Arial" w:hAnsi="Arial"/>
          <w:color w:val="5B6761"/>
          <w:spacing w:val="-18"/>
          <w:w w:val="105"/>
          <w:sz w:val="14"/>
        </w:rPr>
        <w:t xml:space="preserve"> </w:t>
      </w:r>
      <w:r>
        <w:rPr>
          <w:rFonts w:ascii="Arial" w:hAnsi="Arial"/>
          <w:color w:val="5B6761"/>
          <w:w w:val="105"/>
          <w:sz w:val="14"/>
        </w:rPr>
        <w:t>and/or</w:t>
      </w:r>
      <w:r>
        <w:rPr>
          <w:rFonts w:ascii="Arial" w:hAnsi="Arial"/>
          <w:color w:val="5B6761"/>
          <w:spacing w:val="-17"/>
          <w:w w:val="105"/>
          <w:sz w:val="14"/>
        </w:rPr>
        <w:t xml:space="preserve"> </w:t>
      </w:r>
      <w:r>
        <w:rPr>
          <w:rFonts w:ascii="Arial" w:hAnsi="Arial"/>
          <w:color w:val="5B6761"/>
          <w:w w:val="105"/>
          <w:sz w:val="14"/>
        </w:rPr>
        <w:t>seek</w:t>
      </w:r>
      <w:r>
        <w:rPr>
          <w:rFonts w:ascii="Arial" w:hAnsi="Arial"/>
          <w:color w:val="5B6761"/>
          <w:spacing w:val="-18"/>
          <w:w w:val="105"/>
          <w:sz w:val="14"/>
        </w:rPr>
        <w:t xml:space="preserve"> </w:t>
      </w:r>
      <w:r>
        <w:rPr>
          <w:rFonts w:ascii="Arial" w:hAnsi="Arial"/>
          <w:color w:val="5B6761"/>
          <w:w w:val="105"/>
          <w:sz w:val="14"/>
        </w:rPr>
        <w:t>listing</w:t>
      </w:r>
      <w:r>
        <w:rPr>
          <w:rFonts w:ascii="Arial" w:hAnsi="Arial"/>
          <w:color w:val="5B6761"/>
          <w:spacing w:val="-17"/>
          <w:w w:val="105"/>
          <w:sz w:val="14"/>
        </w:rPr>
        <w:t xml:space="preserve"> </w:t>
      </w:r>
      <w:r>
        <w:rPr>
          <w:rFonts w:ascii="Arial" w:hAnsi="Arial"/>
          <w:color w:val="5B6761"/>
          <w:w w:val="105"/>
          <w:sz w:val="14"/>
        </w:rPr>
        <w:t>or</w:t>
      </w:r>
      <w:r>
        <w:rPr>
          <w:rFonts w:ascii="Arial" w:hAnsi="Arial"/>
          <w:color w:val="5B6761"/>
          <w:spacing w:val="-17"/>
          <w:w w:val="105"/>
          <w:sz w:val="14"/>
        </w:rPr>
        <w:t xml:space="preserve"> </w:t>
      </w:r>
      <w:r>
        <w:rPr>
          <w:rFonts w:ascii="Arial" w:hAnsi="Arial"/>
          <w:color w:val="5B6761"/>
          <w:w w:val="105"/>
          <w:sz w:val="14"/>
        </w:rPr>
        <w:t>registration</w:t>
      </w:r>
      <w:r>
        <w:rPr>
          <w:rFonts w:ascii="Arial" w:hAnsi="Arial"/>
          <w:color w:val="5B6761"/>
          <w:spacing w:val="-16"/>
          <w:w w:val="105"/>
          <w:sz w:val="14"/>
        </w:rPr>
        <w:t xml:space="preserve"> </w:t>
      </w:r>
      <w:r>
        <w:rPr>
          <w:rFonts w:ascii="Arial" w:hAnsi="Arial"/>
          <w:color w:val="5B6761"/>
          <w:w w:val="105"/>
          <w:sz w:val="14"/>
        </w:rPr>
        <w:t>of</w:t>
      </w:r>
      <w:r>
        <w:rPr>
          <w:rFonts w:ascii="Arial" w:hAnsi="Arial"/>
          <w:color w:val="5B6761"/>
          <w:spacing w:val="-19"/>
          <w:w w:val="105"/>
          <w:sz w:val="14"/>
        </w:rPr>
        <w:t xml:space="preserve"> </w:t>
      </w:r>
      <w:r>
        <w:rPr>
          <w:rFonts w:ascii="Arial" w:hAnsi="Arial"/>
          <w:color w:val="5B6761"/>
          <w:w w:val="105"/>
          <w:sz w:val="14"/>
        </w:rPr>
        <w:t>their</w:t>
      </w:r>
      <w:r>
        <w:rPr>
          <w:rFonts w:ascii="Arial" w:hAnsi="Arial"/>
          <w:color w:val="5B6761"/>
          <w:spacing w:val="-17"/>
          <w:w w:val="105"/>
          <w:sz w:val="14"/>
        </w:rPr>
        <w:t xml:space="preserve"> </w:t>
      </w:r>
      <w:r>
        <w:rPr>
          <w:rFonts w:ascii="Arial" w:hAnsi="Arial"/>
          <w:color w:val="5B6761"/>
          <w:w w:val="105"/>
          <w:sz w:val="14"/>
        </w:rPr>
        <w:t>products</w:t>
      </w:r>
      <w:r>
        <w:rPr>
          <w:rFonts w:ascii="Arial" w:hAnsi="Arial"/>
          <w:color w:val="5B6761"/>
          <w:spacing w:val="-17"/>
          <w:w w:val="105"/>
          <w:sz w:val="14"/>
        </w:rPr>
        <w:t xml:space="preserve"> </w:t>
      </w:r>
      <w:r>
        <w:rPr>
          <w:rFonts w:ascii="Arial" w:hAnsi="Arial"/>
          <w:color w:val="5B6761"/>
          <w:w w:val="105"/>
          <w:sz w:val="14"/>
        </w:rPr>
        <w:t>by</w:t>
      </w:r>
      <w:r>
        <w:rPr>
          <w:rFonts w:ascii="Arial" w:hAnsi="Arial"/>
          <w:color w:val="5B6761"/>
          <w:spacing w:val="-18"/>
          <w:w w:val="105"/>
          <w:sz w:val="14"/>
        </w:rPr>
        <w:t xml:space="preserve"> </w:t>
      </w:r>
      <w:r>
        <w:rPr>
          <w:rFonts w:ascii="Arial" w:hAnsi="Arial"/>
          <w:color w:val="5B6761"/>
          <w:w w:val="105"/>
          <w:sz w:val="14"/>
        </w:rPr>
        <w:t>the</w:t>
      </w:r>
      <w:r>
        <w:rPr>
          <w:rFonts w:ascii="Arial" w:hAnsi="Arial"/>
          <w:color w:val="5B6761"/>
          <w:spacing w:val="-18"/>
          <w:w w:val="105"/>
          <w:sz w:val="14"/>
        </w:rPr>
        <w:t xml:space="preserve"> </w:t>
      </w:r>
      <w:r>
        <w:rPr>
          <w:rFonts w:ascii="Arial" w:hAnsi="Arial"/>
          <w:color w:val="5B6761"/>
          <w:w w:val="105"/>
          <w:sz w:val="14"/>
        </w:rPr>
        <w:t>TGA’,</w:t>
      </w:r>
      <w:r>
        <w:rPr>
          <w:rFonts w:ascii="Arial" w:hAnsi="Arial"/>
          <w:color w:val="5B6761"/>
          <w:spacing w:val="-18"/>
          <w:w w:val="105"/>
          <w:sz w:val="14"/>
        </w:rPr>
        <w:t xml:space="preserve"> </w:t>
      </w:r>
      <w:r>
        <w:rPr>
          <w:rFonts w:ascii="Arial" w:hAnsi="Arial"/>
          <w:color w:val="5B6761"/>
          <w:w w:val="105"/>
          <w:sz w:val="14"/>
        </w:rPr>
        <w:t>TGA,</w:t>
      </w:r>
      <w:r>
        <w:rPr>
          <w:rFonts w:ascii="Arial" w:hAnsi="Arial"/>
          <w:color w:val="5B6761"/>
          <w:spacing w:val="-18"/>
          <w:w w:val="105"/>
          <w:sz w:val="14"/>
        </w:rPr>
        <w:t xml:space="preserve"> </w:t>
      </w:r>
      <w:r>
        <w:rPr>
          <w:rFonts w:ascii="Arial" w:hAnsi="Arial"/>
          <w:color w:val="5B6761"/>
          <w:w w:val="105"/>
          <w:sz w:val="14"/>
        </w:rPr>
        <w:t>presentation</w:t>
      </w:r>
      <w:r>
        <w:rPr>
          <w:rFonts w:ascii="Arial" w:hAnsi="Arial"/>
          <w:color w:val="5B6761"/>
          <w:spacing w:val="-17"/>
          <w:w w:val="105"/>
          <w:sz w:val="14"/>
        </w:rPr>
        <w:t xml:space="preserve"> </w:t>
      </w:r>
      <w:r>
        <w:rPr>
          <w:rFonts w:ascii="Arial" w:hAnsi="Arial"/>
          <w:color w:val="5B6761"/>
          <w:w w:val="105"/>
          <w:sz w:val="14"/>
        </w:rPr>
        <w:t>delivered</w:t>
      </w:r>
      <w:r>
        <w:rPr>
          <w:rFonts w:ascii="Arial" w:hAnsi="Arial"/>
          <w:color w:val="5B6761"/>
          <w:spacing w:val="-17"/>
          <w:w w:val="105"/>
          <w:sz w:val="14"/>
        </w:rPr>
        <w:t xml:space="preserve"> </w:t>
      </w:r>
      <w:r>
        <w:rPr>
          <w:rFonts w:ascii="Arial" w:hAnsi="Arial"/>
          <w:color w:val="5B6761"/>
          <w:w w:val="105"/>
          <w:sz w:val="14"/>
        </w:rPr>
        <w:t>by</w:t>
      </w:r>
      <w:r>
        <w:rPr>
          <w:rFonts w:ascii="Arial" w:hAnsi="Arial"/>
          <w:color w:val="5B6761"/>
          <w:spacing w:val="-17"/>
          <w:w w:val="105"/>
          <w:sz w:val="14"/>
        </w:rPr>
        <w:t xml:space="preserve"> </w:t>
      </w:r>
      <w:r>
        <w:rPr>
          <w:rFonts w:ascii="Arial" w:hAnsi="Arial"/>
          <w:color w:val="5B6761"/>
          <w:w w:val="105"/>
          <w:sz w:val="14"/>
        </w:rPr>
        <w:t>Adjunct</w:t>
      </w:r>
      <w:r>
        <w:rPr>
          <w:rFonts w:ascii="Arial" w:hAnsi="Arial"/>
          <w:color w:val="5B6761"/>
          <w:spacing w:val="-19"/>
          <w:w w:val="105"/>
          <w:sz w:val="14"/>
        </w:rPr>
        <w:t xml:space="preserve"> </w:t>
      </w:r>
      <w:r>
        <w:rPr>
          <w:rFonts w:ascii="Arial" w:hAnsi="Arial"/>
          <w:color w:val="5B6761"/>
          <w:w w:val="105"/>
          <w:sz w:val="14"/>
        </w:rPr>
        <w:t>Professor</w:t>
      </w:r>
      <w:r>
        <w:rPr>
          <w:rFonts w:ascii="Arial" w:hAnsi="Arial"/>
          <w:color w:val="5B6761"/>
          <w:spacing w:val="-8"/>
          <w:w w:val="105"/>
          <w:sz w:val="14"/>
        </w:rPr>
        <w:t xml:space="preserve"> </w:t>
      </w:r>
      <w:r>
        <w:rPr>
          <w:rFonts w:ascii="Arial" w:hAnsi="Arial"/>
          <w:color w:val="5B6761"/>
          <w:w w:val="105"/>
          <w:sz w:val="14"/>
        </w:rPr>
        <w:t xml:space="preserve">John </w:t>
      </w:r>
      <w:proofErr w:type="spellStart"/>
      <w:r>
        <w:rPr>
          <w:rFonts w:ascii="Arial" w:hAnsi="Arial"/>
          <w:color w:val="5B6761"/>
          <w:w w:val="105"/>
          <w:sz w:val="14"/>
        </w:rPr>
        <w:t>Skerrit</w:t>
      </w:r>
      <w:proofErr w:type="spellEnd"/>
      <w:r>
        <w:rPr>
          <w:rFonts w:ascii="Arial" w:hAnsi="Arial"/>
          <w:color w:val="5B6761"/>
          <w:spacing w:val="-18"/>
          <w:w w:val="105"/>
          <w:sz w:val="14"/>
        </w:rPr>
        <w:t xml:space="preserve"> </w:t>
      </w:r>
      <w:r>
        <w:rPr>
          <w:rFonts w:ascii="Arial" w:hAnsi="Arial"/>
          <w:color w:val="5B6761"/>
          <w:w w:val="105"/>
          <w:sz w:val="14"/>
        </w:rPr>
        <w:t>to</w:t>
      </w:r>
      <w:r>
        <w:rPr>
          <w:rFonts w:ascii="Arial" w:hAnsi="Arial"/>
          <w:color w:val="5B6761"/>
          <w:spacing w:val="-19"/>
          <w:w w:val="105"/>
          <w:sz w:val="14"/>
        </w:rPr>
        <w:t xml:space="preserve"> </w:t>
      </w:r>
      <w:r>
        <w:rPr>
          <w:rFonts w:ascii="Arial" w:hAnsi="Arial"/>
          <w:color w:val="5B6761"/>
          <w:w w:val="105"/>
          <w:sz w:val="14"/>
        </w:rPr>
        <w:t>the</w:t>
      </w:r>
      <w:r>
        <w:rPr>
          <w:rFonts w:ascii="Arial" w:hAnsi="Arial"/>
          <w:color w:val="5B6761"/>
          <w:spacing w:val="-19"/>
          <w:w w:val="105"/>
          <w:sz w:val="14"/>
        </w:rPr>
        <w:t xml:space="preserve"> </w:t>
      </w:r>
      <w:r>
        <w:rPr>
          <w:rFonts w:ascii="Arial" w:hAnsi="Arial"/>
          <w:color w:val="5B6761"/>
          <w:w w:val="105"/>
          <w:sz w:val="14"/>
        </w:rPr>
        <w:t>February</w:t>
      </w:r>
      <w:r>
        <w:rPr>
          <w:rFonts w:ascii="Arial" w:hAnsi="Arial"/>
          <w:color w:val="5B6761"/>
          <w:spacing w:val="-19"/>
          <w:w w:val="105"/>
          <w:sz w:val="14"/>
        </w:rPr>
        <w:t xml:space="preserve"> </w:t>
      </w:r>
      <w:r>
        <w:rPr>
          <w:rFonts w:ascii="Arial" w:hAnsi="Arial"/>
          <w:color w:val="5B6761"/>
          <w:w w:val="105"/>
          <w:sz w:val="14"/>
        </w:rPr>
        <w:t>2020</w:t>
      </w:r>
      <w:r>
        <w:rPr>
          <w:rFonts w:ascii="Arial" w:hAnsi="Arial"/>
          <w:color w:val="5B6761"/>
          <w:spacing w:val="-18"/>
          <w:w w:val="105"/>
          <w:sz w:val="14"/>
        </w:rPr>
        <w:t xml:space="preserve"> </w:t>
      </w:r>
      <w:r>
        <w:rPr>
          <w:rFonts w:ascii="Arial" w:hAnsi="Arial"/>
          <w:color w:val="5B6761"/>
          <w:w w:val="105"/>
          <w:sz w:val="14"/>
        </w:rPr>
        <w:t>stakeholder</w:t>
      </w:r>
      <w:r>
        <w:rPr>
          <w:rFonts w:ascii="Arial" w:hAnsi="Arial"/>
          <w:color w:val="5B6761"/>
          <w:spacing w:val="-18"/>
          <w:w w:val="105"/>
          <w:sz w:val="14"/>
        </w:rPr>
        <w:t xml:space="preserve"> </w:t>
      </w:r>
      <w:r>
        <w:rPr>
          <w:rFonts w:ascii="Arial" w:hAnsi="Arial"/>
          <w:color w:val="5B6761"/>
          <w:w w:val="105"/>
          <w:sz w:val="14"/>
        </w:rPr>
        <w:t>workshops</w:t>
      </w:r>
      <w:r>
        <w:rPr>
          <w:rFonts w:ascii="Arial" w:hAnsi="Arial"/>
          <w:color w:val="5B6761"/>
          <w:spacing w:val="-16"/>
          <w:w w:val="105"/>
          <w:sz w:val="14"/>
        </w:rPr>
        <w:t xml:space="preserve"> </w:t>
      </w:r>
      <w:r>
        <w:rPr>
          <w:rFonts w:ascii="Arial" w:hAnsi="Arial"/>
          <w:color w:val="5B6761"/>
          <w:w w:val="105"/>
          <w:sz w:val="14"/>
        </w:rPr>
        <w:t>titled</w:t>
      </w:r>
      <w:r>
        <w:rPr>
          <w:rFonts w:ascii="Arial" w:hAnsi="Arial"/>
          <w:color w:val="5B6761"/>
          <w:spacing w:val="-18"/>
          <w:w w:val="105"/>
          <w:sz w:val="14"/>
        </w:rPr>
        <w:t xml:space="preserve"> </w:t>
      </w:r>
      <w:r>
        <w:rPr>
          <w:rFonts w:ascii="Arial" w:hAnsi="Arial"/>
          <w:color w:val="5B6761"/>
          <w:w w:val="105"/>
          <w:sz w:val="14"/>
        </w:rPr>
        <w:t>‘Regulation</w:t>
      </w:r>
      <w:r>
        <w:rPr>
          <w:rFonts w:ascii="Arial" w:hAnsi="Arial"/>
          <w:color w:val="5B6761"/>
          <w:spacing w:val="-17"/>
          <w:w w:val="105"/>
          <w:sz w:val="14"/>
        </w:rPr>
        <w:t xml:space="preserve"> </w:t>
      </w:r>
      <w:r>
        <w:rPr>
          <w:rFonts w:ascii="Arial" w:hAnsi="Arial"/>
          <w:color w:val="5B6761"/>
          <w:w w:val="105"/>
          <w:sz w:val="14"/>
        </w:rPr>
        <w:t>of</w:t>
      </w:r>
      <w:r>
        <w:rPr>
          <w:rFonts w:ascii="Arial" w:hAnsi="Arial"/>
          <w:color w:val="5B6761"/>
          <w:spacing w:val="-19"/>
          <w:w w:val="105"/>
          <w:sz w:val="14"/>
        </w:rPr>
        <w:t xml:space="preserve"> </w:t>
      </w:r>
      <w:r>
        <w:rPr>
          <w:rFonts w:ascii="Arial" w:hAnsi="Arial"/>
          <w:color w:val="5B6761"/>
          <w:w w:val="105"/>
          <w:sz w:val="14"/>
        </w:rPr>
        <w:t>sports</w:t>
      </w:r>
      <w:r>
        <w:rPr>
          <w:rFonts w:ascii="Arial" w:hAnsi="Arial"/>
          <w:color w:val="5B6761"/>
          <w:spacing w:val="-18"/>
          <w:w w:val="105"/>
          <w:sz w:val="14"/>
        </w:rPr>
        <w:t xml:space="preserve"> </w:t>
      </w:r>
      <w:r>
        <w:rPr>
          <w:rFonts w:ascii="Arial" w:hAnsi="Arial"/>
          <w:color w:val="5B6761"/>
          <w:w w:val="105"/>
          <w:sz w:val="14"/>
        </w:rPr>
        <w:t>supplements</w:t>
      </w:r>
      <w:r>
        <w:rPr>
          <w:rFonts w:ascii="Arial" w:hAnsi="Arial"/>
          <w:color w:val="5B6761"/>
          <w:spacing w:val="-16"/>
          <w:w w:val="105"/>
          <w:sz w:val="14"/>
        </w:rPr>
        <w:t xml:space="preserve"> </w:t>
      </w:r>
      <w:r>
        <w:rPr>
          <w:rFonts w:ascii="Arial" w:hAnsi="Arial"/>
          <w:color w:val="5B6761"/>
          <w:w w:val="105"/>
          <w:sz w:val="14"/>
        </w:rPr>
        <w:t>–</w:t>
      </w:r>
      <w:r>
        <w:rPr>
          <w:rFonts w:ascii="Arial" w:hAnsi="Arial"/>
          <w:color w:val="5B6761"/>
          <w:spacing w:val="-18"/>
          <w:w w:val="105"/>
          <w:sz w:val="14"/>
        </w:rPr>
        <w:t xml:space="preserve"> </w:t>
      </w:r>
      <w:r>
        <w:rPr>
          <w:rFonts w:ascii="Arial" w:hAnsi="Arial"/>
          <w:color w:val="5B6761"/>
          <w:w w:val="105"/>
          <w:sz w:val="14"/>
        </w:rPr>
        <w:t>proposal</w:t>
      </w:r>
      <w:r>
        <w:rPr>
          <w:rFonts w:ascii="Arial" w:hAnsi="Arial"/>
          <w:color w:val="5B6761"/>
          <w:spacing w:val="-18"/>
          <w:w w:val="105"/>
          <w:sz w:val="14"/>
        </w:rPr>
        <w:t xml:space="preserve"> </w:t>
      </w:r>
      <w:r>
        <w:rPr>
          <w:rFonts w:ascii="Arial" w:hAnsi="Arial"/>
          <w:color w:val="5B6761"/>
          <w:w w:val="105"/>
          <w:sz w:val="14"/>
        </w:rPr>
        <w:t>and</w:t>
      </w:r>
      <w:r>
        <w:rPr>
          <w:rFonts w:ascii="Arial" w:hAnsi="Arial"/>
          <w:color w:val="5B6761"/>
          <w:spacing w:val="-17"/>
          <w:w w:val="105"/>
          <w:sz w:val="14"/>
        </w:rPr>
        <w:t xml:space="preserve"> </w:t>
      </w:r>
      <w:r>
        <w:rPr>
          <w:rFonts w:ascii="Arial" w:hAnsi="Arial"/>
          <w:color w:val="5B6761"/>
          <w:w w:val="105"/>
          <w:sz w:val="14"/>
        </w:rPr>
        <w:t>consultation’,</w:t>
      </w:r>
      <w:r>
        <w:rPr>
          <w:rFonts w:ascii="Arial" w:hAnsi="Arial"/>
          <w:color w:val="5B6761"/>
          <w:spacing w:val="-19"/>
          <w:w w:val="105"/>
          <w:sz w:val="14"/>
        </w:rPr>
        <w:t xml:space="preserve"> </w:t>
      </w:r>
      <w:r>
        <w:rPr>
          <w:rFonts w:ascii="Arial" w:hAnsi="Arial"/>
          <w:color w:val="5B6761"/>
          <w:w w:val="105"/>
          <w:sz w:val="14"/>
        </w:rPr>
        <w:t>see</w:t>
      </w:r>
      <w:r>
        <w:rPr>
          <w:rFonts w:ascii="Arial" w:hAnsi="Arial"/>
          <w:color w:val="5B6761"/>
          <w:spacing w:val="-16"/>
          <w:w w:val="105"/>
          <w:sz w:val="14"/>
        </w:rPr>
        <w:t xml:space="preserve"> </w:t>
      </w:r>
      <w:r>
        <w:rPr>
          <w:rFonts w:ascii="Arial" w:hAnsi="Arial"/>
          <w:color w:val="5B6761"/>
          <w:w w:val="105"/>
          <w:sz w:val="14"/>
        </w:rPr>
        <w:t xml:space="preserve">&lt; </w:t>
      </w:r>
      <w:hyperlink r:id="rId182">
        <w:r>
          <w:rPr>
            <w:rFonts w:ascii="Arial" w:hAnsi="Arial"/>
            <w:sz w:val="14"/>
            <w:u w:val="single" w:color="006FC0"/>
          </w:rPr>
          <w:t>h</w:t>
        </w:r>
        <w:r>
          <w:rPr>
            <w:rFonts w:ascii="Arial" w:hAnsi="Arial"/>
            <w:w w:val="133"/>
            <w:sz w:val="14"/>
            <w:u w:val="single" w:color="006FC0"/>
          </w:rPr>
          <w:t>tt</w:t>
        </w:r>
        <w:r>
          <w:rPr>
            <w:rFonts w:ascii="Arial" w:hAnsi="Arial"/>
            <w:sz w:val="14"/>
            <w:u w:val="single" w:color="006FC0"/>
          </w:rPr>
          <w:t>p</w:t>
        </w:r>
        <w:r>
          <w:rPr>
            <w:rFonts w:ascii="Arial" w:hAnsi="Arial"/>
            <w:spacing w:val="-1"/>
            <w:w w:val="93"/>
            <w:sz w:val="14"/>
            <w:u w:val="single" w:color="006FC0"/>
          </w:rPr>
          <w:t>s</w:t>
        </w:r>
        <w:r>
          <w:rPr>
            <w:rFonts w:ascii="Arial" w:hAnsi="Arial"/>
            <w:w w:val="127"/>
            <w:sz w:val="14"/>
            <w:u w:val="single" w:color="006FC0"/>
          </w:rPr>
          <w:t>:</w:t>
        </w:r>
        <w:r>
          <w:rPr>
            <w:rFonts w:ascii="Arial" w:hAnsi="Arial"/>
            <w:spacing w:val="-2"/>
            <w:w w:val="127"/>
            <w:sz w:val="14"/>
            <w:u w:val="single" w:color="006FC0"/>
          </w:rPr>
          <w:t>/</w:t>
        </w:r>
        <w:r>
          <w:rPr>
            <w:rFonts w:ascii="Arial" w:hAnsi="Arial"/>
            <w:spacing w:val="-1"/>
            <w:w w:val="175"/>
            <w:sz w:val="14"/>
            <w:u w:val="single" w:color="006FC0"/>
          </w:rPr>
          <w:t>/</w:t>
        </w:r>
        <w:r>
          <w:rPr>
            <w:rFonts w:ascii="Arial" w:hAnsi="Arial"/>
            <w:spacing w:val="1"/>
            <w:w w:val="98"/>
            <w:sz w:val="14"/>
            <w:u w:val="single" w:color="006FC0"/>
          </w:rPr>
          <w:t>www</w:t>
        </w:r>
        <w:r>
          <w:rPr>
            <w:rFonts w:ascii="Arial" w:hAnsi="Arial"/>
            <w:w w:val="107"/>
            <w:sz w:val="14"/>
            <w:u w:val="single" w:color="006FC0"/>
          </w:rPr>
          <w:t>.t</w:t>
        </w:r>
        <w:r>
          <w:rPr>
            <w:rFonts w:ascii="Arial" w:hAnsi="Arial"/>
            <w:sz w:val="14"/>
            <w:u w:val="single" w:color="006FC0"/>
          </w:rPr>
          <w:t>g</w:t>
        </w:r>
        <w:r>
          <w:rPr>
            <w:rFonts w:ascii="Arial" w:hAnsi="Arial"/>
            <w:w w:val="94"/>
            <w:sz w:val="14"/>
            <w:u w:val="single" w:color="006FC0"/>
          </w:rPr>
          <w:t>a</w:t>
        </w:r>
        <w:r>
          <w:rPr>
            <w:rFonts w:ascii="Arial" w:hAnsi="Arial"/>
            <w:w w:val="93"/>
            <w:sz w:val="14"/>
            <w:u w:val="single" w:color="006FC0"/>
          </w:rPr>
          <w:t>.g</w:t>
        </w:r>
        <w:r>
          <w:rPr>
            <w:rFonts w:ascii="Arial" w:hAnsi="Arial"/>
            <w:spacing w:val="-1"/>
            <w:w w:val="99"/>
            <w:sz w:val="14"/>
            <w:u w:val="single" w:color="006FC0"/>
          </w:rPr>
          <w:t>o</w:t>
        </w:r>
        <w:r>
          <w:rPr>
            <w:rFonts w:ascii="Arial" w:hAnsi="Arial"/>
            <w:w w:val="101"/>
            <w:sz w:val="14"/>
            <w:u w:val="single" w:color="006FC0"/>
          </w:rPr>
          <w:t>v</w:t>
        </w:r>
        <w:r>
          <w:rPr>
            <w:rFonts w:ascii="Arial" w:hAnsi="Arial"/>
            <w:w w:val="89"/>
            <w:sz w:val="14"/>
            <w:u w:val="single" w:color="006FC0"/>
          </w:rPr>
          <w:t>.a</w:t>
        </w:r>
        <w:r>
          <w:rPr>
            <w:rFonts w:ascii="Arial" w:hAnsi="Arial"/>
            <w:sz w:val="14"/>
            <w:u w:val="single" w:color="006FC0"/>
          </w:rPr>
          <w:t>u</w:t>
        </w:r>
        <w:r>
          <w:rPr>
            <w:rFonts w:ascii="Arial" w:hAnsi="Arial"/>
            <w:spacing w:val="-1"/>
            <w:w w:val="175"/>
            <w:sz w:val="14"/>
            <w:u w:val="single" w:color="006FC0"/>
          </w:rPr>
          <w:t>/</w:t>
        </w:r>
        <w:r>
          <w:rPr>
            <w:rFonts w:ascii="Arial" w:hAnsi="Arial"/>
            <w:spacing w:val="1"/>
            <w:w w:val="93"/>
            <w:sz w:val="14"/>
            <w:u w:val="single" w:color="006FC0"/>
          </w:rPr>
          <w:t>s</w:t>
        </w:r>
        <w:r>
          <w:rPr>
            <w:rFonts w:ascii="Arial" w:hAnsi="Arial"/>
            <w:w w:val="113"/>
            <w:sz w:val="14"/>
            <w:u w:val="single" w:color="006FC0"/>
          </w:rPr>
          <w:t>i</w:t>
        </w:r>
        <w:r>
          <w:rPr>
            <w:rFonts w:ascii="Arial" w:hAnsi="Arial"/>
            <w:w w:val="133"/>
            <w:sz w:val="14"/>
            <w:u w:val="single" w:color="006FC0"/>
          </w:rPr>
          <w:t>t</w:t>
        </w:r>
        <w:r>
          <w:rPr>
            <w:rFonts w:ascii="Arial" w:hAnsi="Arial"/>
            <w:spacing w:val="-1"/>
            <w:w w:val="96"/>
            <w:sz w:val="14"/>
            <w:u w:val="single" w:color="006FC0"/>
          </w:rPr>
          <w:t>e</w:t>
        </w:r>
        <w:r>
          <w:rPr>
            <w:rFonts w:ascii="Arial" w:hAnsi="Arial"/>
            <w:spacing w:val="1"/>
            <w:w w:val="93"/>
            <w:sz w:val="14"/>
            <w:u w:val="single" w:color="006FC0"/>
          </w:rPr>
          <w:t>s</w:t>
        </w:r>
        <w:r>
          <w:rPr>
            <w:rFonts w:ascii="Arial" w:hAnsi="Arial"/>
            <w:spacing w:val="-1"/>
            <w:w w:val="175"/>
            <w:sz w:val="14"/>
            <w:u w:val="single" w:color="006FC0"/>
          </w:rPr>
          <w:t>/</w:t>
        </w:r>
        <w:r>
          <w:rPr>
            <w:rFonts w:ascii="Arial" w:hAnsi="Arial"/>
            <w:sz w:val="14"/>
            <w:u w:val="single" w:color="006FC0"/>
          </w:rPr>
          <w:t>d</w:t>
        </w:r>
        <w:r>
          <w:rPr>
            <w:rFonts w:ascii="Arial" w:hAnsi="Arial"/>
            <w:spacing w:val="-1"/>
            <w:w w:val="96"/>
            <w:sz w:val="14"/>
            <w:u w:val="single" w:color="006FC0"/>
          </w:rPr>
          <w:t>e</w:t>
        </w:r>
        <w:r>
          <w:rPr>
            <w:rFonts w:ascii="Arial" w:hAnsi="Arial"/>
            <w:spacing w:val="-1"/>
            <w:w w:val="119"/>
            <w:sz w:val="14"/>
            <w:u w:val="single" w:color="006FC0"/>
          </w:rPr>
          <w:t>f</w:t>
        </w:r>
        <w:r>
          <w:rPr>
            <w:rFonts w:ascii="Arial" w:hAnsi="Arial"/>
            <w:w w:val="94"/>
            <w:sz w:val="14"/>
            <w:u w:val="single" w:color="006FC0"/>
          </w:rPr>
          <w:t>a</w:t>
        </w:r>
        <w:r>
          <w:rPr>
            <w:rFonts w:ascii="Arial" w:hAnsi="Arial"/>
            <w:sz w:val="14"/>
            <w:u w:val="single" w:color="006FC0"/>
          </w:rPr>
          <w:t>u</w:t>
        </w:r>
        <w:r>
          <w:rPr>
            <w:rFonts w:ascii="Arial" w:hAnsi="Arial"/>
            <w:spacing w:val="-1"/>
            <w:w w:val="117"/>
            <w:sz w:val="14"/>
            <w:u w:val="single" w:color="006FC0"/>
          </w:rPr>
          <w:t>l</w:t>
        </w:r>
        <w:r>
          <w:rPr>
            <w:rFonts w:ascii="Arial" w:hAnsi="Arial"/>
            <w:w w:val="133"/>
            <w:sz w:val="14"/>
            <w:u w:val="single" w:color="006FC0"/>
          </w:rPr>
          <w:t>t</w:t>
        </w:r>
        <w:r>
          <w:rPr>
            <w:rFonts w:ascii="Arial" w:hAnsi="Arial"/>
            <w:spacing w:val="1"/>
            <w:w w:val="175"/>
            <w:sz w:val="14"/>
            <w:u w:val="single" w:color="006FC0"/>
          </w:rPr>
          <w:t>/</w:t>
        </w:r>
        <w:r>
          <w:rPr>
            <w:rFonts w:ascii="Arial" w:hAnsi="Arial"/>
            <w:spacing w:val="-1"/>
            <w:w w:val="119"/>
            <w:sz w:val="14"/>
            <w:u w:val="single" w:color="006FC0"/>
          </w:rPr>
          <w:t>f</w:t>
        </w:r>
        <w:r>
          <w:rPr>
            <w:rFonts w:ascii="Arial" w:hAnsi="Arial"/>
            <w:w w:val="113"/>
            <w:sz w:val="14"/>
            <w:u w:val="single" w:color="006FC0"/>
          </w:rPr>
          <w:t>i</w:t>
        </w:r>
        <w:r>
          <w:rPr>
            <w:rFonts w:ascii="Arial" w:hAnsi="Arial"/>
            <w:spacing w:val="-1"/>
            <w:w w:val="117"/>
            <w:sz w:val="14"/>
            <w:u w:val="single" w:color="006FC0"/>
          </w:rPr>
          <w:t>l</w:t>
        </w:r>
        <w:r>
          <w:rPr>
            <w:rFonts w:ascii="Arial" w:hAnsi="Arial"/>
            <w:spacing w:val="-1"/>
            <w:w w:val="96"/>
            <w:sz w:val="14"/>
            <w:u w:val="single" w:color="006FC0"/>
          </w:rPr>
          <w:t>e</w:t>
        </w:r>
        <w:r>
          <w:rPr>
            <w:rFonts w:ascii="Arial" w:hAnsi="Arial"/>
            <w:spacing w:val="1"/>
            <w:w w:val="93"/>
            <w:sz w:val="14"/>
            <w:u w:val="single" w:color="006FC0"/>
          </w:rPr>
          <w:t>s</w:t>
        </w:r>
        <w:r>
          <w:rPr>
            <w:rFonts w:ascii="Arial" w:hAnsi="Arial"/>
            <w:spacing w:val="-1"/>
            <w:w w:val="175"/>
            <w:sz w:val="14"/>
            <w:u w:val="single" w:color="006FC0"/>
          </w:rPr>
          <w:t>/</w:t>
        </w:r>
        <w:r>
          <w:rPr>
            <w:rFonts w:ascii="Arial" w:hAnsi="Arial"/>
            <w:w w:val="133"/>
            <w:sz w:val="14"/>
            <w:u w:val="single" w:color="006FC0"/>
          </w:rPr>
          <w:t>t</w:t>
        </w:r>
        <w:r>
          <w:rPr>
            <w:rFonts w:ascii="Arial" w:hAnsi="Arial"/>
            <w:sz w:val="14"/>
            <w:u w:val="single" w:color="006FC0"/>
          </w:rPr>
          <w:t>g</w:t>
        </w:r>
        <w:r>
          <w:rPr>
            <w:rFonts w:ascii="Arial" w:hAnsi="Arial"/>
            <w:spacing w:val="3"/>
            <w:w w:val="94"/>
            <w:sz w:val="14"/>
            <w:u w:val="single" w:color="006FC0"/>
          </w:rPr>
          <w:t>a</w:t>
        </w:r>
        <w:r>
          <w:rPr>
            <w:rFonts w:ascii="Arial" w:hAnsi="Arial"/>
            <w:spacing w:val="-1"/>
            <w:w w:val="119"/>
            <w:sz w:val="14"/>
            <w:u w:val="single" w:color="006FC0"/>
          </w:rPr>
          <w:t>-</w:t>
        </w:r>
        <w:r>
          <w:rPr>
            <w:rFonts w:ascii="Arial" w:hAnsi="Arial"/>
            <w:sz w:val="14"/>
            <w:u w:val="single" w:color="006FC0"/>
          </w:rPr>
          <w:t>p</w:t>
        </w:r>
        <w:r>
          <w:rPr>
            <w:rFonts w:ascii="Arial" w:hAnsi="Arial"/>
            <w:w w:val="116"/>
            <w:sz w:val="14"/>
            <w:u w:val="single" w:color="006FC0"/>
          </w:rPr>
          <w:t>r</w:t>
        </w:r>
        <w:r>
          <w:rPr>
            <w:rFonts w:ascii="Arial" w:hAnsi="Arial"/>
            <w:spacing w:val="-1"/>
            <w:w w:val="96"/>
            <w:sz w:val="14"/>
            <w:u w:val="single" w:color="006FC0"/>
          </w:rPr>
          <w:t>e</w:t>
        </w:r>
        <w:r>
          <w:rPr>
            <w:rFonts w:ascii="Arial" w:hAnsi="Arial"/>
            <w:spacing w:val="-1"/>
            <w:w w:val="93"/>
            <w:sz w:val="14"/>
            <w:u w:val="single" w:color="006FC0"/>
          </w:rPr>
          <w:t>s</w:t>
        </w:r>
        <w:r>
          <w:rPr>
            <w:rFonts w:ascii="Arial" w:hAnsi="Arial"/>
            <w:spacing w:val="-1"/>
            <w:w w:val="96"/>
            <w:sz w:val="14"/>
            <w:u w:val="single" w:color="006FC0"/>
          </w:rPr>
          <w:t>e</w:t>
        </w:r>
        <w:r>
          <w:rPr>
            <w:rFonts w:ascii="Arial" w:hAnsi="Arial"/>
            <w:sz w:val="14"/>
            <w:u w:val="single" w:color="006FC0"/>
          </w:rPr>
          <w:t>n</w:t>
        </w:r>
        <w:r>
          <w:rPr>
            <w:rFonts w:ascii="Arial" w:hAnsi="Arial"/>
            <w:w w:val="133"/>
            <w:sz w:val="14"/>
            <w:u w:val="single" w:color="006FC0"/>
          </w:rPr>
          <w:t>t</w:t>
        </w:r>
        <w:r>
          <w:rPr>
            <w:rFonts w:ascii="Arial" w:hAnsi="Arial"/>
            <w:w w:val="94"/>
            <w:sz w:val="14"/>
            <w:u w:val="single" w:color="006FC0"/>
          </w:rPr>
          <w:t>a</w:t>
        </w:r>
        <w:r>
          <w:rPr>
            <w:rFonts w:ascii="Arial" w:hAnsi="Arial"/>
            <w:w w:val="133"/>
            <w:sz w:val="14"/>
            <w:u w:val="single" w:color="006FC0"/>
          </w:rPr>
          <w:t>t</w:t>
        </w:r>
        <w:r>
          <w:rPr>
            <w:rFonts w:ascii="Arial" w:hAnsi="Arial"/>
            <w:w w:val="113"/>
            <w:sz w:val="14"/>
            <w:u w:val="single" w:color="006FC0"/>
          </w:rPr>
          <w:t>i</w:t>
        </w:r>
        <w:r>
          <w:rPr>
            <w:rFonts w:ascii="Arial" w:hAnsi="Arial"/>
            <w:spacing w:val="-1"/>
            <w:w w:val="99"/>
            <w:sz w:val="14"/>
            <w:u w:val="single" w:color="006FC0"/>
          </w:rPr>
          <w:t>o</w:t>
        </w:r>
        <w:r>
          <w:rPr>
            <w:rFonts w:ascii="Arial" w:hAnsi="Arial"/>
            <w:spacing w:val="1"/>
            <w:sz w:val="14"/>
            <w:u w:val="single" w:color="006FC0"/>
          </w:rPr>
          <w:t>n</w:t>
        </w:r>
        <w:r>
          <w:rPr>
            <w:rFonts w:ascii="Arial" w:hAnsi="Arial"/>
            <w:spacing w:val="-1"/>
            <w:w w:val="119"/>
            <w:sz w:val="14"/>
            <w:u w:val="single" w:color="006FC0"/>
          </w:rPr>
          <w:t>-</w:t>
        </w:r>
        <w:r>
          <w:rPr>
            <w:rFonts w:ascii="Arial" w:hAnsi="Arial"/>
            <w:w w:val="116"/>
            <w:sz w:val="14"/>
            <w:u w:val="single" w:color="006FC0"/>
          </w:rPr>
          <w:t>r</w:t>
        </w:r>
        <w:r>
          <w:rPr>
            <w:rFonts w:ascii="Arial" w:hAnsi="Arial"/>
            <w:spacing w:val="-1"/>
            <w:w w:val="96"/>
            <w:sz w:val="14"/>
            <w:u w:val="single" w:color="006FC0"/>
          </w:rPr>
          <w:t>e</w:t>
        </w:r>
        <w:r>
          <w:rPr>
            <w:rFonts w:ascii="Arial" w:hAnsi="Arial"/>
            <w:sz w:val="14"/>
            <w:u w:val="single" w:color="006FC0"/>
          </w:rPr>
          <w:t>gu</w:t>
        </w:r>
        <w:r>
          <w:rPr>
            <w:rFonts w:ascii="Arial" w:hAnsi="Arial"/>
            <w:spacing w:val="-1"/>
            <w:w w:val="117"/>
            <w:sz w:val="14"/>
            <w:u w:val="single" w:color="006FC0"/>
          </w:rPr>
          <w:t>l</w:t>
        </w:r>
        <w:r>
          <w:rPr>
            <w:rFonts w:ascii="Arial" w:hAnsi="Arial"/>
            <w:w w:val="94"/>
            <w:sz w:val="14"/>
            <w:u w:val="single" w:color="006FC0"/>
          </w:rPr>
          <w:t>a</w:t>
        </w:r>
        <w:r>
          <w:rPr>
            <w:rFonts w:ascii="Arial" w:hAnsi="Arial"/>
            <w:w w:val="133"/>
            <w:sz w:val="14"/>
            <w:u w:val="single" w:color="006FC0"/>
          </w:rPr>
          <w:t>t</w:t>
        </w:r>
        <w:r>
          <w:rPr>
            <w:rFonts w:ascii="Arial" w:hAnsi="Arial"/>
            <w:w w:val="113"/>
            <w:sz w:val="14"/>
            <w:u w:val="single" w:color="006FC0"/>
          </w:rPr>
          <w:t>i</w:t>
        </w:r>
        <w:r>
          <w:rPr>
            <w:rFonts w:ascii="Arial" w:hAnsi="Arial"/>
            <w:spacing w:val="-1"/>
            <w:w w:val="99"/>
            <w:sz w:val="14"/>
            <w:u w:val="single" w:color="006FC0"/>
          </w:rPr>
          <w:t>o</w:t>
        </w:r>
        <w:r>
          <w:rPr>
            <w:rFonts w:ascii="Arial" w:hAnsi="Arial"/>
            <w:spacing w:val="2"/>
            <w:sz w:val="14"/>
            <w:u w:val="single" w:color="006FC0"/>
          </w:rPr>
          <w:t>n</w:t>
        </w:r>
        <w:r>
          <w:rPr>
            <w:rFonts w:ascii="Arial" w:hAnsi="Arial"/>
            <w:spacing w:val="-1"/>
            <w:w w:val="119"/>
            <w:sz w:val="14"/>
            <w:u w:val="single" w:color="006FC0"/>
          </w:rPr>
          <w:t>-</w:t>
        </w:r>
        <w:r>
          <w:rPr>
            <w:rFonts w:ascii="Arial" w:hAnsi="Arial"/>
            <w:spacing w:val="-1"/>
            <w:w w:val="93"/>
            <w:sz w:val="14"/>
            <w:u w:val="single" w:color="006FC0"/>
          </w:rPr>
          <w:t>s</w:t>
        </w:r>
        <w:r>
          <w:rPr>
            <w:rFonts w:ascii="Arial" w:hAnsi="Arial"/>
            <w:spacing w:val="2"/>
            <w:sz w:val="14"/>
            <w:u w:val="single" w:color="006FC0"/>
          </w:rPr>
          <w:t>p</w:t>
        </w:r>
        <w:r>
          <w:rPr>
            <w:rFonts w:ascii="Arial" w:hAnsi="Arial"/>
            <w:spacing w:val="-1"/>
            <w:w w:val="99"/>
            <w:sz w:val="14"/>
            <w:u w:val="single" w:color="006FC0"/>
          </w:rPr>
          <w:t>o</w:t>
        </w:r>
        <w:r>
          <w:rPr>
            <w:rFonts w:ascii="Arial" w:hAnsi="Arial"/>
            <w:w w:val="116"/>
            <w:sz w:val="14"/>
            <w:u w:val="single" w:color="006FC0"/>
          </w:rPr>
          <w:t>r</w:t>
        </w:r>
        <w:r>
          <w:rPr>
            <w:rFonts w:ascii="Arial" w:hAnsi="Arial"/>
            <w:w w:val="133"/>
            <w:sz w:val="14"/>
            <w:u w:val="single" w:color="006FC0"/>
          </w:rPr>
          <w:t>t</w:t>
        </w:r>
        <w:r>
          <w:rPr>
            <w:rFonts w:ascii="Arial" w:hAnsi="Arial"/>
            <w:spacing w:val="-1"/>
            <w:w w:val="93"/>
            <w:sz w:val="14"/>
            <w:u w:val="single" w:color="006FC0"/>
          </w:rPr>
          <w:t>s</w:t>
        </w:r>
        <w:r>
          <w:rPr>
            <w:rFonts w:ascii="Arial" w:hAnsi="Arial"/>
            <w:spacing w:val="-1"/>
            <w:w w:val="119"/>
            <w:sz w:val="14"/>
            <w:u w:val="single" w:color="006FC0"/>
          </w:rPr>
          <w:t>-</w:t>
        </w:r>
        <w:r>
          <w:rPr>
            <w:rFonts w:ascii="Arial" w:hAnsi="Arial"/>
            <w:spacing w:val="-1"/>
            <w:w w:val="93"/>
            <w:sz w:val="14"/>
            <w:u w:val="single" w:color="006FC0"/>
          </w:rPr>
          <w:t>s</w:t>
        </w:r>
        <w:r>
          <w:rPr>
            <w:rFonts w:ascii="Arial" w:hAnsi="Arial"/>
            <w:sz w:val="14"/>
            <w:u w:val="single" w:color="006FC0"/>
          </w:rPr>
          <w:t>upp</w:t>
        </w:r>
        <w:r>
          <w:rPr>
            <w:rFonts w:ascii="Arial" w:hAnsi="Arial"/>
            <w:spacing w:val="-1"/>
            <w:w w:val="117"/>
            <w:sz w:val="14"/>
            <w:u w:val="single" w:color="006FC0"/>
          </w:rPr>
          <w:t>l</w:t>
        </w:r>
        <w:r>
          <w:rPr>
            <w:rFonts w:ascii="Arial" w:hAnsi="Arial"/>
            <w:spacing w:val="-1"/>
            <w:w w:val="96"/>
            <w:sz w:val="14"/>
            <w:u w:val="single" w:color="006FC0"/>
          </w:rPr>
          <w:t>e</w:t>
        </w:r>
        <w:r>
          <w:rPr>
            <w:rFonts w:ascii="Arial" w:hAnsi="Arial"/>
            <w:spacing w:val="2"/>
            <w:sz w:val="14"/>
            <w:u w:val="single" w:color="006FC0"/>
          </w:rPr>
          <w:t>m</w:t>
        </w:r>
        <w:r>
          <w:rPr>
            <w:rFonts w:ascii="Arial" w:hAnsi="Arial"/>
            <w:spacing w:val="-1"/>
            <w:w w:val="96"/>
            <w:sz w:val="14"/>
            <w:u w:val="single" w:color="006FC0"/>
          </w:rPr>
          <w:t>e</w:t>
        </w:r>
        <w:r>
          <w:rPr>
            <w:rFonts w:ascii="Arial" w:hAnsi="Arial"/>
            <w:sz w:val="14"/>
            <w:u w:val="single" w:color="006FC0"/>
          </w:rPr>
          <w:t>n</w:t>
        </w:r>
        <w:r>
          <w:rPr>
            <w:rFonts w:ascii="Arial" w:hAnsi="Arial"/>
            <w:w w:val="133"/>
            <w:sz w:val="14"/>
            <w:u w:val="single" w:color="006FC0"/>
          </w:rPr>
          <w:t>t</w:t>
        </w:r>
        <w:r>
          <w:rPr>
            <w:rFonts w:ascii="Arial" w:hAnsi="Arial"/>
            <w:w w:val="93"/>
            <w:sz w:val="14"/>
            <w:u w:val="single" w:color="006FC0"/>
          </w:rPr>
          <w:t>s</w:t>
        </w:r>
        <w:r>
          <w:rPr>
            <w:rFonts w:ascii="Arial" w:hAnsi="Arial"/>
            <w:spacing w:val="-1"/>
            <w:w w:val="119"/>
            <w:sz w:val="14"/>
            <w:u w:val="single" w:color="006FC0"/>
          </w:rPr>
          <w:t>-</w:t>
        </w:r>
        <w:r>
          <w:rPr>
            <w:rFonts w:ascii="Arial" w:hAnsi="Arial"/>
            <w:sz w:val="14"/>
            <w:u w:val="single" w:color="006FC0"/>
          </w:rPr>
          <w:t>p</w:t>
        </w:r>
        <w:r>
          <w:rPr>
            <w:rFonts w:ascii="Arial" w:hAnsi="Arial"/>
            <w:w w:val="116"/>
            <w:sz w:val="14"/>
            <w:u w:val="single" w:color="006FC0"/>
          </w:rPr>
          <w:t>r</w:t>
        </w:r>
        <w:r>
          <w:rPr>
            <w:rFonts w:ascii="Arial" w:hAnsi="Arial"/>
            <w:spacing w:val="-1"/>
            <w:w w:val="99"/>
            <w:sz w:val="14"/>
            <w:u w:val="single" w:color="006FC0"/>
          </w:rPr>
          <w:t>o</w:t>
        </w:r>
        <w:r>
          <w:rPr>
            <w:rFonts w:ascii="Arial" w:hAnsi="Arial"/>
            <w:spacing w:val="2"/>
            <w:sz w:val="14"/>
            <w:u w:val="single" w:color="006FC0"/>
          </w:rPr>
          <w:t>p</w:t>
        </w:r>
        <w:r>
          <w:rPr>
            <w:rFonts w:ascii="Arial" w:hAnsi="Arial"/>
            <w:spacing w:val="-1"/>
            <w:w w:val="99"/>
            <w:sz w:val="14"/>
            <w:u w:val="single" w:color="006FC0"/>
          </w:rPr>
          <w:t>o</w:t>
        </w:r>
        <w:r>
          <w:rPr>
            <w:rFonts w:ascii="Arial" w:hAnsi="Arial"/>
            <w:spacing w:val="-1"/>
            <w:w w:val="93"/>
            <w:sz w:val="14"/>
            <w:u w:val="single" w:color="006FC0"/>
          </w:rPr>
          <w:t>s</w:t>
        </w:r>
        <w:r>
          <w:rPr>
            <w:rFonts w:ascii="Arial" w:hAnsi="Arial"/>
            <w:w w:val="94"/>
            <w:sz w:val="14"/>
            <w:u w:val="single" w:color="006FC0"/>
          </w:rPr>
          <w:t>a</w:t>
        </w:r>
        <w:r>
          <w:rPr>
            <w:rFonts w:ascii="Arial" w:hAnsi="Arial"/>
            <w:spacing w:val="-1"/>
            <w:w w:val="117"/>
            <w:sz w:val="14"/>
            <w:u w:val="single" w:color="006FC0"/>
          </w:rPr>
          <w:t>l</w:t>
        </w:r>
        <w:r>
          <w:rPr>
            <w:rFonts w:ascii="Arial" w:hAnsi="Arial"/>
            <w:spacing w:val="2"/>
            <w:w w:val="119"/>
            <w:sz w:val="14"/>
            <w:u w:val="single" w:color="006FC0"/>
          </w:rPr>
          <w:t>-</w:t>
        </w:r>
        <w:r>
          <w:rPr>
            <w:rFonts w:ascii="Arial" w:hAnsi="Arial"/>
            <w:w w:val="99"/>
            <w:sz w:val="14"/>
            <w:u w:val="single" w:color="006FC0"/>
          </w:rPr>
          <w:t>c</w:t>
        </w:r>
        <w:r>
          <w:rPr>
            <w:rFonts w:ascii="Arial" w:hAnsi="Arial"/>
            <w:spacing w:val="-1"/>
            <w:w w:val="99"/>
            <w:sz w:val="14"/>
            <w:u w:val="single" w:color="006FC0"/>
          </w:rPr>
          <w:t>o</w:t>
        </w:r>
        <w:r>
          <w:rPr>
            <w:rFonts w:ascii="Arial" w:hAnsi="Arial"/>
            <w:sz w:val="14"/>
            <w:u w:val="single" w:color="006FC0"/>
          </w:rPr>
          <w:t>n</w:t>
        </w:r>
        <w:r>
          <w:rPr>
            <w:rFonts w:ascii="Arial" w:hAnsi="Arial"/>
            <w:spacing w:val="-1"/>
            <w:w w:val="93"/>
            <w:sz w:val="14"/>
            <w:u w:val="single" w:color="006FC0"/>
          </w:rPr>
          <w:t>s</w:t>
        </w:r>
        <w:r>
          <w:rPr>
            <w:rFonts w:ascii="Arial" w:hAnsi="Arial"/>
            <w:sz w:val="14"/>
            <w:u w:val="single" w:color="006FC0"/>
          </w:rPr>
          <w:t>u</w:t>
        </w:r>
        <w:r>
          <w:rPr>
            <w:rFonts w:ascii="Arial" w:hAnsi="Arial"/>
            <w:spacing w:val="-1"/>
            <w:w w:val="117"/>
            <w:sz w:val="14"/>
            <w:u w:val="single" w:color="006FC0"/>
          </w:rPr>
          <w:t>l</w:t>
        </w:r>
        <w:r>
          <w:rPr>
            <w:rFonts w:ascii="Arial" w:hAnsi="Arial"/>
            <w:w w:val="133"/>
            <w:sz w:val="14"/>
            <w:u w:val="single" w:color="006FC0"/>
          </w:rPr>
          <w:t>t</w:t>
        </w:r>
        <w:r>
          <w:rPr>
            <w:rFonts w:ascii="Arial" w:hAnsi="Arial"/>
            <w:w w:val="94"/>
            <w:sz w:val="14"/>
            <w:u w:val="single" w:color="006FC0"/>
          </w:rPr>
          <w:t>a</w:t>
        </w:r>
        <w:r>
          <w:rPr>
            <w:rFonts w:ascii="Arial" w:hAnsi="Arial"/>
            <w:w w:val="133"/>
            <w:sz w:val="14"/>
            <w:u w:val="single" w:color="006FC0"/>
          </w:rPr>
          <w:t>t</w:t>
        </w:r>
        <w:r>
          <w:rPr>
            <w:rFonts w:ascii="Arial" w:hAnsi="Arial"/>
            <w:w w:val="113"/>
            <w:sz w:val="14"/>
            <w:u w:val="single" w:color="006FC0"/>
          </w:rPr>
          <w:t>i</w:t>
        </w:r>
        <w:r>
          <w:rPr>
            <w:rFonts w:ascii="Arial" w:hAnsi="Arial"/>
            <w:spacing w:val="-1"/>
            <w:w w:val="99"/>
            <w:sz w:val="14"/>
            <w:u w:val="single" w:color="006FC0"/>
          </w:rPr>
          <w:t>o</w:t>
        </w:r>
        <w:r>
          <w:rPr>
            <w:rFonts w:ascii="Arial" w:hAnsi="Arial"/>
            <w:sz w:val="14"/>
            <w:u w:val="single" w:color="006FC0"/>
          </w:rPr>
          <w:t>n</w:t>
        </w:r>
        <w:r>
          <w:rPr>
            <w:rFonts w:ascii="Arial" w:hAnsi="Arial"/>
            <w:spacing w:val="2"/>
            <w:w w:val="80"/>
            <w:sz w:val="14"/>
            <w:u w:val="single" w:color="006FC0"/>
          </w:rPr>
          <w:t>.</w:t>
        </w:r>
        <w:r>
          <w:rPr>
            <w:rFonts w:ascii="Arial" w:hAnsi="Arial"/>
            <w:sz w:val="14"/>
            <w:u w:val="single" w:color="006FC0"/>
          </w:rPr>
          <w:t>pd</w:t>
        </w:r>
        <w:r>
          <w:rPr>
            <w:rFonts w:ascii="Arial" w:hAnsi="Arial"/>
            <w:spacing w:val="1"/>
            <w:w w:val="119"/>
            <w:sz w:val="14"/>
            <w:u w:val="single" w:color="006FC0"/>
          </w:rPr>
          <w:t>f</w:t>
        </w:r>
      </w:hyperlink>
      <w:r>
        <w:rPr>
          <w:rFonts w:ascii="Arial" w:hAnsi="Arial"/>
          <w:color w:val="5B6761"/>
          <w:spacing w:val="-1"/>
          <w:sz w:val="14"/>
        </w:rPr>
        <w:t>&gt;.</w:t>
      </w:r>
    </w:p>
    <w:p w:rsidR="007D76BB" w:rsidRDefault="00D70D28">
      <w:pPr>
        <w:spacing w:before="59" w:line="268" w:lineRule="auto"/>
        <w:ind w:left="594" w:right="1120" w:hanging="113"/>
        <w:jc w:val="both"/>
        <w:rPr>
          <w:rFonts w:ascii="Arial" w:hAnsi="Arial"/>
          <w:sz w:val="14"/>
        </w:rPr>
      </w:pPr>
      <w:r>
        <w:rPr>
          <w:rFonts w:ascii="Arial" w:hAnsi="Arial"/>
          <w:color w:val="5B6761"/>
          <w:w w:val="105"/>
          <w:position w:val="5"/>
          <w:sz w:val="8"/>
        </w:rPr>
        <w:t>7</w:t>
      </w:r>
      <w:r>
        <w:rPr>
          <w:rFonts w:ascii="Arial" w:hAnsi="Arial"/>
          <w:color w:val="5B6761"/>
          <w:spacing w:val="2"/>
          <w:w w:val="105"/>
          <w:position w:val="5"/>
          <w:sz w:val="8"/>
        </w:rPr>
        <w:t xml:space="preserve"> </w:t>
      </w:r>
      <w:r>
        <w:rPr>
          <w:rFonts w:ascii="Arial" w:hAnsi="Arial"/>
          <w:color w:val="5B6761"/>
          <w:w w:val="105"/>
          <w:sz w:val="14"/>
        </w:rPr>
        <w:t>The</w:t>
      </w:r>
      <w:r>
        <w:rPr>
          <w:rFonts w:ascii="Arial" w:hAnsi="Arial"/>
          <w:color w:val="5B6761"/>
          <w:spacing w:val="-15"/>
          <w:w w:val="105"/>
          <w:sz w:val="14"/>
        </w:rPr>
        <w:t xml:space="preserve"> </w:t>
      </w:r>
      <w:r>
        <w:rPr>
          <w:rFonts w:ascii="Arial" w:hAnsi="Arial"/>
          <w:color w:val="5B6761"/>
          <w:w w:val="105"/>
          <w:sz w:val="14"/>
        </w:rPr>
        <w:t>proposed</w:t>
      </w:r>
      <w:r>
        <w:rPr>
          <w:rFonts w:ascii="Arial" w:hAnsi="Arial"/>
          <w:color w:val="5B6761"/>
          <w:spacing w:val="-13"/>
          <w:w w:val="105"/>
          <w:sz w:val="14"/>
        </w:rPr>
        <w:t xml:space="preserve"> </w:t>
      </w:r>
      <w:r>
        <w:rPr>
          <w:rFonts w:ascii="Arial" w:hAnsi="Arial"/>
          <w:color w:val="5B6761"/>
          <w:w w:val="105"/>
          <w:sz w:val="14"/>
        </w:rPr>
        <w:t>transition</w:t>
      </w:r>
      <w:r>
        <w:rPr>
          <w:rFonts w:ascii="Arial" w:hAnsi="Arial"/>
          <w:color w:val="5B6761"/>
          <w:spacing w:val="-14"/>
          <w:w w:val="105"/>
          <w:sz w:val="14"/>
        </w:rPr>
        <w:t xml:space="preserve"> </w:t>
      </w:r>
      <w:r>
        <w:rPr>
          <w:rFonts w:ascii="Arial" w:hAnsi="Arial"/>
          <w:color w:val="5B6761"/>
          <w:w w:val="105"/>
          <w:sz w:val="14"/>
        </w:rPr>
        <w:t>period</w:t>
      </w:r>
      <w:r>
        <w:rPr>
          <w:rFonts w:ascii="Arial" w:hAnsi="Arial"/>
          <w:color w:val="5B6761"/>
          <w:spacing w:val="-13"/>
          <w:w w:val="105"/>
          <w:sz w:val="14"/>
        </w:rPr>
        <w:t xml:space="preserve"> </w:t>
      </w:r>
      <w:r>
        <w:rPr>
          <w:rFonts w:ascii="Arial" w:hAnsi="Arial"/>
          <w:color w:val="5B6761"/>
          <w:w w:val="105"/>
          <w:sz w:val="14"/>
        </w:rPr>
        <w:t>of</w:t>
      </w:r>
      <w:r>
        <w:rPr>
          <w:rFonts w:ascii="Arial" w:hAnsi="Arial"/>
          <w:color w:val="5B6761"/>
          <w:spacing w:val="-16"/>
          <w:w w:val="105"/>
          <w:sz w:val="14"/>
        </w:rPr>
        <w:t xml:space="preserve"> </w:t>
      </w:r>
      <w:r>
        <w:rPr>
          <w:rFonts w:ascii="Arial" w:hAnsi="Arial"/>
          <w:color w:val="5B6761"/>
          <w:w w:val="105"/>
          <w:sz w:val="14"/>
        </w:rPr>
        <w:t>up</w:t>
      </w:r>
      <w:r>
        <w:rPr>
          <w:rFonts w:ascii="Arial" w:hAnsi="Arial"/>
          <w:color w:val="5B6761"/>
          <w:spacing w:val="-13"/>
          <w:w w:val="105"/>
          <w:sz w:val="14"/>
        </w:rPr>
        <w:t xml:space="preserve"> </w:t>
      </w:r>
      <w:r>
        <w:rPr>
          <w:rFonts w:ascii="Arial" w:hAnsi="Arial"/>
          <w:color w:val="5B6761"/>
          <w:w w:val="105"/>
          <w:sz w:val="14"/>
        </w:rPr>
        <w:t>to</w:t>
      </w:r>
      <w:r>
        <w:rPr>
          <w:rFonts w:ascii="Arial" w:hAnsi="Arial"/>
          <w:color w:val="5B6761"/>
          <w:spacing w:val="-15"/>
          <w:w w:val="105"/>
          <w:sz w:val="14"/>
        </w:rPr>
        <w:t xml:space="preserve"> </w:t>
      </w:r>
      <w:r>
        <w:rPr>
          <w:rFonts w:ascii="Arial" w:hAnsi="Arial"/>
          <w:color w:val="5B6761"/>
          <w:w w:val="105"/>
          <w:sz w:val="14"/>
        </w:rPr>
        <w:t>three</w:t>
      </w:r>
      <w:r>
        <w:rPr>
          <w:rFonts w:ascii="Arial" w:hAnsi="Arial"/>
          <w:color w:val="5B6761"/>
          <w:spacing w:val="-15"/>
          <w:w w:val="105"/>
          <w:sz w:val="14"/>
        </w:rPr>
        <w:t xml:space="preserve"> </w:t>
      </w:r>
      <w:r>
        <w:rPr>
          <w:rFonts w:ascii="Arial" w:hAnsi="Arial"/>
          <w:color w:val="5B6761"/>
          <w:w w:val="105"/>
          <w:sz w:val="14"/>
        </w:rPr>
        <w:t>years</w:t>
      </w:r>
      <w:r>
        <w:rPr>
          <w:rFonts w:ascii="Arial" w:hAnsi="Arial"/>
          <w:color w:val="5B6761"/>
          <w:spacing w:val="-15"/>
          <w:w w:val="105"/>
          <w:sz w:val="14"/>
        </w:rPr>
        <w:t xml:space="preserve"> </w:t>
      </w:r>
      <w:r>
        <w:rPr>
          <w:rFonts w:ascii="Arial" w:hAnsi="Arial"/>
          <w:color w:val="5B6761"/>
          <w:w w:val="105"/>
          <w:sz w:val="14"/>
        </w:rPr>
        <w:t>(the</w:t>
      </w:r>
      <w:r>
        <w:rPr>
          <w:rFonts w:ascii="Arial" w:hAnsi="Arial"/>
          <w:color w:val="5B6761"/>
          <w:spacing w:val="-15"/>
          <w:w w:val="105"/>
          <w:sz w:val="14"/>
        </w:rPr>
        <w:t xml:space="preserve"> </w:t>
      </w:r>
      <w:r>
        <w:rPr>
          <w:rFonts w:ascii="Arial" w:hAnsi="Arial"/>
          <w:color w:val="5B6761"/>
          <w:w w:val="105"/>
          <w:sz w:val="14"/>
        </w:rPr>
        <w:t>duration</w:t>
      </w:r>
      <w:r>
        <w:rPr>
          <w:rFonts w:ascii="Arial" w:hAnsi="Arial"/>
          <w:color w:val="5B6761"/>
          <w:spacing w:val="-13"/>
          <w:w w:val="105"/>
          <w:sz w:val="14"/>
        </w:rPr>
        <w:t xml:space="preserve"> </w:t>
      </w:r>
      <w:r>
        <w:rPr>
          <w:rFonts w:ascii="Arial" w:hAnsi="Arial"/>
          <w:color w:val="5B6761"/>
          <w:w w:val="105"/>
          <w:sz w:val="14"/>
        </w:rPr>
        <w:t>of</w:t>
      </w:r>
      <w:r>
        <w:rPr>
          <w:rFonts w:ascii="Arial" w:hAnsi="Arial"/>
          <w:color w:val="5B6761"/>
          <w:spacing w:val="-15"/>
          <w:w w:val="105"/>
          <w:sz w:val="14"/>
        </w:rPr>
        <w:t xml:space="preserve"> </w:t>
      </w:r>
      <w:r>
        <w:rPr>
          <w:rFonts w:ascii="Arial" w:hAnsi="Arial"/>
          <w:color w:val="5B6761"/>
          <w:w w:val="105"/>
          <w:sz w:val="14"/>
        </w:rPr>
        <w:t>which</w:t>
      </w:r>
      <w:r>
        <w:rPr>
          <w:rFonts w:ascii="Arial" w:hAnsi="Arial"/>
          <w:color w:val="5B6761"/>
          <w:spacing w:val="-14"/>
          <w:w w:val="105"/>
          <w:sz w:val="14"/>
        </w:rPr>
        <w:t xml:space="preserve"> </w:t>
      </w:r>
      <w:r>
        <w:rPr>
          <w:rFonts w:ascii="Arial" w:hAnsi="Arial"/>
          <w:color w:val="5B6761"/>
          <w:w w:val="105"/>
          <w:sz w:val="14"/>
        </w:rPr>
        <w:t>will</w:t>
      </w:r>
      <w:r>
        <w:rPr>
          <w:rFonts w:ascii="Arial" w:hAnsi="Arial"/>
          <w:color w:val="5B6761"/>
          <w:spacing w:val="-14"/>
          <w:w w:val="105"/>
          <w:sz w:val="14"/>
        </w:rPr>
        <w:t xml:space="preserve"> </w:t>
      </w:r>
      <w:r>
        <w:rPr>
          <w:rFonts w:ascii="Arial" w:hAnsi="Arial"/>
          <w:color w:val="5B6761"/>
          <w:w w:val="105"/>
          <w:sz w:val="14"/>
        </w:rPr>
        <w:t>be</w:t>
      </w:r>
      <w:r>
        <w:rPr>
          <w:rFonts w:ascii="Arial" w:hAnsi="Arial"/>
          <w:color w:val="5B6761"/>
          <w:spacing w:val="-15"/>
          <w:w w:val="105"/>
          <w:sz w:val="14"/>
        </w:rPr>
        <w:t xml:space="preserve"> </w:t>
      </w:r>
      <w:r>
        <w:rPr>
          <w:rFonts w:ascii="Arial" w:hAnsi="Arial"/>
          <w:color w:val="5B6761"/>
          <w:w w:val="105"/>
          <w:sz w:val="14"/>
        </w:rPr>
        <w:t>decided</w:t>
      </w:r>
      <w:r>
        <w:rPr>
          <w:rFonts w:ascii="Arial" w:hAnsi="Arial"/>
          <w:color w:val="5B6761"/>
          <w:spacing w:val="-14"/>
          <w:w w:val="105"/>
          <w:sz w:val="14"/>
        </w:rPr>
        <w:t xml:space="preserve"> </w:t>
      </w:r>
      <w:r>
        <w:rPr>
          <w:rFonts w:ascii="Arial" w:hAnsi="Arial"/>
          <w:color w:val="5B6761"/>
          <w:w w:val="105"/>
          <w:sz w:val="14"/>
        </w:rPr>
        <w:t>by</w:t>
      </w:r>
      <w:r>
        <w:rPr>
          <w:rFonts w:ascii="Arial" w:hAnsi="Arial"/>
          <w:color w:val="5B6761"/>
          <w:spacing w:val="-14"/>
          <w:w w:val="105"/>
          <w:sz w:val="14"/>
        </w:rPr>
        <w:t xml:space="preserve"> </w:t>
      </w:r>
      <w:r>
        <w:rPr>
          <w:rFonts w:ascii="Arial" w:hAnsi="Arial"/>
          <w:color w:val="5B6761"/>
          <w:w w:val="105"/>
          <w:sz w:val="14"/>
        </w:rPr>
        <w:t>the</w:t>
      </w:r>
      <w:r>
        <w:rPr>
          <w:rFonts w:ascii="Arial" w:hAnsi="Arial"/>
          <w:color w:val="5B6761"/>
          <w:spacing w:val="-15"/>
          <w:w w:val="105"/>
          <w:sz w:val="14"/>
        </w:rPr>
        <w:t xml:space="preserve"> </w:t>
      </w:r>
      <w:r>
        <w:rPr>
          <w:rFonts w:ascii="Arial" w:hAnsi="Arial"/>
          <w:color w:val="5B6761"/>
          <w:w w:val="105"/>
          <w:sz w:val="14"/>
        </w:rPr>
        <w:t>Minister)</w:t>
      </w:r>
      <w:r>
        <w:rPr>
          <w:rFonts w:ascii="Arial" w:hAnsi="Arial"/>
          <w:color w:val="5B6761"/>
          <w:spacing w:val="-5"/>
          <w:w w:val="105"/>
          <w:sz w:val="14"/>
        </w:rPr>
        <w:t xml:space="preserve"> </w:t>
      </w:r>
      <w:r>
        <w:rPr>
          <w:rFonts w:ascii="Arial" w:hAnsi="Arial"/>
          <w:color w:val="5B6761"/>
          <w:w w:val="105"/>
          <w:sz w:val="14"/>
        </w:rPr>
        <w:t>will</w:t>
      </w:r>
      <w:r>
        <w:rPr>
          <w:rFonts w:ascii="Arial" w:hAnsi="Arial"/>
          <w:color w:val="5B6761"/>
          <w:spacing w:val="-14"/>
          <w:w w:val="105"/>
          <w:sz w:val="14"/>
        </w:rPr>
        <w:t xml:space="preserve"> </w:t>
      </w:r>
      <w:r>
        <w:rPr>
          <w:rFonts w:ascii="Arial" w:hAnsi="Arial"/>
          <w:color w:val="5B6761"/>
          <w:w w:val="105"/>
          <w:sz w:val="14"/>
        </w:rPr>
        <w:t>not</w:t>
      </w:r>
      <w:r>
        <w:rPr>
          <w:rFonts w:ascii="Arial" w:hAnsi="Arial"/>
          <w:color w:val="5B6761"/>
          <w:spacing w:val="-13"/>
          <w:w w:val="105"/>
          <w:sz w:val="14"/>
        </w:rPr>
        <w:t xml:space="preserve"> </w:t>
      </w:r>
      <w:r>
        <w:rPr>
          <w:rFonts w:ascii="Arial" w:hAnsi="Arial"/>
          <w:color w:val="5B6761"/>
          <w:w w:val="105"/>
          <w:sz w:val="14"/>
        </w:rPr>
        <w:t>apply</w:t>
      </w:r>
      <w:r>
        <w:rPr>
          <w:rFonts w:ascii="Arial" w:hAnsi="Arial"/>
          <w:color w:val="5B6761"/>
          <w:spacing w:val="-14"/>
          <w:w w:val="105"/>
          <w:sz w:val="14"/>
        </w:rPr>
        <w:t xml:space="preserve"> </w:t>
      </w:r>
      <w:r>
        <w:rPr>
          <w:rFonts w:ascii="Arial" w:hAnsi="Arial"/>
          <w:color w:val="5B6761"/>
          <w:w w:val="105"/>
          <w:sz w:val="14"/>
        </w:rPr>
        <w:t>to</w:t>
      </w:r>
      <w:r>
        <w:rPr>
          <w:rFonts w:ascii="Arial" w:hAnsi="Arial"/>
          <w:color w:val="5B6761"/>
          <w:spacing w:val="-15"/>
          <w:w w:val="105"/>
          <w:sz w:val="14"/>
        </w:rPr>
        <w:t xml:space="preserve"> </w:t>
      </w:r>
      <w:r>
        <w:rPr>
          <w:rFonts w:ascii="Arial" w:hAnsi="Arial"/>
          <w:color w:val="5B6761"/>
          <w:w w:val="105"/>
          <w:sz w:val="14"/>
        </w:rPr>
        <w:t>products that</w:t>
      </w:r>
      <w:r>
        <w:rPr>
          <w:rFonts w:ascii="Arial" w:hAnsi="Arial"/>
          <w:color w:val="5B6761"/>
          <w:spacing w:val="-22"/>
          <w:w w:val="105"/>
          <w:sz w:val="14"/>
        </w:rPr>
        <w:t xml:space="preserve"> </w:t>
      </w:r>
      <w:r>
        <w:rPr>
          <w:rFonts w:ascii="Arial" w:hAnsi="Arial"/>
          <w:color w:val="5B6761"/>
          <w:w w:val="105"/>
          <w:sz w:val="14"/>
        </w:rPr>
        <w:t>contain</w:t>
      </w:r>
      <w:r>
        <w:rPr>
          <w:rFonts w:ascii="Arial" w:hAnsi="Arial"/>
          <w:color w:val="5B6761"/>
          <w:spacing w:val="-23"/>
          <w:w w:val="105"/>
          <w:sz w:val="14"/>
        </w:rPr>
        <w:t xml:space="preserve"> </w:t>
      </w:r>
      <w:r>
        <w:rPr>
          <w:rFonts w:ascii="Arial" w:hAnsi="Arial"/>
          <w:color w:val="5B6761"/>
          <w:w w:val="105"/>
          <w:sz w:val="14"/>
        </w:rPr>
        <w:t>ingredients</w:t>
      </w:r>
      <w:r>
        <w:rPr>
          <w:rFonts w:ascii="Arial" w:hAnsi="Arial"/>
          <w:color w:val="5B6761"/>
          <w:spacing w:val="-21"/>
          <w:w w:val="105"/>
          <w:sz w:val="14"/>
        </w:rPr>
        <w:t xml:space="preserve"> </w:t>
      </w:r>
      <w:r>
        <w:rPr>
          <w:rFonts w:ascii="Arial" w:hAnsi="Arial"/>
          <w:color w:val="5B6761"/>
          <w:w w:val="105"/>
          <w:sz w:val="14"/>
        </w:rPr>
        <w:t>that</w:t>
      </w:r>
      <w:r>
        <w:rPr>
          <w:rFonts w:ascii="Arial" w:hAnsi="Arial"/>
          <w:color w:val="5B6761"/>
          <w:spacing w:val="-23"/>
          <w:w w:val="105"/>
          <w:sz w:val="14"/>
        </w:rPr>
        <w:t xml:space="preserve"> </w:t>
      </w:r>
      <w:r>
        <w:rPr>
          <w:rFonts w:ascii="Arial" w:hAnsi="Arial"/>
          <w:color w:val="5B6761"/>
          <w:w w:val="105"/>
          <w:sz w:val="14"/>
        </w:rPr>
        <w:t>are</w:t>
      </w:r>
      <w:r>
        <w:rPr>
          <w:rFonts w:ascii="Arial" w:hAnsi="Arial"/>
          <w:color w:val="5B6761"/>
          <w:spacing w:val="-23"/>
          <w:w w:val="105"/>
          <w:sz w:val="14"/>
        </w:rPr>
        <w:t xml:space="preserve"> </w:t>
      </w:r>
      <w:r>
        <w:rPr>
          <w:rFonts w:ascii="Arial" w:hAnsi="Arial"/>
          <w:color w:val="5B6761"/>
          <w:w w:val="105"/>
          <w:sz w:val="14"/>
        </w:rPr>
        <w:t>present</w:t>
      </w:r>
      <w:r>
        <w:rPr>
          <w:rFonts w:ascii="Arial" w:hAnsi="Arial"/>
          <w:color w:val="5B6761"/>
          <w:spacing w:val="-21"/>
          <w:w w:val="105"/>
          <w:sz w:val="14"/>
        </w:rPr>
        <w:t xml:space="preserve"> </w:t>
      </w:r>
      <w:r>
        <w:rPr>
          <w:rFonts w:ascii="Arial" w:hAnsi="Arial"/>
          <w:color w:val="5B6761"/>
          <w:w w:val="105"/>
          <w:sz w:val="14"/>
        </w:rPr>
        <w:t>on</w:t>
      </w:r>
      <w:r>
        <w:rPr>
          <w:rFonts w:ascii="Arial" w:hAnsi="Arial"/>
          <w:color w:val="5B6761"/>
          <w:spacing w:val="-21"/>
          <w:w w:val="105"/>
          <w:sz w:val="14"/>
        </w:rPr>
        <w:t xml:space="preserve"> </w:t>
      </w:r>
      <w:r>
        <w:rPr>
          <w:rFonts w:ascii="Arial" w:hAnsi="Arial"/>
          <w:color w:val="5B6761"/>
          <w:w w:val="105"/>
          <w:sz w:val="14"/>
        </w:rPr>
        <w:t>the</w:t>
      </w:r>
      <w:r>
        <w:rPr>
          <w:rFonts w:ascii="Arial" w:hAnsi="Arial"/>
          <w:color w:val="5B6761"/>
          <w:spacing w:val="-23"/>
          <w:w w:val="105"/>
          <w:sz w:val="14"/>
        </w:rPr>
        <w:t xml:space="preserve"> </w:t>
      </w:r>
      <w:r>
        <w:rPr>
          <w:rFonts w:ascii="Arial" w:hAnsi="Arial"/>
          <w:color w:val="5B6761"/>
          <w:w w:val="105"/>
          <w:sz w:val="14"/>
        </w:rPr>
        <w:t>Standard</w:t>
      </w:r>
      <w:r>
        <w:rPr>
          <w:rFonts w:ascii="Arial" w:hAnsi="Arial"/>
          <w:color w:val="5B6761"/>
          <w:spacing w:val="-21"/>
          <w:w w:val="105"/>
          <w:sz w:val="14"/>
        </w:rPr>
        <w:t xml:space="preserve"> </w:t>
      </w:r>
      <w:r>
        <w:rPr>
          <w:rFonts w:ascii="Arial" w:hAnsi="Arial"/>
          <w:color w:val="5B6761"/>
          <w:w w:val="105"/>
          <w:sz w:val="14"/>
        </w:rPr>
        <w:t>for</w:t>
      </w:r>
      <w:r>
        <w:rPr>
          <w:rFonts w:ascii="Arial" w:hAnsi="Arial"/>
          <w:color w:val="5B6761"/>
          <w:spacing w:val="-22"/>
          <w:w w:val="105"/>
          <w:sz w:val="14"/>
        </w:rPr>
        <w:t xml:space="preserve"> </w:t>
      </w:r>
      <w:r>
        <w:rPr>
          <w:rFonts w:ascii="Arial" w:hAnsi="Arial"/>
          <w:color w:val="5B6761"/>
          <w:w w:val="105"/>
          <w:sz w:val="14"/>
        </w:rPr>
        <w:t>the</w:t>
      </w:r>
      <w:r>
        <w:rPr>
          <w:rFonts w:ascii="Arial" w:hAnsi="Arial"/>
          <w:color w:val="5B6761"/>
          <w:spacing w:val="-22"/>
          <w:w w:val="105"/>
          <w:sz w:val="14"/>
        </w:rPr>
        <w:t xml:space="preserve"> </w:t>
      </w:r>
      <w:r>
        <w:rPr>
          <w:rFonts w:ascii="Arial" w:hAnsi="Arial"/>
          <w:color w:val="5B6761"/>
          <w:w w:val="105"/>
          <w:sz w:val="14"/>
        </w:rPr>
        <w:t>Uniform</w:t>
      </w:r>
      <w:r>
        <w:rPr>
          <w:rFonts w:ascii="Arial" w:hAnsi="Arial"/>
          <w:color w:val="5B6761"/>
          <w:spacing w:val="-22"/>
          <w:w w:val="105"/>
          <w:sz w:val="14"/>
        </w:rPr>
        <w:t xml:space="preserve"> </w:t>
      </w:r>
      <w:r>
        <w:rPr>
          <w:rFonts w:ascii="Arial" w:hAnsi="Arial"/>
          <w:color w:val="5B6761"/>
          <w:w w:val="105"/>
          <w:sz w:val="14"/>
        </w:rPr>
        <w:t>Scheduling</w:t>
      </w:r>
      <w:r>
        <w:rPr>
          <w:rFonts w:ascii="Arial" w:hAnsi="Arial"/>
          <w:color w:val="5B6761"/>
          <w:spacing w:val="-22"/>
          <w:w w:val="105"/>
          <w:sz w:val="14"/>
        </w:rPr>
        <w:t xml:space="preserve"> </w:t>
      </w:r>
      <w:r>
        <w:rPr>
          <w:rFonts w:ascii="Arial" w:hAnsi="Arial"/>
          <w:color w:val="5B6761"/>
          <w:w w:val="105"/>
          <w:sz w:val="14"/>
        </w:rPr>
        <w:t>of</w:t>
      </w:r>
      <w:r>
        <w:rPr>
          <w:rFonts w:ascii="Arial" w:hAnsi="Arial"/>
          <w:color w:val="5B6761"/>
          <w:spacing w:val="-22"/>
          <w:w w:val="105"/>
          <w:sz w:val="14"/>
        </w:rPr>
        <w:t xml:space="preserve"> </w:t>
      </w:r>
      <w:r>
        <w:rPr>
          <w:rFonts w:ascii="Arial" w:hAnsi="Arial"/>
          <w:color w:val="5B6761"/>
          <w:w w:val="105"/>
          <w:sz w:val="14"/>
        </w:rPr>
        <w:t>Medicine</w:t>
      </w:r>
      <w:r>
        <w:rPr>
          <w:rFonts w:ascii="Arial" w:hAnsi="Arial"/>
          <w:color w:val="5B6761"/>
          <w:spacing w:val="-23"/>
          <w:w w:val="105"/>
          <w:sz w:val="14"/>
        </w:rPr>
        <w:t xml:space="preserve"> </w:t>
      </w:r>
      <w:r>
        <w:rPr>
          <w:rFonts w:ascii="Arial" w:hAnsi="Arial"/>
          <w:color w:val="5B6761"/>
          <w:w w:val="105"/>
          <w:sz w:val="14"/>
        </w:rPr>
        <w:t>and</w:t>
      </w:r>
      <w:r>
        <w:rPr>
          <w:rFonts w:ascii="Arial" w:hAnsi="Arial"/>
          <w:color w:val="5B6761"/>
          <w:spacing w:val="-21"/>
          <w:w w:val="105"/>
          <w:sz w:val="14"/>
        </w:rPr>
        <w:t xml:space="preserve"> </w:t>
      </w:r>
      <w:r>
        <w:rPr>
          <w:rFonts w:ascii="Arial" w:hAnsi="Arial"/>
          <w:color w:val="5B6761"/>
          <w:w w:val="105"/>
          <w:sz w:val="14"/>
        </w:rPr>
        <w:t>Poisons</w:t>
      </w:r>
      <w:r>
        <w:rPr>
          <w:rFonts w:ascii="Arial" w:hAnsi="Arial"/>
          <w:color w:val="5B6761"/>
          <w:spacing w:val="-22"/>
          <w:w w:val="105"/>
          <w:sz w:val="14"/>
        </w:rPr>
        <w:t xml:space="preserve"> </w:t>
      </w:r>
      <w:r>
        <w:rPr>
          <w:rFonts w:ascii="Arial" w:hAnsi="Arial"/>
          <w:color w:val="5B6761"/>
          <w:w w:val="105"/>
          <w:sz w:val="14"/>
        </w:rPr>
        <w:t>(SUSMP),</w:t>
      </w:r>
      <w:r>
        <w:rPr>
          <w:rFonts w:ascii="Arial" w:hAnsi="Arial"/>
          <w:color w:val="5B6761"/>
          <w:spacing w:val="-22"/>
          <w:w w:val="105"/>
          <w:sz w:val="14"/>
        </w:rPr>
        <w:t xml:space="preserve"> </w:t>
      </w:r>
      <w:r>
        <w:rPr>
          <w:rFonts w:ascii="Arial" w:hAnsi="Arial"/>
          <w:color w:val="5B6761"/>
          <w:w w:val="105"/>
          <w:sz w:val="14"/>
        </w:rPr>
        <w:t>commonly known</w:t>
      </w:r>
      <w:r>
        <w:rPr>
          <w:rFonts w:ascii="Arial" w:hAnsi="Arial"/>
          <w:color w:val="5B6761"/>
          <w:spacing w:val="-11"/>
          <w:w w:val="105"/>
          <w:sz w:val="14"/>
        </w:rPr>
        <w:t xml:space="preserve"> </w:t>
      </w:r>
      <w:r>
        <w:rPr>
          <w:rFonts w:ascii="Arial" w:hAnsi="Arial"/>
          <w:color w:val="5B6761"/>
          <w:w w:val="105"/>
          <w:sz w:val="14"/>
        </w:rPr>
        <w:t>as</w:t>
      </w:r>
      <w:r>
        <w:rPr>
          <w:rFonts w:ascii="Arial" w:hAnsi="Arial"/>
          <w:color w:val="5B6761"/>
          <w:spacing w:val="-11"/>
          <w:w w:val="105"/>
          <w:sz w:val="14"/>
        </w:rPr>
        <w:t xml:space="preserve"> </w:t>
      </w:r>
      <w:r>
        <w:rPr>
          <w:rFonts w:ascii="Arial" w:hAnsi="Arial"/>
          <w:color w:val="5B6761"/>
          <w:w w:val="105"/>
          <w:sz w:val="14"/>
        </w:rPr>
        <w:t>the</w:t>
      </w:r>
      <w:r>
        <w:rPr>
          <w:rFonts w:ascii="Arial" w:hAnsi="Arial"/>
          <w:color w:val="5B6761"/>
          <w:spacing w:val="-12"/>
          <w:w w:val="105"/>
          <w:sz w:val="14"/>
        </w:rPr>
        <w:t xml:space="preserve"> </w:t>
      </w:r>
      <w:r>
        <w:rPr>
          <w:rFonts w:ascii="Arial" w:hAnsi="Arial"/>
          <w:color w:val="5B6761"/>
          <w:w w:val="105"/>
          <w:sz w:val="14"/>
        </w:rPr>
        <w:t>‘Poisons</w:t>
      </w:r>
      <w:r>
        <w:rPr>
          <w:rFonts w:ascii="Arial" w:hAnsi="Arial"/>
          <w:color w:val="5B6761"/>
          <w:spacing w:val="-11"/>
          <w:w w:val="105"/>
          <w:sz w:val="14"/>
        </w:rPr>
        <w:t xml:space="preserve"> </w:t>
      </w:r>
      <w:r>
        <w:rPr>
          <w:rFonts w:ascii="Arial" w:hAnsi="Arial"/>
          <w:color w:val="5B6761"/>
          <w:w w:val="105"/>
          <w:sz w:val="14"/>
        </w:rPr>
        <w:t>Standard’,</w:t>
      </w:r>
      <w:r>
        <w:rPr>
          <w:rFonts w:ascii="Arial" w:hAnsi="Arial"/>
          <w:color w:val="5B6761"/>
          <w:spacing w:val="-12"/>
          <w:w w:val="105"/>
          <w:sz w:val="14"/>
        </w:rPr>
        <w:t xml:space="preserve"> </w:t>
      </w:r>
      <w:r>
        <w:rPr>
          <w:rFonts w:ascii="Arial" w:hAnsi="Arial"/>
          <w:color w:val="5B6761"/>
          <w:w w:val="105"/>
          <w:sz w:val="14"/>
        </w:rPr>
        <w:t>as</w:t>
      </w:r>
      <w:r>
        <w:rPr>
          <w:rFonts w:ascii="Arial" w:hAnsi="Arial"/>
          <w:color w:val="5B6761"/>
          <w:spacing w:val="-11"/>
          <w:w w:val="105"/>
          <w:sz w:val="14"/>
        </w:rPr>
        <w:t xml:space="preserve"> </w:t>
      </w:r>
      <w:r>
        <w:rPr>
          <w:rFonts w:ascii="Arial" w:hAnsi="Arial"/>
          <w:color w:val="5B6761"/>
          <w:w w:val="105"/>
          <w:sz w:val="14"/>
        </w:rPr>
        <w:t>such</w:t>
      </w:r>
      <w:r>
        <w:rPr>
          <w:rFonts w:ascii="Arial" w:hAnsi="Arial"/>
          <w:color w:val="5B6761"/>
          <w:spacing w:val="-10"/>
          <w:w w:val="105"/>
          <w:sz w:val="14"/>
        </w:rPr>
        <w:t xml:space="preserve"> </w:t>
      </w:r>
      <w:r>
        <w:rPr>
          <w:rFonts w:ascii="Arial" w:hAnsi="Arial"/>
          <w:color w:val="5B6761"/>
          <w:w w:val="105"/>
          <w:sz w:val="14"/>
        </w:rPr>
        <w:t>ingredients</w:t>
      </w:r>
      <w:r>
        <w:rPr>
          <w:rFonts w:ascii="Arial" w:hAnsi="Arial"/>
          <w:color w:val="5B6761"/>
          <w:spacing w:val="-11"/>
          <w:w w:val="105"/>
          <w:sz w:val="14"/>
        </w:rPr>
        <w:t xml:space="preserve"> </w:t>
      </w:r>
      <w:r>
        <w:rPr>
          <w:rFonts w:ascii="Arial" w:hAnsi="Arial"/>
          <w:color w:val="5B6761"/>
          <w:w w:val="105"/>
          <w:sz w:val="14"/>
        </w:rPr>
        <w:t>represent</w:t>
      </w:r>
      <w:r>
        <w:rPr>
          <w:rFonts w:ascii="Arial" w:hAnsi="Arial"/>
          <w:color w:val="5B6761"/>
          <w:spacing w:val="-11"/>
          <w:w w:val="105"/>
          <w:sz w:val="14"/>
        </w:rPr>
        <w:t xml:space="preserve"> </w:t>
      </w:r>
      <w:r>
        <w:rPr>
          <w:rFonts w:ascii="Arial" w:hAnsi="Arial"/>
          <w:color w:val="5B6761"/>
          <w:w w:val="105"/>
          <w:sz w:val="14"/>
        </w:rPr>
        <w:t>the</w:t>
      </w:r>
      <w:r>
        <w:rPr>
          <w:rFonts w:ascii="Arial" w:hAnsi="Arial"/>
          <w:color w:val="5B6761"/>
          <w:spacing w:val="-12"/>
          <w:w w:val="105"/>
          <w:sz w:val="14"/>
        </w:rPr>
        <w:t xml:space="preserve"> </w:t>
      </w:r>
      <w:r>
        <w:rPr>
          <w:rFonts w:ascii="Arial" w:hAnsi="Arial"/>
          <w:color w:val="5B6761"/>
          <w:w w:val="105"/>
          <w:sz w:val="14"/>
        </w:rPr>
        <w:t>greatest</w:t>
      </w:r>
      <w:r>
        <w:rPr>
          <w:rFonts w:ascii="Arial" w:hAnsi="Arial"/>
          <w:color w:val="5B6761"/>
          <w:spacing w:val="-10"/>
          <w:w w:val="105"/>
          <w:sz w:val="14"/>
        </w:rPr>
        <w:t xml:space="preserve"> </w:t>
      </w:r>
      <w:r>
        <w:rPr>
          <w:rFonts w:ascii="Arial" w:hAnsi="Arial"/>
          <w:color w:val="5B6761"/>
          <w:w w:val="105"/>
          <w:sz w:val="14"/>
        </w:rPr>
        <w:t>risk</w:t>
      </w:r>
      <w:r>
        <w:rPr>
          <w:rFonts w:ascii="Arial" w:hAnsi="Arial"/>
          <w:color w:val="5B6761"/>
          <w:spacing w:val="-11"/>
          <w:w w:val="105"/>
          <w:sz w:val="14"/>
        </w:rPr>
        <w:t xml:space="preserve"> </w:t>
      </w:r>
      <w:r>
        <w:rPr>
          <w:rFonts w:ascii="Arial" w:hAnsi="Arial"/>
          <w:color w:val="5B6761"/>
          <w:w w:val="105"/>
          <w:sz w:val="14"/>
        </w:rPr>
        <w:t>to</w:t>
      </w:r>
      <w:r>
        <w:rPr>
          <w:rFonts w:ascii="Arial" w:hAnsi="Arial"/>
          <w:color w:val="5B6761"/>
          <w:spacing w:val="-12"/>
          <w:w w:val="105"/>
          <w:sz w:val="14"/>
        </w:rPr>
        <w:t xml:space="preserve"> </w:t>
      </w:r>
      <w:r>
        <w:rPr>
          <w:rFonts w:ascii="Arial" w:hAnsi="Arial"/>
          <w:color w:val="5B6761"/>
          <w:w w:val="105"/>
          <w:sz w:val="14"/>
        </w:rPr>
        <w:t>consumer</w:t>
      </w:r>
      <w:r>
        <w:rPr>
          <w:rFonts w:ascii="Arial" w:hAnsi="Arial"/>
          <w:color w:val="5B6761"/>
          <w:spacing w:val="-11"/>
          <w:w w:val="105"/>
          <w:sz w:val="14"/>
        </w:rPr>
        <w:t xml:space="preserve"> </w:t>
      </w:r>
      <w:r>
        <w:rPr>
          <w:rFonts w:ascii="Arial" w:hAnsi="Arial"/>
          <w:color w:val="5B6761"/>
          <w:w w:val="105"/>
          <w:sz w:val="14"/>
        </w:rPr>
        <w:t>safety.</w:t>
      </w:r>
    </w:p>
    <w:p w:rsidR="007D76BB" w:rsidRDefault="007D76BB">
      <w:pPr>
        <w:spacing w:line="268" w:lineRule="auto"/>
        <w:jc w:val="both"/>
        <w:rPr>
          <w:rFonts w:ascii="Arial" w:hAnsi="Arial"/>
          <w:sz w:val="14"/>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spacing w:before="10"/>
        <w:rPr>
          <w:rFonts w:ascii="Arial"/>
        </w:rPr>
      </w:pPr>
    </w:p>
    <w:p w:rsidR="007D76BB" w:rsidRDefault="00D70D28">
      <w:pPr>
        <w:pStyle w:val="Heading4"/>
        <w:rPr>
          <w:b/>
        </w:rPr>
      </w:pPr>
      <w:bookmarkStart w:id="153" w:name="_bookmark79"/>
      <w:bookmarkEnd w:id="153"/>
      <w:r>
        <w:rPr>
          <w:b/>
          <w:color w:val="FFA200"/>
        </w:rPr>
        <w:t>APPROACH</w:t>
      </w:r>
    </w:p>
    <w:p w:rsidR="007D76BB" w:rsidRDefault="00D70D28">
      <w:pPr>
        <w:spacing w:before="192" w:line="266" w:lineRule="auto"/>
        <w:ind w:left="482" w:right="778"/>
        <w:rPr>
          <w:rFonts w:ascii="Arial" w:hAnsi="Arial"/>
          <w:sz w:val="19"/>
        </w:rPr>
      </w:pPr>
      <w:r>
        <w:rPr>
          <w:rFonts w:ascii="Arial" w:hAnsi="Arial"/>
          <w:w w:val="105"/>
          <w:sz w:val="19"/>
        </w:rPr>
        <w:t>The</w:t>
      </w:r>
      <w:r>
        <w:rPr>
          <w:rFonts w:ascii="Arial" w:hAnsi="Arial"/>
          <w:spacing w:val="-22"/>
          <w:w w:val="105"/>
          <w:sz w:val="19"/>
        </w:rPr>
        <w:t xml:space="preserve"> </w:t>
      </w:r>
      <w:r>
        <w:rPr>
          <w:rFonts w:ascii="Arial" w:hAnsi="Arial"/>
          <w:w w:val="105"/>
          <w:sz w:val="19"/>
        </w:rPr>
        <w:t>modelling</w:t>
      </w:r>
      <w:r>
        <w:rPr>
          <w:rFonts w:ascii="Arial" w:hAnsi="Arial"/>
          <w:spacing w:val="-21"/>
          <w:w w:val="105"/>
          <w:sz w:val="19"/>
        </w:rPr>
        <w:t xml:space="preserve"> </w:t>
      </w:r>
      <w:r>
        <w:rPr>
          <w:rFonts w:ascii="Arial" w:hAnsi="Arial"/>
          <w:w w:val="105"/>
          <w:sz w:val="19"/>
        </w:rPr>
        <w:t>detailed</w:t>
      </w:r>
      <w:r>
        <w:rPr>
          <w:rFonts w:ascii="Arial" w:hAnsi="Arial"/>
          <w:spacing w:val="-23"/>
          <w:w w:val="105"/>
          <w:sz w:val="19"/>
        </w:rPr>
        <w:t xml:space="preserve"> </w:t>
      </w:r>
      <w:r>
        <w:rPr>
          <w:rFonts w:ascii="Arial" w:hAnsi="Arial"/>
          <w:w w:val="105"/>
          <w:sz w:val="19"/>
        </w:rPr>
        <w:t>in</w:t>
      </w:r>
      <w:r>
        <w:rPr>
          <w:rFonts w:ascii="Arial" w:hAnsi="Arial"/>
          <w:spacing w:val="-23"/>
          <w:w w:val="105"/>
          <w:sz w:val="19"/>
        </w:rPr>
        <w:t xml:space="preserve"> </w:t>
      </w:r>
      <w:r>
        <w:rPr>
          <w:rFonts w:ascii="Arial" w:hAnsi="Arial"/>
          <w:w w:val="105"/>
          <w:sz w:val="19"/>
        </w:rPr>
        <w:t>this</w:t>
      </w:r>
      <w:r>
        <w:rPr>
          <w:rFonts w:ascii="Arial" w:hAnsi="Arial"/>
          <w:spacing w:val="-22"/>
          <w:w w:val="105"/>
          <w:sz w:val="19"/>
        </w:rPr>
        <w:t xml:space="preserve"> </w:t>
      </w:r>
      <w:r>
        <w:rPr>
          <w:rFonts w:ascii="Arial" w:hAnsi="Arial"/>
          <w:w w:val="105"/>
          <w:sz w:val="19"/>
        </w:rPr>
        <w:t>report</w:t>
      </w:r>
      <w:r>
        <w:rPr>
          <w:rFonts w:ascii="Arial" w:hAnsi="Arial"/>
          <w:spacing w:val="-21"/>
          <w:w w:val="105"/>
          <w:sz w:val="19"/>
        </w:rPr>
        <w:t xml:space="preserve"> </w:t>
      </w:r>
      <w:r>
        <w:rPr>
          <w:rFonts w:ascii="Arial" w:hAnsi="Arial"/>
          <w:w w:val="105"/>
          <w:sz w:val="19"/>
        </w:rPr>
        <w:t>was</w:t>
      </w:r>
      <w:r>
        <w:rPr>
          <w:rFonts w:ascii="Arial" w:hAnsi="Arial"/>
          <w:spacing w:val="-22"/>
          <w:w w:val="105"/>
          <w:sz w:val="19"/>
        </w:rPr>
        <w:t xml:space="preserve"> </w:t>
      </w:r>
      <w:r>
        <w:rPr>
          <w:rFonts w:ascii="Arial" w:hAnsi="Arial"/>
          <w:w w:val="105"/>
          <w:sz w:val="19"/>
        </w:rPr>
        <w:t>conducted</w:t>
      </w:r>
      <w:r>
        <w:rPr>
          <w:rFonts w:ascii="Arial" w:hAnsi="Arial"/>
          <w:spacing w:val="-23"/>
          <w:w w:val="105"/>
          <w:sz w:val="19"/>
        </w:rPr>
        <w:t xml:space="preserve"> </w:t>
      </w:r>
      <w:r>
        <w:rPr>
          <w:rFonts w:ascii="Arial" w:hAnsi="Arial"/>
          <w:w w:val="105"/>
          <w:sz w:val="19"/>
        </w:rPr>
        <w:t>in</w:t>
      </w:r>
      <w:r>
        <w:rPr>
          <w:rFonts w:ascii="Arial" w:hAnsi="Arial"/>
          <w:spacing w:val="-23"/>
          <w:w w:val="105"/>
          <w:sz w:val="19"/>
        </w:rPr>
        <w:t xml:space="preserve"> </w:t>
      </w:r>
      <w:r>
        <w:rPr>
          <w:rFonts w:ascii="Arial" w:hAnsi="Arial"/>
          <w:w w:val="105"/>
          <w:sz w:val="19"/>
        </w:rPr>
        <w:t>accordance</w:t>
      </w:r>
      <w:r>
        <w:rPr>
          <w:rFonts w:ascii="Arial" w:hAnsi="Arial"/>
          <w:spacing w:val="-21"/>
          <w:w w:val="105"/>
          <w:sz w:val="19"/>
        </w:rPr>
        <w:t xml:space="preserve"> </w:t>
      </w:r>
      <w:r>
        <w:rPr>
          <w:rFonts w:ascii="Arial" w:hAnsi="Arial"/>
          <w:w w:val="105"/>
          <w:sz w:val="19"/>
        </w:rPr>
        <w:t>with</w:t>
      </w:r>
      <w:r>
        <w:rPr>
          <w:rFonts w:ascii="Arial" w:hAnsi="Arial"/>
          <w:spacing w:val="-23"/>
          <w:w w:val="105"/>
          <w:sz w:val="19"/>
        </w:rPr>
        <w:t xml:space="preserve"> </w:t>
      </w:r>
      <w:r>
        <w:rPr>
          <w:rFonts w:ascii="Arial" w:hAnsi="Arial"/>
          <w:w w:val="105"/>
          <w:sz w:val="19"/>
        </w:rPr>
        <w:t>the</w:t>
      </w:r>
      <w:r>
        <w:rPr>
          <w:rFonts w:ascii="Arial" w:hAnsi="Arial"/>
          <w:spacing w:val="-16"/>
          <w:w w:val="105"/>
          <w:sz w:val="19"/>
        </w:rPr>
        <w:t xml:space="preserve"> </w:t>
      </w:r>
      <w:r>
        <w:rPr>
          <w:rFonts w:ascii="Arial" w:hAnsi="Arial"/>
          <w:w w:val="105"/>
          <w:sz w:val="19"/>
        </w:rPr>
        <w:t>Office</w:t>
      </w:r>
      <w:r>
        <w:rPr>
          <w:rFonts w:ascii="Arial" w:hAnsi="Arial"/>
          <w:spacing w:val="-23"/>
          <w:w w:val="105"/>
          <w:sz w:val="19"/>
        </w:rPr>
        <w:t xml:space="preserve"> </w:t>
      </w:r>
      <w:r>
        <w:rPr>
          <w:rFonts w:ascii="Arial" w:hAnsi="Arial"/>
          <w:w w:val="105"/>
          <w:sz w:val="19"/>
        </w:rPr>
        <w:t>of</w:t>
      </w:r>
      <w:r>
        <w:rPr>
          <w:rFonts w:ascii="Arial" w:hAnsi="Arial"/>
          <w:spacing w:val="-22"/>
          <w:w w:val="105"/>
          <w:sz w:val="19"/>
        </w:rPr>
        <w:t xml:space="preserve"> </w:t>
      </w:r>
      <w:r>
        <w:rPr>
          <w:rFonts w:ascii="Arial" w:hAnsi="Arial"/>
          <w:w w:val="105"/>
          <w:sz w:val="19"/>
        </w:rPr>
        <w:t>Best</w:t>
      </w:r>
      <w:r>
        <w:rPr>
          <w:rFonts w:ascii="Arial" w:hAnsi="Arial"/>
          <w:spacing w:val="-22"/>
          <w:w w:val="105"/>
          <w:sz w:val="19"/>
        </w:rPr>
        <w:t xml:space="preserve"> </w:t>
      </w:r>
      <w:r>
        <w:rPr>
          <w:rFonts w:ascii="Arial" w:hAnsi="Arial"/>
          <w:w w:val="105"/>
          <w:sz w:val="19"/>
        </w:rPr>
        <w:t>Practice Regulation’s</w:t>
      </w:r>
      <w:r>
        <w:rPr>
          <w:rFonts w:ascii="Arial" w:hAnsi="Arial"/>
          <w:spacing w:val="-31"/>
          <w:w w:val="105"/>
          <w:sz w:val="19"/>
        </w:rPr>
        <w:t xml:space="preserve"> </w:t>
      </w:r>
      <w:r>
        <w:rPr>
          <w:rFonts w:ascii="Arial" w:hAnsi="Arial"/>
          <w:w w:val="105"/>
          <w:sz w:val="19"/>
        </w:rPr>
        <w:t>(OBPR)</w:t>
      </w:r>
      <w:r>
        <w:rPr>
          <w:rFonts w:ascii="Arial" w:hAnsi="Arial"/>
          <w:spacing w:val="-29"/>
          <w:w w:val="105"/>
          <w:sz w:val="19"/>
        </w:rPr>
        <w:t xml:space="preserve"> </w:t>
      </w:r>
      <w:r>
        <w:rPr>
          <w:rFonts w:ascii="Arial" w:hAnsi="Arial"/>
          <w:w w:val="105"/>
          <w:sz w:val="19"/>
        </w:rPr>
        <w:t>guidance</w:t>
      </w:r>
      <w:r>
        <w:rPr>
          <w:rFonts w:ascii="Arial" w:hAnsi="Arial"/>
          <w:spacing w:val="-30"/>
          <w:w w:val="105"/>
          <w:sz w:val="19"/>
        </w:rPr>
        <w:t xml:space="preserve"> </w:t>
      </w:r>
      <w:r>
        <w:rPr>
          <w:rFonts w:ascii="Arial" w:hAnsi="Arial"/>
          <w:w w:val="105"/>
          <w:sz w:val="19"/>
        </w:rPr>
        <w:t>for</w:t>
      </w:r>
      <w:r>
        <w:rPr>
          <w:rFonts w:ascii="Arial" w:hAnsi="Arial"/>
          <w:spacing w:val="-31"/>
          <w:w w:val="105"/>
          <w:sz w:val="19"/>
        </w:rPr>
        <w:t xml:space="preserve"> </w:t>
      </w:r>
      <w:r>
        <w:rPr>
          <w:rFonts w:ascii="Arial" w:hAnsi="Arial"/>
          <w:w w:val="105"/>
          <w:sz w:val="19"/>
        </w:rPr>
        <w:t>the</w:t>
      </w:r>
      <w:r>
        <w:rPr>
          <w:rFonts w:ascii="Arial" w:hAnsi="Arial"/>
          <w:spacing w:val="-30"/>
          <w:w w:val="105"/>
          <w:sz w:val="19"/>
        </w:rPr>
        <w:t xml:space="preserve"> </w:t>
      </w:r>
      <w:r>
        <w:rPr>
          <w:rFonts w:ascii="Arial" w:hAnsi="Arial"/>
          <w:w w:val="105"/>
          <w:sz w:val="19"/>
        </w:rPr>
        <w:t>calculation</w:t>
      </w:r>
      <w:r>
        <w:rPr>
          <w:rFonts w:ascii="Arial" w:hAnsi="Arial"/>
          <w:spacing w:val="-30"/>
          <w:w w:val="105"/>
          <w:sz w:val="19"/>
        </w:rPr>
        <w:t xml:space="preserve"> </w:t>
      </w:r>
      <w:r>
        <w:rPr>
          <w:rFonts w:ascii="Arial" w:hAnsi="Arial"/>
          <w:w w:val="105"/>
          <w:sz w:val="19"/>
        </w:rPr>
        <w:t>of</w:t>
      </w:r>
      <w:r>
        <w:rPr>
          <w:rFonts w:ascii="Arial" w:hAnsi="Arial"/>
          <w:spacing w:val="-31"/>
          <w:w w:val="105"/>
          <w:sz w:val="19"/>
        </w:rPr>
        <w:t xml:space="preserve"> </w:t>
      </w:r>
      <w:r>
        <w:rPr>
          <w:rFonts w:ascii="Arial" w:hAnsi="Arial"/>
          <w:w w:val="105"/>
          <w:sz w:val="19"/>
        </w:rPr>
        <w:t>regulatory</w:t>
      </w:r>
      <w:r>
        <w:rPr>
          <w:rFonts w:ascii="Arial" w:hAnsi="Arial"/>
          <w:spacing w:val="-30"/>
          <w:w w:val="105"/>
          <w:sz w:val="19"/>
        </w:rPr>
        <w:t xml:space="preserve"> </w:t>
      </w:r>
      <w:r>
        <w:rPr>
          <w:rFonts w:ascii="Arial" w:hAnsi="Arial"/>
          <w:w w:val="105"/>
          <w:sz w:val="19"/>
        </w:rPr>
        <w:t>costs</w:t>
      </w:r>
      <w:r>
        <w:rPr>
          <w:rFonts w:ascii="Arial" w:hAnsi="Arial"/>
          <w:w w:val="105"/>
          <w:position w:val="7"/>
          <w:sz w:val="11"/>
        </w:rPr>
        <w:t>8</w:t>
      </w:r>
      <w:r>
        <w:rPr>
          <w:rFonts w:ascii="Arial" w:hAnsi="Arial"/>
          <w:spacing w:val="-7"/>
          <w:w w:val="105"/>
          <w:position w:val="7"/>
          <w:sz w:val="11"/>
        </w:rPr>
        <w:t xml:space="preserve"> </w:t>
      </w:r>
      <w:r>
        <w:rPr>
          <w:rFonts w:ascii="Arial" w:hAnsi="Arial"/>
          <w:w w:val="105"/>
          <w:sz w:val="19"/>
        </w:rPr>
        <w:t>and</w:t>
      </w:r>
      <w:r>
        <w:rPr>
          <w:rFonts w:ascii="Arial" w:hAnsi="Arial"/>
          <w:spacing w:val="-31"/>
          <w:w w:val="105"/>
          <w:sz w:val="19"/>
        </w:rPr>
        <w:t xml:space="preserve"> </w:t>
      </w:r>
      <w:r>
        <w:rPr>
          <w:rFonts w:ascii="Arial" w:hAnsi="Arial"/>
          <w:w w:val="105"/>
          <w:sz w:val="19"/>
        </w:rPr>
        <w:t>the</w:t>
      </w:r>
      <w:r>
        <w:rPr>
          <w:rFonts w:ascii="Arial" w:hAnsi="Arial"/>
          <w:spacing w:val="-31"/>
          <w:w w:val="105"/>
          <w:sz w:val="19"/>
        </w:rPr>
        <w:t xml:space="preserve"> </w:t>
      </w:r>
      <w:r>
        <w:rPr>
          <w:rFonts w:ascii="Arial" w:hAnsi="Arial"/>
          <w:w w:val="105"/>
          <w:sz w:val="19"/>
        </w:rPr>
        <w:t>approach</w:t>
      </w:r>
      <w:r>
        <w:rPr>
          <w:rFonts w:ascii="Arial" w:hAnsi="Arial"/>
          <w:spacing w:val="-29"/>
          <w:w w:val="105"/>
          <w:sz w:val="19"/>
        </w:rPr>
        <w:t xml:space="preserve"> </w:t>
      </w:r>
      <w:r>
        <w:rPr>
          <w:rFonts w:ascii="Arial" w:hAnsi="Arial"/>
          <w:w w:val="105"/>
          <w:sz w:val="19"/>
        </w:rPr>
        <w:t>was</w:t>
      </w:r>
      <w:r>
        <w:rPr>
          <w:rFonts w:ascii="Arial" w:hAnsi="Arial"/>
          <w:spacing w:val="-30"/>
          <w:w w:val="105"/>
          <w:sz w:val="19"/>
        </w:rPr>
        <w:t xml:space="preserve"> </w:t>
      </w:r>
      <w:r>
        <w:rPr>
          <w:rFonts w:ascii="Arial" w:hAnsi="Arial"/>
          <w:w w:val="105"/>
          <w:sz w:val="19"/>
        </w:rPr>
        <w:t>briefed and</w:t>
      </w:r>
      <w:r>
        <w:rPr>
          <w:rFonts w:ascii="Arial" w:hAnsi="Arial"/>
          <w:spacing w:val="-13"/>
          <w:w w:val="105"/>
          <w:sz w:val="19"/>
        </w:rPr>
        <w:t xml:space="preserve"> </w:t>
      </w:r>
      <w:r>
        <w:rPr>
          <w:rFonts w:ascii="Arial" w:hAnsi="Arial"/>
          <w:w w:val="105"/>
          <w:sz w:val="19"/>
        </w:rPr>
        <w:t>agreed</w:t>
      </w:r>
      <w:r>
        <w:rPr>
          <w:rFonts w:ascii="Arial" w:hAnsi="Arial"/>
          <w:spacing w:val="-12"/>
          <w:w w:val="105"/>
          <w:sz w:val="19"/>
        </w:rPr>
        <w:t xml:space="preserve"> </w:t>
      </w:r>
      <w:r>
        <w:rPr>
          <w:rFonts w:ascii="Arial" w:hAnsi="Arial"/>
          <w:w w:val="105"/>
          <w:sz w:val="19"/>
        </w:rPr>
        <w:t>in</w:t>
      </w:r>
      <w:r>
        <w:rPr>
          <w:rFonts w:ascii="Arial" w:hAnsi="Arial"/>
          <w:spacing w:val="-11"/>
          <w:w w:val="105"/>
          <w:sz w:val="19"/>
        </w:rPr>
        <w:t xml:space="preserve"> </w:t>
      </w:r>
      <w:r>
        <w:rPr>
          <w:rFonts w:ascii="Arial" w:hAnsi="Arial"/>
          <w:w w:val="105"/>
          <w:sz w:val="19"/>
        </w:rPr>
        <w:t>principle</w:t>
      </w:r>
      <w:r>
        <w:rPr>
          <w:rFonts w:ascii="Arial" w:hAnsi="Arial"/>
          <w:spacing w:val="-12"/>
          <w:w w:val="105"/>
          <w:sz w:val="19"/>
        </w:rPr>
        <w:t xml:space="preserve"> </w:t>
      </w:r>
      <w:r>
        <w:rPr>
          <w:rFonts w:ascii="Arial" w:hAnsi="Arial"/>
          <w:w w:val="105"/>
          <w:sz w:val="19"/>
        </w:rPr>
        <w:t>by</w:t>
      </w:r>
      <w:r>
        <w:rPr>
          <w:rFonts w:ascii="Arial" w:hAnsi="Arial"/>
          <w:spacing w:val="-10"/>
          <w:w w:val="105"/>
          <w:sz w:val="19"/>
        </w:rPr>
        <w:t xml:space="preserve"> </w:t>
      </w:r>
      <w:r>
        <w:rPr>
          <w:rFonts w:ascii="Arial" w:hAnsi="Arial"/>
          <w:w w:val="105"/>
          <w:sz w:val="19"/>
        </w:rPr>
        <w:t>the</w:t>
      </w:r>
      <w:r>
        <w:rPr>
          <w:rFonts w:ascii="Arial" w:hAnsi="Arial"/>
          <w:spacing w:val="-10"/>
          <w:w w:val="105"/>
          <w:sz w:val="19"/>
        </w:rPr>
        <w:t xml:space="preserve"> </w:t>
      </w:r>
      <w:r>
        <w:rPr>
          <w:rFonts w:ascii="Arial" w:hAnsi="Arial"/>
          <w:w w:val="105"/>
          <w:sz w:val="19"/>
        </w:rPr>
        <w:t>OBPR.</w:t>
      </w:r>
    </w:p>
    <w:p w:rsidR="007D76BB" w:rsidRDefault="00D70D28">
      <w:pPr>
        <w:spacing w:before="174"/>
        <w:ind w:left="482"/>
        <w:rPr>
          <w:rFonts w:ascii="Arial"/>
          <w:sz w:val="19"/>
        </w:rPr>
      </w:pPr>
      <w:r>
        <w:rPr>
          <w:rFonts w:ascii="Arial"/>
          <w:w w:val="105"/>
          <w:sz w:val="19"/>
        </w:rPr>
        <w:t>The below activities were undertaken to inform the development of the Regulatory Costing:</w:t>
      </w:r>
    </w:p>
    <w:p w:rsidR="007D76BB" w:rsidRDefault="00D70D28">
      <w:pPr>
        <w:pStyle w:val="ListParagraph"/>
        <w:numPr>
          <w:ilvl w:val="0"/>
          <w:numId w:val="10"/>
        </w:numPr>
        <w:tabs>
          <w:tab w:val="left" w:pos="766"/>
        </w:tabs>
        <w:spacing w:before="104" w:line="266" w:lineRule="auto"/>
        <w:ind w:right="1498"/>
        <w:rPr>
          <w:rFonts w:ascii="Arial" w:hAnsi="Arial"/>
          <w:sz w:val="19"/>
        </w:rPr>
      </w:pPr>
      <w:r>
        <w:rPr>
          <w:rFonts w:ascii="Arial" w:hAnsi="Arial"/>
          <w:w w:val="105"/>
          <w:sz w:val="19"/>
        </w:rPr>
        <w:t>undertook</w:t>
      </w:r>
      <w:r>
        <w:rPr>
          <w:rFonts w:ascii="Arial" w:hAnsi="Arial"/>
          <w:spacing w:val="-23"/>
          <w:w w:val="105"/>
          <w:sz w:val="19"/>
        </w:rPr>
        <w:t xml:space="preserve"> </w:t>
      </w:r>
      <w:r>
        <w:rPr>
          <w:rFonts w:ascii="Arial" w:hAnsi="Arial"/>
          <w:w w:val="105"/>
          <w:sz w:val="19"/>
        </w:rPr>
        <w:t>desktop</w:t>
      </w:r>
      <w:r>
        <w:rPr>
          <w:rFonts w:ascii="Arial" w:hAnsi="Arial"/>
          <w:spacing w:val="-20"/>
          <w:w w:val="105"/>
          <w:sz w:val="19"/>
        </w:rPr>
        <w:t xml:space="preserve"> </w:t>
      </w:r>
      <w:r>
        <w:rPr>
          <w:rFonts w:ascii="Arial" w:hAnsi="Arial"/>
          <w:w w:val="105"/>
          <w:sz w:val="19"/>
        </w:rPr>
        <w:t>research</w:t>
      </w:r>
      <w:r>
        <w:rPr>
          <w:rFonts w:ascii="Arial" w:hAnsi="Arial"/>
          <w:spacing w:val="-24"/>
          <w:w w:val="105"/>
          <w:sz w:val="19"/>
        </w:rPr>
        <w:t xml:space="preserve"> </w:t>
      </w:r>
      <w:r>
        <w:rPr>
          <w:rFonts w:ascii="Arial" w:hAnsi="Arial"/>
          <w:w w:val="105"/>
          <w:sz w:val="19"/>
        </w:rPr>
        <w:t>to</w:t>
      </w:r>
      <w:r>
        <w:rPr>
          <w:rFonts w:ascii="Arial" w:hAnsi="Arial"/>
          <w:spacing w:val="-21"/>
          <w:w w:val="105"/>
          <w:sz w:val="19"/>
        </w:rPr>
        <w:t xml:space="preserve"> </w:t>
      </w:r>
      <w:r>
        <w:rPr>
          <w:rFonts w:ascii="Arial" w:hAnsi="Arial"/>
          <w:w w:val="105"/>
          <w:sz w:val="19"/>
        </w:rPr>
        <w:t>understand</w:t>
      </w:r>
      <w:r>
        <w:rPr>
          <w:rFonts w:ascii="Arial" w:hAnsi="Arial"/>
          <w:spacing w:val="-23"/>
          <w:w w:val="105"/>
          <w:sz w:val="19"/>
        </w:rPr>
        <w:t xml:space="preserve"> </w:t>
      </w:r>
      <w:r>
        <w:rPr>
          <w:rFonts w:ascii="Arial" w:hAnsi="Arial"/>
          <w:w w:val="105"/>
          <w:sz w:val="19"/>
        </w:rPr>
        <w:t>the</w:t>
      </w:r>
      <w:r>
        <w:rPr>
          <w:rFonts w:ascii="Arial" w:hAnsi="Arial"/>
          <w:spacing w:val="-21"/>
          <w:w w:val="105"/>
          <w:sz w:val="19"/>
        </w:rPr>
        <w:t xml:space="preserve"> </w:t>
      </w:r>
      <w:r>
        <w:rPr>
          <w:rFonts w:ascii="Arial" w:hAnsi="Arial"/>
          <w:w w:val="105"/>
          <w:sz w:val="19"/>
        </w:rPr>
        <w:t>baseline</w:t>
      </w:r>
      <w:r>
        <w:rPr>
          <w:rFonts w:ascii="Arial" w:hAnsi="Arial"/>
          <w:spacing w:val="-23"/>
          <w:w w:val="105"/>
          <w:sz w:val="19"/>
        </w:rPr>
        <w:t xml:space="preserve"> </w:t>
      </w:r>
      <w:r>
        <w:rPr>
          <w:rFonts w:ascii="Arial" w:hAnsi="Arial"/>
          <w:w w:val="105"/>
          <w:sz w:val="19"/>
        </w:rPr>
        <w:t>regulatory</w:t>
      </w:r>
      <w:r>
        <w:rPr>
          <w:rFonts w:ascii="Arial" w:hAnsi="Arial"/>
          <w:spacing w:val="-22"/>
          <w:w w:val="105"/>
          <w:sz w:val="19"/>
        </w:rPr>
        <w:t xml:space="preserve"> </w:t>
      </w:r>
      <w:r>
        <w:rPr>
          <w:rFonts w:ascii="Arial" w:hAnsi="Arial"/>
          <w:w w:val="105"/>
          <w:sz w:val="19"/>
        </w:rPr>
        <w:t>activity</w:t>
      </w:r>
      <w:r>
        <w:rPr>
          <w:rFonts w:ascii="Arial" w:hAnsi="Arial"/>
          <w:spacing w:val="-23"/>
          <w:w w:val="105"/>
          <w:sz w:val="19"/>
        </w:rPr>
        <w:t xml:space="preserve"> </w:t>
      </w:r>
      <w:r>
        <w:rPr>
          <w:rFonts w:ascii="Arial" w:hAnsi="Arial"/>
          <w:w w:val="105"/>
          <w:sz w:val="19"/>
        </w:rPr>
        <w:t>(noting</w:t>
      </w:r>
      <w:r>
        <w:rPr>
          <w:rFonts w:ascii="Arial" w:hAnsi="Arial"/>
          <w:spacing w:val="-22"/>
          <w:w w:val="105"/>
          <w:sz w:val="19"/>
        </w:rPr>
        <w:t xml:space="preserve"> </w:t>
      </w:r>
      <w:r>
        <w:rPr>
          <w:rFonts w:ascii="Arial" w:hAnsi="Arial"/>
          <w:w w:val="105"/>
          <w:sz w:val="19"/>
        </w:rPr>
        <w:t>a</w:t>
      </w:r>
      <w:r>
        <w:rPr>
          <w:rFonts w:ascii="Arial" w:hAnsi="Arial"/>
          <w:spacing w:val="-22"/>
          <w:w w:val="105"/>
          <w:sz w:val="19"/>
        </w:rPr>
        <w:t xml:space="preserve"> </w:t>
      </w:r>
      <w:r>
        <w:rPr>
          <w:rFonts w:ascii="Arial" w:hAnsi="Arial"/>
          <w:w w:val="105"/>
          <w:sz w:val="19"/>
        </w:rPr>
        <w:t>large portion</w:t>
      </w:r>
      <w:r>
        <w:rPr>
          <w:rFonts w:ascii="Arial" w:hAnsi="Arial"/>
          <w:spacing w:val="-12"/>
          <w:w w:val="105"/>
          <w:sz w:val="19"/>
        </w:rPr>
        <w:t xml:space="preserve"> </w:t>
      </w:r>
      <w:r>
        <w:rPr>
          <w:rFonts w:ascii="Arial" w:hAnsi="Arial"/>
          <w:w w:val="105"/>
          <w:sz w:val="19"/>
        </w:rPr>
        <w:t>of</w:t>
      </w:r>
      <w:r>
        <w:rPr>
          <w:rFonts w:ascii="Arial" w:hAnsi="Arial"/>
          <w:spacing w:val="-14"/>
          <w:w w:val="105"/>
          <w:sz w:val="19"/>
        </w:rPr>
        <w:t xml:space="preserve"> </w:t>
      </w:r>
      <w:r>
        <w:rPr>
          <w:rFonts w:ascii="Arial" w:hAnsi="Arial"/>
          <w:w w:val="105"/>
          <w:sz w:val="19"/>
        </w:rPr>
        <w:t>sport</w:t>
      </w:r>
      <w:r>
        <w:rPr>
          <w:rFonts w:ascii="Arial" w:hAnsi="Arial"/>
          <w:spacing w:val="-12"/>
          <w:w w:val="105"/>
          <w:sz w:val="19"/>
        </w:rPr>
        <w:t xml:space="preserve"> </w:t>
      </w:r>
      <w:r>
        <w:rPr>
          <w:rFonts w:ascii="Arial" w:hAnsi="Arial"/>
          <w:w w:val="105"/>
          <w:sz w:val="19"/>
        </w:rPr>
        <w:t>supplement</w:t>
      </w:r>
      <w:r>
        <w:rPr>
          <w:rFonts w:ascii="Arial" w:hAnsi="Arial"/>
          <w:spacing w:val="-14"/>
          <w:w w:val="105"/>
          <w:sz w:val="19"/>
        </w:rPr>
        <w:t xml:space="preserve"> </w:t>
      </w:r>
      <w:r>
        <w:rPr>
          <w:rFonts w:ascii="Arial" w:hAnsi="Arial"/>
          <w:w w:val="105"/>
          <w:sz w:val="19"/>
        </w:rPr>
        <w:t>products</w:t>
      </w:r>
      <w:r>
        <w:rPr>
          <w:rFonts w:ascii="Arial" w:hAnsi="Arial"/>
          <w:spacing w:val="-15"/>
          <w:w w:val="105"/>
          <w:sz w:val="19"/>
        </w:rPr>
        <w:t xml:space="preserve"> </w:t>
      </w:r>
      <w:r>
        <w:rPr>
          <w:rFonts w:ascii="Arial" w:hAnsi="Arial"/>
          <w:w w:val="105"/>
          <w:sz w:val="19"/>
        </w:rPr>
        <w:t>are</w:t>
      </w:r>
      <w:r>
        <w:rPr>
          <w:rFonts w:ascii="Arial" w:hAnsi="Arial"/>
          <w:spacing w:val="-13"/>
          <w:w w:val="105"/>
          <w:sz w:val="19"/>
        </w:rPr>
        <w:t xml:space="preserve"> </w:t>
      </w:r>
      <w:r>
        <w:rPr>
          <w:rFonts w:ascii="Arial" w:hAnsi="Arial"/>
          <w:w w:val="105"/>
          <w:sz w:val="19"/>
        </w:rPr>
        <w:t>currently</w:t>
      </w:r>
      <w:r>
        <w:rPr>
          <w:rFonts w:ascii="Arial" w:hAnsi="Arial"/>
          <w:spacing w:val="-13"/>
          <w:w w:val="105"/>
          <w:sz w:val="19"/>
        </w:rPr>
        <w:t xml:space="preserve"> </w:t>
      </w:r>
      <w:r>
        <w:rPr>
          <w:rFonts w:ascii="Arial" w:hAnsi="Arial"/>
          <w:w w:val="105"/>
          <w:sz w:val="19"/>
        </w:rPr>
        <w:t>regulated</w:t>
      </w:r>
      <w:r>
        <w:rPr>
          <w:rFonts w:ascii="Arial" w:hAnsi="Arial"/>
          <w:spacing w:val="-8"/>
          <w:w w:val="105"/>
          <w:sz w:val="19"/>
        </w:rPr>
        <w:t xml:space="preserve"> </w:t>
      </w:r>
      <w:r>
        <w:rPr>
          <w:rFonts w:ascii="Arial" w:hAnsi="Arial"/>
          <w:w w:val="105"/>
          <w:sz w:val="19"/>
        </w:rPr>
        <w:t>as</w:t>
      </w:r>
      <w:r>
        <w:rPr>
          <w:rFonts w:ascii="Arial" w:hAnsi="Arial"/>
          <w:spacing w:val="-15"/>
          <w:w w:val="105"/>
          <w:sz w:val="19"/>
        </w:rPr>
        <w:t xml:space="preserve"> </w:t>
      </w:r>
      <w:r>
        <w:rPr>
          <w:rFonts w:ascii="Arial" w:hAnsi="Arial"/>
          <w:w w:val="105"/>
          <w:sz w:val="19"/>
        </w:rPr>
        <w:t>foods)</w:t>
      </w:r>
    </w:p>
    <w:p w:rsidR="007D76BB" w:rsidRDefault="00D70D28">
      <w:pPr>
        <w:pStyle w:val="ListParagraph"/>
        <w:numPr>
          <w:ilvl w:val="0"/>
          <w:numId w:val="10"/>
        </w:numPr>
        <w:tabs>
          <w:tab w:val="left" w:pos="766"/>
        </w:tabs>
        <w:spacing w:before="74" w:line="268" w:lineRule="auto"/>
        <w:ind w:right="1178"/>
        <w:rPr>
          <w:rFonts w:ascii="Arial" w:hAnsi="Arial"/>
          <w:sz w:val="19"/>
        </w:rPr>
      </w:pPr>
      <w:r>
        <w:rPr>
          <w:rFonts w:ascii="Arial" w:hAnsi="Arial"/>
          <w:w w:val="105"/>
          <w:sz w:val="19"/>
        </w:rPr>
        <w:t>identified</w:t>
      </w:r>
      <w:r>
        <w:rPr>
          <w:rFonts w:ascii="Arial" w:hAnsi="Arial"/>
          <w:spacing w:val="-26"/>
          <w:w w:val="105"/>
          <w:sz w:val="19"/>
        </w:rPr>
        <w:t xml:space="preserve"> </w:t>
      </w:r>
      <w:r>
        <w:rPr>
          <w:rFonts w:ascii="Arial" w:hAnsi="Arial"/>
          <w:w w:val="105"/>
          <w:sz w:val="19"/>
        </w:rPr>
        <w:t>changes</w:t>
      </w:r>
      <w:r>
        <w:rPr>
          <w:rFonts w:ascii="Arial" w:hAnsi="Arial"/>
          <w:spacing w:val="-24"/>
          <w:w w:val="105"/>
          <w:sz w:val="19"/>
        </w:rPr>
        <w:t xml:space="preserve"> </w:t>
      </w:r>
      <w:r>
        <w:rPr>
          <w:rFonts w:ascii="Arial" w:hAnsi="Arial"/>
          <w:w w:val="105"/>
          <w:sz w:val="19"/>
        </w:rPr>
        <w:t>to</w:t>
      </w:r>
      <w:r>
        <w:rPr>
          <w:rFonts w:ascii="Arial" w:hAnsi="Arial"/>
          <w:spacing w:val="-27"/>
          <w:w w:val="105"/>
          <w:sz w:val="19"/>
        </w:rPr>
        <w:t xml:space="preserve"> </w:t>
      </w:r>
      <w:r>
        <w:rPr>
          <w:rFonts w:ascii="Arial" w:hAnsi="Arial"/>
          <w:w w:val="105"/>
          <w:sz w:val="19"/>
        </w:rPr>
        <w:t>the</w:t>
      </w:r>
      <w:r>
        <w:rPr>
          <w:rFonts w:ascii="Arial" w:hAnsi="Arial"/>
          <w:spacing w:val="-24"/>
          <w:w w:val="105"/>
          <w:sz w:val="19"/>
        </w:rPr>
        <w:t xml:space="preserve"> </w:t>
      </w:r>
      <w:r>
        <w:rPr>
          <w:rFonts w:ascii="Arial" w:hAnsi="Arial"/>
          <w:w w:val="105"/>
          <w:sz w:val="19"/>
        </w:rPr>
        <w:t>regulatory</w:t>
      </w:r>
      <w:r>
        <w:rPr>
          <w:rFonts w:ascii="Arial" w:hAnsi="Arial"/>
          <w:spacing w:val="-26"/>
          <w:w w:val="105"/>
          <w:sz w:val="19"/>
        </w:rPr>
        <w:t xml:space="preserve"> </w:t>
      </w:r>
      <w:r>
        <w:rPr>
          <w:rFonts w:ascii="Arial" w:hAnsi="Arial"/>
          <w:w w:val="105"/>
          <w:sz w:val="19"/>
        </w:rPr>
        <w:t>baseline</w:t>
      </w:r>
      <w:r>
        <w:rPr>
          <w:rFonts w:ascii="Arial" w:hAnsi="Arial"/>
          <w:spacing w:val="-23"/>
          <w:w w:val="105"/>
          <w:sz w:val="19"/>
        </w:rPr>
        <w:t xml:space="preserve"> </w:t>
      </w:r>
      <w:r>
        <w:rPr>
          <w:rFonts w:ascii="Arial" w:hAnsi="Arial"/>
          <w:w w:val="105"/>
          <w:sz w:val="19"/>
        </w:rPr>
        <w:t>(on</w:t>
      </w:r>
      <w:r>
        <w:rPr>
          <w:rFonts w:ascii="Arial" w:hAnsi="Arial"/>
          <w:spacing w:val="-25"/>
          <w:w w:val="105"/>
          <w:sz w:val="19"/>
        </w:rPr>
        <w:t xml:space="preserve"> </w:t>
      </w:r>
      <w:r>
        <w:rPr>
          <w:rFonts w:ascii="Arial" w:hAnsi="Arial"/>
          <w:w w:val="105"/>
          <w:sz w:val="19"/>
        </w:rPr>
        <w:t>an</w:t>
      </w:r>
      <w:r>
        <w:rPr>
          <w:rFonts w:ascii="Arial" w:hAnsi="Arial"/>
          <w:spacing w:val="-24"/>
          <w:w w:val="105"/>
          <w:sz w:val="19"/>
        </w:rPr>
        <w:t xml:space="preserve"> </w:t>
      </w:r>
      <w:r>
        <w:rPr>
          <w:rFonts w:ascii="Arial" w:hAnsi="Arial"/>
          <w:w w:val="105"/>
          <w:sz w:val="19"/>
        </w:rPr>
        <w:t>activity</w:t>
      </w:r>
      <w:r>
        <w:rPr>
          <w:rFonts w:ascii="Arial" w:hAnsi="Arial"/>
          <w:spacing w:val="-26"/>
          <w:w w:val="105"/>
          <w:sz w:val="19"/>
        </w:rPr>
        <w:t xml:space="preserve"> </w:t>
      </w:r>
      <w:r>
        <w:rPr>
          <w:rFonts w:ascii="Arial" w:hAnsi="Arial"/>
          <w:w w:val="105"/>
          <w:sz w:val="19"/>
        </w:rPr>
        <w:t>basis),</w:t>
      </w:r>
      <w:r>
        <w:rPr>
          <w:rFonts w:ascii="Arial" w:hAnsi="Arial"/>
          <w:spacing w:val="-24"/>
          <w:w w:val="105"/>
          <w:sz w:val="19"/>
        </w:rPr>
        <w:t xml:space="preserve"> </w:t>
      </w:r>
      <w:r>
        <w:rPr>
          <w:rFonts w:ascii="Arial" w:hAnsi="Arial"/>
          <w:w w:val="105"/>
          <w:sz w:val="19"/>
        </w:rPr>
        <w:t>focusing</w:t>
      </w:r>
      <w:r>
        <w:rPr>
          <w:rFonts w:ascii="Arial" w:hAnsi="Arial"/>
          <w:spacing w:val="-25"/>
          <w:w w:val="105"/>
          <w:sz w:val="19"/>
        </w:rPr>
        <w:t xml:space="preserve"> </w:t>
      </w:r>
      <w:r>
        <w:rPr>
          <w:rFonts w:ascii="Arial" w:hAnsi="Arial"/>
          <w:w w:val="105"/>
          <w:sz w:val="19"/>
        </w:rPr>
        <w:t>on</w:t>
      </w:r>
      <w:r>
        <w:rPr>
          <w:rFonts w:ascii="Arial" w:hAnsi="Arial"/>
          <w:spacing w:val="-25"/>
          <w:w w:val="105"/>
          <w:sz w:val="19"/>
        </w:rPr>
        <w:t xml:space="preserve"> </w:t>
      </w:r>
      <w:r>
        <w:rPr>
          <w:rFonts w:ascii="Arial" w:hAnsi="Arial"/>
          <w:w w:val="105"/>
          <w:sz w:val="19"/>
        </w:rPr>
        <w:t>administrative and substantive compliance</w:t>
      </w:r>
      <w:r>
        <w:rPr>
          <w:rFonts w:ascii="Arial" w:hAnsi="Arial"/>
          <w:spacing w:val="-38"/>
          <w:w w:val="105"/>
          <w:sz w:val="19"/>
        </w:rPr>
        <w:t xml:space="preserve"> </w:t>
      </w:r>
      <w:r>
        <w:rPr>
          <w:rFonts w:ascii="Arial" w:hAnsi="Arial"/>
          <w:w w:val="105"/>
          <w:sz w:val="19"/>
        </w:rPr>
        <w:t>costs</w:t>
      </w:r>
    </w:p>
    <w:p w:rsidR="007D76BB" w:rsidRDefault="00D70D28">
      <w:pPr>
        <w:pStyle w:val="ListParagraph"/>
        <w:numPr>
          <w:ilvl w:val="0"/>
          <w:numId w:val="10"/>
        </w:numPr>
        <w:tabs>
          <w:tab w:val="left" w:pos="766"/>
        </w:tabs>
        <w:spacing w:before="72" w:line="266" w:lineRule="auto"/>
        <w:ind w:right="890"/>
        <w:rPr>
          <w:rFonts w:ascii="Arial" w:hAnsi="Arial"/>
          <w:sz w:val="19"/>
        </w:rPr>
      </w:pPr>
      <w:r>
        <w:rPr>
          <w:rFonts w:ascii="Arial" w:hAnsi="Arial"/>
          <w:w w:val="105"/>
          <w:sz w:val="19"/>
        </w:rPr>
        <w:t>identified</w:t>
      </w:r>
      <w:r>
        <w:rPr>
          <w:rFonts w:ascii="Arial" w:hAnsi="Arial"/>
          <w:spacing w:val="-22"/>
          <w:w w:val="105"/>
          <w:sz w:val="19"/>
        </w:rPr>
        <w:t xml:space="preserve"> </w:t>
      </w:r>
      <w:r>
        <w:rPr>
          <w:rFonts w:ascii="Arial" w:hAnsi="Arial"/>
          <w:w w:val="105"/>
          <w:sz w:val="19"/>
        </w:rPr>
        <w:t>regulatory</w:t>
      </w:r>
      <w:r>
        <w:rPr>
          <w:rFonts w:ascii="Arial" w:hAnsi="Arial"/>
          <w:spacing w:val="-22"/>
          <w:w w:val="105"/>
          <w:sz w:val="19"/>
        </w:rPr>
        <w:t xml:space="preserve"> </w:t>
      </w:r>
      <w:r>
        <w:rPr>
          <w:rFonts w:ascii="Arial" w:hAnsi="Arial"/>
          <w:w w:val="105"/>
          <w:sz w:val="19"/>
        </w:rPr>
        <w:t>touch-points</w:t>
      </w:r>
      <w:r>
        <w:rPr>
          <w:rFonts w:ascii="Arial" w:hAnsi="Arial"/>
          <w:spacing w:val="-22"/>
          <w:w w:val="105"/>
          <w:sz w:val="19"/>
        </w:rPr>
        <w:t xml:space="preserve"> </w:t>
      </w:r>
      <w:r>
        <w:rPr>
          <w:rFonts w:ascii="Arial" w:hAnsi="Arial"/>
          <w:w w:val="105"/>
          <w:sz w:val="19"/>
        </w:rPr>
        <w:t>for</w:t>
      </w:r>
      <w:r>
        <w:rPr>
          <w:rFonts w:ascii="Arial" w:hAnsi="Arial"/>
          <w:spacing w:val="-20"/>
          <w:w w:val="105"/>
          <w:sz w:val="19"/>
        </w:rPr>
        <w:t xml:space="preserve"> </w:t>
      </w:r>
      <w:r>
        <w:rPr>
          <w:rFonts w:ascii="Arial" w:hAnsi="Arial"/>
          <w:w w:val="105"/>
          <w:sz w:val="19"/>
        </w:rPr>
        <w:t>the</w:t>
      </w:r>
      <w:r>
        <w:rPr>
          <w:rFonts w:ascii="Arial" w:hAnsi="Arial"/>
          <w:spacing w:val="-23"/>
          <w:w w:val="105"/>
          <w:sz w:val="19"/>
        </w:rPr>
        <w:t xml:space="preserve"> </w:t>
      </w:r>
      <w:r>
        <w:rPr>
          <w:rFonts w:ascii="Arial" w:hAnsi="Arial"/>
          <w:w w:val="105"/>
          <w:sz w:val="19"/>
        </w:rPr>
        <w:t>proposed</w:t>
      </w:r>
      <w:r>
        <w:rPr>
          <w:rFonts w:ascii="Arial" w:hAnsi="Arial"/>
          <w:spacing w:val="-23"/>
          <w:w w:val="105"/>
          <w:sz w:val="19"/>
        </w:rPr>
        <w:t xml:space="preserve"> </w:t>
      </w:r>
      <w:r>
        <w:rPr>
          <w:rFonts w:ascii="Arial" w:hAnsi="Arial"/>
          <w:w w:val="105"/>
          <w:sz w:val="19"/>
        </w:rPr>
        <w:t>change</w:t>
      </w:r>
      <w:r>
        <w:rPr>
          <w:rFonts w:ascii="Arial" w:hAnsi="Arial"/>
          <w:spacing w:val="-20"/>
          <w:w w:val="105"/>
          <w:sz w:val="19"/>
        </w:rPr>
        <w:t xml:space="preserve"> </w:t>
      </w:r>
      <w:r>
        <w:rPr>
          <w:rFonts w:ascii="Arial" w:hAnsi="Arial"/>
          <w:w w:val="105"/>
          <w:sz w:val="19"/>
        </w:rPr>
        <w:t>to</w:t>
      </w:r>
      <w:r>
        <w:rPr>
          <w:rFonts w:ascii="Arial" w:hAnsi="Arial"/>
          <w:spacing w:val="-23"/>
          <w:w w:val="105"/>
          <w:sz w:val="19"/>
        </w:rPr>
        <w:t xml:space="preserve"> </w:t>
      </w:r>
      <w:r>
        <w:rPr>
          <w:rFonts w:ascii="Arial" w:hAnsi="Arial"/>
          <w:w w:val="105"/>
          <w:sz w:val="19"/>
        </w:rPr>
        <w:t>regulation</w:t>
      </w:r>
      <w:r>
        <w:rPr>
          <w:rFonts w:ascii="Arial" w:hAnsi="Arial"/>
          <w:spacing w:val="-20"/>
          <w:w w:val="105"/>
          <w:sz w:val="19"/>
        </w:rPr>
        <w:t xml:space="preserve"> </w:t>
      </w:r>
      <w:r>
        <w:rPr>
          <w:rFonts w:ascii="Arial" w:hAnsi="Arial"/>
          <w:w w:val="105"/>
          <w:sz w:val="19"/>
        </w:rPr>
        <w:t>(including</w:t>
      </w:r>
      <w:r>
        <w:rPr>
          <w:rFonts w:ascii="Arial" w:hAnsi="Arial"/>
          <w:spacing w:val="-20"/>
          <w:w w:val="105"/>
          <w:sz w:val="19"/>
        </w:rPr>
        <w:t xml:space="preserve"> </w:t>
      </w:r>
      <w:r>
        <w:rPr>
          <w:rFonts w:ascii="Arial" w:hAnsi="Arial"/>
          <w:w w:val="105"/>
          <w:sz w:val="19"/>
        </w:rPr>
        <w:t>second-order touch-points</w:t>
      </w:r>
      <w:r>
        <w:rPr>
          <w:rFonts w:ascii="Arial" w:hAnsi="Arial"/>
          <w:spacing w:val="-24"/>
          <w:w w:val="105"/>
          <w:sz w:val="19"/>
        </w:rPr>
        <w:t xml:space="preserve"> </w:t>
      </w:r>
      <w:r>
        <w:rPr>
          <w:rFonts w:ascii="Arial" w:hAnsi="Arial"/>
          <w:w w:val="105"/>
          <w:sz w:val="19"/>
        </w:rPr>
        <w:t>necessary</w:t>
      </w:r>
      <w:r>
        <w:rPr>
          <w:rFonts w:ascii="Arial" w:hAnsi="Arial"/>
          <w:spacing w:val="-25"/>
          <w:w w:val="105"/>
          <w:sz w:val="19"/>
        </w:rPr>
        <w:t xml:space="preserve"> </w:t>
      </w:r>
      <w:r>
        <w:rPr>
          <w:rFonts w:ascii="Arial" w:hAnsi="Arial"/>
          <w:w w:val="105"/>
          <w:sz w:val="19"/>
        </w:rPr>
        <w:t>to</w:t>
      </w:r>
      <w:r>
        <w:rPr>
          <w:rFonts w:ascii="Arial" w:hAnsi="Arial"/>
          <w:spacing w:val="-24"/>
          <w:w w:val="105"/>
          <w:sz w:val="19"/>
        </w:rPr>
        <w:t xml:space="preserve"> </w:t>
      </w:r>
      <w:r>
        <w:rPr>
          <w:rFonts w:ascii="Arial" w:hAnsi="Arial"/>
          <w:w w:val="105"/>
          <w:sz w:val="19"/>
        </w:rPr>
        <w:t>achieve</w:t>
      </w:r>
      <w:r>
        <w:rPr>
          <w:rFonts w:ascii="Arial" w:hAnsi="Arial"/>
          <w:spacing w:val="-23"/>
          <w:w w:val="105"/>
          <w:sz w:val="19"/>
        </w:rPr>
        <w:t xml:space="preserve"> </w:t>
      </w:r>
      <w:r>
        <w:rPr>
          <w:rFonts w:ascii="Arial" w:hAnsi="Arial"/>
          <w:w w:val="105"/>
          <w:sz w:val="19"/>
        </w:rPr>
        <w:t>the</w:t>
      </w:r>
      <w:r>
        <w:rPr>
          <w:rFonts w:ascii="Arial" w:hAnsi="Arial"/>
          <w:spacing w:val="-24"/>
          <w:w w:val="105"/>
          <w:sz w:val="19"/>
        </w:rPr>
        <w:t xml:space="preserve"> </w:t>
      </w:r>
      <w:r>
        <w:rPr>
          <w:rFonts w:ascii="Arial" w:hAnsi="Arial"/>
          <w:w w:val="105"/>
          <w:sz w:val="19"/>
        </w:rPr>
        <w:t>sought</w:t>
      </w:r>
      <w:r>
        <w:rPr>
          <w:rFonts w:ascii="Arial" w:hAnsi="Arial"/>
          <w:spacing w:val="-23"/>
          <w:w w:val="105"/>
          <w:sz w:val="19"/>
        </w:rPr>
        <w:t xml:space="preserve"> </w:t>
      </w:r>
      <w:r>
        <w:rPr>
          <w:rFonts w:ascii="Arial" w:hAnsi="Arial"/>
          <w:w w:val="105"/>
          <w:sz w:val="19"/>
        </w:rPr>
        <w:t>outcomes</w:t>
      </w:r>
      <w:r>
        <w:rPr>
          <w:rFonts w:ascii="Arial" w:hAnsi="Arial"/>
          <w:spacing w:val="-24"/>
          <w:w w:val="105"/>
          <w:sz w:val="19"/>
        </w:rPr>
        <w:t xml:space="preserve"> </w:t>
      </w:r>
      <w:r>
        <w:rPr>
          <w:rFonts w:ascii="Arial" w:hAnsi="Arial"/>
          <w:w w:val="105"/>
          <w:sz w:val="19"/>
        </w:rPr>
        <w:t>of</w:t>
      </w:r>
      <w:r>
        <w:rPr>
          <w:rFonts w:ascii="Arial" w:hAnsi="Arial"/>
          <w:spacing w:val="-25"/>
          <w:w w:val="105"/>
          <w:sz w:val="19"/>
        </w:rPr>
        <w:t xml:space="preserve"> </w:t>
      </w:r>
      <w:r>
        <w:rPr>
          <w:rFonts w:ascii="Arial" w:hAnsi="Arial"/>
          <w:w w:val="105"/>
          <w:sz w:val="19"/>
        </w:rPr>
        <w:t>the</w:t>
      </w:r>
      <w:r>
        <w:rPr>
          <w:rFonts w:ascii="Arial" w:hAnsi="Arial"/>
          <w:spacing w:val="-20"/>
          <w:w w:val="105"/>
          <w:sz w:val="19"/>
        </w:rPr>
        <w:t xml:space="preserve"> </w:t>
      </w:r>
      <w:r>
        <w:rPr>
          <w:rFonts w:ascii="Arial" w:hAnsi="Arial"/>
          <w:w w:val="105"/>
          <w:sz w:val="19"/>
        </w:rPr>
        <w:t>proposed</w:t>
      </w:r>
      <w:r>
        <w:rPr>
          <w:rFonts w:ascii="Arial" w:hAnsi="Arial"/>
          <w:spacing w:val="-26"/>
          <w:w w:val="105"/>
          <w:sz w:val="19"/>
        </w:rPr>
        <w:t xml:space="preserve"> </w:t>
      </w:r>
      <w:r>
        <w:rPr>
          <w:rFonts w:ascii="Arial" w:hAnsi="Arial"/>
          <w:w w:val="105"/>
          <w:sz w:val="19"/>
        </w:rPr>
        <w:t>regulatory</w:t>
      </w:r>
      <w:r>
        <w:rPr>
          <w:rFonts w:ascii="Arial" w:hAnsi="Arial"/>
          <w:spacing w:val="-25"/>
          <w:w w:val="105"/>
          <w:sz w:val="19"/>
        </w:rPr>
        <w:t xml:space="preserve"> </w:t>
      </w:r>
      <w:r>
        <w:rPr>
          <w:rFonts w:ascii="Arial" w:hAnsi="Arial"/>
          <w:w w:val="105"/>
          <w:sz w:val="19"/>
        </w:rPr>
        <w:t>clarification)</w:t>
      </w:r>
    </w:p>
    <w:p w:rsidR="007D76BB" w:rsidRDefault="00D70D28">
      <w:pPr>
        <w:pStyle w:val="ListParagraph"/>
        <w:numPr>
          <w:ilvl w:val="0"/>
          <w:numId w:val="10"/>
        </w:numPr>
        <w:tabs>
          <w:tab w:val="left" w:pos="766"/>
        </w:tabs>
        <w:spacing w:before="77" w:line="264" w:lineRule="auto"/>
        <w:ind w:right="1030"/>
        <w:rPr>
          <w:rFonts w:ascii="Arial" w:hAnsi="Arial"/>
          <w:sz w:val="19"/>
        </w:rPr>
      </w:pPr>
      <w:proofErr w:type="gramStart"/>
      <w:r>
        <w:rPr>
          <w:rFonts w:ascii="Arial" w:hAnsi="Arial"/>
          <w:w w:val="105"/>
          <w:sz w:val="19"/>
        </w:rPr>
        <w:t>determined</w:t>
      </w:r>
      <w:proofErr w:type="gramEnd"/>
      <w:r>
        <w:rPr>
          <w:rFonts w:ascii="Arial" w:hAnsi="Arial"/>
          <w:w w:val="105"/>
          <w:sz w:val="19"/>
        </w:rPr>
        <w:t xml:space="preserve"> the respective populations impacted by identified touch-points (i.e. Sponsors, Manufacturers</w:t>
      </w:r>
      <w:r>
        <w:rPr>
          <w:rFonts w:ascii="Arial" w:hAnsi="Arial"/>
          <w:spacing w:val="-37"/>
          <w:w w:val="105"/>
          <w:sz w:val="19"/>
        </w:rPr>
        <w:t xml:space="preserve"> </w:t>
      </w:r>
      <w:r>
        <w:rPr>
          <w:rFonts w:ascii="Arial" w:hAnsi="Arial"/>
          <w:w w:val="105"/>
          <w:sz w:val="19"/>
        </w:rPr>
        <w:t>etc.)</w:t>
      </w:r>
      <w:r>
        <w:rPr>
          <w:rFonts w:ascii="Arial" w:hAnsi="Arial"/>
          <w:spacing w:val="-37"/>
          <w:w w:val="105"/>
          <w:sz w:val="19"/>
        </w:rPr>
        <w:t xml:space="preserve"> </w:t>
      </w:r>
      <w:r>
        <w:rPr>
          <w:rFonts w:ascii="Arial" w:hAnsi="Arial"/>
          <w:w w:val="105"/>
          <w:sz w:val="19"/>
        </w:rPr>
        <w:t>and</w:t>
      </w:r>
      <w:r>
        <w:rPr>
          <w:rFonts w:ascii="Arial" w:hAnsi="Arial"/>
          <w:spacing w:val="-38"/>
          <w:w w:val="105"/>
          <w:sz w:val="19"/>
        </w:rPr>
        <w:t xml:space="preserve"> </w:t>
      </w:r>
      <w:r>
        <w:rPr>
          <w:rFonts w:ascii="Arial" w:hAnsi="Arial"/>
          <w:w w:val="105"/>
          <w:sz w:val="19"/>
        </w:rPr>
        <w:t>mapped</w:t>
      </w:r>
      <w:r>
        <w:rPr>
          <w:rFonts w:ascii="Arial" w:hAnsi="Arial"/>
          <w:spacing w:val="-37"/>
          <w:w w:val="105"/>
          <w:sz w:val="19"/>
        </w:rPr>
        <w:t xml:space="preserve"> </w:t>
      </w:r>
      <w:r>
        <w:rPr>
          <w:rFonts w:ascii="Arial" w:hAnsi="Arial"/>
          <w:w w:val="105"/>
          <w:sz w:val="19"/>
        </w:rPr>
        <w:t>pathways</w:t>
      </w:r>
      <w:r>
        <w:rPr>
          <w:rFonts w:ascii="Arial" w:hAnsi="Arial"/>
          <w:spacing w:val="-37"/>
          <w:w w:val="105"/>
          <w:sz w:val="19"/>
        </w:rPr>
        <w:t xml:space="preserve"> </w:t>
      </w:r>
      <w:r>
        <w:rPr>
          <w:rFonts w:ascii="Arial" w:hAnsi="Arial"/>
          <w:w w:val="105"/>
          <w:sz w:val="19"/>
        </w:rPr>
        <w:t>and</w:t>
      </w:r>
      <w:r>
        <w:rPr>
          <w:rFonts w:ascii="Arial" w:hAnsi="Arial"/>
          <w:spacing w:val="-38"/>
          <w:w w:val="105"/>
          <w:sz w:val="19"/>
        </w:rPr>
        <w:t xml:space="preserve"> </w:t>
      </w:r>
      <w:r>
        <w:rPr>
          <w:rFonts w:ascii="Arial" w:hAnsi="Arial"/>
          <w:w w:val="105"/>
          <w:sz w:val="19"/>
        </w:rPr>
        <w:t>requirements</w:t>
      </w:r>
      <w:r>
        <w:rPr>
          <w:rFonts w:ascii="Arial" w:hAnsi="Arial"/>
          <w:spacing w:val="-36"/>
          <w:w w:val="105"/>
          <w:sz w:val="19"/>
        </w:rPr>
        <w:t xml:space="preserve"> </w:t>
      </w:r>
      <w:r>
        <w:rPr>
          <w:rFonts w:ascii="Arial" w:hAnsi="Arial"/>
          <w:w w:val="105"/>
          <w:sz w:val="19"/>
        </w:rPr>
        <w:t>(i.e.</w:t>
      </w:r>
      <w:r>
        <w:rPr>
          <w:rFonts w:ascii="Arial" w:hAnsi="Arial"/>
          <w:spacing w:val="-37"/>
          <w:w w:val="105"/>
          <w:sz w:val="19"/>
        </w:rPr>
        <w:t xml:space="preserve"> </w:t>
      </w:r>
      <w:r>
        <w:rPr>
          <w:rFonts w:ascii="Arial" w:hAnsi="Arial"/>
          <w:w w:val="105"/>
          <w:sz w:val="19"/>
        </w:rPr>
        <w:t>leave</w:t>
      </w:r>
      <w:r>
        <w:rPr>
          <w:rFonts w:ascii="Arial" w:hAnsi="Arial"/>
          <w:spacing w:val="-36"/>
          <w:w w:val="105"/>
          <w:sz w:val="19"/>
        </w:rPr>
        <w:t xml:space="preserve"> </w:t>
      </w:r>
      <w:r>
        <w:rPr>
          <w:rFonts w:ascii="Arial" w:hAnsi="Arial"/>
          <w:w w:val="105"/>
          <w:sz w:val="19"/>
        </w:rPr>
        <w:t>market,</w:t>
      </w:r>
      <w:r>
        <w:rPr>
          <w:rFonts w:ascii="Arial" w:hAnsi="Arial"/>
          <w:spacing w:val="-37"/>
          <w:w w:val="105"/>
          <w:sz w:val="19"/>
        </w:rPr>
        <w:t xml:space="preserve"> </w:t>
      </w:r>
      <w:r>
        <w:rPr>
          <w:rFonts w:ascii="Arial" w:hAnsi="Arial"/>
          <w:w w:val="105"/>
          <w:sz w:val="19"/>
        </w:rPr>
        <w:t>change</w:t>
      </w:r>
      <w:r>
        <w:rPr>
          <w:rFonts w:ascii="Arial" w:hAnsi="Arial"/>
          <w:spacing w:val="-37"/>
          <w:w w:val="105"/>
          <w:sz w:val="19"/>
        </w:rPr>
        <w:t xml:space="preserve"> </w:t>
      </w:r>
      <w:r>
        <w:rPr>
          <w:rFonts w:ascii="Arial" w:hAnsi="Arial"/>
          <w:w w:val="105"/>
          <w:sz w:val="19"/>
        </w:rPr>
        <w:t>product etc.)</w:t>
      </w:r>
    </w:p>
    <w:p w:rsidR="007D76BB" w:rsidRDefault="00D70D28">
      <w:pPr>
        <w:pStyle w:val="ListParagraph"/>
        <w:numPr>
          <w:ilvl w:val="0"/>
          <w:numId w:val="10"/>
        </w:numPr>
        <w:tabs>
          <w:tab w:val="left" w:pos="766"/>
        </w:tabs>
        <w:spacing w:before="81" w:line="264" w:lineRule="auto"/>
        <w:ind w:right="1103"/>
        <w:rPr>
          <w:rFonts w:ascii="Arial" w:hAnsi="Arial"/>
          <w:sz w:val="19"/>
        </w:rPr>
      </w:pPr>
      <w:proofErr w:type="spellStart"/>
      <w:r>
        <w:rPr>
          <w:rFonts w:ascii="Arial" w:hAnsi="Arial"/>
          <w:w w:val="105"/>
          <w:sz w:val="19"/>
        </w:rPr>
        <w:t>utilised</w:t>
      </w:r>
      <w:proofErr w:type="spellEnd"/>
      <w:r>
        <w:rPr>
          <w:rFonts w:ascii="Arial" w:hAnsi="Arial"/>
          <w:spacing w:val="-30"/>
          <w:w w:val="105"/>
          <w:sz w:val="19"/>
        </w:rPr>
        <w:t xml:space="preserve"> </w:t>
      </w:r>
      <w:r>
        <w:rPr>
          <w:rFonts w:ascii="Arial" w:hAnsi="Arial"/>
          <w:w w:val="105"/>
          <w:sz w:val="19"/>
        </w:rPr>
        <w:t>existing</w:t>
      </w:r>
      <w:r>
        <w:rPr>
          <w:rFonts w:ascii="Arial" w:hAnsi="Arial"/>
          <w:spacing w:val="-30"/>
          <w:w w:val="105"/>
          <w:sz w:val="19"/>
        </w:rPr>
        <w:t xml:space="preserve"> </w:t>
      </w:r>
      <w:r>
        <w:rPr>
          <w:rFonts w:ascii="Arial" w:hAnsi="Arial"/>
          <w:w w:val="105"/>
          <w:sz w:val="19"/>
        </w:rPr>
        <w:t>and</w:t>
      </w:r>
      <w:r>
        <w:rPr>
          <w:rFonts w:ascii="Arial" w:hAnsi="Arial"/>
          <w:spacing w:val="-30"/>
          <w:w w:val="105"/>
          <w:sz w:val="19"/>
        </w:rPr>
        <w:t xml:space="preserve"> </w:t>
      </w:r>
      <w:r>
        <w:rPr>
          <w:rFonts w:ascii="Arial" w:hAnsi="Arial"/>
          <w:w w:val="105"/>
          <w:sz w:val="19"/>
        </w:rPr>
        <w:t>developed</w:t>
      </w:r>
      <w:r>
        <w:rPr>
          <w:rFonts w:ascii="Arial" w:hAnsi="Arial"/>
          <w:spacing w:val="-30"/>
          <w:w w:val="105"/>
          <w:sz w:val="19"/>
        </w:rPr>
        <w:t xml:space="preserve"> </w:t>
      </w:r>
      <w:r>
        <w:rPr>
          <w:rFonts w:ascii="Arial" w:hAnsi="Arial"/>
          <w:w w:val="105"/>
          <w:sz w:val="19"/>
        </w:rPr>
        <w:t>new</w:t>
      </w:r>
      <w:r>
        <w:rPr>
          <w:rFonts w:ascii="Arial" w:hAnsi="Arial"/>
          <w:spacing w:val="-28"/>
          <w:w w:val="105"/>
          <w:sz w:val="19"/>
        </w:rPr>
        <w:t xml:space="preserve"> </w:t>
      </w:r>
      <w:r>
        <w:rPr>
          <w:rFonts w:ascii="Arial" w:hAnsi="Arial"/>
          <w:w w:val="105"/>
          <w:sz w:val="19"/>
        </w:rPr>
        <w:t>datasets</w:t>
      </w:r>
      <w:r>
        <w:rPr>
          <w:rFonts w:ascii="Arial" w:hAnsi="Arial"/>
          <w:spacing w:val="-29"/>
          <w:w w:val="105"/>
          <w:sz w:val="19"/>
        </w:rPr>
        <w:t xml:space="preserve"> </w:t>
      </w:r>
      <w:r>
        <w:rPr>
          <w:rFonts w:ascii="Arial" w:hAnsi="Arial"/>
          <w:w w:val="105"/>
          <w:sz w:val="19"/>
        </w:rPr>
        <w:t>(via</w:t>
      </w:r>
      <w:r>
        <w:rPr>
          <w:rFonts w:ascii="Arial" w:hAnsi="Arial"/>
          <w:spacing w:val="-29"/>
          <w:w w:val="105"/>
          <w:sz w:val="19"/>
        </w:rPr>
        <w:t xml:space="preserve"> </w:t>
      </w:r>
      <w:r>
        <w:rPr>
          <w:rFonts w:ascii="Arial" w:hAnsi="Arial"/>
          <w:w w:val="105"/>
          <w:sz w:val="19"/>
        </w:rPr>
        <w:t>desktop</w:t>
      </w:r>
      <w:r>
        <w:rPr>
          <w:rFonts w:ascii="Arial" w:hAnsi="Arial"/>
          <w:spacing w:val="-30"/>
          <w:w w:val="105"/>
          <w:sz w:val="19"/>
        </w:rPr>
        <w:t xml:space="preserve"> </w:t>
      </w:r>
      <w:r>
        <w:rPr>
          <w:rFonts w:ascii="Arial" w:hAnsi="Arial"/>
          <w:w w:val="105"/>
          <w:sz w:val="19"/>
        </w:rPr>
        <w:t>review</w:t>
      </w:r>
      <w:r>
        <w:rPr>
          <w:rFonts w:ascii="Arial" w:hAnsi="Arial"/>
          <w:spacing w:val="-29"/>
          <w:w w:val="105"/>
          <w:sz w:val="19"/>
        </w:rPr>
        <w:t xml:space="preserve"> </w:t>
      </w:r>
      <w:r>
        <w:rPr>
          <w:rFonts w:ascii="Arial" w:hAnsi="Arial"/>
          <w:w w:val="105"/>
          <w:sz w:val="19"/>
        </w:rPr>
        <w:t>of</w:t>
      </w:r>
      <w:r>
        <w:rPr>
          <w:rFonts w:ascii="Arial" w:hAnsi="Arial"/>
          <w:spacing w:val="-30"/>
          <w:w w:val="105"/>
          <w:sz w:val="19"/>
        </w:rPr>
        <w:t xml:space="preserve"> </w:t>
      </w:r>
      <w:r>
        <w:rPr>
          <w:rFonts w:ascii="Arial" w:hAnsi="Arial"/>
          <w:w w:val="105"/>
          <w:sz w:val="19"/>
        </w:rPr>
        <w:t>online</w:t>
      </w:r>
      <w:r>
        <w:rPr>
          <w:rFonts w:ascii="Arial" w:hAnsi="Arial"/>
          <w:spacing w:val="-29"/>
          <w:w w:val="105"/>
          <w:sz w:val="19"/>
        </w:rPr>
        <w:t xml:space="preserve"> </w:t>
      </w:r>
      <w:r>
        <w:rPr>
          <w:rFonts w:ascii="Arial" w:hAnsi="Arial"/>
          <w:w w:val="105"/>
          <w:sz w:val="19"/>
        </w:rPr>
        <w:t>product</w:t>
      </w:r>
      <w:r>
        <w:rPr>
          <w:rFonts w:ascii="Arial" w:hAnsi="Arial"/>
          <w:spacing w:val="-30"/>
          <w:w w:val="105"/>
          <w:sz w:val="19"/>
        </w:rPr>
        <w:t xml:space="preserve"> </w:t>
      </w:r>
      <w:r>
        <w:rPr>
          <w:rFonts w:ascii="Arial" w:hAnsi="Arial"/>
          <w:w w:val="105"/>
          <w:sz w:val="19"/>
        </w:rPr>
        <w:t>catalogues) to</w:t>
      </w:r>
      <w:r>
        <w:rPr>
          <w:rFonts w:ascii="Arial" w:hAnsi="Arial"/>
          <w:spacing w:val="-18"/>
          <w:w w:val="105"/>
          <w:sz w:val="19"/>
        </w:rPr>
        <w:t xml:space="preserve"> </w:t>
      </w:r>
      <w:r>
        <w:rPr>
          <w:rFonts w:ascii="Arial" w:hAnsi="Arial"/>
          <w:w w:val="105"/>
          <w:sz w:val="19"/>
        </w:rPr>
        <w:t>determine</w:t>
      </w:r>
      <w:r>
        <w:rPr>
          <w:rFonts w:ascii="Arial" w:hAnsi="Arial"/>
          <w:spacing w:val="-18"/>
          <w:w w:val="105"/>
          <w:sz w:val="19"/>
        </w:rPr>
        <w:t xml:space="preserve"> </w:t>
      </w:r>
      <w:r>
        <w:rPr>
          <w:rFonts w:ascii="Arial" w:hAnsi="Arial"/>
          <w:w w:val="105"/>
          <w:sz w:val="19"/>
        </w:rPr>
        <w:t>current</w:t>
      </w:r>
      <w:r>
        <w:rPr>
          <w:rFonts w:ascii="Arial" w:hAnsi="Arial"/>
          <w:spacing w:val="-18"/>
          <w:w w:val="105"/>
          <w:sz w:val="19"/>
        </w:rPr>
        <w:t xml:space="preserve"> </w:t>
      </w:r>
      <w:r>
        <w:rPr>
          <w:rFonts w:ascii="Arial" w:hAnsi="Arial"/>
          <w:w w:val="105"/>
          <w:sz w:val="19"/>
        </w:rPr>
        <w:t>and</w:t>
      </w:r>
      <w:r>
        <w:rPr>
          <w:rFonts w:ascii="Arial" w:hAnsi="Arial"/>
          <w:spacing w:val="-19"/>
          <w:w w:val="105"/>
          <w:sz w:val="19"/>
        </w:rPr>
        <w:t xml:space="preserve"> </w:t>
      </w:r>
      <w:r>
        <w:rPr>
          <w:rFonts w:ascii="Arial" w:hAnsi="Arial"/>
          <w:w w:val="105"/>
          <w:sz w:val="19"/>
        </w:rPr>
        <w:t>future</w:t>
      </w:r>
      <w:r>
        <w:rPr>
          <w:rFonts w:ascii="Arial" w:hAnsi="Arial"/>
          <w:spacing w:val="-17"/>
          <w:w w:val="105"/>
          <w:sz w:val="19"/>
        </w:rPr>
        <w:t xml:space="preserve"> </w:t>
      </w:r>
      <w:r>
        <w:rPr>
          <w:rFonts w:ascii="Arial" w:hAnsi="Arial"/>
          <w:w w:val="105"/>
          <w:sz w:val="19"/>
        </w:rPr>
        <w:t>(growth)</w:t>
      </w:r>
      <w:r>
        <w:rPr>
          <w:rFonts w:ascii="Arial" w:hAnsi="Arial"/>
          <w:spacing w:val="-17"/>
          <w:w w:val="105"/>
          <w:sz w:val="19"/>
        </w:rPr>
        <w:t xml:space="preserve"> </w:t>
      </w:r>
      <w:r>
        <w:rPr>
          <w:rFonts w:ascii="Arial" w:hAnsi="Arial"/>
          <w:w w:val="105"/>
          <w:sz w:val="19"/>
        </w:rPr>
        <w:t>population</w:t>
      </w:r>
      <w:r>
        <w:rPr>
          <w:rFonts w:ascii="Arial" w:hAnsi="Arial"/>
          <w:spacing w:val="-17"/>
          <w:w w:val="105"/>
          <w:sz w:val="19"/>
        </w:rPr>
        <w:t xml:space="preserve"> </w:t>
      </w:r>
      <w:r>
        <w:rPr>
          <w:rFonts w:ascii="Arial" w:hAnsi="Arial"/>
          <w:w w:val="105"/>
          <w:sz w:val="19"/>
        </w:rPr>
        <w:t>numbers</w:t>
      </w:r>
      <w:r>
        <w:rPr>
          <w:rFonts w:ascii="Arial" w:hAnsi="Arial"/>
          <w:spacing w:val="-18"/>
          <w:w w:val="105"/>
          <w:sz w:val="19"/>
        </w:rPr>
        <w:t xml:space="preserve"> </w:t>
      </w:r>
      <w:r>
        <w:rPr>
          <w:rFonts w:ascii="Arial" w:hAnsi="Arial"/>
          <w:w w:val="105"/>
          <w:sz w:val="19"/>
        </w:rPr>
        <w:t>and</w:t>
      </w:r>
      <w:r>
        <w:rPr>
          <w:rFonts w:ascii="Arial" w:hAnsi="Arial"/>
          <w:spacing w:val="-19"/>
          <w:w w:val="105"/>
          <w:sz w:val="19"/>
        </w:rPr>
        <w:t xml:space="preserve"> </w:t>
      </w:r>
      <w:r>
        <w:rPr>
          <w:rFonts w:ascii="Arial" w:hAnsi="Arial"/>
          <w:w w:val="105"/>
          <w:sz w:val="19"/>
        </w:rPr>
        <w:t>to</w:t>
      </w:r>
      <w:r>
        <w:rPr>
          <w:rFonts w:ascii="Arial" w:hAnsi="Arial"/>
          <w:spacing w:val="-19"/>
          <w:w w:val="105"/>
          <w:sz w:val="19"/>
        </w:rPr>
        <w:t xml:space="preserve"> </w:t>
      </w:r>
      <w:r>
        <w:rPr>
          <w:rFonts w:ascii="Arial" w:hAnsi="Arial"/>
          <w:w w:val="105"/>
          <w:sz w:val="19"/>
        </w:rPr>
        <w:t>quantify</w:t>
      </w:r>
      <w:r>
        <w:rPr>
          <w:rFonts w:ascii="Arial" w:hAnsi="Arial"/>
          <w:spacing w:val="-15"/>
          <w:w w:val="105"/>
          <w:sz w:val="19"/>
        </w:rPr>
        <w:t xml:space="preserve"> </w:t>
      </w:r>
      <w:r>
        <w:rPr>
          <w:rFonts w:ascii="Arial" w:hAnsi="Arial"/>
          <w:w w:val="105"/>
          <w:sz w:val="19"/>
        </w:rPr>
        <w:t>frequency</w:t>
      </w:r>
      <w:r>
        <w:rPr>
          <w:rFonts w:ascii="Arial" w:hAnsi="Arial"/>
          <w:spacing w:val="-18"/>
          <w:w w:val="105"/>
          <w:sz w:val="19"/>
        </w:rPr>
        <w:t xml:space="preserve"> </w:t>
      </w:r>
      <w:r>
        <w:rPr>
          <w:rFonts w:ascii="Arial" w:hAnsi="Arial"/>
          <w:w w:val="105"/>
          <w:sz w:val="19"/>
        </w:rPr>
        <w:t>and time required for each</w:t>
      </w:r>
      <w:r>
        <w:rPr>
          <w:rFonts w:ascii="Arial" w:hAnsi="Arial"/>
          <w:spacing w:val="-40"/>
          <w:w w:val="105"/>
          <w:sz w:val="19"/>
        </w:rPr>
        <w:t xml:space="preserve"> </w:t>
      </w:r>
      <w:r>
        <w:rPr>
          <w:rFonts w:ascii="Arial" w:hAnsi="Arial"/>
          <w:w w:val="105"/>
          <w:sz w:val="19"/>
        </w:rPr>
        <w:t>activity</w:t>
      </w:r>
    </w:p>
    <w:p w:rsidR="007D76BB" w:rsidRDefault="00D70D28">
      <w:pPr>
        <w:pStyle w:val="ListParagraph"/>
        <w:numPr>
          <w:ilvl w:val="0"/>
          <w:numId w:val="10"/>
        </w:numPr>
        <w:tabs>
          <w:tab w:val="left" w:pos="766"/>
        </w:tabs>
        <w:spacing w:before="80" w:line="266" w:lineRule="auto"/>
        <w:ind w:right="993"/>
        <w:rPr>
          <w:rFonts w:ascii="Arial" w:hAnsi="Arial"/>
          <w:sz w:val="19"/>
        </w:rPr>
      </w:pPr>
      <w:r>
        <w:rPr>
          <w:rFonts w:ascii="Arial" w:hAnsi="Arial"/>
          <w:w w:val="105"/>
          <w:sz w:val="19"/>
        </w:rPr>
        <w:t>determined</w:t>
      </w:r>
      <w:r>
        <w:rPr>
          <w:rFonts w:ascii="Arial" w:hAnsi="Arial"/>
          <w:spacing w:val="-26"/>
          <w:w w:val="105"/>
          <w:sz w:val="19"/>
        </w:rPr>
        <w:t xml:space="preserve"> </w:t>
      </w:r>
      <w:r>
        <w:rPr>
          <w:rFonts w:ascii="Arial" w:hAnsi="Arial"/>
          <w:w w:val="105"/>
          <w:sz w:val="19"/>
        </w:rPr>
        <w:t>the</w:t>
      </w:r>
      <w:r>
        <w:rPr>
          <w:rFonts w:ascii="Arial" w:hAnsi="Arial"/>
          <w:spacing w:val="-23"/>
          <w:w w:val="105"/>
          <w:sz w:val="19"/>
        </w:rPr>
        <w:t xml:space="preserve"> </w:t>
      </w:r>
      <w:r>
        <w:rPr>
          <w:rFonts w:ascii="Arial" w:hAnsi="Arial"/>
          <w:w w:val="105"/>
          <w:sz w:val="19"/>
        </w:rPr>
        <w:t>impact</w:t>
      </w:r>
      <w:r>
        <w:rPr>
          <w:rFonts w:ascii="Arial" w:hAnsi="Arial"/>
          <w:spacing w:val="-24"/>
          <w:w w:val="105"/>
          <w:sz w:val="19"/>
        </w:rPr>
        <w:t xml:space="preserve"> </w:t>
      </w:r>
      <w:r>
        <w:rPr>
          <w:rFonts w:ascii="Arial" w:hAnsi="Arial"/>
          <w:w w:val="105"/>
          <w:sz w:val="19"/>
        </w:rPr>
        <w:t>of</w:t>
      </w:r>
      <w:r>
        <w:rPr>
          <w:rFonts w:ascii="Arial" w:hAnsi="Arial"/>
          <w:spacing w:val="-25"/>
          <w:w w:val="105"/>
          <w:sz w:val="19"/>
        </w:rPr>
        <w:t xml:space="preserve"> </w:t>
      </w:r>
      <w:r>
        <w:rPr>
          <w:rFonts w:ascii="Arial" w:hAnsi="Arial"/>
          <w:w w:val="105"/>
          <w:sz w:val="19"/>
        </w:rPr>
        <w:t>the</w:t>
      </w:r>
      <w:r>
        <w:rPr>
          <w:rFonts w:ascii="Arial" w:hAnsi="Arial"/>
          <w:spacing w:val="-23"/>
          <w:w w:val="105"/>
          <w:sz w:val="19"/>
        </w:rPr>
        <w:t xml:space="preserve"> </w:t>
      </w:r>
      <w:r>
        <w:rPr>
          <w:rFonts w:ascii="Arial" w:hAnsi="Arial"/>
          <w:w w:val="105"/>
          <w:sz w:val="19"/>
        </w:rPr>
        <w:t>proposed</w:t>
      </w:r>
      <w:r>
        <w:rPr>
          <w:rFonts w:ascii="Arial" w:hAnsi="Arial"/>
          <w:spacing w:val="-25"/>
          <w:w w:val="105"/>
          <w:sz w:val="19"/>
        </w:rPr>
        <w:t xml:space="preserve"> </w:t>
      </w:r>
      <w:r>
        <w:rPr>
          <w:rFonts w:ascii="Arial" w:hAnsi="Arial"/>
          <w:w w:val="105"/>
          <w:sz w:val="19"/>
        </w:rPr>
        <w:t>transition</w:t>
      </w:r>
      <w:r>
        <w:rPr>
          <w:rFonts w:ascii="Arial" w:hAnsi="Arial"/>
          <w:spacing w:val="-25"/>
          <w:w w:val="105"/>
          <w:sz w:val="19"/>
        </w:rPr>
        <w:t xml:space="preserve"> </w:t>
      </w:r>
      <w:r>
        <w:rPr>
          <w:rFonts w:ascii="Arial" w:hAnsi="Arial"/>
          <w:w w:val="105"/>
          <w:sz w:val="19"/>
        </w:rPr>
        <w:t>period</w:t>
      </w:r>
      <w:r>
        <w:rPr>
          <w:rFonts w:ascii="Arial" w:hAnsi="Arial"/>
          <w:spacing w:val="-25"/>
          <w:w w:val="105"/>
          <w:sz w:val="19"/>
        </w:rPr>
        <w:t xml:space="preserve"> </w:t>
      </w:r>
      <w:r>
        <w:rPr>
          <w:rFonts w:ascii="Arial" w:hAnsi="Arial"/>
          <w:w w:val="105"/>
          <w:sz w:val="19"/>
        </w:rPr>
        <w:t>and</w:t>
      </w:r>
      <w:r>
        <w:rPr>
          <w:rFonts w:ascii="Arial" w:hAnsi="Arial"/>
          <w:spacing w:val="-23"/>
          <w:w w:val="105"/>
          <w:sz w:val="19"/>
        </w:rPr>
        <w:t xml:space="preserve"> </w:t>
      </w:r>
      <w:r>
        <w:rPr>
          <w:rFonts w:ascii="Arial" w:hAnsi="Arial"/>
          <w:w w:val="105"/>
          <w:sz w:val="19"/>
        </w:rPr>
        <w:t>assessed</w:t>
      </w:r>
      <w:r>
        <w:rPr>
          <w:rFonts w:ascii="Arial" w:hAnsi="Arial"/>
          <w:spacing w:val="-26"/>
          <w:w w:val="105"/>
          <w:sz w:val="19"/>
        </w:rPr>
        <w:t xml:space="preserve"> </w:t>
      </w:r>
      <w:r>
        <w:rPr>
          <w:rFonts w:ascii="Arial" w:hAnsi="Arial"/>
          <w:w w:val="105"/>
          <w:sz w:val="19"/>
        </w:rPr>
        <w:t>how</w:t>
      </w:r>
      <w:r>
        <w:rPr>
          <w:rFonts w:ascii="Arial" w:hAnsi="Arial"/>
          <w:spacing w:val="-26"/>
          <w:w w:val="105"/>
          <w:sz w:val="19"/>
        </w:rPr>
        <w:t xml:space="preserve"> </w:t>
      </w:r>
      <w:r>
        <w:rPr>
          <w:rFonts w:ascii="Arial" w:hAnsi="Arial"/>
          <w:w w:val="105"/>
          <w:sz w:val="19"/>
        </w:rPr>
        <w:t>this</w:t>
      </w:r>
      <w:r>
        <w:rPr>
          <w:rFonts w:ascii="Arial" w:hAnsi="Arial"/>
          <w:spacing w:val="-25"/>
          <w:w w:val="105"/>
          <w:sz w:val="19"/>
        </w:rPr>
        <w:t xml:space="preserve"> </w:t>
      </w:r>
      <w:r>
        <w:rPr>
          <w:rFonts w:ascii="Arial" w:hAnsi="Arial"/>
          <w:w w:val="105"/>
          <w:sz w:val="19"/>
        </w:rPr>
        <w:t>aligns</w:t>
      </w:r>
      <w:r>
        <w:rPr>
          <w:rFonts w:ascii="Arial" w:hAnsi="Arial"/>
          <w:spacing w:val="-25"/>
          <w:w w:val="105"/>
          <w:sz w:val="19"/>
        </w:rPr>
        <w:t xml:space="preserve"> </w:t>
      </w:r>
      <w:r>
        <w:rPr>
          <w:rFonts w:ascii="Arial" w:hAnsi="Arial"/>
          <w:w w:val="105"/>
          <w:sz w:val="19"/>
        </w:rPr>
        <w:t>to</w:t>
      </w:r>
      <w:r>
        <w:rPr>
          <w:rFonts w:ascii="Arial" w:hAnsi="Arial"/>
          <w:spacing w:val="-24"/>
          <w:w w:val="105"/>
          <w:sz w:val="19"/>
        </w:rPr>
        <w:t xml:space="preserve"> </w:t>
      </w:r>
      <w:r>
        <w:rPr>
          <w:rFonts w:ascii="Arial" w:hAnsi="Arial"/>
          <w:w w:val="105"/>
          <w:sz w:val="19"/>
        </w:rPr>
        <w:t>normal business</w:t>
      </w:r>
      <w:r>
        <w:rPr>
          <w:rFonts w:ascii="Arial" w:hAnsi="Arial"/>
          <w:spacing w:val="-18"/>
          <w:w w:val="105"/>
          <w:sz w:val="19"/>
        </w:rPr>
        <w:t xml:space="preserve"> </w:t>
      </w:r>
      <w:r>
        <w:rPr>
          <w:rFonts w:ascii="Arial" w:hAnsi="Arial"/>
          <w:w w:val="105"/>
          <w:sz w:val="19"/>
        </w:rPr>
        <w:t>product</w:t>
      </w:r>
      <w:r>
        <w:rPr>
          <w:rFonts w:ascii="Arial" w:hAnsi="Arial"/>
          <w:spacing w:val="-17"/>
          <w:w w:val="105"/>
          <w:sz w:val="19"/>
        </w:rPr>
        <w:t xml:space="preserve"> </w:t>
      </w:r>
      <w:r>
        <w:rPr>
          <w:rFonts w:ascii="Arial" w:hAnsi="Arial"/>
          <w:w w:val="105"/>
          <w:sz w:val="19"/>
        </w:rPr>
        <w:t>refresh</w:t>
      </w:r>
      <w:r>
        <w:rPr>
          <w:rFonts w:ascii="Arial" w:hAnsi="Arial"/>
          <w:spacing w:val="-19"/>
          <w:w w:val="105"/>
          <w:sz w:val="19"/>
        </w:rPr>
        <w:t xml:space="preserve"> </w:t>
      </w:r>
      <w:r>
        <w:rPr>
          <w:rFonts w:ascii="Arial" w:hAnsi="Arial"/>
          <w:w w:val="105"/>
          <w:sz w:val="19"/>
        </w:rPr>
        <w:t>cycles</w:t>
      </w:r>
      <w:r>
        <w:rPr>
          <w:rFonts w:ascii="Arial" w:hAnsi="Arial"/>
          <w:spacing w:val="-17"/>
          <w:w w:val="105"/>
          <w:sz w:val="19"/>
        </w:rPr>
        <w:t xml:space="preserve"> </w:t>
      </w:r>
      <w:r>
        <w:rPr>
          <w:rFonts w:ascii="Arial" w:hAnsi="Arial"/>
          <w:w w:val="105"/>
          <w:sz w:val="19"/>
        </w:rPr>
        <w:t>(e.g.</w:t>
      </w:r>
      <w:r>
        <w:rPr>
          <w:rFonts w:ascii="Arial" w:hAnsi="Arial"/>
          <w:spacing w:val="-19"/>
          <w:w w:val="105"/>
          <w:sz w:val="19"/>
        </w:rPr>
        <w:t xml:space="preserve"> </w:t>
      </w:r>
      <w:r>
        <w:rPr>
          <w:rFonts w:ascii="Arial" w:hAnsi="Arial"/>
          <w:w w:val="105"/>
          <w:sz w:val="19"/>
        </w:rPr>
        <w:t>how</w:t>
      </w:r>
      <w:r>
        <w:rPr>
          <w:rFonts w:ascii="Arial" w:hAnsi="Arial"/>
          <w:spacing w:val="-17"/>
          <w:w w:val="105"/>
          <w:sz w:val="19"/>
        </w:rPr>
        <w:t xml:space="preserve"> </w:t>
      </w:r>
      <w:r>
        <w:rPr>
          <w:rFonts w:ascii="Arial" w:hAnsi="Arial"/>
          <w:w w:val="105"/>
          <w:sz w:val="19"/>
        </w:rPr>
        <w:t>often</w:t>
      </w:r>
      <w:r>
        <w:rPr>
          <w:rFonts w:ascii="Arial" w:hAnsi="Arial"/>
          <w:spacing w:val="-18"/>
          <w:w w:val="105"/>
          <w:sz w:val="19"/>
        </w:rPr>
        <w:t xml:space="preserve"> </w:t>
      </w:r>
      <w:r>
        <w:rPr>
          <w:rFonts w:ascii="Arial" w:hAnsi="Arial"/>
          <w:w w:val="105"/>
          <w:sz w:val="19"/>
        </w:rPr>
        <w:t>product</w:t>
      </w:r>
      <w:r>
        <w:rPr>
          <w:rFonts w:ascii="Arial" w:hAnsi="Arial"/>
          <w:spacing w:val="-16"/>
          <w:w w:val="105"/>
          <w:sz w:val="19"/>
        </w:rPr>
        <w:t xml:space="preserve"> </w:t>
      </w:r>
      <w:r>
        <w:rPr>
          <w:rFonts w:ascii="Arial" w:hAnsi="Arial"/>
          <w:w w:val="105"/>
          <w:sz w:val="19"/>
        </w:rPr>
        <w:t>labels</w:t>
      </w:r>
      <w:r>
        <w:rPr>
          <w:rFonts w:ascii="Arial" w:hAnsi="Arial"/>
          <w:spacing w:val="-17"/>
          <w:w w:val="105"/>
          <w:sz w:val="19"/>
        </w:rPr>
        <w:t xml:space="preserve"> </w:t>
      </w:r>
      <w:r>
        <w:rPr>
          <w:rFonts w:ascii="Arial" w:hAnsi="Arial"/>
          <w:w w:val="105"/>
          <w:sz w:val="19"/>
        </w:rPr>
        <w:t>are</w:t>
      </w:r>
      <w:r>
        <w:rPr>
          <w:rFonts w:ascii="Arial" w:hAnsi="Arial"/>
          <w:spacing w:val="-18"/>
          <w:w w:val="105"/>
          <w:sz w:val="19"/>
        </w:rPr>
        <w:t xml:space="preserve"> </w:t>
      </w:r>
      <w:r>
        <w:rPr>
          <w:rFonts w:ascii="Arial" w:hAnsi="Arial"/>
          <w:w w:val="105"/>
          <w:sz w:val="19"/>
        </w:rPr>
        <w:t>redesigned/printed)</w:t>
      </w:r>
    </w:p>
    <w:p w:rsidR="007D76BB" w:rsidRDefault="00D70D28">
      <w:pPr>
        <w:pStyle w:val="ListParagraph"/>
        <w:numPr>
          <w:ilvl w:val="0"/>
          <w:numId w:val="10"/>
        </w:numPr>
        <w:tabs>
          <w:tab w:val="left" w:pos="766"/>
        </w:tabs>
        <w:spacing w:before="77" w:line="266" w:lineRule="auto"/>
        <w:ind w:right="1419"/>
        <w:rPr>
          <w:rFonts w:ascii="Arial" w:hAnsi="Arial"/>
          <w:sz w:val="19"/>
        </w:rPr>
      </w:pPr>
      <w:proofErr w:type="gramStart"/>
      <w:r>
        <w:rPr>
          <w:rFonts w:ascii="Arial" w:hAnsi="Arial"/>
          <w:w w:val="105"/>
          <w:sz w:val="19"/>
        </w:rPr>
        <w:t>determined</w:t>
      </w:r>
      <w:proofErr w:type="gramEnd"/>
      <w:r>
        <w:rPr>
          <w:rFonts w:ascii="Arial" w:hAnsi="Arial"/>
          <w:spacing w:val="-31"/>
          <w:w w:val="105"/>
          <w:sz w:val="19"/>
        </w:rPr>
        <w:t xml:space="preserve"> </w:t>
      </w:r>
      <w:r>
        <w:rPr>
          <w:rFonts w:ascii="Arial" w:hAnsi="Arial"/>
          <w:w w:val="105"/>
          <w:sz w:val="19"/>
        </w:rPr>
        <w:t>appropriate</w:t>
      </w:r>
      <w:r>
        <w:rPr>
          <w:rFonts w:ascii="Arial" w:hAnsi="Arial"/>
          <w:spacing w:val="-30"/>
          <w:w w:val="105"/>
          <w:sz w:val="19"/>
        </w:rPr>
        <w:t xml:space="preserve"> </w:t>
      </w:r>
      <w:proofErr w:type="spellStart"/>
      <w:r>
        <w:rPr>
          <w:rFonts w:ascii="Arial" w:hAnsi="Arial"/>
          <w:w w:val="105"/>
          <w:sz w:val="19"/>
        </w:rPr>
        <w:t>labour</w:t>
      </w:r>
      <w:proofErr w:type="spellEnd"/>
      <w:r>
        <w:rPr>
          <w:rFonts w:ascii="Arial" w:hAnsi="Arial"/>
          <w:spacing w:val="-29"/>
          <w:w w:val="105"/>
          <w:sz w:val="19"/>
        </w:rPr>
        <w:t xml:space="preserve"> </w:t>
      </w:r>
      <w:r>
        <w:rPr>
          <w:rFonts w:ascii="Arial" w:hAnsi="Arial"/>
          <w:w w:val="105"/>
          <w:sz w:val="19"/>
        </w:rPr>
        <w:t>costs</w:t>
      </w:r>
      <w:r>
        <w:rPr>
          <w:rFonts w:ascii="Arial" w:hAnsi="Arial"/>
          <w:spacing w:val="-30"/>
          <w:w w:val="105"/>
          <w:sz w:val="19"/>
        </w:rPr>
        <w:t xml:space="preserve"> </w:t>
      </w:r>
      <w:r>
        <w:rPr>
          <w:rFonts w:ascii="Arial" w:hAnsi="Arial"/>
          <w:w w:val="105"/>
          <w:sz w:val="19"/>
        </w:rPr>
        <w:t>using</w:t>
      </w:r>
      <w:r>
        <w:rPr>
          <w:rFonts w:ascii="Arial" w:hAnsi="Arial"/>
          <w:spacing w:val="-30"/>
          <w:w w:val="105"/>
          <w:sz w:val="19"/>
        </w:rPr>
        <w:t xml:space="preserve"> </w:t>
      </w:r>
      <w:r>
        <w:rPr>
          <w:rFonts w:ascii="Arial" w:hAnsi="Arial"/>
          <w:w w:val="105"/>
          <w:sz w:val="19"/>
        </w:rPr>
        <w:t>the</w:t>
      </w:r>
      <w:r>
        <w:rPr>
          <w:rFonts w:ascii="Arial" w:hAnsi="Arial"/>
          <w:spacing w:val="-30"/>
          <w:w w:val="105"/>
          <w:sz w:val="19"/>
        </w:rPr>
        <w:t xml:space="preserve"> </w:t>
      </w:r>
      <w:r>
        <w:rPr>
          <w:rFonts w:ascii="Arial" w:hAnsi="Arial"/>
          <w:w w:val="105"/>
          <w:sz w:val="19"/>
        </w:rPr>
        <w:t>Australian</w:t>
      </w:r>
      <w:r>
        <w:rPr>
          <w:rFonts w:ascii="Arial" w:hAnsi="Arial"/>
          <w:spacing w:val="-30"/>
          <w:w w:val="105"/>
          <w:sz w:val="19"/>
        </w:rPr>
        <w:t xml:space="preserve"> </w:t>
      </w:r>
      <w:r>
        <w:rPr>
          <w:rFonts w:ascii="Arial" w:hAnsi="Arial"/>
          <w:w w:val="105"/>
          <w:sz w:val="19"/>
        </w:rPr>
        <w:t>New</w:t>
      </w:r>
      <w:r>
        <w:rPr>
          <w:rFonts w:ascii="Arial" w:hAnsi="Arial"/>
          <w:spacing w:val="-31"/>
          <w:w w:val="105"/>
          <w:sz w:val="19"/>
        </w:rPr>
        <w:t xml:space="preserve"> </w:t>
      </w:r>
      <w:r>
        <w:rPr>
          <w:rFonts w:ascii="Arial" w:hAnsi="Arial"/>
          <w:w w:val="105"/>
          <w:sz w:val="19"/>
        </w:rPr>
        <w:t>Zealand</w:t>
      </w:r>
      <w:r>
        <w:rPr>
          <w:rFonts w:ascii="Arial" w:hAnsi="Arial"/>
          <w:spacing w:val="-30"/>
          <w:w w:val="105"/>
          <w:sz w:val="19"/>
        </w:rPr>
        <w:t xml:space="preserve"> </w:t>
      </w:r>
      <w:r>
        <w:rPr>
          <w:rFonts w:ascii="Arial" w:hAnsi="Arial"/>
          <w:w w:val="105"/>
          <w:sz w:val="19"/>
        </w:rPr>
        <w:t>Standard</w:t>
      </w:r>
      <w:r>
        <w:rPr>
          <w:rFonts w:ascii="Arial" w:hAnsi="Arial"/>
          <w:spacing w:val="-30"/>
          <w:w w:val="105"/>
          <w:sz w:val="19"/>
        </w:rPr>
        <w:t xml:space="preserve"> </w:t>
      </w:r>
      <w:r>
        <w:rPr>
          <w:rFonts w:ascii="Arial" w:hAnsi="Arial"/>
          <w:w w:val="105"/>
          <w:sz w:val="19"/>
        </w:rPr>
        <w:t>Industrial Classification (ANZSIC)</w:t>
      </w:r>
      <w:r>
        <w:rPr>
          <w:rFonts w:ascii="Arial" w:hAnsi="Arial"/>
          <w:spacing w:val="-24"/>
          <w:w w:val="105"/>
          <w:sz w:val="19"/>
        </w:rPr>
        <w:t xml:space="preserve"> </w:t>
      </w:r>
      <w:r>
        <w:rPr>
          <w:rFonts w:ascii="Arial" w:hAnsi="Arial"/>
          <w:w w:val="105"/>
          <w:sz w:val="19"/>
        </w:rPr>
        <w:t>groupings.</w:t>
      </w:r>
    </w:p>
    <w:p w:rsidR="007D76BB" w:rsidRDefault="00D70D28">
      <w:pPr>
        <w:spacing w:before="177" w:line="304" w:lineRule="auto"/>
        <w:ind w:left="482" w:right="1028"/>
        <w:rPr>
          <w:rFonts w:ascii="Arial" w:hAnsi="Arial"/>
          <w:sz w:val="19"/>
        </w:rPr>
      </w:pPr>
      <w:r>
        <w:rPr>
          <w:rFonts w:ascii="Arial" w:hAnsi="Arial"/>
          <w:w w:val="105"/>
          <w:sz w:val="19"/>
        </w:rPr>
        <w:t>The above activities were supported by various consultation activities with both industry and government</w:t>
      </w:r>
      <w:r>
        <w:rPr>
          <w:rFonts w:ascii="Arial" w:hAnsi="Arial"/>
          <w:spacing w:val="-25"/>
          <w:w w:val="105"/>
          <w:sz w:val="19"/>
        </w:rPr>
        <w:t xml:space="preserve"> </w:t>
      </w:r>
      <w:r>
        <w:rPr>
          <w:rFonts w:ascii="Arial" w:hAnsi="Arial"/>
          <w:w w:val="105"/>
          <w:sz w:val="19"/>
        </w:rPr>
        <w:t>representatives.</w:t>
      </w:r>
      <w:r>
        <w:rPr>
          <w:rFonts w:ascii="Arial" w:hAnsi="Arial"/>
          <w:spacing w:val="-23"/>
          <w:w w:val="105"/>
          <w:sz w:val="19"/>
        </w:rPr>
        <w:t xml:space="preserve"> </w:t>
      </w:r>
      <w:r>
        <w:rPr>
          <w:rFonts w:ascii="Arial" w:hAnsi="Arial"/>
          <w:w w:val="105"/>
          <w:sz w:val="19"/>
        </w:rPr>
        <w:t>These</w:t>
      </w:r>
      <w:r>
        <w:rPr>
          <w:rFonts w:ascii="Arial" w:hAnsi="Arial"/>
          <w:spacing w:val="-24"/>
          <w:w w:val="105"/>
          <w:sz w:val="19"/>
        </w:rPr>
        <w:t xml:space="preserve"> </w:t>
      </w:r>
      <w:r>
        <w:rPr>
          <w:rFonts w:ascii="Arial" w:hAnsi="Arial"/>
          <w:w w:val="105"/>
          <w:sz w:val="19"/>
        </w:rPr>
        <w:t>activities</w:t>
      </w:r>
      <w:r>
        <w:rPr>
          <w:rFonts w:ascii="Arial" w:hAnsi="Arial"/>
          <w:spacing w:val="-26"/>
          <w:w w:val="105"/>
          <w:sz w:val="19"/>
        </w:rPr>
        <w:t xml:space="preserve"> </w:t>
      </w:r>
      <w:r>
        <w:rPr>
          <w:rFonts w:ascii="Arial" w:hAnsi="Arial"/>
          <w:w w:val="105"/>
          <w:sz w:val="19"/>
        </w:rPr>
        <w:t>were</w:t>
      </w:r>
      <w:r>
        <w:rPr>
          <w:rFonts w:ascii="Arial" w:hAnsi="Arial"/>
          <w:spacing w:val="-26"/>
          <w:w w:val="105"/>
          <w:sz w:val="19"/>
        </w:rPr>
        <w:t xml:space="preserve"> </w:t>
      </w:r>
      <w:r>
        <w:rPr>
          <w:rFonts w:ascii="Arial" w:hAnsi="Arial"/>
          <w:w w:val="105"/>
          <w:sz w:val="19"/>
        </w:rPr>
        <w:t>undertaken</w:t>
      </w:r>
      <w:r>
        <w:rPr>
          <w:rFonts w:ascii="Arial" w:hAnsi="Arial"/>
          <w:spacing w:val="-24"/>
          <w:w w:val="105"/>
          <w:sz w:val="19"/>
        </w:rPr>
        <w:t xml:space="preserve"> </w:t>
      </w:r>
      <w:r>
        <w:rPr>
          <w:rFonts w:ascii="Arial" w:hAnsi="Arial"/>
          <w:w w:val="105"/>
          <w:sz w:val="19"/>
        </w:rPr>
        <w:t>to</w:t>
      </w:r>
      <w:r>
        <w:rPr>
          <w:rFonts w:ascii="Arial" w:hAnsi="Arial"/>
          <w:spacing w:val="-26"/>
          <w:w w:val="105"/>
          <w:sz w:val="19"/>
        </w:rPr>
        <w:t xml:space="preserve"> </w:t>
      </w:r>
      <w:r>
        <w:rPr>
          <w:rFonts w:ascii="Arial" w:hAnsi="Arial"/>
          <w:w w:val="105"/>
          <w:sz w:val="19"/>
        </w:rPr>
        <w:t>gain</w:t>
      </w:r>
      <w:r>
        <w:rPr>
          <w:rFonts w:ascii="Arial" w:hAnsi="Arial"/>
          <w:spacing w:val="-24"/>
          <w:w w:val="105"/>
          <w:sz w:val="19"/>
        </w:rPr>
        <w:t xml:space="preserve"> </w:t>
      </w:r>
      <w:r>
        <w:rPr>
          <w:rFonts w:ascii="Arial" w:hAnsi="Arial"/>
          <w:w w:val="105"/>
          <w:sz w:val="19"/>
        </w:rPr>
        <w:t>further</w:t>
      </w:r>
      <w:r>
        <w:rPr>
          <w:rFonts w:ascii="Arial" w:hAnsi="Arial"/>
          <w:spacing w:val="-24"/>
          <w:w w:val="105"/>
          <w:sz w:val="19"/>
        </w:rPr>
        <w:t xml:space="preserve"> </w:t>
      </w:r>
      <w:r>
        <w:rPr>
          <w:rFonts w:ascii="Arial" w:hAnsi="Arial"/>
          <w:w w:val="105"/>
          <w:sz w:val="19"/>
        </w:rPr>
        <w:t>information,</w:t>
      </w:r>
      <w:r>
        <w:rPr>
          <w:rFonts w:ascii="Arial" w:hAnsi="Arial"/>
          <w:spacing w:val="-24"/>
          <w:w w:val="105"/>
          <w:sz w:val="19"/>
        </w:rPr>
        <w:t xml:space="preserve"> </w:t>
      </w:r>
      <w:r>
        <w:rPr>
          <w:rFonts w:ascii="Arial" w:hAnsi="Arial"/>
          <w:w w:val="105"/>
          <w:sz w:val="19"/>
        </w:rPr>
        <w:t xml:space="preserve">identify likely business response pathways and to test and validate some of </w:t>
      </w:r>
      <w:proofErr w:type="spellStart"/>
      <w:r>
        <w:rPr>
          <w:rFonts w:ascii="Arial" w:hAnsi="Arial"/>
          <w:w w:val="105"/>
          <w:sz w:val="19"/>
        </w:rPr>
        <w:t>Noetic’s</w:t>
      </w:r>
      <w:proofErr w:type="spellEnd"/>
      <w:r>
        <w:rPr>
          <w:rFonts w:ascii="Arial" w:hAnsi="Arial"/>
          <w:w w:val="105"/>
          <w:sz w:val="19"/>
        </w:rPr>
        <w:t xml:space="preserve"> assumptions. Key stakeholder engagement activities</w:t>
      </w:r>
      <w:r>
        <w:rPr>
          <w:rFonts w:ascii="Arial" w:hAnsi="Arial"/>
          <w:spacing w:val="-34"/>
          <w:w w:val="105"/>
          <w:sz w:val="19"/>
        </w:rPr>
        <w:t xml:space="preserve"> </w:t>
      </w:r>
      <w:r>
        <w:rPr>
          <w:rFonts w:ascii="Arial" w:hAnsi="Arial"/>
          <w:w w:val="105"/>
          <w:sz w:val="19"/>
        </w:rPr>
        <w:t>included:</w:t>
      </w:r>
    </w:p>
    <w:p w:rsidR="007D76BB" w:rsidRDefault="00D70D28">
      <w:pPr>
        <w:pStyle w:val="ListParagraph"/>
        <w:numPr>
          <w:ilvl w:val="0"/>
          <w:numId w:val="10"/>
        </w:numPr>
        <w:tabs>
          <w:tab w:val="left" w:pos="766"/>
        </w:tabs>
        <w:spacing w:before="196" w:line="264" w:lineRule="auto"/>
        <w:ind w:right="1220"/>
        <w:rPr>
          <w:rFonts w:ascii="Arial" w:hAnsi="Arial"/>
          <w:sz w:val="19"/>
        </w:rPr>
      </w:pPr>
      <w:r>
        <w:rPr>
          <w:rFonts w:ascii="Arial" w:hAnsi="Arial"/>
          <w:w w:val="105"/>
          <w:sz w:val="19"/>
        </w:rPr>
        <w:t>In</w:t>
      </w:r>
      <w:r>
        <w:rPr>
          <w:rFonts w:ascii="Arial" w:hAnsi="Arial"/>
          <w:spacing w:val="-26"/>
          <w:w w:val="105"/>
          <w:sz w:val="19"/>
        </w:rPr>
        <w:t xml:space="preserve"> </w:t>
      </w:r>
      <w:r>
        <w:rPr>
          <w:rFonts w:ascii="Arial" w:hAnsi="Arial"/>
          <w:w w:val="105"/>
          <w:sz w:val="19"/>
        </w:rPr>
        <w:t>October</w:t>
      </w:r>
      <w:r>
        <w:rPr>
          <w:rFonts w:ascii="Arial" w:hAnsi="Arial"/>
          <w:spacing w:val="-27"/>
          <w:w w:val="105"/>
          <w:sz w:val="19"/>
        </w:rPr>
        <w:t xml:space="preserve"> </w:t>
      </w:r>
      <w:r>
        <w:rPr>
          <w:rFonts w:ascii="Arial" w:hAnsi="Arial"/>
          <w:w w:val="105"/>
          <w:sz w:val="19"/>
        </w:rPr>
        <w:t>2019,</w:t>
      </w:r>
      <w:r>
        <w:rPr>
          <w:rFonts w:ascii="Arial" w:hAnsi="Arial"/>
          <w:spacing w:val="-28"/>
          <w:w w:val="105"/>
          <w:sz w:val="19"/>
        </w:rPr>
        <w:t xml:space="preserve"> </w:t>
      </w:r>
      <w:r>
        <w:rPr>
          <w:rFonts w:ascii="Arial" w:hAnsi="Arial"/>
          <w:w w:val="105"/>
          <w:sz w:val="19"/>
        </w:rPr>
        <w:t>the</w:t>
      </w:r>
      <w:r>
        <w:rPr>
          <w:rFonts w:ascii="Arial" w:hAnsi="Arial"/>
          <w:spacing w:val="-28"/>
          <w:w w:val="105"/>
          <w:sz w:val="19"/>
        </w:rPr>
        <w:t xml:space="preserve"> </w:t>
      </w:r>
      <w:r>
        <w:rPr>
          <w:rFonts w:ascii="Arial" w:hAnsi="Arial"/>
          <w:w w:val="105"/>
          <w:sz w:val="19"/>
        </w:rPr>
        <w:t>Department</w:t>
      </w:r>
      <w:r>
        <w:rPr>
          <w:rFonts w:ascii="Arial" w:hAnsi="Arial"/>
          <w:spacing w:val="-27"/>
          <w:w w:val="105"/>
          <w:sz w:val="19"/>
        </w:rPr>
        <w:t xml:space="preserve"> </w:t>
      </w:r>
      <w:r>
        <w:rPr>
          <w:rFonts w:ascii="Arial" w:hAnsi="Arial"/>
          <w:w w:val="105"/>
          <w:sz w:val="19"/>
        </w:rPr>
        <w:t>released</w:t>
      </w:r>
      <w:r>
        <w:rPr>
          <w:rFonts w:ascii="Arial" w:hAnsi="Arial"/>
          <w:spacing w:val="-28"/>
          <w:w w:val="105"/>
          <w:sz w:val="19"/>
        </w:rPr>
        <w:t xml:space="preserve"> </w:t>
      </w:r>
      <w:r>
        <w:rPr>
          <w:rFonts w:ascii="Arial" w:hAnsi="Arial"/>
          <w:w w:val="105"/>
          <w:sz w:val="19"/>
        </w:rPr>
        <w:t>a</w:t>
      </w:r>
      <w:r>
        <w:rPr>
          <w:rFonts w:ascii="Arial" w:hAnsi="Arial"/>
          <w:spacing w:val="-28"/>
          <w:w w:val="105"/>
          <w:sz w:val="19"/>
        </w:rPr>
        <w:t xml:space="preserve"> </w:t>
      </w:r>
      <w:r>
        <w:rPr>
          <w:rFonts w:ascii="Arial" w:hAnsi="Arial"/>
          <w:w w:val="105"/>
          <w:sz w:val="19"/>
        </w:rPr>
        <w:t>public</w:t>
      </w:r>
      <w:r>
        <w:rPr>
          <w:rFonts w:ascii="Arial" w:hAnsi="Arial"/>
          <w:spacing w:val="-27"/>
          <w:w w:val="105"/>
          <w:sz w:val="19"/>
        </w:rPr>
        <w:t xml:space="preserve"> </w:t>
      </w:r>
      <w:r>
        <w:rPr>
          <w:rFonts w:ascii="Arial" w:hAnsi="Arial"/>
          <w:w w:val="105"/>
          <w:sz w:val="19"/>
        </w:rPr>
        <w:t>consultation</w:t>
      </w:r>
      <w:r>
        <w:rPr>
          <w:rFonts w:ascii="Arial" w:hAnsi="Arial"/>
          <w:spacing w:val="-28"/>
          <w:w w:val="105"/>
          <w:sz w:val="19"/>
        </w:rPr>
        <w:t xml:space="preserve"> </w:t>
      </w:r>
      <w:r>
        <w:rPr>
          <w:rFonts w:ascii="Arial" w:hAnsi="Arial"/>
          <w:w w:val="105"/>
          <w:sz w:val="19"/>
        </w:rPr>
        <w:t>paper</w:t>
      </w:r>
      <w:r>
        <w:rPr>
          <w:rFonts w:ascii="Arial" w:hAnsi="Arial"/>
          <w:spacing w:val="-26"/>
          <w:w w:val="105"/>
          <w:sz w:val="19"/>
        </w:rPr>
        <w:t xml:space="preserve"> </w:t>
      </w:r>
      <w:r>
        <w:rPr>
          <w:rFonts w:ascii="Arial" w:hAnsi="Arial"/>
          <w:w w:val="105"/>
          <w:sz w:val="19"/>
        </w:rPr>
        <w:t>outlining</w:t>
      </w:r>
      <w:r>
        <w:rPr>
          <w:rFonts w:ascii="Arial" w:hAnsi="Arial"/>
          <w:spacing w:val="-28"/>
          <w:w w:val="105"/>
          <w:sz w:val="19"/>
        </w:rPr>
        <w:t xml:space="preserve"> </w:t>
      </w:r>
      <w:r>
        <w:rPr>
          <w:rFonts w:ascii="Arial" w:hAnsi="Arial"/>
          <w:w w:val="105"/>
          <w:sz w:val="19"/>
        </w:rPr>
        <w:t>the</w:t>
      </w:r>
      <w:r>
        <w:rPr>
          <w:rFonts w:ascii="Arial" w:hAnsi="Arial"/>
          <w:spacing w:val="-28"/>
          <w:w w:val="105"/>
          <w:sz w:val="19"/>
        </w:rPr>
        <w:t xml:space="preserve"> </w:t>
      </w:r>
      <w:r>
        <w:rPr>
          <w:rFonts w:ascii="Arial" w:hAnsi="Arial"/>
          <w:w w:val="105"/>
          <w:sz w:val="19"/>
        </w:rPr>
        <w:t>proposed regulatory clarification and Noetic reviewed key submissions provided to Noetic by the Department.</w:t>
      </w:r>
    </w:p>
    <w:p w:rsidR="007D76BB" w:rsidRDefault="00D70D28">
      <w:pPr>
        <w:pStyle w:val="ListParagraph"/>
        <w:numPr>
          <w:ilvl w:val="0"/>
          <w:numId w:val="10"/>
        </w:numPr>
        <w:tabs>
          <w:tab w:val="left" w:pos="766"/>
        </w:tabs>
        <w:spacing w:before="81" w:line="266" w:lineRule="auto"/>
        <w:ind w:right="1064"/>
        <w:rPr>
          <w:rFonts w:ascii="Arial" w:hAnsi="Arial"/>
          <w:sz w:val="19"/>
        </w:rPr>
      </w:pPr>
      <w:r>
        <w:rPr>
          <w:rFonts w:ascii="Arial" w:hAnsi="Arial"/>
          <w:w w:val="105"/>
          <w:sz w:val="19"/>
        </w:rPr>
        <w:t>Noetic</w:t>
      </w:r>
      <w:r>
        <w:rPr>
          <w:rFonts w:ascii="Arial" w:hAnsi="Arial"/>
          <w:spacing w:val="-24"/>
          <w:w w:val="105"/>
          <w:sz w:val="19"/>
        </w:rPr>
        <w:t xml:space="preserve"> </w:t>
      </w:r>
      <w:r>
        <w:rPr>
          <w:rFonts w:ascii="Arial" w:hAnsi="Arial"/>
          <w:w w:val="105"/>
          <w:sz w:val="19"/>
        </w:rPr>
        <w:t>facilitated</w:t>
      </w:r>
      <w:r>
        <w:rPr>
          <w:rFonts w:ascii="Arial" w:hAnsi="Arial"/>
          <w:spacing w:val="-24"/>
          <w:w w:val="105"/>
          <w:sz w:val="19"/>
        </w:rPr>
        <w:t xml:space="preserve"> </w:t>
      </w:r>
      <w:r>
        <w:rPr>
          <w:rFonts w:ascii="Arial" w:hAnsi="Arial"/>
          <w:w w:val="105"/>
          <w:sz w:val="19"/>
        </w:rPr>
        <w:t>(with</w:t>
      </w:r>
      <w:r>
        <w:rPr>
          <w:rFonts w:ascii="Arial" w:hAnsi="Arial"/>
          <w:spacing w:val="-25"/>
          <w:w w:val="105"/>
          <w:sz w:val="19"/>
        </w:rPr>
        <w:t xml:space="preserve"> </w:t>
      </w:r>
      <w:r>
        <w:rPr>
          <w:rFonts w:ascii="Arial" w:hAnsi="Arial"/>
          <w:w w:val="105"/>
          <w:sz w:val="19"/>
        </w:rPr>
        <w:t>the</w:t>
      </w:r>
      <w:r>
        <w:rPr>
          <w:rFonts w:ascii="Arial" w:hAnsi="Arial"/>
          <w:spacing w:val="-23"/>
          <w:w w:val="105"/>
          <w:sz w:val="19"/>
        </w:rPr>
        <w:t xml:space="preserve"> </w:t>
      </w:r>
      <w:r>
        <w:rPr>
          <w:rFonts w:ascii="Arial" w:hAnsi="Arial"/>
          <w:w w:val="105"/>
          <w:sz w:val="19"/>
        </w:rPr>
        <w:t>Department</w:t>
      </w:r>
      <w:r>
        <w:rPr>
          <w:rFonts w:ascii="Arial" w:hAnsi="Arial"/>
          <w:spacing w:val="-24"/>
          <w:w w:val="105"/>
          <w:sz w:val="19"/>
        </w:rPr>
        <w:t xml:space="preserve"> </w:t>
      </w:r>
      <w:r>
        <w:rPr>
          <w:rFonts w:ascii="Arial" w:hAnsi="Arial"/>
          <w:w w:val="105"/>
          <w:sz w:val="19"/>
        </w:rPr>
        <w:t>attending)</w:t>
      </w:r>
      <w:r>
        <w:rPr>
          <w:rFonts w:ascii="Arial" w:hAnsi="Arial"/>
          <w:spacing w:val="-25"/>
          <w:w w:val="105"/>
          <w:sz w:val="19"/>
        </w:rPr>
        <w:t xml:space="preserve"> </w:t>
      </w:r>
      <w:r>
        <w:rPr>
          <w:rFonts w:ascii="Arial" w:hAnsi="Arial"/>
          <w:w w:val="105"/>
          <w:sz w:val="19"/>
        </w:rPr>
        <w:t>two</w:t>
      </w:r>
      <w:r>
        <w:rPr>
          <w:rFonts w:ascii="Arial" w:hAnsi="Arial"/>
          <w:spacing w:val="-24"/>
          <w:w w:val="105"/>
          <w:sz w:val="19"/>
        </w:rPr>
        <w:t xml:space="preserve"> </w:t>
      </w:r>
      <w:r>
        <w:rPr>
          <w:rFonts w:ascii="Arial" w:hAnsi="Arial"/>
          <w:w w:val="105"/>
          <w:sz w:val="19"/>
        </w:rPr>
        <w:t>½</w:t>
      </w:r>
      <w:r>
        <w:rPr>
          <w:rFonts w:ascii="Arial" w:hAnsi="Arial"/>
          <w:spacing w:val="-27"/>
          <w:w w:val="105"/>
          <w:sz w:val="19"/>
        </w:rPr>
        <w:t xml:space="preserve"> </w:t>
      </w:r>
      <w:r>
        <w:rPr>
          <w:rFonts w:ascii="Arial" w:hAnsi="Arial"/>
          <w:w w:val="105"/>
          <w:sz w:val="19"/>
        </w:rPr>
        <w:t>day</w:t>
      </w:r>
      <w:r>
        <w:rPr>
          <w:rFonts w:ascii="Arial" w:hAnsi="Arial"/>
          <w:spacing w:val="-25"/>
          <w:w w:val="105"/>
          <w:sz w:val="19"/>
        </w:rPr>
        <w:t xml:space="preserve"> </w:t>
      </w:r>
      <w:r>
        <w:rPr>
          <w:rFonts w:ascii="Arial" w:hAnsi="Arial"/>
          <w:w w:val="105"/>
          <w:sz w:val="19"/>
        </w:rPr>
        <w:t>stakeholder</w:t>
      </w:r>
      <w:r>
        <w:rPr>
          <w:rFonts w:ascii="Arial" w:hAnsi="Arial"/>
          <w:spacing w:val="-26"/>
          <w:w w:val="105"/>
          <w:sz w:val="19"/>
        </w:rPr>
        <w:t xml:space="preserve"> </w:t>
      </w:r>
      <w:r>
        <w:rPr>
          <w:rFonts w:ascii="Arial" w:hAnsi="Arial"/>
          <w:w w:val="105"/>
          <w:sz w:val="19"/>
        </w:rPr>
        <w:t>workshops</w:t>
      </w:r>
      <w:r>
        <w:rPr>
          <w:rFonts w:ascii="Arial" w:hAnsi="Arial"/>
          <w:spacing w:val="-24"/>
          <w:w w:val="105"/>
          <w:sz w:val="19"/>
        </w:rPr>
        <w:t xml:space="preserve"> </w:t>
      </w:r>
      <w:r>
        <w:rPr>
          <w:rFonts w:ascii="Arial" w:hAnsi="Arial"/>
          <w:w w:val="105"/>
          <w:sz w:val="19"/>
        </w:rPr>
        <w:t>in</w:t>
      </w:r>
      <w:r>
        <w:rPr>
          <w:rFonts w:ascii="Arial" w:hAnsi="Arial"/>
          <w:spacing w:val="-24"/>
          <w:w w:val="105"/>
          <w:sz w:val="19"/>
        </w:rPr>
        <w:t xml:space="preserve"> </w:t>
      </w:r>
      <w:r>
        <w:rPr>
          <w:rFonts w:ascii="Arial" w:hAnsi="Arial"/>
          <w:w w:val="105"/>
          <w:sz w:val="19"/>
        </w:rPr>
        <w:t>Sydney and</w:t>
      </w:r>
      <w:r>
        <w:rPr>
          <w:rFonts w:ascii="Arial" w:hAnsi="Arial"/>
          <w:spacing w:val="-13"/>
          <w:w w:val="105"/>
          <w:sz w:val="19"/>
        </w:rPr>
        <w:t xml:space="preserve"> </w:t>
      </w:r>
      <w:r>
        <w:rPr>
          <w:rFonts w:ascii="Arial" w:hAnsi="Arial"/>
          <w:w w:val="105"/>
          <w:sz w:val="19"/>
        </w:rPr>
        <w:t>Melbourne</w:t>
      </w:r>
      <w:r>
        <w:rPr>
          <w:rFonts w:ascii="Arial" w:hAnsi="Arial"/>
          <w:spacing w:val="-10"/>
          <w:w w:val="105"/>
          <w:sz w:val="19"/>
        </w:rPr>
        <w:t xml:space="preserve"> </w:t>
      </w:r>
      <w:r>
        <w:rPr>
          <w:rFonts w:ascii="Arial" w:hAnsi="Arial"/>
          <w:w w:val="105"/>
          <w:sz w:val="19"/>
        </w:rPr>
        <w:t>in</w:t>
      </w:r>
      <w:r>
        <w:rPr>
          <w:rFonts w:ascii="Arial" w:hAnsi="Arial"/>
          <w:spacing w:val="-12"/>
          <w:w w:val="105"/>
          <w:sz w:val="19"/>
        </w:rPr>
        <w:t xml:space="preserve"> </w:t>
      </w:r>
      <w:r>
        <w:rPr>
          <w:rFonts w:ascii="Arial" w:hAnsi="Arial"/>
          <w:w w:val="105"/>
          <w:sz w:val="19"/>
        </w:rPr>
        <w:t>February</w:t>
      </w:r>
      <w:r>
        <w:rPr>
          <w:rFonts w:ascii="Arial" w:hAnsi="Arial"/>
          <w:spacing w:val="-13"/>
          <w:w w:val="105"/>
          <w:sz w:val="19"/>
        </w:rPr>
        <w:t xml:space="preserve"> </w:t>
      </w:r>
      <w:r>
        <w:rPr>
          <w:rFonts w:ascii="Arial" w:hAnsi="Arial"/>
          <w:w w:val="105"/>
          <w:sz w:val="19"/>
        </w:rPr>
        <w:t>2020.</w:t>
      </w:r>
    </w:p>
    <w:p w:rsidR="007D76BB" w:rsidRDefault="00D70D28">
      <w:pPr>
        <w:pStyle w:val="ListParagraph"/>
        <w:numPr>
          <w:ilvl w:val="0"/>
          <w:numId w:val="10"/>
        </w:numPr>
        <w:tabs>
          <w:tab w:val="left" w:pos="766"/>
        </w:tabs>
        <w:spacing w:before="74" w:line="266" w:lineRule="auto"/>
        <w:ind w:right="1049"/>
        <w:rPr>
          <w:rFonts w:ascii="Arial" w:hAnsi="Arial"/>
          <w:sz w:val="19"/>
        </w:rPr>
      </w:pPr>
      <w:r>
        <w:rPr>
          <w:rFonts w:ascii="Arial" w:hAnsi="Arial"/>
          <w:w w:val="105"/>
          <w:sz w:val="19"/>
        </w:rPr>
        <w:t>Noetic</w:t>
      </w:r>
      <w:r>
        <w:rPr>
          <w:rFonts w:ascii="Arial" w:hAnsi="Arial"/>
          <w:spacing w:val="-25"/>
          <w:w w:val="105"/>
          <w:sz w:val="19"/>
        </w:rPr>
        <w:t xml:space="preserve"> </w:t>
      </w:r>
      <w:r>
        <w:rPr>
          <w:rFonts w:ascii="Arial" w:hAnsi="Arial"/>
          <w:w w:val="105"/>
          <w:sz w:val="19"/>
        </w:rPr>
        <w:t>conducted</w:t>
      </w:r>
      <w:r>
        <w:rPr>
          <w:rFonts w:ascii="Arial" w:hAnsi="Arial"/>
          <w:spacing w:val="-25"/>
          <w:w w:val="105"/>
          <w:sz w:val="19"/>
        </w:rPr>
        <w:t xml:space="preserve"> </w:t>
      </w:r>
      <w:r>
        <w:rPr>
          <w:rFonts w:ascii="Arial" w:hAnsi="Arial"/>
          <w:w w:val="105"/>
          <w:sz w:val="19"/>
        </w:rPr>
        <w:t>a</w:t>
      </w:r>
      <w:r>
        <w:rPr>
          <w:rFonts w:ascii="Arial" w:hAnsi="Arial"/>
          <w:spacing w:val="-25"/>
          <w:w w:val="105"/>
          <w:sz w:val="19"/>
        </w:rPr>
        <w:t xml:space="preserve"> </w:t>
      </w:r>
      <w:r>
        <w:rPr>
          <w:rFonts w:ascii="Arial" w:hAnsi="Arial"/>
          <w:w w:val="105"/>
          <w:sz w:val="19"/>
        </w:rPr>
        <w:t>series</w:t>
      </w:r>
      <w:r>
        <w:rPr>
          <w:rFonts w:ascii="Arial" w:hAnsi="Arial"/>
          <w:spacing w:val="-24"/>
          <w:w w:val="105"/>
          <w:sz w:val="19"/>
        </w:rPr>
        <w:t xml:space="preserve"> </w:t>
      </w:r>
      <w:r>
        <w:rPr>
          <w:rFonts w:ascii="Arial" w:hAnsi="Arial"/>
          <w:w w:val="105"/>
          <w:sz w:val="19"/>
        </w:rPr>
        <w:t>of</w:t>
      </w:r>
      <w:r>
        <w:rPr>
          <w:rFonts w:ascii="Arial" w:hAnsi="Arial"/>
          <w:spacing w:val="-26"/>
          <w:w w:val="105"/>
          <w:sz w:val="19"/>
        </w:rPr>
        <w:t xml:space="preserve"> </w:t>
      </w:r>
      <w:r>
        <w:rPr>
          <w:rFonts w:ascii="Arial" w:hAnsi="Arial"/>
          <w:w w:val="105"/>
          <w:sz w:val="19"/>
        </w:rPr>
        <w:t>stakeholder</w:t>
      </w:r>
      <w:r>
        <w:rPr>
          <w:rFonts w:ascii="Arial" w:hAnsi="Arial"/>
          <w:spacing w:val="-23"/>
          <w:w w:val="105"/>
          <w:sz w:val="19"/>
        </w:rPr>
        <w:t xml:space="preserve"> </w:t>
      </w:r>
      <w:r>
        <w:rPr>
          <w:rFonts w:ascii="Arial" w:hAnsi="Arial"/>
          <w:w w:val="105"/>
          <w:sz w:val="19"/>
        </w:rPr>
        <w:t>interviews</w:t>
      </w:r>
      <w:r>
        <w:rPr>
          <w:rFonts w:ascii="Arial" w:hAnsi="Arial"/>
          <w:spacing w:val="-26"/>
          <w:w w:val="105"/>
          <w:sz w:val="19"/>
        </w:rPr>
        <w:t xml:space="preserve"> </w:t>
      </w:r>
      <w:r>
        <w:rPr>
          <w:rFonts w:ascii="Arial" w:hAnsi="Arial"/>
          <w:w w:val="105"/>
          <w:sz w:val="19"/>
        </w:rPr>
        <w:t>with</w:t>
      </w:r>
      <w:r>
        <w:rPr>
          <w:rFonts w:ascii="Arial" w:hAnsi="Arial"/>
          <w:spacing w:val="-24"/>
          <w:w w:val="105"/>
          <w:sz w:val="19"/>
        </w:rPr>
        <w:t xml:space="preserve"> </w:t>
      </w:r>
      <w:r>
        <w:rPr>
          <w:rFonts w:ascii="Arial" w:hAnsi="Arial"/>
          <w:w w:val="105"/>
          <w:sz w:val="19"/>
        </w:rPr>
        <w:t>manufacturers,</w:t>
      </w:r>
      <w:r>
        <w:rPr>
          <w:rFonts w:ascii="Arial" w:hAnsi="Arial"/>
          <w:spacing w:val="-26"/>
          <w:w w:val="105"/>
          <w:sz w:val="19"/>
        </w:rPr>
        <w:t xml:space="preserve"> </w:t>
      </w:r>
      <w:r>
        <w:rPr>
          <w:rFonts w:ascii="Arial" w:hAnsi="Arial"/>
          <w:w w:val="105"/>
          <w:sz w:val="19"/>
        </w:rPr>
        <w:t>retailers</w:t>
      </w:r>
      <w:r>
        <w:rPr>
          <w:rFonts w:ascii="Arial" w:hAnsi="Arial"/>
          <w:spacing w:val="-24"/>
          <w:w w:val="105"/>
          <w:sz w:val="19"/>
        </w:rPr>
        <w:t xml:space="preserve"> </w:t>
      </w:r>
      <w:r>
        <w:rPr>
          <w:rFonts w:ascii="Arial" w:hAnsi="Arial"/>
          <w:w w:val="105"/>
          <w:sz w:val="19"/>
        </w:rPr>
        <w:t>and</w:t>
      </w:r>
      <w:r>
        <w:rPr>
          <w:rFonts w:ascii="Arial" w:hAnsi="Arial"/>
          <w:spacing w:val="-26"/>
          <w:w w:val="105"/>
          <w:sz w:val="19"/>
        </w:rPr>
        <w:t xml:space="preserve"> </w:t>
      </w:r>
      <w:r>
        <w:rPr>
          <w:rFonts w:ascii="Arial" w:hAnsi="Arial"/>
          <w:w w:val="105"/>
          <w:sz w:val="19"/>
        </w:rPr>
        <w:t>industry associations</w:t>
      </w:r>
      <w:r>
        <w:rPr>
          <w:rFonts w:ascii="Arial" w:hAnsi="Arial"/>
          <w:spacing w:val="-27"/>
          <w:w w:val="105"/>
          <w:sz w:val="19"/>
        </w:rPr>
        <w:t xml:space="preserve"> </w:t>
      </w:r>
      <w:r>
        <w:rPr>
          <w:rFonts w:ascii="Arial" w:hAnsi="Arial"/>
          <w:w w:val="105"/>
          <w:sz w:val="19"/>
        </w:rPr>
        <w:t>in</w:t>
      </w:r>
      <w:r>
        <w:rPr>
          <w:rFonts w:ascii="Arial" w:hAnsi="Arial"/>
          <w:spacing w:val="-26"/>
          <w:w w:val="105"/>
          <w:sz w:val="19"/>
        </w:rPr>
        <w:t xml:space="preserve"> </w:t>
      </w:r>
      <w:r>
        <w:rPr>
          <w:rFonts w:ascii="Arial" w:hAnsi="Arial"/>
          <w:w w:val="105"/>
          <w:sz w:val="19"/>
        </w:rPr>
        <w:t>March</w:t>
      </w:r>
      <w:r>
        <w:rPr>
          <w:rFonts w:ascii="Arial" w:hAnsi="Arial"/>
          <w:spacing w:val="-26"/>
          <w:w w:val="105"/>
          <w:sz w:val="19"/>
        </w:rPr>
        <w:t xml:space="preserve"> </w:t>
      </w:r>
      <w:r>
        <w:rPr>
          <w:rFonts w:ascii="Arial" w:hAnsi="Arial"/>
          <w:w w:val="105"/>
          <w:sz w:val="19"/>
        </w:rPr>
        <w:t>2020</w:t>
      </w:r>
      <w:r>
        <w:rPr>
          <w:rFonts w:ascii="Arial" w:hAnsi="Arial"/>
          <w:spacing w:val="-27"/>
          <w:w w:val="105"/>
          <w:sz w:val="19"/>
        </w:rPr>
        <w:t xml:space="preserve"> </w:t>
      </w:r>
      <w:r>
        <w:rPr>
          <w:rFonts w:ascii="Arial" w:hAnsi="Arial"/>
          <w:w w:val="105"/>
          <w:sz w:val="19"/>
        </w:rPr>
        <w:t>(see</w:t>
      </w:r>
      <w:r>
        <w:rPr>
          <w:rFonts w:ascii="Arial" w:hAnsi="Arial"/>
          <w:spacing w:val="-25"/>
          <w:w w:val="105"/>
          <w:sz w:val="19"/>
        </w:rPr>
        <w:t xml:space="preserve"> </w:t>
      </w:r>
      <w:r>
        <w:rPr>
          <w:rFonts w:ascii="Arial" w:hAnsi="Arial"/>
          <w:w w:val="105"/>
          <w:sz w:val="19"/>
        </w:rPr>
        <w:t>Annex</w:t>
      </w:r>
      <w:r>
        <w:rPr>
          <w:rFonts w:ascii="Arial" w:hAnsi="Arial"/>
          <w:spacing w:val="-26"/>
          <w:w w:val="105"/>
          <w:sz w:val="19"/>
        </w:rPr>
        <w:t xml:space="preserve"> </w:t>
      </w:r>
      <w:r>
        <w:rPr>
          <w:rFonts w:ascii="Arial" w:hAnsi="Arial"/>
          <w:w w:val="105"/>
          <w:sz w:val="19"/>
        </w:rPr>
        <w:t>C)</w:t>
      </w:r>
      <w:r>
        <w:rPr>
          <w:rFonts w:ascii="Arial" w:hAnsi="Arial"/>
          <w:spacing w:val="-29"/>
          <w:w w:val="105"/>
          <w:sz w:val="19"/>
        </w:rPr>
        <w:t xml:space="preserve"> </w:t>
      </w:r>
      <w:r>
        <w:rPr>
          <w:rFonts w:ascii="Arial" w:hAnsi="Arial"/>
          <w:w w:val="105"/>
          <w:sz w:val="19"/>
        </w:rPr>
        <w:t>with</w:t>
      </w:r>
      <w:r>
        <w:rPr>
          <w:rFonts w:ascii="Arial" w:hAnsi="Arial"/>
          <w:spacing w:val="-27"/>
          <w:w w:val="105"/>
          <w:sz w:val="19"/>
        </w:rPr>
        <w:t xml:space="preserve"> </w:t>
      </w:r>
      <w:r>
        <w:rPr>
          <w:rFonts w:ascii="Arial" w:hAnsi="Arial"/>
          <w:w w:val="105"/>
          <w:sz w:val="19"/>
        </w:rPr>
        <w:t>a</w:t>
      </w:r>
      <w:r>
        <w:rPr>
          <w:rFonts w:ascii="Arial" w:hAnsi="Arial"/>
          <w:spacing w:val="-26"/>
          <w:w w:val="105"/>
          <w:sz w:val="19"/>
        </w:rPr>
        <w:t xml:space="preserve"> </w:t>
      </w:r>
      <w:r>
        <w:rPr>
          <w:rFonts w:ascii="Arial" w:hAnsi="Arial"/>
          <w:w w:val="105"/>
          <w:sz w:val="19"/>
        </w:rPr>
        <w:t>focus</w:t>
      </w:r>
      <w:r>
        <w:rPr>
          <w:rFonts w:ascii="Arial" w:hAnsi="Arial"/>
          <w:spacing w:val="-26"/>
          <w:w w:val="105"/>
          <w:sz w:val="19"/>
        </w:rPr>
        <w:t xml:space="preserve"> </w:t>
      </w:r>
      <w:r>
        <w:rPr>
          <w:rFonts w:ascii="Arial" w:hAnsi="Arial"/>
          <w:w w:val="105"/>
          <w:sz w:val="19"/>
        </w:rPr>
        <w:t>on</w:t>
      </w:r>
      <w:r>
        <w:rPr>
          <w:rFonts w:ascii="Arial" w:hAnsi="Arial"/>
          <w:spacing w:val="-27"/>
          <w:w w:val="105"/>
          <w:sz w:val="19"/>
        </w:rPr>
        <w:t xml:space="preserve"> </w:t>
      </w:r>
      <w:r>
        <w:rPr>
          <w:rFonts w:ascii="Arial" w:hAnsi="Arial"/>
          <w:w w:val="105"/>
          <w:sz w:val="19"/>
        </w:rPr>
        <w:t>understanding</w:t>
      </w:r>
      <w:r>
        <w:rPr>
          <w:rFonts w:ascii="Arial" w:hAnsi="Arial"/>
          <w:spacing w:val="-26"/>
          <w:w w:val="105"/>
          <w:sz w:val="19"/>
        </w:rPr>
        <w:t xml:space="preserve"> </w:t>
      </w:r>
      <w:r>
        <w:rPr>
          <w:rFonts w:ascii="Arial" w:hAnsi="Arial"/>
          <w:w w:val="105"/>
          <w:sz w:val="19"/>
        </w:rPr>
        <w:t>the</w:t>
      </w:r>
      <w:r>
        <w:rPr>
          <w:rFonts w:ascii="Arial" w:hAnsi="Arial"/>
          <w:spacing w:val="-27"/>
          <w:w w:val="105"/>
          <w:sz w:val="19"/>
        </w:rPr>
        <w:t xml:space="preserve"> </w:t>
      </w:r>
      <w:r>
        <w:rPr>
          <w:rFonts w:ascii="Arial" w:hAnsi="Arial"/>
          <w:w w:val="105"/>
          <w:sz w:val="19"/>
        </w:rPr>
        <w:t>likely</w:t>
      </w:r>
      <w:r>
        <w:rPr>
          <w:rFonts w:ascii="Arial" w:hAnsi="Arial"/>
          <w:spacing w:val="-28"/>
          <w:w w:val="105"/>
          <w:sz w:val="19"/>
        </w:rPr>
        <w:t xml:space="preserve"> </w:t>
      </w:r>
      <w:r>
        <w:rPr>
          <w:rFonts w:ascii="Arial" w:hAnsi="Arial"/>
          <w:w w:val="105"/>
          <w:sz w:val="19"/>
        </w:rPr>
        <w:t>response</w:t>
      </w:r>
      <w:r>
        <w:rPr>
          <w:rFonts w:ascii="Arial" w:hAnsi="Arial"/>
          <w:spacing w:val="-26"/>
          <w:w w:val="105"/>
          <w:sz w:val="19"/>
        </w:rPr>
        <w:t xml:space="preserve"> </w:t>
      </w:r>
      <w:r>
        <w:rPr>
          <w:rFonts w:ascii="Arial" w:hAnsi="Arial"/>
          <w:w w:val="105"/>
          <w:sz w:val="19"/>
        </w:rPr>
        <w:t>by industry to the proposed regulatory clarification and the potential in-scope population of products.</w:t>
      </w:r>
    </w:p>
    <w:p w:rsidR="007D76BB" w:rsidRDefault="00D70D28">
      <w:pPr>
        <w:pStyle w:val="ListParagraph"/>
        <w:numPr>
          <w:ilvl w:val="0"/>
          <w:numId w:val="10"/>
        </w:numPr>
        <w:tabs>
          <w:tab w:val="left" w:pos="766"/>
        </w:tabs>
        <w:spacing w:before="74" w:line="266" w:lineRule="auto"/>
        <w:ind w:right="1048"/>
        <w:rPr>
          <w:rFonts w:ascii="Arial" w:hAnsi="Arial"/>
          <w:sz w:val="19"/>
        </w:rPr>
      </w:pPr>
      <w:r>
        <w:rPr>
          <w:rFonts w:ascii="Arial" w:hAnsi="Arial"/>
          <w:w w:val="105"/>
          <w:sz w:val="19"/>
        </w:rPr>
        <w:t>Regular engagement occurred with Departmental staff in the Complementary &amp; Over the Counter</w:t>
      </w:r>
      <w:r>
        <w:rPr>
          <w:rFonts w:ascii="Arial" w:hAnsi="Arial"/>
          <w:spacing w:val="-34"/>
          <w:w w:val="105"/>
          <w:sz w:val="19"/>
        </w:rPr>
        <w:t xml:space="preserve"> </w:t>
      </w:r>
      <w:r>
        <w:rPr>
          <w:rFonts w:ascii="Arial" w:hAnsi="Arial"/>
          <w:w w:val="105"/>
          <w:sz w:val="19"/>
        </w:rPr>
        <w:t>Medicines</w:t>
      </w:r>
      <w:r>
        <w:rPr>
          <w:rFonts w:ascii="Arial" w:hAnsi="Arial"/>
          <w:spacing w:val="-33"/>
          <w:w w:val="105"/>
          <w:sz w:val="19"/>
        </w:rPr>
        <w:t xml:space="preserve"> </w:t>
      </w:r>
      <w:r>
        <w:rPr>
          <w:rFonts w:ascii="Arial" w:hAnsi="Arial"/>
          <w:w w:val="105"/>
          <w:sz w:val="19"/>
        </w:rPr>
        <w:t>Branch</w:t>
      </w:r>
      <w:r>
        <w:rPr>
          <w:rFonts w:ascii="Arial" w:hAnsi="Arial"/>
          <w:spacing w:val="-32"/>
          <w:w w:val="105"/>
          <w:sz w:val="19"/>
        </w:rPr>
        <w:t xml:space="preserve"> </w:t>
      </w:r>
      <w:r>
        <w:rPr>
          <w:rFonts w:ascii="Arial" w:hAnsi="Arial"/>
          <w:w w:val="105"/>
          <w:sz w:val="19"/>
        </w:rPr>
        <w:t>to</w:t>
      </w:r>
      <w:r>
        <w:rPr>
          <w:rFonts w:ascii="Arial" w:hAnsi="Arial"/>
          <w:spacing w:val="-33"/>
          <w:w w:val="105"/>
          <w:sz w:val="19"/>
        </w:rPr>
        <w:t xml:space="preserve"> </w:t>
      </w:r>
      <w:r>
        <w:rPr>
          <w:rFonts w:ascii="Arial" w:hAnsi="Arial"/>
          <w:w w:val="105"/>
          <w:sz w:val="19"/>
        </w:rPr>
        <w:lastRenderedPageBreak/>
        <w:t>discuss</w:t>
      </w:r>
      <w:r>
        <w:rPr>
          <w:rFonts w:ascii="Arial" w:hAnsi="Arial"/>
          <w:spacing w:val="-32"/>
          <w:w w:val="105"/>
          <w:sz w:val="19"/>
        </w:rPr>
        <w:t xml:space="preserve"> </w:t>
      </w:r>
      <w:r>
        <w:rPr>
          <w:rFonts w:ascii="Arial" w:hAnsi="Arial"/>
          <w:w w:val="105"/>
          <w:sz w:val="19"/>
        </w:rPr>
        <w:t>and</w:t>
      </w:r>
      <w:r>
        <w:rPr>
          <w:rFonts w:ascii="Arial" w:hAnsi="Arial"/>
          <w:spacing w:val="-33"/>
          <w:w w:val="105"/>
          <w:sz w:val="19"/>
        </w:rPr>
        <w:t xml:space="preserve"> </w:t>
      </w:r>
      <w:r>
        <w:rPr>
          <w:rFonts w:ascii="Arial" w:hAnsi="Arial"/>
          <w:w w:val="105"/>
          <w:sz w:val="19"/>
        </w:rPr>
        <w:t>obtain</w:t>
      </w:r>
      <w:r>
        <w:rPr>
          <w:rFonts w:ascii="Arial" w:hAnsi="Arial"/>
          <w:spacing w:val="-33"/>
          <w:w w:val="105"/>
          <w:sz w:val="19"/>
        </w:rPr>
        <w:t xml:space="preserve"> </w:t>
      </w:r>
      <w:r>
        <w:rPr>
          <w:rFonts w:ascii="Arial" w:hAnsi="Arial"/>
          <w:w w:val="105"/>
          <w:sz w:val="19"/>
        </w:rPr>
        <w:t>feedback</w:t>
      </w:r>
      <w:r>
        <w:rPr>
          <w:rFonts w:ascii="Arial" w:hAnsi="Arial"/>
          <w:spacing w:val="-32"/>
          <w:w w:val="105"/>
          <w:sz w:val="19"/>
        </w:rPr>
        <w:t xml:space="preserve"> </w:t>
      </w:r>
      <w:r>
        <w:rPr>
          <w:rFonts w:ascii="Arial" w:hAnsi="Arial"/>
          <w:w w:val="105"/>
          <w:sz w:val="19"/>
        </w:rPr>
        <w:t>on</w:t>
      </w:r>
      <w:r>
        <w:rPr>
          <w:rFonts w:ascii="Arial" w:hAnsi="Arial"/>
          <w:spacing w:val="-32"/>
          <w:w w:val="105"/>
          <w:sz w:val="19"/>
        </w:rPr>
        <w:t xml:space="preserve"> </w:t>
      </w:r>
      <w:r>
        <w:rPr>
          <w:rFonts w:ascii="Arial" w:hAnsi="Arial"/>
          <w:w w:val="105"/>
          <w:sz w:val="19"/>
        </w:rPr>
        <w:t>progress;</w:t>
      </w:r>
      <w:r>
        <w:rPr>
          <w:rFonts w:ascii="Arial" w:hAnsi="Arial"/>
          <w:spacing w:val="-34"/>
          <w:w w:val="105"/>
          <w:sz w:val="19"/>
        </w:rPr>
        <w:t xml:space="preserve"> </w:t>
      </w:r>
      <w:r>
        <w:rPr>
          <w:rFonts w:ascii="Arial" w:hAnsi="Arial"/>
          <w:w w:val="105"/>
          <w:sz w:val="19"/>
        </w:rPr>
        <w:t>seek</w:t>
      </w:r>
      <w:r>
        <w:rPr>
          <w:rFonts w:ascii="Arial" w:hAnsi="Arial"/>
          <w:spacing w:val="-34"/>
          <w:w w:val="105"/>
          <w:sz w:val="19"/>
        </w:rPr>
        <w:t xml:space="preserve"> </w:t>
      </w:r>
      <w:r>
        <w:rPr>
          <w:rFonts w:ascii="Arial" w:hAnsi="Arial"/>
          <w:w w:val="105"/>
          <w:sz w:val="19"/>
        </w:rPr>
        <w:t>advice</w:t>
      </w:r>
      <w:r>
        <w:rPr>
          <w:rFonts w:ascii="Arial" w:hAnsi="Arial"/>
          <w:spacing w:val="-32"/>
          <w:w w:val="105"/>
          <w:sz w:val="19"/>
        </w:rPr>
        <w:t xml:space="preserve"> </w:t>
      </w:r>
      <w:r>
        <w:rPr>
          <w:rFonts w:ascii="Arial" w:hAnsi="Arial"/>
          <w:w w:val="105"/>
          <w:sz w:val="19"/>
        </w:rPr>
        <w:t>or</w:t>
      </w:r>
      <w:r>
        <w:rPr>
          <w:rFonts w:ascii="Arial" w:hAnsi="Arial"/>
          <w:spacing w:val="-34"/>
          <w:w w:val="105"/>
          <w:sz w:val="19"/>
        </w:rPr>
        <w:t xml:space="preserve"> </w:t>
      </w:r>
      <w:r>
        <w:rPr>
          <w:rFonts w:ascii="Arial" w:hAnsi="Arial"/>
          <w:w w:val="105"/>
          <w:sz w:val="19"/>
        </w:rPr>
        <w:t>direction regarding</w:t>
      </w:r>
      <w:r>
        <w:rPr>
          <w:rFonts w:ascii="Arial" w:hAnsi="Arial"/>
          <w:spacing w:val="-30"/>
          <w:w w:val="105"/>
          <w:sz w:val="19"/>
        </w:rPr>
        <w:t xml:space="preserve"> </w:t>
      </w:r>
      <w:r>
        <w:rPr>
          <w:rFonts w:ascii="Arial" w:hAnsi="Arial"/>
          <w:w w:val="105"/>
          <w:sz w:val="19"/>
        </w:rPr>
        <w:t>assumptions,</w:t>
      </w:r>
      <w:r>
        <w:rPr>
          <w:rFonts w:ascii="Arial" w:hAnsi="Arial"/>
          <w:spacing w:val="-29"/>
          <w:w w:val="105"/>
          <w:sz w:val="19"/>
        </w:rPr>
        <w:t xml:space="preserve"> </w:t>
      </w:r>
      <w:r>
        <w:rPr>
          <w:rFonts w:ascii="Arial" w:hAnsi="Arial"/>
          <w:w w:val="105"/>
          <w:sz w:val="19"/>
        </w:rPr>
        <w:t>qualifications</w:t>
      </w:r>
      <w:r>
        <w:rPr>
          <w:rFonts w:ascii="Arial" w:hAnsi="Arial"/>
          <w:spacing w:val="-29"/>
          <w:w w:val="105"/>
          <w:sz w:val="19"/>
        </w:rPr>
        <w:t xml:space="preserve"> </w:t>
      </w:r>
      <w:r>
        <w:rPr>
          <w:rFonts w:ascii="Arial" w:hAnsi="Arial"/>
          <w:w w:val="105"/>
          <w:sz w:val="19"/>
        </w:rPr>
        <w:t>and</w:t>
      </w:r>
      <w:r>
        <w:rPr>
          <w:rFonts w:ascii="Arial" w:hAnsi="Arial"/>
          <w:spacing w:val="-26"/>
          <w:w w:val="105"/>
          <w:sz w:val="19"/>
        </w:rPr>
        <w:t xml:space="preserve"> </w:t>
      </w:r>
      <w:r>
        <w:rPr>
          <w:rFonts w:ascii="Arial" w:hAnsi="Arial"/>
          <w:w w:val="105"/>
          <w:sz w:val="19"/>
        </w:rPr>
        <w:t>inputs;</w:t>
      </w:r>
      <w:r>
        <w:rPr>
          <w:rFonts w:ascii="Arial" w:hAnsi="Arial"/>
          <w:spacing w:val="-30"/>
          <w:w w:val="105"/>
          <w:sz w:val="19"/>
        </w:rPr>
        <w:t xml:space="preserve"> </w:t>
      </w:r>
      <w:r>
        <w:rPr>
          <w:rFonts w:ascii="Arial" w:hAnsi="Arial"/>
          <w:w w:val="105"/>
          <w:sz w:val="19"/>
        </w:rPr>
        <w:t>and</w:t>
      </w:r>
      <w:r>
        <w:rPr>
          <w:rFonts w:ascii="Arial" w:hAnsi="Arial"/>
          <w:spacing w:val="-30"/>
          <w:w w:val="105"/>
          <w:sz w:val="19"/>
        </w:rPr>
        <w:t xml:space="preserve"> </w:t>
      </w:r>
      <w:r>
        <w:rPr>
          <w:rFonts w:ascii="Arial" w:hAnsi="Arial"/>
          <w:w w:val="105"/>
          <w:sz w:val="19"/>
        </w:rPr>
        <w:t>communicate</w:t>
      </w:r>
      <w:r>
        <w:rPr>
          <w:rFonts w:ascii="Arial" w:hAnsi="Arial"/>
          <w:spacing w:val="-29"/>
          <w:w w:val="105"/>
          <w:sz w:val="19"/>
        </w:rPr>
        <w:t xml:space="preserve"> </w:t>
      </w:r>
      <w:r>
        <w:rPr>
          <w:rFonts w:ascii="Arial" w:hAnsi="Arial"/>
          <w:w w:val="105"/>
          <w:sz w:val="19"/>
        </w:rPr>
        <w:t>and</w:t>
      </w:r>
      <w:r>
        <w:rPr>
          <w:rFonts w:ascii="Arial" w:hAnsi="Arial"/>
          <w:spacing w:val="-30"/>
          <w:w w:val="105"/>
          <w:sz w:val="19"/>
        </w:rPr>
        <w:t xml:space="preserve"> </w:t>
      </w:r>
      <w:r>
        <w:rPr>
          <w:rFonts w:ascii="Arial" w:hAnsi="Arial"/>
          <w:w w:val="105"/>
          <w:sz w:val="19"/>
        </w:rPr>
        <w:t>resolve</w:t>
      </w:r>
      <w:r>
        <w:rPr>
          <w:rFonts w:ascii="Arial" w:hAnsi="Arial"/>
          <w:spacing w:val="-29"/>
          <w:w w:val="105"/>
          <w:sz w:val="19"/>
        </w:rPr>
        <w:t xml:space="preserve"> </w:t>
      </w:r>
      <w:r>
        <w:rPr>
          <w:rFonts w:ascii="Arial" w:hAnsi="Arial"/>
          <w:w w:val="105"/>
          <w:sz w:val="19"/>
        </w:rPr>
        <w:t>challenges.</w:t>
      </w:r>
    </w:p>
    <w:p w:rsidR="007D76BB" w:rsidRDefault="00D70D28">
      <w:pPr>
        <w:pStyle w:val="ListParagraph"/>
        <w:numPr>
          <w:ilvl w:val="0"/>
          <w:numId w:val="10"/>
        </w:numPr>
        <w:tabs>
          <w:tab w:val="left" w:pos="766"/>
        </w:tabs>
        <w:spacing w:before="75" w:line="264" w:lineRule="auto"/>
        <w:ind w:right="1032"/>
        <w:jc w:val="both"/>
        <w:rPr>
          <w:rFonts w:ascii="Arial" w:hAnsi="Arial"/>
          <w:sz w:val="19"/>
        </w:rPr>
      </w:pPr>
      <w:r>
        <w:rPr>
          <w:rFonts w:ascii="Arial" w:hAnsi="Arial"/>
          <w:w w:val="105"/>
          <w:sz w:val="19"/>
        </w:rPr>
        <w:t>Noetic</w:t>
      </w:r>
      <w:r>
        <w:rPr>
          <w:rFonts w:ascii="Arial" w:hAnsi="Arial"/>
          <w:spacing w:val="-23"/>
          <w:w w:val="105"/>
          <w:sz w:val="19"/>
        </w:rPr>
        <w:t xml:space="preserve"> </w:t>
      </w:r>
      <w:r>
        <w:rPr>
          <w:rFonts w:ascii="Arial" w:hAnsi="Arial"/>
          <w:w w:val="105"/>
          <w:sz w:val="19"/>
        </w:rPr>
        <w:t>also</w:t>
      </w:r>
      <w:r>
        <w:rPr>
          <w:rFonts w:ascii="Arial" w:hAnsi="Arial"/>
          <w:spacing w:val="-23"/>
          <w:w w:val="105"/>
          <w:sz w:val="19"/>
        </w:rPr>
        <w:t xml:space="preserve"> </w:t>
      </w:r>
      <w:r>
        <w:rPr>
          <w:rFonts w:ascii="Arial" w:hAnsi="Arial"/>
          <w:w w:val="105"/>
          <w:sz w:val="19"/>
        </w:rPr>
        <w:t>engaged</w:t>
      </w:r>
      <w:r>
        <w:rPr>
          <w:rFonts w:ascii="Arial" w:hAnsi="Arial"/>
          <w:spacing w:val="-24"/>
          <w:w w:val="105"/>
          <w:sz w:val="19"/>
        </w:rPr>
        <w:t xml:space="preserve"> </w:t>
      </w:r>
      <w:r>
        <w:rPr>
          <w:rFonts w:ascii="Arial" w:hAnsi="Arial"/>
          <w:w w:val="105"/>
          <w:sz w:val="19"/>
        </w:rPr>
        <w:t>with</w:t>
      </w:r>
      <w:r>
        <w:rPr>
          <w:rFonts w:ascii="Arial" w:hAnsi="Arial"/>
          <w:spacing w:val="-23"/>
          <w:w w:val="105"/>
          <w:sz w:val="19"/>
        </w:rPr>
        <w:t xml:space="preserve"> </w:t>
      </w:r>
      <w:r>
        <w:rPr>
          <w:rFonts w:ascii="Arial" w:hAnsi="Arial"/>
          <w:w w:val="105"/>
          <w:sz w:val="19"/>
        </w:rPr>
        <w:t>representatives</w:t>
      </w:r>
      <w:r>
        <w:rPr>
          <w:rFonts w:ascii="Arial" w:hAnsi="Arial"/>
          <w:spacing w:val="-22"/>
          <w:w w:val="105"/>
          <w:sz w:val="19"/>
        </w:rPr>
        <w:t xml:space="preserve"> </w:t>
      </w:r>
      <w:r>
        <w:rPr>
          <w:rFonts w:ascii="Arial" w:hAnsi="Arial"/>
          <w:w w:val="105"/>
          <w:sz w:val="19"/>
        </w:rPr>
        <w:t>from</w:t>
      </w:r>
      <w:r>
        <w:rPr>
          <w:rFonts w:ascii="Arial" w:hAnsi="Arial"/>
          <w:spacing w:val="-19"/>
          <w:w w:val="105"/>
          <w:sz w:val="19"/>
        </w:rPr>
        <w:t xml:space="preserve"> </w:t>
      </w:r>
      <w:r>
        <w:rPr>
          <w:rFonts w:ascii="Arial" w:hAnsi="Arial"/>
          <w:w w:val="105"/>
          <w:sz w:val="19"/>
        </w:rPr>
        <w:t>the</w:t>
      </w:r>
      <w:r>
        <w:rPr>
          <w:rFonts w:ascii="Arial" w:hAnsi="Arial"/>
          <w:spacing w:val="-22"/>
          <w:w w:val="105"/>
          <w:sz w:val="19"/>
        </w:rPr>
        <w:t xml:space="preserve"> </w:t>
      </w:r>
      <w:r>
        <w:rPr>
          <w:rFonts w:ascii="Arial" w:hAnsi="Arial"/>
          <w:w w:val="105"/>
          <w:sz w:val="19"/>
        </w:rPr>
        <w:t>Department</w:t>
      </w:r>
      <w:r>
        <w:rPr>
          <w:rFonts w:ascii="Arial" w:hAnsi="Arial"/>
          <w:spacing w:val="-22"/>
          <w:w w:val="105"/>
          <w:sz w:val="19"/>
        </w:rPr>
        <w:t xml:space="preserve"> </w:t>
      </w:r>
      <w:r>
        <w:rPr>
          <w:rFonts w:ascii="Arial" w:hAnsi="Arial"/>
          <w:w w:val="105"/>
          <w:sz w:val="19"/>
        </w:rPr>
        <w:t>of</w:t>
      </w:r>
      <w:r>
        <w:rPr>
          <w:rFonts w:ascii="Arial" w:hAnsi="Arial"/>
          <w:spacing w:val="-23"/>
          <w:w w:val="105"/>
          <w:sz w:val="19"/>
        </w:rPr>
        <w:t xml:space="preserve"> </w:t>
      </w:r>
      <w:r>
        <w:rPr>
          <w:rFonts w:ascii="Arial" w:hAnsi="Arial"/>
          <w:w w:val="105"/>
          <w:sz w:val="19"/>
        </w:rPr>
        <w:t>Health’s</w:t>
      </w:r>
      <w:r>
        <w:rPr>
          <w:rFonts w:ascii="Arial" w:hAnsi="Arial"/>
          <w:spacing w:val="-21"/>
          <w:w w:val="105"/>
          <w:sz w:val="19"/>
        </w:rPr>
        <w:t xml:space="preserve"> </w:t>
      </w:r>
      <w:r>
        <w:rPr>
          <w:rFonts w:ascii="Arial" w:hAnsi="Arial"/>
          <w:w w:val="105"/>
          <w:sz w:val="19"/>
        </w:rPr>
        <w:t>National</w:t>
      </w:r>
      <w:r>
        <w:rPr>
          <w:rFonts w:ascii="Arial" w:hAnsi="Arial"/>
          <w:spacing w:val="-23"/>
          <w:w w:val="105"/>
          <w:sz w:val="19"/>
        </w:rPr>
        <w:t xml:space="preserve"> </w:t>
      </w:r>
      <w:r>
        <w:rPr>
          <w:rFonts w:ascii="Arial" w:hAnsi="Arial"/>
          <w:w w:val="105"/>
          <w:sz w:val="19"/>
        </w:rPr>
        <w:t>Integrity</w:t>
      </w:r>
      <w:r>
        <w:rPr>
          <w:rFonts w:ascii="Arial" w:hAnsi="Arial"/>
          <w:spacing w:val="-24"/>
          <w:w w:val="105"/>
          <w:sz w:val="19"/>
        </w:rPr>
        <w:t xml:space="preserve"> </w:t>
      </w:r>
      <w:r>
        <w:rPr>
          <w:rFonts w:ascii="Arial" w:hAnsi="Arial"/>
          <w:w w:val="105"/>
          <w:sz w:val="19"/>
        </w:rPr>
        <w:t>of Sport</w:t>
      </w:r>
      <w:r>
        <w:rPr>
          <w:rFonts w:ascii="Arial" w:hAnsi="Arial"/>
          <w:spacing w:val="-27"/>
          <w:w w:val="105"/>
          <w:sz w:val="19"/>
        </w:rPr>
        <w:t xml:space="preserve"> </w:t>
      </w:r>
      <w:r>
        <w:rPr>
          <w:rFonts w:ascii="Arial" w:hAnsi="Arial"/>
          <w:w w:val="105"/>
          <w:sz w:val="19"/>
        </w:rPr>
        <w:t>Unit,</w:t>
      </w:r>
      <w:r>
        <w:rPr>
          <w:rFonts w:ascii="Arial" w:hAnsi="Arial"/>
          <w:spacing w:val="-28"/>
          <w:w w:val="105"/>
          <w:sz w:val="19"/>
        </w:rPr>
        <w:t xml:space="preserve"> </w:t>
      </w:r>
      <w:r>
        <w:rPr>
          <w:rFonts w:ascii="Arial" w:hAnsi="Arial"/>
          <w:w w:val="105"/>
          <w:sz w:val="19"/>
        </w:rPr>
        <w:t>the</w:t>
      </w:r>
      <w:r>
        <w:rPr>
          <w:rFonts w:ascii="Arial" w:hAnsi="Arial"/>
          <w:spacing w:val="-26"/>
          <w:w w:val="105"/>
          <w:sz w:val="19"/>
        </w:rPr>
        <w:t xml:space="preserve"> </w:t>
      </w:r>
      <w:r>
        <w:rPr>
          <w:rFonts w:ascii="Arial" w:hAnsi="Arial"/>
          <w:w w:val="105"/>
          <w:sz w:val="19"/>
        </w:rPr>
        <w:t>Australian</w:t>
      </w:r>
      <w:r>
        <w:rPr>
          <w:rFonts w:ascii="Arial" w:hAnsi="Arial"/>
          <w:spacing w:val="-25"/>
          <w:w w:val="105"/>
          <w:sz w:val="19"/>
        </w:rPr>
        <w:t xml:space="preserve"> </w:t>
      </w:r>
      <w:r>
        <w:rPr>
          <w:rFonts w:ascii="Arial" w:hAnsi="Arial"/>
          <w:w w:val="105"/>
          <w:sz w:val="19"/>
        </w:rPr>
        <w:t>Sports</w:t>
      </w:r>
      <w:r>
        <w:rPr>
          <w:rFonts w:ascii="Arial" w:hAnsi="Arial"/>
          <w:spacing w:val="-27"/>
          <w:w w:val="105"/>
          <w:sz w:val="19"/>
        </w:rPr>
        <w:t xml:space="preserve"> </w:t>
      </w:r>
      <w:r>
        <w:rPr>
          <w:rFonts w:ascii="Arial" w:hAnsi="Arial"/>
          <w:w w:val="105"/>
          <w:sz w:val="19"/>
        </w:rPr>
        <w:t>Anti-Doping</w:t>
      </w:r>
      <w:r>
        <w:rPr>
          <w:rFonts w:ascii="Arial" w:hAnsi="Arial"/>
          <w:spacing w:val="-28"/>
          <w:w w:val="105"/>
          <w:sz w:val="19"/>
        </w:rPr>
        <w:t xml:space="preserve"> </w:t>
      </w:r>
      <w:r>
        <w:rPr>
          <w:rFonts w:ascii="Arial" w:hAnsi="Arial"/>
          <w:w w:val="105"/>
          <w:sz w:val="19"/>
        </w:rPr>
        <w:t>Authority</w:t>
      </w:r>
      <w:r>
        <w:rPr>
          <w:rFonts w:ascii="Arial" w:hAnsi="Arial"/>
          <w:spacing w:val="-29"/>
          <w:w w:val="105"/>
          <w:sz w:val="19"/>
        </w:rPr>
        <w:t xml:space="preserve"> </w:t>
      </w:r>
      <w:r>
        <w:rPr>
          <w:rFonts w:ascii="Arial" w:hAnsi="Arial"/>
          <w:w w:val="105"/>
          <w:sz w:val="19"/>
        </w:rPr>
        <w:t>(ASADA)</w:t>
      </w:r>
      <w:r>
        <w:rPr>
          <w:rFonts w:ascii="Arial" w:hAnsi="Arial"/>
          <w:spacing w:val="-27"/>
          <w:w w:val="105"/>
          <w:sz w:val="19"/>
        </w:rPr>
        <w:t xml:space="preserve"> </w:t>
      </w:r>
      <w:r>
        <w:rPr>
          <w:rFonts w:ascii="Arial" w:hAnsi="Arial"/>
          <w:w w:val="105"/>
          <w:sz w:val="19"/>
        </w:rPr>
        <w:t>and</w:t>
      </w:r>
      <w:r>
        <w:rPr>
          <w:rFonts w:ascii="Arial" w:hAnsi="Arial"/>
          <w:spacing w:val="-28"/>
          <w:w w:val="105"/>
          <w:sz w:val="19"/>
        </w:rPr>
        <w:t xml:space="preserve"> </w:t>
      </w:r>
      <w:r>
        <w:rPr>
          <w:rFonts w:ascii="Arial" w:hAnsi="Arial"/>
          <w:w w:val="105"/>
          <w:sz w:val="19"/>
        </w:rPr>
        <w:t>Food</w:t>
      </w:r>
      <w:r>
        <w:rPr>
          <w:rFonts w:ascii="Arial" w:hAnsi="Arial"/>
          <w:spacing w:val="-28"/>
          <w:w w:val="105"/>
          <w:sz w:val="19"/>
        </w:rPr>
        <w:t xml:space="preserve"> </w:t>
      </w:r>
      <w:r>
        <w:rPr>
          <w:rFonts w:ascii="Arial" w:hAnsi="Arial"/>
          <w:w w:val="105"/>
          <w:sz w:val="19"/>
        </w:rPr>
        <w:t>Standards</w:t>
      </w:r>
      <w:r>
        <w:rPr>
          <w:rFonts w:ascii="Arial" w:hAnsi="Arial"/>
          <w:spacing w:val="-27"/>
          <w:w w:val="105"/>
          <w:sz w:val="19"/>
        </w:rPr>
        <w:t xml:space="preserve"> </w:t>
      </w:r>
      <w:r>
        <w:rPr>
          <w:rFonts w:ascii="Arial" w:hAnsi="Arial"/>
          <w:w w:val="105"/>
          <w:sz w:val="19"/>
        </w:rPr>
        <w:t>Australia New</w:t>
      </w:r>
      <w:r>
        <w:rPr>
          <w:rFonts w:ascii="Arial" w:hAnsi="Arial"/>
          <w:spacing w:val="-32"/>
          <w:w w:val="105"/>
          <w:sz w:val="19"/>
        </w:rPr>
        <w:t xml:space="preserve"> </w:t>
      </w:r>
      <w:r>
        <w:rPr>
          <w:rFonts w:ascii="Arial" w:hAnsi="Arial"/>
          <w:w w:val="105"/>
          <w:sz w:val="19"/>
        </w:rPr>
        <w:t>Zealand</w:t>
      </w:r>
      <w:r>
        <w:rPr>
          <w:rFonts w:ascii="Arial" w:hAnsi="Arial"/>
          <w:spacing w:val="-33"/>
          <w:w w:val="105"/>
          <w:sz w:val="19"/>
        </w:rPr>
        <w:t xml:space="preserve"> </w:t>
      </w:r>
      <w:r>
        <w:rPr>
          <w:rFonts w:ascii="Arial" w:hAnsi="Arial"/>
          <w:w w:val="105"/>
          <w:sz w:val="19"/>
        </w:rPr>
        <w:t>(FSANZ)</w:t>
      </w:r>
      <w:r>
        <w:rPr>
          <w:rFonts w:ascii="Arial" w:hAnsi="Arial"/>
          <w:spacing w:val="-31"/>
          <w:w w:val="105"/>
          <w:sz w:val="19"/>
        </w:rPr>
        <w:t xml:space="preserve"> </w:t>
      </w:r>
      <w:r>
        <w:rPr>
          <w:rFonts w:ascii="Arial" w:hAnsi="Arial"/>
          <w:w w:val="105"/>
          <w:sz w:val="19"/>
        </w:rPr>
        <w:t>via</w:t>
      </w:r>
      <w:r>
        <w:rPr>
          <w:rFonts w:ascii="Arial" w:hAnsi="Arial"/>
          <w:spacing w:val="-31"/>
          <w:w w:val="105"/>
          <w:sz w:val="19"/>
        </w:rPr>
        <w:t xml:space="preserve"> </w:t>
      </w:r>
      <w:r>
        <w:rPr>
          <w:rFonts w:ascii="Arial" w:hAnsi="Arial"/>
          <w:w w:val="105"/>
          <w:sz w:val="19"/>
        </w:rPr>
        <w:t>a</w:t>
      </w:r>
      <w:r>
        <w:rPr>
          <w:rFonts w:ascii="Arial" w:hAnsi="Arial"/>
          <w:spacing w:val="-33"/>
          <w:w w:val="105"/>
          <w:sz w:val="19"/>
        </w:rPr>
        <w:t xml:space="preserve"> </w:t>
      </w:r>
      <w:r>
        <w:rPr>
          <w:rFonts w:ascii="Arial" w:hAnsi="Arial"/>
          <w:w w:val="105"/>
          <w:sz w:val="19"/>
        </w:rPr>
        <w:t>series</w:t>
      </w:r>
      <w:r>
        <w:rPr>
          <w:rFonts w:ascii="Arial" w:hAnsi="Arial"/>
          <w:spacing w:val="-32"/>
          <w:w w:val="105"/>
          <w:sz w:val="19"/>
        </w:rPr>
        <w:t xml:space="preserve"> </w:t>
      </w:r>
      <w:r>
        <w:rPr>
          <w:rFonts w:ascii="Arial" w:hAnsi="Arial"/>
          <w:w w:val="105"/>
          <w:sz w:val="19"/>
        </w:rPr>
        <w:t>of</w:t>
      </w:r>
      <w:r>
        <w:rPr>
          <w:rFonts w:ascii="Arial" w:hAnsi="Arial"/>
          <w:spacing w:val="-32"/>
          <w:w w:val="105"/>
          <w:sz w:val="19"/>
        </w:rPr>
        <w:t xml:space="preserve"> </w:t>
      </w:r>
      <w:r>
        <w:rPr>
          <w:rFonts w:ascii="Arial" w:hAnsi="Arial"/>
          <w:w w:val="105"/>
          <w:sz w:val="19"/>
        </w:rPr>
        <w:t>meetings</w:t>
      </w:r>
      <w:r>
        <w:rPr>
          <w:rFonts w:ascii="Arial" w:hAnsi="Arial"/>
          <w:spacing w:val="-32"/>
          <w:w w:val="105"/>
          <w:sz w:val="19"/>
        </w:rPr>
        <w:t xml:space="preserve"> </w:t>
      </w:r>
      <w:r>
        <w:rPr>
          <w:rFonts w:ascii="Arial" w:hAnsi="Arial"/>
          <w:w w:val="105"/>
          <w:sz w:val="19"/>
        </w:rPr>
        <w:t>(and</w:t>
      </w:r>
      <w:r>
        <w:rPr>
          <w:rFonts w:ascii="Arial" w:hAnsi="Arial"/>
          <w:spacing w:val="-33"/>
          <w:w w:val="105"/>
          <w:sz w:val="19"/>
        </w:rPr>
        <w:t xml:space="preserve"> </w:t>
      </w:r>
      <w:r>
        <w:rPr>
          <w:rFonts w:ascii="Arial" w:hAnsi="Arial"/>
          <w:w w:val="105"/>
          <w:sz w:val="19"/>
        </w:rPr>
        <w:t>attendance</w:t>
      </w:r>
      <w:r>
        <w:rPr>
          <w:rFonts w:ascii="Arial" w:hAnsi="Arial"/>
          <w:spacing w:val="-31"/>
          <w:w w:val="105"/>
          <w:sz w:val="19"/>
        </w:rPr>
        <w:t xml:space="preserve"> </w:t>
      </w:r>
      <w:r>
        <w:rPr>
          <w:rFonts w:ascii="Arial" w:hAnsi="Arial"/>
          <w:w w:val="105"/>
          <w:sz w:val="19"/>
        </w:rPr>
        <w:t>at</w:t>
      </w:r>
      <w:r>
        <w:rPr>
          <w:rFonts w:ascii="Arial" w:hAnsi="Arial"/>
          <w:spacing w:val="-32"/>
          <w:w w:val="105"/>
          <w:sz w:val="19"/>
        </w:rPr>
        <w:t xml:space="preserve"> </w:t>
      </w:r>
      <w:r>
        <w:rPr>
          <w:rFonts w:ascii="Arial" w:hAnsi="Arial"/>
          <w:w w:val="105"/>
          <w:sz w:val="19"/>
        </w:rPr>
        <w:t>the</w:t>
      </w:r>
      <w:r>
        <w:rPr>
          <w:rFonts w:ascii="Arial" w:hAnsi="Arial"/>
          <w:spacing w:val="-32"/>
          <w:w w:val="105"/>
          <w:sz w:val="19"/>
        </w:rPr>
        <w:t xml:space="preserve"> </w:t>
      </w:r>
      <w:r>
        <w:rPr>
          <w:rFonts w:ascii="Arial" w:hAnsi="Arial"/>
          <w:w w:val="105"/>
          <w:sz w:val="19"/>
        </w:rPr>
        <w:t>stakeholder</w:t>
      </w:r>
      <w:r>
        <w:rPr>
          <w:rFonts w:ascii="Arial" w:hAnsi="Arial"/>
          <w:spacing w:val="-33"/>
          <w:w w:val="105"/>
          <w:sz w:val="19"/>
        </w:rPr>
        <w:t xml:space="preserve"> </w:t>
      </w:r>
      <w:r>
        <w:rPr>
          <w:rFonts w:ascii="Arial" w:hAnsi="Arial"/>
          <w:w w:val="105"/>
          <w:sz w:val="19"/>
        </w:rPr>
        <w:t>workshops).</w:t>
      </w:r>
    </w:p>
    <w:p w:rsidR="007D76BB" w:rsidRDefault="00D70D28">
      <w:pPr>
        <w:pStyle w:val="ListParagraph"/>
        <w:numPr>
          <w:ilvl w:val="0"/>
          <w:numId w:val="10"/>
        </w:numPr>
        <w:tabs>
          <w:tab w:val="left" w:pos="766"/>
        </w:tabs>
        <w:spacing w:before="80" w:line="264" w:lineRule="auto"/>
        <w:ind w:right="907"/>
        <w:rPr>
          <w:rFonts w:ascii="Arial" w:hAnsi="Arial"/>
          <w:sz w:val="19"/>
        </w:rPr>
      </w:pPr>
      <w:r>
        <w:rPr>
          <w:rFonts w:ascii="Arial" w:hAnsi="Arial"/>
          <w:w w:val="105"/>
          <w:sz w:val="19"/>
        </w:rPr>
        <w:t>One teleconference with the OBPR (attended by both Noetic and the Department) in March 2020 to confirm the proposed approach and seek advice or direction regarding assumptions, qualifications,</w:t>
      </w:r>
      <w:r>
        <w:rPr>
          <w:rFonts w:ascii="Arial" w:hAnsi="Arial"/>
          <w:spacing w:val="-29"/>
          <w:w w:val="105"/>
          <w:sz w:val="19"/>
        </w:rPr>
        <w:t xml:space="preserve"> </w:t>
      </w:r>
      <w:r>
        <w:rPr>
          <w:rFonts w:ascii="Arial" w:hAnsi="Arial"/>
          <w:w w:val="105"/>
          <w:sz w:val="19"/>
        </w:rPr>
        <w:t>and</w:t>
      </w:r>
      <w:r>
        <w:rPr>
          <w:rFonts w:ascii="Arial" w:hAnsi="Arial"/>
          <w:spacing w:val="-29"/>
          <w:w w:val="105"/>
          <w:sz w:val="19"/>
        </w:rPr>
        <w:t xml:space="preserve"> </w:t>
      </w:r>
      <w:r>
        <w:rPr>
          <w:rFonts w:ascii="Arial" w:hAnsi="Arial"/>
          <w:w w:val="105"/>
          <w:sz w:val="19"/>
        </w:rPr>
        <w:t>inputs,</w:t>
      </w:r>
      <w:r>
        <w:rPr>
          <w:rFonts w:ascii="Arial" w:hAnsi="Arial"/>
          <w:spacing w:val="-29"/>
          <w:w w:val="105"/>
          <w:sz w:val="19"/>
        </w:rPr>
        <w:t xml:space="preserve"> </w:t>
      </w:r>
      <w:r>
        <w:rPr>
          <w:rFonts w:ascii="Arial" w:hAnsi="Arial"/>
          <w:w w:val="105"/>
          <w:sz w:val="19"/>
        </w:rPr>
        <w:t>which</w:t>
      </w:r>
      <w:r>
        <w:rPr>
          <w:rFonts w:ascii="Arial" w:hAnsi="Arial"/>
          <w:spacing w:val="-29"/>
          <w:w w:val="105"/>
          <w:sz w:val="19"/>
        </w:rPr>
        <w:t xml:space="preserve"> </w:t>
      </w:r>
      <w:r>
        <w:rPr>
          <w:rFonts w:ascii="Arial" w:hAnsi="Arial"/>
          <w:w w:val="105"/>
          <w:sz w:val="19"/>
        </w:rPr>
        <w:t>was</w:t>
      </w:r>
      <w:r>
        <w:rPr>
          <w:rFonts w:ascii="Arial" w:hAnsi="Arial"/>
          <w:spacing w:val="-28"/>
          <w:w w:val="105"/>
          <w:sz w:val="19"/>
        </w:rPr>
        <w:t xml:space="preserve"> </w:t>
      </w:r>
      <w:r>
        <w:rPr>
          <w:rFonts w:ascii="Arial" w:hAnsi="Arial"/>
          <w:w w:val="105"/>
          <w:sz w:val="19"/>
        </w:rPr>
        <w:t>followed</w:t>
      </w:r>
      <w:r>
        <w:rPr>
          <w:rFonts w:ascii="Arial" w:hAnsi="Arial"/>
          <w:spacing w:val="-29"/>
          <w:w w:val="105"/>
          <w:sz w:val="19"/>
        </w:rPr>
        <w:t xml:space="preserve"> </w:t>
      </w:r>
      <w:r>
        <w:rPr>
          <w:rFonts w:ascii="Arial" w:hAnsi="Arial"/>
          <w:w w:val="105"/>
          <w:sz w:val="19"/>
        </w:rPr>
        <w:t>by</w:t>
      </w:r>
      <w:r>
        <w:rPr>
          <w:rFonts w:ascii="Arial" w:hAnsi="Arial"/>
          <w:spacing w:val="-29"/>
          <w:w w:val="105"/>
          <w:sz w:val="19"/>
        </w:rPr>
        <w:t xml:space="preserve"> </w:t>
      </w:r>
      <w:r>
        <w:rPr>
          <w:rFonts w:ascii="Arial" w:hAnsi="Arial"/>
          <w:w w:val="105"/>
          <w:sz w:val="19"/>
        </w:rPr>
        <w:t>a</w:t>
      </w:r>
      <w:r>
        <w:rPr>
          <w:rFonts w:ascii="Arial" w:hAnsi="Arial"/>
          <w:spacing w:val="-27"/>
          <w:w w:val="105"/>
          <w:sz w:val="19"/>
        </w:rPr>
        <w:t xml:space="preserve"> </w:t>
      </w:r>
      <w:r>
        <w:rPr>
          <w:rFonts w:ascii="Arial" w:hAnsi="Arial"/>
          <w:w w:val="105"/>
          <w:sz w:val="19"/>
        </w:rPr>
        <w:t>further</w:t>
      </w:r>
      <w:r>
        <w:rPr>
          <w:rFonts w:ascii="Arial" w:hAnsi="Arial"/>
          <w:spacing w:val="-29"/>
          <w:w w:val="105"/>
          <w:sz w:val="19"/>
        </w:rPr>
        <w:t xml:space="preserve"> </w:t>
      </w:r>
      <w:r>
        <w:rPr>
          <w:rFonts w:ascii="Arial" w:hAnsi="Arial"/>
          <w:w w:val="105"/>
          <w:sz w:val="19"/>
        </w:rPr>
        <w:t>teleconference</w:t>
      </w:r>
      <w:r>
        <w:rPr>
          <w:rFonts w:ascii="Arial" w:hAnsi="Arial"/>
          <w:spacing w:val="-29"/>
          <w:w w:val="105"/>
          <w:sz w:val="19"/>
        </w:rPr>
        <w:t xml:space="preserve"> </w:t>
      </w:r>
      <w:r>
        <w:rPr>
          <w:rFonts w:ascii="Arial" w:hAnsi="Arial"/>
          <w:w w:val="105"/>
          <w:sz w:val="19"/>
        </w:rPr>
        <w:t>with</w:t>
      </w:r>
      <w:r>
        <w:rPr>
          <w:rFonts w:ascii="Arial" w:hAnsi="Arial"/>
          <w:spacing w:val="-29"/>
          <w:w w:val="105"/>
          <w:sz w:val="19"/>
        </w:rPr>
        <w:t xml:space="preserve"> </w:t>
      </w:r>
      <w:r>
        <w:rPr>
          <w:rFonts w:ascii="Arial" w:hAnsi="Arial"/>
          <w:w w:val="105"/>
          <w:sz w:val="19"/>
        </w:rPr>
        <w:t>OBPR</w:t>
      </w:r>
      <w:r>
        <w:rPr>
          <w:rFonts w:ascii="Arial" w:hAnsi="Arial"/>
          <w:spacing w:val="-29"/>
          <w:w w:val="105"/>
          <w:sz w:val="19"/>
        </w:rPr>
        <w:t xml:space="preserve"> </w:t>
      </w:r>
      <w:r>
        <w:rPr>
          <w:rFonts w:ascii="Arial" w:hAnsi="Arial"/>
          <w:w w:val="105"/>
          <w:sz w:val="19"/>
        </w:rPr>
        <w:t>to</w:t>
      </w:r>
      <w:r>
        <w:rPr>
          <w:rFonts w:ascii="Arial" w:hAnsi="Arial"/>
          <w:spacing w:val="-28"/>
          <w:w w:val="105"/>
          <w:sz w:val="19"/>
        </w:rPr>
        <w:t xml:space="preserve"> </w:t>
      </w:r>
      <w:r>
        <w:rPr>
          <w:rFonts w:ascii="Arial" w:hAnsi="Arial"/>
          <w:w w:val="105"/>
          <w:sz w:val="19"/>
        </w:rPr>
        <w:t>discuss</w:t>
      </w:r>
      <w:r>
        <w:rPr>
          <w:rFonts w:ascii="Arial" w:hAnsi="Arial"/>
          <w:spacing w:val="-29"/>
          <w:w w:val="105"/>
          <w:sz w:val="19"/>
        </w:rPr>
        <w:t xml:space="preserve"> </w:t>
      </w:r>
      <w:r>
        <w:rPr>
          <w:rFonts w:ascii="Arial" w:hAnsi="Arial"/>
          <w:w w:val="105"/>
          <w:sz w:val="19"/>
        </w:rPr>
        <w:t>a preliminary</w:t>
      </w:r>
      <w:r>
        <w:rPr>
          <w:rFonts w:ascii="Arial" w:hAnsi="Arial"/>
          <w:spacing w:val="-10"/>
          <w:w w:val="105"/>
          <w:sz w:val="19"/>
        </w:rPr>
        <w:t xml:space="preserve"> </w:t>
      </w:r>
      <w:r>
        <w:rPr>
          <w:rFonts w:ascii="Arial" w:hAnsi="Arial"/>
          <w:w w:val="105"/>
          <w:sz w:val="19"/>
        </w:rPr>
        <w:t>draft</w:t>
      </w:r>
      <w:r>
        <w:rPr>
          <w:rFonts w:ascii="Arial" w:hAnsi="Arial"/>
          <w:spacing w:val="-10"/>
          <w:w w:val="105"/>
          <w:sz w:val="19"/>
        </w:rPr>
        <w:t xml:space="preserve"> </w:t>
      </w:r>
      <w:r>
        <w:rPr>
          <w:rFonts w:ascii="Arial" w:hAnsi="Arial"/>
          <w:w w:val="105"/>
          <w:sz w:val="19"/>
        </w:rPr>
        <w:t>report</w:t>
      </w:r>
      <w:r>
        <w:rPr>
          <w:rFonts w:ascii="Arial" w:hAnsi="Arial"/>
          <w:spacing w:val="-11"/>
          <w:w w:val="105"/>
          <w:sz w:val="19"/>
        </w:rPr>
        <w:t xml:space="preserve"> </w:t>
      </w:r>
      <w:r>
        <w:rPr>
          <w:rFonts w:ascii="Arial" w:hAnsi="Arial"/>
          <w:w w:val="105"/>
          <w:sz w:val="19"/>
        </w:rPr>
        <w:t>in</w:t>
      </w:r>
      <w:r>
        <w:rPr>
          <w:rFonts w:ascii="Arial" w:hAnsi="Arial"/>
          <w:spacing w:val="-8"/>
          <w:w w:val="105"/>
          <w:sz w:val="19"/>
        </w:rPr>
        <w:t xml:space="preserve"> </w:t>
      </w:r>
      <w:r>
        <w:rPr>
          <w:rFonts w:ascii="Arial" w:hAnsi="Arial"/>
          <w:w w:val="105"/>
          <w:sz w:val="19"/>
        </w:rPr>
        <w:t>May</w:t>
      </w:r>
      <w:r>
        <w:rPr>
          <w:rFonts w:ascii="Arial" w:hAnsi="Arial"/>
          <w:spacing w:val="-11"/>
          <w:w w:val="105"/>
          <w:sz w:val="19"/>
        </w:rPr>
        <w:t xml:space="preserve"> </w:t>
      </w:r>
      <w:r>
        <w:rPr>
          <w:rFonts w:ascii="Arial" w:hAnsi="Arial"/>
          <w:w w:val="105"/>
          <w:sz w:val="19"/>
        </w:rPr>
        <w:t>2020.</w:t>
      </w:r>
    </w:p>
    <w:p w:rsidR="007D76BB" w:rsidRDefault="007D76BB">
      <w:pPr>
        <w:pStyle w:val="BodyText"/>
        <w:rPr>
          <w:rFonts w:ascii="Arial"/>
          <w:sz w:val="20"/>
        </w:rPr>
      </w:pPr>
    </w:p>
    <w:p w:rsidR="007D76BB" w:rsidRDefault="00D70D28">
      <w:pPr>
        <w:pStyle w:val="BodyText"/>
        <w:spacing w:before="1"/>
        <w:rPr>
          <w:rFonts w:ascii="Arial"/>
          <w:sz w:val="14"/>
        </w:rPr>
      </w:pPr>
      <w:r>
        <w:rPr>
          <w:noProof/>
          <w:lang w:val="en-AU" w:eastAsia="en-AU"/>
        </w:rPr>
        <mc:AlternateContent>
          <mc:Choice Requires="wps">
            <w:drawing>
              <wp:anchor distT="0" distB="0" distL="0" distR="0" simplePos="0" relativeHeight="251695104" behindDoc="1" locked="0" layoutInCell="1" allowOverlap="1">
                <wp:simplePos x="0" y="0"/>
                <wp:positionH relativeFrom="page">
                  <wp:posOffset>1080770</wp:posOffset>
                </wp:positionH>
                <wp:positionV relativeFrom="paragraph">
                  <wp:posOffset>133350</wp:posOffset>
                </wp:positionV>
                <wp:extent cx="1829435" cy="1270"/>
                <wp:effectExtent l="0" t="0" r="0" b="0"/>
                <wp:wrapTopAndBottom/>
                <wp:docPr id="368"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5C851" id="Freeform 224" o:spid="_x0000_s1026" style="position:absolute;margin-left:85.1pt;margin-top:10.5pt;width:144.05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" path="m,l2880,e" filled="f" strokeweight=".84pt">
                <v:path arrowok="t" o:connecttype="custom" o:connectlocs="0,0;1828800,0" o:connectangles="0,0"/>
                <w10:wrap type="topAndBottom" anchorx="page"/>
              </v:shape>
            </w:pict>
          </mc:Fallback>
        </mc:AlternateContent>
      </w:r>
    </w:p>
    <w:p w:rsidR="007D76BB" w:rsidRDefault="00D70D28">
      <w:pPr>
        <w:spacing w:before="132"/>
        <w:ind w:left="482"/>
        <w:rPr>
          <w:rFonts w:ascii="Arial" w:hAnsi="Arial"/>
          <w:sz w:val="14"/>
        </w:rPr>
      </w:pPr>
      <w:r>
        <w:rPr>
          <w:rFonts w:ascii="Arial" w:hAnsi="Arial"/>
          <w:color w:val="5B6761"/>
          <w:w w:val="105"/>
          <w:position w:val="5"/>
          <w:sz w:val="8"/>
        </w:rPr>
        <w:t xml:space="preserve">8 </w:t>
      </w:r>
      <w:r>
        <w:rPr>
          <w:rFonts w:ascii="Arial" w:hAnsi="Arial"/>
          <w:color w:val="5B6761"/>
          <w:w w:val="105"/>
          <w:sz w:val="14"/>
        </w:rPr>
        <w:t>Department of the Prime Minister and Cabinet, ‘Regulatory burden measurement framework guidance note’, 30 March 2020, see &lt;</w:t>
      </w:r>
    </w:p>
    <w:p w:rsidR="007D76BB" w:rsidRDefault="00A51832">
      <w:pPr>
        <w:spacing w:before="19"/>
        <w:ind w:left="594"/>
        <w:rPr>
          <w:rFonts w:ascii="Arial"/>
          <w:sz w:val="14"/>
        </w:rPr>
      </w:pPr>
      <w:hyperlink r:id="rId183">
        <w:r w:rsidR="00D70D28">
          <w:rPr>
            <w:rFonts w:ascii="Arial"/>
            <w:w w:val="110"/>
            <w:sz w:val="14"/>
            <w:u w:val="single" w:color="006FC0"/>
          </w:rPr>
          <w:t>https://www.pmc.gov.au/resource-centre/regulation/regulatory-burden-measurement-framework-guidance-note</w:t>
        </w:r>
      </w:hyperlink>
      <w:r w:rsidR="00D70D28">
        <w:rPr>
          <w:rFonts w:ascii="Arial"/>
          <w:color w:val="5B6761"/>
          <w:w w:val="110"/>
          <w:sz w:val="14"/>
        </w:rPr>
        <w:t>&gt;.</w:t>
      </w:r>
    </w:p>
    <w:p w:rsidR="007D76BB" w:rsidRDefault="007D76BB">
      <w:pPr>
        <w:rPr>
          <w:rFonts w:ascii="Arial"/>
          <w:sz w:val="14"/>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8"/>
        </w:rPr>
      </w:pPr>
    </w:p>
    <w:p w:rsidR="007D76BB" w:rsidRDefault="00D70D28">
      <w:pPr>
        <w:spacing w:before="108" w:line="264" w:lineRule="auto"/>
        <w:ind w:left="482" w:right="688"/>
        <w:rPr>
          <w:rFonts w:ascii="Arial"/>
          <w:sz w:val="19"/>
        </w:rPr>
      </w:pPr>
      <w:r>
        <w:rPr>
          <w:rFonts w:ascii="Arial"/>
          <w:w w:val="105"/>
          <w:sz w:val="19"/>
        </w:rPr>
        <w:t>Noetic relied on advice provided by the Department and previous regulatory costings for the quantification</w:t>
      </w:r>
      <w:r>
        <w:rPr>
          <w:rFonts w:ascii="Arial"/>
          <w:spacing w:val="-20"/>
          <w:w w:val="105"/>
          <w:sz w:val="19"/>
        </w:rPr>
        <w:t xml:space="preserve"> </w:t>
      </w:r>
      <w:r>
        <w:rPr>
          <w:rFonts w:ascii="Arial"/>
          <w:w w:val="105"/>
          <w:sz w:val="19"/>
        </w:rPr>
        <w:t>of</w:t>
      </w:r>
      <w:r>
        <w:rPr>
          <w:rFonts w:ascii="Arial"/>
          <w:spacing w:val="-21"/>
          <w:w w:val="105"/>
          <w:sz w:val="19"/>
        </w:rPr>
        <w:t xml:space="preserve"> </w:t>
      </w:r>
      <w:r>
        <w:rPr>
          <w:rFonts w:ascii="Arial"/>
          <w:w w:val="105"/>
          <w:sz w:val="19"/>
        </w:rPr>
        <w:t>existing</w:t>
      </w:r>
      <w:r>
        <w:rPr>
          <w:rFonts w:ascii="Arial"/>
          <w:spacing w:val="-22"/>
          <w:w w:val="105"/>
          <w:sz w:val="19"/>
        </w:rPr>
        <w:t xml:space="preserve"> </w:t>
      </w:r>
      <w:r>
        <w:rPr>
          <w:rFonts w:ascii="Arial"/>
          <w:w w:val="105"/>
          <w:sz w:val="19"/>
        </w:rPr>
        <w:t>regulatory</w:t>
      </w:r>
      <w:r>
        <w:rPr>
          <w:rFonts w:ascii="Arial"/>
          <w:spacing w:val="-21"/>
          <w:w w:val="105"/>
          <w:sz w:val="19"/>
        </w:rPr>
        <w:t xml:space="preserve"> </w:t>
      </w:r>
      <w:r>
        <w:rPr>
          <w:rFonts w:ascii="Arial"/>
          <w:w w:val="105"/>
          <w:sz w:val="19"/>
        </w:rPr>
        <w:t>activities</w:t>
      </w:r>
      <w:r>
        <w:rPr>
          <w:rFonts w:ascii="Arial"/>
          <w:spacing w:val="-21"/>
          <w:w w:val="105"/>
          <w:sz w:val="19"/>
        </w:rPr>
        <w:t xml:space="preserve"> </w:t>
      </w:r>
      <w:r>
        <w:rPr>
          <w:rFonts w:ascii="Arial"/>
          <w:w w:val="105"/>
          <w:sz w:val="19"/>
        </w:rPr>
        <w:t>(albeit</w:t>
      </w:r>
      <w:r>
        <w:rPr>
          <w:rFonts w:ascii="Arial"/>
          <w:spacing w:val="-21"/>
          <w:w w:val="105"/>
          <w:sz w:val="19"/>
        </w:rPr>
        <w:t xml:space="preserve"> </w:t>
      </w:r>
      <w:r>
        <w:rPr>
          <w:rFonts w:ascii="Arial"/>
          <w:w w:val="105"/>
          <w:sz w:val="19"/>
        </w:rPr>
        <w:t>applied</w:t>
      </w:r>
      <w:r>
        <w:rPr>
          <w:rFonts w:ascii="Arial"/>
          <w:spacing w:val="-21"/>
          <w:w w:val="105"/>
          <w:sz w:val="19"/>
        </w:rPr>
        <w:t xml:space="preserve"> </w:t>
      </w:r>
      <w:r>
        <w:rPr>
          <w:rFonts w:ascii="Arial"/>
          <w:w w:val="105"/>
          <w:sz w:val="19"/>
        </w:rPr>
        <w:t>to</w:t>
      </w:r>
      <w:r>
        <w:rPr>
          <w:rFonts w:ascii="Arial"/>
          <w:spacing w:val="-21"/>
          <w:w w:val="105"/>
          <w:sz w:val="19"/>
        </w:rPr>
        <w:t xml:space="preserve"> </w:t>
      </w:r>
      <w:r>
        <w:rPr>
          <w:rFonts w:ascii="Arial"/>
          <w:w w:val="105"/>
          <w:sz w:val="19"/>
        </w:rPr>
        <w:t>a</w:t>
      </w:r>
      <w:r>
        <w:rPr>
          <w:rFonts w:ascii="Arial"/>
          <w:spacing w:val="-21"/>
          <w:w w:val="105"/>
          <w:sz w:val="19"/>
        </w:rPr>
        <w:t xml:space="preserve"> </w:t>
      </w:r>
      <w:r>
        <w:rPr>
          <w:rFonts w:ascii="Arial"/>
          <w:w w:val="105"/>
          <w:sz w:val="19"/>
        </w:rPr>
        <w:t>new</w:t>
      </w:r>
      <w:r>
        <w:rPr>
          <w:rFonts w:ascii="Arial"/>
          <w:spacing w:val="-21"/>
          <w:w w:val="105"/>
          <w:sz w:val="19"/>
        </w:rPr>
        <w:t xml:space="preserve"> </w:t>
      </w:r>
      <w:r>
        <w:rPr>
          <w:rFonts w:ascii="Arial"/>
          <w:w w:val="105"/>
          <w:sz w:val="19"/>
        </w:rPr>
        <w:t>population</w:t>
      </w:r>
      <w:r>
        <w:rPr>
          <w:rFonts w:ascii="Arial"/>
          <w:spacing w:val="-21"/>
          <w:w w:val="105"/>
          <w:sz w:val="19"/>
        </w:rPr>
        <w:t xml:space="preserve"> </w:t>
      </w:r>
      <w:r>
        <w:rPr>
          <w:rFonts w:ascii="Arial"/>
          <w:w w:val="105"/>
          <w:sz w:val="19"/>
        </w:rPr>
        <w:t>of</w:t>
      </w:r>
      <w:r>
        <w:rPr>
          <w:rFonts w:ascii="Arial"/>
          <w:spacing w:val="-22"/>
          <w:w w:val="105"/>
          <w:sz w:val="19"/>
        </w:rPr>
        <w:t xml:space="preserve"> </w:t>
      </w:r>
      <w:r>
        <w:rPr>
          <w:rFonts w:ascii="Arial"/>
          <w:w w:val="105"/>
          <w:sz w:val="19"/>
        </w:rPr>
        <w:t>sponsors</w:t>
      </w:r>
      <w:r>
        <w:rPr>
          <w:rFonts w:ascii="Arial"/>
          <w:spacing w:val="-20"/>
          <w:w w:val="105"/>
          <w:sz w:val="19"/>
        </w:rPr>
        <w:t xml:space="preserve"> </w:t>
      </w:r>
      <w:r>
        <w:rPr>
          <w:rFonts w:ascii="Arial"/>
          <w:w w:val="105"/>
          <w:sz w:val="19"/>
        </w:rPr>
        <w:t>and manufacturers), such as the regulatory burden arising from listing a product in the Australian Register</w:t>
      </w:r>
      <w:r>
        <w:rPr>
          <w:rFonts w:ascii="Arial"/>
          <w:spacing w:val="-12"/>
          <w:w w:val="105"/>
          <w:sz w:val="19"/>
        </w:rPr>
        <w:t xml:space="preserve"> </w:t>
      </w:r>
      <w:r>
        <w:rPr>
          <w:rFonts w:ascii="Arial"/>
          <w:w w:val="105"/>
          <w:sz w:val="19"/>
        </w:rPr>
        <w:t>of</w:t>
      </w:r>
      <w:r>
        <w:rPr>
          <w:rFonts w:ascii="Arial"/>
          <w:spacing w:val="-13"/>
          <w:w w:val="105"/>
          <w:sz w:val="19"/>
        </w:rPr>
        <w:t xml:space="preserve"> </w:t>
      </w:r>
      <w:r>
        <w:rPr>
          <w:rFonts w:ascii="Arial"/>
          <w:w w:val="105"/>
          <w:sz w:val="19"/>
        </w:rPr>
        <w:t>Therapeutic</w:t>
      </w:r>
      <w:r>
        <w:rPr>
          <w:rFonts w:ascii="Arial"/>
          <w:spacing w:val="-13"/>
          <w:w w:val="105"/>
          <w:sz w:val="19"/>
        </w:rPr>
        <w:t xml:space="preserve"> </w:t>
      </w:r>
      <w:r>
        <w:rPr>
          <w:rFonts w:ascii="Arial"/>
          <w:w w:val="105"/>
          <w:sz w:val="19"/>
        </w:rPr>
        <w:t>Goods</w:t>
      </w:r>
      <w:r>
        <w:rPr>
          <w:rFonts w:ascii="Arial"/>
          <w:spacing w:val="-13"/>
          <w:w w:val="105"/>
          <w:sz w:val="19"/>
        </w:rPr>
        <w:t xml:space="preserve"> </w:t>
      </w:r>
      <w:r>
        <w:rPr>
          <w:rFonts w:ascii="Arial"/>
          <w:w w:val="105"/>
          <w:sz w:val="19"/>
        </w:rPr>
        <w:t>(ARTG).</w:t>
      </w:r>
    </w:p>
    <w:p w:rsidR="007D76BB" w:rsidRDefault="00D70D28">
      <w:pPr>
        <w:spacing w:before="181" w:line="266" w:lineRule="auto"/>
        <w:ind w:left="482" w:right="688"/>
        <w:rPr>
          <w:rFonts w:ascii="Arial"/>
          <w:sz w:val="19"/>
        </w:rPr>
      </w:pPr>
      <w:r>
        <w:rPr>
          <w:rFonts w:ascii="Arial"/>
          <w:w w:val="105"/>
          <w:sz w:val="19"/>
        </w:rPr>
        <w:t>Specifically,</w:t>
      </w:r>
      <w:r>
        <w:rPr>
          <w:rFonts w:ascii="Arial"/>
          <w:spacing w:val="-24"/>
          <w:w w:val="105"/>
          <w:sz w:val="19"/>
        </w:rPr>
        <w:t xml:space="preserve"> </w:t>
      </w:r>
      <w:r>
        <w:rPr>
          <w:rFonts w:ascii="Arial"/>
          <w:w w:val="105"/>
          <w:sz w:val="19"/>
        </w:rPr>
        <w:t>Noetic</w:t>
      </w:r>
      <w:r>
        <w:rPr>
          <w:rFonts w:ascii="Arial"/>
          <w:spacing w:val="-25"/>
          <w:w w:val="105"/>
          <w:sz w:val="19"/>
        </w:rPr>
        <w:t xml:space="preserve"> </w:t>
      </w:r>
      <w:r>
        <w:rPr>
          <w:rFonts w:ascii="Arial"/>
          <w:w w:val="105"/>
          <w:sz w:val="19"/>
        </w:rPr>
        <w:t>has</w:t>
      </w:r>
      <w:r>
        <w:rPr>
          <w:rFonts w:ascii="Arial"/>
          <w:spacing w:val="-25"/>
          <w:w w:val="105"/>
          <w:sz w:val="19"/>
        </w:rPr>
        <w:t xml:space="preserve"> </w:t>
      </w:r>
      <w:r>
        <w:rPr>
          <w:rFonts w:ascii="Arial"/>
          <w:w w:val="105"/>
          <w:sz w:val="19"/>
        </w:rPr>
        <w:t>considered</w:t>
      </w:r>
      <w:r>
        <w:rPr>
          <w:rFonts w:ascii="Arial"/>
          <w:spacing w:val="-25"/>
          <w:w w:val="105"/>
          <w:sz w:val="19"/>
        </w:rPr>
        <w:t xml:space="preserve"> </w:t>
      </w:r>
      <w:r>
        <w:rPr>
          <w:rFonts w:ascii="Arial"/>
          <w:w w:val="105"/>
          <w:sz w:val="19"/>
        </w:rPr>
        <w:t>the</w:t>
      </w:r>
      <w:r>
        <w:rPr>
          <w:rFonts w:ascii="Arial"/>
          <w:spacing w:val="-23"/>
          <w:w w:val="105"/>
          <w:sz w:val="19"/>
        </w:rPr>
        <w:t xml:space="preserve"> </w:t>
      </w:r>
      <w:r>
        <w:rPr>
          <w:rFonts w:ascii="Arial"/>
          <w:w w:val="105"/>
          <w:sz w:val="19"/>
        </w:rPr>
        <w:t>following</w:t>
      </w:r>
      <w:r>
        <w:rPr>
          <w:rFonts w:ascii="Arial"/>
          <w:spacing w:val="-24"/>
          <w:w w:val="105"/>
          <w:sz w:val="19"/>
        </w:rPr>
        <w:t xml:space="preserve"> </w:t>
      </w:r>
      <w:r>
        <w:rPr>
          <w:rFonts w:ascii="Arial"/>
          <w:w w:val="105"/>
          <w:sz w:val="19"/>
        </w:rPr>
        <w:t>options</w:t>
      </w:r>
      <w:r>
        <w:rPr>
          <w:rFonts w:ascii="Arial"/>
          <w:spacing w:val="-24"/>
          <w:w w:val="105"/>
          <w:sz w:val="19"/>
        </w:rPr>
        <w:t xml:space="preserve"> </w:t>
      </w:r>
      <w:r>
        <w:rPr>
          <w:rFonts w:ascii="Arial"/>
          <w:w w:val="105"/>
          <w:sz w:val="19"/>
        </w:rPr>
        <w:t>in</w:t>
      </w:r>
      <w:r>
        <w:rPr>
          <w:rFonts w:ascii="Arial"/>
          <w:spacing w:val="-24"/>
          <w:w w:val="105"/>
          <w:sz w:val="19"/>
        </w:rPr>
        <w:t xml:space="preserve"> </w:t>
      </w:r>
      <w:r>
        <w:rPr>
          <w:rFonts w:ascii="Arial"/>
          <w:w w:val="105"/>
          <w:sz w:val="19"/>
        </w:rPr>
        <w:t>the</w:t>
      </w:r>
      <w:r>
        <w:rPr>
          <w:rFonts w:ascii="Arial"/>
          <w:spacing w:val="-25"/>
          <w:w w:val="105"/>
          <w:sz w:val="19"/>
        </w:rPr>
        <w:t xml:space="preserve"> </w:t>
      </w:r>
      <w:r>
        <w:rPr>
          <w:rFonts w:ascii="Arial"/>
          <w:w w:val="105"/>
          <w:sz w:val="19"/>
        </w:rPr>
        <w:t>preparation</w:t>
      </w:r>
      <w:r>
        <w:rPr>
          <w:rFonts w:ascii="Arial"/>
          <w:spacing w:val="-25"/>
          <w:w w:val="105"/>
          <w:sz w:val="19"/>
        </w:rPr>
        <w:t xml:space="preserve"> </w:t>
      </w:r>
      <w:r>
        <w:rPr>
          <w:rFonts w:ascii="Arial"/>
          <w:w w:val="105"/>
          <w:sz w:val="19"/>
        </w:rPr>
        <w:t>of</w:t>
      </w:r>
      <w:r>
        <w:rPr>
          <w:rFonts w:ascii="Arial"/>
          <w:spacing w:val="-24"/>
          <w:w w:val="105"/>
          <w:sz w:val="19"/>
        </w:rPr>
        <w:t xml:space="preserve"> </w:t>
      </w:r>
      <w:r>
        <w:rPr>
          <w:rFonts w:ascii="Arial"/>
          <w:w w:val="105"/>
          <w:sz w:val="19"/>
        </w:rPr>
        <w:t>these</w:t>
      </w:r>
      <w:r>
        <w:rPr>
          <w:rFonts w:ascii="Arial"/>
          <w:spacing w:val="-24"/>
          <w:w w:val="105"/>
          <w:sz w:val="19"/>
        </w:rPr>
        <w:t xml:space="preserve"> </w:t>
      </w:r>
      <w:r>
        <w:rPr>
          <w:rFonts w:ascii="Arial"/>
          <w:w w:val="105"/>
          <w:sz w:val="19"/>
        </w:rPr>
        <w:t>regulatory costings:</w:t>
      </w:r>
    </w:p>
    <w:p w:rsidR="007D76BB" w:rsidRDefault="00D70D28">
      <w:pPr>
        <w:pStyle w:val="ListParagraph"/>
        <w:numPr>
          <w:ilvl w:val="0"/>
          <w:numId w:val="10"/>
        </w:numPr>
        <w:tabs>
          <w:tab w:val="left" w:pos="766"/>
        </w:tabs>
        <w:spacing w:before="74" w:line="268" w:lineRule="auto"/>
        <w:ind w:right="1134"/>
        <w:rPr>
          <w:rFonts w:ascii="Arial" w:hAnsi="Arial"/>
          <w:sz w:val="19"/>
        </w:rPr>
      </w:pPr>
      <w:r>
        <w:rPr>
          <w:rFonts w:ascii="Arial" w:hAnsi="Arial"/>
          <w:w w:val="105"/>
          <w:sz w:val="19"/>
        </w:rPr>
        <w:t>Option</w:t>
      </w:r>
      <w:r>
        <w:rPr>
          <w:rFonts w:ascii="Arial" w:hAnsi="Arial"/>
          <w:spacing w:val="-24"/>
          <w:w w:val="105"/>
          <w:sz w:val="19"/>
        </w:rPr>
        <w:t xml:space="preserve"> </w:t>
      </w:r>
      <w:r>
        <w:rPr>
          <w:rFonts w:ascii="Arial" w:hAnsi="Arial"/>
          <w:sz w:val="19"/>
        </w:rPr>
        <w:t>1</w:t>
      </w:r>
      <w:r>
        <w:rPr>
          <w:rFonts w:ascii="Arial" w:hAnsi="Arial"/>
          <w:spacing w:val="-18"/>
          <w:sz w:val="19"/>
        </w:rPr>
        <w:t xml:space="preserve"> </w:t>
      </w:r>
      <w:r>
        <w:rPr>
          <w:rFonts w:ascii="Arial" w:hAnsi="Arial"/>
          <w:w w:val="105"/>
          <w:sz w:val="19"/>
        </w:rPr>
        <w:t>(Status</w:t>
      </w:r>
      <w:r>
        <w:rPr>
          <w:rFonts w:ascii="Arial" w:hAnsi="Arial"/>
          <w:spacing w:val="-24"/>
          <w:w w:val="105"/>
          <w:sz w:val="19"/>
        </w:rPr>
        <w:t xml:space="preserve"> </w:t>
      </w:r>
      <w:r>
        <w:rPr>
          <w:rFonts w:ascii="Arial" w:hAnsi="Arial"/>
          <w:w w:val="105"/>
          <w:sz w:val="19"/>
        </w:rPr>
        <w:t>quo</w:t>
      </w:r>
      <w:r>
        <w:rPr>
          <w:rFonts w:ascii="Arial" w:hAnsi="Arial"/>
          <w:spacing w:val="-24"/>
          <w:w w:val="105"/>
          <w:sz w:val="19"/>
        </w:rPr>
        <w:t xml:space="preserve"> </w:t>
      </w:r>
      <w:r>
        <w:rPr>
          <w:rFonts w:ascii="Arial" w:hAnsi="Arial"/>
          <w:w w:val="105"/>
          <w:sz w:val="19"/>
        </w:rPr>
        <w:t>option):</w:t>
      </w:r>
      <w:r>
        <w:rPr>
          <w:rFonts w:ascii="Arial" w:hAnsi="Arial"/>
          <w:spacing w:val="-24"/>
          <w:w w:val="105"/>
          <w:sz w:val="19"/>
        </w:rPr>
        <w:t xml:space="preserve"> </w:t>
      </w:r>
      <w:r>
        <w:rPr>
          <w:rFonts w:ascii="Arial" w:hAnsi="Arial"/>
          <w:w w:val="105"/>
          <w:sz w:val="19"/>
        </w:rPr>
        <w:t>No</w:t>
      </w:r>
      <w:r>
        <w:rPr>
          <w:rFonts w:ascii="Arial" w:hAnsi="Arial"/>
          <w:spacing w:val="-23"/>
          <w:w w:val="105"/>
          <w:sz w:val="19"/>
        </w:rPr>
        <w:t xml:space="preserve"> </w:t>
      </w:r>
      <w:r>
        <w:rPr>
          <w:rFonts w:ascii="Arial" w:hAnsi="Arial"/>
          <w:w w:val="105"/>
          <w:sz w:val="19"/>
        </w:rPr>
        <w:t>clarification</w:t>
      </w:r>
      <w:r>
        <w:rPr>
          <w:rFonts w:ascii="Arial" w:hAnsi="Arial"/>
          <w:spacing w:val="-20"/>
          <w:w w:val="105"/>
          <w:sz w:val="19"/>
        </w:rPr>
        <w:t xml:space="preserve"> </w:t>
      </w:r>
      <w:r>
        <w:rPr>
          <w:rFonts w:ascii="Arial" w:hAnsi="Arial"/>
          <w:w w:val="105"/>
          <w:sz w:val="19"/>
        </w:rPr>
        <w:t>of</w:t>
      </w:r>
      <w:r>
        <w:rPr>
          <w:rFonts w:ascii="Arial" w:hAnsi="Arial"/>
          <w:spacing w:val="-23"/>
          <w:w w:val="105"/>
          <w:sz w:val="19"/>
        </w:rPr>
        <w:t xml:space="preserve"> </w:t>
      </w:r>
      <w:r>
        <w:rPr>
          <w:rFonts w:ascii="Arial" w:hAnsi="Arial"/>
          <w:w w:val="105"/>
          <w:sz w:val="19"/>
        </w:rPr>
        <w:t>the</w:t>
      </w:r>
      <w:r>
        <w:rPr>
          <w:rFonts w:ascii="Arial" w:hAnsi="Arial"/>
          <w:spacing w:val="-23"/>
          <w:w w:val="105"/>
          <w:sz w:val="19"/>
        </w:rPr>
        <w:t xml:space="preserve"> </w:t>
      </w:r>
      <w:r>
        <w:rPr>
          <w:rFonts w:ascii="Arial" w:hAnsi="Arial"/>
          <w:w w:val="105"/>
          <w:sz w:val="19"/>
        </w:rPr>
        <w:t>therapeutic</w:t>
      </w:r>
      <w:r>
        <w:rPr>
          <w:rFonts w:ascii="Arial" w:hAnsi="Arial"/>
          <w:spacing w:val="-23"/>
          <w:w w:val="105"/>
          <w:sz w:val="19"/>
        </w:rPr>
        <w:t xml:space="preserve"> </w:t>
      </w:r>
      <w:r>
        <w:rPr>
          <w:rFonts w:ascii="Arial" w:hAnsi="Arial"/>
          <w:w w:val="105"/>
          <w:sz w:val="19"/>
        </w:rPr>
        <w:t>goods</w:t>
      </w:r>
      <w:r>
        <w:rPr>
          <w:rFonts w:ascii="Arial" w:hAnsi="Arial"/>
          <w:spacing w:val="-22"/>
          <w:w w:val="105"/>
          <w:sz w:val="19"/>
        </w:rPr>
        <w:t xml:space="preserve"> </w:t>
      </w:r>
      <w:r>
        <w:rPr>
          <w:rFonts w:ascii="Arial" w:hAnsi="Arial"/>
          <w:w w:val="105"/>
          <w:sz w:val="19"/>
        </w:rPr>
        <w:t>regulatory</w:t>
      </w:r>
      <w:r>
        <w:rPr>
          <w:rFonts w:ascii="Arial" w:hAnsi="Arial"/>
          <w:spacing w:val="-21"/>
          <w:w w:val="105"/>
          <w:sz w:val="19"/>
        </w:rPr>
        <w:t xml:space="preserve"> </w:t>
      </w:r>
      <w:r>
        <w:rPr>
          <w:rFonts w:ascii="Arial" w:hAnsi="Arial"/>
          <w:w w:val="105"/>
          <w:sz w:val="19"/>
        </w:rPr>
        <w:t>framework</w:t>
      </w:r>
      <w:r>
        <w:rPr>
          <w:rFonts w:ascii="Arial" w:hAnsi="Arial"/>
          <w:spacing w:val="-22"/>
          <w:w w:val="105"/>
          <w:sz w:val="19"/>
        </w:rPr>
        <w:t xml:space="preserve"> </w:t>
      </w:r>
      <w:r>
        <w:rPr>
          <w:rFonts w:ascii="Arial" w:hAnsi="Arial"/>
          <w:w w:val="105"/>
          <w:sz w:val="19"/>
        </w:rPr>
        <w:t>is required;</w:t>
      </w:r>
      <w:r>
        <w:rPr>
          <w:rFonts w:ascii="Arial" w:hAnsi="Arial"/>
          <w:spacing w:val="-18"/>
          <w:w w:val="105"/>
          <w:sz w:val="19"/>
        </w:rPr>
        <w:t xml:space="preserve"> </w:t>
      </w:r>
      <w:r>
        <w:rPr>
          <w:rFonts w:ascii="Arial" w:hAnsi="Arial"/>
          <w:w w:val="105"/>
          <w:sz w:val="19"/>
        </w:rPr>
        <w:t>the</w:t>
      </w:r>
      <w:r>
        <w:rPr>
          <w:rFonts w:ascii="Arial" w:hAnsi="Arial"/>
          <w:spacing w:val="-20"/>
          <w:w w:val="105"/>
          <w:sz w:val="19"/>
        </w:rPr>
        <w:t xml:space="preserve"> </w:t>
      </w:r>
      <w:r>
        <w:rPr>
          <w:rFonts w:ascii="Arial" w:hAnsi="Arial"/>
          <w:w w:val="105"/>
          <w:sz w:val="19"/>
        </w:rPr>
        <w:t>current</w:t>
      </w:r>
      <w:r>
        <w:rPr>
          <w:rFonts w:ascii="Arial" w:hAnsi="Arial"/>
          <w:spacing w:val="-18"/>
          <w:w w:val="105"/>
          <w:sz w:val="19"/>
        </w:rPr>
        <w:t xml:space="preserve"> </w:t>
      </w:r>
      <w:r>
        <w:rPr>
          <w:rFonts w:ascii="Arial" w:hAnsi="Arial"/>
          <w:w w:val="105"/>
          <w:sz w:val="19"/>
        </w:rPr>
        <w:t>food</w:t>
      </w:r>
      <w:r>
        <w:rPr>
          <w:rFonts w:ascii="Arial" w:hAnsi="Arial"/>
          <w:spacing w:val="-20"/>
          <w:w w:val="105"/>
          <w:sz w:val="19"/>
        </w:rPr>
        <w:t xml:space="preserve"> </w:t>
      </w:r>
      <w:r>
        <w:rPr>
          <w:rFonts w:ascii="Arial" w:hAnsi="Arial"/>
          <w:w w:val="105"/>
          <w:sz w:val="19"/>
        </w:rPr>
        <w:t>and</w:t>
      </w:r>
      <w:r>
        <w:rPr>
          <w:rFonts w:ascii="Arial" w:hAnsi="Arial"/>
          <w:spacing w:val="-19"/>
          <w:w w:val="105"/>
          <w:sz w:val="19"/>
        </w:rPr>
        <w:t xml:space="preserve"> </w:t>
      </w:r>
      <w:r>
        <w:rPr>
          <w:rFonts w:ascii="Arial" w:hAnsi="Arial"/>
          <w:w w:val="105"/>
          <w:sz w:val="19"/>
        </w:rPr>
        <w:t>therapeutic</w:t>
      </w:r>
      <w:r>
        <w:rPr>
          <w:rFonts w:ascii="Arial" w:hAnsi="Arial"/>
          <w:spacing w:val="-18"/>
          <w:w w:val="105"/>
          <w:sz w:val="19"/>
        </w:rPr>
        <w:t xml:space="preserve"> </w:t>
      </w:r>
      <w:r>
        <w:rPr>
          <w:rFonts w:ascii="Arial" w:hAnsi="Arial"/>
          <w:w w:val="105"/>
          <w:sz w:val="19"/>
        </w:rPr>
        <w:t>goods</w:t>
      </w:r>
      <w:r>
        <w:rPr>
          <w:rFonts w:ascii="Arial" w:hAnsi="Arial"/>
          <w:spacing w:val="-17"/>
          <w:w w:val="105"/>
          <w:sz w:val="19"/>
        </w:rPr>
        <w:t xml:space="preserve"> </w:t>
      </w:r>
      <w:r>
        <w:rPr>
          <w:rFonts w:ascii="Arial" w:hAnsi="Arial"/>
          <w:w w:val="105"/>
          <w:sz w:val="19"/>
        </w:rPr>
        <w:t>regulatory</w:t>
      </w:r>
      <w:r>
        <w:rPr>
          <w:rFonts w:ascii="Arial" w:hAnsi="Arial"/>
          <w:spacing w:val="-18"/>
          <w:w w:val="105"/>
          <w:sz w:val="19"/>
        </w:rPr>
        <w:t xml:space="preserve"> </w:t>
      </w:r>
      <w:r>
        <w:rPr>
          <w:rFonts w:ascii="Arial" w:hAnsi="Arial"/>
          <w:w w:val="105"/>
          <w:sz w:val="19"/>
        </w:rPr>
        <w:t>frameworks</w:t>
      </w:r>
      <w:r>
        <w:rPr>
          <w:rFonts w:ascii="Arial" w:hAnsi="Arial"/>
          <w:spacing w:val="-19"/>
          <w:w w:val="105"/>
          <w:sz w:val="19"/>
        </w:rPr>
        <w:t xml:space="preserve"> </w:t>
      </w:r>
      <w:r>
        <w:rPr>
          <w:rFonts w:ascii="Arial" w:hAnsi="Arial"/>
          <w:w w:val="105"/>
          <w:sz w:val="19"/>
        </w:rPr>
        <w:t>are</w:t>
      </w:r>
      <w:r>
        <w:rPr>
          <w:rFonts w:ascii="Arial" w:hAnsi="Arial"/>
          <w:spacing w:val="-17"/>
          <w:w w:val="105"/>
          <w:sz w:val="19"/>
        </w:rPr>
        <w:t xml:space="preserve"> </w:t>
      </w:r>
      <w:r>
        <w:rPr>
          <w:rFonts w:ascii="Arial" w:hAnsi="Arial"/>
          <w:w w:val="105"/>
          <w:sz w:val="19"/>
        </w:rPr>
        <w:t>appropriate.</w:t>
      </w:r>
    </w:p>
    <w:p w:rsidR="007D76BB" w:rsidRDefault="00D70D28">
      <w:pPr>
        <w:pStyle w:val="ListParagraph"/>
        <w:numPr>
          <w:ilvl w:val="0"/>
          <w:numId w:val="10"/>
        </w:numPr>
        <w:tabs>
          <w:tab w:val="left" w:pos="766"/>
        </w:tabs>
        <w:spacing w:before="72" w:line="266" w:lineRule="auto"/>
        <w:ind w:right="1563"/>
        <w:rPr>
          <w:rFonts w:ascii="Arial" w:hAnsi="Arial"/>
          <w:sz w:val="19"/>
        </w:rPr>
      </w:pPr>
      <w:r>
        <w:rPr>
          <w:rFonts w:ascii="Arial" w:hAnsi="Arial"/>
          <w:w w:val="105"/>
          <w:sz w:val="19"/>
        </w:rPr>
        <w:t>Option</w:t>
      </w:r>
      <w:r>
        <w:rPr>
          <w:rFonts w:ascii="Arial" w:hAnsi="Arial"/>
          <w:spacing w:val="-32"/>
          <w:w w:val="105"/>
          <w:sz w:val="19"/>
        </w:rPr>
        <w:t xml:space="preserve"> </w:t>
      </w:r>
      <w:r>
        <w:rPr>
          <w:rFonts w:ascii="Arial" w:hAnsi="Arial"/>
          <w:w w:val="105"/>
          <w:sz w:val="19"/>
        </w:rPr>
        <w:t>2A</w:t>
      </w:r>
      <w:r>
        <w:rPr>
          <w:rFonts w:ascii="Arial" w:hAnsi="Arial"/>
          <w:spacing w:val="-34"/>
          <w:w w:val="105"/>
          <w:sz w:val="19"/>
        </w:rPr>
        <w:t xml:space="preserve"> </w:t>
      </w:r>
      <w:r>
        <w:rPr>
          <w:rFonts w:ascii="Arial" w:hAnsi="Arial"/>
          <w:w w:val="105"/>
          <w:sz w:val="19"/>
        </w:rPr>
        <w:t>(Includes</w:t>
      </w:r>
      <w:r>
        <w:rPr>
          <w:rFonts w:ascii="Arial" w:hAnsi="Arial"/>
          <w:spacing w:val="-32"/>
          <w:w w:val="105"/>
          <w:sz w:val="19"/>
        </w:rPr>
        <w:t xml:space="preserve"> </w:t>
      </w:r>
      <w:r>
        <w:rPr>
          <w:rFonts w:ascii="Arial" w:hAnsi="Arial"/>
          <w:w w:val="105"/>
          <w:sz w:val="19"/>
        </w:rPr>
        <w:t>Word</w:t>
      </w:r>
      <w:r>
        <w:rPr>
          <w:rFonts w:ascii="Arial" w:hAnsi="Arial"/>
          <w:spacing w:val="-33"/>
          <w:w w:val="105"/>
          <w:sz w:val="19"/>
        </w:rPr>
        <w:t xml:space="preserve"> </w:t>
      </w:r>
      <w:r>
        <w:rPr>
          <w:rFonts w:ascii="Arial" w:hAnsi="Arial"/>
          <w:w w:val="105"/>
          <w:sz w:val="19"/>
        </w:rPr>
        <w:t>Anti-Doping</w:t>
      </w:r>
      <w:r>
        <w:rPr>
          <w:rFonts w:ascii="Arial" w:hAnsi="Arial"/>
          <w:spacing w:val="-32"/>
          <w:w w:val="105"/>
          <w:sz w:val="19"/>
        </w:rPr>
        <w:t xml:space="preserve"> </w:t>
      </w:r>
      <w:r>
        <w:rPr>
          <w:rFonts w:ascii="Arial" w:hAnsi="Arial"/>
          <w:w w:val="105"/>
          <w:sz w:val="19"/>
        </w:rPr>
        <w:t>Code</w:t>
      </w:r>
      <w:r>
        <w:rPr>
          <w:rFonts w:ascii="Arial" w:hAnsi="Arial"/>
          <w:spacing w:val="-32"/>
          <w:w w:val="105"/>
          <w:sz w:val="19"/>
        </w:rPr>
        <w:t xml:space="preserve"> </w:t>
      </w:r>
      <w:r>
        <w:rPr>
          <w:rFonts w:ascii="Arial" w:hAnsi="Arial"/>
          <w:w w:val="105"/>
          <w:sz w:val="19"/>
        </w:rPr>
        <w:t>(WADC)</w:t>
      </w:r>
      <w:r>
        <w:rPr>
          <w:rFonts w:ascii="Arial" w:hAnsi="Arial"/>
          <w:spacing w:val="-33"/>
          <w:w w:val="105"/>
          <w:sz w:val="19"/>
        </w:rPr>
        <w:t xml:space="preserve"> </w:t>
      </w:r>
      <w:r>
        <w:rPr>
          <w:rFonts w:ascii="Arial" w:hAnsi="Arial"/>
          <w:w w:val="105"/>
          <w:sz w:val="19"/>
        </w:rPr>
        <w:t>Prohibited</w:t>
      </w:r>
      <w:r>
        <w:rPr>
          <w:rFonts w:ascii="Arial" w:hAnsi="Arial"/>
          <w:spacing w:val="-32"/>
          <w:w w:val="105"/>
          <w:sz w:val="19"/>
        </w:rPr>
        <w:t xml:space="preserve"> </w:t>
      </w:r>
      <w:r>
        <w:rPr>
          <w:rFonts w:ascii="Arial" w:hAnsi="Arial"/>
          <w:w w:val="105"/>
          <w:sz w:val="19"/>
        </w:rPr>
        <w:t>List):</w:t>
      </w:r>
      <w:r>
        <w:rPr>
          <w:rFonts w:ascii="Arial" w:hAnsi="Arial"/>
          <w:spacing w:val="-33"/>
          <w:w w:val="105"/>
          <w:sz w:val="19"/>
        </w:rPr>
        <w:t xml:space="preserve"> </w:t>
      </w:r>
      <w:r>
        <w:rPr>
          <w:rFonts w:ascii="Arial" w:hAnsi="Arial"/>
          <w:w w:val="105"/>
          <w:sz w:val="19"/>
        </w:rPr>
        <w:t>Declare</w:t>
      </w:r>
      <w:r>
        <w:rPr>
          <w:rFonts w:ascii="Arial" w:hAnsi="Arial"/>
          <w:spacing w:val="-33"/>
          <w:w w:val="105"/>
          <w:sz w:val="19"/>
        </w:rPr>
        <w:t xml:space="preserve"> </w:t>
      </w:r>
      <w:r>
        <w:rPr>
          <w:rFonts w:ascii="Arial" w:hAnsi="Arial"/>
          <w:w w:val="105"/>
          <w:sz w:val="19"/>
        </w:rPr>
        <w:t>that</w:t>
      </w:r>
      <w:r>
        <w:rPr>
          <w:rFonts w:ascii="Arial" w:hAnsi="Arial"/>
          <w:spacing w:val="-32"/>
          <w:w w:val="105"/>
          <w:sz w:val="19"/>
        </w:rPr>
        <w:t xml:space="preserve"> </w:t>
      </w:r>
      <w:r>
        <w:rPr>
          <w:rFonts w:ascii="Arial" w:hAnsi="Arial"/>
          <w:w w:val="105"/>
          <w:sz w:val="19"/>
        </w:rPr>
        <w:t>sports supplements</w:t>
      </w:r>
      <w:r>
        <w:rPr>
          <w:rFonts w:ascii="Arial" w:hAnsi="Arial"/>
          <w:spacing w:val="-14"/>
          <w:w w:val="105"/>
          <w:sz w:val="19"/>
        </w:rPr>
        <w:t xml:space="preserve"> </w:t>
      </w:r>
      <w:r>
        <w:rPr>
          <w:rFonts w:ascii="Arial" w:hAnsi="Arial"/>
          <w:w w:val="105"/>
          <w:sz w:val="19"/>
        </w:rPr>
        <w:t>are</w:t>
      </w:r>
      <w:r>
        <w:rPr>
          <w:rFonts w:ascii="Arial" w:hAnsi="Arial"/>
          <w:spacing w:val="-13"/>
          <w:w w:val="105"/>
          <w:sz w:val="19"/>
        </w:rPr>
        <w:t xml:space="preserve"> </w:t>
      </w:r>
      <w:r>
        <w:rPr>
          <w:rFonts w:ascii="Arial" w:hAnsi="Arial"/>
          <w:w w:val="105"/>
          <w:sz w:val="19"/>
        </w:rPr>
        <w:t>therapeutic</w:t>
      </w:r>
      <w:r>
        <w:rPr>
          <w:rFonts w:ascii="Arial" w:hAnsi="Arial"/>
          <w:spacing w:val="-12"/>
          <w:w w:val="105"/>
          <w:sz w:val="19"/>
        </w:rPr>
        <w:t xml:space="preserve"> </w:t>
      </w:r>
      <w:r>
        <w:rPr>
          <w:rFonts w:ascii="Arial" w:hAnsi="Arial"/>
          <w:w w:val="105"/>
          <w:sz w:val="19"/>
        </w:rPr>
        <w:t>goods</w:t>
      </w:r>
      <w:r>
        <w:rPr>
          <w:rFonts w:ascii="Arial" w:hAnsi="Arial"/>
          <w:spacing w:val="-12"/>
          <w:w w:val="105"/>
          <w:sz w:val="19"/>
        </w:rPr>
        <w:t xml:space="preserve"> </w:t>
      </w:r>
      <w:r>
        <w:rPr>
          <w:rFonts w:ascii="Arial" w:hAnsi="Arial"/>
          <w:w w:val="105"/>
          <w:sz w:val="19"/>
        </w:rPr>
        <w:t>if</w:t>
      </w:r>
      <w:r>
        <w:rPr>
          <w:rFonts w:ascii="Arial" w:hAnsi="Arial"/>
          <w:spacing w:val="-13"/>
          <w:w w:val="105"/>
          <w:sz w:val="19"/>
        </w:rPr>
        <w:t xml:space="preserve"> </w:t>
      </w:r>
      <w:r>
        <w:rPr>
          <w:rFonts w:ascii="Arial" w:hAnsi="Arial"/>
          <w:w w:val="105"/>
          <w:sz w:val="19"/>
        </w:rPr>
        <w:t>they:</w:t>
      </w:r>
    </w:p>
    <w:p w:rsidR="007D76BB" w:rsidRDefault="00D70D28">
      <w:pPr>
        <w:spacing w:before="77"/>
        <w:ind w:left="765"/>
        <w:rPr>
          <w:rFonts w:ascii="Arial"/>
          <w:sz w:val="19"/>
        </w:rPr>
      </w:pPr>
      <w:r>
        <w:rPr>
          <w:rFonts w:ascii="Calibri"/>
          <w:color w:val="005386"/>
          <w:w w:val="105"/>
          <w:sz w:val="19"/>
        </w:rPr>
        <w:t xml:space="preserve">+ </w:t>
      </w:r>
      <w:r>
        <w:rPr>
          <w:rFonts w:ascii="Arial"/>
          <w:w w:val="105"/>
          <w:sz w:val="19"/>
        </w:rPr>
        <w:t>contain ingredients that are not appropriate for a sports supplement food:</w:t>
      </w:r>
    </w:p>
    <w:p w:rsidR="007D76BB" w:rsidRDefault="00D70D28">
      <w:pPr>
        <w:pStyle w:val="ListParagraph"/>
        <w:numPr>
          <w:ilvl w:val="1"/>
          <w:numId w:val="10"/>
        </w:numPr>
        <w:tabs>
          <w:tab w:val="left" w:pos="1334"/>
        </w:tabs>
        <w:spacing w:before="79"/>
        <w:rPr>
          <w:rFonts w:ascii="Arial" w:hAnsi="Arial"/>
          <w:sz w:val="19"/>
        </w:rPr>
      </w:pPr>
      <w:r>
        <w:rPr>
          <w:rFonts w:ascii="Arial" w:hAnsi="Arial"/>
          <w:w w:val="105"/>
          <w:sz w:val="19"/>
        </w:rPr>
        <w:t>a</w:t>
      </w:r>
      <w:r>
        <w:rPr>
          <w:rFonts w:ascii="Arial" w:hAnsi="Arial"/>
          <w:spacing w:val="-13"/>
          <w:w w:val="105"/>
          <w:sz w:val="19"/>
        </w:rPr>
        <w:t xml:space="preserve"> </w:t>
      </w:r>
      <w:r>
        <w:rPr>
          <w:rFonts w:ascii="Arial" w:hAnsi="Arial"/>
          <w:w w:val="105"/>
          <w:sz w:val="19"/>
        </w:rPr>
        <w:t>substance</w:t>
      </w:r>
      <w:r>
        <w:rPr>
          <w:rFonts w:ascii="Arial" w:hAnsi="Arial"/>
          <w:spacing w:val="-14"/>
          <w:w w:val="105"/>
          <w:sz w:val="19"/>
        </w:rPr>
        <w:t xml:space="preserve"> </w:t>
      </w:r>
      <w:r>
        <w:rPr>
          <w:rFonts w:ascii="Arial" w:hAnsi="Arial"/>
          <w:w w:val="105"/>
          <w:sz w:val="19"/>
        </w:rPr>
        <w:t>above</w:t>
      </w:r>
      <w:r>
        <w:rPr>
          <w:rFonts w:ascii="Arial" w:hAnsi="Arial"/>
          <w:spacing w:val="-12"/>
          <w:w w:val="105"/>
          <w:sz w:val="19"/>
        </w:rPr>
        <w:t xml:space="preserve"> </w:t>
      </w:r>
      <w:r>
        <w:rPr>
          <w:rFonts w:ascii="Arial" w:hAnsi="Arial"/>
          <w:w w:val="105"/>
          <w:sz w:val="19"/>
        </w:rPr>
        <w:t>the</w:t>
      </w:r>
      <w:r>
        <w:rPr>
          <w:rFonts w:ascii="Arial" w:hAnsi="Arial"/>
          <w:spacing w:val="-14"/>
          <w:w w:val="105"/>
          <w:sz w:val="19"/>
        </w:rPr>
        <w:t xml:space="preserve"> </w:t>
      </w:r>
      <w:r>
        <w:rPr>
          <w:rFonts w:ascii="Arial" w:hAnsi="Arial"/>
          <w:w w:val="105"/>
          <w:sz w:val="19"/>
        </w:rPr>
        <w:t>restrictions</w:t>
      </w:r>
      <w:r>
        <w:rPr>
          <w:rFonts w:ascii="Arial" w:hAnsi="Arial"/>
          <w:spacing w:val="-15"/>
          <w:w w:val="105"/>
          <w:sz w:val="19"/>
        </w:rPr>
        <w:t xml:space="preserve"> </w:t>
      </w:r>
      <w:r>
        <w:rPr>
          <w:rFonts w:ascii="Arial" w:hAnsi="Arial"/>
          <w:w w:val="105"/>
          <w:sz w:val="19"/>
        </w:rPr>
        <w:t>provided</w:t>
      </w:r>
      <w:r>
        <w:rPr>
          <w:rFonts w:ascii="Arial" w:hAnsi="Arial"/>
          <w:spacing w:val="-15"/>
          <w:w w:val="105"/>
          <w:sz w:val="19"/>
        </w:rPr>
        <w:t xml:space="preserve"> </w:t>
      </w:r>
      <w:r>
        <w:rPr>
          <w:rFonts w:ascii="Arial" w:hAnsi="Arial"/>
          <w:w w:val="105"/>
          <w:sz w:val="19"/>
        </w:rPr>
        <w:t>in</w:t>
      </w:r>
      <w:r>
        <w:rPr>
          <w:rFonts w:ascii="Arial" w:hAnsi="Arial"/>
          <w:spacing w:val="-12"/>
          <w:w w:val="105"/>
          <w:sz w:val="19"/>
        </w:rPr>
        <w:t xml:space="preserve"> </w:t>
      </w:r>
      <w:r>
        <w:rPr>
          <w:rFonts w:ascii="Arial" w:hAnsi="Arial"/>
          <w:w w:val="105"/>
          <w:sz w:val="19"/>
        </w:rPr>
        <w:t>the</w:t>
      </w:r>
      <w:r>
        <w:rPr>
          <w:rFonts w:ascii="Arial" w:hAnsi="Arial"/>
          <w:spacing w:val="-12"/>
          <w:w w:val="105"/>
          <w:sz w:val="19"/>
        </w:rPr>
        <w:t xml:space="preserve"> </w:t>
      </w:r>
      <w:r>
        <w:rPr>
          <w:rFonts w:ascii="Arial" w:hAnsi="Arial"/>
          <w:w w:val="105"/>
          <w:sz w:val="19"/>
        </w:rPr>
        <w:t>Poisons</w:t>
      </w:r>
      <w:r>
        <w:rPr>
          <w:rFonts w:ascii="Arial" w:hAnsi="Arial"/>
          <w:spacing w:val="-13"/>
          <w:w w:val="105"/>
          <w:sz w:val="19"/>
        </w:rPr>
        <w:t xml:space="preserve"> </w:t>
      </w:r>
      <w:r>
        <w:rPr>
          <w:rFonts w:ascii="Arial" w:hAnsi="Arial"/>
          <w:w w:val="105"/>
          <w:sz w:val="19"/>
        </w:rPr>
        <w:t>Standard</w:t>
      </w:r>
    </w:p>
    <w:p w:rsidR="007D76BB" w:rsidRDefault="00D70D28">
      <w:pPr>
        <w:pStyle w:val="ListParagraph"/>
        <w:numPr>
          <w:ilvl w:val="1"/>
          <w:numId w:val="10"/>
        </w:numPr>
        <w:tabs>
          <w:tab w:val="left" w:pos="1334"/>
        </w:tabs>
        <w:spacing w:before="87"/>
        <w:rPr>
          <w:rFonts w:ascii="Arial" w:hAnsi="Arial"/>
          <w:sz w:val="19"/>
        </w:rPr>
      </w:pPr>
      <w:r>
        <w:rPr>
          <w:rFonts w:ascii="Arial" w:hAnsi="Arial"/>
          <w:w w:val="105"/>
          <w:sz w:val="19"/>
        </w:rPr>
        <w:t>a</w:t>
      </w:r>
      <w:r>
        <w:rPr>
          <w:rFonts w:ascii="Arial" w:hAnsi="Arial"/>
          <w:spacing w:val="-12"/>
          <w:w w:val="105"/>
          <w:sz w:val="19"/>
        </w:rPr>
        <w:t xml:space="preserve"> </w:t>
      </w:r>
      <w:r>
        <w:rPr>
          <w:rFonts w:ascii="Arial" w:hAnsi="Arial"/>
          <w:w w:val="105"/>
          <w:sz w:val="19"/>
        </w:rPr>
        <w:t>substance</w:t>
      </w:r>
      <w:r>
        <w:rPr>
          <w:rFonts w:ascii="Arial" w:hAnsi="Arial"/>
          <w:spacing w:val="-13"/>
          <w:w w:val="105"/>
          <w:sz w:val="19"/>
        </w:rPr>
        <w:t xml:space="preserve"> </w:t>
      </w:r>
      <w:r>
        <w:rPr>
          <w:rFonts w:ascii="Arial" w:hAnsi="Arial"/>
          <w:w w:val="105"/>
          <w:sz w:val="19"/>
        </w:rPr>
        <w:t>that</w:t>
      </w:r>
      <w:r>
        <w:rPr>
          <w:rFonts w:ascii="Arial" w:hAnsi="Arial"/>
          <w:spacing w:val="-13"/>
          <w:w w:val="105"/>
          <w:sz w:val="19"/>
        </w:rPr>
        <w:t xml:space="preserve"> </w:t>
      </w:r>
      <w:r>
        <w:rPr>
          <w:rFonts w:ascii="Arial" w:hAnsi="Arial"/>
          <w:w w:val="105"/>
          <w:sz w:val="19"/>
        </w:rPr>
        <w:t>is</w:t>
      </w:r>
      <w:r>
        <w:rPr>
          <w:rFonts w:ascii="Arial" w:hAnsi="Arial"/>
          <w:spacing w:val="-11"/>
          <w:w w:val="105"/>
          <w:sz w:val="19"/>
        </w:rPr>
        <w:t xml:space="preserve"> </w:t>
      </w:r>
      <w:r>
        <w:rPr>
          <w:rFonts w:ascii="Arial" w:hAnsi="Arial"/>
          <w:w w:val="105"/>
          <w:sz w:val="19"/>
        </w:rPr>
        <w:t>included</w:t>
      </w:r>
      <w:r>
        <w:rPr>
          <w:rFonts w:ascii="Arial" w:hAnsi="Arial"/>
          <w:spacing w:val="-13"/>
          <w:w w:val="105"/>
          <w:sz w:val="19"/>
        </w:rPr>
        <w:t xml:space="preserve"> </w:t>
      </w:r>
      <w:r>
        <w:rPr>
          <w:rFonts w:ascii="Arial" w:hAnsi="Arial"/>
          <w:w w:val="105"/>
          <w:sz w:val="19"/>
        </w:rPr>
        <w:t>in</w:t>
      </w:r>
      <w:r>
        <w:rPr>
          <w:rFonts w:ascii="Arial" w:hAnsi="Arial"/>
          <w:spacing w:val="-11"/>
          <w:w w:val="105"/>
          <w:sz w:val="19"/>
        </w:rPr>
        <w:t xml:space="preserve"> </w:t>
      </w:r>
      <w:r>
        <w:rPr>
          <w:rFonts w:ascii="Arial" w:hAnsi="Arial"/>
          <w:w w:val="105"/>
          <w:sz w:val="19"/>
        </w:rPr>
        <w:t>the</w:t>
      </w:r>
      <w:r>
        <w:rPr>
          <w:rFonts w:ascii="Arial" w:hAnsi="Arial"/>
          <w:spacing w:val="-12"/>
          <w:w w:val="105"/>
          <w:sz w:val="19"/>
        </w:rPr>
        <w:t xml:space="preserve"> </w:t>
      </w:r>
      <w:r>
        <w:rPr>
          <w:rFonts w:ascii="Arial" w:hAnsi="Arial"/>
          <w:w w:val="105"/>
          <w:sz w:val="19"/>
        </w:rPr>
        <w:t>WADC</w:t>
      </w:r>
      <w:r>
        <w:rPr>
          <w:rFonts w:ascii="Arial" w:hAnsi="Arial"/>
          <w:spacing w:val="-10"/>
          <w:w w:val="105"/>
          <w:sz w:val="19"/>
        </w:rPr>
        <w:t xml:space="preserve"> </w:t>
      </w:r>
      <w:r>
        <w:rPr>
          <w:rFonts w:ascii="Arial" w:hAnsi="Arial"/>
          <w:w w:val="105"/>
          <w:sz w:val="19"/>
        </w:rPr>
        <w:t>Prohibited</w:t>
      </w:r>
      <w:r>
        <w:rPr>
          <w:rFonts w:ascii="Arial" w:hAnsi="Arial"/>
          <w:spacing w:val="-14"/>
          <w:w w:val="105"/>
          <w:sz w:val="19"/>
        </w:rPr>
        <w:t xml:space="preserve"> </w:t>
      </w:r>
      <w:r>
        <w:rPr>
          <w:rFonts w:ascii="Arial" w:hAnsi="Arial"/>
          <w:w w:val="105"/>
          <w:sz w:val="19"/>
        </w:rPr>
        <w:t>List</w:t>
      </w:r>
    </w:p>
    <w:p w:rsidR="007D76BB" w:rsidRDefault="00D70D28">
      <w:pPr>
        <w:pStyle w:val="ListParagraph"/>
        <w:numPr>
          <w:ilvl w:val="1"/>
          <w:numId w:val="10"/>
        </w:numPr>
        <w:tabs>
          <w:tab w:val="left" w:pos="1334"/>
        </w:tabs>
        <w:spacing w:before="87" w:line="264" w:lineRule="auto"/>
        <w:ind w:right="1478"/>
        <w:rPr>
          <w:rFonts w:ascii="Arial" w:hAnsi="Arial"/>
          <w:sz w:val="19"/>
        </w:rPr>
      </w:pPr>
      <w:r>
        <w:rPr>
          <w:rFonts w:ascii="Arial" w:hAnsi="Arial"/>
          <w:w w:val="105"/>
          <w:sz w:val="19"/>
        </w:rPr>
        <w:t>a</w:t>
      </w:r>
      <w:r>
        <w:rPr>
          <w:rFonts w:ascii="Arial" w:hAnsi="Arial"/>
          <w:spacing w:val="-24"/>
          <w:w w:val="105"/>
          <w:sz w:val="19"/>
        </w:rPr>
        <w:t xml:space="preserve"> </w:t>
      </w:r>
      <w:r>
        <w:rPr>
          <w:rFonts w:ascii="Arial" w:hAnsi="Arial"/>
          <w:w w:val="105"/>
          <w:sz w:val="19"/>
        </w:rPr>
        <w:t>relevant</w:t>
      </w:r>
      <w:r>
        <w:rPr>
          <w:rFonts w:ascii="Arial" w:hAnsi="Arial"/>
          <w:spacing w:val="-24"/>
          <w:w w:val="105"/>
          <w:sz w:val="19"/>
        </w:rPr>
        <w:t xml:space="preserve"> </w:t>
      </w:r>
      <w:r>
        <w:rPr>
          <w:rFonts w:ascii="Arial" w:hAnsi="Arial"/>
          <w:w w:val="105"/>
          <w:sz w:val="19"/>
        </w:rPr>
        <w:t>substance</w:t>
      </w:r>
      <w:r>
        <w:rPr>
          <w:rFonts w:ascii="Arial" w:hAnsi="Arial"/>
          <w:spacing w:val="-21"/>
          <w:w w:val="105"/>
          <w:sz w:val="19"/>
        </w:rPr>
        <w:t xml:space="preserve"> </w:t>
      </w:r>
      <w:r>
        <w:rPr>
          <w:rFonts w:ascii="Arial" w:hAnsi="Arial"/>
          <w:w w:val="105"/>
          <w:sz w:val="19"/>
        </w:rPr>
        <w:t>as</w:t>
      </w:r>
      <w:r>
        <w:rPr>
          <w:rFonts w:ascii="Arial" w:hAnsi="Arial"/>
          <w:spacing w:val="-26"/>
          <w:w w:val="105"/>
          <w:sz w:val="19"/>
        </w:rPr>
        <w:t xml:space="preserve"> </w:t>
      </w:r>
      <w:r>
        <w:rPr>
          <w:rFonts w:ascii="Arial" w:hAnsi="Arial"/>
          <w:w w:val="105"/>
          <w:sz w:val="19"/>
        </w:rPr>
        <w:t>declared</w:t>
      </w:r>
      <w:r>
        <w:rPr>
          <w:rFonts w:ascii="Arial" w:hAnsi="Arial"/>
          <w:spacing w:val="-25"/>
          <w:w w:val="105"/>
          <w:sz w:val="19"/>
        </w:rPr>
        <w:t xml:space="preserve"> </w:t>
      </w:r>
      <w:r>
        <w:rPr>
          <w:rFonts w:ascii="Arial" w:hAnsi="Arial"/>
          <w:w w:val="105"/>
          <w:sz w:val="19"/>
        </w:rPr>
        <w:t>by</w:t>
      </w:r>
      <w:r>
        <w:rPr>
          <w:rFonts w:ascii="Arial" w:hAnsi="Arial"/>
          <w:spacing w:val="-24"/>
          <w:w w:val="105"/>
          <w:sz w:val="19"/>
        </w:rPr>
        <w:t xml:space="preserve"> </w:t>
      </w:r>
      <w:r>
        <w:rPr>
          <w:rFonts w:ascii="Arial" w:hAnsi="Arial"/>
          <w:w w:val="105"/>
          <w:sz w:val="19"/>
        </w:rPr>
        <w:t>the</w:t>
      </w:r>
      <w:r>
        <w:rPr>
          <w:rFonts w:ascii="Arial" w:hAnsi="Arial"/>
          <w:spacing w:val="-24"/>
          <w:w w:val="105"/>
          <w:sz w:val="19"/>
        </w:rPr>
        <w:t xml:space="preserve"> </w:t>
      </w:r>
      <w:r>
        <w:rPr>
          <w:rFonts w:ascii="Arial" w:hAnsi="Arial"/>
          <w:w w:val="105"/>
          <w:sz w:val="19"/>
        </w:rPr>
        <w:t>Secretary</w:t>
      </w:r>
      <w:r>
        <w:rPr>
          <w:rFonts w:ascii="Arial" w:hAnsi="Arial"/>
          <w:spacing w:val="-25"/>
          <w:w w:val="105"/>
          <w:sz w:val="19"/>
        </w:rPr>
        <w:t xml:space="preserve"> </w:t>
      </w:r>
      <w:r>
        <w:rPr>
          <w:rFonts w:ascii="Arial" w:hAnsi="Arial"/>
          <w:w w:val="105"/>
          <w:sz w:val="19"/>
        </w:rPr>
        <w:t>of</w:t>
      </w:r>
      <w:r>
        <w:rPr>
          <w:rFonts w:ascii="Arial" w:hAnsi="Arial"/>
          <w:spacing w:val="-25"/>
          <w:w w:val="105"/>
          <w:sz w:val="19"/>
        </w:rPr>
        <w:t xml:space="preserve"> </w:t>
      </w:r>
      <w:r>
        <w:rPr>
          <w:rFonts w:ascii="Arial" w:hAnsi="Arial"/>
          <w:w w:val="105"/>
          <w:sz w:val="19"/>
        </w:rPr>
        <w:t>the</w:t>
      </w:r>
      <w:r>
        <w:rPr>
          <w:rFonts w:ascii="Arial" w:hAnsi="Arial"/>
          <w:spacing w:val="-25"/>
          <w:w w:val="105"/>
          <w:sz w:val="19"/>
        </w:rPr>
        <w:t xml:space="preserve"> </w:t>
      </w:r>
      <w:r>
        <w:rPr>
          <w:rFonts w:ascii="Arial" w:hAnsi="Arial"/>
          <w:w w:val="105"/>
          <w:sz w:val="19"/>
        </w:rPr>
        <w:t>Department</w:t>
      </w:r>
      <w:r>
        <w:rPr>
          <w:rFonts w:ascii="Arial" w:hAnsi="Arial"/>
          <w:spacing w:val="-23"/>
          <w:w w:val="105"/>
          <w:sz w:val="19"/>
        </w:rPr>
        <w:t xml:space="preserve"> </w:t>
      </w:r>
      <w:r>
        <w:rPr>
          <w:rFonts w:ascii="Arial" w:hAnsi="Arial"/>
          <w:w w:val="105"/>
          <w:sz w:val="19"/>
        </w:rPr>
        <w:t>of</w:t>
      </w:r>
      <w:r>
        <w:rPr>
          <w:rFonts w:ascii="Arial" w:hAnsi="Arial"/>
          <w:spacing w:val="-25"/>
          <w:w w:val="105"/>
          <w:sz w:val="19"/>
        </w:rPr>
        <w:t xml:space="preserve"> </w:t>
      </w:r>
      <w:r>
        <w:rPr>
          <w:rFonts w:ascii="Arial" w:hAnsi="Arial"/>
          <w:w w:val="105"/>
          <w:sz w:val="19"/>
        </w:rPr>
        <w:t>Health</w:t>
      </w:r>
      <w:r>
        <w:rPr>
          <w:rFonts w:ascii="Arial" w:hAnsi="Arial"/>
          <w:spacing w:val="-24"/>
          <w:w w:val="105"/>
          <w:sz w:val="19"/>
        </w:rPr>
        <w:t xml:space="preserve"> </w:t>
      </w:r>
      <w:r>
        <w:rPr>
          <w:rFonts w:ascii="Arial" w:hAnsi="Arial"/>
          <w:w w:val="105"/>
          <w:sz w:val="19"/>
        </w:rPr>
        <w:t>(the Secretary);</w:t>
      </w:r>
    </w:p>
    <w:p w:rsidR="007D76BB" w:rsidRDefault="00D70D28">
      <w:pPr>
        <w:spacing w:before="73" w:line="256" w:lineRule="auto"/>
        <w:ind w:left="1050" w:right="1181" w:hanging="286"/>
        <w:rPr>
          <w:rFonts w:ascii="Arial"/>
          <w:sz w:val="19"/>
        </w:rPr>
      </w:pPr>
      <w:r>
        <w:rPr>
          <w:rFonts w:ascii="Calibri"/>
          <w:color w:val="005386"/>
          <w:w w:val="105"/>
          <w:sz w:val="19"/>
        </w:rPr>
        <w:t>+</w:t>
      </w:r>
      <w:r>
        <w:rPr>
          <w:rFonts w:ascii="Calibri"/>
          <w:color w:val="005386"/>
          <w:spacing w:val="11"/>
          <w:w w:val="105"/>
          <w:sz w:val="19"/>
        </w:rPr>
        <w:t xml:space="preserve"> </w:t>
      </w:r>
      <w:proofErr w:type="gramStart"/>
      <w:r>
        <w:rPr>
          <w:rFonts w:ascii="Arial"/>
          <w:w w:val="105"/>
          <w:sz w:val="19"/>
        </w:rPr>
        <w:t>and/or</w:t>
      </w:r>
      <w:proofErr w:type="gramEnd"/>
      <w:r>
        <w:rPr>
          <w:rFonts w:ascii="Arial"/>
          <w:spacing w:val="-21"/>
          <w:w w:val="105"/>
          <w:sz w:val="19"/>
        </w:rPr>
        <w:t xml:space="preserve"> </w:t>
      </w:r>
      <w:r>
        <w:rPr>
          <w:rFonts w:ascii="Arial"/>
          <w:w w:val="105"/>
          <w:sz w:val="19"/>
        </w:rPr>
        <w:t>are</w:t>
      </w:r>
      <w:r>
        <w:rPr>
          <w:rFonts w:ascii="Arial"/>
          <w:spacing w:val="-21"/>
          <w:w w:val="105"/>
          <w:sz w:val="19"/>
        </w:rPr>
        <w:t xml:space="preserve"> </w:t>
      </w:r>
      <w:r>
        <w:rPr>
          <w:rFonts w:ascii="Arial"/>
          <w:w w:val="105"/>
          <w:sz w:val="19"/>
        </w:rPr>
        <w:t>presented</w:t>
      </w:r>
      <w:r>
        <w:rPr>
          <w:rFonts w:ascii="Arial"/>
          <w:spacing w:val="-22"/>
          <w:w w:val="105"/>
          <w:sz w:val="19"/>
        </w:rPr>
        <w:t xml:space="preserve"> </w:t>
      </w:r>
      <w:r>
        <w:rPr>
          <w:rFonts w:ascii="Arial"/>
          <w:w w:val="105"/>
          <w:sz w:val="19"/>
        </w:rPr>
        <w:t>in</w:t>
      </w:r>
      <w:r>
        <w:rPr>
          <w:rFonts w:ascii="Arial"/>
          <w:spacing w:val="-22"/>
          <w:w w:val="105"/>
          <w:sz w:val="19"/>
        </w:rPr>
        <w:t xml:space="preserve"> </w:t>
      </w:r>
      <w:r>
        <w:rPr>
          <w:rFonts w:ascii="Arial"/>
          <w:w w:val="105"/>
          <w:sz w:val="19"/>
        </w:rPr>
        <w:t>a</w:t>
      </w:r>
      <w:r>
        <w:rPr>
          <w:rFonts w:ascii="Arial"/>
          <w:spacing w:val="-20"/>
          <w:w w:val="105"/>
          <w:sz w:val="19"/>
        </w:rPr>
        <w:t xml:space="preserve"> </w:t>
      </w:r>
      <w:r>
        <w:rPr>
          <w:rFonts w:ascii="Arial"/>
          <w:w w:val="105"/>
          <w:sz w:val="19"/>
        </w:rPr>
        <w:t>form</w:t>
      </w:r>
      <w:r>
        <w:rPr>
          <w:rFonts w:ascii="Arial"/>
          <w:spacing w:val="-20"/>
          <w:w w:val="105"/>
          <w:sz w:val="19"/>
        </w:rPr>
        <w:t xml:space="preserve"> </w:t>
      </w:r>
      <w:r>
        <w:rPr>
          <w:rFonts w:ascii="Arial"/>
          <w:w w:val="105"/>
          <w:sz w:val="19"/>
        </w:rPr>
        <w:t>associated</w:t>
      </w:r>
      <w:r>
        <w:rPr>
          <w:rFonts w:ascii="Arial"/>
          <w:spacing w:val="-22"/>
          <w:w w:val="105"/>
          <w:sz w:val="19"/>
        </w:rPr>
        <w:t xml:space="preserve"> </w:t>
      </w:r>
      <w:r>
        <w:rPr>
          <w:rFonts w:ascii="Arial"/>
          <w:w w:val="105"/>
          <w:sz w:val="19"/>
        </w:rPr>
        <w:t>with</w:t>
      </w:r>
      <w:r>
        <w:rPr>
          <w:rFonts w:ascii="Arial"/>
          <w:spacing w:val="-21"/>
          <w:w w:val="105"/>
          <w:sz w:val="19"/>
        </w:rPr>
        <w:t xml:space="preserve"> </w:t>
      </w:r>
      <w:r>
        <w:rPr>
          <w:rFonts w:ascii="Arial"/>
          <w:w w:val="105"/>
          <w:sz w:val="19"/>
        </w:rPr>
        <w:t>medicines</w:t>
      </w:r>
      <w:r>
        <w:rPr>
          <w:rFonts w:ascii="Arial"/>
          <w:spacing w:val="-22"/>
          <w:w w:val="105"/>
          <w:sz w:val="19"/>
        </w:rPr>
        <w:t xml:space="preserve"> </w:t>
      </w:r>
      <w:r>
        <w:rPr>
          <w:rFonts w:ascii="Arial"/>
          <w:w w:val="105"/>
          <w:sz w:val="19"/>
        </w:rPr>
        <w:t>rather</w:t>
      </w:r>
      <w:r>
        <w:rPr>
          <w:rFonts w:ascii="Arial"/>
          <w:spacing w:val="-22"/>
          <w:w w:val="105"/>
          <w:sz w:val="19"/>
        </w:rPr>
        <w:t xml:space="preserve"> </w:t>
      </w:r>
      <w:r>
        <w:rPr>
          <w:rFonts w:ascii="Arial"/>
          <w:w w:val="105"/>
          <w:sz w:val="19"/>
        </w:rPr>
        <w:t>than</w:t>
      </w:r>
      <w:r>
        <w:rPr>
          <w:rFonts w:ascii="Arial"/>
          <w:spacing w:val="-22"/>
          <w:w w:val="105"/>
          <w:sz w:val="19"/>
        </w:rPr>
        <w:t xml:space="preserve"> </w:t>
      </w:r>
      <w:r>
        <w:rPr>
          <w:rFonts w:ascii="Arial"/>
          <w:w w:val="105"/>
          <w:sz w:val="19"/>
        </w:rPr>
        <w:t>foods</w:t>
      </w:r>
      <w:r>
        <w:rPr>
          <w:rFonts w:ascii="Arial"/>
          <w:spacing w:val="-21"/>
          <w:w w:val="105"/>
          <w:sz w:val="19"/>
        </w:rPr>
        <w:t xml:space="preserve"> </w:t>
      </w:r>
      <w:r>
        <w:rPr>
          <w:rFonts w:ascii="Arial"/>
          <w:w w:val="105"/>
          <w:sz w:val="19"/>
        </w:rPr>
        <w:t>(i.e.</w:t>
      </w:r>
      <w:r>
        <w:rPr>
          <w:rFonts w:ascii="Arial"/>
          <w:spacing w:val="-20"/>
          <w:w w:val="105"/>
          <w:sz w:val="19"/>
        </w:rPr>
        <w:t xml:space="preserve"> </w:t>
      </w:r>
      <w:r>
        <w:rPr>
          <w:rFonts w:ascii="Arial"/>
          <w:w w:val="105"/>
          <w:sz w:val="19"/>
        </w:rPr>
        <w:t>a</w:t>
      </w:r>
      <w:r>
        <w:rPr>
          <w:rFonts w:ascii="Arial"/>
          <w:spacing w:val="-22"/>
          <w:w w:val="105"/>
          <w:sz w:val="19"/>
        </w:rPr>
        <w:t xml:space="preserve"> </w:t>
      </w:r>
      <w:r>
        <w:rPr>
          <w:rFonts w:ascii="Arial"/>
          <w:w w:val="105"/>
          <w:sz w:val="19"/>
        </w:rPr>
        <w:t>tablet, capsule or</w:t>
      </w:r>
      <w:r>
        <w:rPr>
          <w:rFonts w:ascii="Arial"/>
          <w:spacing w:val="-20"/>
          <w:w w:val="105"/>
          <w:sz w:val="19"/>
        </w:rPr>
        <w:t xml:space="preserve"> </w:t>
      </w:r>
      <w:r>
        <w:rPr>
          <w:rFonts w:ascii="Arial"/>
          <w:w w:val="105"/>
          <w:sz w:val="19"/>
        </w:rPr>
        <w:t>pill).</w:t>
      </w:r>
    </w:p>
    <w:p w:rsidR="007D76BB" w:rsidRDefault="00D70D28">
      <w:pPr>
        <w:pStyle w:val="ListParagraph"/>
        <w:numPr>
          <w:ilvl w:val="0"/>
          <w:numId w:val="10"/>
        </w:numPr>
        <w:tabs>
          <w:tab w:val="left" w:pos="766"/>
        </w:tabs>
        <w:spacing w:before="82" w:line="266" w:lineRule="auto"/>
        <w:ind w:right="1517"/>
        <w:rPr>
          <w:rFonts w:ascii="Arial" w:hAnsi="Arial"/>
          <w:sz w:val="19"/>
        </w:rPr>
      </w:pPr>
      <w:r>
        <w:rPr>
          <w:rFonts w:ascii="Arial" w:hAnsi="Arial"/>
          <w:w w:val="105"/>
          <w:sz w:val="19"/>
        </w:rPr>
        <w:t>Option</w:t>
      </w:r>
      <w:r>
        <w:rPr>
          <w:rFonts w:ascii="Arial" w:hAnsi="Arial"/>
          <w:spacing w:val="-34"/>
          <w:w w:val="105"/>
          <w:sz w:val="19"/>
        </w:rPr>
        <w:t xml:space="preserve"> </w:t>
      </w:r>
      <w:r>
        <w:rPr>
          <w:rFonts w:ascii="Arial" w:hAnsi="Arial"/>
          <w:w w:val="105"/>
          <w:sz w:val="19"/>
        </w:rPr>
        <w:t>2B</w:t>
      </w:r>
      <w:r>
        <w:rPr>
          <w:rFonts w:ascii="Arial" w:hAnsi="Arial"/>
          <w:spacing w:val="-34"/>
          <w:w w:val="105"/>
          <w:sz w:val="19"/>
        </w:rPr>
        <w:t xml:space="preserve"> </w:t>
      </w:r>
      <w:r>
        <w:rPr>
          <w:rFonts w:ascii="Arial" w:hAnsi="Arial"/>
          <w:w w:val="105"/>
          <w:sz w:val="19"/>
        </w:rPr>
        <w:t>(Excludes</w:t>
      </w:r>
      <w:r>
        <w:rPr>
          <w:rFonts w:ascii="Arial" w:hAnsi="Arial"/>
          <w:spacing w:val="-35"/>
          <w:w w:val="105"/>
          <w:sz w:val="19"/>
        </w:rPr>
        <w:t xml:space="preserve"> </w:t>
      </w:r>
      <w:r>
        <w:rPr>
          <w:rFonts w:ascii="Arial" w:hAnsi="Arial"/>
          <w:w w:val="105"/>
          <w:sz w:val="19"/>
        </w:rPr>
        <w:t>Word</w:t>
      </w:r>
      <w:r>
        <w:rPr>
          <w:rFonts w:ascii="Arial" w:hAnsi="Arial"/>
          <w:spacing w:val="-35"/>
          <w:w w:val="105"/>
          <w:sz w:val="19"/>
        </w:rPr>
        <w:t xml:space="preserve"> </w:t>
      </w:r>
      <w:r>
        <w:rPr>
          <w:rFonts w:ascii="Arial" w:hAnsi="Arial"/>
          <w:w w:val="105"/>
          <w:sz w:val="19"/>
        </w:rPr>
        <w:t>Anti-Doping</w:t>
      </w:r>
      <w:r>
        <w:rPr>
          <w:rFonts w:ascii="Arial" w:hAnsi="Arial"/>
          <w:spacing w:val="-34"/>
          <w:w w:val="105"/>
          <w:sz w:val="19"/>
        </w:rPr>
        <w:t xml:space="preserve"> </w:t>
      </w:r>
      <w:r>
        <w:rPr>
          <w:rFonts w:ascii="Arial" w:hAnsi="Arial"/>
          <w:w w:val="105"/>
          <w:sz w:val="19"/>
        </w:rPr>
        <w:t>Code</w:t>
      </w:r>
      <w:r>
        <w:rPr>
          <w:rFonts w:ascii="Arial" w:hAnsi="Arial"/>
          <w:spacing w:val="-34"/>
          <w:w w:val="105"/>
          <w:sz w:val="19"/>
        </w:rPr>
        <w:t xml:space="preserve"> </w:t>
      </w:r>
      <w:r>
        <w:rPr>
          <w:rFonts w:ascii="Arial" w:hAnsi="Arial"/>
          <w:w w:val="105"/>
          <w:sz w:val="19"/>
        </w:rPr>
        <w:t>(WADC)</w:t>
      </w:r>
      <w:r>
        <w:rPr>
          <w:rFonts w:ascii="Arial" w:hAnsi="Arial"/>
          <w:spacing w:val="-34"/>
          <w:w w:val="105"/>
          <w:sz w:val="19"/>
        </w:rPr>
        <w:t xml:space="preserve"> </w:t>
      </w:r>
      <w:r>
        <w:rPr>
          <w:rFonts w:ascii="Arial" w:hAnsi="Arial"/>
          <w:w w:val="105"/>
          <w:sz w:val="19"/>
        </w:rPr>
        <w:t>Prohibited</w:t>
      </w:r>
      <w:r>
        <w:rPr>
          <w:rFonts w:ascii="Arial" w:hAnsi="Arial"/>
          <w:spacing w:val="-35"/>
          <w:w w:val="105"/>
          <w:sz w:val="19"/>
        </w:rPr>
        <w:t xml:space="preserve"> </w:t>
      </w:r>
      <w:r>
        <w:rPr>
          <w:rFonts w:ascii="Arial" w:hAnsi="Arial"/>
          <w:w w:val="105"/>
          <w:sz w:val="19"/>
        </w:rPr>
        <w:t>List):</w:t>
      </w:r>
      <w:r>
        <w:rPr>
          <w:rFonts w:ascii="Arial" w:hAnsi="Arial"/>
          <w:spacing w:val="-34"/>
          <w:w w:val="105"/>
          <w:sz w:val="19"/>
        </w:rPr>
        <w:t xml:space="preserve"> </w:t>
      </w:r>
      <w:r>
        <w:rPr>
          <w:rFonts w:ascii="Arial" w:hAnsi="Arial"/>
          <w:w w:val="105"/>
          <w:sz w:val="19"/>
        </w:rPr>
        <w:t>Declare</w:t>
      </w:r>
      <w:r>
        <w:rPr>
          <w:rFonts w:ascii="Arial" w:hAnsi="Arial"/>
          <w:spacing w:val="-35"/>
          <w:w w:val="105"/>
          <w:sz w:val="19"/>
        </w:rPr>
        <w:t xml:space="preserve"> </w:t>
      </w:r>
      <w:r>
        <w:rPr>
          <w:rFonts w:ascii="Arial" w:hAnsi="Arial"/>
          <w:w w:val="105"/>
          <w:sz w:val="19"/>
        </w:rPr>
        <w:t>that</w:t>
      </w:r>
      <w:r>
        <w:rPr>
          <w:rFonts w:ascii="Arial" w:hAnsi="Arial"/>
          <w:spacing w:val="-35"/>
          <w:w w:val="105"/>
          <w:sz w:val="19"/>
        </w:rPr>
        <w:t xml:space="preserve"> </w:t>
      </w:r>
      <w:r>
        <w:rPr>
          <w:rFonts w:ascii="Arial" w:hAnsi="Arial"/>
          <w:w w:val="105"/>
          <w:sz w:val="19"/>
        </w:rPr>
        <w:t>sports supplements</w:t>
      </w:r>
      <w:r>
        <w:rPr>
          <w:rFonts w:ascii="Arial" w:hAnsi="Arial"/>
          <w:spacing w:val="-14"/>
          <w:w w:val="105"/>
          <w:sz w:val="19"/>
        </w:rPr>
        <w:t xml:space="preserve"> </w:t>
      </w:r>
      <w:r>
        <w:rPr>
          <w:rFonts w:ascii="Arial" w:hAnsi="Arial"/>
          <w:w w:val="105"/>
          <w:sz w:val="19"/>
        </w:rPr>
        <w:t>are</w:t>
      </w:r>
      <w:r>
        <w:rPr>
          <w:rFonts w:ascii="Arial" w:hAnsi="Arial"/>
          <w:spacing w:val="-13"/>
          <w:w w:val="105"/>
          <w:sz w:val="19"/>
        </w:rPr>
        <w:t xml:space="preserve"> </w:t>
      </w:r>
      <w:r>
        <w:rPr>
          <w:rFonts w:ascii="Arial" w:hAnsi="Arial"/>
          <w:w w:val="105"/>
          <w:sz w:val="19"/>
        </w:rPr>
        <w:t>therapeutic</w:t>
      </w:r>
      <w:r>
        <w:rPr>
          <w:rFonts w:ascii="Arial" w:hAnsi="Arial"/>
          <w:spacing w:val="-12"/>
          <w:w w:val="105"/>
          <w:sz w:val="19"/>
        </w:rPr>
        <w:t xml:space="preserve"> </w:t>
      </w:r>
      <w:r>
        <w:rPr>
          <w:rFonts w:ascii="Arial" w:hAnsi="Arial"/>
          <w:w w:val="105"/>
          <w:sz w:val="19"/>
        </w:rPr>
        <w:t>goods</w:t>
      </w:r>
      <w:r>
        <w:rPr>
          <w:rFonts w:ascii="Arial" w:hAnsi="Arial"/>
          <w:spacing w:val="-12"/>
          <w:w w:val="105"/>
          <w:sz w:val="19"/>
        </w:rPr>
        <w:t xml:space="preserve"> </w:t>
      </w:r>
      <w:r>
        <w:rPr>
          <w:rFonts w:ascii="Arial" w:hAnsi="Arial"/>
          <w:w w:val="105"/>
          <w:sz w:val="19"/>
        </w:rPr>
        <w:t>if</w:t>
      </w:r>
      <w:r>
        <w:rPr>
          <w:rFonts w:ascii="Arial" w:hAnsi="Arial"/>
          <w:spacing w:val="-13"/>
          <w:w w:val="105"/>
          <w:sz w:val="19"/>
        </w:rPr>
        <w:t xml:space="preserve"> </w:t>
      </w:r>
      <w:r>
        <w:rPr>
          <w:rFonts w:ascii="Arial" w:hAnsi="Arial"/>
          <w:w w:val="105"/>
          <w:sz w:val="19"/>
        </w:rPr>
        <w:t>they:</w:t>
      </w:r>
    </w:p>
    <w:p w:rsidR="007D76BB" w:rsidRDefault="00D70D28">
      <w:pPr>
        <w:spacing w:before="76"/>
        <w:ind w:left="765"/>
        <w:rPr>
          <w:rFonts w:ascii="Arial"/>
          <w:sz w:val="19"/>
        </w:rPr>
      </w:pPr>
      <w:r>
        <w:rPr>
          <w:rFonts w:ascii="Calibri"/>
          <w:color w:val="005386"/>
          <w:w w:val="105"/>
          <w:sz w:val="19"/>
        </w:rPr>
        <w:t xml:space="preserve">+ </w:t>
      </w:r>
      <w:r>
        <w:rPr>
          <w:rFonts w:ascii="Arial"/>
          <w:w w:val="105"/>
          <w:sz w:val="19"/>
        </w:rPr>
        <w:t>contain ingredients that are not appropriate for a sports supplement food:</w:t>
      </w:r>
    </w:p>
    <w:p w:rsidR="007D76BB" w:rsidRDefault="00D70D28">
      <w:pPr>
        <w:pStyle w:val="ListParagraph"/>
        <w:numPr>
          <w:ilvl w:val="1"/>
          <w:numId w:val="10"/>
        </w:numPr>
        <w:tabs>
          <w:tab w:val="left" w:pos="1334"/>
        </w:tabs>
        <w:spacing w:before="80"/>
        <w:rPr>
          <w:rFonts w:ascii="Arial" w:hAnsi="Arial"/>
          <w:sz w:val="19"/>
        </w:rPr>
      </w:pPr>
      <w:r>
        <w:rPr>
          <w:rFonts w:ascii="Arial" w:hAnsi="Arial"/>
          <w:w w:val="105"/>
          <w:sz w:val="19"/>
        </w:rPr>
        <w:t>a</w:t>
      </w:r>
      <w:r>
        <w:rPr>
          <w:rFonts w:ascii="Arial" w:hAnsi="Arial"/>
          <w:spacing w:val="-13"/>
          <w:w w:val="105"/>
          <w:sz w:val="19"/>
        </w:rPr>
        <w:t xml:space="preserve"> </w:t>
      </w:r>
      <w:r>
        <w:rPr>
          <w:rFonts w:ascii="Arial" w:hAnsi="Arial"/>
          <w:w w:val="105"/>
          <w:sz w:val="19"/>
        </w:rPr>
        <w:t>substance</w:t>
      </w:r>
      <w:r>
        <w:rPr>
          <w:rFonts w:ascii="Arial" w:hAnsi="Arial"/>
          <w:spacing w:val="-13"/>
          <w:w w:val="105"/>
          <w:sz w:val="19"/>
        </w:rPr>
        <w:t xml:space="preserve"> </w:t>
      </w:r>
      <w:r>
        <w:rPr>
          <w:rFonts w:ascii="Arial" w:hAnsi="Arial"/>
          <w:w w:val="105"/>
          <w:sz w:val="19"/>
        </w:rPr>
        <w:t>above</w:t>
      </w:r>
      <w:r>
        <w:rPr>
          <w:rFonts w:ascii="Arial" w:hAnsi="Arial"/>
          <w:spacing w:val="-12"/>
          <w:w w:val="105"/>
          <w:sz w:val="19"/>
        </w:rPr>
        <w:t xml:space="preserve"> </w:t>
      </w:r>
      <w:r>
        <w:rPr>
          <w:rFonts w:ascii="Arial" w:hAnsi="Arial"/>
          <w:w w:val="105"/>
          <w:sz w:val="19"/>
        </w:rPr>
        <w:t>the</w:t>
      </w:r>
      <w:r>
        <w:rPr>
          <w:rFonts w:ascii="Arial" w:hAnsi="Arial"/>
          <w:spacing w:val="-15"/>
          <w:w w:val="105"/>
          <w:sz w:val="19"/>
        </w:rPr>
        <w:t xml:space="preserve"> </w:t>
      </w:r>
      <w:r>
        <w:rPr>
          <w:rFonts w:ascii="Arial" w:hAnsi="Arial"/>
          <w:w w:val="105"/>
          <w:sz w:val="19"/>
        </w:rPr>
        <w:t>restrictions</w:t>
      </w:r>
      <w:r>
        <w:rPr>
          <w:rFonts w:ascii="Arial" w:hAnsi="Arial"/>
          <w:spacing w:val="-15"/>
          <w:w w:val="105"/>
          <w:sz w:val="19"/>
        </w:rPr>
        <w:t xml:space="preserve"> </w:t>
      </w:r>
      <w:r>
        <w:rPr>
          <w:rFonts w:ascii="Arial" w:hAnsi="Arial"/>
          <w:w w:val="105"/>
          <w:sz w:val="19"/>
        </w:rPr>
        <w:t>provided</w:t>
      </w:r>
      <w:r>
        <w:rPr>
          <w:rFonts w:ascii="Arial" w:hAnsi="Arial"/>
          <w:spacing w:val="-14"/>
          <w:w w:val="105"/>
          <w:sz w:val="19"/>
        </w:rPr>
        <w:t xml:space="preserve"> </w:t>
      </w:r>
      <w:r>
        <w:rPr>
          <w:rFonts w:ascii="Arial" w:hAnsi="Arial"/>
          <w:w w:val="105"/>
          <w:sz w:val="19"/>
        </w:rPr>
        <w:t>in</w:t>
      </w:r>
      <w:r>
        <w:rPr>
          <w:rFonts w:ascii="Arial" w:hAnsi="Arial"/>
          <w:spacing w:val="-8"/>
          <w:w w:val="105"/>
          <w:sz w:val="19"/>
        </w:rPr>
        <w:t xml:space="preserve"> </w:t>
      </w:r>
      <w:r>
        <w:rPr>
          <w:rFonts w:ascii="Arial" w:hAnsi="Arial"/>
          <w:w w:val="105"/>
          <w:sz w:val="19"/>
        </w:rPr>
        <w:t>the</w:t>
      </w:r>
      <w:r>
        <w:rPr>
          <w:rFonts w:ascii="Arial" w:hAnsi="Arial"/>
          <w:spacing w:val="-12"/>
          <w:w w:val="105"/>
          <w:sz w:val="19"/>
        </w:rPr>
        <w:t xml:space="preserve"> </w:t>
      </w:r>
      <w:r>
        <w:rPr>
          <w:rFonts w:ascii="Arial" w:hAnsi="Arial"/>
          <w:w w:val="105"/>
          <w:sz w:val="19"/>
        </w:rPr>
        <w:t>Poisons</w:t>
      </w:r>
      <w:r>
        <w:rPr>
          <w:rFonts w:ascii="Arial" w:hAnsi="Arial"/>
          <w:spacing w:val="-13"/>
          <w:w w:val="105"/>
          <w:sz w:val="19"/>
        </w:rPr>
        <w:t xml:space="preserve"> </w:t>
      </w:r>
      <w:r>
        <w:rPr>
          <w:rFonts w:ascii="Arial" w:hAnsi="Arial"/>
          <w:w w:val="105"/>
          <w:sz w:val="19"/>
        </w:rPr>
        <w:t>Standard</w:t>
      </w:r>
    </w:p>
    <w:p w:rsidR="007D76BB" w:rsidRDefault="00D70D28">
      <w:pPr>
        <w:pStyle w:val="ListParagraph"/>
        <w:numPr>
          <w:ilvl w:val="1"/>
          <w:numId w:val="10"/>
        </w:numPr>
        <w:tabs>
          <w:tab w:val="left" w:pos="1334"/>
        </w:tabs>
        <w:spacing w:before="86"/>
        <w:rPr>
          <w:rFonts w:ascii="Arial" w:hAnsi="Arial"/>
          <w:sz w:val="19"/>
        </w:rPr>
      </w:pPr>
      <w:r>
        <w:rPr>
          <w:rFonts w:ascii="Arial" w:hAnsi="Arial"/>
          <w:w w:val="105"/>
          <w:sz w:val="19"/>
        </w:rPr>
        <w:t>a</w:t>
      </w:r>
      <w:r>
        <w:rPr>
          <w:rFonts w:ascii="Arial" w:hAnsi="Arial"/>
          <w:spacing w:val="-12"/>
          <w:w w:val="105"/>
          <w:sz w:val="19"/>
        </w:rPr>
        <w:t xml:space="preserve"> </w:t>
      </w:r>
      <w:r>
        <w:rPr>
          <w:rFonts w:ascii="Arial" w:hAnsi="Arial"/>
          <w:w w:val="105"/>
          <w:sz w:val="19"/>
        </w:rPr>
        <w:t>relevant</w:t>
      </w:r>
      <w:r>
        <w:rPr>
          <w:rFonts w:ascii="Arial" w:hAnsi="Arial"/>
          <w:spacing w:val="-11"/>
          <w:w w:val="105"/>
          <w:sz w:val="19"/>
        </w:rPr>
        <w:t xml:space="preserve"> </w:t>
      </w:r>
      <w:r>
        <w:rPr>
          <w:rFonts w:ascii="Arial" w:hAnsi="Arial"/>
          <w:w w:val="105"/>
          <w:sz w:val="19"/>
        </w:rPr>
        <w:t>substance</w:t>
      </w:r>
      <w:r>
        <w:rPr>
          <w:rFonts w:ascii="Arial" w:hAnsi="Arial"/>
          <w:spacing w:val="-9"/>
          <w:w w:val="105"/>
          <w:sz w:val="19"/>
        </w:rPr>
        <w:t xml:space="preserve"> </w:t>
      </w:r>
      <w:r>
        <w:rPr>
          <w:rFonts w:ascii="Arial" w:hAnsi="Arial"/>
          <w:w w:val="105"/>
          <w:sz w:val="19"/>
        </w:rPr>
        <w:t>as</w:t>
      </w:r>
      <w:r>
        <w:rPr>
          <w:rFonts w:ascii="Arial" w:hAnsi="Arial"/>
          <w:spacing w:val="-14"/>
          <w:w w:val="105"/>
          <w:sz w:val="19"/>
        </w:rPr>
        <w:t xml:space="preserve"> </w:t>
      </w:r>
      <w:r>
        <w:rPr>
          <w:rFonts w:ascii="Arial" w:hAnsi="Arial"/>
          <w:w w:val="105"/>
          <w:sz w:val="19"/>
        </w:rPr>
        <w:t>declared</w:t>
      </w:r>
      <w:r>
        <w:rPr>
          <w:rFonts w:ascii="Arial" w:hAnsi="Arial"/>
          <w:spacing w:val="-13"/>
          <w:w w:val="105"/>
          <w:sz w:val="19"/>
        </w:rPr>
        <w:t xml:space="preserve"> </w:t>
      </w:r>
      <w:r>
        <w:rPr>
          <w:rFonts w:ascii="Arial" w:hAnsi="Arial"/>
          <w:w w:val="105"/>
          <w:sz w:val="19"/>
        </w:rPr>
        <w:t>by</w:t>
      </w:r>
      <w:r>
        <w:rPr>
          <w:rFonts w:ascii="Arial" w:hAnsi="Arial"/>
          <w:spacing w:val="-13"/>
          <w:w w:val="105"/>
          <w:sz w:val="19"/>
        </w:rPr>
        <w:t xml:space="preserve"> </w:t>
      </w:r>
      <w:r>
        <w:rPr>
          <w:rFonts w:ascii="Arial" w:hAnsi="Arial"/>
          <w:w w:val="105"/>
          <w:sz w:val="19"/>
        </w:rPr>
        <w:t>the</w:t>
      </w:r>
      <w:r>
        <w:rPr>
          <w:rFonts w:ascii="Arial" w:hAnsi="Arial"/>
          <w:spacing w:val="-11"/>
          <w:w w:val="105"/>
          <w:sz w:val="19"/>
        </w:rPr>
        <w:t xml:space="preserve"> </w:t>
      </w:r>
      <w:r>
        <w:rPr>
          <w:rFonts w:ascii="Arial" w:hAnsi="Arial"/>
          <w:w w:val="105"/>
          <w:sz w:val="19"/>
        </w:rPr>
        <w:t>Secretary;</w:t>
      </w:r>
    </w:p>
    <w:p w:rsidR="007D76BB" w:rsidRDefault="00D70D28">
      <w:pPr>
        <w:spacing w:before="97" w:line="254" w:lineRule="auto"/>
        <w:ind w:left="1050" w:right="1181" w:hanging="286"/>
        <w:rPr>
          <w:rFonts w:ascii="Arial"/>
          <w:sz w:val="19"/>
        </w:rPr>
      </w:pPr>
      <w:r>
        <w:rPr>
          <w:rFonts w:ascii="Calibri"/>
          <w:color w:val="005386"/>
          <w:w w:val="105"/>
          <w:sz w:val="19"/>
        </w:rPr>
        <w:t>+</w:t>
      </w:r>
      <w:r>
        <w:rPr>
          <w:rFonts w:ascii="Calibri"/>
          <w:color w:val="005386"/>
          <w:spacing w:val="11"/>
          <w:w w:val="105"/>
          <w:sz w:val="19"/>
        </w:rPr>
        <w:t xml:space="preserve"> </w:t>
      </w:r>
      <w:proofErr w:type="gramStart"/>
      <w:r>
        <w:rPr>
          <w:rFonts w:ascii="Arial"/>
          <w:w w:val="105"/>
          <w:sz w:val="19"/>
        </w:rPr>
        <w:t>and/or</w:t>
      </w:r>
      <w:proofErr w:type="gramEnd"/>
      <w:r>
        <w:rPr>
          <w:rFonts w:ascii="Arial"/>
          <w:spacing w:val="-20"/>
          <w:w w:val="105"/>
          <w:sz w:val="19"/>
        </w:rPr>
        <w:t xml:space="preserve"> </w:t>
      </w:r>
      <w:r>
        <w:rPr>
          <w:rFonts w:ascii="Arial"/>
          <w:w w:val="105"/>
          <w:sz w:val="19"/>
        </w:rPr>
        <w:t>are</w:t>
      </w:r>
      <w:r>
        <w:rPr>
          <w:rFonts w:ascii="Arial"/>
          <w:spacing w:val="-22"/>
          <w:w w:val="105"/>
          <w:sz w:val="19"/>
        </w:rPr>
        <w:t xml:space="preserve"> </w:t>
      </w:r>
      <w:r>
        <w:rPr>
          <w:rFonts w:ascii="Arial"/>
          <w:w w:val="105"/>
          <w:sz w:val="19"/>
        </w:rPr>
        <w:t>presented</w:t>
      </w:r>
      <w:r>
        <w:rPr>
          <w:rFonts w:ascii="Arial"/>
          <w:spacing w:val="-20"/>
          <w:w w:val="105"/>
          <w:sz w:val="19"/>
        </w:rPr>
        <w:t xml:space="preserve"> </w:t>
      </w:r>
      <w:r>
        <w:rPr>
          <w:rFonts w:ascii="Arial"/>
          <w:w w:val="105"/>
          <w:sz w:val="19"/>
        </w:rPr>
        <w:t>in</w:t>
      </w:r>
      <w:r>
        <w:rPr>
          <w:rFonts w:ascii="Arial"/>
          <w:spacing w:val="-22"/>
          <w:w w:val="105"/>
          <w:sz w:val="19"/>
        </w:rPr>
        <w:t xml:space="preserve"> </w:t>
      </w:r>
      <w:r>
        <w:rPr>
          <w:rFonts w:ascii="Arial"/>
          <w:w w:val="105"/>
          <w:sz w:val="19"/>
        </w:rPr>
        <w:t>a</w:t>
      </w:r>
      <w:r>
        <w:rPr>
          <w:rFonts w:ascii="Arial"/>
          <w:spacing w:val="-20"/>
          <w:w w:val="105"/>
          <w:sz w:val="19"/>
        </w:rPr>
        <w:t xml:space="preserve"> </w:t>
      </w:r>
      <w:r>
        <w:rPr>
          <w:rFonts w:ascii="Arial"/>
          <w:w w:val="105"/>
          <w:sz w:val="19"/>
        </w:rPr>
        <w:t>form</w:t>
      </w:r>
      <w:r>
        <w:rPr>
          <w:rFonts w:ascii="Arial"/>
          <w:spacing w:val="-20"/>
          <w:w w:val="105"/>
          <w:sz w:val="19"/>
        </w:rPr>
        <w:t xml:space="preserve"> </w:t>
      </w:r>
      <w:r>
        <w:rPr>
          <w:rFonts w:ascii="Arial"/>
          <w:w w:val="105"/>
          <w:sz w:val="19"/>
        </w:rPr>
        <w:t>associated</w:t>
      </w:r>
      <w:r>
        <w:rPr>
          <w:rFonts w:ascii="Arial"/>
          <w:spacing w:val="-22"/>
          <w:w w:val="105"/>
          <w:sz w:val="19"/>
        </w:rPr>
        <w:t xml:space="preserve"> </w:t>
      </w:r>
      <w:r>
        <w:rPr>
          <w:rFonts w:ascii="Arial"/>
          <w:w w:val="105"/>
          <w:sz w:val="19"/>
        </w:rPr>
        <w:t>with</w:t>
      </w:r>
      <w:r>
        <w:rPr>
          <w:rFonts w:ascii="Arial"/>
          <w:spacing w:val="-20"/>
          <w:w w:val="105"/>
          <w:sz w:val="19"/>
        </w:rPr>
        <w:t xml:space="preserve"> </w:t>
      </w:r>
      <w:r>
        <w:rPr>
          <w:rFonts w:ascii="Arial"/>
          <w:w w:val="105"/>
          <w:sz w:val="19"/>
        </w:rPr>
        <w:t>medicines</w:t>
      </w:r>
      <w:r>
        <w:rPr>
          <w:rFonts w:ascii="Arial"/>
          <w:spacing w:val="-22"/>
          <w:w w:val="105"/>
          <w:sz w:val="19"/>
        </w:rPr>
        <w:t xml:space="preserve"> </w:t>
      </w:r>
      <w:r>
        <w:rPr>
          <w:rFonts w:ascii="Arial"/>
          <w:w w:val="105"/>
          <w:sz w:val="19"/>
        </w:rPr>
        <w:t>rather</w:t>
      </w:r>
      <w:r>
        <w:rPr>
          <w:rFonts w:ascii="Arial"/>
          <w:spacing w:val="-22"/>
          <w:w w:val="105"/>
          <w:sz w:val="19"/>
        </w:rPr>
        <w:t xml:space="preserve"> </w:t>
      </w:r>
      <w:r>
        <w:rPr>
          <w:rFonts w:ascii="Arial"/>
          <w:w w:val="105"/>
          <w:sz w:val="19"/>
        </w:rPr>
        <w:t>than</w:t>
      </w:r>
      <w:r>
        <w:rPr>
          <w:rFonts w:ascii="Arial"/>
          <w:spacing w:val="-22"/>
          <w:w w:val="105"/>
          <w:sz w:val="19"/>
        </w:rPr>
        <w:t xml:space="preserve"> </w:t>
      </w:r>
      <w:r>
        <w:rPr>
          <w:rFonts w:ascii="Arial"/>
          <w:w w:val="105"/>
          <w:sz w:val="19"/>
        </w:rPr>
        <w:t>foods</w:t>
      </w:r>
      <w:r>
        <w:rPr>
          <w:rFonts w:ascii="Arial"/>
          <w:spacing w:val="-21"/>
          <w:w w:val="105"/>
          <w:sz w:val="19"/>
        </w:rPr>
        <w:t xml:space="preserve"> </w:t>
      </w:r>
      <w:r>
        <w:rPr>
          <w:rFonts w:ascii="Arial"/>
          <w:w w:val="105"/>
          <w:sz w:val="19"/>
        </w:rPr>
        <w:t>(i.e.</w:t>
      </w:r>
      <w:r>
        <w:rPr>
          <w:rFonts w:ascii="Arial"/>
          <w:spacing w:val="-20"/>
          <w:w w:val="105"/>
          <w:sz w:val="19"/>
        </w:rPr>
        <w:t xml:space="preserve"> </w:t>
      </w:r>
      <w:r>
        <w:rPr>
          <w:rFonts w:ascii="Arial"/>
          <w:w w:val="105"/>
          <w:sz w:val="19"/>
        </w:rPr>
        <w:t>a</w:t>
      </w:r>
      <w:r>
        <w:rPr>
          <w:rFonts w:ascii="Arial"/>
          <w:spacing w:val="-22"/>
          <w:w w:val="105"/>
          <w:sz w:val="19"/>
        </w:rPr>
        <w:t xml:space="preserve"> </w:t>
      </w:r>
      <w:r>
        <w:rPr>
          <w:rFonts w:ascii="Arial"/>
          <w:w w:val="105"/>
          <w:sz w:val="19"/>
        </w:rPr>
        <w:t>tablet, capsule or</w:t>
      </w:r>
      <w:r>
        <w:rPr>
          <w:rFonts w:ascii="Arial"/>
          <w:spacing w:val="-20"/>
          <w:w w:val="105"/>
          <w:sz w:val="19"/>
        </w:rPr>
        <w:t xml:space="preserve"> </w:t>
      </w:r>
      <w:r>
        <w:rPr>
          <w:rFonts w:ascii="Arial"/>
          <w:w w:val="105"/>
          <w:sz w:val="19"/>
        </w:rPr>
        <w:t>pill).</w:t>
      </w:r>
    </w:p>
    <w:p w:rsidR="007D76BB" w:rsidRDefault="00D70D28">
      <w:pPr>
        <w:pStyle w:val="ListParagraph"/>
        <w:numPr>
          <w:ilvl w:val="0"/>
          <w:numId w:val="10"/>
        </w:numPr>
        <w:tabs>
          <w:tab w:val="left" w:pos="766"/>
        </w:tabs>
        <w:spacing w:before="87" w:line="266" w:lineRule="auto"/>
        <w:ind w:right="987"/>
        <w:rPr>
          <w:rFonts w:ascii="Arial" w:hAnsi="Arial"/>
          <w:sz w:val="19"/>
        </w:rPr>
      </w:pPr>
      <w:r>
        <w:rPr>
          <w:rFonts w:ascii="Arial" w:hAnsi="Arial"/>
          <w:w w:val="105"/>
          <w:sz w:val="19"/>
        </w:rPr>
        <w:t>Option</w:t>
      </w:r>
      <w:r>
        <w:rPr>
          <w:rFonts w:ascii="Arial" w:hAnsi="Arial"/>
          <w:spacing w:val="-31"/>
          <w:w w:val="105"/>
          <w:sz w:val="19"/>
        </w:rPr>
        <w:t xml:space="preserve"> </w:t>
      </w:r>
      <w:r>
        <w:rPr>
          <w:rFonts w:ascii="Arial" w:hAnsi="Arial"/>
          <w:w w:val="105"/>
          <w:sz w:val="19"/>
        </w:rPr>
        <w:t>3</w:t>
      </w:r>
      <w:r>
        <w:rPr>
          <w:rFonts w:ascii="Arial" w:hAnsi="Arial"/>
          <w:spacing w:val="-30"/>
          <w:w w:val="105"/>
          <w:sz w:val="19"/>
        </w:rPr>
        <w:t xml:space="preserve"> </w:t>
      </w:r>
      <w:r>
        <w:rPr>
          <w:rFonts w:ascii="Arial" w:hAnsi="Arial"/>
          <w:w w:val="105"/>
          <w:sz w:val="19"/>
        </w:rPr>
        <w:t>(Excludes</w:t>
      </w:r>
      <w:r>
        <w:rPr>
          <w:rFonts w:ascii="Arial" w:hAnsi="Arial"/>
          <w:spacing w:val="-29"/>
          <w:w w:val="105"/>
          <w:sz w:val="19"/>
        </w:rPr>
        <w:t xml:space="preserve"> </w:t>
      </w:r>
      <w:r>
        <w:rPr>
          <w:rFonts w:ascii="Arial" w:hAnsi="Arial"/>
          <w:w w:val="105"/>
          <w:sz w:val="19"/>
        </w:rPr>
        <w:t>the</w:t>
      </w:r>
      <w:r>
        <w:rPr>
          <w:rFonts w:ascii="Arial" w:hAnsi="Arial"/>
          <w:spacing w:val="-30"/>
          <w:w w:val="105"/>
          <w:sz w:val="19"/>
        </w:rPr>
        <w:t xml:space="preserve"> </w:t>
      </w:r>
      <w:r>
        <w:rPr>
          <w:rFonts w:ascii="Arial" w:hAnsi="Arial"/>
          <w:w w:val="105"/>
          <w:sz w:val="19"/>
        </w:rPr>
        <w:t>presentation</w:t>
      </w:r>
      <w:r>
        <w:rPr>
          <w:rFonts w:ascii="Arial" w:hAnsi="Arial"/>
          <w:spacing w:val="-30"/>
          <w:w w:val="105"/>
          <w:sz w:val="19"/>
        </w:rPr>
        <w:t xml:space="preserve"> </w:t>
      </w:r>
      <w:r>
        <w:rPr>
          <w:rFonts w:ascii="Arial" w:hAnsi="Arial"/>
          <w:w w:val="105"/>
          <w:sz w:val="19"/>
        </w:rPr>
        <w:t>of</w:t>
      </w:r>
      <w:r>
        <w:rPr>
          <w:rFonts w:ascii="Arial" w:hAnsi="Arial"/>
          <w:spacing w:val="-30"/>
          <w:w w:val="105"/>
          <w:sz w:val="19"/>
        </w:rPr>
        <w:t xml:space="preserve"> </w:t>
      </w:r>
      <w:r>
        <w:rPr>
          <w:rFonts w:ascii="Arial" w:hAnsi="Arial"/>
          <w:w w:val="105"/>
          <w:sz w:val="19"/>
        </w:rPr>
        <w:t>sports</w:t>
      </w:r>
      <w:r>
        <w:rPr>
          <w:rFonts w:ascii="Arial" w:hAnsi="Arial"/>
          <w:spacing w:val="-31"/>
          <w:w w:val="105"/>
          <w:sz w:val="19"/>
        </w:rPr>
        <w:t xml:space="preserve"> </w:t>
      </w:r>
      <w:r>
        <w:rPr>
          <w:rFonts w:ascii="Arial" w:hAnsi="Arial"/>
          <w:w w:val="105"/>
          <w:sz w:val="19"/>
        </w:rPr>
        <w:t>supplements</w:t>
      </w:r>
      <w:r>
        <w:rPr>
          <w:rFonts w:ascii="Arial" w:hAnsi="Arial"/>
          <w:spacing w:val="-30"/>
          <w:w w:val="105"/>
          <w:sz w:val="19"/>
        </w:rPr>
        <w:t xml:space="preserve"> </w:t>
      </w:r>
      <w:r>
        <w:rPr>
          <w:rFonts w:ascii="Arial" w:hAnsi="Arial"/>
          <w:w w:val="105"/>
          <w:sz w:val="19"/>
        </w:rPr>
        <w:t>as</w:t>
      </w:r>
      <w:r>
        <w:rPr>
          <w:rFonts w:ascii="Arial" w:hAnsi="Arial"/>
          <w:spacing w:val="-28"/>
          <w:w w:val="105"/>
          <w:sz w:val="19"/>
        </w:rPr>
        <w:t xml:space="preserve"> </w:t>
      </w:r>
      <w:r>
        <w:rPr>
          <w:rFonts w:ascii="Arial" w:hAnsi="Arial"/>
          <w:w w:val="105"/>
          <w:sz w:val="19"/>
        </w:rPr>
        <w:t>tablets,</w:t>
      </w:r>
      <w:r>
        <w:rPr>
          <w:rFonts w:ascii="Arial" w:hAnsi="Arial"/>
          <w:spacing w:val="-31"/>
          <w:w w:val="105"/>
          <w:sz w:val="19"/>
        </w:rPr>
        <w:t xml:space="preserve"> </w:t>
      </w:r>
      <w:r>
        <w:rPr>
          <w:rFonts w:ascii="Arial" w:hAnsi="Arial"/>
          <w:w w:val="105"/>
          <w:sz w:val="19"/>
        </w:rPr>
        <w:t>capsules</w:t>
      </w:r>
      <w:r>
        <w:rPr>
          <w:rFonts w:ascii="Arial" w:hAnsi="Arial"/>
          <w:spacing w:val="-30"/>
          <w:w w:val="105"/>
          <w:sz w:val="19"/>
        </w:rPr>
        <w:t xml:space="preserve"> </w:t>
      </w:r>
      <w:r>
        <w:rPr>
          <w:rFonts w:ascii="Arial" w:hAnsi="Arial"/>
          <w:w w:val="105"/>
          <w:sz w:val="19"/>
        </w:rPr>
        <w:t>or</w:t>
      </w:r>
      <w:r>
        <w:rPr>
          <w:rFonts w:ascii="Arial" w:hAnsi="Arial"/>
          <w:spacing w:val="-32"/>
          <w:w w:val="105"/>
          <w:sz w:val="19"/>
        </w:rPr>
        <w:t xml:space="preserve"> </w:t>
      </w:r>
      <w:r>
        <w:rPr>
          <w:rFonts w:ascii="Arial" w:hAnsi="Arial"/>
          <w:w w:val="105"/>
          <w:sz w:val="19"/>
        </w:rPr>
        <w:t>pills):</w:t>
      </w:r>
      <w:r>
        <w:rPr>
          <w:rFonts w:ascii="Arial" w:hAnsi="Arial"/>
          <w:spacing w:val="-29"/>
          <w:w w:val="105"/>
          <w:sz w:val="19"/>
        </w:rPr>
        <w:t xml:space="preserve"> </w:t>
      </w:r>
      <w:r>
        <w:rPr>
          <w:rFonts w:ascii="Arial" w:hAnsi="Arial"/>
          <w:w w:val="105"/>
          <w:sz w:val="19"/>
        </w:rPr>
        <w:t>Declare that</w:t>
      </w:r>
      <w:r>
        <w:rPr>
          <w:rFonts w:ascii="Arial" w:hAnsi="Arial"/>
          <w:spacing w:val="-11"/>
          <w:w w:val="105"/>
          <w:sz w:val="19"/>
        </w:rPr>
        <w:t xml:space="preserve"> </w:t>
      </w:r>
      <w:r>
        <w:rPr>
          <w:rFonts w:ascii="Arial" w:hAnsi="Arial"/>
          <w:w w:val="105"/>
          <w:sz w:val="19"/>
        </w:rPr>
        <w:t>sports</w:t>
      </w:r>
      <w:r>
        <w:rPr>
          <w:rFonts w:ascii="Arial" w:hAnsi="Arial"/>
          <w:spacing w:val="-12"/>
          <w:w w:val="105"/>
          <w:sz w:val="19"/>
        </w:rPr>
        <w:t xml:space="preserve"> </w:t>
      </w:r>
      <w:r>
        <w:rPr>
          <w:rFonts w:ascii="Arial" w:hAnsi="Arial"/>
          <w:w w:val="105"/>
          <w:sz w:val="19"/>
        </w:rPr>
        <w:t>supplements</w:t>
      </w:r>
      <w:r>
        <w:rPr>
          <w:rFonts w:ascii="Arial" w:hAnsi="Arial"/>
          <w:spacing w:val="-12"/>
          <w:w w:val="105"/>
          <w:sz w:val="19"/>
        </w:rPr>
        <w:t xml:space="preserve"> </w:t>
      </w:r>
      <w:r>
        <w:rPr>
          <w:rFonts w:ascii="Arial" w:hAnsi="Arial"/>
          <w:w w:val="105"/>
          <w:sz w:val="19"/>
        </w:rPr>
        <w:t>are</w:t>
      </w:r>
      <w:r>
        <w:rPr>
          <w:rFonts w:ascii="Arial" w:hAnsi="Arial"/>
          <w:spacing w:val="-12"/>
          <w:w w:val="105"/>
          <w:sz w:val="19"/>
        </w:rPr>
        <w:t xml:space="preserve"> </w:t>
      </w:r>
      <w:r>
        <w:rPr>
          <w:rFonts w:ascii="Arial" w:hAnsi="Arial"/>
          <w:w w:val="105"/>
          <w:sz w:val="19"/>
        </w:rPr>
        <w:t>therapeutic</w:t>
      </w:r>
      <w:r>
        <w:rPr>
          <w:rFonts w:ascii="Arial" w:hAnsi="Arial"/>
          <w:spacing w:val="-11"/>
          <w:w w:val="105"/>
          <w:sz w:val="19"/>
        </w:rPr>
        <w:t xml:space="preserve"> </w:t>
      </w:r>
      <w:r>
        <w:rPr>
          <w:rFonts w:ascii="Arial" w:hAnsi="Arial"/>
          <w:w w:val="105"/>
          <w:sz w:val="19"/>
        </w:rPr>
        <w:t>goods</w:t>
      </w:r>
      <w:r>
        <w:rPr>
          <w:rFonts w:ascii="Arial" w:hAnsi="Arial"/>
          <w:spacing w:val="-12"/>
          <w:w w:val="105"/>
          <w:sz w:val="19"/>
        </w:rPr>
        <w:t xml:space="preserve"> </w:t>
      </w:r>
      <w:r>
        <w:rPr>
          <w:rFonts w:ascii="Arial" w:hAnsi="Arial"/>
          <w:w w:val="105"/>
          <w:sz w:val="19"/>
        </w:rPr>
        <w:t>if</w:t>
      </w:r>
      <w:r>
        <w:rPr>
          <w:rFonts w:ascii="Arial" w:hAnsi="Arial"/>
          <w:spacing w:val="-13"/>
          <w:w w:val="105"/>
          <w:sz w:val="19"/>
        </w:rPr>
        <w:t xml:space="preserve"> </w:t>
      </w:r>
      <w:r>
        <w:rPr>
          <w:rFonts w:ascii="Arial" w:hAnsi="Arial"/>
          <w:w w:val="105"/>
          <w:sz w:val="19"/>
        </w:rPr>
        <w:t>they:</w:t>
      </w:r>
    </w:p>
    <w:p w:rsidR="007D76BB" w:rsidRDefault="00D70D28">
      <w:pPr>
        <w:spacing w:before="74"/>
        <w:ind w:left="765"/>
        <w:rPr>
          <w:rFonts w:ascii="Arial"/>
          <w:sz w:val="19"/>
        </w:rPr>
      </w:pPr>
      <w:r>
        <w:rPr>
          <w:rFonts w:ascii="Calibri"/>
          <w:color w:val="005386"/>
          <w:w w:val="105"/>
          <w:sz w:val="19"/>
        </w:rPr>
        <w:t xml:space="preserve">+ </w:t>
      </w:r>
      <w:r>
        <w:rPr>
          <w:rFonts w:ascii="Arial"/>
          <w:w w:val="105"/>
          <w:sz w:val="19"/>
        </w:rPr>
        <w:t>contain ingredients that are not appropriate for a sports supplement food:</w:t>
      </w:r>
    </w:p>
    <w:p w:rsidR="007D76BB" w:rsidRDefault="00D70D28">
      <w:pPr>
        <w:pStyle w:val="ListParagraph"/>
        <w:numPr>
          <w:ilvl w:val="1"/>
          <w:numId w:val="10"/>
        </w:numPr>
        <w:tabs>
          <w:tab w:val="left" w:pos="1334"/>
        </w:tabs>
        <w:spacing w:before="79"/>
        <w:rPr>
          <w:rFonts w:ascii="Arial" w:hAnsi="Arial"/>
          <w:sz w:val="19"/>
        </w:rPr>
      </w:pPr>
      <w:r>
        <w:rPr>
          <w:rFonts w:ascii="Arial" w:hAnsi="Arial"/>
          <w:w w:val="105"/>
          <w:sz w:val="19"/>
        </w:rPr>
        <w:t>a</w:t>
      </w:r>
      <w:r>
        <w:rPr>
          <w:rFonts w:ascii="Arial" w:hAnsi="Arial"/>
          <w:spacing w:val="-13"/>
          <w:w w:val="105"/>
          <w:sz w:val="19"/>
        </w:rPr>
        <w:t xml:space="preserve"> </w:t>
      </w:r>
      <w:r>
        <w:rPr>
          <w:rFonts w:ascii="Arial" w:hAnsi="Arial"/>
          <w:w w:val="105"/>
          <w:sz w:val="19"/>
        </w:rPr>
        <w:t>substance</w:t>
      </w:r>
      <w:r>
        <w:rPr>
          <w:rFonts w:ascii="Arial" w:hAnsi="Arial"/>
          <w:spacing w:val="-14"/>
          <w:w w:val="105"/>
          <w:sz w:val="19"/>
        </w:rPr>
        <w:t xml:space="preserve"> </w:t>
      </w:r>
      <w:r>
        <w:rPr>
          <w:rFonts w:ascii="Arial" w:hAnsi="Arial"/>
          <w:w w:val="105"/>
          <w:sz w:val="19"/>
        </w:rPr>
        <w:t>above</w:t>
      </w:r>
      <w:r>
        <w:rPr>
          <w:rFonts w:ascii="Arial" w:hAnsi="Arial"/>
          <w:spacing w:val="-12"/>
          <w:w w:val="105"/>
          <w:sz w:val="19"/>
        </w:rPr>
        <w:t xml:space="preserve"> </w:t>
      </w:r>
      <w:r>
        <w:rPr>
          <w:rFonts w:ascii="Arial" w:hAnsi="Arial"/>
          <w:w w:val="105"/>
          <w:sz w:val="19"/>
        </w:rPr>
        <w:t>the</w:t>
      </w:r>
      <w:r>
        <w:rPr>
          <w:rFonts w:ascii="Arial" w:hAnsi="Arial"/>
          <w:spacing w:val="-15"/>
          <w:w w:val="105"/>
          <w:sz w:val="19"/>
        </w:rPr>
        <w:t xml:space="preserve"> </w:t>
      </w:r>
      <w:r>
        <w:rPr>
          <w:rFonts w:ascii="Arial" w:hAnsi="Arial"/>
          <w:w w:val="105"/>
          <w:sz w:val="19"/>
        </w:rPr>
        <w:t>restrictions</w:t>
      </w:r>
      <w:r>
        <w:rPr>
          <w:rFonts w:ascii="Arial" w:hAnsi="Arial"/>
          <w:spacing w:val="-15"/>
          <w:w w:val="105"/>
          <w:sz w:val="19"/>
        </w:rPr>
        <w:t xml:space="preserve"> </w:t>
      </w:r>
      <w:r>
        <w:rPr>
          <w:rFonts w:ascii="Arial" w:hAnsi="Arial"/>
          <w:w w:val="105"/>
          <w:sz w:val="19"/>
        </w:rPr>
        <w:t>provided</w:t>
      </w:r>
      <w:r>
        <w:rPr>
          <w:rFonts w:ascii="Arial" w:hAnsi="Arial"/>
          <w:spacing w:val="-14"/>
          <w:w w:val="105"/>
          <w:sz w:val="19"/>
        </w:rPr>
        <w:t xml:space="preserve"> </w:t>
      </w:r>
      <w:r>
        <w:rPr>
          <w:rFonts w:ascii="Arial" w:hAnsi="Arial"/>
          <w:w w:val="105"/>
          <w:sz w:val="19"/>
        </w:rPr>
        <w:t>in</w:t>
      </w:r>
      <w:r>
        <w:rPr>
          <w:rFonts w:ascii="Arial" w:hAnsi="Arial"/>
          <w:spacing w:val="-12"/>
          <w:w w:val="105"/>
          <w:sz w:val="19"/>
        </w:rPr>
        <w:t xml:space="preserve"> </w:t>
      </w:r>
      <w:r>
        <w:rPr>
          <w:rFonts w:ascii="Arial" w:hAnsi="Arial"/>
          <w:w w:val="105"/>
          <w:sz w:val="19"/>
        </w:rPr>
        <w:t>the</w:t>
      </w:r>
      <w:r>
        <w:rPr>
          <w:rFonts w:ascii="Arial" w:hAnsi="Arial"/>
          <w:spacing w:val="-13"/>
          <w:w w:val="105"/>
          <w:sz w:val="19"/>
        </w:rPr>
        <w:t xml:space="preserve"> </w:t>
      </w:r>
      <w:r>
        <w:rPr>
          <w:rFonts w:ascii="Arial" w:hAnsi="Arial"/>
          <w:w w:val="105"/>
          <w:sz w:val="19"/>
        </w:rPr>
        <w:t>Poisons</w:t>
      </w:r>
      <w:r>
        <w:rPr>
          <w:rFonts w:ascii="Arial" w:hAnsi="Arial"/>
          <w:spacing w:val="-13"/>
          <w:w w:val="105"/>
          <w:sz w:val="19"/>
        </w:rPr>
        <w:t xml:space="preserve"> </w:t>
      </w:r>
      <w:r>
        <w:rPr>
          <w:rFonts w:ascii="Arial" w:hAnsi="Arial"/>
          <w:w w:val="105"/>
          <w:sz w:val="19"/>
        </w:rPr>
        <w:t>Standard</w:t>
      </w:r>
    </w:p>
    <w:p w:rsidR="007D76BB" w:rsidRDefault="00D70D28">
      <w:pPr>
        <w:pStyle w:val="ListParagraph"/>
        <w:numPr>
          <w:ilvl w:val="1"/>
          <w:numId w:val="10"/>
        </w:numPr>
        <w:tabs>
          <w:tab w:val="left" w:pos="1334"/>
        </w:tabs>
        <w:spacing w:before="87"/>
        <w:rPr>
          <w:rFonts w:ascii="Arial" w:hAnsi="Arial"/>
          <w:sz w:val="19"/>
        </w:rPr>
      </w:pPr>
      <w:r>
        <w:rPr>
          <w:rFonts w:ascii="Arial" w:hAnsi="Arial"/>
          <w:w w:val="105"/>
          <w:sz w:val="19"/>
        </w:rPr>
        <w:t>a</w:t>
      </w:r>
      <w:r>
        <w:rPr>
          <w:rFonts w:ascii="Arial" w:hAnsi="Arial"/>
          <w:spacing w:val="-12"/>
          <w:w w:val="105"/>
          <w:sz w:val="19"/>
        </w:rPr>
        <w:t xml:space="preserve"> </w:t>
      </w:r>
      <w:r>
        <w:rPr>
          <w:rFonts w:ascii="Arial" w:hAnsi="Arial"/>
          <w:w w:val="105"/>
          <w:sz w:val="19"/>
        </w:rPr>
        <w:t>substance</w:t>
      </w:r>
      <w:r>
        <w:rPr>
          <w:rFonts w:ascii="Arial" w:hAnsi="Arial"/>
          <w:spacing w:val="-13"/>
          <w:w w:val="105"/>
          <w:sz w:val="19"/>
        </w:rPr>
        <w:t xml:space="preserve"> </w:t>
      </w:r>
      <w:r>
        <w:rPr>
          <w:rFonts w:ascii="Arial" w:hAnsi="Arial"/>
          <w:w w:val="105"/>
          <w:sz w:val="19"/>
        </w:rPr>
        <w:t>that</w:t>
      </w:r>
      <w:r>
        <w:rPr>
          <w:rFonts w:ascii="Arial" w:hAnsi="Arial"/>
          <w:spacing w:val="-13"/>
          <w:w w:val="105"/>
          <w:sz w:val="19"/>
        </w:rPr>
        <w:t xml:space="preserve"> </w:t>
      </w:r>
      <w:r>
        <w:rPr>
          <w:rFonts w:ascii="Arial" w:hAnsi="Arial"/>
          <w:w w:val="105"/>
          <w:sz w:val="19"/>
        </w:rPr>
        <w:t>is</w:t>
      </w:r>
      <w:r>
        <w:rPr>
          <w:rFonts w:ascii="Arial" w:hAnsi="Arial"/>
          <w:spacing w:val="-11"/>
          <w:w w:val="105"/>
          <w:sz w:val="19"/>
        </w:rPr>
        <w:t xml:space="preserve"> </w:t>
      </w:r>
      <w:r>
        <w:rPr>
          <w:rFonts w:ascii="Arial" w:hAnsi="Arial"/>
          <w:w w:val="105"/>
          <w:sz w:val="19"/>
        </w:rPr>
        <w:t>included</w:t>
      </w:r>
      <w:r>
        <w:rPr>
          <w:rFonts w:ascii="Arial" w:hAnsi="Arial"/>
          <w:spacing w:val="-13"/>
          <w:w w:val="105"/>
          <w:sz w:val="19"/>
        </w:rPr>
        <w:t xml:space="preserve"> </w:t>
      </w:r>
      <w:r>
        <w:rPr>
          <w:rFonts w:ascii="Arial" w:hAnsi="Arial"/>
          <w:w w:val="105"/>
          <w:sz w:val="19"/>
        </w:rPr>
        <w:t>in</w:t>
      </w:r>
      <w:r>
        <w:rPr>
          <w:rFonts w:ascii="Arial" w:hAnsi="Arial"/>
          <w:spacing w:val="-11"/>
          <w:w w:val="105"/>
          <w:sz w:val="19"/>
        </w:rPr>
        <w:t xml:space="preserve"> </w:t>
      </w:r>
      <w:r>
        <w:rPr>
          <w:rFonts w:ascii="Arial" w:hAnsi="Arial"/>
          <w:w w:val="105"/>
          <w:sz w:val="19"/>
        </w:rPr>
        <w:t>the</w:t>
      </w:r>
      <w:r>
        <w:rPr>
          <w:rFonts w:ascii="Arial" w:hAnsi="Arial"/>
          <w:spacing w:val="-11"/>
          <w:w w:val="105"/>
          <w:sz w:val="19"/>
        </w:rPr>
        <w:t xml:space="preserve"> </w:t>
      </w:r>
      <w:r>
        <w:rPr>
          <w:rFonts w:ascii="Arial" w:hAnsi="Arial"/>
          <w:w w:val="105"/>
          <w:sz w:val="19"/>
        </w:rPr>
        <w:t>WADC</w:t>
      </w:r>
      <w:r>
        <w:rPr>
          <w:rFonts w:ascii="Arial" w:hAnsi="Arial"/>
          <w:spacing w:val="-11"/>
          <w:w w:val="105"/>
          <w:sz w:val="19"/>
        </w:rPr>
        <w:t xml:space="preserve"> </w:t>
      </w:r>
      <w:r>
        <w:rPr>
          <w:rFonts w:ascii="Arial" w:hAnsi="Arial"/>
          <w:w w:val="105"/>
          <w:sz w:val="19"/>
        </w:rPr>
        <w:t>Prohibited</w:t>
      </w:r>
      <w:r>
        <w:rPr>
          <w:rFonts w:ascii="Arial" w:hAnsi="Arial"/>
          <w:spacing w:val="-13"/>
          <w:w w:val="105"/>
          <w:sz w:val="19"/>
        </w:rPr>
        <w:t xml:space="preserve"> </w:t>
      </w:r>
      <w:r>
        <w:rPr>
          <w:rFonts w:ascii="Arial" w:hAnsi="Arial"/>
          <w:w w:val="105"/>
          <w:sz w:val="19"/>
        </w:rPr>
        <w:t>List</w:t>
      </w:r>
    </w:p>
    <w:p w:rsidR="007D76BB" w:rsidRDefault="00D70D28">
      <w:pPr>
        <w:pStyle w:val="ListParagraph"/>
        <w:numPr>
          <w:ilvl w:val="1"/>
          <w:numId w:val="10"/>
        </w:numPr>
        <w:tabs>
          <w:tab w:val="left" w:pos="1334"/>
        </w:tabs>
        <w:spacing w:before="89"/>
        <w:rPr>
          <w:rFonts w:ascii="Arial" w:hAnsi="Arial"/>
          <w:sz w:val="19"/>
        </w:rPr>
      </w:pPr>
      <w:proofErr w:type="gramStart"/>
      <w:r>
        <w:rPr>
          <w:rFonts w:ascii="Arial" w:hAnsi="Arial"/>
          <w:w w:val="105"/>
          <w:sz w:val="19"/>
        </w:rPr>
        <w:t>a</w:t>
      </w:r>
      <w:proofErr w:type="gramEnd"/>
      <w:r>
        <w:rPr>
          <w:rFonts w:ascii="Arial" w:hAnsi="Arial"/>
          <w:spacing w:val="-12"/>
          <w:w w:val="105"/>
          <w:sz w:val="19"/>
        </w:rPr>
        <w:t xml:space="preserve"> </w:t>
      </w:r>
      <w:r>
        <w:rPr>
          <w:rFonts w:ascii="Arial" w:hAnsi="Arial"/>
          <w:w w:val="105"/>
          <w:sz w:val="19"/>
        </w:rPr>
        <w:t>relevant</w:t>
      </w:r>
      <w:r>
        <w:rPr>
          <w:rFonts w:ascii="Arial" w:hAnsi="Arial"/>
          <w:spacing w:val="-11"/>
          <w:w w:val="105"/>
          <w:sz w:val="19"/>
        </w:rPr>
        <w:t xml:space="preserve"> </w:t>
      </w:r>
      <w:r>
        <w:rPr>
          <w:rFonts w:ascii="Arial" w:hAnsi="Arial"/>
          <w:w w:val="105"/>
          <w:sz w:val="19"/>
        </w:rPr>
        <w:t>substance</w:t>
      </w:r>
      <w:r>
        <w:rPr>
          <w:rFonts w:ascii="Arial" w:hAnsi="Arial"/>
          <w:spacing w:val="-9"/>
          <w:w w:val="105"/>
          <w:sz w:val="19"/>
        </w:rPr>
        <w:t xml:space="preserve"> </w:t>
      </w:r>
      <w:r>
        <w:rPr>
          <w:rFonts w:ascii="Arial" w:hAnsi="Arial"/>
          <w:w w:val="105"/>
          <w:sz w:val="19"/>
        </w:rPr>
        <w:t>as</w:t>
      </w:r>
      <w:r>
        <w:rPr>
          <w:rFonts w:ascii="Arial" w:hAnsi="Arial"/>
          <w:spacing w:val="-14"/>
          <w:w w:val="105"/>
          <w:sz w:val="19"/>
        </w:rPr>
        <w:t xml:space="preserve"> </w:t>
      </w:r>
      <w:r>
        <w:rPr>
          <w:rFonts w:ascii="Arial" w:hAnsi="Arial"/>
          <w:w w:val="105"/>
          <w:sz w:val="19"/>
        </w:rPr>
        <w:t>declared</w:t>
      </w:r>
      <w:r>
        <w:rPr>
          <w:rFonts w:ascii="Arial" w:hAnsi="Arial"/>
          <w:spacing w:val="-13"/>
          <w:w w:val="105"/>
          <w:sz w:val="19"/>
        </w:rPr>
        <w:t xml:space="preserve"> </w:t>
      </w:r>
      <w:r>
        <w:rPr>
          <w:rFonts w:ascii="Arial" w:hAnsi="Arial"/>
          <w:w w:val="105"/>
          <w:sz w:val="19"/>
        </w:rPr>
        <w:t>by</w:t>
      </w:r>
      <w:r>
        <w:rPr>
          <w:rFonts w:ascii="Arial" w:hAnsi="Arial"/>
          <w:spacing w:val="-13"/>
          <w:w w:val="105"/>
          <w:sz w:val="19"/>
        </w:rPr>
        <w:t xml:space="preserve"> </w:t>
      </w:r>
      <w:r>
        <w:rPr>
          <w:rFonts w:ascii="Arial" w:hAnsi="Arial"/>
          <w:w w:val="105"/>
          <w:sz w:val="19"/>
        </w:rPr>
        <w:t>the</w:t>
      </w:r>
      <w:r>
        <w:rPr>
          <w:rFonts w:ascii="Arial" w:hAnsi="Arial"/>
          <w:spacing w:val="-11"/>
          <w:w w:val="105"/>
          <w:sz w:val="19"/>
        </w:rPr>
        <w:t xml:space="preserve"> </w:t>
      </w:r>
      <w:r>
        <w:rPr>
          <w:rFonts w:ascii="Arial" w:hAnsi="Arial"/>
          <w:w w:val="105"/>
          <w:sz w:val="19"/>
        </w:rPr>
        <w:t>Secretary.</w:t>
      </w:r>
    </w:p>
    <w:p w:rsidR="007D76BB" w:rsidRDefault="00D70D28">
      <w:pPr>
        <w:spacing w:before="200" w:line="302" w:lineRule="auto"/>
        <w:ind w:left="482" w:right="688"/>
        <w:rPr>
          <w:rFonts w:ascii="Arial"/>
          <w:sz w:val="19"/>
        </w:rPr>
      </w:pPr>
      <w:r>
        <w:rPr>
          <w:rFonts w:ascii="Arial"/>
          <w:w w:val="105"/>
          <w:sz w:val="19"/>
        </w:rPr>
        <w:t>From</w:t>
      </w:r>
      <w:r>
        <w:rPr>
          <w:rFonts w:ascii="Arial"/>
          <w:spacing w:val="-21"/>
          <w:w w:val="105"/>
          <w:sz w:val="19"/>
        </w:rPr>
        <w:t xml:space="preserve"> </w:t>
      </w:r>
      <w:r>
        <w:rPr>
          <w:rFonts w:ascii="Arial"/>
          <w:w w:val="105"/>
          <w:sz w:val="19"/>
        </w:rPr>
        <w:t>a</w:t>
      </w:r>
      <w:r>
        <w:rPr>
          <w:rFonts w:ascii="Arial"/>
          <w:spacing w:val="-20"/>
          <w:w w:val="105"/>
          <w:sz w:val="19"/>
        </w:rPr>
        <w:t xml:space="preserve"> </w:t>
      </w:r>
      <w:r>
        <w:rPr>
          <w:rFonts w:ascii="Arial"/>
          <w:w w:val="105"/>
          <w:sz w:val="19"/>
        </w:rPr>
        <w:t>regulatory</w:t>
      </w:r>
      <w:r>
        <w:rPr>
          <w:rFonts w:ascii="Arial"/>
          <w:spacing w:val="-21"/>
          <w:w w:val="105"/>
          <w:sz w:val="19"/>
        </w:rPr>
        <w:t xml:space="preserve"> </w:t>
      </w:r>
      <w:r>
        <w:rPr>
          <w:rFonts w:ascii="Arial"/>
          <w:w w:val="105"/>
          <w:sz w:val="19"/>
        </w:rPr>
        <w:t>costing</w:t>
      </w:r>
      <w:r>
        <w:rPr>
          <w:rFonts w:ascii="Arial"/>
          <w:spacing w:val="-21"/>
          <w:w w:val="105"/>
          <w:sz w:val="19"/>
        </w:rPr>
        <w:t xml:space="preserve"> </w:t>
      </w:r>
      <w:r>
        <w:rPr>
          <w:rFonts w:ascii="Arial"/>
          <w:w w:val="105"/>
          <w:sz w:val="19"/>
        </w:rPr>
        <w:t>perspective,</w:t>
      </w:r>
      <w:r>
        <w:rPr>
          <w:rFonts w:ascii="Arial"/>
          <w:spacing w:val="-20"/>
          <w:w w:val="105"/>
          <w:sz w:val="19"/>
        </w:rPr>
        <w:t xml:space="preserve"> </w:t>
      </w:r>
      <w:r>
        <w:rPr>
          <w:rFonts w:ascii="Arial"/>
          <w:w w:val="105"/>
          <w:sz w:val="19"/>
        </w:rPr>
        <w:t>there</w:t>
      </w:r>
      <w:r>
        <w:rPr>
          <w:rFonts w:ascii="Arial"/>
          <w:spacing w:val="-22"/>
          <w:w w:val="105"/>
          <w:sz w:val="19"/>
        </w:rPr>
        <w:t xml:space="preserve"> </w:t>
      </w:r>
      <w:r>
        <w:rPr>
          <w:rFonts w:ascii="Arial"/>
          <w:w w:val="105"/>
          <w:sz w:val="19"/>
        </w:rPr>
        <w:t>was</w:t>
      </w:r>
      <w:r>
        <w:rPr>
          <w:rFonts w:ascii="Arial"/>
          <w:spacing w:val="-22"/>
          <w:w w:val="105"/>
          <w:sz w:val="19"/>
        </w:rPr>
        <w:t xml:space="preserve"> </w:t>
      </w:r>
      <w:r>
        <w:rPr>
          <w:rFonts w:ascii="Arial"/>
          <w:w w:val="105"/>
          <w:sz w:val="19"/>
        </w:rPr>
        <w:t>not</w:t>
      </w:r>
      <w:r>
        <w:rPr>
          <w:rFonts w:ascii="Arial"/>
          <w:spacing w:val="-21"/>
          <w:w w:val="105"/>
          <w:sz w:val="19"/>
        </w:rPr>
        <w:t xml:space="preserve"> </w:t>
      </w:r>
      <w:r>
        <w:rPr>
          <w:rFonts w:ascii="Arial"/>
          <w:w w:val="105"/>
          <w:sz w:val="19"/>
        </w:rPr>
        <w:t>considered</w:t>
      </w:r>
      <w:r>
        <w:rPr>
          <w:rFonts w:ascii="Arial"/>
          <w:spacing w:val="-21"/>
          <w:w w:val="105"/>
          <w:sz w:val="19"/>
        </w:rPr>
        <w:t xml:space="preserve"> </w:t>
      </w:r>
      <w:r>
        <w:rPr>
          <w:rFonts w:ascii="Arial"/>
          <w:w w:val="105"/>
          <w:sz w:val="19"/>
        </w:rPr>
        <w:t>to</w:t>
      </w:r>
      <w:r>
        <w:rPr>
          <w:rFonts w:ascii="Arial"/>
          <w:spacing w:val="-21"/>
          <w:w w:val="105"/>
          <w:sz w:val="19"/>
        </w:rPr>
        <w:t xml:space="preserve"> </w:t>
      </w:r>
      <w:r>
        <w:rPr>
          <w:rFonts w:ascii="Arial"/>
          <w:w w:val="105"/>
          <w:sz w:val="19"/>
        </w:rPr>
        <w:t>be</w:t>
      </w:r>
      <w:r>
        <w:rPr>
          <w:rFonts w:ascii="Arial"/>
          <w:spacing w:val="-20"/>
          <w:w w:val="105"/>
          <w:sz w:val="19"/>
        </w:rPr>
        <w:t xml:space="preserve"> </w:t>
      </w:r>
      <w:r>
        <w:rPr>
          <w:rFonts w:ascii="Arial"/>
          <w:w w:val="105"/>
          <w:sz w:val="19"/>
        </w:rPr>
        <w:t>any</w:t>
      </w:r>
      <w:r>
        <w:rPr>
          <w:rFonts w:ascii="Arial"/>
          <w:spacing w:val="-16"/>
          <w:w w:val="105"/>
          <w:sz w:val="19"/>
        </w:rPr>
        <w:t xml:space="preserve"> </w:t>
      </w:r>
      <w:r>
        <w:rPr>
          <w:rFonts w:ascii="Arial"/>
          <w:w w:val="105"/>
          <w:sz w:val="19"/>
        </w:rPr>
        <w:t>material</w:t>
      </w:r>
      <w:r>
        <w:rPr>
          <w:rFonts w:ascii="Arial"/>
          <w:spacing w:val="-20"/>
          <w:w w:val="105"/>
          <w:sz w:val="19"/>
        </w:rPr>
        <w:t xml:space="preserve"> </w:t>
      </w:r>
      <w:r>
        <w:rPr>
          <w:rFonts w:ascii="Arial"/>
          <w:w w:val="105"/>
          <w:sz w:val="19"/>
        </w:rPr>
        <w:t>change</w:t>
      </w:r>
      <w:r>
        <w:rPr>
          <w:rFonts w:ascii="Arial"/>
          <w:spacing w:val="-20"/>
          <w:w w:val="105"/>
          <w:sz w:val="19"/>
        </w:rPr>
        <w:t xml:space="preserve"> </w:t>
      </w:r>
      <w:r>
        <w:rPr>
          <w:rFonts w:ascii="Arial"/>
          <w:w w:val="105"/>
          <w:sz w:val="19"/>
        </w:rPr>
        <w:t>to</w:t>
      </w:r>
      <w:r>
        <w:rPr>
          <w:rFonts w:ascii="Arial"/>
          <w:spacing w:val="-22"/>
          <w:w w:val="105"/>
          <w:sz w:val="19"/>
        </w:rPr>
        <w:t xml:space="preserve"> </w:t>
      </w:r>
      <w:r>
        <w:rPr>
          <w:rFonts w:ascii="Arial"/>
          <w:w w:val="105"/>
          <w:sz w:val="19"/>
        </w:rPr>
        <w:t>the arising regulatory burden between options 2A and 2B due to the high correlation between the substances</w:t>
      </w:r>
      <w:r>
        <w:rPr>
          <w:rFonts w:ascii="Arial"/>
          <w:spacing w:val="-32"/>
          <w:w w:val="105"/>
          <w:sz w:val="19"/>
        </w:rPr>
        <w:t xml:space="preserve"> </w:t>
      </w:r>
      <w:r>
        <w:rPr>
          <w:rFonts w:ascii="Arial"/>
          <w:w w:val="105"/>
          <w:sz w:val="19"/>
        </w:rPr>
        <w:t>listed</w:t>
      </w:r>
      <w:r>
        <w:rPr>
          <w:rFonts w:ascii="Arial"/>
          <w:spacing w:val="-33"/>
          <w:w w:val="105"/>
          <w:sz w:val="19"/>
        </w:rPr>
        <w:t xml:space="preserve"> </w:t>
      </w:r>
      <w:r>
        <w:rPr>
          <w:rFonts w:ascii="Arial"/>
          <w:w w:val="105"/>
          <w:sz w:val="19"/>
        </w:rPr>
        <w:t>on</w:t>
      </w:r>
      <w:r>
        <w:rPr>
          <w:rFonts w:ascii="Arial"/>
          <w:spacing w:val="-32"/>
          <w:w w:val="105"/>
          <w:sz w:val="19"/>
        </w:rPr>
        <w:t xml:space="preserve"> </w:t>
      </w:r>
      <w:r>
        <w:rPr>
          <w:rFonts w:ascii="Arial"/>
          <w:w w:val="105"/>
          <w:sz w:val="19"/>
        </w:rPr>
        <w:t>the</w:t>
      </w:r>
      <w:r>
        <w:rPr>
          <w:rFonts w:ascii="Arial"/>
          <w:spacing w:val="-32"/>
          <w:w w:val="105"/>
          <w:sz w:val="19"/>
        </w:rPr>
        <w:t xml:space="preserve"> </w:t>
      </w:r>
      <w:r>
        <w:rPr>
          <w:rFonts w:ascii="Arial"/>
          <w:w w:val="105"/>
          <w:sz w:val="19"/>
        </w:rPr>
        <w:t>Poison</w:t>
      </w:r>
      <w:r>
        <w:rPr>
          <w:rFonts w:ascii="Arial"/>
          <w:spacing w:val="-31"/>
          <w:w w:val="105"/>
          <w:sz w:val="19"/>
        </w:rPr>
        <w:t xml:space="preserve"> </w:t>
      </w:r>
      <w:r>
        <w:rPr>
          <w:rFonts w:ascii="Arial"/>
          <w:w w:val="105"/>
          <w:sz w:val="19"/>
        </w:rPr>
        <w:t>Standard</w:t>
      </w:r>
      <w:r>
        <w:rPr>
          <w:rFonts w:ascii="Arial"/>
          <w:w w:val="105"/>
          <w:position w:val="7"/>
          <w:sz w:val="11"/>
        </w:rPr>
        <w:t>9</w:t>
      </w:r>
      <w:r>
        <w:rPr>
          <w:rFonts w:ascii="Arial"/>
          <w:spacing w:val="-8"/>
          <w:w w:val="105"/>
          <w:position w:val="7"/>
          <w:sz w:val="11"/>
        </w:rPr>
        <w:t xml:space="preserve"> </w:t>
      </w:r>
      <w:r>
        <w:rPr>
          <w:rFonts w:ascii="Arial"/>
          <w:w w:val="105"/>
          <w:sz w:val="19"/>
        </w:rPr>
        <w:t>and</w:t>
      </w:r>
      <w:r>
        <w:rPr>
          <w:rFonts w:ascii="Arial"/>
          <w:spacing w:val="-33"/>
          <w:w w:val="105"/>
          <w:sz w:val="19"/>
        </w:rPr>
        <w:t xml:space="preserve"> </w:t>
      </w:r>
      <w:r>
        <w:rPr>
          <w:rFonts w:ascii="Arial"/>
          <w:w w:val="105"/>
          <w:sz w:val="19"/>
        </w:rPr>
        <w:t>the</w:t>
      </w:r>
      <w:r>
        <w:rPr>
          <w:rFonts w:ascii="Arial"/>
          <w:spacing w:val="-32"/>
          <w:w w:val="105"/>
          <w:sz w:val="19"/>
        </w:rPr>
        <w:t xml:space="preserve"> </w:t>
      </w:r>
      <w:r>
        <w:rPr>
          <w:rFonts w:ascii="Arial"/>
          <w:w w:val="105"/>
          <w:sz w:val="19"/>
        </w:rPr>
        <w:t>WADC</w:t>
      </w:r>
      <w:r>
        <w:rPr>
          <w:rFonts w:ascii="Arial"/>
          <w:spacing w:val="-31"/>
          <w:w w:val="105"/>
          <w:sz w:val="19"/>
        </w:rPr>
        <w:t xml:space="preserve"> </w:t>
      </w:r>
      <w:r>
        <w:rPr>
          <w:rFonts w:ascii="Arial"/>
          <w:w w:val="105"/>
          <w:sz w:val="19"/>
        </w:rPr>
        <w:t>Prohibited</w:t>
      </w:r>
      <w:r>
        <w:rPr>
          <w:rFonts w:ascii="Arial"/>
          <w:spacing w:val="-33"/>
          <w:w w:val="105"/>
          <w:sz w:val="19"/>
        </w:rPr>
        <w:t xml:space="preserve"> </w:t>
      </w:r>
      <w:r>
        <w:rPr>
          <w:rFonts w:ascii="Arial"/>
          <w:w w:val="105"/>
          <w:sz w:val="19"/>
        </w:rPr>
        <w:t>List,</w:t>
      </w:r>
      <w:r>
        <w:rPr>
          <w:rFonts w:ascii="Arial"/>
          <w:spacing w:val="-31"/>
          <w:w w:val="105"/>
          <w:sz w:val="19"/>
        </w:rPr>
        <w:t xml:space="preserve"> </w:t>
      </w:r>
      <w:r>
        <w:rPr>
          <w:rFonts w:ascii="Arial"/>
          <w:w w:val="105"/>
          <w:sz w:val="19"/>
        </w:rPr>
        <w:t>which</w:t>
      </w:r>
      <w:r>
        <w:rPr>
          <w:rFonts w:ascii="Arial"/>
          <w:spacing w:val="-31"/>
          <w:w w:val="105"/>
          <w:sz w:val="19"/>
        </w:rPr>
        <w:t xml:space="preserve"> </w:t>
      </w:r>
      <w:r>
        <w:rPr>
          <w:rFonts w:ascii="Arial"/>
          <w:w w:val="105"/>
          <w:sz w:val="19"/>
        </w:rPr>
        <w:t>is</w:t>
      </w:r>
      <w:r>
        <w:rPr>
          <w:rFonts w:ascii="Arial"/>
          <w:spacing w:val="-33"/>
          <w:w w:val="105"/>
          <w:sz w:val="19"/>
        </w:rPr>
        <w:t xml:space="preserve"> </w:t>
      </w:r>
      <w:r>
        <w:rPr>
          <w:rFonts w:ascii="Arial"/>
          <w:w w:val="105"/>
          <w:sz w:val="19"/>
        </w:rPr>
        <w:t>unsurprising</w:t>
      </w:r>
      <w:r>
        <w:rPr>
          <w:rFonts w:ascii="Arial"/>
          <w:spacing w:val="-33"/>
          <w:w w:val="105"/>
          <w:sz w:val="19"/>
        </w:rPr>
        <w:t xml:space="preserve"> </w:t>
      </w:r>
      <w:r>
        <w:rPr>
          <w:rFonts w:ascii="Arial"/>
          <w:w w:val="105"/>
          <w:sz w:val="19"/>
        </w:rPr>
        <w:t>given the consumer safety focus of both documents.</w:t>
      </w:r>
      <w:r>
        <w:rPr>
          <w:rFonts w:ascii="Arial"/>
          <w:w w:val="105"/>
          <w:position w:val="7"/>
          <w:sz w:val="11"/>
        </w:rPr>
        <w:t xml:space="preserve">10 </w:t>
      </w:r>
      <w:r>
        <w:rPr>
          <w:rFonts w:ascii="Arial"/>
          <w:position w:val="7"/>
          <w:sz w:val="11"/>
        </w:rPr>
        <w:t xml:space="preserve">11 </w:t>
      </w:r>
      <w:r>
        <w:rPr>
          <w:rFonts w:ascii="Arial"/>
          <w:w w:val="105"/>
          <w:sz w:val="19"/>
        </w:rPr>
        <w:t>While there is no material change to the regulatory</w:t>
      </w:r>
      <w:r>
        <w:rPr>
          <w:rFonts w:ascii="Arial"/>
          <w:spacing w:val="-17"/>
          <w:w w:val="105"/>
          <w:sz w:val="19"/>
        </w:rPr>
        <w:t xml:space="preserve"> </w:t>
      </w:r>
      <w:r>
        <w:rPr>
          <w:rFonts w:ascii="Arial"/>
          <w:w w:val="105"/>
          <w:sz w:val="19"/>
        </w:rPr>
        <w:t>burden</w:t>
      </w:r>
      <w:r>
        <w:rPr>
          <w:rFonts w:ascii="Arial"/>
          <w:spacing w:val="-17"/>
          <w:w w:val="105"/>
          <w:sz w:val="19"/>
        </w:rPr>
        <w:t xml:space="preserve"> </w:t>
      </w:r>
      <w:r>
        <w:rPr>
          <w:rFonts w:ascii="Arial"/>
          <w:w w:val="105"/>
          <w:sz w:val="19"/>
        </w:rPr>
        <w:t>between</w:t>
      </w:r>
      <w:r>
        <w:rPr>
          <w:rFonts w:ascii="Arial"/>
          <w:spacing w:val="-17"/>
          <w:w w:val="105"/>
          <w:sz w:val="19"/>
        </w:rPr>
        <w:t xml:space="preserve"> </w:t>
      </w:r>
      <w:r>
        <w:rPr>
          <w:rFonts w:ascii="Arial"/>
          <w:w w:val="105"/>
          <w:sz w:val="19"/>
        </w:rPr>
        <w:t>options</w:t>
      </w:r>
      <w:r>
        <w:rPr>
          <w:rFonts w:ascii="Arial"/>
          <w:spacing w:val="-17"/>
          <w:w w:val="105"/>
          <w:sz w:val="19"/>
        </w:rPr>
        <w:t xml:space="preserve"> </w:t>
      </w:r>
      <w:r>
        <w:rPr>
          <w:rFonts w:ascii="Arial"/>
          <w:w w:val="105"/>
          <w:sz w:val="19"/>
        </w:rPr>
        <w:t>2A</w:t>
      </w:r>
      <w:r>
        <w:rPr>
          <w:rFonts w:ascii="Arial"/>
          <w:spacing w:val="-17"/>
          <w:w w:val="105"/>
          <w:sz w:val="19"/>
        </w:rPr>
        <w:t xml:space="preserve"> </w:t>
      </w:r>
      <w:r>
        <w:rPr>
          <w:rFonts w:ascii="Arial"/>
          <w:w w:val="105"/>
          <w:sz w:val="19"/>
        </w:rPr>
        <w:t>and</w:t>
      </w:r>
      <w:r>
        <w:rPr>
          <w:rFonts w:ascii="Arial"/>
          <w:spacing w:val="-17"/>
          <w:w w:val="105"/>
          <w:sz w:val="19"/>
        </w:rPr>
        <w:t xml:space="preserve"> </w:t>
      </w:r>
      <w:r>
        <w:rPr>
          <w:rFonts w:ascii="Arial"/>
          <w:w w:val="105"/>
          <w:sz w:val="19"/>
        </w:rPr>
        <w:t>2B,</w:t>
      </w:r>
      <w:r>
        <w:rPr>
          <w:rFonts w:ascii="Arial"/>
          <w:spacing w:val="-16"/>
          <w:w w:val="105"/>
          <w:sz w:val="19"/>
        </w:rPr>
        <w:t xml:space="preserve"> </w:t>
      </w:r>
      <w:r>
        <w:rPr>
          <w:rFonts w:ascii="Arial"/>
          <w:w w:val="105"/>
          <w:sz w:val="19"/>
        </w:rPr>
        <w:t>this</w:t>
      </w:r>
      <w:r>
        <w:rPr>
          <w:rFonts w:ascii="Arial"/>
          <w:spacing w:val="-16"/>
          <w:w w:val="105"/>
          <w:sz w:val="19"/>
        </w:rPr>
        <w:t xml:space="preserve"> </w:t>
      </w:r>
      <w:r>
        <w:rPr>
          <w:rFonts w:ascii="Arial"/>
          <w:w w:val="105"/>
          <w:sz w:val="19"/>
        </w:rPr>
        <w:t>option</w:t>
      </w:r>
      <w:r>
        <w:rPr>
          <w:rFonts w:ascii="Arial"/>
          <w:spacing w:val="-15"/>
          <w:w w:val="105"/>
          <w:sz w:val="19"/>
        </w:rPr>
        <w:t xml:space="preserve"> </w:t>
      </w:r>
      <w:r>
        <w:rPr>
          <w:rFonts w:ascii="Arial"/>
          <w:w w:val="105"/>
          <w:sz w:val="19"/>
        </w:rPr>
        <w:t>has</w:t>
      </w:r>
      <w:r>
        <w:rPr>
          <w:rFonts w:ascii="Arial"/>
          <w:spacing w:val="-17"/>
          <w:w w:val="105"/>
          <w:sz w:val="19"/>
        </w:rPr>
        <w:t xml:space="preserve"> </w:t>
      </w:r>
      <w:r>
        <w:rPr>
          <w:rFonts w:ascii="Arial"/>
          <w:w w:val="105"/>
          <w:sz w:val="19"/>
        </w:rPr>
        <w:t>been</w:t>
      </w:r>
      <w:r>
        <w:rPr>
          <w:rFonts w:ascii="Arial"/>
          <w:spacing w:val="-15"/>
          <w:w w:val="105"/>
          <w:sz w:val="19"/>
        </w:rPr>
        <w:t xml:space="preserve"> </w:t>
      </w:r>
      <w:r>
        <w:rPr>
          <w:rFonts w:ascii="Arial"/>
          <w:w w:val="105"/>
          <w:sz w:val="19"/>
        </w:rPr>
        <w:t>put</w:t>
      </w:r>
      <w:r>
        <w:rPr>
          <w:rFonts w:ascii="Arial"/>
          <w:spacing w:val="-18"/>
          <w:w w:val="105"/>
          <w:sz w:val="19"/>
        </w:rPr>
        <w:t xml:space="preserve"> </w:t>
      </w:r>
      <w:r>
        <w:rPr>
          <w:rFonts w:ascii="Arial"/>
          <w:w w:val="105"/>
          <w:sz w:val="19"/>
        </w:rPr>
        <w:t>forward</w:t>
      </w:r>
      <w:r>
        <w:rPr>
          <w:rFonts w:ascii="Arial"/>
          <w:spacing w:val="-17"/>
          <w:w w:val="105"/>
          <w:sz w:val="19"/>
        </w:rPr>
        <w:t xml:space="preserve"> </w:t>
      </w:r>
      <w:r>
        <w:rPr>
          <w:rFonts w:ascii="Arial"/>
          <w:w w:val="105"/>
          <w:sz w:val="19"/>
        </w:rPr>
        <w:t>to</w:t>
      </w:r>
      <w:r>
        <w:rPr>
          <w:rFonts w:ascii="Arial"/>
          <w:spacing w:val="-18"/>
          <w:w w:val="105"/>
          <w:sz w:val="19"/>
        </w:rPr>
        <w:t xml:space="preserve"> </w:t>
      </w:r>
      <w:r>
        <w:rPr>
          <w:rFonts w:ascii="Arial"/>
          <w:w w:val="105"/>
          <w:sz w:val="19"/>
        </w:rPr>
        <w:t>address</w:t>
      </w:r>
    </w:p>
    <w:p w:rsidR="007D76BB" w:rsidRDefault="00D70D28">
      <w:pPr>
        <w:pStyle w:val="BodyText"/>
        <w:rPr>
          <w:rFonts w:ascii="Arial"/>
          <w:sz w:val="23"/>
        </w:rPr>
      </w:pPr>
      <w:r>
        <w:rPr>
          <w:noProof/>
          <w:lang w:val="en-AU" w:eastAsia="en-AU"/>
        </w:rPr>
        <w:lastRenderedPageBreak/>
        <mc:AlternateContent>
          <mc:Choice Requires="wps">
            <w:drawing>
              <wp:anchor distT="0" distB="0" distL="0" distR="0" simplePos="0" relativeHeight="251696128" behindDoc="1" locked="0" layoutInCell="1" allowOverlap="1">
                <wp:simplePos x="0" y="0"/>
                <wp:positionH relativeFrom="page">
                  <wp:posOffset>1080770</wp:posOffset>
                </wp:positionH>
                <wp:positionV relativeFrom="paragraph">
                  <wp:posOffset>198755</wp:posOffset>
                </wp:positionV>
                <wp:extent cx="1829435" cy="1270"/>
                <wp:effectExtent l="0" t="0" r="0" b="0"/>
                <wp:wrapTopAndBottom/>
                <wp:docPr id="367"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DADEC" id="Freeform 223" o:spid="_x0000_s1026" style="position:absolute;margin-left:85.1pt;margin-top:15.65pt;width:144.05pt;height:.1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" path="m,l2880,e" filled="f" strokeweight=".84pt">
                <v:path arrowok="t" o:connecttype="custom" o:connectlocs="0,0;1828800,0" o:connectangles="0,0"/>
                <w10:wrap type="topAndBottom" anchorx="page"/>
              </v:shape>
            </w:pict>
          </mc:Fallback>
        </mc:AlternateContent>
      </w:r>
    </w:p>
    <w:p w:rsidR="007D76BB" w:rsidRDefault="00D70D28">
      <w:pPr>
        <w:spacing w:before="132"/>
        <w:ind w:left="482"/>
        <w:rPr>
          <w:rFonts w:ascii="Arial"/>
          <w:sz w:val="14"/>
        </w:rPr>
      </w:pPr>
      <w:r>
        <w:rPr>
          <w:rFonts w:ascii="Arial"/>
          <w:color w:val="5B6761"/>
          <w:w w:val="105"/>
          <w:position w:val="5"/>
          <w:sz w:val="8"/>
        </w:rPr>
        <w:t xml:space="preserve">9 </w:t>
      </w:r>
      <w:r>
        <w:rPr>
          <w:rFonts w:ascii="Arial"/>
          <w:color w:val="5B6761"/>
          <w:w w:val="105"/>
          <w:sz w:val="14"/>
        </w:rPr>
        <w:t>The current Poisons Standard is SUMSP No.27, February 2020.</w:t>
      </w:r>
    </w:p>
    <w:p w:rsidR="007D76BB" w:rsidRDefault="00D70D28">
      <w:pPr>
        <w:spacing w:before="79" w:line="268" w:lineRule="auto"/>
        <w:ind w:left="594" w:right="910" w:hanging="113"/>
        <w:rPr>
          <w:rFonts w:ascii="Arial" w:hAnsi="Arial"/>
          <w:sz w:val="14"/>
        </w:rPr>
      </w:pPr>
      <w:r>
        <w:rPr>
          <w:rFonts w:ascii="Arial" w:hAnsi="Arial"/>
          <w:color w:val="5B6761"/>
          <w:w w:val="105"/>
          <w:position w:val="5"/>
          <w:sz w:val="8"/>
        </w:rPr>
        <w:t>10</w:t>
      </w:r>
      <w:r>
        <w:rPr>
          <w:rFonts w:ascii="Arial" w:hAnsi="Arial"/>
          <w:color w:val="5B6761"/>
          <w:spacing w:val="1"/>
          <w:w w:val="105"/>
          <w:position w:val="5"/>
          <w:sz w:val="8"/>
        </w:rPr>
        <w:t xml:space="preserve"> </w:t>
      </w:r>
      <w:r>
        <w:rPr>
          <w:rFonts w:ascii="Arial" w:hAnsi="Arial"/>
          <w:color w:val="5B6761"/>
          <w:w w:val="105"/>
          <w:sz w:val="14"/>
        </w:rPr>
        <w:t>The</w:t>
      </w:r>
      <w:r>
        <w:rPr>
          <w:rFonts w:ascii="Arial" w:hAnsi="Arial"/>
          <w:color w:val="5B6761"/>
          <w:spacing w:val="-17"/>
          <w:w w:val="105"/>
          <w:sz w:val="14"/>
        </w:rPr>
        <w:t xml:space="preserve"> </w:t>
      </w:r>
      <w:r>
        <w:rPr>
          <w:rFonts w:ascii="Arial" w:hAnsi="Arial"/>
          <w:color w:val="5B6761"/>
          <w:w w:val="105"/>
          <w:sz w:val="14"/>
        </w:rPr>
        <w:t>WADC</w:t>
      </w:r>
      <w:r>
        <w:rPr>
          <w:rFonts w:ascii="Arial" w:hAnsi="Arial"/>
          <w:color w:val="5B6761"/>
          <w:spacing w:val="-15"/>
          <w:w w:val="105"/>
          <w:sz w:val="14"/>
        </w:rPr>
        <w:t xml:space="preserve"> </w:t>
      </w:r>
      <w:r>
        <w:rPr>
          <w:rFonts w:ascii="Arial" w:hAnsi="Arial"/>
          <w:color w:val="5B6761"/>
          <w:w w:val="105"/>
          <w:sz w:val="14"/>
        </w:rPr>
        <w:t>Prohibited</w:t>
      </w:r>
      <w:r>
        <w:rPr>
          <w:rFonts w:ascii="Arial" w:hAnsi="Arial"/>
          <w:color w:val="5B6761"/>
          <w:spacing w:val="-17"/>
          <w:w w:val="105"/>
          <w:sz w:val="14"/>
        </w:rPr>
        <w:t xml:space="preserve"> </w:t>
      </w:r>
      <w:r>
        <w:rPr>
          <w:rFonts w:ascii="Arial" w:hAnsi="Arial"/>
          <w:color w:val="5B6761"/>
          <w:w w:val="105"/>
          <w:sz w:val="14"/>
        </w:rPr>
        <w:t>List</w:t>
      </w:r>
      <w:r>
        <w:rPr>
          <w:rFonts w:ascii="Arial" w:hAnsi="Arial"/>
          <w:color w:val="5B6761"/>
          <w:spacing w:val="-15"/>
          <w:w w:val="105"/>
          <w:sz w:val="14"/>
        </w:rPr>
        <w:t xml:space="preserve"> </w:t>
      </w:r>
      <w:r>
        <w:rPr>
          <w:rFonts w:ascii="Arial" w:hAnsi="Arial"/>
          <w:color w:val="5B6761"/>
          <w:w w:val="105"/>
          <w:sz w:val="14"/>
        </w:rPr>
        <w:t>may</w:t>
      </w:r>
      <w:r>
        <w:rPr>
          <w:rFonts w:ascii="Arial" w:hAnsi="Arial"/>
          <w:color w:val="5B6761"/>
          <w:spacing w:val="-16"/>
          <w:w w:val="105"/>
          <w:sz w:val="14"/>
        </w:rPr>
        <w:t xml:space="preserve"> </w:t>
      </w:r>
      <w:r>
        <w:rPr>
          <w:rFonts w:ascii="Arial" w:hAnsi="Arial"/>
          <w:color w:val="5B6761"/>
          <w:w w:val="105"/>
          <w:sz w:val="14"/>
        </w:rPr>
        <w:t>include</w:t>
      </w:r>
      <w:r>
        <w:rPr>
          <w:rFonts w:ascii="Arial" w:hAnsi="Arial"/>
          <w:color w:val="5B6761"/>
          <w:spacing w:val="-17"/>
          <w:w w:val="105"/>
          <w:sz w:val="14"/>
        </w:rPr>
        <w:t xml:space="preserve"> </w:t>
      </w:r>
      <w:r>
        <w:rPr>
          <w:rFonts w:ascii="Arial" w:hAnsi="Arial"/>
          <w:color w:val="5B6761"/>
          <w:w w:val="105"/>
          <w:sz w:val="14"/>
        </w:rPr>
        <w:t>any</w:t>
      </w:r>
      <w:r>
        <w:rPr>
          <w:rFonts w:ascii="Arial" w:hAnsi="Arial"/>
          <w:color w:val="5B6761"/>
          <w:spacing w:val="-16"/>
          <w:w w:val="105"/>
          <w:sz w:val="14"/>
        </w:rPr>
        <w:t xml:space="preserve"> </w:t>
      </w:r>
      <w:r>
        <w:rPr>
          <w:rFonts w:ascii="Arial" w:hAnsi="Arial"/>
          <w:color w:val="5B6761"/>
          <w:w w:val="105"/>
          <w:sz w:val="14"/>
        </w:rPr>
        <w:t>substance</w:t>
      </w:r>
      <w:r>
        <w:rPr>
          <w:rFonts w:ascii="Arial" w:hAnsi="Arial"/>
          <w:color w:val="5B6761"/>
          <w:spacing w:val="-17"/>
          <w:w w:val="105"/>
          <w:sz w:val="14"/>
        </w:rPr>
        <w:t xml:space="preserve"> </w:t>
      </w:r>
      <w:r>
        <w:rPr>
          <w:rFonts w:ascii="Arial" w:hAnsi="Arial"/>
          <w:color w:val="5B6761"/>
          <w:w w:val="105"/>
          <w:sz w:val="14"/>
        </w:rPr>
        <w:t>and</w:t>
      </w:r>
      <w:r>
        <w:rPr>
          <w:rFonts w:ascii="Arial" w:hAnsi="Arial"/>
          <w:color w:val="5B6761"/>
          <w:spacing w:val="-15"/>
          <w:w w:val="105"/>
          <w:sz w:val="14"/>
        </w:rPr>
        <w:t xml:space="preserve"> </w:t>
      </w:r>
      <w:r>
        <w:rPr>
          <w:rFonts w:ascii="Arial" w:hAnsi="Arial"/>
          <w:color w:val="5B6761"/>
          <w:w w:val="105"/>
          <w:sz w:val="14"/>
        </w:rPr>
        <w:t>methods</w:t>
      </w:r>
      <w:r>
        <w:rPr>
          <w:rFonts w:ascii="Arial" w:hAnsi="Arial"/>
          <w:color w:val="5B6761"/>
          <w:spacing w:val="-16"/>
          <w:w w:val="105"/>
          <w:sz w:val="14"/>
        </w:rPr>
        <w:t xml:space="preserve"> </w:t>
      </w:r>
      <w:r>
        <w:rPr>
          <w:rFonts w:ascii="Arial" w:hAnsi="Arial"/>
          <w:color w:val="5B6761"/>
          <w:w w:val="105"/>
          <w:sz w:val="14"/>
        </w:rPr>
        <w:t>that</w:t>
      </w:r>
      <w:r>
        <w:rPr>
          <w:rFonts w:ascii="Arial" w:hAnsi="Arial"/>
          <w:color w:val="5B6761"/>
          <w:spacing w:val="-15"/>
          <w:w w:val="105"/>
          <w:sz w:val="14"/>
        </w:rPr>
        <w:t xml:space="preserve"> </w:t>
      </w:r>
      <w:r>
        <w:rPr>
          <w:rFonts w:ascii="Arial" w:hAnsi="Arial"/>
          <w:color w:val="5B6761"/>
          <w:w w:val="105"/>
          <w:sz w:val="14"/>
        </w:rPr>
        <w:t>satisfy</w:t>
      </w:r>
      <w:r>
        <w:rPr>
          <w:rFonts w:ascii="Arial" w:hAnsi="Arial"/>
          <w:color w:val="5B6761"/>
          <w:spacing w:val="-16"/>
          <w:w w:val="105"/>
          <w:sz w:val="14"/>
        </w:rPr>
        <w:t xml:space="preserve"> </w:t>
      </w:r>
      <w:r>
        <w:rPr>
          <w:rFonts w:ascii="Arial" w:hAnsi="Arial"/>
          <w:color w:val="5B6761"/>
          <w:w w:val="105"/>
          <w:sz w:val="14"/>
        </w:rPr>
        <w:t>any</w:t>
      </w:r>
      <w:r>
        <w:rPr>
          <w:rFonts w:ascii="Arial" w:hAnsi="Arial"/>
          <w:color w:val="5B6761"/>
          <w:spacing w:val="-16"/>
          <w:w w:val="105"/>
          <w:sz w:val="14"/>
        </w:rPr>
        <w:t xml:space="preserve"> </w:t>
      </w:r>
      <w:r>
        <w:rPr>
          <w:rFonts w:ascii="Arial" w:hAnsi="Arial"/>
          <w:color w:val="5B6761"/>
          <w:w w:val="105"/>
          <w:sz w:val="14"/>
        </w:rPr>
        <w:t>two</w:t>
      </w:r>
      <w:r>
        <w:rPr>
          <w:rFonts w:ascii="Arial" w:hAnsi="Arial"/>
          <w:color w:val="5B6761"/>
          <w:spacing w:val="-17"/>
          <w:w w:val="105"/>
          <w:sz w:val="14"/>
        </w:rPr>
        <w:t xml:space="preserve"> </w:t>
      </w:r>
      <w:r>
        <w:rPr>
          <w:rFonts w:ascii="Arial" w:hAnsi="Arial"/>
          <w:color w:val="5B6761"/>
          <w:w w:val="105"/>
          <w:sz w:val="14"/>
        </w:rPr>
        <w:t>of</w:t>
      </w:r>
      <w:r>
        <w:rPr>
          <w:rFonts w:ascii="Arial" w:hAnsi="Arial"/>
          <w:color w:val="5B6761"/>
          <w:spacing w:val="-16"/>
          <w:w w:val="105"/>
          <w:sz w:val="14"/>
        </w:rPr>
        <w:t xml:space="preserve"> </w:t>
      </w:r>
      <w:r>
        <w:rPr>
          <w:rFonts w:ascii="Arial" w:hAnsi="Arial"/>
          <w:color w:val="5B6761"/>
          <w:w w:val="105"/>
          <w:sz w:val="14"/>
        </w:rPr>
        <w:t>the</w:t>
      </w:r>
      <w:r>
        <w:rPr>
          <w:rFonts w:ascii="Arial" w:hAnsi="Arial"/>
          <w:color w:val="5B6761"/>
          <w:spacing w:val="-17"/>
          <w:w w:val="105"/>
          <w:sz w:val="14"/>
        </w:rPr>
        <w:t xml:space="preserve"> </w:t>
      </w:r>
      <w:r>
        <w:rPr>
          <w:rFonts w:ascii="Arial" w:hAnsi="Arial"/>
          <w:color w:val="5B6761"/>
          <w:w w:val="105"/>
          <w:sz w:val="14"/>
        </w:rPr>
        <w:t>following</w:t>
      </w:r>
      <w:r>
        <w:rPr>
          <w:rFonts w:ascii="Arial" w:hAnsi="Arial"/>
          <w:color w:val="5B6761"/>
          <w:spacing w:val="-15"/>
          <w:w w:val="105"/>
          <w:sz w:val="14"/>
        </w:rPr>
        <w:t xml:space="preserve"> </w:t>
      </w:r>
      <w:r>
        <w:rPr>
          <w:rFonts w:ascii="Arial" w:hAnsi="Arial"/>
          <w:color w:val="5B6761"/>
          <w:w w:val="105"/>
          <w:sz w:val="14"/>
        </w:rPr>
        <w:t>three</w:t>
      </w:r>
      <w:r>
        <w:rPr>
          <w:rFonts w:ascii="Arial" w:hAnsi="Arial"/>
          <w:color w:val="5B6761"/>
          <w:spacing w:val="-17"/>
          <w:w w:val="105"/>
          <w:sz w:val="14"/>
        </w:rPr>
        <w:t xml:space="preserve"> </w:t>
      </w:r>
      <w:r>
        <w:rPr>
          <w:rFonts w:ascii="Arial" w:hAnsi="Arial"/>
          <w:color w:val="5B6761"/>
          <w:w w:val="105"/>
          <w:sz w:val="14"/>
        </w:rPr>
        <w:t>criteria:</w:t>
      </w:r>
      <w:r>
        <w:rPr>
          <w:rFonts w:ascii="Arial" w:hAnsi="Arial"/>
          <w:color w:val="5B6761"/>
          <w:spacing w:val="-16"/>
          <w:w w:val="105"/>
          <w:sz w:val="14"/>
        </w:rPr>
        <w:t xml:space="preserve"> </w:t>
      </w:r>
      <w:r>
        <w:rPr>
          <w:rFonts w:ascii="Arial" w:hAnsi="Arial"/>
          <w:color w:val="5B6761"/>
          <w:w w:val="105"/>
          <w:sz w:val="14"/>
        </w:rPr>
        <w:t>1)</w:t>
      </w:r>
      <w:r>
        <w:rPr>
          <w:rFonts w:ascii="Arial" w:hAnsi="Arial"/>
          <w:color w:val="5B6761"/>
          <w:spacing w:val="-16"/>
          <w:w w:val="105"/>
          <w:sz w:val="14"/>
        </w:rPr>
        <w:t xml:space="preserve"> </w:t>
      </w:r>
      <w:r>
        <w:rPr>
          <w:rFonts w:ascii="Arial" w:hAnsi="Arial"/>
          <w:color w:val="5B6761"/>
          <w:w w:val="105"/>
          <w:sz w:val="14"/>
        </w:rPr>
        <w:t>It</w:t>
      </w:r>
      <w:r>
        <w:rPr>
          <w:rFonts w:ascii="Arial" w:hAnsi="Arial"/>
          <w:color w:val="5B6761"/>
          <w:spacing w:val="-17"/>
          <w:w w:val="105"/>
          <w:sz w:val="14"/>
        </w:rPr>
        <w:t xml:space="preserve"> </w:t>
      </w:r>
      <w:r>
        <w:rPr>
          <w:rFonts w:ascii="Arial" w:hAnsi="Arial"/>
          <w:color w:val="5B6761"/>
          <w:w w:val="105"/>
          <w:sz w:val="14"/>
        </w:rPr>
        <w:t>has</w:t>
      </w:r>
      <w:r>
        <w:rPr>
          <w:rFonts w:ascii="Arial" w:hAnsi="Arial"/>
          <w:color w:val="5B6761"/>
          <w:spacing w:val="-16"/>
          <w:w w:val="105"/>
          <w:sz w:val="14"/>
        </w:rPr>
        <w:t xml:space="preserve"> </w:t>
      </w:r>
      <w:r>
        <w:rPr>
          <w:rFonts w:ascii="Arial" w:hAnsi="Arial"/>
          <w:color w:val="5B6761"/>
          <w:w w:val="105"/>
          <w:sz w:val="14"/>
        </w:rPr>
        <w:t>the potential</w:t>
      </w:r>
      <w:r>
        <w:rPr>
          <w:rFonts w:ascii="Arial" w:hAnsi="Arial"/>
          <w:color w:val="5B6761"/>
          <w:spacing w:val="-15"/>
          <w:w w:val="105"/>
          <w:sz w:val="14"/>
        </w:rPr>
        <w:t xml:space="preserve"> </w:t>
      </w:r>
      <w:r>
        <w:rPr>
          <w:rFonts w:ascii="Arial" w:hAnsi="Arial"/>
          <w:color w:val="5B6761"/>
          <w:w w:val="105"/>
          <w:sz w:val="14"/>
        </w:rPr>
        <w:t>to</w:t>
      </w:r>
      <w:r>
        <w:rPr>
          <w:rFonts w:ascii="Arial" w:hAnsi="Arial"/>
          <w:color w:val="5B6761"/>
          <w:spacing w:val="-15"/>
          <w:w w:val="105"/>
          <w:sz w:val="14"/>
        </w:rPr>
        <w:t xml:space="preserve"> </w:t>
      </w:r>
      <w:r>
        <w:rPr>
          <w:rFonts w:ascii="Arial" w:hAnsi="Arial"/>
          <w:color w:val="5B6761"/>
          <w:w w:val="105"/>
          <w:sz w:val="14"/>
        </w:rPr>
        <w:t>enhance</w:t>
      </w:r>
      <w:r>
        <w:rPr>
          <w:rFonts w:ascii="Arial" w:hAnsi="Arial"/>
          <w:color w:val="5B6761"/>
          <w:spacing w:val="-16"/>
          <w:w w:val="105"/>
          <w:sz w:val="14"/>
        </w:rPr>
        <w:t xml:space="preserve"> </w:t>
      </w:r>
      <w:r>
        <w:rPr>
          <w:rFonts w:ascii="Arial" w:hAnsi="Arial"/>
          <w:color w:val="5B6761"/>
          <w:w w:val="105"/>
          <w:sz w:val="14"/>
        </w:rPr>
        <w:t>or</w:t>
      </w:r>
      <w:r>
        <w:rPr>
          <w:rFonts w:ascii="Arial" w:hAnsi="Arial"/>
          <w:color w:val="5B6761"/>
          <w:spacing w:val="-13"/>
          <w:w w:val="105"/>
          <w:sz w:val="14"/>
        </w:rPr>
        <w:t xml:space="preserve"> </w:t>
      </w:r>
      <w:r>
        <w:rPr>
          <w:rFonts w:ascii="Arial" w:hAnsi="Arial"/>
          <w:color w:val="5B6761"/>
          <w:w w:val="105"/>
          <w:sz w:val="14"/>
        </w:rPr>
        <w:t>enhances</w:t>
      </w:r>
      <w:r>
        <w:rPr>
          <w:rFonts w:ascii="Arial" w:hAnsi="Arial"/>
          <w:color w:val="5B6761"/>
          <w:spacing w:val="-15"/>
          <w:w w:val="105"/>
          <w:sz w:val="14"/>
        </w:rPr>
        <w:t xml:space="preserve"> </w:t>
      </w:r>
      <w:r>
        <w:rPr>
          <w:rFonts w:ascii="Arial" w:hAnsi="Arial"/>
          <w:color w:val="5B6761"/>
          <w:w w:val="105"/>
          <w:sz w:val="14"/>
        </w:rPr>
        <w:t>sport</w:t>
      </w:r>
      <w:r>
        <w:rPr>
          <w:rFonts w:ascii="Arial" w:hAnsi="Arial"/>
          <w:color w:val="5B6761"/>
          <w:spacing w:val="-13"/>
          <w:w w:val="105"/>
          <w:sz w:val="14"/>
        </w:rPr>
        <w:t xml:space="preserve"> </w:t>
      </w:r>
      <w:r>
        <w:rPr>
          <w:rFonts w:ascii="Arial" w:hAnsi="Arial"/>
          <w:color w:val="5B6761"/>
          <w:w w:val="105"/>
          <w:sz w:val="14"/>
        </w:rPr>
        <w:t>performance;</w:t>
      </w:r>
      <w:r>
        <w:rPr>
          <w:rFonts w:ascii="Arial" w:hAnsi="Arial"/>
          <w:color w:val="5B6761"/>
          <w:spacing w:val="-15"/>
          <w:w w:val="105"/>
          <w:sz w:val="14"/>
        </w:rPr>
        <w:t xml:space="preserve"> </w:t>
      </w:r>
      <w:r>
        <w:rPr>
          <w:rFonts w:ascii="Arial" w:hAnsi="Arial"/>
          <w:color w:val="5B6761"/>
          <w:w w:val="105"/>
          <w:sz w:val="14"/>
        </w:rPr>
        <w:t>2)</w:t>
      </w:r>
      <w:r>
        <w:rPr>
          <w:rFonts w:ascii="Arial" w:hAnsi="Arial"/>
          <w:color w:val="5B6761"/>
          <w:spacing w:val="-14"/>
          <w:w w:val="105"/>
          <w:sz w:val="14"/>
        </w:rPr>
        <w:t xml:space="preserve"> </w:t>
      </w:r>
      <w:r>
        <w:rPr>
          <w:rFonts w:ascii="Arial" w:hAnsi="Arial"/>
          <w:color w:val="5B6761"/>
          <w:w w:val="105"/>
          <w:sz w:val="14"/>
        </w:rPr>
        <w:t>It</w:t>
      </w:r>
      <w:r>
        <w:rPr>
          <w:rFonts w:ascii="Arial" w:hAnsi="Arial"/>
          <w:color w:val="5B6761"/>
          <w:spacing w:val="-14"/>
          <w:w w:val="105"/>
          <w:sz w:val="14"/>
        </w:rPr>
        <w:t xml:space="preserve"> </w:t>
      </w:r>
      <w:r>
        <w:rPr>
          <w:rFonts w:ascii="Arial" w:hAnsi="Arial"/>
          <w:color w:val="5B6761"/>
          <w:w w:val="105"/>
          <w:sz w:val="14"/>
        </w:rPr>
        <w:t>represents</w:t>
      </w:r>
      <w:r>
        <w:rPr>
          <w:rFonts w:ascii="Arial" w:hAnsi="Arial"/>
          <w:color w:val="5B6761"/>
          <w:spacing w:val="-15"/>
          <w:w w:val="105"/>
          <w:sz w:val="14"/>
        </w:rPr>
        <w:t xml:space="preserve"> </w:t>
      </w:r>
      <w:r>
        <w:rPr>
          <w:rFonts w:ascii="Arial" w:hAnsi="Arial"/>
          <w:color w:val="5B6761"/>
          <w:w w:val="105"/>
          <w:sz w:val="14"/>
        </w:rPr>
        <w:t>an</w:t>
      </w:r>
      <w:r>
        <w:rPr>
          <w:rFonts w:ascii="Arial" w:hAnsi="Arial"/>
          <w:color w:val="5B6761"/>
          <w:spacing w:val="-11"/>
          <w:w w:val="105"/>
          <w:sz w:val="14"/>
        </w:rPr>
        <w:t xml:space="preserve"> </w:t>
      </w:r>
      <w:r>
        <w:rPr>
          <w:rFonts w:ascii="Arial" w:hAnsi="Arial"/>
          <w:color w:val="5B6761"/>
          <w:w w:val="105"/>
          <w:sz w:val="14"/>
        </w:rPr>
        <w:t>actual</w:t>
      </w:r>
      <w:r>
        <w:rPr>
          <w:rFonts w:ascii="Arial" w:hAnsi="Arial"/>
          <w:color w:val="5B6761"/>
          <w:spacing w:val="-13"/>
          <w:w w:val="105"/>
          <w:sz w:val="14"/>
        </w:rPr>
        <w:t xml:space="preserve"> </w:t>
      </w:r>
      <w:r>
        <w:rPr>
          <w:rFonts w:ascii="Arial" w:hAnsi="Arial"/>
          <w:color w:val="5B6761"/>
          <w:w w:val="105"/>
          <w:sz w:val="14"/>
        </w:rPr>
        <w:t>or</w:t>
      </w:r>
      <w:r>
        <w:rPr>
          <w:rFonts w:ascii="Arial" w:hAnsi="Arial"/>
          <w:color w:val="5B6761"/>
          <w:spacing w:val="-13"/>
          <w:w w:val="105"/>
          <w:sz w:val="14"/>
        </w:rPr>
        <w:t xml:space="preserve"> </w:t>
      </w:r>
      <w:r>
        <w:rPr>
          <w:rFonts w:ascii="Arial" w:hAnsi="Arial"/>
          <w:color w:val="5B6761"/>
          <w:w w:val="105"/>
          <w:sz w:val="14"/>
        </w:rPr>
        <w:t>potential</w:t>
      </w:r>
      <w:r>
        <w:rPr>
          <w:rFonts w:ascii="Arial" w:hAnsi="Arial"/>
          <w:color w:val="5B6761"/>
          <w:spacing w:val="-15"/>
          <w:w w:val="105"/>
          <w:sz w:val="14"/>
        </w:rPr>
        <w:t xml:space="preserve"> </w:t>
      </w:r>
      <w:r>
        <w:rPr>
          <w:rFonts w:ascii="Arial" w:hAnsi="Arial"/>
          <w:color w:val="5B6761"/>
          <w:w w:val="105"/>
          <w:sz w:val="14"/>
        </w:rPr>
        <w:t>health</w:t>
      </w:r>
      <w:r>
        <w:rPr>
          <w:rFonts w:ascii="Arial" w:hAnsi="Arial"/>
          <w:color w:val="5B6761"/>
          <w:spacing w:val="-14"/>
          <w:w w:val="105"/>
          <w:sz w:val="14"/>
        </w:rPr>
        <w:t xml:space="preserve"> </w:t>
      </w:r>
      <w:r>
        <w:rPr>
          <w:rFonts w:ascii="Arial" w:hAnsi="Arial"/>
          <w:color w:val="5B6761"/>
          <w:w w:val="105"/>
          <w:sz w:val="14"/>
        </w:rPr>
        <w:t>risk</w:t>
      </w:r>
      <w:r>
        <w:rPr>
          <w:rFonts w:ascii="Arial" w:hAnsi="Arial"/>
          <w:color w:val="5B6761"/>
          <w:spacing w:val="-11"/>
          <w:w w:val="105"/>
          <w:sz w:val="14"/>
        </w:rPr>
        <w:t xml:space="preserve"> </w:t>
      </w:r>
      <w:r>
        <w:rPr>
          <w:rFonts w:ascii="Arial" w:hAnsi="Arial"/>
          <w:color w:val="5B6761"/>
          <w:w w:val="105"/>
          <w:sz w:val="14"/>
        </w:rPr>
        <w:t>to</w:t>
      </w:r>
      <w:r>
        <w:rPr>
          <w:rFonts w:ascii="Arial" w:hAnsi="Arial"/>
          <w:color w:val="5B6761"/>
          <w:spacing w:val="-15"/>
          <w:w w:val="105"/>
          <w:sz w:val="14"/>
        </w:rPr>
        <w:t xml:space="preserve"> </w:t>
      </w:r>
      <w:r>
        <w:rPr>
          <w:rFonts w:ascii="Arial" w:hAnsi="Arial"/>
          <w:color w:val="5B6761"/>
          <w:w w:val="105"/>
          <w:sz w:val="14"/>
        </w:rPr>
        <w:t>the</w:t>
      </w:r>
      <w:r>
        <w:rPr>
          <w:rFonts w:ascii="Arial" w:hAnsi="Arial"/>
          <w:color w:val="5B6761"/>
          <w:spacing w:val="-15"/>
          <w:w w:val="105"/>
          <w:sz w:val="14"/>
        </w:rPr>
        <w:t xml:space="preserve"> </w:t>
      </w:r>
      <w:r>
        <w:rPr>
          <w:rFonts w:ascii="Arial" w:hAnsi="Arial"/>
          <w:color w:val="5B6761"/>
          <w:w w:val="105"/>
          <w:sz w:val="14"/>
        </w:rPr>
        <w:t>Athlete;</w:t>
      </w:r>
      <w:r>
        <w:rPr>
          <w:rFonts w:ascii="Arial" w:hAnsi="Arial"/>
          <w:color w:val="5B6761"/>
          <w:spacing w:val="-15"/>
          <w:w w:val="105"/>
          <w:sz w:val="14"/>
        </w:rPr>
        <w:t xml:space="preserve"> </w:t>
      </w:r>
      <w:r>
        <w:rPr>
          <w:rFonts w:ascii="Arial" w:hAnsi="Arial"/>
          <w:color w:val="5B6761"/>
          <w:w w:val="105"/>
          <w:sz w:val="14"/>
        </w:rPr>
        <w:t>3)</w:t>
      </w:r>
      <w:r>
        <w:rPr>
          <w:rFonts w:ascii="Arial" w:hAnsi="Arial"/>
          <w:color w:val="5B6761"/>
          <w:spacing w:val="-14"/>
          <w:w w:val="105"/>
          <w:sz w:val="14"/>
        </w:rPr>
        <w:t xml:space="preserve"> </w:t>
      </w:r>
      <w:r>
        <w:rPr>
          <w:rFonts w:ascii="Arial" w:hAnsi="Arial"/>
          <w:color w:val="5B6761"/>
          <w:w w:val="105"/>
          <w:sz w:val="14"/>
        </w:rPr>
        <w:t>It</w:t>
      </w:r>
      <w:r>
        <w:rPr>
          <w:rFonts w:ascii="Arial" w:hAnsi="Arial"/>
          <w:color w:val="5B6761"/>
          <w:spacing w:val="-14"/>
          <w:w w:val="105"/>
          <w:sz w:val="14"/>
        </w:rPr>
        <w:t xml:space="preserve"> </w:t>
      </w:r>
      <w:r>
        <w:rPr>
          <w:rFonts w:ascii="Arial" w:hAnsi="Arial"/>
          <w:color w:val="5B6761"/>
          <w:w w:val="105"/>
          <w:sz w:val="14"/>
        </w:rPr>
        <w:t>violates</w:t>
      </w:r>
      <w:r>
        <w:rPr>
          <w:rFonts w:ascii="Arial" w:hAnsi="Arial"/>
          <w:color w:val="5B6761"/>
          <w:spacing w:val="-15"/>
          <w:w w:val="105"/>
          <w:sz w:val="14"/>
        </w:rPr>
        <w:t xml:space="preserve"> </w:t>
      </w:r>
      <w:r>
        <w:rPr>
          <w:rFonts w:ascii="Arial" w:hAnsi="Arial"/>
          <w:color w:val="5B6761"/>
          <w:w w:val="105"/>
          <w:sz w:val="14"/>
        </w:rPr>
        <w:t xml:space="preserve">the </w:t>
      </w:r>
      <w:r>
        <w:rPr>
          <w:rFonts w:ascii="Arial" w:hAnsi="Arial"/>
          <w:color w:val="5B6761"/>
          <w:spacing w:val="-1"/>
          <w:w w:val="93"/>
          <w:sz w:val="14"/>
        </w:rPr>
        <w:t>s</w:t>
      </w:r>
      <w:r>
        <w:rPr>
          <w:rFonts w:ascii="Arial" w:hAnsi="Arial"/>
          <w:color w:val="5B6761"/>
          <w:sz w:val="14"/>
        </w:rPr>
        <w:t>p</w:t>
      </w:r>
      <w:r>
        <w:rPr>
          <w:rFonts w:ascii="Arial" w:hAnsi="Arial"/>
          <w:color w:val="5B6761"/>
          <w:w w:val="113"/>
          <w:sz w:val="14"/>
        </w:rPr>
        <w:t>i</w:t>
      </w:r>
      <w:r>
        <w:rPr>
          <w:rFonts w:ascii="Arial" w:hAnsi="Arial"/>
          <w:color w:val="5B6761"/>
          <w:w w:val="116"/>
          <w:sz w:val="14"/>
        </w:rPr>
        <w:t>r</w:t>
      </w:r>
      <w:r>
        <w:rPr>
          <w:rFonts w:ascii="Arial" w:hAnsi="Arial"/>
          <w:color w:val="5B6761"/>
          <w:w w:val="113"/>
          <w:sz w:val="14"/>
        </w:rPr>
        <w:t>i</w:t>
      </w:r>
      <w:r>
        <w:rPr>
          <w:rFonts w:ascii="Arial" w:hAnsi="Arial"/>
          <w:color w:val="5B6761"/>
          <w:w w:val="133"/>
          <w:sz w:val="14"/>
        </w:rPr>
        <w:t>t</w:t>
      </w:r>
      <w:r>
        <w:rPr>
          <w:rFonts w:ascii="Arial" w:hAnsi="Arial"/>
          <w:color w:val="5B6761"/>
          <w:spacing w:val="-5"/>
          <w:sz w:val="14"/>
        </w:rPr>
        <w:t xml:space="preserve"> </w:t>
      </w:r>
      <w:r>
        <w:rPr>
          <w:rFonts w:ascii="Arial" w:hAnsi="Arial"/>
          <w:color w:val="5B6761"/>
          <w:spacing w:val="-1"/>
          <w:w w:val="99"/>
          <w:sz w:val="14"/>
        </w:rPr>
        <w:t>o</w:t>
      </w:r>
      <w:r>
        <w:rPr>
          <w:rFonts w:ascii="Arial" w:hAnsi="Arial"/>
          <w:color w:val="5B6761"/>
          <w:w w:val="119"/>
          <w:sz w:val="14"/>
        </w:rPr>
        <w:t>f</w:t>
      </w:r>
      <w:r>
        <w:rPr>
          <w:rFonts w:ascii="Arial" w:hAnsi="Arial"/>
          <w:color w:val="5B6761"/>
          <w:spacing w:val="-7"/>
          <w:sz w:val="14"/>
        </w:rPr>
        <w:t xml:space="preserve"> </w:t>
      </w:r>
      <w:r>
        <w:rPr>
          <w:rFonts w:ascii="Arial" w:hAnsi="Arial"/>
          <w:color w:val="5B6761"/>
          <w:spacing w:val="-1"/>
          <w:w w:val="93"/>
          <w:sz w:val="14"/>
        </w:rPr>
        <w:t>s</w:t>
      </w:r>
      <w:r>
        <w:rPr>
          <w:rFonts w:ascii="Arial" w:hAnsi="Arial"/>
          <w:color w:val="5B6761"/>
          <w:sz w:val="14"/>
        </w:rPr>
        <w:t>p</w:t>
      </w:r>
      <w:r>
        <w:rPr>
          <w:rFonts w:ascii="Arial" w:hAnsi="Arial"/>
          <w:color w:val="5B6761"/>
          <w:spacing w:val="-1"/>
          <w:w w:val="99"/>
          <w:sz w:val="14"/>
        </w:rPr>
        <w:t>o</w:t>
      </w:r>
      <w:r>
        <w:rPr>
          <w:rFonts w:ascii="Arial" w:hAnsi="Arial"/>
          <w:color w:val="5B6761"/>
          <w:w w:val="116"/>
          <w:sz w:val="14"/>
        </w:rPr>
        <w:t>r</w:t>
      </w:r>
      <w:r>
        <w:rPr>
          <w:rFonts w:ascii="Arial" w:hAnsi="Arial"/>
          <w:color w:val="5B6761"/>
          <w:w w:val="133"/>
          <w:sz w:val="14"/>
        </w:rPr>
        <w:t>t</w:t>
      </w:r>
      <w:r>
        <w:rPr>
          <w:rFonts w:ascii="Arial" w:hAnsi="Arial"/>
          <w:color w:val="5B6761"/>
          <w:spacing w:val="-5"/>
          <w:sz w:val="14"/>
        </w:rPr>
        <w:t xml:space="preserve"> </w:t>
      </w:r>
      <w:r>
        <w:rPr>
          <w:rFonts w:ascii="Arial" w:hAnsi="Arial"/>
          <w:color w:val="5B6761"/>
          <w:w w:val="116"/>
          <w:sz w:val="14"/>
        </w:rPr>
        <w:t>(t</w:t>
      </w:r>
      <w:r>
        <w:rPr>
          <w:rFonts w:ascii="Arial" w:hAnsi="Arial"/>
          <w:color w:val="5B6761"/>
          <w:sz w:val="14"/>
        </w:rPr>
        <w:t>h</w:t>
      </w:r>
      <w:r>
        <w:rPr>
          <w:rFonts w:ascii="Arial" w:hAnsi="Arial"/>
          <w:color w:val="5B6761"/>
          <w:w w:val="113"/>
          <w:sz w:val="14"/>
        </w:rPr>
        <w:t>i</w:t>
      </w:r>
      <w:r>
        <w:rPr>
          <w:rFonts w:ascii="Arial" w:hAnsi="Arial"/>
          <w:color w:val="5B6761"/>
          <w:w w:val="93"/>
          <w:sz w:val="14"/>
        </w:rPr>
        <w:t>s</w:t>
      </w:r>
      <w:r>
        <w:rPr>
          <w:rFonts w:ascii="Arial" w:hAnsi="Arial"/>
          <w:color w:val="5B6761"/>
          <w:spacing w:val="-6"/>
          <w:sz w:val="14"/>
        </w:rPr>
        <w:t xml:space="preserve"> </w:t>
      </w:r>
      <w:r>
        <w:rPr>
          <w:rFonts w:ascii="Arial" w:hAnsi="Arial"/>
          <w:color w:val="5B6761"/>
          <w:sz w:val="14"/>
        </w:rPr>
        <w:t>d</w:t>
      </w:r>
      <w:r>
        <w:rPr>
          <w:rFonts w:ascii="Arial" w:hAnsi="Arial"/>
          <w:color w:val="5B6761"/>
          <w:spacing w:val="-1"/>
          <w:w w:val="96"/>
          <w:sz w:val="14"/>
        </w:rPr>
        <w:t>e</w:t>
      </w:r>
      <w:r>
        <w:rPr>
          <w:rFonts w:ascii="Arial" w:hAnsi="Arial"/>
          <w:color w:val="5B6761"/>
          <w:spacing w:val="-1"/>
          <w:w w:val="119"/>
          <w:sz w:val="14"/>
        </w:rPr>
        <w:t>f</w:t>
      </w:r>
      <w:r>
        <w:rPr>
          <w:rFonts w:ascii="Arial" w:hAnsi="Arial"/>
          <w:color w:val="5B6761"/>
          <w:w w:val="113"/>
          <w:sz w:val="14"/>
        </w:rPr>
        <w:t>i</w:t>
      </w:r>
      <w:r>
        <w:rPr>
          <w:rFonts w:ascii="Arial" w:hAnsi="Arial"/>
          <w:color w:val="5B6761"/>
          <w:sz w:val="14"/>
        </w:rPr>
        <w:t>n</w:t>
      </w:r>
      <w:r>
        <w:rPr>
          <w:rFonts w:ascii="Arial" w:hAnsi="Arial"/>
          <w:color w:val="5B6761"/>
          <w:w w:val="113"/>
          <w:sz w:val="14"/>
        </w:rPr>
        <w:t>i</w:t>
      </w:r>
      <w:r>
        <w:rPr>
          <w:rFonts w:ascii="Arial" w:hAnsi="Arial"/>
          <w:color w:val="5B6761"/>
          <w:w w:val="133"/>
          <w:sz w:val="14"/>
        </w:rPr>
        <w:t>t</w:t>
      </w:r>
      <w:r>
        <w:rPr>
          <w:rFonts w:ascii="Arial" w:hAnsi="Arial"/>
          <w:color w:val="5B6761"/>
          <w:w w:val="113"/>
          <w:sz w:val="14"/>
        </w:rPr>
        <w:t>i</w:t>
      </w:r>
      <w:r>
        <w:rPr>
          <w:rFonts w:ascii="Arial" w:hAnsi="Arial"/>
          <w:color w:val="5B6761"/>
          <w:spacing w:val="-1"/>
          <w:w w:val="99"/>
          <w:sz w:val="14"/>
        </w:rPr>
        <w:t>o</w:t>
      </w:r>
      <w:r>
        <w:rPr>
          <w:rFonts w:ascii="Arial" w:hAnsi="Arial"/>
          <w:color w:val="5B6761"/>
          <w:sz w:val="14"/>
        </w:rPr>
        <w:t>n</w:t>
      </w:r>
      <w:r>
        <w:rPr>
          <w:rFonts w:ascii="Arial" w:hAnsi="Arial"/>
          <w:color w:val="5B6761"/>
          <w:spacing w:val="-5"/>
          <w:sz w:val="14"/>
        </w:rPr>
        <w:t xml:space="preserve"> </w:t>
      </w:r>
      <w:r>
        <w:rPr>
          <w:rFonts w:ascii="Arial" w:hAnsi="Arial"/>
          <w:color w:val="5B6761"/>
          <w:w w:val="113"/>
          <w:sz w:val="14"/>
        </w:rPr>
        <w:t>i</w:t>
      </w:r>
      <w:r>
        <w:rPr>
          <w:rFonts w:ascii="Arial" w:hAnsi="Arial"/>
          <w:color w:val="5B6761"/>
          <w:w w:val="93"/>
          <w:sz w:val="14"/>
        </w:rPr>
        <w:t>s</w:t>
      </w:r>
      <w:r>
        <w:rPr>
          <w:rFonts w:ascii="Arial" w:hAnsi="Arial"/>
          <w:color w:val="5B6761"/>
          <w:spacing w:val="-6"/>
          <w:sz w:val="14"/>
        </w:rPr>
        <w:t xml:space="preserve"> </w:t>
      </w:r>
      <w:r>
        <w:rPr>
          <w:rFonts w:ascii="Arial" w:hAnsi="Arial"/>
          <w:color w:val="5B6761"/>
          <w:spacing w:val="-1"/>
          <w:w w:val="99"/>
          <w:sz w:val="14"/>
        </w:rPr>
        <w:t>o</w:t>
      </w:r>
      <w:r>
        <w:rPr>
          <w:rFonts w:ascii="Arial" w:hAnsi="Arial"/>
          <w:color w:val="5B6761"/>
          <w:sz w:val="14"/>
        </w:rPr>
        <w:t>u</w:t>
      </w:r>
      <w:r>
        <w:rPr>
          <w:rFonts w:ascii="Arial" w:hAnsi="Arial"/>
          <w:color w:val="5B6761"/>
          <w:w w:val="133"/>
          <w:sz w:val="14"/>
        </w:rPr>
        <w:t>t</w:t>
      </w:r>
      <w:r>
        <w:rPr>
          <w:rFonts w:ascii="Arial" w:hAnsi="Arial"/>
          <w:color w:val="5B6761"/>
          <w:spacing w:val="-1"/>
          <w:w w:val="117"/>
          <w:sz w:val="14"/>
        </w:rPr>
        <w:t>l</w:t>
      </w:r>
      <w:r>
        <w:rPr>
          <w:rFonts w:ascii="Arial" w:hAnsi="Arial"/>
          <w:color w:val="5B6761"/>
          <w:w w:val="113"/>
          <w:sz w:val="14"/>
        </w:rPr>
        <w:t>i</w:t>
      </w:r>
      <w:r>
        <w:rPr>
          <w:rFonts w:ascii="Arial" w:hAnsi="Arial"/>
          <w:color w:val="5B6761"/>
          <w:sz w:val="14"/>
        </w:rPr>
        <w:t>n</w:t>
      </w:r>
      <w:r>
        <w:rPr>
          <w:rFonts w:ascii="Arial" w:hAnsi="Arial"/>
          <w:color w:val="5B6761"/>
          <w:spacing w:val="-1"/>
          <w:w w:val="96"/>
          <w:sz w:val="14"/>
        </w:rPr>
        <w:t>e</w:t>
      </w:r>
      <w:r>
        <w:rPr>
          <w:rFonts w:ascii="Arial" w:hAnsi="Arial"/>
          <w:color w:val="5B6761"/>
          <w:sz w:val="14"/>
        </w:rPr>
        <w:t>d</w:t>
      </w:r>
      <w:r>
        <w:rPr>
          <w:rFonts w:ascii="Arial" w:hAnsi="Arial"/>
          <w:color w:val="5B6761"/>
          <w:spacing w:val="-5"/>
          <w:sz w:val="14"/>
        </w:rPr>
        <w:t xml:space="preserve"> </w:t>
      </w:r>
      <w:r>
        <w:rPr>
          <w:rFonts w:ascii="Arial" w:hAnsi="Arial"/>
          <w:color w:val="5B6761"/>
          <w:w w:val="113"/>
          <w:sz w:val="14"/>
        </w:rPr>
        <w:t>i</w:t>
      </w:r>
      <w:r>
        <w:rPr>
          <w:rFonts w:ascii="Arial" w:hAnsi="Arial"/>
          <w:color w:val="5B6761"/>
          <w:sz w:val="14"/>
        </w:rPr>
        <w:t>n</w:t>
      </w:r>
      <w:r>
        <w:rPr>
          <w:rFonts w:ascii="Arial" w:hAnsi="Arial"/>
          <w:color w:val="5B6761"/>
          <w:spacing w:val="-5"/>
          <w:sz w:val="14"/>
        </w:rPr>
        <w:t xml:space="preserve"> </w:t>
      </w:r>
      <w:r>
        <w:rPr>
          <w:rFonts w:ascii="Arial" w:hAnsi="Arial"/>
          <w:color w:val="5B6761"/>
          <w:w w:val="133"/>
          <w:sz w:val="14"/>
        </w:rPr>
        <w:t>t</w:t>
      </w:r>
      <w:r>
        <w:rPr>
          <w:rFonts w:ascii="Arial" w:hAnsi="Arial"/>
          <w:color w:val="5B6761"/>
          <w:sz w:val="14"/>
        </w:rPr>
        <w:t>h</w:t>
      </w:r>
      <w:r>
        <w:rPr>
          <w:rFonts w:ascii="Arial" w:hAnsi="Arial"/>
          <w:color w:val="5B6761"/>
          <w:w w:val="96"/>
          <w:sz w:val="14"/>
        </w:rPr>
        <w:t>e</w:t>
      </w:r>
      <w:r>
        <w:rPr>
          <w:rFonts w:ascii="Arial" w:hAnsi="Arial"/>
          <w:color w:val="5B6761"/>
          <w:spacing w:val="-9"/>
          <w:sz w:val="14"/>
        </w:rPr>
        <w:t xml:space="preserve"> </w:t>
      </w:r>
      <w:r>
        <w:rPr>
          <w:rFonts w:ascii="Arial" w:hAnsi="Arial"/>
          <w:color w:val="5B6761"/>
          <w:w w:val="89"/>
          <w:sz w:val="14"/>
        </w:rPr>
        <w:t>C</w:t>
      </w:r>
      <w:r>
        <w:rPr>
          <w:rFonts w:ascii="Arial" w:hAnsi="Arial"/>
          <w:color w:val="5B6761"/>
          <w:spacing w:val="-1"/>
          <w:w w:val="99"/>
          <w:sz w:val="14"/>
        </w:rPr>
        <w:t>o</w:t>
      </w:r>
      <w:r>
        <w:rPr>
          <w:rFonts w:ascii="Arial" w:hAnsi="Arial"/>
          <w:color w:val="5B6761"/>
          <w:sz w:val="14"/>
        </w:rPr>
        <w:t>d</w:t>
      </w:r>
      <w:r>
        <w:rPr>
          <w:rFonts w:ascii="Arial" w:hAnsi="Arial"/>
          <w:color w:val="5B6761"/>
          <w:spacing w:val="-1"/>
          <w:w w:val="96"/>
          <w:sz w:val="14"/>
        </w:rPr>
        <w:t>e</w:t>
      </w:r>
      <w:r>
        <w:rPr>
          <w:rFonts w:ascii="Arial" w:hAnsi="Arial"/>
          <w:color w:val="5B6761"/>
          <w:w w:val="92"/>
          <w:sz w:val="14"/>
        </w:rPr>
        <w:t>).</w:t>
      </w:r>
      <w:r>
        <w:rPr>
          <w:rFonts w:ascii="Arial" w:hAnsi="Arial"/>
          <w:color w:val="5B6761"/>
          <w:spacing w:val="-6"/>
          <w:sz w:val="14"/>
        </w:rPr>
        <w:t xml:space="preserve"> </w:t>
      </w:r>
      <w:r>
        <w:rPr>
          <w:rFonts w:ascii="Arial" w:hAnsi="Arial"/>
          <w:color w:val="5B6761"/>
          <w:w w:val="88"/>
          <w:sz w:val="14"/>
        </w:rPr>
        <w:t>W</w:t>
      </w:r>
      <w:r>
        <w:rPr>
          <w:rFonts w:ascii="Arial" w:hAnsi="Arial"/>
          <w:color w:val="5B6761"/>
          <w:spacing w:val="-1"/>
          <w:w w:val="101"/>
          <w:sz w:val="14"/>
        </w:rPr>
        <w:t>A</w:t>
      </w:r>
      <w:r>
        <w:rPr>
          <w:rFonts w:ascii="Arial" w:hAnsi="Arial"/>
          <w:color w:val="5B6761"/>
          <w:w w:val="93"/>
          <w:sz w:val="14"/>
        </w:rPr>
        <w:t>D</w:t>
      </w:r>
      <w:r>
        <w:rPr>
          <w:rFonts w:ascii="Arial" w:hAnsi="Arial"/>
          <w:color w:val="5B6761"/>
          <w:w w:val="89"/>
          <w:sz w:val="14"/>
        </w:rPr>
        <w:t>C</w:t>
      </w:r>
      <w:r>
        <w:rPr>
          <w:rFonts w:ascii="Arial" w:hAnsi="Arial"/>
          <w:color w:val="5B6761"/>
          <w:w w:val="80"/>
          <w:sz w:val="14"/>
        </w:rPr>
        <w:t>,</w:t>
      </w:r>
      <w:r>
        <w:rPr>
          <w:rFonts w:ascii="Arial" w:hAnsi="Arial"/>
          <w:color w:val="5B6761"/>
          <w:spacing w:val="-6"/>
          <w:sz w:val="14"/>
        </w:rPr>
        <w:t xml:space="preserve"> </w:t>
      </w:r>
      <w:r>
        <w:rPr>
          <w:rFonts w:ascii="Arial" w:hAnsi="Arial"/>
          <w:color w:val="5B6761"/>
          <w:spacing w:val="6"/>
          <w:sz w:val="14"/>
        </w:rPr>
        <w:t>‘</w:t>
      </w:r>
      <w:r>
        <w:rPr>
          <w:rFonts w:ascii="Arial" w:hAnsi="Arial"/>
          <w:color w:val="5B6761"/>
          <w:w w:val="93"/>
          <w:sz w:val="14"/>
        </w:rPr>
        <w:t>P</w:t>
      </w:r>
      <w:r>
        <w:rPr>
          <w:rFonts w:ascii="Arial" w:hAnsi="Arial"/>
          <w:color w:val="5B6761"/>
          <w:w w:val="116"/>
          <w:sz w:val="14"/>
        </w:rPr>
        <w:t>r</w:t>
      </w:r>
      <w:r>
        <w:rPr>
          <w:rFonts w:ascii="Arial" w:hAnsi="Arial"/>
          <w:color w:val="5B6761"/>
          <w:spacing w:val="-1"/>
          <w:w w:val="99"/>
          <w:sz w:val="14"/>
        </w:rPr>
        <w:t>o</w:t>
      </w:r>
      <w:r>
        <w:rPr>
          <w:rFonts w:ascii="Arial" w:hAnsi="Arial"/>
          <w:color w:val="5B6761"/>
          <w:sz w:val="14"/>
        </w:rPr>
        <w:t>h</w:t>
      </w:r>
      <w:r>
        <w:rPr>
          <w:rFonts w:ascii="Arial" w:hAnsi="Arial"/>
          <w:color w:val="5B6761"/>
          <w:w w:val="113"/>
          <w:sz w:val="14"/>
        </w:rPr>
        <w:t>i</w:t>
      </w:r>
      <w:r>
        <w:rPr>
          <w:rFonts w:ascii="Arial" w:hAnsi="Arial"/>
          <w:color w:val="5B6761"/>
          <w:sz w:val="14"/>
        </w:rPr>
        <w:t>b</w:t>
      </w:r>
      <w:r>
        <w:rPr>
          <w:rFonts w:ascii="Arial" w:hAnsi="Arial"/>
          <w:color w:val="5B6761"/>
          <w:w w:val="113"/>
          <w:sz w:val="14"/>
        </w:rPr>
        <w:t>i</w:t>
      </w:r>
      <w:r>
        <w:rPr>
          <w:rFonts w:ascii="Arial" w:hAnsi="Arial"/>
          <w:color w:val="5B6761"/>
          <w:w w:val="133"/>
          <w:sz w:val="14"/>
        </w:rPr>
        <w:t>t</w:t>
      </w:r>
      <w:r>
        <w:rPr>
          <w:rFonts w:ascii="Arial" w:hAnsi="Arial"/>
          <w:color w:val="5B6761"/>
          <w:spacing w:val="-1"/>
          <w:w w:val="96"/>
          <w:sz w:val="14"/>
        </w:rPr>
        <w:t>e</w:t>
      </w:r>
      <w:r>
        <w:rPr>
          <w:rFonts w:ascii="Arial" w:hAnsi="Arial"/>
          <w:color w:val="5B6761"/>
          <w:sz w:val="14"/>
        </w:rPr>
        <w:t>d</w:t>
      </w:r>
      <w:r>
        <w:rPr>
          <w:rFonts w:ascii="Arial" w:hAnsi="Arial"/>
          <w:color w:val="5B6761"/>
          <w:spacing w:val="-5"/>
          <w:sz w:val="14"/>
        </w:rPr>
        <w:t xml:space="preserve"> </w:t>
      </w:r>
      <w:r>
        <w:rPr>
          <w:rFonts w:ascii="Arial" w:hAnsi="Arial"/>
          <w:color w:val="5B6761"/>
          <w:spacing w:val="-1"/>
          <w:w w:val="99"/>
          <w:sz w:val="14"/>
        </w:rPr>
        <w:t>L</w:t>
      </w:r>
      <w:r>
        <w:rPr>
          <w:rFonts w:ascii="Arial" w:hAnsi="Arial"/>
          <w:color w:val="5B6761"/>
          <w:w w:val="113"/>
          <w:sz w:val="14"/>
        </w:rPr>
        <w:t>i</w:t>
      </w:r>
      <w:r>
        <w:rPr>
          <w:rFonts w:ascii="Arial" w:hAnsi="Arial"/>
          <w:color w:val="5B6761"/>
          <w:spacing w:val="-1"/>
          <w:w w:val="93"/>
          <w:sz w:val="14"/>
        </w:rPr>
        <w:t>s</w:t>
      </w:r>
      <w:r>
        <w:rPr>
          <w:rFonts w:ascii="Arial" w:hAnsi="Arial"/>
          <w:color w:val="5B6761"/>
          <w:w w:val="133"/>
          <w:sz w:val="14"/>
        </w:rPr>
        <w:t>t</w:t>
      </w:r>
      <w:r>
        <w:rPr>
          <w:rFonts w:ascii="Arial" w:hAnsi="Arial"/>
          <w:color w:val="5B6761"/>
          <w:spacing w:val="-6"/>
          <w:sz w:val="14"/>
        </w:rPr>
        <w:t xml:space="preserve"> </w:t>
      </w:r>
      <w:r>
        <w:rPr>
          <w:rFonts w:ascii="Arial" w:hAnsi="Arial"/>
          <w:color w:val="5B6761"/>
          <w:spacing w:val="-1"/>
          <w:w w:val="93"/>
          <w:sz w:val="14"/>
        </w:rPr>
        <w:t>Q</w:t>
      </w:r>
      <w:r>
        <w:rPr>
          <w:rFonts w:ascii="Arial" w:hAnsi="Arial"/>
          <w:color w:val="5B6761"/>
          <w:spacing w:val="1"/>
          <w:sz w:val="14"/>
        </w:rPr>
        <w:t>&amp;</w:t>
      </w:r>
      <w:r>
        <w:rPr>
          <w:rFonts w:ascii="Arial" w:hAnsi="Arial"/>
          <w:color w:val="5B6761"/>
          <w:spacing w:val="-1"/>
          <w:w w:val="101"/>
          <w:sz w:val="14"/>
        </w:rPr>
        <w:t>A</w:t>
      </w:r>
      <w:r>
        <w:rPr>
          <w:rFonts w:ascii="Arial" w:hAnsi="Arial"/>
          <w:color w:val="5B6761"/>
          <w:w w:val="89"/>
          <w:sz w:val="14"/>
        </w:rPr>
        <w:t>’,</w:t>
      </w:r>
      <w:r>
        <w:rPr>
          <w:rFonts w:ascii="Arial" w:hAnsi="Arial"/>
          <w:color w:val="5B6761"/>
          <w:spacing w:val="-6"/>
          <w:sz w:val="14"/>
        </w:rPr>
        <w:t xml:space="preserve"> </w:t>
      </w:r>
      <w:r>
        <w:rPr>
          <w:rFonts w:ascii="Arial" w:hAnsi="Arial"/>
          <w:color w:val="5B6761"/>
          <w:w w:val="101"/>
          <w:sz w:val="14"/>
        </w:rPr>
        <w:t>v</w:t>
      </w:r>
      <w:r>
        <w:rPr>
          <w:rFonts w:ascii="Arial" w:hAnsi="Arial"/>
          <w:color w:val="5B6761"/>
          <w:w w:val="113"/>
          <w:sz w:val="14"/>
        </w:rPr>
        <w:t>i</w:t>
      </w:r>
      <w:r>
        <w:rPr>
          <w:rFonts w:ascii="Arial" w:hAnsi="Arial"/>
          <w:color w:val="5B6761"/>
          <w:spacing w:val="-1"/>
          <w:w w:val="96"/>
          <w:sz w:val="14"/>
        </w:rPr>
        <w:t>e</w:t>
      </w:r>
      <w:r>
        <w:rPr>
          <w:rFonts w:ascii="Arial" w:hAnsi="Arial"/>
          <w:color w:val="5B6761"/>
          <w:spacing w:val="1"/>
          <w:w w:val="98"/>
          <w:sz w:val="14"/>
        </w:rPr>
        <w:t>w</w:t>
      </w:r>
      <w:r>
        <w:rPr>
          <w:rFonts w:ascii="Arial" w:hAnsi="Arial"/>
          <w:color w:val="5B6761"/>
          <w:spacing w:val="-1"/>
          <w:w w:val="96"/>
          <w:sz w:val="14"/>
        </w:rPr>
        <w:t>e</w:t>
      </w:r>
      <w:r>
        <w:rPr>
          <w:rFonts w:ascii="Arial" w:hAnsi="Arial"/>
          <w:color w:val="5B6761"/>
          <w:sz w:val="14"/>
        </w:rPr>
        <w:t>d</w:t>
      </w:r>
      <w:r>
        <w:rPr>
          <w:rFonts w:ascii="Arial" w:hAnsi="Arial"/>
          <w:color w:val="5B6761"/>
          <w:spacing w:val="-5"/>
          <w:sz w:val="14"/>
        </w:rPr>
        <w:t xml:space="preserve"> </w:t>
      </w:r>
      <w:r>
        <w:rPr>
          <w:rFonts w:ascii="Arial" w:hAnsi="Arial"/>
          <w:color w:val="5B6761"/>
          <w:w w:val="109"/>
          <w:sz w:val="14"/>
        </w:rPr>
        <w:t>2</w:t>
      </w:r>
      <w:r>
        <w:rPr>
          <w:rFonts w:ascii="Arial" w:hAnsi="Arial"/>
          <w:color w:val="5B6761"/>
          <w:spacing w:val="-5"/>
          <w:sz w:val="14"/>
        </w:rPr>
        <w:t xml:space="preserve"> </w:t>
      </w:r>
      <w:r>
        <w:rPr>
          <w:rFonts w:ascii="Arial" w:hAnsi="Arial"/>
          <w:color w:val="5B6761"/>
          <w:spacing w:val="-1"/>
          <w:w w:val="101"/>
          <w:sz w:val="14"/>
        </w:rPr>
        <w:t>A</w:t>
      </w:r>
      <w:r>
        <w:rPr>
          <w:rFonts w:ascii="Arial" w:hAnsi="Arial"/>
          <w:color w:val="5B6761"/>
          <w:sz w:val="14"/>
        </w:rPr>
        <w:t>p</w:t>
      </w:r>
      <w:r>
        <w:rPr>
          <w:rFonts w:ascii="Arial" w:hAnsi="Arial"/>
          <w:color w:val="5B6761"/>
          <w:w w:val="116"/>
          <w:sz w:val="14"/>
        </w:rPr>
        <w:t>r</w:t>
      </w:r>
      <w:r>
        <w:rPr>
          <w:rFonts w:ascii="Arial" w:hAnsi="Arial"/>
          <w:color w:val="5B6761"/>
          <w:w w:val="113"/>
          <w:sz w:val="14"/>
        </w:rPr>
        <w:t>i</w:t>
      </w:r>
      <w:r>
        <w:rPr>
          <w:rFonts w:ascii="Arial" w:hAnsi="Arial"/>
          <w:color w:val="5B6761"/>
          <w:w w:val="117"/>
          <w:sz w:val="14"/>
        </w:rPr>
        <w:t>l</w:t>
      </w:r>
      <w:r>
        <w:rPr>
          <w:rFonts w:ascii="Arial" w:hAnsi="Arial"/>
          <w:color w:val="5B6761"/>
          <w:spacing w:val="-6"/>
          <w:sz w:val="14"/>
        </w:rPr>
        <w:t xml:space="preserve"> </w:t>
      </w:r>
      <w:r>
        <w:rPr>
          <w:rFonts w:ascii="Arial" w:hAnsi="Arial"/>
          <w:color w:val="5B6761"/>
          <w:spacing w:val="1"/>
          <w:w w:val="109"/>
          <w:sz w:val="14"/>
        </w:rPr>
        <w:t>2</w:t>
      </w:r>
      <w:r>
        <w:rPr>
          <w:rFonts w:ascii="Arial" w:hAnsi="Arial"/>
          <w:color w:val="5B6761"/>
          <w:w w:val="90"/>
          <w:sz w:val="14"/>
        </w:rPr>
        <w:t>01</w:t>
      </w:r>
      <w:r>
        <w:rPr>
          <w:rFonts w:ascii="Arial" w:hAnsi="Arial"/>
          <w:color w:val="5B6761"/>
          <w:w w:val="103"/>
          <w:sz w:val="14"/>
        </w:rPr>
        <w:t>0,</w:t>
      </w:r>
      <w:r>
        <w:rPr>
          <w:rFonts w:ascii="Arial" w:hAnsi="Arial"/>
          <w:color w:val="5B6761"/>
          <w:spacing w:val="-6"/>
          <w:sz w:val="14"/>
        </w:rPr>
        <w:t xml:space="preserve"> </w:t>
      </w:r>
      <w:r>
        <w:rPr>
          <w:rFonts w:ascii="Arial" w:hAnsi="Arial"/>
          <w:color w:val="5B6761"/>
          <w:w w:val="109"/>
          <w:sz w:val="14"/>
        </w:rPr>
        <w:t>&lt;</w:t>
      </w:r>
      <w:r>
        <w:rPr>
          <w:rFonts w:ascii="Arial" w:hAnsi="Arial"/>
          <w:color w:val="5B6761"/>
          <w:spacing w:val="-4"/>
          <w:sz w:val="14"/>
        </w:rPr>
        <w:t xml:space="preserve"> </w:t>
      </w:r>
      <w:hyperlink r:id="rId184">
        <w:r>
          <w:rPr>
            <w:rFonts w:ascii="Arial" w:hAnsi="Arial"/>
            <w:sz w:val="14"/>
            <w:u w:val="single" w:color="006FC0"/>
          </w:rPr>
          <w:t>h</w:t>
        </w:r>
        <w:r>
          <w:rPr>
            <w:rFonts w:ascii="Arial" w:hAnsi="Arial"/>
            <w:w w:val="133"/>
            <w:sz w:val="14"/>
            <w:u w:val="single" w:color="006FC0"/>
          </w:rPr>
          <w:t>tt</w:t>
        </w:r>
        <w:r>
          <w:rPr>
            <w:rFonts w:ascii="Arial" w:hAnsi="Arial"/>
            <w:sz w:val="14"/>
            <w:u w:val="single" w:color="006FC0"/>
          </w:rPr>
          <w:t>p</w:t>
        </w:r>
        <w:r>
          <w:rPr>
            <w:rFonts w:ascii="Arial" w:hAnsi="Arial"/>
            <w:spacing w:val="-1"/>
            <w:w w:val="93"/>
            <w:sz w:val="14"/>
            <w:u w:val="single" w:color="006FC0"/>
          </w:rPr>
          <w:t>s</w:t>
        </w:r>
        <w:r>
          <w:rPr>
            <w:rFonts w:ascii="Arial" w:hAnsi="Arial"/>
            <w:w w:val="127"/>
            <w:sz w:val="14"/>
            <w:u w:val="single" w:color="006FC0"/>
          </w:rPr>
          <w:t>:</w:t>
        </w:r>
        <w:r>
          <w:rPr>
            <w:rFonts w:ascii="Arial" w:hAnsi="Arial"/>
            <w:spacing w:val="-2"/>
            <w:w w:val="127"/>
            <w:sz w:val="14"/>
            <w:u w:val="single" w:color="006FC0"/>
          </w:rPr>
          <w:t>/</w:t>
        </w:r>
        <w:r>
          <w:rPr>
            <w:rFonts w:ascii="Arial" w:hAnsi="Arial"/>
            <w:spacing w:val="-1"/>
            <w:w w:val="175"/>
            <w:sz w:val="14"/>
            <w:u w:val="single" w:color="006FC0"/>
          </w:rPr>
          <w:t>/</w:t>
        </w:r>
        <w:r>
          <w:rPr>
            <w:rFonts w:ascii="Arial" w:hAnsi="Arial"/>
            <w:spacing w:val="3"/>
            <w:w w:val="98"/>
            <w:sz w:val="14"/>
            <w:u w:val="single" w:color="006FC0"/>
          </w:rPr>
          <w:t>w</w:t>
        </w:r>
        <w:r>
          <w:rPr>
            <w:rFonts w:ascii="Arial" w:hAnsi="Arial"/>
            <w:spacing w:val="1"/>
            <w:w w:val="98"/>
            <w:sz w:val="14"/>
            <w:u w:val="single" w:color="006FC0"/>
          </w:rPr>
          <w:t>ww</w:t>
        </w:r>
        <w:r>
          <w:rPr>
            <w:rFonts w:ascii="Arial" w:hAnsi="Arial"/>
            <w:spacing w:val="1"/>
            <w:w w:val="80"/>
            <w:sz w:val="14"/>
            <w:u w:val="single" w:color="006FC0"/>
          </w:rPr>
          <w:t>.</w:t>
        </w:r>
        <w:r>
          <w:rPr>
            <w:rFonts w:ascii="Arial" w:hAnsi="Arial"/>
            <w:spacing w:val="1"/>
            <w:w w:val="98"/>
            <w:sz w:val="14"/>
            <w:u w:val="single" w:color="006FC0"/>
          </w:rPr>
          <w:t>w</w:t>
        </w:r>
        <w:r>
          <w:rPr>
            <w:rFonts w:ascii="Arial" w:hAnsi="Arial"/>
            <w:w w:val="94"/>
            <w:sz w:val="14"/>
            <w:u w:val="single" w:color="006FC0"/>
          </w:rPr>
          <w:t>a</w:t>
        </w:r>
        <w:r>
          <w:rPr>
            <w:rFonts w:ascii="Arial" w:hAnsi="Arial"/>
            <w:spacing w:val="-2"/>
            <w:sz w:val="14"/>
            <w:u w:val="single" w:color="006FC0"/>
          </w:rPr>
          <w:t>d</w:t>
        </w:r>
        <w:r>
          <w:rPr>
            <w:rFonts w:ascii="Arial" w:hAnsi="Arial"/>
            <w:spacing w:val="1"/>
            <w:w w:val="94"/>
            <w:sz w:val="14"/>
            <w:u w:val="single" w:color="006FC0"/>
          </w:rPr>
          <w:t>a</w:t>
        </w:r>
        <w:r>
          <w:rPr>
            <w:rFonts w:ascii="Arial" w:hAnsi="Arial"/>
            <w:w w:val="119"/>
            <w:sz w:val="14"/>
            <w:u w:val="single" w:color="006FC0"/>
          </w:rPr>
          <w:t>-</w:t>
        </w:r>
      </w:hyperlink>
      <w:r>
        <w:rPr>
          <w:rFonts w:ascii="Arial" w:hAnsi="Arial"/>
          <w:w w:val="119"/>
          <w:sz w:val="14"/>
        </w:rPr>
        <w:t xml:space="preserve"> </w:t>
      </w:r>
      <w:hyperlink r:id="rId185">
        <w:r>
          <w:rPr>
            <w:rFonts w:ascii="Arial" w:hAnsi="Arial"/>
            <w:w w:val="94"/>
            <w:sz w:val="14"/>
            <w:u w:val="single" w:color="006FC0"/>
          </w:rPr>
          <w:t>a</w:t>
        </w:r>
        <w:r>
          <w:rPr>
            <w:rFonts w:ascii="Arial" w:hAnsi="Arial"/>
            <w:w w:val="98"/>
            <w:sz w:val="14"/>
            <w:u w:val="single" w:color="006FC0"/>
          </w:rPr>
          <w:t>ma</w:t>
        </w:r>
        <w:r>
          <w:rPr>
            <w:rFonts w:ascii="Arial" w:hAnsi="Arial"/>
            <w:w w:val="93"/>
            <w:sz w:val="14"/>
            <w:u w:val="single" w:color="006FC0"/>
          </w:rPr>
          <w:t>.</w:t>
        </w:r>
        <w:r>
          <w:rPr>
            <w:rFonts w:ascii="Arial" w:hAnsi="Arial"/>
            <w:spacing w:val="-1"/>
            <w:w w:val="93"/>
            <w:sz w:val="14"/>
            <w:u w:val="single" w:color="006FC0"/>
          </w:rPr>
          <w:t>o</w:t>
        </w:r>
        <w:r>
          <w:rPr>
            <w:rFonts w:ascii="Arial" w:hAnsi="Arial"/>
            <w:w w:val="116"/>
            <w:sz w:val="14"/>
            <w:u w:val="single" w:color="006FC0"/>
          </w:rPr>
          <w:t>r</w:t>
        </w:r>
        <w:r>
          <w:rPr>
            <w:rFonts w:ascii="Arial" w:hAnsi="Arial"/>
            <w:sz w:val="14"/>
            <w:u w:val="single" w:color="006FC0"/>
          </w:rPr>
          <w:t>g</w:t>
        </w:r>
        <w:r>
          <w:rPr>
            <w:rFonts w:ascii="Arial" w:hAnsi="Arial"/>
            <w:spacing w:val="-1"/>
            <w:w w:val="175"/>
            <w:sz w:val="14"/>
            <w:u w:val="single" w:color="006FC0"/>
          </w:rPr>
          <w:t>/</w:t>
        </w:r>
        <w:proofErr w:type="spellStart"/>
        <w:r>
          <w:rPr>
            <w:rFonts w:ascii="Arial" w:hAnsi="Arial"/>
            <w:spacing w:val="-1"/>
            <w:w w:val="96"/>
            <w:sz w:val="14"/>
            <w:u w:val="single" w:color="006FC0"/>
          </w:rPr>
          <w:t>e</w:t>
        </w:r>
        <w:r>
          <w:rPr>
            <w:rFonts w:ascii="Arial" w:hAnsi="Arial"/>
            <w:sz w:val="14"/>
            <w:u w:val="single" w:color="006FC0"/>
          </w:rPr>
          <w:t>n</w:t>
        </w:r>
        <w:proofErr w:type="spellEnd"/>
        <w:r>
          <w:rPr>
            <w:rFonts w:ascii="Arial" w:hAnsi="Arial"/>
            <w:spacing w:val="-1"/>
            <w:w w:val="175"/>
            <w:sz w:val="14"/>
            <w:u w:val="single" w:color="006FC0"/>
          </w:rPr>
          <w:t>/</w:t>
        </w:r>
        <w:r>
          <w:rPr>
            <w:rFonts w:ascii="Arial" w:hAnsi="Arial"/>
            <w:sz w:val="14"/>
            <w:u w:val="single" w:color="006FC0"/>
          </w:rPr>
          <w:t>qu</w:t>
        </w:r>
        <w:r>
          <w:rPr>
            <w:rFonts w:ascii="Arial" w:hAnsi="Arial"/>
            <w:spacing w:val="1"/>
            <w:w w:val="96"/>
            <w:sz w:val="14"/>
            <w:u w:val="single" w:color="006FC0"/>
          </w:rPr>
          <w:t>e</w:t>
        </w:r>
        <w:r>
          <w:rPr>
            <w:rFonts w:ascii="Arial" w:hAnsi="Arial"/>
            <w:spacing w:val="-1"/>
            <w:w w:val="93"/>
            <w:sz w:val="14"/>
            <w:u w:val="single" w:color="006FC0"/>
          </w:rPr>
          <w:t>s</w:t>
        </w:r>
        <w:r>
          <w:rPr>
            <w:rFonts w:ascii="Arial" w:hAnsi="Arial"/>
            <w:w w:val="133"/>
            <w:sz w:val="14"/>
            <w:u w:val="single" w:color="006FC0"/>
          </w:rPr>
          <w:t>t</w:t>
        </w:r>
        <w:r>
          <w:rPr>
            <w:rFonts w:ascii="Arial" w:hAnsi="Arial"/>
            <w:w w:val="113"/>
            <w:sz w:val="14"/>
            <w:u w:val="single" w:color="006FC0"/>
          </w:rPr>
          <w:t>i</w:t>
        </w:r>
        <w:r>
          <w:rPr>
            <w:rFonts w:ascii="Arial" w:hAnsi="Arial"/>
            <w:spacing w:val="-1"/>
            <w:w w:val="99"/>
            <w:sz w:val="14"/>
            <w:u w:val="single" w:color="006FC0"/>
          </w:rPr>
          <w:t>o</w:t>
        </w:r>
        <w:r>
          <w:rPr>
            <w:rFonts w:ascii="Arial" w:hAnsi="Arial"/>
            <w:sz w:val="14"/>
            <w:u w:val="single" w:color="006FC0"/>
          </w:rPr>
          <w:t>n</w:t>
        </w:r>
        <w:r>
          <w:rPr>
            <w:rFonts w:ascii="Arial" w:hAnsi="Arial"/>
            <w:w w:val="93"/>
            <w:sz w:val="14"/>
            <w:u w:val="single" w:color="006FC0"/>
          </w:rPr>
          <w:t>s</w:t>
        </w:r>
        <w:r>
          <w:rPr>
            <w:rFonts w:ascii="Arial" w:hAnsi="Arial"/>
            <w:spacing w:val="-1"/>
            <w:w w:val="119"/>
            <w:sz w:val="14"/>
            <w:u w:val="single" w:color="006FC0"/>
          </w:rPr>
          <w:t>-</w:t>
        </w:r>
        <w:r>
          <w:rPr>
            <w:rFonts w:ascii="Arial" w:hAnsi="Arial"/>
            <w:w w:val="94"/>
            <w:sz w:val="14"/>
            <w:u w:val="single" w:color="006FC0"/>
          </w:rPr>
          <w:t>a</w:t>
        </w:r>
        <w:r>
          <w:rPr>
            <w:rFonts w:ascii="Arial" w:hAnsi="Arial"/>
            <w:sz w:val="14"/>
            <w:u w:val="single" w:color="006FC0"/>
          </w:rPr>
          <w:t>n</w:t>
        </w:r>
        <w:r>
          <w:rPr>
            <w:rFonts w:ascii="Arial" w:hAnsi="Arial"/>
            <w:spacing w:val="-1"/>
            <w:w w:val="93"/>
            <w:sz w:val="14"/>
            <w:u w:val="single" w:color="006FC0"/>
          </w:rPr>
          <w:t>s</w:t>
        </w:r>
        <w:r>
          <w:rPr>
            <w:rFonts w:ascii="Arial" w:hAnsi="Arial"/>
            <w:spacing w:val="1"/>
            <w:w w:val="98"/>
            <w:sz w:val="14"/>
            <w:u w:val="single" w:color="006FC0"/>
          </w:rPr>
          <w:t>w</w:t>
        </w:r>
        <w:r>
          <w:rPr>
            <w:rFonts w:ascii="Arial" w:hAnsi="Arial"/>
            <w:spacing w:val="-1"/>
            <w:w w:val="96"/>
            <w:sz w:val="14"/>
            <w:u w:val="single" w:color="006FC0"/>
          </w:rPr>
          <w:t>e</w:t>
        </w:r>
        <w:r>
          <w:rPr>
            <w:rFonts w:ascii="Arial" w:hAnsi="Arial"/>
            <w:w w:val="116"/>
            <w:sz w:val="14"/>
            <w:u w:val="single" w:color="006FC0"/>
          </w:rPr>
          <w:t>r</w:t>
        </w:r>
        <w:r>
          <w:rPr>
            <w:rFonts w:ascii="Arial" w:hAnsi="Arial"/>
            <w:spacing w:val="1"/>
            <w:w w:val="93"/>
            <w:sz w:val="14"/>
            <w:u w:val="single" w:color="006FC0"/>
          </w:rPr>
          <w:t>s</w:t>
        </w:r>
        <w:r>
          <w:rPr>
            <w:rFonts w:ascii="Arial" w:hAnsi="Arial"/>
            <w:spacing w:val="-1"/>
            <w:w w:val="175"/>
            <w:sz w:val="14"/>
            <w:u w:val="single" w:color="006FC0"/>
          </w:rPr>
          <w:t>/</w:t>
        </w:r>
        <w:r>
          <w:rPr>
            <w:rFonts w:ascii="Arial" w:hAnsi="Arial"/>
            <w:sz w:val="14"/>
            <w:u w:val="single" w:color="006FC0"/>
          </w:rPr>
          <w:t>p</w:t>
        </w:r>
        <w:r>
          <w:rPr>
            <w:rFonts w:ascii="Arial" w:hAnsi="Arial"/>
            <w:w w:val="116"/>
            <w:sz w:val="14"/>
            <w:u w:val="single" w:color="006FC0"/>
          </w:rPr>
          <w:t>r</w:t>
        </w:r>
        <w:r>
          <w:rPr>
            <w:rFonts w:ascii="Arial" w:hAnsi="Arial"/>
            <w:spacing w:val="-1"/>
            <w:w w:val="99"/>
            <w:sz w:val="14"/>
            <w:u w:val="single" w:color="006FC0"/>
          </w:rPr>
          <w:t>o</w:t>
        </w:r>
        <w:r>
          <w:rPr>
            <w:rFonts w:ascii="Arial" w:hAnsi="Arial"/>
            <w:sz w:val="14"/>
            <w:u w:val="single" w:color="006FC0"/>
          </w:rPr>
          <w:t>h</w:t>
        </w:r>
        <w:r>
          <w:rPr>
            <w:rFonts w:ascii="Arial" w:hAnsi="Arial"/>
            <w:w w:val="113"/>
            <w:sz w:val="14"/>
            <w:u w:val="single" w:color="006FC0"/>
          </w:rPr>
          <w:t>i</w:t>
        </w:r>
        <w:r>
          <w:rPr>
            <w:rFonts w:ascii="Arial" w:hAnsi="Arial"/>
            <w:spacing w:val="3"/>
            <w:sz w:val="14"/>
            <w:u w:val="single" w:color="006FC0"/>
          </w:rPr>
          <w:t>b</w:t>
        </w:r>
        <w:r>
          <w:rPr>
            <w:rFonts w:ascii="Arial" w:hAnsi="Arial"/>
            <w:w w:val="113"/>
            <w:sz w:val="14"/>
            <w:u w:val="single" w:color="006FC0"/>
          </w:rPr>
          <w:t>i</w:t>
        </w:r>
        <w:r>
          <w:rPr>
            <w:rFonts w:ascii="Arial" w:hAnsi="Arial"/>
            <w:w w:val="133"/>
            <w:sz w:val="14"/>
            <w:u w:val="single" w:color="006FC0"/>
          </w:rPr>
          <w:t>t</w:t>
        </w:r>
        <w:r>
          <w:rPr>
            <w:rFonts w:ascii="Arial" w:hAnsi="Arial"/>
            <w:spacing w:val="-1"/>
            <w:w w:val="96"/>
            <w:sz w:val="14"/>
            <w:u w:val="single" w:color="006FC0"/>
          </w:rPr>
          <w:t>e</w:t>
        </w:r>
        <w:r>
          <w:rPr>
            <w:rFonts w:ascii="Arial" w:hAnsi="Arial"/>
            <w:spacing w:val="2"/>
            <w:sz w:val="14"/>
            <w:u w:val="single" w:color="006FC0"/>
          </w:rPr>
          <w:t>d</w:t>
        </w:r>
        <w:r>
          <w:rPr>
            <w:rFonts w:ascii="Arial" w:hAnsi="Arial"/>
            <w:spacing w:val="-1"/>
            <w:w w:val="119"/>
            <w:sz w:val="14"/>
            <w:u w:val="single" w:color="006FC0"/>
          </w:rPr>
          <w:t>-</w:t>
        </w:r>
        <w:r>
          <w:rPr>
            <w:rFonts w:ascii="Arial" w:hAnsi="Arial"/>
            <w:spacing w:val="-1"/>
            <w:w w:val="117"/>
            <w:sz w:val="14"/>
            <w:u w:val="single" w:color="006FC0"/>
          </w:rPr>
          <w:t>l</w:t>
        </w:r>
        <w:r>
          <w:rPr>
            <w:rFonts w:ascii="Arial" w:hAnsi="Arial"/>
            <w:w w:val="113"/>
            <w:sz w:val="14"/>
            <w:u w:val="single" w:color="006FC0"/>
          </w:rPr>
          <w:t>i</w:t>
        </w:r>
        <w:r>
          <w:rPr>
            <w:rFonts w:ascii="Arial" w:hAnsi="Arial"/>
            <w:spacing w:val="-1"/>
            <w:w w:val="93"/>
            <w:sz w:val="14"/>
            <w:u w:val="single" w:color="006FC0"/>
          </w:rPr>
          <w:t>s</w:t>
        </w:r>
        <w:r>
          <w:rPr>
            <w:rFonts w:ascii="Arial" w:hAnsi="Arial"/>
            <w:w w:val="133"/>
            <w:sz w:val="14"/>
            <w:u w:val="single" w:color="006FC0"/>
          </w:rPr>
          <w:t>t</w:t>
        </w:r>
        <w:r>
          <w:rPr>
            <w:rFonts w:ascii="Arial" w:hAnsi="Arial"/>
            <w:spacing w:val="-1"/>
            <w:w w:val="119"/>
            <w:sz w:val="14"/>
            <w:u w:val="single" w:color="006FC0"/>
          </w:rPr>
          <w:t>-</w:t>
        </w:r>
        <w:proofErr w:type="spellStart"/>
        <w:r>
          <w:rPr>
            <w:rFonts w:ascii="Arial" w:hAnsi="Arial"/>
            <w:w w:val="97"/>
            <w:sz w:val="14"/>
            <w:u w:val="single" w:color="006FC0"/>
          </w:rPr>
          <w:t>q</w:t>
        </w:r>
        <w:r>
          <w:rPr>
            <w:rFonts w:ascii="Arial" w:hAnsi="Arial"/>
            <w:spacing w:val="1"/>
            <w:w w:val="97"/>
            <w:sz w:val="14"/>
            <w:u w:val="single" w:color="006FC0"/>
          </w:rPr>
          <w:t>a</w:t>
        </w:r>
        <w:proofErr w:type="spellEnd"/>
      </w:hyperlink>
      <w:r>
        <w:rPr>
          <w:rFonts w:ascii="Arial" w:hAnsi="Arial"/>
          <w:color w:val="5B6761"/>
          <w:spacing w:val="-1"/>
          <w:w w:val="109"/>
          <w:sz w:val="14"/>
        </w:rPr>
        <w:t>&gt;</w:t>
      </w:r>
      <w:r>
        <w:rPr>
          <w:rFonts w:ascii="Arial" w:hAnsi="Arial"/>
          <w:color w:val="5B6761"/>
          <w:w w:val="80"/>
          <w:sz w:val="14"/>
        </w:rPr>
        <w:t>.</w:t>
      </w:r>
    </w:p>
    <w:p w:rsidR="007D76BB" w:rsidRDefault="00D70D28">
      <w:pPr>
        <w:spacing w:before="58" w:line="268" w:lineRule="auto"/>
        <w:ind w:left="594" w:right="844" w:hanging="113"/>
        <w:rPr>
          <w:rFonts w:ascii="Arial" w:hAnsi="Arial"/>
          <w:sz w:val="14"/>
        </w:rPr>
      </w:pPr>
      <w:r>
        <w:rPr>
          <w:rFonts w:ascii="Arial" w:hAnsi="Arial"/>
          <w:color w:val="5B6761"/>
          <w:position w:val="5"/>
          <w:sz w:val="8"/>
        </w:rPr>
        <w:t xml:space="preserve">11 </w:t>
      </w:r>
      <w:r>
        <w:rPr>
          <w:rFonts w:ascii="Arial" w:hAnsi="Arial"/>
          <w:color w:val="5B6761"/>
          <w:w w:val="105"/>
          <w:sz w:val="14"/>
        </w:rPr>
        <w:t>It is noted that there are some substances present on the WADC Prohibited List that are not currently included in the Poisons Standard,</w:t>
      </w:r>
      <w:r>
        <w:rPr>
          <w:rFonts w:ascii="Arial" w:hAnsi="Arial"/>
          <w:color w:val="5B6761"/>
          <w:spacing w:val="-20"/>
          <w:w w:val="105"/>
          <w:sz w:val="14"/>
        </w:rPr>
        <w:t xml:space="preserve"> </w:t>
      </w:r>
      <w:r>
        <w:rPr>
          <w:rFonts w:ascii="Arial" w:hAnsi="Arial"/>
          <w:color w:val="5B6761"/>
          <w:w w:val="105"/>
          <w:sz w:val="14"/>
        </w:rPr>
        <w:t>as</w:t>
      </w:r>
      <w:r>
        <w:rPr>
          <w:rFonts w:ascii="Arial" w:hAnsi="Arial"/>
          <w:color w:val="5B6761"/>
          <w:spacing w:val="-20"/>
          <w:w w:val="105"/>
          <w:sz w:val="14"/>
        </w:rPr>
        <w:t xml:space="preserve"> </w:t>
      </w:r>
      <w:r>
        <w:rPr>
          <w:rFonts w:ascii="Arial" w:hAnsi="Arial"/>
          <w:color w:val="5B6761"/>
          <w:w w:val="105"/>
          <w:sz w:val="14"/>
        </w:rPr>
        <w:t>no</w:t>
      </w:r>
      <w:r>
        <w:rPr>
          <w:rFonts w:ascii="Arial" w:hAnsi="Arial"/>
          <w:color w:val="5B6761"/>
          <w:spacing w:val="-21"/>
          <w:w w:val="105"/>
          <w:sz w:val="14"/>
        </w:rPr>
        <w:t xml:space="preserve"> </w:t>
      </w:r>
      <w:r>
        <w:rPr>
          <w:rFonts w:ascii="Arial" w:hAnsi="Arial"/>
          <w:color w:val="5B6761"/>
          <w:w w:val="105"/>
          <w:sz w:val="14"/>
        </w:rPr>
        <w:t>application</w:t>
      </w:r>
      <w:r>
        <w:rPr>
          <w:rFonts w:ascii="Arial" w:hAnsi="Arial"/>
          <w:color w:val="5B6761"/>
          <w:spacing w:val="-19"/>
          <w:w w:val="105"/>
          <w:sz w:val="14"/>
        </w:rPr>
        <w:t xml:space="preserve"> </w:t>
      </w:r>
      <w:r>
        <w:rPr>
          <w:rFonts w:ascii="Arial" w:hAnsi="Arial"/>
          <w:color w:val="5B6761"/>
          <w:w w:val="105"/>
          <w:sz w:val="14"/>
        </w:rPr>
        <w:t>has</w:t>
      </w:r>
      <w:r>
        <w:rPr>
          <w:rFonts w:ascii="Arial" w:hAnsi="Arial"/>
          <w:color w:val="5B6761"/>
          <w:spacing w:val="-22"/>
          <w:w w:val="105"/>
          <w:sz w:val="14"/>
        </w:rPr>
        <w:t xml:space="preserve"> </w:t>
      </w:r>
      <w:r>
        <w:rPr>
          <w:rFonts w:ascii="Arial" w:hAnsi="Arial"/>
          <w:color w:val="5B6761"/>
          <w:w w:val="105"/>
          <w:sz w:val="14"/>
        </w:rPr>
        <w:t>been</w:t>
      </w:r>
      <w:r>
        <w:rPr>
          <w:rFonts w:ascii="Arial" w:hAnsi="Arial"/>
          <w:color w:val="5B6761"/>
          <w:spacing w:val="-20"/>
          <w:w w:val="105"/>
          <w:sz w:val="14"/>
        </w:rPr>
        <w:t xml:space="preserve"> </w:t>
      </w:r>
      <w:r>
        <w:rPr>
          <w:rFonts w:ascii="Arial" w:hAnsi="Arial"/>
          <w:color w:val="5B6761"/>
          <w:w w:val="105"/>
          <w:sz w:val="14"/>
        </w:rPr>
        <w:t>made</w:t>
      </w:r>
      <w:r>
        <w:rPr>
          <w:rFonts w:ascii="Arial" w:hAnsi="Arial"/>
          <w:color w:val="5B6761"/>
          <w:spacing w:val="-20"/>
          <w:w w:val="105"/>
          <w:sz w:val="14"/>
        </w:rPr>
        <w:t xml:space="preserve"> </w:t>
      </w:r>
      <w:r>
        <w:rPr>
          <w:rFonts w:ascii="Arial" w:hAnsi="Arial"/>
          <w:color w:val="5B6761"/>
          <w:w w:val="105"/>
          <w:sz w:val="14"/>
        </w:rPr>
        <w:t>to</w:t>
      </w:r>
      <w:r>
        <w:rPr>
          <w:rFonts w:ascii="Arial" w:hAnsi="Arial"/>
          <w:color w:val="5B6761"/>
          <w:spacing w:val="-21"/>
          <w:w w:val="105"/>
          <w:sz w:val="14"/>
        </w:rPr>
        <w:t xml:space="preserve"> </w:t>
      </w:r>
      <w:r>
        <w:rPr>
          <w:rFonts w:ascii="Arial" w:hAnsi="Arial"/>
          <w:color w:val="5B6761"/>
          <w:w w:val="105"/>
          <w:sz w:val="14"/>
        </w:rPr>
        <w:t>have</w:t>
      </w:r>
      <w:r>
        <w:rPr>
          <w:rFonts w:ascii="Arial" w:hAnsi="Arial"/>
          <w:color w:val="5B6761"/>
          <w:spacing w:val="-20"/>
          <w:w w:val="105"/>
          <w:sz w:val="14"/>
        </w:rPr>
        <w:t xml:space="preserve"> </w:t>
      </w:r>
      <w:r>
        <w:rPr>
          <w:rFonts w:ascii="Arial" w:hAnsi="Arial"/>
          <w:color w:val="5B6761"/>
          <w:w w:val="105"/>
          <w:sz w:val="14"/>
        </w:rPr>
        <w:t>them</w:t>
      </w:r>
      <w:r>
        <w:rPr>
          <w:rFonts w:ascii="Arial" w:hAnsi="Arial"/>
          <w:color w:val="5B6761"/>
          <w:spacing w:val="-20"/>
          <w:w w:val="105"/>
          <w:sz w:val="14"/>
        </w:rPr>
        <w:t xml:space="preserve"> </w:t>
      </w:r>
      <w:r>
        <w:rPr>
          <w:rFonts w:ascii="Arial" w:hAnsi="Arial"/>
          <w:color w:val="5B6761"/>
          <w:w w:val="105"/>
          <w:sz w:val="14"/>
        </w:rPr>
        <w:t>considered</w:t>
      </w:r>
      <w:r>
        <w:rPr>
          <w:rFonts w:ascii="Arial" w:hAnsi="Arial"/>
          <w:color w:val="5B6761"/>
          <w:spacing w:val="-20"/>
          <w:w w:val="105"/>
          <w:sz w:val="14"/>
        </w:rPr>
        <w:t xml:space="preserve"> </w:t>
      </w:r>
      <w:r>
        <w:rPr>
          <w:rFonts w:ascii="Arial" w:hAnsi="Arial"/>
          <w:color w:val="5B6761"/>
          <w:w w:val="105"/>
          <w:sz w:val="14"/>
        </w:rPr>
        <w:t>for</w:t>
      </w:r>
      <w:r>
        <w:rPr>
          <w:rFonts w:ascii="Arial" w:hAnsi="Arial"/>
          <w:color w:val="5B6761"/>
          <w:spacing w:val="-19"/>
          <w:w w:val="105"/>
          <w:sz w:val="14"/>
        </w:rPr>
        <w:t xml:space="preserve"> </w:t>
      </w:r>
      <w:r>
        <w:rPr>
          <w:rFonts w:ascii="Arial" w:hAnsi="Arial"/>
          <w:color w:val="5B6761"/>
          <w:w w:val="105"/>
          <w:sz w:val="14"/>
        </w:rPr>
        <w:t>scheduling.</w:t>
      </w:r>
      <w:r>
        <w:rPr>
          <w:rFonts w:ascii="Arial" w:hAnsi="Arial"/>
          <w:color w:val="5B6761"/>
          <w:spacing w:val="-20"/>
          <w:w w:val="105"/>
          <w:sz w:val="14"/>
        </w:rPr>
        <w:t xml:space="preserve"> </w:t>
      </w:r>
      <w:r>
        <w:rPr>
          <w:rFonts w:ascii="Arial" w:hAnsi="Arial"/>
          <w:color w:val="5B6761"/>
          <w:w w:val="105"/>
          <w:sz w:val="14"/>
        </w:rPr>
        <w:t>An</w:t>
      </w:r>
      <w:r>
        <w:rPr>
          <w:rFonts w:ascii="Arial" w:hAnsi="Arial"/>
          <w:color w:val="5B6761"/>
          <w:spacing w:val="-19"/>
          <w:w w:val="105"/>
          <w:sz w:val="14"/>
        </w:rPr>
        <w:t xml:space="preserve"> </w:t>
      </w:r>
      <w:r>
        <w:rPr>
          <w:rFonts w:ascii="Arial" w:hAnsi="Arial"/>
          <w:color w:val="5B6761"/>
          <w:w w:val="105"/>
          <w:sz w:val="14"/>
        </w:rPr>
        <w:t>example</w:t>
      </w:r>
      <w:r>
        <w:rPr>
          <w:rFonts w:ascii="Arial" w:hAnsi="Arial"/>
          <w:color w:val="5B6761"/>
          <w:spacing w:val="-21"/>
          <w:w w:val="105"/>
          <w:sz w:val="14"/>
        </w:rPr>
        <w:t xml:space="preserve"> </w:t>
      </w:r>
      <w:r>
        <w:rPr>
          <w:rFonts w:ascii="Arial" w:hAnsi="Arial"/>
          <w:color w:val="5B6761"/>
          <w:w w:val="105"/>
          <w:sz w:val="14"/>
        </w:rPr>
        <w:t>is</w:t>
      </w:r>
      <w:r>
        <w:rPr>
          <w:rFonts w:ascii="Arial" w:hAnsi="Arial"/>
          <w:color w:val="5B6761"/>
          <w:spacing w:val="-20"/>
          <w:w w:val="105"/>
          <w:sz w:val="14"/>
        </w:rPr>
        <w:t xml:space="preserve"> </w:t>
      </w:r>
      <w:proofErr w:type="spellStart"/>
      <w:r>
        <w:rPr>
          <w:rFonts w:ascii="Arial" w:hAnsi="Arial"/>
          <w:color w:val="5B6761"/>
          <w:w w:val="105"/>
          <w:sz w:val="14"/>
        </w:rPr>
        <w:t>Higenamine</w:t>
      </w:r>
      <w:proofErr w:type="spellEnd"/>
      <w:r>
        <w:rPr>
          <w:rFonts w:ascii="Arial" w:hAnsi="Arial"/>
          <w:color w:val="5B6761"/>
          <w:spacing w:val="-21"/>
          <w:w w:val="105"/>
          <w:sz w:val="14"/>
        </w:rPr>
        <w:t xml:space="preserve"> </w:t>
      </w:r>
      <w:r>
        <w:rPr>
          <w:rFonts w:ascii="Arial" w:hAnsi="Arial"/>
          <w:color w:val="5B6761"/>
          <w:w w:val="105"/>
          <w:sz w:val="14"/>
        </w:rPr>
        <w:t>(a</w:t>
      </w:r>
      <w:r>
        <w:rPr>
          <w:rFonts w:ascii="Arial" w:hAnsi="Arial"/>
          <w:color w:val="5B6761"/>
          <w:spacing w:val="-19"/>
          <w:w w:val="105"/>
          <w:sz w:val="14"/>
        </w:rPr>
        <w:t xml:space="preserve"> </w:t>
      </w:r>
      <w:r>
        <w:rPr>
          <w:rFonts w:ascii="Arial" w:hAnsi="Arial"/>
          <w:color w:val="5B6761"/>
          <w:w w:val="105"/>
          <w:sz w:val="14"/>
        </w:rPr>
        <w:t>prohibited</w:t>
      </w:r>
      <w:r>
        <w:rPr>
          <w:rFonts w:ascii="Arial" w:hAnsi="Arial"/>
          <w:color w:val="5B6761"/>
          <w:spacing w:val="-19"/>
          <w:w w:val="105"/>
          <w:sz w:val="14"/>
        </w:rPr>
        <w:t xml:space="preserve"> </w:t>
      </w:r>
      <w:r>
        <w:rPr>
          <w:rFonts w:ascii="Arial" w:hAnsi="Arial"/>
          <w:color w:val="5B6761"/>
          <w:w w:val="105"/>
          <w:sz w:val="14"/>
        </w:rPr>
        <w:t>Beta-2 Agonist) - an ingredient in some pre-workout products. This results in a slightly increased regulatory burden for Option 2A, when compared</w:t>
      </w:r>
      <w:r>
        <w:rPr>
          <w:rFonts w:ascii="Arial" w:hAnsi="Arial"/>
          <w:color w:val="5B6761"/>
          <w:spacing w:val="-19"/>
          <w:w w:val="105"/>
          <w:sz w:val="14"/>
        </w:rPr>
        <w:t xml:space="preserve"> </w:t>
      </w:r>
      <w:r>
        <w:rPr>
          <w:rFonts w:ascii="Arial" w:hAnsi="Arial"/>
          <w:color w:val="5B6761"/>
          <w:w w:val="105"/>
          <w:sz w:val="14"/>
        </w:rPr>
        <w:t>to</w:t>
      </w:r>
      <w:r>
        <w:rPr>
          <w:rFonts w:ascii="Arial" w:hAnsi="Arial"/>
          <w:color w:val="5B6761"/>
          <w:spacing w:val="-20"/>
          <w:w w:val="105"/>
          <w:sz w:val="14"/>
        </w:rPr>
        <w:t xml:space="preserve"> </w:t>
      </w:r>
      <w:r>
        <w:rPr>
          <w:rFonts w:ascii="Arial" w:hAnsi="Arial"/>
          <w:color w:val="5B6761"/>
          <w:w w:val="105"/>
          <w:sz w:val="14"/>
        </w:rPr>
        <w:t>Option</w:t>
      </w:r>
      <w:r>
        <w:rPr>
          <w:rFonts w:ascii="Arial" w:hAnsi="Arial"/>
          <w:color w:val="5B6761"/>
          <w:spacing w:val="-18"/>
          <w:w w:val="105"/>
          <w:sz w:val="14"/>
        </w:rPr>
        <w:t xml:space="preserve"> </w:t>
      </w:r>
      <w:r>
        <w:rPr>
          <w:rFonts w:ascii="Arial" w:hAnsi="Arial"/>
          <w:color w:val="5B6761"/>
          <w:w w:val="105"/>
          <w:sz w:val="14"/>
        </w:rPr>
        <w:t>2B,</w:t>
      </w:r>
      <w:r>
        <w:rPr>
          <w:rFonts w:ascii="Arial" w:hAnsi="Arial"/>
          <w:color w:val="5B6761"/>
          <w:spacing w:val="-20"/>
          <w:w w:val="105"/>
          <w:sz w:val="14"/>
        </w:rPr>
        <w:t xml:space="preserve"> </w:t>
      </w:r>
      <w:r>
        <w:rPr>
          <w:rFonts w:ascii="Arial" w:hAnsi="Arial"/>
          <w:color w:val="5B6761"/>
          <w:w w:val="105"/>
          <w:sz w:val="14"/>
        </w:rPr>
        <w:t>as</w:t>
      </w:r>
      <w:r>
        <w:rPr>
          <w:rFonts w:ascii="Arial" w:hAnsi="Arial"/>
          <w:color w:val="5B6761"/>
          <w:spacing w:val="-19"/>
          <w:w w:val="105"/>
          <w:sz w:val="14"/>
        </w:rPr>
        <w:t xml:space="preserve"> </w:t>
      </w:r>
      <w:r>
        <w:rPr>
          <w:rFonts w:ascii="Arial" w:hAnsi="Arial"/>
          <w:color w:val="5B6761"/>
          <w:w w:val="105"/>
          <w:sz w:val="14"/>
        </w:rPr>
        <w:t>manufacturers/brand</w:t>
      </w:r>
      <w:r>
        <w:rPr>
          <w:rFonts w:ascii="Arial" w:hAnsi="Arial"/>
          <w:color w:val="5B6761"/>
          <w:spacing w:val="-18"/>
          <w:w w:val="105"/>
          <w:sz w:val="14"/>
        </w:rPr>
        <w:t xml:space="preserve"> </w:t>
      </w:r>
      <w:r>
        <w:rPr>
          <w:rFonts w:ascii="Arial" w:hAnsi="Arial"/>
          <w:color w:val="5B6761"/>
          <w:w w:val="105"/>
          <w:sz w:val="14"/>
        </w:rPr>
        <w:t>owners</w:t>
      </w:r>
      <w:r>
        <w:rPr>
          <w:rFonts w:ascii="Arial" w:hAnsi="Arial"/>
          <w:color w:val="5B6761"/>
          <w:spacing w:val="-20"/>
          <w:w w:val="105"/>
          <w:sz w:val="14"/>
        </w:rPr>
        <w:t xml:space="preserve"> </w:t>
      </w:r>
      <w:r>
        <w:rPr>
          <w:rFonts w:ascii="Arial" w:hAnsi="Arial"/>
          <w:color w:val="5B6761"/>
          <w:w w:val="105"/>
          <w:sz w:val="14"/>
        </w:rPr>
        <w:t>would</w:t>
      </w:r>
      <w:r>
        <w:rPr>
          <w:rFonts w:ascii="Arial" w:hAnsi="Arial"/>
          <w:color w:val="5B6761"/>
          <w:spacing w:val="-18"/>
          <w:w w:val="105"/>
          <w:sz w:val="14"/>
        </w:rPr>
        <w:t xml:space="preserve"> </w:t>
      </w:r>
      <w:r>
        <w:rPr>
          <w:rFonts w:ascii="Arial" w:hAnsi="Arial"/>
          <w:color w:val="5B6761"/>
          <w:w w:val="105"/>
          <w:sz w:val="14"/>
        </w:rPr>
        <w:t>need</w:t>
      </w:r>
      <w:r>
        <w:rPr>
          <w:rFonts w:ascii="Arial" w:hAnsi="Arial"/>
          <w:color w:val="5B6761"/>
          <w:spacing w:val="-19"/>
          <w:w w:val="105"/>
          <w:sz w:val="14"/>
        </w:rPr>
        <w:t xml:space="preserve"> </w:t>
      </w:r>
      <w:r>
        <w:rPr>
          <w:rFonts w:ascii="Arial" w:hAnsi="Arial"/>
          <w:color w:val="5B6761"/>
          <w:w w:val="105"/>
          <w:sz w:val="14"/>
        </w:rPr>
        <w:t>to</w:t>
      </w:r>
      <w:r>
        <w:rPr>
          <w:rFonts w:ascii="Arial" w:hAnsi="Arial"/>
          <w:color w:val="5B6761"/>
          <w:spacing w:val="-20"/>
          <w:w w:val="105"/>
          <w:sz w:val="14"/>
        </w:rPr>
        <w:t xml:space="preserve"> </w:t>
      </w:r>
      <w:r>
        <w:rPr>
          <w:rFonts w:ascii="Arial" w:hAnsi="Arial"/>
          <w:color w:val="5B6761"/>
          <w:w w:val="105"/>
          <w:sz w:val="14"/>
        </w:rPr>
        <w:t>be</w:t>
      </w:r>
      <w:r>
        <w:rPr>
          <w:rFonts w:ascii="Arial" w:hAnsi="Arial"/>
          <w:color w:val="5B6761"/>
          <w:spacing w:val="-19"/>
          <w:w w:val="105"/>
          <w:sz w:val="14"/>
        </w:rPr>
        <w:t xml:space="preserve"> </w:t>
      </w:r>
      <w:r>
        <w:rPr>
          <w:rFonts w:ascii="Arial" w:hAnsi="Arial"/>
          <w:color w:val="5B6761"/>
          <w:w w:val="105"/>
          <w:sz w:val="14"/>
        </w:rPr>
        <w:t>aware</w:t>
      </w:r>
      <w:r>
        <w:rPr>
          <w:rFonts w:ascii="Arial" w:hAnsi="Arial"/>
          <w:color w:val="5B6761"/>
          <w:spacing w:val="-20"/>
          <w:w w:val="105"/>
          <w:sz w:val="14"/>
        </w:rPr>
        <w:t xml:space="preserve"> </w:t>
      </w:r>
      <w:r>
        <w:rPr>
          <w:rFonts w:ascii="Arial" w:hAnsi="Arial"/>
          <w:color w:val="5B6761"/>
          <w:w w:val="105"/>
          <w:sz w:val="14"/>
        </w:rPr>
        <w:t>of</w:t>
      </w:r>
      <w:r>
        <w:rPr>
          <w:rFonts w:ascii="Arial" w:hAnsi="Arial"/>
          <w:color w:val="5B6761"/>
          <w:spacing w:val="-20"/>
          <w:w w:val="105"/>
          <w:sz w:val="14"/>
        </w:rPr>
        <w:t xml:space="preserve"> </w:t>
      </w:r>
      <w:r>
        <w:rPr>
          <w:rFonts w:ascii="Arial" w:hAnsi="Arial"/>
          <w:color w:val="5B6761"/>
          <w:w w:val="105"/>
          <w:sz w:val="14"/>
        </w:rPr>
        <w:t>the</w:t>
      </w:r>
      <w:r>
        <w:rPr>
          <w:rFonts w:ascii="Arial" w:hAnsi="Arial"/>
          <w:color w:val="5B6761"/>
          <w:spacing w:val="-20"/>
          <w:w w:val="105"/>
          <w:sz w:val="14"/>
        </w:rPr>
        <w:t xml:space="preserve"> </w:t>
      </w:r>
      <w:r>
        <w:rPr>
          <w:rFonts w:ascii="Arial" w:hAnsi="Arial"/>
          <w:color w:val="5B6761"/>
          <w:w w:val="105"/>
          <w:sz w:val="14"/>
        </w:rPr>
        <w:t>ingredients</w:t>
      </w:r>
      <w:r>
        <w:rPr>
          <w:rFonts w:ascii="Arial" w:hAnsi="Arial"/>
          <w:color w:val="5B6761"/>
          <w:spacing w:val="-19"/>
          <w:w w:val="105"/>
          <w:sz w:val="14"/>
        </w:rPr>
        <w:t xml:space="preserve"> </w:t>
      </w:r>
      <w:r>
        <w:rPr>
          <w:rFonts w:ascii="Arial" w:hAnsi="Arial"/>
          <w:color w:val="5B6761"/>
          <w:w w:val="105"/>
          <w:sz w:val="14"/>
        </w:rPr>
        <w:t>listed</w:t>
      </w:r>
      <w:r>
        <w:rPr>
          <w:rFonts w:ascii="Arial" w:hAnsi="Arial"/>
          <w:color w:val="5B6761"/>
          <w:spacing w:val="-19"/>
          <w:w w:val="105"/>
          <w:sz w:val="14"/>
        </w:rPr>
        <w:t xml:space="preserve"> </w:t>
      </w:r>
      <w:r>
        <w:rPr>
          <w:rFonts w:ascii="Arial" w:hAnsi="Arial"/>
          <w:color w:val="5B6761"/>
          <w:w w:val="105"/>
          <w:sz w:val="14"/>
        </w:rPr>
        <w:t>in</w:t>
      </w:r>
      <w:r>
        <w:rPr>
          <w:rFonts w:ascii="Arial" w:hAnsi="Arial"/>
          <w:color w:val="5B6761"/>
          <w:spacing w:val="-18"/>
          <w:w w:val="105"/>
          <w:sz w:val="14"/>
        </w:rPr>
        <w:t xml:space="preserve"> </w:t>
      </w:r>
      <w:r>
        <w:rPr>
          <w:rFonts w:ascii="Arial" w:hAnsi="Arial"/>
          <w:color w:val="5B6761"/>
          <w:w w:val="105"/>
          <w:sz w:val="14"/>
        </w:rPr>
        <w:t>both</w:t>
      </w:r>
      <w:r>
        <w:rPr>
          <w:rFonts w:ascii="Arial" w:hAnsi="Arial"/>
          <w:color w:val="5B6761"/>
          <w:spacing w:val="-21"/>
          <w:w w:val="105"/>
          <w:sz w:val="14"/>
        </w:rPr>
        <w:t xml:space="preserve"> </w:t>
      </w:r>
      <w:r>
        <w:rPr>
          <w:rFonts w:ascii="Arial" w:hAnsi="Arial"/>
          <w:color w:val="5B6761"/>
          <w:w w:val="105"/>
          <w:sz w:val="14"/>
        </w:rPr>
        <w:t>the</w:t>
      </w:r>
      <w:r>
        <w:rPr>
          <w:rFonts w:ascii="Arial" w:hAnsi="Arial"/>
          <w:color w:val="5B6761"/>
          <w:spacing w:val="-21"/>
          <w:w w:val="105"/>
          <w:sz w:val="14"/>
        </w:rPr>
        <w:t xml:space="preserve"> </w:t>
      </w:r>
      <w:r>
        <w:rPr>
          <w:rFonts w:ascii="Arial" w:hAnsi="Arial"/>
          <w:color w:val="5B6761"/>
          <w:w w:val="105"/>
          <w:sz w:val="14"/>
        </w:rPr>
        <w:t>WADC</w:t>
      </w:r>
      <w:r>
        <w:rPr>
          <w:rFonts w:ascii="Arial" w:hAnsi="Arial"/>
          <w:color w:val="5B6761"/>
          <w:spacing w:val="-17"/>
          <w:w w:val="105"/>
          <w:sz w:val="14"/>
        </w:rPr>
        <w:t xml:space="preserve"> </w:t>
      </w:r>
      <w:r>
        <w:rPr>
          <w:rFonts w:ascii="Arial" w:hAnsi="Arial"/>
          <w:color w:val="5B6761"/>
          <w:w w:val="105"/>
          <w:sz w:val="14"/>
        </w:rPr>
        <w:t>Prohibited List</w:t>
      </w:r>
      <w:r>
        <w:rPr>
          <w:rFonts w:ascii="Arial" w:hAnsi="Arial"/>
          <w:color w:val="5B6761"/>
          <w:spacing w:val="-18"/>
          <w:w w:val="105"/>
          <w:sz w:val="14"/>
        </w:rPr>
        <w:t xml:space="preserve"> </w:t>
      </w:r>
      <w:r>
        <w:rPr>
          <w:rFonts w:ascii="Arial" w:hAnsi="Arial"/>
          <w:color w:val="5B6761"/>
          <w:w w:val="105"/>
          <w:sz w:val="14"/>
        </w:rPr>
        <w:t>as</w:t>
      </w:r>
      <w:r>
        <w:rPr>
          <w:rFonts w:ascii="Arial" w:hAnsi="Arial"/>
          <w:color w:val="5B6761"/>
          <w:spacing w:val="-19"/>
          <w:w w:val="105"/>
          <w:sz w:val="14"/>
        </w:rPr>
        <w:t xml:space="preserve"> </w:t>
      </w:r>
      <w:r>
        <w:rPr>
          <w:rFonts w:ascii="Arial" w:hAnsi="Arial"/>
          <w:color w:val="5B6761"/>
          <w:w w:val="105"/>
          <w:sz w:val="14"/>
        </w:rPr>
        <w:t>well</w:t>
      </w:r>
      <w:r>
        <w:rPr>
          <w:rFonts w:ascii="Arial" w:hAnsi="Arial"/>
          <w:color w:val="5B6761"/>
          <w:spacing w:val="-18"/>
          <w:w w:val="105"/>
          <w:sz w:val="14"/>
        </w:rPr>
        <w:t xml:space="preserve"> </w:t>
      </w:r>
      <w:r>
        <w:rPr>
          <w:rFonts w:ascii="Arial" w:hAnsi="Arial"/>
          <w:color w:val="5B6761"/>
          <w:w w:val="105"/>
          <w:sz w:val="14"/>
        </w:rPr>
        <w:t>as</w:t>
      </w:r>
      <w:r>
        <w:rPr>
          <w:rFonts w:ascii="Arial" w:hAnsi="Arial"/>
          <w:color w:val="5B6761"/>
          <w:spacing w:val="-19"/>
          <w:w w:val="105"/>
          <w:sz w:val="14"/>
        </w:rPr>
        <w:t xml:space="preserve"> </w:t>
      </w:r>
      <w:r>
        <w:rPr>
          <w:rFonts w:ascii="Arial" w:hAnsi="Arial"/>
          <w:color w:val="5B6761"/>
          <w:w w:val="105"/>
          <w:sz w:val="14"/>
        </w:rPr>
        <w:t>the</w:t>
      </w:r>
      <w:r>
        <w:rPr>
          <w:rFonts w:ascii="Arial" w:hAnsi="Arial"/>
          <w:color w:val="5B6761"/>
          <w:spacing w:val="-19"/>
          <w:w w:val="105"/>
          <w:sz w:val="14"/>
        </w:rPr>
        <w:t xml:space="preserve"> </w:t>
      </w:r>
      <w:r>
        <w:rPr>
          <w:rFonts w:ascii="Arial" w:hAnsi="Arial"/>
          <w:color w:val="5B6761"/>
          <w:w w:val="105"/>
          <w:sz w:val="14"/>
        </w:rPr>
        <w:t>Poisons</w:t>
      </w:r>
      <w:r>
        <w:rPr>
          <w:rFonts w:ascii="Arial" w:hAnsi="Arial"/>
          <w:color w:val="5B6761"/>
          <w:spacing w:val="-19"/>
          <w:w w:val="105"/>
          <w:sz w:val="14"/>
        </w:rPr>
        <w:t xml:space="preserve"> </w:t>
      </w:r>
      <w:r>
        <w:rPr>
          <w:rFonts w:ascii="Arial" w:hAnsi="Arial"/>
          <w:color w:val="5B6761"/>
          <w:w w:val="105"/>
          <w:sz w:val="14"/>
        </w:rPr>
        <w:t>Standard.</w:t>
      </w:r>
      <w:r>
        <w:rPr>
          <w:rFonts w:ascii="Arial" w:hAnsi="Arial"/>
          <w:color w:val="5B6761"/>
          <w:spacing w:val="-18"/>
          <w:w w:val="105"/>
          <w:sz w:val="14"/>
        </w:rPr>
        <w:t xml:space="preserve"> </w:t>
      </w:r>
      <w:r>
        <w:rPr>
          <w:rFonts w:ascii="Arial" w:hAnsi="Arial"/>
          <w:color w:val="5B6761"/>
          <w:w w:val="105"/>
          <w:sz w:val="14"/>
        </w:rPr>
        <w:t>However,</w:t>
      </w:r>
      <w:r>
        <w:rPr>
          <w:rFonts w:ascii="Arial" w:hAnsi="Arial"/>
          <w:color w:val="5B6761"/>
          <w:spacing w:val="-19"/>
          <w:w w:val="105"/>
          <w:sz w:val="14"/>
        </w:rPr>
        <w:t xml:space="preserve"> </w:t>
      </w:r>
      <w:r>
        <w:rPr>
          <w:rFonts w:ascii="Arial" w:hAnsi="Arial"/>
          <w:color w:val="5B6761"/>
          <w:w w:val="105"/>
          <w:sz w:val="14"/>
        </w:rPr>
        <w:t>noting</w:t>
      </w:r>
      <w:r>
        <w:rPr>
          <w:rFonts w:ascii="Arial" w:hAnsi="Arial"/>
          <w:color w:val="5B6761"/>
          <w:spacing w:val="-18"/>
          <w:w w:val="105"/>
          <w:sz w:val="14"/>
        </w:rPr>
        <w:t xml:space="preserve"> </w:t>
      </w:r>
      <w:r>
        <w:rPr>
          <w:rFonts w:ascii="Arial" w:hAnsi="Arial"/>
          <w:color w:val="5B6761"/>
          <w:w w:val="105"/>
          <w:sz w:val="14"/>
        </w:rPr>
        <w:t>that</w:t>
      </w:r>
      <w:r>
        <w:rPr>
          <w:rFonts w:ascii="Arial" w:hAnsi="Arial"/>
          <w:color w:val="5B6761"/>
          <w:spacing w:val="-18"/>
          <w:w w:val="105"/>
          <w:sz w:val="14"/>
        </w:rPr>
        <w:t xml:space="preserve"> </w:t>
      </w:r>
      <w:r>
        <w:rPr>
          <w:rFonts w:ascii="Arial" w:hAnsi="Arial"/>
          <w:color w:val="5B6761"/>
          <w:w w:val="105"/>
          <w:sz w:val="14"/>
        </w:rPr>
        <w:t>the</w:t>
      </w:r>
      <w:r>
        <w:rPr>
          <w:rFonts w:ascii="Arial" w:hAnsi="Arial"/>
          <w:color w:val="5B6761"/>
          <w:spacing w:val="-19"/>
          <w:w w:val="105"/>
          <w:sz w:val="14"/>
        </w:rPr>
        <w:t xml:space="preserve"> </w:t>
      </w:r>
      <w:r>
        <w:rPr>
          <w:rFonts w:ascii="Arial" w:hAnsi="Arial"/>
          <w:color w:val="5B6761"/>
          <w:w w:val="105"/>
          <w:sz w:val="14"/>
        </w:rPr>
        <w:t>Poisons</w:t>
      </w:r>
      <w:r>
        <w:rPr>
          <w:rFonts w:ascii="Arial" w:hAnsi="Arial"/>
          <w:color w:val="5B6761"/>
          <w:spacing w:val="-19"/>
          <w:w w:val="105"/>
          <w:sz w:val="14"/>
        </w:rPr>
        <w:t xml:space="preserve"> </w:t>
      </w:r>
      <w:r>
        <w:rPr>
          <w:rFonts w:ascii="Arial" w:hAnsi="Arial"/>
          <w:color w:val="5B6761"/>
          <w:w w:val="105"/>
          <w:sz w:val="14"/>
        </w:rPr>
        <w:t>Standard</w:t>
      </w:r>
      <w:r>
        <w:rPr>
          <w:rFonts w:ascii="Arial" w:hAnsi="Arial"/>
          <w:color w:val="5B6761"/>
          <w:spacing w:val="-17"/>
          <w:w w:val="105"/>
          <w:sz w:val="14"/>
        </w:rPr>
        <w:t xml:space="preserve"> </w:t>
      </w:r>
      <w:r>
        <w:rPr>
          <w:rFonts w:ascii="Arial" w:hAnsi="Arial"/>
          <w:color w:val="5B6761"/>
          <w:w w:val="105"/>
          <w:sz w:val="14"/>
        </w:rPr>
        <w:t>is</w:t>
      </w:r>
      <w:r>
        <w:rPr>
          <w:rFonts w:ascii="Arial" w:hAnsi="Arial"/>
          <w:color w:val="5B6761"/>
          <w:spacing w:val="-19"/>
          <w:w w:val="105"/>
          <w:sz w:val="14"/>
        </w:rPr>
        <w:t xml:space="preserve"> </w:t>
      </w:r>
      <w:r>
        <w:rPr>
          <w:rFonts w:ascii="Arial" w:hAnsi="Arial"/>
          <w:color w:val="5B6761"/>
          <w:w w:val="105"/>
          <w:sz w:val="14"/>
        </w:rPr>
        <w:t>approximately</w:t>
      </w:r>
      <w:r>
        <w:rPr>
          <w:rFonts w:ascii="Arial" w:hAnsi="Arial"/>
          <w:color w:val="5B6761"/>
          <w:spacing w:val="-19"/>
          <w:w w:val="105"/>
          <w:sz w:val="14"/>
        </w:rPr>
        <w:t xml:space="preserve"> </w:t>
      </w:r>
      <w:r>
        <w:rPr>
          <w:rFonts w:ascii="Arial" w:hAnsi="Arial"/>
          <w:color w:val="5B6761"/>
          <w:w w:val="105"/>
          <w:sz w:val="14"/>
        </w:rPr>
        <w:t>700</w:t>
      </w:r>
      <w:r>
        <w:rPr>
          <w:rFonts w:ascii="Arial" w:hAnsi="Arial"/>
          <w:color w:val="5B6761"/>
          <w:spacing w:val="-18"/>
          <w:w w:val="105"/>
          <w:sz w:val="14"/>
        </w:rPr>
        <w:t xml:space="preserve"> </w:t>
      </w:r>
      <w:r>
        <w:rPr>
          <w:rFonts w:ascii="Arial" w:hAnsi="Arial"/>
          <w:color w:val="5B6761"/>
          <w:w w:val="105"/>
          <w:sz w:val="14"/>
        </w:rPr>
        <w:t>pages</w:t>
      </w:r>
      <w:r>
        <w:rPr>
          <w:rFonts w:ascii="Arial" w:hAnsi="Arial"/>
          <w:color w:val="5B6761"/>
          <w:spacing w:val="-19"/>
          <w:w w:val="105"/>
          <w:sz w:val="14"/>
        </w:rPr>
        <w:t xml:space="preserve"> </w:t>
      </w:r>
      <w:r>
        <w:rPr>
          <w:rFonts w:ascii="Arial" w:hAnsi="Arial"/>
          <w:color w:val="5B6761"/>
          <w:w w:val="105"/>
          <w:sz w:val="14"/>
        </w:rPr>
        <w:t>in</w:t>
      </w:r>
      <w:r>
        <w:rPr>
          <w:rFonts w:ascii="Arial" w:hAnsi="Arial"/>
          <w:color w:val="5B6761"/>
          <w:spacing w:val="-18"/>
          <w:w w:val="105"/>
          <w:sz w:val="14"/>
        </w:rPr>
        <w:t xml:space="preserve"> </w:t>
      </w:r>
      <w:r>
        <w:rPr>
          <w:rFonts w:ascii="Arial" w:hAnsi="Arial"/>
          <w:color w:val="5B6761"/>
          <w:w w:val="105"/>
          <w:sz w:val="14"/>
        </w:rPr>
        <w:t>length,</w:t>
      </w:r>
      <w:r>
        <w:rPr>
          <w:rFonts w:ascii="Arial" w:hAnsi="Arial"/>
          <w:color w:val="5B6761"/>
          <w:spacing w:val="-18"/>
          <w:w w:val="105"/>
          <w:sz w:val="14"/>
        </w:rPr>
        <w:t xml:space="preserve"> </w:t>
      </w:r>
      <w:r>
        <w:rPr>
          <w:rFonts w:ascii="Arial" w:hAnsi="Arial"/>
          <w:color w:val="5B6761"/>
          <w:w w:val="105"/>
          <w:sz w:val="14"/>
        </w:rPr>
        <w:t>it</w:t>
      </w:r>
      <w:r>
        <w:rPr>
          <w:rFonts w:ascii="Arial" w:hAnsi="Arial"/>
          <w:color w:val="5B6761"/>
          <w:spacing w:val="-18"/>
          <w:w w:val="105"/>
          <w:sz w:val="14"/>
        </w:rPr>
        <w:t xml:space="preserve"> </w:t>
      </w:r>
      <w:r>
        <w:rPr>
          <w:rFonts w:ascii="Arial" w:hAnsi="Arial"/>
          <w:color w:val="5B6761"/>
          <w:w w:val="105"/>
          <w:sz w:val="14"/>
        </w:rPr>
        <w:t>is</w:t>
      </w:r>
      <w:r>
        <w:rPr>
          <w:rFonts w:ascii="Arial" w:hAnsi="Arial"/>
          <w:color w:val="5B6761"/>
          <w:spacing w:val="-19"/>
          <w:w w:val="105"/>
          <w:sz w:val="14"/>
        </w:rPr>
        <w:t xml:space="preserve"> </w:t>
      </w:r>
      <w:r>
        <w:rPr>
          <w:rFonts w:ascii="Arial" w:hAnsi="Arial"/>
          <w:color w:val="5B6761"/>
          <w:w w:val="105"/>
          <w:sz w:val="14"/>
        </w:rPr>
        <w:t>assumed that</w:t>
      </w:r>
      <w:r>
        <w:rPr>
          <w:rFonts w:ascii="Arial" w:hAnsi="Arial"/>
          <w:color w:val="5B6761"/>
          <w:spacing w:val="-16"/>
          <w:w w:val="105"/>
          <w:sz w:val="14"/>
        </w:rPr>
        <w:t xml:space="preserve"> </w:t>
      </w:r>
      <w:r>
        <w:rPr>
          <w:rFonts w:ascii="Arial" w:hAnsi="Arial"/>
          <w:color w:val="5B6761"/>
          <w:w w:val="105"/>
          <w:sz w:val="14"/>
        </w:rPr>
        <w:t>manufacturers/brand</w:t>
      </w:r>
      <w:r>
        <w:rPr>
          <w:rFonts w:ascii="Arial" w:hAnsi="Arial"/>
          <w:color w:val="5B6761"/>
          <w:spacing w:val="-15"/>
          <w:w w:val="105"/>
          <w:sz w:val="14"/>
        </w:rPr>
        <w:t xml:space="preserve"> </w:t>
      </w:r>
      <w:r>
        <w:rPr>
          <w:rFonts w:ascii="Arial" w:hAnsi="Arial"/>
          <w:color w:val="5B6761"/>
          <w:w w:val="105"/>
          <w:sz w:val="14"/>
        </w:rPr>
        <w:t>owners</w:t>
      </w:r>
      <w:r>
        <w:rPr>
          <w:rFonts w:ascii="Arial" w:hAnsi="Arial"/>
          <w:color w:val="5B6761"/>
          <w:spacing w:val="-17"/>
          <w:w w:val="105"/>
          <w:sz w:val="14"/>
        </w:rPr>
        <w:t xml:space="preserve"> </w:t>
      </w:r>
      <w:r>
        <w:rPr>
          <w:rFonts w:ascii="Arial" w:hAnsi="Arial"/>
          <w:color w:val="5B6761"/>
          <w:w w:val="105"/>
          <w:sz w:val="14"/>
        </w:rPr>
        <w:t>(or</w:t>
      </w:r>
      <w:r>
        <w:rPr>
          <w:rFonts w:ascii="Arial" w:hAnsi="Arial"/>
          <w:color w:val="5B6761"/>
          <w:spacing w:val="-15"/>
          <w:w w:val="105"/>
          <w:sz w:val="14"/>
        </w:rPr>
        <w:t xml:space="preserve"> </w:t>
      </w:r>
      <w:r>
        <w:rPr>
          <w:rFonts w:ascii="Arial" w:hAnsi="Arial"/>
          <w:color w:val="5B6761"/>
          <w:w w:val="105"/>
          <w:sz w:val="14"/>
        </w:rPr>
        <w:t>advising</w:t>
      </w:r>
      <w:r>
        <w:rPr>
          <w:rFonts w:ascii="Arial" w:hAnsi="Arial"/>
          <w:color w:val="5B6761"/>
          <w:spacing w:val="-16"/>
          <w:w w:val="105"/>
          <w:sz w:val="14"/>
        </w:rPr>
        <w:t xml:space="preserve"> </w:t>
      </w:r>
      <w:r>
        <w:rPr>
          <w:rFonts w:ascii="Arial" w:hAnsi="Arial"/>
          <w:color w:val="5B6761"/>
          <w:w w:val="105"/>
          <w:sz w:val="14"/>
        </w:rPr>
        <w:t>regulatory</w:t>
      </w:r>
      <w:r>
        <w:rPr>
          <w:rFonts w:ascii="Arial" w:hAnsi="Arial"/>
          <w:color w:val="5B6761"/>
          <w:spacing w:val="-17"/>
          <w:w w:val="105"/>
          <w:sz w:val="14"/>
        </w:rPr>
        <w:t xml:space="preserve"> </w:t>
      </w:r>
      <w:r>
        <w:rPr>
          <w:rFonts w:ascii="Arial" w:hAnsi="Arial"/>
          <w:color w:val="5B6761"/>
          <w:w w:val="105"/>
          <w:sz w:val="14"/>
        </w:rPr>
        <w:t>consultants)</w:t>
      </w:r>
      <w:r>
        <w:rPr>
          <w:rFonts w:ascii="Arial" w:hAnsi="Arial"/>
          <w:color w:val="5B6761"/>
          <w:spacing w:val="-16"/>
          <w:w w:val="105"/>
          <w:sz w:val="14"/>
        </w:rPr>
        <w:t xml:space="preserve"> </w:t>
      </w:r>
      <w:r>
        <w:rPr>
          <w:rFonts w:ascii="Arial" w:hAnsi="Arial"/>
          <w:color w:val="5B6761"/>
          <w:w w:val="105"/>
          <w:sz w:val="14"/>
        </w:rPr>
        <w:t>will</w:t>
      </w:r>
      <w:r>
        <w:rPr>
          <w:rFonts w:ascii="Arial" w:hAnsi="Arial"/>
          <w:color w:val="5B6761"/>
          <w:spacing w:val="-17"/>
          <w:w w:val="105"/>
          <w:sz w:val="14"/>
        </w:rPr>
        <w:t xml:space="preserve"> </w:t>
      </w:r>
      <w:r>
        <w:rPr>
          <w:rFonts w:ascii="Arial" w:hAnsi="Arial"/>
          <w:color w:val="5B6761"/>
          <w:w w:val="105"/>
          <w:sz w:val="14"/>
        </w:rPr>
        <w:t>be</w:t>
      </w:r>
      <w:r>
        <w:rPr>
          <w:rFonts w:ascii="Arial" w:hAnsi="Arial"/>
          <w:color w:val="5B6761"/>
          <w:spacing w:val="-18"/>
          <w:w w:val="105"/>
          <w:sz w:val="14"/>
        </w:rPr>
        <w:t xml:space="preserve"> </w:t>
      </w:r>
      <w:r>
        <w:rPr>
          <w:rFonts w:ascii="Arial" w:hAnsi="Arial"/>
          <w:color w:val="5B6761"/>
          <w:w w:val="105"/>
          <w:sz w:val="14"/>
        </w:rPr>
        <w:t>using</w:t>
      </w:r>
      <w:r>
        <w:rPr>
          <w:rFonts w:ascii="Arial" w:hAnsi="Arial"/>
          <w:color w:val="5B6761"/>
          <w:spacing w:val="-16"/>
          <w:w w:val="105"/>
          <w:sz w:val="14"/>
        </w:rPr>
        <w:t xml:space="preserve"> </w:t>
      </w:r>
      <w:r>
        <w:rPr>
          <w:rFonts w:ascii="Arial" w:hAnsi="Arial"/>
          <w:color w:val="5B6761"/>
          <w:w w:val="105"/>
          <w:sz w:val="14"/>
        </w:rPr>
        <w:t>key</w:t>
      </w:r>
      <w:r>
        <w:rPr>
          <w:rFonts w:ascii="Arial" w:hAnsi="Arial"/>
          <w:color w:val="5B6761"/>
          <w:spacing w:val="-16"/>
          <w:w w:val="105"/>
          <w:sz w:val="14"/>
        </w:rPr>
        <w:t xml:space="preserve"> </w:t>
      </w:r>
      <w:r>
        <w:rPr>
          <w:rFonts w:ascii="Arial" w:hAnsi="Arial"/>
          <w:color w:val="5B6761"/>
          <w:w w:val="105"/>
          <w:sz w:val="14"/>
        </w:rPr>
        <w:t>word</w:t>
      </w:r>
      <w:r>
        <w:rPr>
          <w:rFonts w:ascii="Arial" w:hAnsi="Arial"/>
          <w:color w:val="5B6761"/>
          <w:spacing w:val="-9"/>
          <w:w w:val="105"/>
          <w:sz w:val="14"/>
        </w:rPr>
        <w:t xml:space="preserve"> </w:t>
      </w:r>
      <w:r>
        <w:rPr>
          <w:rFonts w:ascii="Arial" w:hAnsi="Arial"/>
          <w:color w:val="5B6761"/>
          <w:w w:val="105"/>
          <w:sz w:val="14"/>
        </w:rPr>
        <w:t>searches</w:t>
      </w:r>
      <w:r>
        <w:rPr>
          <w:rFonts w:ascii="Arial" w:hAnsi="Arial"/>
          <w:color w:val="5B6761"/>
          <w:spacing w:val="-16"/>
          <w:w w:val="105"/>
          <w:sz w:val="14"/>
        </w:rPr>
        <w:t xml:space="preserve"> </w:t>
      </w:r>
      <w:r>
        <w:rPr>
          <w:rFonts w:ascii="Arial" w:hAnsi="Arial"/>
          <w:color w:val="5B6761"/>
          <w:w w:val="105"/>
          <w:sz w:val="14"/>
        </w:rPr>
        <w:t>for</w:t>
      </w:r>
      <w:r>
        <w:rPr>
          <w:rFonts w:ascii="Arial" w:hAnsi="Arial"/>
          <w:color w:val="5B6761"/>
          <w:spacing w:val="-15"/>
          <w:w w:val="105"/>
          <w:sz w:val="14"/>
        </w:rPr>
        <w:t xml:space="preserve"> </w:t>
      </w:r>
      <w:r>
        <w:rPr>
          <w:rFonts w:ascii="Arial" w:hAnsi="Arial"/>
          <w:color w:val="5B6761"/>
          <w:w w:val="105"/>
          <w:sz w:val="14"/>
        </w:rPr>
        <w:t>both</w:t>
      </w:r>
      <w:r>
        <w:rPr>
          <w:rFonts w:ascii="Arial" w:hAnsi="Arial"/>
          <w:color w:val="5B6761"/>
          <w:spacing w:val="-16"/>
          <w:w w:val="105"/>
          <w:sz w:val="14"/>
        </w:rPr>
        <w:t xml:space="preserve"> </w:t>
      </w:r>
      <w:r>
        <w:rPr>
          <w:rFonts w:ascii="Arial" w:hAnsi="Arial"/>
          <w:color w:val="5B6761"/>
          <w:w w:val="105"/>
          <w:sz w:val="14"/>
        </w:rPr>
        <w:t>documents</w:t>
      </w:r>
      <w:r>
        <w:rPr>
          <w:rFonts w:ascii="Arial" w:hAnsi="Arial"/>
          <w:color w:val="5B6761"/>
          <w:spacing w:val="-16"/>
          <w:w w:val="105"/>
          <w:sz w:val="14"/>
        </w:rPr>
        <w:t xml:space="preserve"> </w:t>
      </w:r>
      <w:r>
        <w:rPr>
          <w:rFonts w:ascii="Arial" w:hAnsi="Arial"/>
          <w:color w:val="5B6761"/>
          <w:w w:val="105"/>
          <w:sz w:val="14"/>
        </w:rPr>
        <w:t>to</w:t>
      </w:r>
      <w:r>
        <w:rPr>
          <w:rFonts w:ascii="Arial" w:hAnsi="Arial"/>
          <w:color w:val="5B6761"/>
          <w:spacing w:val="-17"/>
          <w:w w:val="105"/>
          <w:sz w:val="14"/>
        </w:rPr>
        <w:t xml:space="preserve"> </w:t>
      </w:r>
      <w:r>
        <w:rPr>
          <w:rFonts w:ascii="Arial" w:hAnsi="Arial"/>
          <w:color w:val="5B6761"/>
          <w:w w:val="105"/>
          <w:sz w:val="14"/>
        </w:rPr>
        <w:t>check their</w:t>
      </w:r>
      <w:r>
        <w:rPr>
          <w:rFonts w:ascii="Arial" w:hAnsi="Arial"/>
          <w:color w:val="5B6761"/>
          <w:spacing w:val="-17"/>
          <w:w w:val="105"/>
          <w:sz w:val="14"/>
        </w:rPr>
        <w:t xml:space="preserve"> </w:t>
      </w:r>
      <w:r>
        <w:rPr>
          <w:rFonts w:ascii="Arial" w:hAnsi="Arial"/>
          <w:color w:val="5B6761"/>
          <w:w w:val="105"/>
          <w:sz w:val="14"/>
        </w:rPr>
        <w:t>ingredients</w:t>
      </w:r>
      <w:r>
        <w:rPr>
          <w:rFonts w:ascii="Arial" w:hAnsi="Arial"/>
          <w:color w:val="5B6761"/>
          <w:spacing w:val="-18"/>
          <w:w w:val="105"/>
          <w:sz w:val="14"/>
        </w:rPr>
        <w:t xml:space="preserve"> </w:t>
      </w:r>
      <w:r>
        <w:rPr>
          <w:rFonts w:ascii="Arial" w:hAnsi="Arial"/>
          <w:color w:val="5B6761"/>
          <w:w w:val="105"/>
          <w:sz w:val="14"/>
        </w:rPr>
        <w:t>name</w:t>
      </w:r>
      <w:r>
        <w:rPr>
          <w:rFonts w:ascii="Arial" w:hAnsi="Arial"/>
          <w:color w:val="5B6761"/>
          <w:spacing w:val="-18"/>
          <w:w w:val="105"/>
          <w:sz w:val="14"/>
        </w:rPr>
        <w:t xml:space="preserve"> </w:t>
      </w:r>
      <w:r>
        <w:rPr>
          <w:rFonts w:ascii="Arial" w:hAnsi="Arial"/>
          <w:color w:val="5B6761"/>
          <w:w w:val="105"/>
          <w:sz w:val="14"/>
        </w:rPr>
        <w:t>(as</w:t>
      </w:r>
      <w:r>
        <w:rPr>
          <w:rFonts w:ascii="Arial" w:hAnsi="Arial"/>
          <w:color w:val="5B6761"/>
          <w:spacing w:val="-18"/>
          <w:w w:val="105"/>
          <w:sz w:val="14"/>
        </w:rPr>
        <w:t xml:space="preserve"> </w:t>
      </w:r>
      <w:r>
        <w:rPr>
          <w:rFonts w:ascii="Arial" w:hAnsi="Arial"/>
          <w:color w:val="5B6761"/>
          <w:w w:val="105"/>
          <w:sz w:val="14"/>
        </w:rPr>
        <w:t>well</w:t>
      </w:r>
      <w:r>
        <w:rPr>
          <w:rFonts w:ascii="Arial" w:hAnsi="Arial"/>
          <w:color w:val="5B6761"/>
          <w:spacing w:val="-17"/>
          <w:w w:val="105"/>
          <w:sz w:val="14"/>
        </w:rPr>
        <w:t xml:space="preserve"> </w:t>
      </w:r>
      <w:r>
        <w:rPr>
          <w:rFonts w:ascii="Arial" w:hAnsi="Arial"/>
          <w:color w:val="5B6761"/>
          <w:w w:val="105"/>
          <w:sz w:val="14"/>
        </w:rPr>
        <w:t>as</w:t>
      </w:r>
      <w:r>
        <w:rPr>
          <w:rFonts w:ascii="Arial" w:hAnsi="Arial"/>
          <w:color w:val="5B6761"/>
          <w:spacing w:val="-18"/>
          <w:w w:val="105"/>
          <w:sz w:val="14"/>
        </w:rPr>
        <w:t xml:space="preserve"> </w:t>
      </w:r>
      <w:r>
        <w:rPr>
          <w:rFonts w:ascii="Arial" w:hAnsi="Arial"/>
          <w:color w:val="5B6761"/>
          <w:w w:val="105"/>
          <w:sz w:val="14"/>
        </w:rPr>
        <w:t>any</w:t>
      </w:r>
      <w:r>
        <w:rPr>
          <w:rFonts w:ascii="Arial" w:hAnsi="Arial"/>
          <w:color w:val="5B6761"/>
          <w:spacing w:val="-17"/>
          <w:w w:val="105"/>
          <w:sz w:val="14"/>
        </w:rPr>
        <w:t xml:space="preserve"> </w:t>
      </w:r>
      <w:r>
        <w:rPr>
          <w:rFonts w:ascii="Arial" w:hAnsi="Arial"/>
          <w:color w:val="5B6761"/>
          <w:w w:val="105"/>
          <w:sz w:val="14"/>
        </w:rPr>
        <w:t>synonyms).</w:t>
      </w:r>
      <w:r>
        <w:rPr>
          <w:rFonts w:ascii="Arial" w:hAnsi="Arial"/>
          <w:color w:val="5B6761"/>
          <w:spacing w:val="-18"/>
          <w:w w:val="105"/>
          <w:sz w:val="14"/>
        </w:rPr>
        <w:t xml:space="preserve"> </w:t>
      </w:r>
      <w:r>
        <w:rPr>
          <w:rFonts w:ascii="Arial" w:hAnsi="Arial"/>
          <w:color w:val="5B6761"/>
          <w:w w:val="105"/>
          <w:sz w:val="14"/>
        </w:rPr>
        <w:t>As</w:t>
      </w:r>
      <w:r>
        <w:rPr>
          <w:rFonts w:ascii="Arial" w:hAnsi="Arial"/>
          <w:color w:val="5B6761"/>
          <w:spacing w:val="-17"/>
          <w:w w:val="105"/>
          <w:sz w:val="14"/>
        </w:rPr>
        <w:t xml:space="preserve"> </w:t>
      </w:r>
      <w:r>
        <w:rPr>
          <w:rFonts w:ascii="Arial" w:hAnsi="Arial"/>
          <w:color w:val="5B6761"/>
          <w:w w:val="105"/>
          <w:sz w:val="14"/>
        </w:rPr>
        <w:t>detailed</w:t>
      </w:r>
      <w:r>
        <w:rPr>
          <w:rFonts w:ascii="Arial" w:hAnsi="Arial"/>
          <w:color w:val="5B6761"/>
          <w:spacing w:val="-17"/>
          <w:w w:val="105"/>
          <w:sz w:val="14"/>
        </w:rPr>
        <w:t xml:space="preserve"> </w:t>
      </w:r>
      <w:r>
        <w:rPr>
          <w:rFonts w:ascii="Arial" w:hAnsi="Arial"/>
          <w:color w:val="5B6761"/>
          <w:w w:val="105"/>
          <w:sz w:val="14"/>
        </w:rPr>
        <w:t>in</w:t>
      </w:r>
      <w:r>
        <w:rPr>
          <w:rFonts w:ascii="Arial" w:hAnsi="Arial"/>
          <w:color w:val="5B6761"/>
          <w:spacing w:val="-17"/>
          <w:w w:val="105"/>
          <w:sz w:val="14"/>
        </w:rPr>
        <w:t xml:space="preserve"> </w:t>
      </w:r>
      <w:r>
        <w:rPr>
          <w:rFonts w:ascii="Arial" w:hAnsi="Arial"/>
          <w:color w:val="5B6761"/>
          <w:w w:val="105"/>
          <w:sz w:val="14"/>
        </w:rPr>
        <w:t>the</w:t>
      </w:r>
      <w:r>
        <w:rPr>
          <w:rFonts w:ascii="Arial" w:hAnsi="Arial"/>
          <w:color w:val="5B6761"/>
          <w:spacing w:val="-12"/>
          <w:w w:val="105"/>
          <w:sz w:val="14"/>
        </w:rPr>
        <w:t xml:space="preserve"> </w:t>
      </w:r>
      <w:r>
        <w:rPr>
          <w:rFonts w:ascii="Arial" w:hAnsi="Arial"/>
          <w:color w:val="5B6761"/>
          <w:w w:val="105"/>
          <w:sz w:val="14"/>
        </w:rPr>
        <w:t>RIS</w:t>
      </w:r>
      <w:r>
        <w:rPr>
          <w:rFonts w:ascii="Arial" w:hAnsi="Arial"/>
          <w:color w:val="5B6761"/>
          <w:spacing w:val="-19"/>
          <w:w w:val="105"/>
          <w:sz w:val="14"/>
        </w:rPr>
        <w:t xml:space="preserve"> </w:t>
      </w:r>
      <w:r>
        <w:rPr>
          <w:rFonts w:ascii="Arial" w:hAnsi="Arial"/>
          <w:color w:val="5B6761"/>
          <w:w w:val="105"/>
          <w:sz w:val="14"/>
        </w:rPr>
        <w:t>proper,</w:t>
      </w:r>
      <w:r>
        <w:rPr>
          <w:rFonts w:ascii="Arial" w:hAnsi="Arial"/>
          <w:color w:val="5B6761"/>
          <w:spacing w:val="-18"/>
          <w:w w:val="105"/>
          <w:sz w:val="14"/>
        </w:rPr>
        <w:t xml:space="preserve"> </w:t>
      </w:r>
      <w:r>
        <w:rPr>
          <w:rFonts w:ascii="Arial" w:hAnsi="Arial"/>
          <w:color w:val="5B6761"/>
          <w:w w:val="105"/>
          <w:sz w:val="14"/>
        </w:rPr>
        <w:t>the</w:t>
      </w:r>
      <w:r>
        <w:rPr>
          <w:rFonts w:ascii="Arial" w:hAnsi="Arial"/>
          <w:color w:val="5B6761"/>
          <w:spacing w:val="-18"/>
          <w:w w:val="105"/>
          <w:sz w:val="14"/>
        </w:rPr>
        <w:t xml:space="preserve"> </w:t>
      </w:r>
      <w:r>
        <w:rPr>
          <w:rFonts w:ascii="Arial" w:hAnsi="Arial"/>
          <w:color w:val="5B6761"/>
          <w:w w:val="105"/>
          <w:sz w:val="14"/>
        </w:rPr>
        <w:t>key</w:t>
      </w:r>
      <w:r>
        <w:rPr>
          <w:rFonts w:ascii="Arial" w:hAnsi="Arial"/>
          <w:color w:val="5B6761"/>
          <w:spacing w:val="-18"/>
          <w:w w:val="105"/>
          <w:sz w:val="14"/>
        </w:rPr>
        <w:t xml:space="preserve"> </w:t>
      </w:r>
      <w:r>
        <w:rPr>
          <w:rFonts w:ascii="Arial" w:hAnsi="Arial"/>
          <w:color w:val="5B6761"/>
          <w:w w:val="105"/>
          <w:sz w:val="14"/>
        </w:rPr>
        <w:t>determinant</w:t>
      </w:r>
      <w:r>
        <w:rPr>
          <w:rFonts w:ascii="Arial" w:hAnsi="Arial"/>
          <w:color w:val="5B6761"/>
          <w:spacing w:val="-18"/>
          <w:w w:val="105"/>
          <w:sz w:val="14"/>
        </w:rPr>
        <w:t xml:space="preserve"> </w:t>
      </w:r>
      <w:r>
        <w:rPr>
          <w:rFonts w:ascii="Arial" w:hAnsi="Arial"/>
          <w:color w:val="5B6761"/>
          <w:w w:val="105"/>
          <w:sz w:val="14"/>
        </w:rPr>
        <w:t>for</w:t>
      </w:r>
      <w:r>
        <w:rPr>
          <w:rFonts w:ascii="Arial" w:hAnsi="Arial"/>
          <w:color w:val="5B6761"/>
          <w:spacing w:val="-17"/>
          <w:w w:val="105"/>
          <w:sz w:val="14"/>
        </w:rPr>
        <w:t xml:space="preserve"> </w:t>
      </w:r>
      <w:r>
        <w:rPr>
          <w:rFonts w:ascii="Arial" w:hAnsi="Arial"/>
          <w:color w:val="5B6761"/>
          <w:w w:val="105"/>
          <w:sz w:val="14"/>
        </w:rPr>
        <w:t>the</w:t>
      </w:r>
      <w:r>
        <w:rPr>
          <w:rFonts w:ascii="Arial" w:hAnsi="Arial"/>
          <w:color w:val="5B6761"/>
          <w:spacing w:val="-18"/>
          <w:w w:val="105"/>
          <w:sz w:val="14"/>
        </w:rPr>
        <w:t xml:space="preserve"> </w:t>
      </w:r>
      <w:r>
        <w:rPr>
          <w:rFonts w:ascii="Arial" w:hAnsi="Arial"/>
          <w:color w:val="5B6761"/>
          <w:w w:val="105"/>
          <w:sz w:val="14"/>
        </w:rPr>
        <w:t>inclusion</w:t>
      </w:r>
      <w:r>
        <w:rPr>
          <w:rFonts w:ascii="Arial" w:hAnsi="Arial"/>
          <w:color w:val="5B6761"/>
          <w:spacing w:val="-17"/>
          <w:w w:val="105"/>
          <w:sz w:val="14"/>
        </w:rPr>
        <w:t xml:space="preserve"> </w:t>
      </w:r>
      <w:r>
        <w:rPr>
          <w:rFonts w:ascii="Arial" w:hAnsi="Arial"/>
          <w:color w:val="5B6761"/>
          <w:spacing w:val="2"/>
          <w:w w:val="105"/>
          <w:sz w:val="14"/>
        </w:rPr>
        <w:t>of</w:t>
      </w:r>
      <w:r>
        <w:rPr>
          <w:rFonts w:ascii="Arial" w:hAnsi="Arial"/>
          <w:color w:val="5B6761"/>
          <w:spacing w:val="-19"/>
          <w:w w:val="105"/>
          <w:sz w:val="14"/>
        </w:rPr>
        <w:t xml:space="preserve"> </w:t>
      </w:r>
      <w:r>
        <w:rPr>
          <w:rFonts w:ascii="Arial" w:hAnsi="Arial"/>
          <w:color w:val="5B6761"/>
          <w:w w:val="105"/>
          <w:sz w:val="14"/>
        </w:rPr>
        <w:t>Option</w:t>
      </w:r>
      <w:r>
        <w:rPr>
          <w:rFonts w:ascii="Arial" w:hAnsi="Arial"/>
          <w:color w:val="5B6761"/>
          <w:spacing w:val="-16"/>
          <w:w w:val="105"/>
          <w:sz w:val="14"/>
        </w:rPr>
        <w:t xml:space="preserve"> </w:t>
      </w:r>
      <w:r>
        <w:rPr>
          <w:rFonts w:ascii="Arial" w:hAnsi="Arial"/>
          <w:color w:val="5B6761"/>
          <w:w w:val="105"/>
          <w:sz w:val="14"/>
        </w:rPr>
        <w:t>3</w:t>
      </w:r>
      <w:r>
        <w:rPr>
          <w:rFonts w:ascii="Arial" w:hAnsi="Arial"/>
          <w:color w:val="5B6761"/>
          <w:spacing w:val="-18"/>
          <w:w w:val="105"/>
          <w:sz w:val="14"/>
        </w:rPr>
        <w:t xml:space="preserve"> </w:t>
      </w:r>
      <w:r>
        <w:rPr>
          <w:rFonts w:ascii="Arial" w:hAnsi="Arial"/>
          <w:color w:val="5B6761"/>
          <w:w w:val="105"/>
          <w:sz w:val="14"/>
        </w:rPr>
        <w:t>was not</w:t>
      </w:r>
      <w:r>
        <w:rPr>
          <w:rFonts w:ascii="Arial" w:hAnsi="Arial"/>
          <w:color w:val="5B6761"/>
          <w:spacing w:val="-16"/>
          <w:w w:val="105"/>
          <w:sz w:val="14"/>
        </w:rPr>
        <w:t xml:space="preserve"> </w:t>
      </w:r>
      <w:r>
        <w:rPr>
          <w:rFonts w:ascii="Arial" w:hAnsi="Arial"/>
          <w:color w:val="5B6761"/>
          <w:w w:val="105"/>
          <w:sz w:val="14"/>
        </w:rPr>
        <w:t>related</w:t>
      </w:r>
      <w:r>
        <w:rPr>
          <w:rFonts w:ascii="Arial" w:hAnsi="Arial"/>
          <w:color w:val="5B6761"/>
          <w:spacing w:val="-15"/>
          <w:w w:val="105"/>
          <w:sz w:val="14"/>
        </w:rPr>
        <w:t xml:space="preserve"> </w:t>
      </w:r>
      <w:r>
        <w:rPr>
          <w:rFonts w:ascii="Arial" w:hAnsi="Arial"/>
          <w:color w:val="5B6761"/>
          <w:w w:val="105"/>
          <w:sz w:val="14"/>
        </w:rPr>
        <w:t>to</w:t>
      </w:r>
      <w:r>
        <w:rPr>
          <w:rFonts w:ascii="Arial" w:hAnsi="Arial"/>
          <w:color w:val="5B6761"/>
          <w:spacing w:val="-16"/>
          <w:w w:val="105"/>
          <w:sz w:val="14"/>
        </w:rPr>
        <w:t xml:space="preserve"> </w:t>
      </w:r>
      <w:r>
        <w:rPr>
          <w:rFonts w:ascii="Arial" w:hAnsi="Arial"/>
          <w:color w:val="5B6761"/>
          <w:w w:val="105"/>
          <w:sz w:val="14"/>
        </w:rPr>
        <w:t>a</w:t>
      </w:r>
      <w:r>
        <w:rPr>
          <w:rFonts w:ascii="Arial" w:hAnsi="Arial"/>
          <w:color w:val="5B6761"/>
          <w:spacing w:val="-15"/>
          <w:w w:val="105"/>
          <w:sz w:val="14"/>
        </w:rPr>
        <w:t xml:space="preserve"> </w:t>
      </w:r>
      <w:r>
        <w:rPr>
          <w:rFonts w:ascii="Arial" w:hAnsi="Arial"/>
          <w:color w:val="5B6761"/>
          <w:w w:val="105"/>
          <w:sz w:val="14"/>
        </w:rPr>
        <w:t>change</w:t>
      </w:r>
      <w:r>
        <w:rPr>
          <w:rFonts w:ascii="Arial" w:hAnsi="Arial"/>
          <w:color w:val="5B6761"/>
          <w:spacing w:val="-19"/>
          <w:w w:val="105"/>
          <w:sz w:val="14"/>
        </w:rPr>
        <w:t xml:space="preserve"> </w:t>
      </w:r>
      <w:r>
        <w:rPr>
          <w:rFonts w:ascii="Arial" w:hAnsi="Arial"/>
          <w:color w:val="5B6761"/>
          <w:w w:val="105"/>
          <w:sz w:val="14"/>
        </w:rPr>
        <w:t>in</w:t>
      </w:r>
      <w:r>
        <w:rPr>
          <w:rFonts w:ascii="Arial" w:hAnsi="Arial"/>
          <w:color w:val="5B6761"/>
          <w:spacing w:val="-15"/>
          <w:w w:val="105"/>
          <w:sz w:val="14"/>
        </w:rPr>
        <w:t xml:space="preserve"> </w:t>
      </w:r>
      <w:r>
        <w:rPr>
          <w:rFonts w:ascii="Arial" w:hAnsi="Arial"/>
          <w:color w:val="5B6761"/>
          <w:w w:val="105"/>
          <w:sz w:val="14"/>
        </w:rPr>
        <w:t>the</w:t>
      </w:r>
      <w:r>
        <w:rPr>
          <w:rFonts w:ascii="Arial" w:hAnsi="Arial"/>
          <w:color w:val="5B6761"/>
          <w:spacing w:val="-18"/>
          <w:w w:val="105"/>
          <w:sz w:val="14"/>
        </w:rPr>
        <w:t xml:space="preserve"> </w:t>
      </w:r>
      <w:r>
        <w:rPr>
          <w:rFonts w:ascii="Arial" w:hAnsi="Arial"/>
          <w:color w:val="5B6761"/>
          <w:w w:val="105"/>
          <w:sz w:val="14"/>
        </w:rPr>
        <w:t>regulatory</w:t>
      </w:r>
      <w:r>
        <w:rPr>
          <w:rFonts w:ascii="Arial" w:hAnsi="Arial"/>
          <w:color w:val="5B6761"/>
          <w:spacing w:val="-16"/>
          <w:w w:val="105"/>
          <w:sz w:val="14"/>
        </w:rPr>
        <w:t xml:space="preserve"> </w:t>
      </w:r>
      <w:r>
        <w:rPr>
          <w:rFonts w:ascii="Arial" w:hAnsi="Arial"/>
          <w:color w:val="5B6761"/>
          <w:w w:val="105"/>
          <w:sz w:val="14"/>
        </w:rPr>
        <w:t>burden</w:t>
      </w:r>
      <w:r>
        <w:rPr>
          <w:rFonts w:ascii="Arial" w:hAnsi="Arial"/>
          <w:color w:val="5B6761"/>
          <w:spacing w:val="-17"/>
          <w:w w:val="105"/>
          <w:sz w:val="14"/>
        </w:rPr>
        <w:t xml:space="preserve"> </w:t>
      </w:r>
      <w:r>
        <w:rPr>
          <w:rFonts w:ascii="Arial" w:hAnsi="Arial"/>
          <w:color w:val="5B6761"/>
          <w:w w:val="105"/>
          <w:sz w:val="14"/>
        </w:rPr>
        <w:t>but</w:t>
      </w:r>
      <w:r>
        <w:rPr>
          <w:rFonts w:ascii="Arial" w:hAnsi="Arial"/>
          <w:color w:val="5B6761"/>
          <w:spacing w:val="-15"/>
          <w:w w:val="105"/>
          <w:sz w:val="14"/>
        </w:rPr>
        <w:t xml:space="preserve"> </w:t>
      </w:r>
      <w:r>
        <w:rPr>
          <w:rFonts w:ascii="Arial" w:hAnsi="Arial"/>
          <w:color w:val="5B6761"/>
          <w:w w:val="105"/>
          <w:sz w:val="14"/>
        </w:rPr>
        <w:t>rather</w:t>
      </w:r>
      <w:r>
        <w:rPr>
          <w:rFonts w:ascii="Arial" w:hAnsi="Arial"/>
          <w:color w:val="5B6761"/>
          <w:spacing w:val="-17"/>
          <w:w w:val="105"/>
          <w:sz w:val="14"/>
        </w:rPr>
        <w:t xml:space="preserve"> </w:t>
      </w:r>
      <w:r>
        <w:rPr>
          <w:rFonts w:ascii="Arial" w:hAnsi="Arial"/>
          <w:color w:val="5B6761"/>
          <w:w w:val="105"/>
          <w:sz w:val="14"/>
        </w:rPr>
        <w:t>in</w:t>
      </w:r>
      <w:r>
        <w:rPr>
          <w:rFonts w:ascii="Arial" w:hAnsi="Arial"/>
          <w:color w:val="5B6761"/>
          <w:spacing w:val="-15"/>
          <w:w w:val="105"/>
          <w:sz w:val="14"/>
        </w:rPr>
        <w:t xml:space="preserve"> </w:t>
      </w:r>
      <w:r>
        <w:rPr>
          <w:rFonts w:ascii="Arial" w:hAnsi="Arial"/>
          <w:color w:val="5B6761"/>
          <w:w w:val="105"/>
          <w:sz w:val="14"/>
        </w:rPr>
        <w:t>response</w:t>
      </w:r>
      <w:r>
        <w:rPr>
          <w:rFonts w:ascii="Arial" w:hAnsi="Arial"/>
          <w:color w:val="5B6761"/>
          <w:spacing w:val="-17"/>
          <w:w w:val="105"/>
          <w:sz w:val="14"/>
        </w:rPr>
        <w:t xml:space="preserve"> </w:t>
      </w:r>
      <w:r>
        <w:rPr>
          <w:rFonts w:ascii="Arial" w:hAnsi="Arial"/>
          <w:color w:val="5B6761"/>
          <w:w w:val="105"/>
          <w:sz w:val="14"/>
        </w:rPr>
        <w:t>to</w:t>
      </w:r>
      <w:r>
        <w:rPr>
          <w:rFonts w:ascii="Arial" w:hAnsi="Arial"/>
          <w:color w:val="5B6761"/>
          <w:spacing w:val="-16"/>
          <w:w w:val="105"/>
          <w:sz w:val="14"/>
        </w:rPr>
        <w:t xml:space="preserve"> </w:t>
      </w:r>
      <w:r>
        <w:rPr>
          <w:rFonts w:ascii="Arial" w:hAnsi="Arial"/>
          <w:color w:val="5B6761"/>
          <w:w w:val="105"/>
          <w:sz w:val="14"/>
        </w:rPr>
        <w:t>stakeholder</w:t>
      </w:r>
      <w:r>
        <w:rPr>
          <w:rFonts w:ascii="Arial" w:hAnsi="Arial"/>
          <w:color w:val="5B6761"/>
          <w:spacing w:val="-15"/>
          <w:w w:val="105"/>
          <w:sz w:val="14"/>
        </w:rPr>
        <w:t xml:space="preserve"> </w:t>
      </w:r>
      <w:r>
        <w:rPr>
          <w:rFonts w:ascii="Arial" w:hAnsi="Arial"/>
          <w:color w:val="5B6761"/>
          <w:w w:val="105"/>
          <w:sz w:val="14"/>
        </w:rPr>
        <w:t>concerns</w:t>
      </w:r>
      <w:r>
        <w:rPr>
          <w:rFonts w:ascii="Arial" w:hAnsi="Arial"/>
          <w:color w:val="5B6761"/>
          <w:spacing w:val="-16"/>
          <w:w w:val="105"/>
          <w:sz w:val="14"/>
        </w:rPr>
        <w:t xml:space="preserve"> </w:t>
      </w:r>
      <w:r>
        <w:rPr>
          <w:rFonts w:ascii="Arial" w:hAnsi="Arial"/>
          <w:color w:val="5B6761"/>
          <w:w w:val="105"/>
          <w:sz w:val="14"/>
        </w:rPr>
        <w:t>about</w:t>
      </w:r>
      <w:r>
        <w:rPr>
          <w:rFonts w:ascii="Arial" w:hAnsi="Arial"/>
          <w:color w:val="5B6761"/>
          <w:spacing w:val="-15"/>
          <w:w w:val="105"/>
          <w:sz w:val="14"/>
        </w:rPr>
        <w:t xml:space="preserve"> </w:t>
      </w:r>
      <w:r>
        <w:rPr>
          <w:rFonts w:ascii="Arial" w:hAnsi="Arial"/>
          <w:color w:val="5B6761"/>
          <w:w w:val="105"/>
          <w:sz w:val="14"/>
        </w:rPr>
        <w:t>the</w:t>
      </w:r>
      <w:r>
        <w:rPr>
          <w:rFonts w:ascii="Arial" w:hAnsi="Arial"/>
          <w:color w:val="5B6761"/>
          <w:spacing w:val="-17"/>
          <w:w w:val="105"/>
          <w:sz w:val="14"/>
        </w:rPr>
        <w:t xml:space="preserve"> </w:t>
      </w:r>
      <w:r>
        <w:rPr>
          <w:rFonts w:ascii="Arial" w:hAnsi="Arial"/>
          <w:color w:val="5B6761"/>
          <w:w w:val="105"/>
          <w:sz w:val="14"/>
        </w:rPr>
        <w:t>incorporation</w:t>
      </w:r>
      <w:r>
        <w:rPr>
          <w:rFonts w:ascii="Arial" w:hAnsi="Arial"/>
          <w:color w:val="5B6761"/>
          <w:spacing w:val="-15"/>
          <w:w w:val="105"/>
          <w:sz w:val="14"/>
        </w:rPr>
        <w:t xml:space="preserve"> </w:t>
      </w:r>
      <w:r>
        <w:rPr>
          <w:rFonts w:ascii="Arial" w:hAnsi="Arial"/>
          <w:color w:val="5B6761"/>
          <w:w w:val="105"/>
          <w:sz w:val="14"/>
        </w:rPr>
        <w:t>of</w:t>
      </w:r>
      <w:r>
        <w:rPr>
          <w:rFonts w:ascii="Arial" w:hAnsi="Arial"/>
          <w:color w:val="5B6761"/>
          <w:spacing w:val="-17"/>
          <w:w w:val="105"/>
          <w:sz w:val="14"/>
        </w:rPr>
        <w:t xml:space="preserve"> </w:t>
      </w:r>
      <w:r>
        <w:rPr>
          <w:rFonts w:ascii="Arial" w:hAnsi="Arial"/>
          <w:color w:val="5B6761"/>
          <w:w w:val="105"/>
          <w:sz w:val="14"/>
        </w:rPr>
        <w:t>the</w:t>
      </w:r>
      <w:r>
        <w:rPr>
          <w:rFonts w:ascii="Arial" w:hAnsi="Arial"/>
          <w:color w:val="5B6761"/>
          <w:spacing w:val="-16"/>
          <w:w w:val="105"/>
          <w:sz w:val="14"/>
        </w:rPr>
        <w:t xml:space="preserve"> </w:t>
      </w:r>
      <w:r>
        <w:rPr>
          <w:rFonts w:ascii="Arial" w:hAnsi="Arial"/>
          <w:color w:val="5B6761"/>
          <w:w w:val="105"/>
          <w:sz w:val="14"/>
        </w:rPr>
        <w:t>WADC Prohibited</w:t>
      </w:r>
      <w:r>
        <w:rPr>
          <w:rFonts w:ascii="Arial" w:hAnsi="Arial"/>
          <w:color w:val="5B6761"/>
          <w:spacing w:val="-7"/>
          <w:w w:val="105"/>
          <w:sz w:val="14"/>
        </w:rPr>
        <w:t xml:space="preserve"> </w:t>
      </w:r>
      <w:r>
        <w:rPr>
          <w:rFonts w:ascii="Arial" w:hAnsi="Arial"/>
          <w:color w:val="5B6761"/>
          <w:w w:val="105"/>
          <w:sz w:val="14"/>
        </w:rPr>
        <w:t>List</w:t>
      </w:r>
      <w:r>
        <w:rPr>
          <w:rFonts w:ascii="Arial" w:hAnsi="Arial"/>
          <w:color w:val="5B6761"/>
          <w:spacing w:val="-7"/>
          <w:w w:val="105"/>
          <w:sz w:val="14"/>
        </w:rPr>
        <w:t xml:space="preserve"> </w:t>
      </w:r>
      <w:r>
        <w:rPr>
          <w:rFonts w:ascii="Arial" w:hAnsi="Arial"/>
          <w:color w:val="5B6761"/>
          <w:w w:val="105"/>
          <w:sz w:val="14"/>
        </w:rPr>
        <w:t>into</w:t>
      </w:r>
      <w:r>
        <w:rPr>
          <w:rFonts w:ascii="Arial" w:hAnsi="Arial"/>
          <w:color w:val="5B6761"/>
          <w:spacing w:val="-10"/>
          <w:w w:val="105"/>
          <w:sz w:val="14"/>
        </w:rPr>
        <w:t xml:space="preserve"> </w:t>
      </w:r>
      <w:r>
        <w:rPr>
          <w:rFonts w:ascii="Arial" w:hAnsi="Arial"/>
          <w:color w:val="5B6761"/>
          <w:w w:val="105"/>
          <w:sz w:val="14"/>
        </w:rPr>
        <w:t>the</w:t>
      </w:r>
      <w:r>
        <w:rPr>
          <w:rFonts w:ascii="Arial" w:hAnsi="Arial"/>
          <w:color w:val="5B6761"/>
          <w:spacing w:val="-9"/>
          <w:w w:val="105"/>
          <w:sz w:val="14"/>
        </w:rPr>
        <w:t xml:space="preserve"> </w:t>
      </w:r>
      <w:r>
        <w:rPr>
          <w:rFonts w:ascii="Arial" w:hAnsi="Arial"/>
          <w:color w:val="5B6761"/>
          <w:w w:val="105"/>
          <w:sz w:val="14"/>
        </w:rPr>
        <w:t>TGA’s</w:t>
      </w:r>
      <w:r>
        <w:rPr>
          <w:rFonts w:ascii="Arial" w:hAnsi="Arial"/>
          <w:color w:val="5B6761"/>
          <w:spacing w:val="-10"/>
          <w:w w:val="105"/>
          <w:sz w:val="14"/>
        </w:rPr>
        <w:t xml:space="preserve"> </w:t>
      </w:r>
      <w:r>
        <w:rPr>
          <w:rFonts w:ascii="Arial" w:hAnsi="Arial"/>
          <w:color w:val="5B6761"/>
          <w:w w:val="105"/>
          <w:sz w:val="14"/>
        </w:rPr>
        <w:t>regulatory</w:t>
      </w:r>
      <w:r>
        <w:rPr>
          <w:rFonts w:ascii="Arial" w:hAnsi="Arial"/>
          <w:color w:val="5B6761"/>
          <w:spacing w:val="-8"/>
          <w:w w:val="105"/>
          <w:sz w:val="14"/>
        </w:rPr>
        <w:t xml:space="preserve"> </w:t>
      </w:r>
      <w:r>
        <w:rPr>
          <w:rFonts w:ascii="Arial" w:hAnsi="Arial"/>
          <w:color w:val="5B6761"/>
          <w:w w:val="105"/>
          <w:sz w:val="14"/>
        </w:rPr>
        <w:t>framework.</w:t>
      </w:r>
    </w:p>
    <w:p w:rsidR="007D76BB" w:rsidRDefault="007D76BB">
      <w:pPr>
        <w:spacing w:line="268" w:lineRule="auto"/>
        <w:rPr>
          <w:rFonts w:ascii="Arial" w:hAnsi="Arial"/>
          <w:sz w:val="14"/>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8"/>
        </w:rPr>
      </w:pPr>
    </w:p>
    <w:p w:rsidR="007D76BB" w:rsidRDefault="00D70D28">
      <w:pPr>
        <w:spacing w:before="108" w:line="304" w:lineRule="auto"/>
        <w:ind w:left="482" w:right="1130"/>
        <w:rPr>
          <w:rFonts w:ascii="Arial"/>
          <w:sz w:val="19"/>
        </w:rPr>
      </w:pPr>
      <w:proofErr w:type="gramStart"/>
      <w:r>
        <w:rPr>
          <w:rFonts w:ascii="Arial"/>
          <w:w w:val="105"/>
          <w:sz w:val="19"/>
        </w:rPr>
        <w:t>stakeholder</w:t>
      </w:r>
      <w:proofErr w:type="gramEnd"/>
      <w:r>
        <w:rPr>
          <w:rFonts w:ascii="Arial"/>
          <w:spacing w:val="-24"/>
          <w:w w:val="105"/>
          <w:sz w:val="19"/>
        </w:rPr>
        <w:t xml:space="preserve"> </w:t>
      </w:r>
      <w:r>
        <w:rPr>
          <w:rFonts w:ascii="Arial"/>
          <w:w w:val="105"/>
          <w:sz w:val="19"/>
        </w:rPr>
        <w:t>concerns</w:t>
      </w:r>
      <w:r>
        <w:rPr>
          <w:rFonts w:ascii="Arial"/>
          <w:spacing w:val="-26"/>
          <w:w w:val="105"/>
          <w:sz w:val="19"/>
        </w:rPr>
        <w:t xml:space="preserve"> </w:t>
      </w:r>
      <w:r>
        <w:rPr>
          <w:rFonts w:ascii="Arial"/>
          <w:w w:val="105"/>
          <w:sz w:val="19"/>
        </w:rPr>
        <w:t>about</w:t>
      </w:r>
      <w:r>
        <w:rPr>
          <w:rFonts w:ascii="Arial"/>
          <w:spacing w:val="-24"/>
          <w:w w:val="105"/>
          <w:sz w:val="19"/>
        </w:rPr>
        <w:t xml:space="preserve"> </w:t>
      </w:r>
      <w:r>
        <w:rPr>
          <w:rFonts w:ascii="Arial"/>
          <w:w w:val="105"/>
          <w:sz w:val="19"/>
        </w:rPr>
        <w:t>the</w:t>
      </w:r>
      <w:r>
        <w:rPr>
          <w:rFonts w:ascii="Arial"/>
          <w:spacing w:val="-23"/>
          <w:w w:val="105"/>
          <w:sz w:val="19"/>
        </w:rPr>
        <w:t xml:space="preserve"> </w:t>
      </w:r>
      <w:r>
        <w:rPr>
          <w:rFonts w:ascii="Arial"/>
          <w:w w:val="105"/>
          <w:sz w:val="19"/>
        </w:rPr>
        <w:t>legitimacy</w:t>
      </w:r>
      <w:r>
        <w:rPr>
          <w:rFonts w:ascii="Arial"/>
          <w:spacing w:val="-24"/>
          <w:w w:val="105"/>
          <w:sz w:val="19"/>
        </w:rPr>
        <w:t xml:space="preserve"> </w:t>
      </w:r>
      <w:r>
        <w:rPr>
          <w:rFonts w:ascii="Arial"/>
          <w:w w:val="105"/>
          <w:sz w:val="19"/>
        </w:rPr>
        <w:t>of</w:t>
      </w:r>
      <w:r>
        <w:rPr>
          <w:rFonts w:ascii="Arial"/>
          <w:spacing w:val="-25"/>
          <w:w w:val="105"/>
          <w:sz w:val="19"/>
        </w:rPr>
        <w:t xml:space="preserve"> </w:t>
      </w:r>
      <w:r>
        <w:rPr>
          <w:rFonts w:ascii="Arial"/>
          <w:w w:val="105"/>
          <w:sz w:val="19"/>
        </w:rPr>
        <w:t>the</w:t>
      </w:r>
      <w:r>
        <w:rPr>
          <w:rFonts w:ascii="Arial"/>
          <w:spacing w:val="-25"/>
          <w:w w:val="105"/>
          <w:sz w:val="19"/>
        </w:rPr>
        <w:t xml:space="preserve"> </w:t>
      </w:r>
      <w:r>
        <w:rPr>
          <w:rFonts w:ascii="Arial"/>
          <w:w w:val="105"/>
          <w:sz w:val="19"/>
        </w:rPr>
        <w:t>WADC</w:t>
      </w:r>
      <w:r>
        <w:rPr>
          <w:rFonts w:ascii="Arial"/>
          <w:spacing w:val="-24"/>
          <w:w w:val="105"/>
          <w:sz w:val="19"/>
        </w:rPr>
        <w:t xml:space="preserve"> </w:t>
      </w:r>
      <w:r>
        <w:rPr>
          <w:rFonts w:ascii="Arial"/>
          <w:w w:val="105"/>
          <w:sz w:val="19"/>
        </w:rPr>
        <w:t>Prohibited</w:t>
      </w:r>
      <w:r>
        <w:rPr>
          <w:rFonts w:ascii="Arial"/>
          <w:spacing w:val="-25"/>
          <w:w w:val="105"/>
          <w:sz w:val="19"/>
        </w:rPr>
        <w:t xml:space="preserve"> </w:t>
      </w:r>
      <w:r>
        <w:rPr>
          <w:rFonts w:ascii="Arial"/>
          <w:w w:val="105"/>
          <w:sz w:val="19"/>
        </w:rPr>
        <w:t>list</w:t>
      </w:r>
      <w:r>
        <w:rPr>
          <w:rFonts w:ascii="Arial"/>
          <w:spacing w:val="-23"/>
          <w:w w:val="105"/>
          <w:sz w:val="19"/>
        </w:rPr>
        <w:t xml:space="preserve"> </w:t>
      </w:r>
      <w:r>
        <w:rPr>
          <w:rFonts w:ascii="Arial"/>
          <w:w w:val="105"/>
          <w:sz w:val="19"/>
        </w:rPr>
        <w:t>and</w:t>
      </w:r>
      <w:r>
        <w:rPr>
          <w:rFonts w:ascii="Arial"/>
          <w:spacing w:val="-25"/>
          <w:w w:val="105"/>
          <w:sz w:val="19"/>
        </w:rPr>
        <w:t xml:space="preserve"> </w:t>
      </w:r>
      <w:r>
        <w:rPr>
          <w:rFonts w:ascii="Arial"/>
          <w:w w:val="105"/>
          <w:sz w:val="19"/>
        </w:rPr>
        <w:t>its</w:t>
      </w:r>
      <w:r>
        <w:rPr>
          <w:rFonts w:ascii="Arial"/>
          <w:spacing w:val="-26"/>
          <w:w w:val="105"/>
          <w:sz w:val="19"/>
        </w:rPr>
        <w:t xml:space="preserve"> </w:t>
      </w:r>
      <w:r>
        <w:rPr>
          <w:rFonts w:ascii="Arial"/>
          <w:w w:val="105"/>
          <w:sz w:val="19"/>
        </w:rPr>
        <w:t>incorporation</w:t>
      </w:r>
      <w:r>
        <w:rPr>
          <w:rFonts w:ascii="Arial"/>
          <w:spacing w:val="-23"/>
          <w:w w:val="105"/>
          <w:sz w:val="19"/>
        </w:rPr>
        <w:t xml:space="preserve"> </w:t>
      </w:r>
      <w:r>
        <w:rPr>
          <w:rFonts w:ascii="Arial"/>
          <w:w w:val="105"/>
          <w:sz w:val="19"/>
        </w:rPr>
        <w:t>(as</w:t>
      </w:r>
      <w:r>
        <w:rPr>
          <w:rFonts w:ascii="Arial"/>
          <w:spacing w:val="-23"/>
          <w:w w:val="105"/>
          <w:sz w:val="19"/>
        </w:rPr>
        <w:t xml:space="preserve"> </w:t>
      </w:r>
      <w:r>
        <w:rPr>
          <w:rFonts w:ascii="Arial"/>
          <w:w w:val="105"/>
          <w:sz w:val="19"/>
        </w:rPr>
        <w:t>a list developed by an international body that is subject to change) in the Australian regulatory framework.</w:t>
      </w:r>
    </w:p>
    <w:p w:rsidR="007D76BB" w:rsidRDefault="00D70D28">
      <w:pPr>
        <w:spacing w:before="197" w:line="304" w:lineRule="auto"/>
        <w:ind w:left="482" w:right="778"/>
        <w:rPr>
          <w:rFonts w:ascii="Arial"/>
          <w:sz w:val="19"/>
        </w:rPr>
      </w:pPr>
      <w:r>
        <w:rPr>
          <w:rFonts w:ascii="Arial"/>
          <w:w w:val="105"/>
          <w:sz w:val="19"/>
        </w:rPr>
        <w:t>Changes</w:t>
      </w:r>
      <w:r>
        <w:rPr>
          <w:rFonts w:ascii="Arial"/>
          <w:spacing w:val="-25"/>
          <w:w w:val="105"/>
          <w:sz w:val="19"/>
        </w:rPr>
        <w:t xml:space="preserve"> </w:t>
      </w:r>
      <w:r>
        <w:rPr>
          <w:rFonts w:ascii="Arial"/>
          <w:w w:val="105"/>
          <w:sz w:val="19"/>
        </w:rPr>
        <w:t>to</w:t>
      </w:r>
      <w:r>
        <w:rPr>
          <w:rFonts w:ascii="Arial"/>
          <w:spacing w:val="-25"/>
          <w:w w:val="105"/>
          <w:sz w:val="19"/>
        </w:rPr>
        <w:t xml:space="preserve"> </w:t>
      </w:r>
      <w:r>
        <w:rPr>
          <w:rFonts w:ascii="Arial"/>
          <w:w w:val="105"/>
          <w:sz w:val="19"/>
        </w:rPr>
        <w:t>the</w:t>
      </w:r>
      <w:r>
        <w:rPr>
          <w:rFonts w:ascii="Arial"/>
          <w:spacing w:val="-25"/>
          <w:w w:val="105"/>
          <w:sz w:val="19"/>
        </w:rPr>
        <w:t xml:space="preserve"> </w:t>
      </w:r>
      <w:r>
        <w:rPr>
          <w:rFonts w:ascii="Arial"/>
          <w:w w:val="105"/>
          <w:sz w:val="19"/>
        </w:rPr>
        <w:t>regulatory</w:t>
      </w:r>
      <w:r>
        <w:rPr>
          <w:rFonts w:ascii="Arial"/>
          <w:spacing w:val="-23"/>
          <w:w w:val="105"/>
          <w:sz w:val="19"/>
        </w:rPr>
        <w:t xml:space="preserve"> </w:t>
      </w:r>
      <w:r>
        <w:rPr>
          <w:rFonts w:ascii="Arial"/>
          <w:w w:val="105"/>
          <w:sz w:val="19"/>
        </w:rPr>
        <w:t>burden</w:t>
      </w:r>
      <w:r>
        <w:rPr>
          <w:rFonts w:ascii="Arial"/>
          <w:spacing w:val="-23"/>
          <w:w w:val="105"/>
          <w:sz w:val="19"/>
        </w:rPr>
        <w:t xml:space="preserve"> </w:t>
      </w:r>
      <w:r>
        <w:rPr>
          <w:rFonts w:ascii="Arial"/>
          <w:w w:val="105"/>
          <w:sz w:val="19"/>
        </w:rPr>
        <w:t>between</w:t>
      </w:r>
      <w:r>
        <w:rPr>
          <w:rFonts w:ascii="Arial"/>
          <w:spacing w:val="-24"/>
          <w:w w:val="105"/>
          <w:sz w:val="19"/>
        </w:rPr>
        <w:t xml:space="preserve"> </w:t>
      </w:r>
      <w:r>
        <w:rPr>
          <w:rFonts w:ascii="Arial"/>
          <w:w w:val="105"/>
          <w:sz w:val="19"/>
        </w:rPr>
        <w:t>options</w:t>
      </w:r>
      <w:r>
        <w:rPr>
          <w:rFonts w:ascii="Arial"/>
          <w:spacing w:val="-25"/>
          <w:w w:val="105"/>
          <w:sz w:val="19"/>
        </w:rPr>
        <w:t xml:space="preserve"> </w:t>
      </w:r>
      <w:r>
        <w:rPr>
          <w:rFonts w:ascii="Arial"/>
          <w:w w:val="105"/>
          <w:sz w:val="19"/>
        </w:rPr>
        <w:t>2A</w:t>
      </w:r>
      <w:r>
        <w:rPr>
          <w:rFonts w:ascii="Arial"/>
          <w:spacing w:val="-23"/>
          <w:w w:val="105"/>
          <w:sz w:val="19"/>
        </w:rPr>
        <w:t xml:space="preserve"> </w:t>
      </w:r>
      <w:r>
        <w:rPr>
          <w:rFonts w:ascii="Arial"/>
          <w:w w:val="105"/>
          <w:sz w:val="19"/>
        </w:rPr>
        <w:t>(and</w:t>
      </w:r>
      <w:r>
        <w:rPr>
          <w:rFonts w:ascii="Arial"/>
          <w:spacing w:val="-25"/>
          <w:w w:val="105"/>
          <w:sz w:val="19"/>
        </w:rPr>
        <w:t xml:space="preserve"> </w:t>
      </w:r>
      <w:r>
        <w:rPr>
          <w:rFonts w:ascii="Arial"/>
          <w:w w:val="105"/>
          <w:sz w:val="19"/>
        </w:rPr>
        <w:t>2B)</w:t>
      </w:r>
      <w:r>
        <w:rPr>
          <w:rFonts w:ascii="Arial"/>
          <w:spacing w:val="-24"/>
          <w:w w:val="105"/>
          <w:sz w:val="19"/>
        </w:rPr>
        <w:t xml:space="preserve"> </w:t>
      </w:r>
      <w:r>
        <w:rPr>
          <w:rFonts w:ascii="Arial"/>
          <w:w w:val="105"/>
          <w:sz w:val="19"/>
        </w:rPr>
        <w:t>and</w:t>
      </w:r>
      <w:r>
        <w:rPr>
          <w:rFonts w:ascii="Arial"/>
          <w:spacing w:val="-24"/>
          <w:w w:val="105"/>
          <w:sz w:val="19"/>
        </w:rPr>
        <w:t xml:space="preserve"> </w:t>
      </w:r>
      <w:r>
        <w:rPr>
          <w:rFonts w:ascii="Arial"/>
          <w:w w:val="105"/>
          <w:sz w:val="19"/>
        </w:rPr>
        <w:t>Option</w:t>
      </w:r>
      <w:r>
        <w:rPr>
          <w:rFonts w:ascii="Arial"/>
          <w:spacing w:val="-24"/>
          <w:w w:val="105"/>
          <w:sz w:val="19"/>
        </w:rPr>
        <w:t xml:space="preserve"> </w:t>
      </w:r>
      <w:r>
        <w:rPr>
          <w:rFonts w:ascii="Arial"/>
          <w:w w:val="105"/>
          <w:sz w:val="19"/>
        </w:rPr>
        <w:t>3</w:t>
      </w:r>
      <w:r>
        <w:rPr>
          <w:rFonts w:ascii="Arial"/>
          <w:spacing w:val="-24"/>
          <w:w w:val="105"/>
          <w:sz w:val="19"/>
        </w:rPr>
        <w:t xml:space="preserve"> </w:t>
      </w:r>
      <w:r>
        <w:rPr>
          <w:rFonts w:ascii="Arial"/>
          <w:w w:val="105"/>
          <w:sz w:val="19"/>
        </w:rPr>
        <w:t>were</w:t>
      </w:r>
      <w:r>
        <w:rPr>
          <w:rFonts w:ascii="Arial"/>
          <w:spacing w:val="-24"/>
          <w:w w:val="105"/>
          <w:sz w:val="19"/>
        </w:rPr>
        <w:t xml:space="preserve"> </w:t>
      </w:r>
      <w:r>
        <w:rPr>
          <w:rFonts w:ascii="Arial"/>
          <w:w w:val="105"/>
          <w:sz w:val="19"/>
        </w:rPr>
        <w:t>largely</w:t>
      </w:r>
      <w:r>
        <w:rPr>
          <w:rFonts w:ascii="Arial"/>
          <w:spacing w:val="-24"/>
          <w:w w:val="105"/>
          <w:sz w:val="19"/>
        </w:rPr>
        <w:t xml:space="preserve"> </w:t>
      </w:r>
      <w:r>
        <w:rPr>
          <w:rFonts w:ascii="Arial"/>
          <w:w w:val="105"/>
          <w:sz w:val="19"/>
        </w:rPr>
        <w:t>incurred due</w:t>
      </w:r>
      <w:r>
        <w:rPr>
          <w:rFonts w:ascii="Arial"/>
          <w:spacing w:val="-12"/>
          <w:w w:val="105"/>
          <w:sz w:val="19"/>
        </w:rPr>
        <w:t xml:space="preserve"> </w:t>
      </w:r>
      <w:r>
        <w:rPr>
          <w:rFonts w:ascii="Arial"/>
          <w:w w:val="105"/>
          <w:sz w:val="19"/>
        </w:rPr>
        <w:t>to</w:t>
      </w:r>
      <w:r>
        <w:rPr>
          <w:rFonts w:ascii="Arial"/>
          <w:spacing w:val="-14"/>
          <w:w w:val="105"/>
          <w:sz w:val="19"/>
        </w:rPr>
        <w:t xml:space="preserve"> </w:t>
      </w:r>
      <w:r>
        <w:rPr>
          <w:rFonts w:ascii="Arial"/>
          <w:w w:val="105"/>
          <w:sz w:val="19"/>
        </w:rPr>
        <w:t>the</w:t>
      </w:r>
      <w:r>
        <w:rPr>
          <w:rFonts w:ascii="Arial"/>
          <w:spacing w:val="-10"/>
          <w:w w:val="105"/>
          <w:sz w:val="19"/>
        </w:rPr>
        <w:t xml:space="preserve"> </w:t>
      </w:r>
      <w:r>
        <w:rPr>
          <w:rFonts w:ascii="Arial"/>
          <w:w w:val="105"/>
          <w:sz w:val="19"/>
        </w:rPr>
        <w:t>difference</w:t>
      </w:r>
      <w:r>
        <w:rPr>
          <w:rFonts w:ascii="Arial"/>
          <w:spacing w:val="-10"/>
          <w:w w:val="105"/>
          <w:sz w:val="19"/>
        </w:rPr>
        <w:t xml:space="preserve"> </w:t>
      </w:r>
      <w:r>
        <w:rPr>
          <w:rFonts w:ascii="Arial"/>
          <w:w w:val="105"/>
          <w:sz w:val="19"/>
        </w:rPr>
        <w:t>in</w:t>
      </w:r>
      <w:r>
        <w:rPr>
          <w:rFonts w:ascii="Arial"/>
          <w:spacing w:val="-11"/>
          <w:w w:val="105"/>
          <w:sz w:val="19"/>
        </w:rPr>
        <w:t xml:space="preserve"> </w:t>
      </w:r>
      <w:r>
        <w:rPr>
          <w:rFonts w:ascii="Arial"/>
          <w:w w:val="105"/>
          <w:sz w:val="19"/>
        </w:rPr>
        <w:t>product</w:t>
      </w:r>
      <w:r>
        <w:rPr>
          <w:rFonts w:ascii="Arial"/>
          <w:spacing w:val="-13"/>
          <w:w w:val="105"/>
          <w:sz w:val="19"/>
        </w:rPr>
        <w:t xml:space="preserve"> </w:t>
      </w:r>
      <w:r>
        <w:rPr>
          <w:rFonts w:ascii="Arial"/>
          <w:w w:val="105"/>
          <w:sz w:val="19"/>
        </w:rPr>
        <w:t>and</w:t>
      </w:r>
      <w:r>
        <w:rPr>
          <w:rFonts w:ascii="Arial"/>
          <w:spacing w:val="-13"/>
          <w:w w:val="105"/>
          <w:sz w:val="19"/>
        </w:rPr>
        <w:t xml:space="preserve"> </w:t>
      </w:r>
      <w:r>
        <w:rPr>
          <w:rFonts w:ascii="Arial"/>
          <w:w w:val="105"/>
          <w:sz w:val="19"/>
        </w:rPr>
        <w:t>sponsor</w:t>
      </w:r>
      <w:r>
        <w:rPr>
          <w:rFonts w:ascii="Arial"/>
          <w:spacing w:val="-12"/>
          <w:w w:val="105"/>
          <w:sz w:val="19"/>
        </w:rPr>
        <w:t xml:space="preserve"> </w:t>
      </w:r>
      <w:r>
        <w:rPr>
          <w:rFonts w:ascii="Arial"/>
          <w:w w:val="105"/>
          <w:sz w:val="19"/>
        </w:rPr>
        <w:t>populations.</w:t>
      </w:r>
    </w:p>
    <w:p w:rsidR="007D76BB" w:rsidRDefault="007D76BB">
      <w:pPr>
        <w:spacing w:line="304" w:lineRule="auto"/>
        <w:rPr>
          <w:rFonts w:ascii="Arial"/>
          <w:sz w:val="19"/>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spacing w:before="2"/>
        <w:rPr>
          <w:rFonts w:ascii="Arial"/>
          <w:sz w:val="29"/>
        </w:rPr>
      </w:pPr>
    </w:p>
    <w:p w:rsidR="007D76BB" w:rsidRDefault="00D70D28">
      <w:pPr>
        <w:pStyle w:val="Heading1"/>
        <w:rPr>
          <w:b/>
        </w:rPr>
      </w:pPr>
      <w:bookmarkStart w:id="154" w:name="_bookmark80"/>
      <w:bookmarkEnd w:id="154"/>
      <w:r>
        <w:rPr>
          <w:b/>
          <w:color w:val="0D213E"/>
          <w:spacing w:val="-10"/>
        </w:rPr>
        <w:t>THE</w:t>
      </w:r>
      <w:r>
        <w:rPr>
          <w:b/>
          <w:color w:val="0D213E"/>
          <w:spacing w:val="-83"/>
        </w:rPr>
        <w:t xml:space="preserve"> </w:t>
      </w:r>
      <w:r>
        <w:rPr>
          <w:b/>
          <w:color w:val="0D213E"/>
          <w:spacing w:val="-14"/>
        </w:rPr>
        <w:t>REGULATORY</w:t>
      </w:r>
      <w:r>
        <w:rPr>
          <w:b/>
          <w:color w:val="0D213E"/>
          <w:spacing w:val="-82"/>
        </w:rPr>
        <w:t xml:space="preserve"> </w:t>
      </w:r>
      <w:r>
        <w:rPr>
          <w:b/>
          <w:color w:val="0D213E"/>
          <w:spacing w:val="-13"/>
        </w:rPr>
        <w:t>COSTING</w:t>
      </w:r>
    </w:p>
    <w:p w:rsidR="007D76BB" w:rsidRDefault="00D70D28">
      <w:pPr>
        <w:pStyle w:val="Heading4"/>
        <w:spacing w:before="457"/>
        <w:rPr>
          <w:b/>
        </w:rPr>
      </w:pPr>
      <w:bookmarkStart w:id="155" w:name="_bookmark81"/>
      <w:bookmarkEnd w:id="155"/>
      <w:r>
        <w:rPr>
          <w:b/>
          <w:color w:val="FFA200"/>
        </w:rPr>
        <w:t>COSTING MODEL</w:t>
      </w:r>
    </w:p>
    <w:p w:rsidR="007D76BB" w:rsidRDefault="00D70D28">
      <w:pPr>
        <w:spacing w:before="192" w:line="264" w:lineRule="auto"/>
        <w:ind w:left="482" w:right="1285"/>
        <w:jc w:val="both"/>
        <w:rPr>
          <w:rFonts w:ascii="Arial" w:hAnsi="Arial"/>
          <w:sz w:val="19"/>
        </w:rPr>
      </w:pPr>
      <w:r>
        <w:rPr>
          <w:rFonts w:ascii="Arial" w:hAnsi="Arial"/>
          <w:w w:val="105"/>
          <w:sz w:val="19"/>
        </w:rPr>
        <w:t>The</w:t>
      </w:r>
      <w:r>
        <w:rPr>
          <w:rFonts w:ascii="Arial" w:hAnsi="Arial"/>
          <w:spacing w:val="-29"/>
          <w:w w:val="105"/>
          <w:sz w:val="19"/>
        </w:rPr>
        <w:t xml:space="preserve"> </w:t>
      </w:r>
      <w:r>
        <w:rPr>
          <w:rFonts w:ascii="Arial" w:hAnsi="Arial"/>
          <w:w w:val="105"/>
          <w:sz w:val="19"/>
        </w:rPr>
        <w:t>development</w:t>
      </w:r>
      <w:r>
        <w:rPr>
          <w:rFonts w:ascii="Arial" w:hAnsi="Arial"/>
          <w:spacing w:val="-28"/>
          <w:w w:val="105"/>
          <w:sz w:val="19"/>
        </w:rPr>
        <w:t xml:space="preserve"> </w:t>
      </w:r>
      <w:r>
        <w:rPr>
          <w:rFonts w:ascii="Arial" w:hAnsi="Arial"/>
          <w:w w:val="105"/>
          <w:sz w:val="19"/>
        </w:rPr>
        <w:t>of</w:t>
      </w:r>
      <w:r>
        <w:rPr>
          <w:rFonts w:ascii="Arial" w:hAnsi="Arial"/>
          <w:spacing w:val="-29"/>
          <w:w w:val="105"/>
          <w:sz w:val="19"/>
        </w:rPr>
        <w:t xml:space="preserve"> </w:t>
      </w:r>
      <w:r>
        <w:rPr>
          <w:rFonts w:ascii="Arial" w:hAnsi="Arial"/>
          <w:w w:val="105"/>
          <w:sz w:val="19"/>
        </w:rPr>
        <w:t>the</w:t>
      </w:r>
      <w:r>
        <w:rPr>
          <w:rFonts w:ascii="Arial" w:hAnsi="Arial"/>
          <w:spacing w:val="-30"/>
          <w:w w:val="105"/>
          <w:sz w:val="19"/>
        </w:rPr>
        <w:t xml:space="preserve"> </w:t>
      </w:r>
      <w:r>
        <w:rPr>
          <w:rFonts w:ascii="Arial" w:hAnsi="Arial"/>
          <w:w w:val="105"/>
          <w:sz w:val="19"/>
        </w:rPr>
        <w:t>regulatory</w:t>
      </w:r>
      <w:r>
        <w:rPr>
          <w:rFonts w:ascii="Arial" w:hAnsi="Arial"/>
          <w:spacing w:val="-29"/>
          <w:w w:val="105"/>
          <w:sz w:val="19"/>
        </w:rPr>
        <w:t xml:space="preserve"> </w:t>
      </w:r>
      <w:r>
        <w:rPr>
          <w:rFonts w:ascii="Arial" w:hAnsi="Arial"/>
          <w:w w:val="105"/>
          <w:sz w:val="19"/>
        </w:rPr>
        <w:t>costing</w:t>
      </w:r>
      <w:r>
        <w:rPr>
          <w:rFonts w:ascii="Arial" w:hAnsi="Arial"/>
          <w:spacing w:val="-28"/>
          <w:w w:val="105"/>
          <w:sz w:val="19"/>
        </w:rPr>
        <w:t xml:space="preserve"> </w:t>
      </w:r>
      <w:r>
        <w:rPr>
          <w:rFonts w:ascii="Arial" w:hAnsi="Arial"/>
          <w:w w:val="105"/>
          <w:sz w:val="19"/>
        </w:rPr>
        <w:t>model</w:t>
      </w:r>
      <w:r>
        <w:rPr>
          <w:rFonts w:ascii="Arial" w:hAnsi="Arial"/>
          <w:spacing w:val="-30"/>
          <w:w w:val="105"/>
          <w:sz w:val="19"/>
        </w:rPr>
        <w:t xml:space="preserve"> </w:t>
      </w:r>
      <w:r>
        <w:rPr>
          <w:rFonts w:ascii="Arial" w:hAnsi="Arial"/>
          <w:w w:val="105"/>
          <w:sz w:val="19"/>
        </w:rPr>
        <w:t>was</w:t>
      </w:r>
      <w:r>
        <w:rPr>
          <w:rFonts w:ascii="Arial" w:hAnsi="Arial"/>
          <w:spacing w:val="-27"/>
          <w:w w:val="105"/>
          <w:sz w:val="19"/>
        </w:rPr>
        <w:t xml:space="preserve"> </w:t>
      </w:r>
      <w:r>
        <w:rPr>
          <w:rFonts w:ascii="Arial" w:hAnsi="Arial"/>
          <w:w w:val="105"/>
          <w:sz w:val="19"/>
        </w:rPr>
        <w:t>undertaken</w:t>
      </w:r>
      <w:r>
        <w:rPr>
          <w:rFonts w:ascii="Arial" w:hAnsi="Arial"/>
          <w:spacing w:val="-28"/>
          <w:w w:val="105"/>
          <w:sz w:val="19"/>
        </w:rPr>
        <w:t xml:space="preserve"> </w:t>
      </w:r>
      <w:r>
        <w:rPr>
          <w:rFonts w:ascii="Arial" w:hAnsi="Arial"/>
          <w:w w:val="105"/>
          <w:sz w:val="19"/>
        </w:rPr>
        <w:t>in</w:t>
      </w:r>
      <w:r>
        <w:rPr>
          <w:rFonts w:ascii="Arial" w:hAnsi="Arial"/>
          <w:spacing w:val="-29"/>
          <w:w w:val="105"/>
          <w:sz w:val="19"/>
        </w:rPr>
        <w:t xml:space="preserve"> </w:t>
      </w:r>
      <w:r>
        <w:rPr>
          <w:rFonts w:ascii="Arial" w:hAnsi="Arial"/>
          <w:w w:val="105"/>
          <w:sz w:val="19"/>
        </w:rPr>
        <w:t>accordance</w:t>
      </w:r>
      <w:r>
        <w:rPr>
          <w:rFonts w:ascii="Arial" w:hAnsi="Arial"/>
          <w:spacing w:val="-30"/>
          <w:w w:val="105"/>
          <w:sz w:val="19"/>
        </w:rPr>
        <w:t xml:space="preserve"> </w:t>
      </w:r>
      <w:r>
        <w:rPr>
          <w:rFonts w:ascii="Arial" w:hAnsi="Arial"/>
          <w:w w:val="105"/>
          <w:sz w:val="19"/>
        </w:rPr>
        <w:t>with</w:t>
      </w:r>
      <w:r>
        <w:rPr>
          <w:rFonts w:ascii="Arial" w:hAnsi="Arial"/>
          <w:spacing w:val="-27"/>
          <w:w w:val="105"/>
          <w:sz w:val="19"/>
        </w:rPr>
        <w:t xml:space="preserve"> </w:t>
      </w:r>
      <w:r>
        <w:rPr>
          <w:rFonts w:ascii="Arial" w:hAnsi="Arial"/>
          <w:w w:val="105"/>
          <w:sz w:val="19"/>
        </w:rPr>
        <w:t>the</w:t>
      </w:r>
      <w:r>
        <w:rPr>
          <w:rFonts w:ascii="Arial" w:hAnsi="Arial"/>
          <w:spacing w:val="-30"/>
          <w:w w:val="105"/>
          <w:sz w:val="19"/>
        </w:rPr>
        <w:t xml:space="preserve"> </w:t>
      </w:r>
      <w:r>
        <w:rPr>
          <w:rFonts w:ascii="Arial" w:hAnsi="Arial"/>
          <w:w w:val="105"/>
          <w:sz w:val="19"/>
        </w:rPr>
        <w:t>OBPR Guidance</w:t>
      </w:r>
      <w:r>
        <w:rPr>
          <w:rFonts w:ascii="Arial" w:hAnsi="Arial"/>
          <w:spacing w:val="-41"/>
          <w:w w:val="105"/>
          <w:sz w:val="19"/>
        </w:rPr>
        <w:t xml:space="preserve"> </w:t>
      </w:r>
      <w:r>
        <w:rPr>
          <w:rFonts w:ascii="Arial" w:hAnsi="Arial"/>
          <w:w w:val="105"/>
          <w:sz w:val="19"/>
        </w:rPr>
        <w:t>Note:</w:t>
      </w:r>
      <w:r>
        <w:rPr>
          <w:rFonts w:ascii="Arial" w:hAnsi="Arial"/>
          <w:spacing w:val="-40"/>
          <w:w w:val="105"/>
          <w:sz w:val="19"/>
        </w:rPr>
        <w:t xml:space="preserve"> </w:t>
      </w:r>
      <w:r>
        <w:rPr>
          <w:rFonts w:ascii="Arial" w:hAnsi="Arial"/>
          <w:w w:val="105"/>
          <w:sz w:val="19"/>
        </w:rPr>
        <w:t>‘Regulatory</w:t>
      </w:r>
      <w:r>
        <w:rPr>
          <w:rFonts w:ascii="Arial" w:hAnsi="Arial"/>
          <w:spacing w:val="-42"/>
          <w:w w:val="105"/>
          <w:sz w:val="19"/>
        </w:rPr>
        <w:t xml:space="preserve"> </w:t>
      </w:r>
      <w:r>
        <w:rPr>
          <w:rFonts w:ascii="Arial" w:hAnsi="Arial"/>
          <w:w w:val="105"/>
          <w:sz w:val="19"/>
        </w:rPr>
        <w:t>Burden</w:t>
      </w:r>
      <w:r>
        <w:rPr>
          <w:rFonts w:ascii="Arial" w:hAnsi="Arial"/>
          <w:spacing w:val="-40"/>
          <w:w w:val="105"/>
          <w:sz w:val="19"/>
        </w:rPr>
        <w:t xml:space="preserve"> </w:t>
      </w:r>
      <w:r>
        <w:rPr>
          <w:rFonts w:ascii="Arial" w:hAnsi="Arial"/>
          <w:w w:val="105"/>
          <w:sz w:val="19"/>
        </w:rPr>
        <w:t>Measurement</w:t>
      </w:r>
      <w:r>
        <w:rPr>
          <w:rFonts w:ascii="Arial" w:hAnsi="Arial"/>
          <w:spacing w:val="-40"/>
          <w:w w:val="105"/>
          <w:sz w:val="19"/>
        </w:rPr>
        <w:t xml:space="preserve"> </w:t>
      </w:r>
      <w:r>
        <w:rPr>
          <w:rFonts w:ascii="Arial" w:hAnsi="Arial"/>
          <w:w w:val="105"/>
          <w:sz w:val="19"/>
        </w:rPr>
        <w:t>Framework’</w:t>
      </w:r>
      <w:r>
        <w:rPr>
          <w:rFonts w:ascii="Arial" w:hAnsi="Arial"/>
          <w:w w:val="105"/>
          <w:position w:val="7"/>
          <w:sz w:val="11"/>
        </w:rPr>
        <w:t>12</w:t>
      </w:r>
      <w:r>
        <w:rPr>
          <w:rFonts w:ascii="Arial" w:hAnsi="Arial"/>
          <w:w w:val="105"/>
          <w:sz w:val="19"/>
        </w:rPr>
        <w:t>,</w:t>
      </w:r>
      <w:r>
        <w:rPr>
          <w:rFonts w:ascii="Arial" w:hAnsi="Arial"/>
          <w:spacing w:val="-40"/>
          <w:w w:val="105"/>
          <w:sz w:val="19"/>
        </w:rPr>
        <w:t xml:space="preserve"> </w:t>
      </w:r>
      <w:r>
        <w:rPr>
          <w:rFonts w:ascii="Arial" w:hAnsi="Arial"/>
          <w:w w:val="105"/>
          <w:sz w:val="19"/>
        </w:rPr>
        <w:t>dated</w:t>
      </w:r>
      <w:r>
        <w:rPr>
          <w:rFonts w:ascii="Arial" w:hAnsi="Arial"/>
          <w:spacing w:val="-41"/>
          <w:w w:val="105"/>
          <w:sz w:val="19"/>
        </w:rPr>
        <w:t xml:space="preserve"> </w:t>
      </w:r>
      <w:r>
        <w:rPr>
          <w:rFonts w:ascii="Arial" w:hAnsi="Arial"/>
          <w:w w:val="105"/>
          <w:sz w:val="19"/>
        </w:rPr>
        <w:t>March</w:t>
      </w:r>
      <w:r>
        <w:rPr>
          <w:rFonts w:ascii="Arial" w:hAnsi="Arial"/>
          <w:spacing w:val="-40"/>
          <w:w w:val="105"/>
          <w:sz w:val="19"/>
        </w:rPr>
        <w:t xml:space="preserve"> </w:t>
      </w:r>
      <w:r>
        <w:rPr>
          <w:rFonts w:ascii="Arial" w:hAnsi="Arial"/>
          <w:w w:val="105"/>
          <w:sz w:val="19"/>
        </w:rPr>
        <w:t>2020.</w:t>
      </w:r>
      <w:r>
        <w:rPr>
          <w:rFonts w:ascii="Arial" w:hAnsi="Arial"/>
          <w:spacing w:val="-40"/>
          <w:w w:val="105"/>
          <w:sz w:val="19"/>
        </w:rPr>
        <w:t xml:space="preserve"> </w:t>
      </w:r>
      <w:r>
        <w:rPr>
          <w:rFonts w:ascii="Arial" w:hAnsi="Arial"/>
          <w:w w:val="105"/>
          <w:sz w:val="19"/>
        </w:rPr>
        <w:t>Costs</w:t>
      </w:r>
      <w:r>
        <w:rPr>
          <w:rFonts w:ascii="Arial" w:hAnsi="Arial"/>
          <w:spacing w:val="-40"/>
          <w:w w:val="105"/>
          <w:sz w:val="19"/>
        </w:rPr>
        <w:t xml:space="preserve"> </w:t>
      </w:r>
      <w:r>
        <w:rPr>
          <w:rFonts w:ascii="Arial" w:hAnsi="Arial"/>
          <w:w w:val="105"/>
          <w:sz w:val="19"/>
        </w:rPr>
        <w:t>were estimated</w:t>
      </w:r>
      <w:r>
        <w:rPr>
          <w:rFonts w:ascii="Arial" w:hAnsi="Arial"/>
          <w:spacing w:val="-17"/>
          <w:w w:val="105"/>
          <w:sz w:val="19"/>
        </w:rPr>
        <w:t xml:space="preserve"> </w:t>
      </w:r>
      <w:r>
        <w:rPr>
          <w:rFonts w:ascii="Arial" w:hAnsi="Arial"/>
          <w:w w:val="105"/>
          <w:sz w:val="19"/>
        </w:rPr>
        <w:t>for</w:t>
      </w:r>
      <w:r>
        <w:rPr>
          <w:rFonts w:ascii="Arial" w:hAnsi="Arial"/>
          <w:spacing w:val="-14"/>
          <w:w w:val="105"/>
          <w:sz w:val="19"/>
        </w:rPr>
        <w:t xml:space="preserve"> </w:t>
      </w:r>
      <w:r>
        <w:rPr>
          <w:rFonts w:ascii="Arial" w:hAnsi="Arial"/>
          <w:w w:val="105"/>
          <w:sz w:val="19"/>
        </w:rPr>
        <w:t>the</w:t>
      </w:r>
      <w:r>
        <w:rPr>
          <w:rFonts w:ascii="Arial" w:hAnsi="Arial"/>
          <w:spacing w:val="-17"/>
          <w:w w:val="105"/>
          <w:sz w:val="19"/>
        </w:rPr>
        <w:t xml:space="preserve"> </w:t>
      </w:r>
      <w:r>
        <w:rPr>
          <w:rFonts w:ascii="Arial" w:hAnsi="Arial"/>
          <w:w w:val="105"/>
          <w:sz w:val="19"/>
        </w:rPr>
        <w:t>compliance</w:t>
      </w:r>
      <w:r>
        <w:rPr>
          <w:rFonts w:ascii="Arial" w:hAnsi="Arial"/>
          <w:spacing w:val="-13"/>
          <w:w w:val="105"/>
          <w:sz w:val="19"/>
        </w:rPr>
        <w:t xml:space="preserve"> </w:t>
      </w:r>
      <w:r>
        <w:rPr>
          <w:rFonts w:ascii="Arial" w:hAnsi="Arial"/>
          <w:w w:val="105"/>
          <w:sz w:val="19"/>
        </w:rPr>
        <w:t>burden</w:t>
      </w:r>
      <w:r>
        <w:rPr>
          <w:rFonts w:ascii="Arial" w:hAnsi="Arial"/>
          <w:spacing w:val="-16"/>
          <w:w w:val="105"/>
          <w:sz w:val="19"/>
        </w:rPr>
        <w:t xml:space="preserve"> </w:t>
      </w:r>
      <w:r>
        <w:rPr>
          <w:rFonts w:ascii="Arial" w:hAnsi="Arial"/>
          <w:w w:val="105"/>
          <w:sz w:val="19"/>
        </w:rPr>
        <w:t>arising</w:t>
      </w:r>
      <w:r>
        <w:rPr>
          <w:rFonts w:ascii="Arial" w:hAnsi="Arial"/>
          <w:spacing w:val="-14"/>
          <w:w w:val="105"/>
          <w:sz w:val="19"/>
        </w:rPr>
        <w:t xml:space="preserve"> </w:t>
      </w:r>
      <w:r>
        <w:rPr>
          <w:rFonts w:ascii="Arial" w:hAnsi="Arial"/>
          <w:w w:val="105"/>
          <w:sz w:val="19"/>
        </w:rPr>
        <w:t>from</w:t>
      </w:r>
      <w:r>
        <w:rPr>
          <w:rFonts w:ascii="Arial" w:hAnsi="Arial"/>
          <w:spacing w:val="-16"/>
          <w:w w:val="105"/>
          <w:sz w:val="19"/>
        </w:rPr>
        <w:t xml:space="preserve"> </w:t>
      </w:r>
      <w:r>
        <w:rPr>
          <w:rFonts w:ascii="Arial" w:hAnsi="Arial"/>
          <w:w w:val="105"/>
          <w:sz w:val="19"/>
        </w:rPr>
        <w:t>the</w:t>
      </w:r>
      <w:r>
        <w:rPr>
          <w:rFonts w:ascii="Arial" w:hAnsi="Arial"/>
          <w:spacing w:val="-16"/>
          <w:w w:val="105"/>
          <w:sz w:val="19"/>
        </w:rPr>
        <w:t xml:space="preserve"> </w:t>
      </w:r>
      <w:r>
        <w:rPr>
          <w:rFonts w:ascii="Arial" w:hAnsi="Arial"/>
          <w:w w:val="105"/>
          <w:sz w:val="19"/>
        </w:rPr>
        <w:t>proposed</w:t>
      </w:r>
      <w:r>
        <w:rPr>
          <w:rFonts w:ascii="Arial" w:hAnsi="Arial"/>
          <w:spacing w:val="-17"/>
          <w:w w:val="105"/>
          <w:sz w:val="19"/>
        </w:rPr>
        <w:t xml:space="preserve"> </w:t>
      </w:r>
      <w:r>
        <w:rPr>
          <w:rFonts w:ascii="Arial" w:hAnsi="Arial"/>
          <w:w w:val="105"/>
          <w:sz w:val="19"/>
        </w:rPr>
        <w:t>regulatory</w:t>
      </w:r>
      <w:r>
        <w:rPr>
          <w:rFonts w:ascii="Arial" w:hAnsi="Arial"/>
          <w:spacing w:val="-14"/>
          <w:w w:val="105"/>
          <w:sz w:val="19"/>
        </w:rPr>
        <w:t xml:space="preserve"> </w:t>
      </w:r>
      <w:r>
        <w:rPr>
          <w:rFonts w:ascii="Arial" w:hAnsi="Arial"/>
          <w:w w:val="105"/>
          <w:sz w:val="19"/>
        </w:rPr>
        <w:t>clarification.</w:t>
      </w:r>
    </w:p>
    <w:p w:rsidR="007D76BB" w:rsidRDefault="00D70D28">
      <w:pPr>
        <w:spacing w:before="181" w:line="266" w:lineRule="auto"/>
        <w:ind w:left="482" w:right="1181"/>
        <w:rPr>
          <w:rFonts w:ascii="Arial"/>
          <w:sz w:val="19"/>
        </w:rPr>
      </w:pPr>
      <w:r>
        <w:rPr>
          <w:rFonts w:ascii="Arial"/>
          <w:w w:val="105"/>
          <w:sz w:val="19"/>
        </w:rPr>
        <w:t>The</w:t>
      </w:r>
      <w:r>
        <w:rPr>
          <w:rFonts w:ascii="Arial"/>
          <w:spacing w:val="-27"/>
          <w:w w:val="105"/>
          <w:sz w:val="19"/>
        </w:rPr>
        <w:t xml:space="preserve"> </w:t>
      </w:r>
      <w:proofErr w:type="spellStart"/>
      <w:r>
        <w:rPr>
          <w:rFonts w:ascii="Arial"/>
          <w:w w:val="105"/>
          <w:sz w:val="19"/>
        </w:rPr>
        <w:t>labour</w:t>
      </w:r>
      <w:proofErr w:type="spellEnd"/>
      <w:r>
        <w:rPr>
          <w:rFonts w:ascii="Arial"/>
          <w:spacing w:val="-27"/>
          <w:w w:val="105"/>
          <w:sz w:val="19"/>
        </w:rPr>
        <w:t xml:space="preserve"> </w:t>
      </w:r>
      <w:r>
        <w:rPr>
          <w:rFonts w:ascii="Arial"/>
          <w:w w:val="105"/>
          <w:sz w:val="19"/>
        </w:rPr>
        <w:t>cost</w:t>
      </w:r>
      <w:r>
        <w:rPr>
          <w:rFonts w:ascii="Arial"/>
          <w:spacing w:val="-26"/>
          <w:w w:val="105"/>
          <w:sz w:val="19"/>
        </w:rPr>
        <w:t xml:space="preserve"> </w:t>
      </w:r>
      <w:r>
        <w:rPr>
          <w:rFonts w:ascii="Arial"/>
          <w:w w:val="105"/>
          <w:sz w:val="19"/>
        </w:rPr>
        <w:t>formula</w:t>
      </w:r>
      <w:r>
        <w:rPr>
          <w:rFonts w:ascii="Arial"/>
          <w:spacing w:val="-27"/>
          <w:w w:val="105"/>
          <w:sz w:val="19"/>
        </w:rPr>
        <w:t xml:space="preserve"> </w:t>
      </w:r>
      <w:r>
        <w:rPr>
          <w:rFonts w:ascii="Arial"/>
          <w:w w:val="105"/>
          <w:sz w:val="19"/>
        </w:rPr>
        <w:t>was</w:t>
      </w:r>
      <w:r>
        <w:rPr>
          <w:rFonts w:ascii="Arial"/>
          <w:spacing w:val="-28"/>
          <w:w w:val="105"/>
          <w:sz w:val="19"/>
        </w:rPr>
        <w:t xml:space="preserve"> </w:t>
      </w:r>
      <w:r>
        <w:rPr>
          <w:rFonts w:ascii="Arial"/>
          <w:w w:val="105"/>
          <w:sz w:val="19"/>
        </w:rPr>
        <w:t>used</w:t>
      </w:r>
      <w:r>
        <w:rPr>
          <w:rFonts w:ascii="Arial"/>
          <w:spacing w:val="-28"/>
          <w:w w:val="105"/>
          <w:sz w:val="19"/>
        </w:rPr>
        <w:t xml:space="preserve"> </w:t>
      </w:r>
      <w:r>
        <w:rPr>
          <w:rFonts w:ascii="Arial"/>
          <w:w w:val="105"/>
          <w:sz w:val="19"/>
        </w:rPr>
        <w:t>to</w:t>
      </w:r>
      <w:r>
        <w:rPr>
          <w:rFonts w:ascii="Arial"/>
          <w:spacing w:val="-28"/>
          <w:w w:val="105"/>
          <w:sz w:val="19"/>
        </w:rPr>
        <w:t xml:space="preserve"> </w:t>
      </w:r>
      <w:r>
        <w:rPr>
          <w:rFonts w:ascii="Arial"/>
          <w:w w:val="105"/>
          <w:sz w:val="19"/>
        </w:rPr>
        <w:t>determine</w:t>
      </w:r>
      <w:r>
        <w:rPr>
          <w:rFonts w:ascii="Arial"/>
          <w:spacing w:val="-27"/>
          <w:w w:val="105"/>
          <w:sz w:val="19"/>
        </w:rPr>
        <w:t xml:space="preserve"> </w:t>
      </w:r>
      <w:r>
        <w:rPr>
          <w:rFonts w:ascii="Arial"/>
          <w:w w:val="105"/>
          <w:sz w:val="19"/>
        </w:rPr>
        <w:t>the</w:t>
      </w:r>
      <w:r>
        <w:rPr>
          <w:rFonts w:ascii="Arial"/>
          <w:spacing w:val="-28"/>
          <w:w w:val="105"/>
          <w:sz w:val="19"/>
        </w:rPr>
        <w:t xml:space="preserve"> </w:t>
      </w:r>
      <w:r>
        <w:rPr>
          <w:rFonts w:ascii="Arial"/>
          <w:w w:val="105"/>
          <w:sz w:val="19"/>
        </w:rPr>
        <w:t>compliance</w:t>
      </w:r>
      <w:r>
        <w:rPr>
          <w:rFonts w:ascii="Arial"/>
          <w:spacing w:val="-28"/>
          <w:w w:val="105"/>
          <w:sz w:val="19"/>
        </w:rPr>
        <w:t xml:space="preserve"> </w:t>
      </w:r>
      <w:r>
        <w:rPr>
          <w:rFonts w:ascii="Arial"/>
          <w:w w:val="105"/>
          <w:sz w:val="19"/>
        </w:rPr>
        <w:t>costs</w:t>
      </w:r>
      <w:r>
        <w:rPr>
          <w:rFonts w:ascii="Arial"/>
          <w:spacing w:val="-27"/>
          <w:w w:val="105"/>
          <w:sz w:val="19"/>
        </w:rPr>
        <w:t xml:space="preserve"> </w:t>
      </w:r>
      <w:r>
        <w:rPr>
          <w:rFonts w:ascii="Arial"/>
          <w:w w:val="105"/>
          <w:sz w:val="19"/>
        </w:rPr>
        <w:t>(administrative</w:t>
      </w:r>
      <w:r>
        <w:rPr>
          <w:rFonts w:ascii="Arial"/>
          <w:spacing w:val="-27"/>
          <w:w w:val="105"/>
          <w:sz w:val="19"/>
        </w:rPr>
        <w:t xml:space="preserve"> </w:t>
      </w:r>
      <w:r>
        <w:rPr>
          <w:rFonts w:ascii="Arial"/>
          <w:w w:val="105"/>
          <w:sz w:val="19"/>
        </w:rPr>
        <w:t>and substantive):</w:t>
      </w:r>
    </w:p>
    <w:p w:rsidR="007D76BB" w:rsidRDefault="00D70D28">
      <w:pPr>
        <w:pStyle w:val="ListParagraph"/>
        <w:numPr>
          <w:ilvl w:val="0"/>
          <w:numId w:val="9"/>
        </w:numPr>
        <w:tabs>
          <w:tab w:val="left" w:pos="1201"/>
          <w:tab w:val="left" w:pos="1202"/>
        </w:tabs>
        <w:spacing w:before="163" w:line="264" w:lineRule="auto"/>
        <w:ind w:left="1201" w:right="1153"/>
        <w:rPr>
          <w:rFonts w:ascii="Arial" w:hAnsi="Arial"/>
          <w:sz w:val="19"/>
        </w:rPr>
      </w:pPr>
      <w:proofErr w:type="gramStart"/>
      <w:r>
        <w:rPr>
          <w:rFonts w:ascii="Arial" w:hAnsi="Arial"/>
          <w:w w:val="105"/>
          <w:sz w:val="19"/>
        </w:rPr>
        <w:t>price</w:t>
      </w:r>
      <w:proofErr w:type="gramEnd"/>
      <w:r>
        <w:rPr>
          <w:rFonts w:ascii="Arial" w:hAnsi="Arial"/>
          <w:spacing w:val="-24"/>
          <w:w w:val="105"/>
          <w:sz w:val="19"/>
        </w:rPr>
        <w:t xml:space="preserve"> </w:t>
      </w:r>
      <w:r>
        <w:rPr>
          <w:rFonts w:ascii="Arial" w:hAnsi="Arial"/>
          <w:w w:val="105"/>
          <w:sz w:val="19"/>
        </w:rPr>
        <w:t>x</w:t>
      </w:r>
      <w:r>
        <w:rPr>
          <w:rFonts w:ascii="Arial" w:hAnsi="Arial"/>
          <w:spacing w:val="-23"/>
          <w:w w:val="105"/>
          <w:sz w:val="19"/>
        </w:rPr>
        <w:t xml:space="preserve"> </w:t>
      </w:r>
      <w:r>
        <w:rPr>
          <w:rFonts w:ascii="Arial" w:hAnsi="Arial"/>
          <w:w w:val="105"/>
          <w:sz w:val="19"/>
        </w:rPr>
        <w:t>quantity</w:t>
      </w:r>
      <w:r>
        <w:rPr>
          <w:rFonts w:ascii="Arial" w:hAnsi="Arial"/>
          <w:spacing w:val="-23"/>
          <w:w w:val="105"/>
          <w:sz w:val="19"/>
        </w:rPr>
        <w:t xml:space="preserve"> </w:t>
      </w:r>
      <w:r>
        <w:rPr>
          <w:rFonts w:ascii="Arial" w:hAnsi="Arial"/>
          <w:w w:val="105"/>
          <w:sz w:val="19"/>
        </w:rPr>
        <w:t>(or</w:t>
      </w:r>
      <w:r>
        <w:rPr>
          <w:rFonts w:ascii="Arial" w:hAnsi="Arial"/>
          <w:spacing w:val="-23"/>
          <w:w w:val="105"/>
          <w:sz w:val="19"/>
        </w:rPr>
        <w:t xml:space="preserve"> </w:t>
      </w:r>
      <w:r>
        <w:rPr>
          <w:rFonts w:ascii="Arial" w:hAnsi="Arial"/>
          <w:w w:val="105"/>
          <w:sz w:val="19"/>
        </w:rPr>
        <w:t>in</w:t>
      </w:r>
      <w:r>
        <w:rPr>
          <w:rFonts w:ascii="Arial" w:hAnsi="Arial"/>
          <w:spacing w:val="-22"/>
          <w:w w:val="105"/>
          <w:sz w:val="19"/>
        </w:rPr>
        <w:t xml:space="preserve"> </w:t>
      </w:r>
      <w:r>
        <w:rPr>
          <w:rFonts w:ascii="Arial" w:hAnsi="Arial"/>
          <w:w w:val="105"/>
          <w:sz w:val="19"/>
        </w:rPr>
        <w:t>its</w:t>
      </w:r>
      <w:r>
        <w:rPr>
          <w:rFonts w:ascii="Arial" w:hAnsi="Arial"/>
          <w:spacing w:val="-23"/>
          <w:w w:val="105"/>
          <w:sz w:val="19"/>
        </w:rPr>
        <w:t xml:space="preserve"> </w:t>
      </w:r>
      <w:r>
        <w:rPr>
          <w:rFonts w:ascii="Arial" w:hAnsi="Arial"/>
          <w:w w:val="105"/>
          <w:sz w:val="19"/>
        </w:rPr>
        <w:t>more</w:t>
      </w:r>
      <w:r>
        <w:rPr>
          <w:rFonts w:ascii="Arial" w:hAnsi="Arial"/>
          <w:spacing w:val="-22"/>
          <w:w w:val="105"/>
          <w:sz w:val="19"/>
        </w:rPr>
        <w:t xml:space="preserve"> </w:t>
      </w:r>
      <w:r>
        <w:rPr>
          <w:rFonts w:ascii="Arial" w:hAnsi="Arial"/>
          <w:w w:val="105"/>
          <w:sz w:val="19"/>
        </w:rPr>
        <w:t>expanded</w:t>
      </w:r>
      <w:r>
        <w:rPr>
          <w:rFonts w:ascii="Arial" w:hAnsi="Arial"/>
          <w:spacing w:val="-23"/>
          <w:w w:val="105"/>
          <w:sz w:val="19"/>
        </w:rPr>
        <w:t xml:space="preserve"> </w:t>
      </w:r>
      <w:r>
        <w:rPr>
          <w:rFonts w:ascii="Arial" w:hAnsi="Arial"/>
          <w:w w:val="105"/>
          <w:sz w:val="19"/>
        </w:rPr>
        <w:t>version:</w:t>
      </w:r>
      <w:r>
        <w:rPr>
          <w:rFonts w:ascii="Arial" w:hAnsi="Arial"/>
          <w:spacing w:val="-22"/>
          <w:w w:val="105"/>
          <w:sz w:val="19"/>
        </w:rPr>
        <w:t xml:space="preserve"> </w:t>
      </w:r>
      <w:r>
        <w:rPr>
          <w:rFonts w:ascii="Arial" w:hAnsi="Arial"/>
          <w:w w:val="105"/>
          <w:sz w:val="19"/>
        </w:rPr>
        <w:t>(Time</w:t>
      </w:r>
      <w:r>
        <w:rPr>
          <w:rFonts w:ascii="Arial" w:hAnsi="Arial"/>
          <w:spacing w:val="-24"/>
          <w:w w:val="105"/>
          <w:sz w:val="19"/>
        </w:rPr>
        <w:t xml:space="preserve"> </w:t>
      </w:r>
      <w:r>
        <w:rPr>
          <w:rFonts w:ascii="Arial" w:hAnsi="Arial"/>
          <w:w w:val="105"/>
          <w:sz w:val="19"/>
        </w:rPr>
        <w:t>required</w:t>
      </w:r>
      <w:r>
        <w:rPr>
          <w:rFonts w:ascii="Arial" w:hAnsi="Arial"/>
          <w:spacing w:val="-23"/>
          <w:w w:val="105"/>
          <w:sz w:val="19"/>
        </w:rPr>
        <w:t xml:space="preserve"> </w:t>
      </w:r>
      <w:r>
        <w:rPr>
          <w:rFonts w:ascii="Arial" w:hAnsi="Arial"/>
          <w:w w:val="105"/>
          <w:sz w:val="19"/>
        </w:rPr>
        <w:t>×</w:t>
      </w:r>
      <w:r>
        <w:rPr>
          <w:rFonts w:ascii="Arial" w:hAnsi="Arial"/>
          <w:spacing w:val="-20"/>
          <w:w w:val="105"/>
          <w:sz w:val="19"/>
        </w:rPr>
        <w:t xml:space="preserve"> </w:t>
      </w:r>
      <w:proofErr w:type="spellStart"/>
      <w:r>
        <w:rPr>
          <w:rFonts w:ascii="Arial" w:hAnsi="Arial"/>
          <w:w w:val="105"/>
          <w:sz w:val="19"/>
        </w:rPr>
        <w:t>Labour</w:t>
      </w:r>
      <w:proofErr w:type="spellEnd"/>
      <w:r>
        <w:rPr>
          <w:rFonts w:ascii="Arial" w:hAnsi="Arial"/>
          <w:spacing w:val="-22"/>
          <w:w w:val="105"/>
          <w:sz w:val="19"/>
        </w:rPr>
        <w:t xml:space="preserve"> </w:t>
      </w:r>
      <w:r>
        <w:rPr>
          <w:rFonts w:ascii="Arial" w:hAnsi="Arial"/>
          <w:w w:val="105"/>
          <w:sz w:val="19"/>
        </w:rPr>
        <w:t>cost)</w:t>
      </w:r>
      <w:r>
        <w:rPr>
          <w:rFonts w:ascii="Arial" w:hAnsi="Arial"/>
          <w:spacing w:val="-23"/>
          <w:w w:val="105"/>
          <w:sz w:val="19"/>
        </w:rPr>
        <w:t xml:space="preserve"> </w:t>
      </w:r>
      <w:r>
        <w:rPr>
          <w:rFonts w:ascii="Arial" w:hAnsi="Arial"/>
          <w:w w:val="105"/>
          <w:sz w:val="19"/>
        </w:rPr>
        <w:t>×</w:t>
      </w:r>
      <w:r>
        <w:rPr>
          <w:rFonts w:ascii="Arial" w:hAnsi="Arial"/>
          <w:spacing w:val="-23"/>
          <w:w w:val="105"/>
          <w:sz w:val="19"/>
        </w:rPr>
        <w:t xml:space="preserve"> </w:t>
      </w:r>
      <w:r>
        <w:rPr>
          <w:rFonts w:ascii="Arial" w:hAnsi="Arial"/>
          <w:w w:val="105"/>
          <w:sz w:val="19"/>
        </w:rPr>
        <w:t>(Times performed</w:t>
      </w:r>
      <w:r>
        <w:rPr>
          <w:rFonts w:ascii="Arial" w:hAnsi="Arial"/>
          <w:spacing w:val="-21"/>
          <w:w w:val="105"/>
          <w:sz w:val="19"/>
        </w:rPr>
        <w:t xml:space="preserve"> </w:t>
      </w:r>
      <w:r>
        <w:rPr>
          <w:rFonts w:ascii="Arial" w:hAnsi="Arial"/>
          <w:w w:val="105"/>
          <w:sz w:val="19"/>
        </w:rPr>
        <w:t>×</w:t>
      </w:r>
      <w:r>
        <w:rPr>
          <w:rFonts w:ascii="Arial" w:hAnsi="Arial"/>
          <w:spacing w:val="-20"/>
          <w:w w:val="105"/>
          <w:sz w:val="19"/>
        </w:rPr>
        <w:t xml:space="preserve"> </w:t>
      </w:r>
      <w:r>
        <w:rPr>
          <w:rFonts w:ascii="Arial" w:hAnsi="Arial"/>
          <w:w w:val="105"/>
          <w:sz w:val="19"/>
        </w:rPr>
        <w:t>Number</w:t>
      </w:r>
      <w:r>
        <w:rPr>
          <w:rFonts w:ascii="Arial" w:hAnsi="Arial"/>
          <w:spacing w:val="-19"/>
          <w:w w:val="105"/>
          <w:sz w:val="19"/>
        </w:rPr>
        <w:t xml:space="preserve"> </w:t>
      </w:r>
      <w:r>
        <w:rPr>
          <w:rFonts w:ascii="Arial" w:hAnsi="Arial"/>
          <w:w w:val="105"/>
          <w:sz w:val="19"/>
        </w:rPr>
        <w:t>of</w:t>
      </w:r>
      <w:r>
        <w:rPr>
          <w:rFonts w:ascii="Arial" w:hAnsi="Arial"/>
          <w:spacing w:val="-20"/>
          <w:w w:val="105"/>
          <w:sz w:val="19"/>
        </w:rPr>
        <w:t xml:space="preserve"> </w:t>
      </w:r>
      <w:r>
        <w:rPr>
          <w:rFonts w:ascii="Arial" w:hAnsi="Arial"/>
          <w:w w:val="105"/>
          <w:sz w:val="19"/>
        </w:rPr>
        <w:t>businesses</w:t>
      </w:r>
      <w:r>
        <w:rPr>
          <w:rFonts w:ascii="Arial" w:hAnsi="Arial"/>
          <w:spacing w:val="-20"/>
          <w:w w:val="105"/>
          <w:sz w:val="19"/>
        </w:rPr>
        <w:t xml:space="preserve"> </w:t>
      </w:r>
      <w:r>
        <w:rPr>
          <w:rFonts w:ascii="Arial" w:hAnsi="Arial"/>
          <w:w w:val="105"/>
          <w:sz w:val="19"/>
        </w:rPr>
        <w:t>or</w:t>
      </w:r>
      <w:r>
        <w:rPr>
          <w:rFonts w:ascii="Arial" w:hAnsi="Arial"/>
          <w:spacing w:val="-21"/>
          <w:w w:val="105"/>
          <w:sz w:val="19"/>
        </w:rPr>
        <w:t xml:space="preserve"> </w:t>
      </w:r>
      <w:r>
        <w:rPr>
          <w:rFonts w:ascii="Arial" w:hAnsi="Arial"/>
          <w:w w:val="105"/>
          <w:sz w:val="19"/>
        </w:rPr>
        <w:t>community</w:t>
      </w:r>
      <w:r>
        <w:rPr>
          <w:rFonts w:ascii="Arial" w:hAnsi="Arial"/>
          <w:spacing w:val="-22"/>
          <w:w w:val="105"/>
          <w:sz w:val="19"/>
        </w:rPr>
        <w:t xml:space="preserve"> </w:t>
      </w:r>
      <w:proofErr w:type="spellStart"/>
      <w:r>
        <w:rPr>
          <w:rFonts w:ascii="Arial" w:hAnsi="Arial"/>
          <w:w w:val="105"/>
          <w:sz w:val="19"/>
        </w:rPr>
        <w:t>organisations</w:t>
      </w:r>
      <w:proofErr w:type="spellEnd"/>
      <w:r>
        <w:rPr>
          <w:rFonts w:ascii="Arial" w:hAnsi="Arial"/>
          <w:spacing w:val="-19"/>
          <w:w w:val="105"/>
          <w:sz w:val="19"/>
        </w:rPr>
        <w:t xml:space="preserve"> </w:t>
      </w:r>
      <w:r>
        <w:rPr>
          <w:rFonts w:ascii="Arial" w:hAnsi="Arial"/>
          <w:w w:val="105"/>
          <w:sz w:val="19"/>
        </w:rPr>
        <w:t>×</w:t>
      </w:r>
      <w:r>
        <w:rPr>
          <w:rFonts w:ascii="Arial" w:hAnsi="Arial"/>
          <w:spacing w:val="-20"/>
          <w:w w:val="105"/>
          <w:sz w:val="19"/>
        </w:rPr>
        <w:t xml:space="preserve"> </w:t>
      </w:r>
      <w:r>
        <w:rPr>
          <w:rFonts w:ascii="Arial" w:hAnsi="Arial"/>
          <w:w w:val="105"/>
          <w:sz w:val="19"/>
        </w:rPr>
        <w:t>Number</w:t>
      </w:r>
      <w:r>
        <w:rPr>
          <w:rFonts w:ascii="Arial" w:hAnsi="Arial"/>
          <w:spacing w:val="-19"/>
          <w:w w:val="105"/>
          <w:sz w:val="19"/>
        </w:rPr>
        <w:t xml:space="preserve"> </w:t>
      </w:r>
      <w:r>
        <w:rPr>
          <w:rFonts w:ascii="Arial" w:hAnsi="Arial"/>
          <w:w w:val="105"/>
          <w:sz w:val="19"/>
        </w:rPr>
        <w:t>of</w:t>
      </w:r>
      <w:r>
        <w:rPr>
          <w:rFonts w:ascii="Arial" w:hAnsi="Arial"/>
          <w:spacing w:val="-21"/>
          <w:w w:val="105"/>
          <w:sz w:val="19"/>
        </w:rPr>
        <w:t xml:space="preserve"> </w:t>
      </w:r>
      <w:r>
        <w:rPr>
          <w:rFonts w:ascii="Arial" w:hAnsi="Arial"/>
          <w:w w:val="105"/>
          <w:sz w:val="19"/>
        </w:rPr>
        <w:t>staff)).</w:t>
      </w:r>
    </w:p>
    <w:p w:rsidR="007D76BB" w:rsidRDefault="00D70D28">
      <w:pPr>
        <w:spacing w:before="179" w:line="264" w:lineRule="auto"/>
        <w:ind w:left="482" w:right="884"/>
        <w:jc w:val="both"/>
        <w:rPr>
          <w:rFonts w:ascii="Arial"/>
          <w:sz w:val="19"/>
        </w:rPr>
      </w:pPr>
      <w:r>
        <w:rPr>
          <w:rFonts w:ascii="Arial"/>
          <w:w w:val="105"/>
          <w:sz w:val="19"/>
        </w:rPr>
        <w:t>As</w:t>
      </w:r>
      <w:r>
        <w:rPr>
          <w:rFonts w:ascii="Arial"/>
          <w:spacing w:val="-22"/>
          <w:w w:val="105"/>
          <w:sz w:val="19"/>
        </w:rPr>
        <w:t xml:space="preserve"> </w:t>
      </w:r>
      <w:r>
        <w:rPr>
          <w:rFonts w:ascii="Arial"/>
          <w:w w:val="105"/>
          <w:sz w:val="19"/>
        </w:rPr>
        <w:t>detailed</w:t>
      </w:r>
      <w:r>
        <w:rPr>
          <w:rFonts w:ascii="Arial"/>
          <w:spacing w:val="-22"/>
          <w:w w:val="105"/>
          <w:sz w:val="19"/>
        </w:rPr>
        <w:t xml:space="preserve"> </w:t>
      </w:r>
      <w:r>
        <w:rPr>
          <w:rFonts w:ascii="Arial"/>
          <w:w w:val="105"/>
          <w:sz w:val="19"/>
        </w:rPr>
        <w:t>earlier</w:t>
      </w:r>
      <w:r>
        <w:rPr>
          <w:rFonts w:ascii="Arial"/>
          <w:spacing w:val="-23"/>
          <w:w w:val="105"/>
          <w:sz w:val="19"/>
        </w:rPr>
        <w:t xml:space="preserve"> </w:t>
      </w:r>
      <w:r>
        <w:rPr>
          <w:rFonts w:ascii="Arial"/>
          <w:w w:val="105"/>
          <w:sz w:val="19"/>
        </w:rPr>
        <w:t>in</w:t>
      </w:r>
      <w:r>
        <w:rPr>
          <w:rFonts w:ascii="Arial"/>
          <w:spacing w:val="-22"/>
          <w:w w:val="105"/>
          <w:sz w:val="19"/>
        </w:rPr>
        <w:t xml:space="preserve"> </w:t>
      </w:r>
      <w:r>
        <w:rPr>
          <w:rFonts w:ascii="Arial"/>
          <w:w w:val="105"/>
          <w:sz w:val="19"/>
        </w:rPr>
        <w:t>this</w:t>
      </w:r>
      <w:r>
        <w:rPr>
          <w:rFonts w:ascii="Arial"/>
          <w:spacing w:val="-23"/>
          <w:w w:val="105"/>
          <w:sz w:val="19"/>
        </w:rPr>
        <w:t xml:space="preserve"> </w:t>
      </w:r>
      <w:r>
        <w:rPr>
          <w:rFonts w:ascii="Arial"/>
          <w:w w:val="105"/>
          <w:sz w:val="19"/>
        </w:rPr>
        <w:t>report,</w:t>
      </w:r>
      <w:r>
        <w:rPr>
          <w:rFonts w:ascii="Arial"/>
          <w:spacing w:val="-18"/>
          <w:w w:val="105"/>
          <w:sz w:val="19"/>
        </w:rPr>
        <w:t xml:space="preserve"> </w:t>
      </w:r>
      <w:r>
        <w:rPr>
          <w:rFonts w:ascii="Arial"/>
          <w:w w:val="105"/>
          <w:sz w:val="19"/>
        </w:rPr>
        <w:t>various</w:t>
      </w:r>
      <w:r>
        <w:rPr>
          <w:rFonts w:ascii="Arial"/>
          <w:spacing w:val="-23"/>
          <w:w w:val="105"/>
          <w:sz w:val="19"/>
        </w:rPr>
        <w:t xml:space="preserve"> </w:t>
      </w:r>
      <w:r>
        <w:rPr>
          <w:rFonts w:ascii="Arial"/>
          <w:w w:val="105"/>
          <w:sz w:val="19"/>
        </w:rPr>
        <w:t>engagement</w:t>
      </w:r>
      <w:r>
        <w:rPr>
          <w:rFonts w:ascii="Arial"/>
          <w:spacing w:val="-22"/>
          <w:w w:val="105"/>
          <w:sz w:val="19"/>
        </w:rPr>
        <w:t xml:space="preserve"> </w:t>
      </w:r>
      <w:r>
        <w:rPr>
          <w:rFonts w:ascii="Arial"/>
          <w:w w:val="105"/>
          <w:sz w:val="19"/>
        </w:rPr>
        <w:t>activities</w:t>
      </w:r>
      <w:r>
        <w:rPr>
          <w:rFonts w:ascii="Arial"/>
          <w:spacing w:val="-22"/>
          <w:w w:val="105"/>
          <w:sz w:val="19"/>
        </w:rPr>
        <w:t xml:space="preserve"> </w:t>
      </w:r>
      <w:r>
        <w:rPr>
          <w:rFonts w:ascii="Arial"/>
          <w:w w:val="105"/>
          <w:sz w:val="19"/>
        </w:rPr>
        <w:t>have</w:t>
      </w:r>
      <w:r>
        <w:rPr>
          <w:rFonts w:ascii="Arial"/>
          <w:spacing w:val="-21"/>
          <w:w w:val="105"/>
          <w:sz w:val="19"/>
        </w:rPr>
        <w:t xml:space="preserve"> </w:t>
      </w:r>
      <w:r>
        <w:rPr>
          <w:rFonts w:ascii="Arial"/>
          <w:w w:val="105"/>
          <w:sz w:val="19"/>
        </w:rPr>
        <w:t>been</w:t>
      </w:r>
      <w:r>
        <w:rPr>
          <w:rFonts w:ascii="Arial"/>
          <w:spacing w:val="-22"/>
          <w:w w:val="105"/>
          <w:sz w:val="19"/>
        </w:rPr>
        <w:t xml:space="preserve"> </w:t>
      </w:r>
      <w:r>
        <w:rPr>
          <w:rFonts w:ascii="Arial"/>
          <w:w w:val="105"/>
          <w:sz w:val="19"/>
        </w:rPr>
        <w:t>undertaken</w:t>
      </w:r>
      <w:r>
        <w:rPr>
          <w:rFonts w:ascii="Arial"/>
          <w:spacing w:val="-22"/>
          <w:w w:val="105"/>
          <w:sz w:val="19"/>
        </w:rPr>
        <w:t xml:space="preserve"> </w:t>
      </w:r>
      <w:r>
        <w:rPr>
          <w:rFonts w:ascii="Arial"/>
          <w:w w:val="105"/>
          <w:sz w:val="19"/>
        </w:rPr>
        <w:t>to</w:t>
      </w:r>
      <w:r>
        <w:rPr>
          <w:rFonts w:ascii="Arial"/>
          <w:spacing w:val="-22"/>
          <w:w w:val="105"/>
          <w:sz w:val="19"/>
        </w:rPr>
        <w:t xml:space="preserve"> </w:t>
      </w:r>
      <w:r>
        <w:rPr>
          <w:rFonts w:ascii="Arial"/>
          <w:w w:val="105"/>
          <w:sz w:val="19"/>
        </w:rPr>
        <w:t>identify</w:t>
      </w:r>
      <w:r>
        <w:rPr>
          <w:rFonts w:ascii="Arial"/>
          <w:spacing w:val="-23"/>
          <w:w w:val="105"/>
          <w:sz w:val="19"/>
        </w:rPr>
        <w:t xml:space="preserve"> </w:t>
      </w:r>
      <w:r>
        <w:rPr>
          <w:rFonts w:ascii="Arial"/>
          <w:w w:val="105"/>
          <w:sz w:val="19"/>
        </w:rPr>
        <w:t>the first-</w:t>
      </w:r>
      <w:r>
        <w:rPr>
          <w:rFonts w:ascii="Arial"/>
          <w:spacing w:val="-17"/>
          <w:w w:val="105"/>
          <w:sz w:val="19"/>
        </w:rPr>
        <w:t xml:space="preserve"> </w:t>
      </w:r>
      <w:r>
        <w:rPr>
          <w:rFonts w:ascii="Arial"/>
          <w:w w:val="105"/>
          <w:sz w:val="19"/>
        </w:rPr>
        <w:t>and</w:t>
      </w:r>
      <w:r>
        <w:rPr>
          <w:rFonts w:ascii="Arial"/>
          <w:spacing w:val="-19"/>
          <w:w w:val="105"/>
          <w:sz w:val="19"/>
        </w:rPr>
        <w:t xml:space="preserve"> </w:t>
      </w:r>
      <w:r>
        <w:rPr>
          <w:rFonts w:ascii="Arial"/>
          <w:w w:val="105"/>
          <w:sz w:val="19"/>
        </w:rPr>
        <w:t>second-order</w:t>
      </w:r>
      <w:r>
        <w:rPr>
          <w:rFonts w:ascii="Arial"/>
          <w:spacing w:val="-18"/>
          <w:w w:val="105"/>
          <w:sz w:val="19"/>
        </w:rPr>
        <w:t xml:space="preserve"> </w:t>
      </w:r>
      <w:r>
        <w:rPr>
          <w:rFonts w:ascii="Arial"/>
          <w:w w:val="105"/>
          <w:sz w:val="19"/>
        </w:rPr>
        <w:t>touchpoints</w:t>
      </w:r>
      <w:r>
        <w:rPr>
          <w:rFonts w:ascii="Arial"/>
          <w:spacing w:val="-20"/>
          <w:w w:val="105"/>
          <w:sz w:val="19"/>
        </w:rPr>
        <w:t xml:space="preserve"> </w:t>
      </w:r>
      <w:r>
        <w:rPr>
          <w:rFonts w:ascii="Arial"/>
          <w:w w:val="105"/>
          <w:sz w:val="19"/>
        </w:rPr>
        <w:t>for</w:t>
      </w:r>
      <w:r>
        <w:rPr>
          <w:rFonts w:ascii="Arial"/>
          <w:spacing w:val="-16"/>
          <w:w w:val="105"/>
          <w:sz w:val="19"/>
        </w:rPr>
        <w:t xml:space="preserve"> </w:t>
      </w:r>
      <w:r>
        <w:rPr>
          <w:rFonts w:ascii="Arial"/>
          <w:w w:val="105"/>
          <w:sz w:val="19"/>
        </w:rPr>
        <w:t>stakeholder</w:t>
      </w:r>
      <w:r>
        <w:rPr>
          <w:rFonts w:ascii="Arial"/>
          <w:spacing w:val="-19"/>
          <w:w w:val="105"/>
          <w:sz w:val="19"/>
        </w:rPr>
        <w:t xml:space="preserve"> </w:t>
      </w:r>
      <w:r>
        <w:rPr>
          <w:rFonts w:ascii="Arial"/>
          <w:w w:val="105"/>
          <w:sz w:val="19"/>
        </w:rPr>
        <w:t>groups</w:t>
      </w:r>
      <w:r>
        <w:rPr>
          <w:rFonts w:ascii="Arial"/>
          <w:spacing w:val="-17"/>
          <w:w w:val="105"/>
          <w:sz w:val="19"/>
        </w:rPr>
        <w:t xml:space="preserve"> </w:t>
      </w:r>
      <w:r>
        <w:rPr>
          <w:rFonts w:ascii="Arial"/>
          <w:w w:val="105"/>
          <w:sz w:val="19"/>
        </w:rPr>
        <w:t>to</w:t>
      </w:r>
      <w:r>
        <w:rPr>
          <w:rFonts w:ascii="Arial"/>
          <w:spacing w:val="-19"/>
          <w:w w:val="105"/>
          <w:sz w:val="19"/>
        </w:rPr>
        <w:t xml:space="preserve"> </w:t>
      </w:r>
      <w:r>
        <w:rPr>
          <w:rFonts w:ascii="Arial"/>
          <w:w w:val="105"/>
          <w:sz w:val="19"/>
        </w:rPr>
        <w:t>allow</w:t>
      </w:r>
      <w:r>
        <w:rPr>
          <w:rFonts w:ascii="Arial"/>
          <w:spacing w:val="-18"/>
          <w:w w:val="105"/>
          <w:sz w:val="19"/>
        </w:rPr>
        <w:t xml:space="preserve"> </w:t>
      </w:r>
      <w:r>
        <w:rPr>
          <w:rFonts w:ascii="Arial"/>
          <w:w w:val="105"/>
          <w:sz w:val="19"/>
        </w:rPr>
        <w:t>the</w:t>
      </w:r>
      <w:r>
        <w:rPr>
          <w:rFonts w:ascii="Arial"/>
          <w:spacing w:val="-19"/>
          <w:w w:val="105"/>
          <w:sz w:val="19"/>
        </w:rPr>
        <w:t xml:space="preserve"> </w:t>
      </w:r>
      <w:r>
        <w:rPr>
          <w:rFonts w:ascii="Arial"/>
          <w:w w:val="105"/>
          <w:sz w:val="19"/>
        </w:rPr>
        <w:t>arising</w:t>
      </w:r>
      <w:r>
        <w:rPr>
          <w:rFonts w:ascii="Arial"/>
          <w:spacing w:val="-18"/>
          <w:w w:val="105"/>
          <w:sz w:val="19"/>
        </w:rPr>
        <w:t xml:space="preserve"> </w:t>
      </w:r>
      <w:r>
        <w:rPr>
          <w:rFonts w:ascii="Arial"/>
          <w:w w:val="105"/>
          <w:sz w:val="19"/>
        </w:rPr>
        <w:t>regulatory</w:t>
      </w:r>
      <w:r>
        <w:rPr>
          <w:rFonts w:ascii="Arial"/>
          <w:spacing w:val="-17"/>
          <w:w w:val="105"/>
          <w:sz w:val="19"/>
        </w:rPr>
        <w:t xml:space="preserve"> </w:t>
      </w:r>
      <w:r>
        <w:rPr>
          <w:rFonts w:ascii="Arial"/>
          <w:w w:val="105"/>
          <w:sz w:val="19"/>
        </w:rPr>
        <w:t>burden</w:t>
      </w:r>
      <w:r>
        <w:rPr>
          <w:rFonts w:ascii="Arial"/>
          <w:spacing w:val="-18"/>
          <w:w w:val="105"/>
          <w:sz w:val="19"/>
        </w:rPr>
        <w:t xml:space="preserve"> </w:t>
      </w:r>
      <w:r>
        <w:rPr>
          <w:rFonts w:ascii="Arial"/>
          <w:w w:val="105"/>
          <w:sz w:val="19"/>
        </w:rPr>
        <w:t>to be</w:t>
      </w:r>
      <w:r>
        <w:rPr>
          <w:rFonts w:ascii="Arial"/>
          <w:spacing w:val="-10"/>
          <w:w w:val="105"/>
          <w:sz w:val="19"/>
        </w:rPr>
        <w:t xml:space="preserve"> </w:t>
      </w:r>
      <w:r>
        <w:rPr>
          <w:rFonts w:ascii="Arial"/>
          <w:w w:val="105"/>
          <w:sz w:val="19"/>
        </w:rPr>
        <w:t>quantified.</w:t>
      </w:r>
    </w:p>
    <w:p w:rsidR="007D76BB" w:rsidRDefault="00D70D28">
      <w:pPr>
        <w:pStyle w:val="Heading4"/>
        <w:spacing w:before="176"/>
        <w:jc w:val="both"/>
        <w:rPr>
          <w:b/>
        </w:rPr>
      </w:pPr>
      <w:bookmarkStart w:id="156" w:name="_bookmark82"/>
      <w:bookmarkEnd w:id="156"/>
      <w:proofErr w:type="spellStart"/>
      <w:r>
        <w:rPr>
          <w:b/>
          <w:color w:val="005386"/>
        </w:rPr>
        <w:t>Labour</w:t>
      </w:r>
      <w:proofErr w:type="spellEnd"/>
      <w:r>
        <w:rPr>
          <w:b/>
          <w:color w:val="005386"/>
        </w:rPr>
        <w:t xml:space="preserve"> Cost</w:t>
      </w:r>
    </w:p>
    <w:p w:rsidR="007D76BB" w:rsidRDefault="00D70D28">
      <w:pPr>
        <w:spacing w:before="194" w:line="266" w:lineRule="auto"/>
        <w:ind w:left="482" w:right="973"/>
        <w:rPr>
          <w:rFonts w:ascii="Arial" w:hAnsi="Arial"/>
          <w:sz w:val="19"/>
        </w:rPr>
      </w:pPr>
      <w:r>
        <w:rPr>
          <w:rFonts w:ascii="Arial" w:hAnsi="Arial"/>
          <w:w w:val="105"/>
          <w:sz w:val="19"/>
        </w:rPr>
        <w:t>The</w:t>
      </w:r>
      <w:r>
        <w:rPr>
          <w:rFonts w:ascii="Arial" w:hAnsi="Arial"/>
          <w:spacing w:val="-37"/>
          <w:w w:val="105"/>
          <w:sz w:val="19"/>
        </w:rPr>
        <w:t xml:space="preserve"> </w:t>
      </w:r>
      <w:r>
        <w:rPr>
          <w:rFonts w:ascii="Arial" w:hAnsi="Arial"/>
          <w:w w:val="105"/>
          <w:sz w:val="19"/>
        </w:rPr>
        <w:t>Australian</w:t>
      </w:r>
      <w:r>
        <w:rPr>
          <w:rFonts w:ascii="Arial" w:hAnsi="Arial"/>
          <w:spacing w:val="-37"/>
          <w:w w:val="105"/>
          <w:sz w:val="19"/>
        </w:rPr>
        <w:t xml:space="preserve"> </w:t>
      </w:r>
      <w:r>
        <w:rPr>
          <w:rFonts w:ascii="Arial" w:hAnsi="Arial"/>
          <w:w w:val="105"/>
          <w:sz w:val="19"/>
        </w:rPr>
        <w:t>Bureau</w:t>
      </w:r>
      <w:r>
        <w:rPr>
          <w:rFonts w:ascii="Arial" w:hAnsi="Arial"/>
          <w:spacing w:val="-37"/>
          <w:w w:val="105"/>
          <w:sz w:val="19"/>
        </w:rPr>
        <w:t xml:space="preserve"> </w:t>
      </w:r>
      <w:r>
        <w:rPr>
          <w:rFonts w:ascii="Arial" w:hAnsi="Arial"/>
          <w:w w:val="105"/>
          <w:sz w:val="19"/>
        </w:rPr>
        <w:t>of</w:t>
      </w:r>
      <w:r>
        <w:rPr>
          <w:rFonts w:ascii="Arial" w:hAnsi="Arial"/>
          <w:spacing w:val="-37"/>
          <w:w w:val="105"/>
          <w:sz w:val="19"/>
        </w:rPr>
        <w:t xml:space="preserve"> </w:t>
      </w:r>
      <w:r>
        <w:rPr>
          <w:rFonts w:ascii="Arial" w:hAnsi="Arial"/>
          <w:w w:val="105"/>
          <w:sz w:val="19"/>
        </w:rPr>
        <w:t>Statistics</w:t>
      </w:r>
      <w:r>
        <w:rPr>
          <w:rFonts w:ascii="Arial" w:hAnsi="Arial"/>
          <w:spacing w:val="-37"/>
          <w:w w:val="105"/>
          <w:sz w:val="19"/>
        </w:rPr>
        <w:t xml:space="preserve"> </w:t>
      </w:r>
      <w:r>
        <w:rPr>
          <w:rFonts w:ascii="Arial" w:hAnsi="Arial"/>
          <w:w w:val="105"/>
          <w:sz w:val="19"/>
        </w:rPr>
        <w:t>(ABS)</w:t>
      </w:r>
      <w:r>
        <w:rPr>
          <w:rFonts w:ascii="Arial" w:hAnsi="Arial"/>
          <w:spacing w:val="-37"/>
          <w:w w:val="105"/>
          <w:sz w:val="19"/>
        </w:rPr>
        <w:t xml:space="preserve"> </w:t>
      </w:r>
      <w:r>
        <w:rPr>
          <w:rFonts w:ascii="Arial" w:hAnsi="Arial"/>
          <w:w w:val="105"/>
          <w:sz w:val="19"/>
        </w:rPr>
        <w:t>publishes</w:t>
      </w:r>
      <w:r>
        <w:rPr>
          <w:rFonts w:ascii="Arial" w:hAnsi="Arial"/>
          <w:spacing w:val="-37"/>
          <w:w w:val="105"/>
          <w:sz w:val="19"/>
        </w:rPr>
        <w:t xml:space="preserve"> </w:t>
      </w:r>
      <w:r>
        <w:rPr>
          <w:rFonts w:ascii="Arial" w:hAnsi="Arial"/>
          <w:w w:val="105"/>
          <w:sz w:val="19"/>
        </w:rPr>
        <w:t>‘Average</w:t>
      </w:r>
      <w:r>
        <w:rPr>
          <w:rFonts w:ascii="Arial" w:hAnsi="Arial"/>
          <w:spacing w:val="-38"/>
          <w:w w:val="105"/>
          <w:sz w:val="19"/>
        </w:rPr>
        <w:t xml:space="preserve"> </w:t>
      </w:r>
      <w:r>
        <w:rPr>
          <w:rFonts w:ascii="Arial" w:hAnsi="Arial"/>
          <w:w w:val="105"/>
          <w:sz w:val="19"/>
        </w:rPr>
        <w:t>Weekly</w:t>
      </w:r>
      <w:r>
        <w:rPr>
          <w:rFonts w:ascii="Arial" w:hAnsi="Arial"/>
          <w:spacing w:val="-37"/>
          <w:w w:val="105"/>
          <w:sz w:val="19"/>
        </w:rPr>
        <w:t xml:space="preserve"> </w:t>
      </w:r>
      <w:r>
        <w:rPr>
          <w:rFonts w:ascii="Arial" w:hAnsi="Arial"/>
          <w:w w:val="105"/>
          <w:sz w:val="19"/>
        </w:rPr>
        <w:t>Earnings’</w:t>
      </w:r>
      <w:r>
        <w:rPr>
          <w:rFonts w:ascii="Arial" w:hAnsi="Arial"/>
          <w:spacing w:val="-34"/>
          <w:w w:val="105"/>
          <w:sz w:val="19"/>
        </w:rPr>
        <w:t xml:space="preserve"> </w:t>
      </w:r>
      <w:r>
        <w:rPr>
          <w:rFonts w:ascii="Arial" w:hAnsi="Arial"/>
          <w:w w:val="105"/>
          <w:sz w:val="19"/>
        </w:rPr>
        <w:t>semi-annually.</w:t>
      </w:r>
      <w:r>
        <w:rPr>
          <w:rFonts w:ascii="Arial" w:hAnsi="Arial"/>
          <w:spacing w:val="-37"/>
          <w:w w:val="105"/>
          <w:sz w:val="19"/>
        </w:rPr>
        <w:t xml:space="preserve"> </w:t>
      </w:r>
      <w:r>
        <w:rPr>
          <w:rFonts w:ascii="Arial" w:hAnsi="Arial"/>
          <w:w w:val="105"/>
          <w:sz w:val="19"/>
        </w:rPr>
        <w:t>As</w:t>
      </w:r>
      <w:r>
        <w:rPr>
          <w:rFonts w:ascii="Arial" w:hAnsi="Arial"/>
          <w:spacing w:val="-38"/>
          <w:w w:val="105"/>
          <w:sz w:val="19"/>
        </w:rPr>
        <w:t xml:space="preserve"> </w:t>
      </w:r>
      <w:r>
        <w:rPr>
          <w:rFonts w:ascii="Arial" w:hAnsi="Arial"/>
          <w:w w:val="105"/>
          <w:sz w:val="19"/>
        </w:rPr>
        <w:t>at 3</w:t>
      </w:r>
      <w:r>
        <w:rPr>
          <w:rFonts w:ascii="Arial" w:hAnsi="Arial"/>
          <w:spacing w:val="-25"/>
          <w:w w:val="105"/>
          <w:sz w:val="19"/>
        </w:rPr>
        <w:t xml:space="preserve"> </w:t>
      </w:r>
      <w:r>
        <w:rPr>
          <w:rFonts w:ascii="Arial" w:hAnsi="Arial"/>
          <w:w w:val="105"/>
          <w:sz w:val="19"/>
        </w:rPr>
        <w:t>April</w:t>
      </w:r>
      <w:r>
        <w:rPr>
          <w:rFonts w:ascii="Arial" w:hAnsi="Arial"/>
          <w:spacing w:val="-25"/>
          <w:w w:val="105"/>
          <w:sz w:val="19"/>
        </w:rPr>
        <w:t xml:space="preserve"> </w:t>
      </w:r>
      <w:r>
        <w:rPr>
          <w:rFonts w:ascii="Arial" w:hAnsi="Arial"/>
          <w:w w:val="105"/>
          <w:sz w:val="19"/>
        </w:rPr>
        <w:t>2020,</w:t>
      </w:r>
      <w:r>
        <w:rPr>
          <w:rFonts w:ascii="Arial" w:hAnsi="Arial"/>
          <w:spacing w:val="-26"/>
          <w:w w:val="105"/>
          <w:sz w:val="19"/>
        </w:rPr>
        <w:t xml:space="preserve"> </w:t>
      </w:r>
      <w:r>
        <w:rPr>
          <w:rFonts w:ascii="Arial" w:hAnsi="Arial"/>
          <w:w w:val="105"/>
          <w:sz w:val="19"/>
        </w:rPr>
        <w:t>the</w:t>
      </w:r>
      <w:r>
        <w:rPr>
          <w:rFonts w:ascii="Arial" w:hAnsi="Arial"/>
          <w:spacing w:val="-25"/>
          <w:w w:val="105"/>
          <w:sz w:val="19"/>
        </w:rPr>
        <w:t xml:space="preserve"> </w:t>
      </w:r>
      <w:r>
        <w:rPr>
          <w:rFonts w:ascii="Arial" w:hAnsi="Arial"/>
          <w:w w:val="105"/>
          <w:sz w:val="19"/>
        </w:rPr>
        <w:t>latest</w:t>
      </w:r>
      <w:r>
        <w:rPr>
          <w:rFonts w:ascii="Arial" w:hAnsi="Arial"/>
          <w:spacing w:val="-25"/>
          <w:w w:val="105"/>
          <w:sz w:val="19"/>
        </w:rPr>
        <w:t xml:space="preserve"> </w:t>
      </w:r>
      <w:r>
        <w:rPr>
          <w:rFonts w:ascii="Arial" w:hAnsi="Arial"/>
          <w:w w:val="105"/>
          <w:sz w:val="19"/>
        </w:rPr>
        <w:t>dataset</w:t>
      </w:r>
      <w:r>
        <w:rPr>
          <w:rFonts w:ascii="Arial" w:hAnsi="Arial"/>
          <w:spacing w:val="-24"/>
          <w:w w:val="105"/>
          <w:sz w:val="19"/>
        </w:rPr>
        <w:t xml:space="preserve"> </w:t>
      </w:r>
      <w:r>
        <w:rPr>
          <w:rFonts w:ascii="Arial" w:hAnsi="Arial"/>
          <w:w w:val="105"/>
          <w:sz w:val="19"/>
        </w:rPr>
        <w:t>is</w:t>
      </w:r>
      <w:r>
        <w:rPr>
          <w:rFonts w:ascii="Arial" w:hAnsi="Arial"/>
          <w:spacing w:val="-24"/>
          <w:w w:val="105"/>
          <w:sz w:val="19"/>
        </w:rPr>
        <w:t xml:space="preserve"> </w:t>
      </w:r>
      <w:r>
        <w:rPr>
          <w:rFonts w:ascii="Arial" w:hAnsi="Arial"/>
          <w:w w:val="105"/>
          <w:sz w:val="19"/>
        </w:rPr>
        <w:t>November</w:t>
      </w:r>
      <w:r>
        <w:rPr>
          <w:rFonts w:ascii="Arial" w:hAnsi="Arial"/>
          <w:spacing w:val="-24"/>
          <w:w w:val="105"/>
          <w:sz w:val="19"/>
        </w:rPr>
        <w:t xml:space="preserve"> </w:t>
      </w:r>
      <w:r>
        <w:rPr>
          <w:rFonts w:ascii="Arial" w:hAnsi="Arial"/>
          <w:w w:val="105"/>
          <w:sz w:val="19"/>
        </w:rPr>
        <w:t>2019.</w:t>
      </w:r>
      <w:r>
        <w:rPr>
          <w:rFonts w:ascii="Arial" w:hAnsi="Arial"/>
          <w:w w:val="105"/>
          <w:position w:val="7"/>
          <w:sz w:val="12"/>
        </w:rPr>
        <w:t>13</w:t>
      </w:r>
      <w:r>
        <w:rPr>
          <w:rFonts w:ascii="Arial" w:hAnsi="Arial"/>
          <w:spacing w:val="-16"/>
          <w:w w:val="105"/>
          <w:position w:val="7"/>
          <w:sz w:val="12"/>
        </w:rPr>
        <w:t xml:space="preserve"> </w:t>
      </w:r>
      <w:r>
        <w:rPr>
          <w:rFonts w:ascii="Arial" w:hAnsi="Arial"/>
          <w:w w:val="105"/>
          <w:sz w:val="19"/>
        </w:rPr>
        <w:t>Given</w:t>
      </w:r>
      <w:r>
        <w:rPr>
          <w:rFonts w:ascii="Arial" w:hAnsi="Arial"/>
          <w:spacing w:val="-25"/>
          <w:w w:val="105"/>
          <w:sz w:val="19"/>
        </w:rPr>
        <w:t xml:space="preserve"> </w:t>
      </w:r>
      <w:r>
        <w:rPr>
          <w:rFonts w:ascii="Arial" w:hAnsi="Arial"/>
          <w:w w:val="105"/>
          <w:sz w:val="19"/>
        </w:rPr>
        <w:t>that</w:t>
      </w:r>
      <w:r>
        <w:rPr>
          <w:rFonts w:ascii="Arial" w:hAnsi="Arial"/>
          <w:spacing w:val="-24"/>
          <w:w w:val="105"/>
          <w:sz w:val="19"/>
        </w:rPr>
        <w:t xml:space="preserve"> </w:t>
      </w:r>
      <w:r>
        <w:rPr>
          <w:rFonts w:ascii="Arial" w:hAnsi="Arial"/>
          <w:w w:val="105"/>
          <w:sz w:val="19"/>
        </w:rPr>
        <w:t>sponsors</w:t>
      </w:r>
      <w:r>
        <w:rPr>
          <w:rFonts w:ascii="Arial" w:hAnsi="Arial"/>
          <w:spacing w:val="-27"/>
          <w:w w:val="105"/>
          <w:sz w:val="19"/>
        </w:rPr>
        <w:t xml:space="preserve"> </w:t>
      </w:r>
      <w:r>
        <w:rPr>
          <w:rFonts w:ascii="Arial" w:hAnsi="Arial"/>
          <w:w w:val="105"/>
          <w:sz w:val="19"/>
        </w:rPr>
        <w:t>or</w:t>
      </w:r>
      <w:r>
        <w:rPr>
          <w:rFonts w:ascii="Arial" w:hAnsi="Arial"/>
          <w:spacing w:val="-25"/>
          <w:w w:val="105"/>
          <w:sz w:val="19"/>
        </w:rPr>
        <w:t xml:space="preserve"> </w:t>
      </w:r>
      <w:r>
        <w:rPr>
          <w:rFonts w:ascii="Arial" w:hAnsi="Arial"/>
          <w:w w:val="105"/>
          <w:sz w:val="19"/>
        </w:rPr>
        <w:t>manufacturers</w:t>
      </w:r>
      <w:r>
        <w:rPr>
          <w:rFonts w:ascii="Arial" w:hAnsi="Arial"/>
          <w:spacing w:val="-25"/>
          <w:w w:val="105"/>
          <w:sz w:val="19"/>
        </w:rPr>
        <w:t xml:space="preserve"> </w:t>
      </w:r>
      <w:r>
        <w:rPr>
          <w:rFonts w:ascii="Arial" w:hAnsi="Arial"/>
          <w:w w:val="105"/>
          <w:sz w:val="19"/>
        </w:rPr>
        <w:t>could</w:t>
      </w:r>
      <w:r>
        <w:rPr>
          <w:rFonts w:ascii="Arial" w:hAnsi="Arial"/>
          <w:spacing w:val="-26"/>
          <w:w w:val="105"/>
          <w:sz w:val="19"/>
        </w:rPr>
        <w:t xml:space="preserve"> </w:t>
      </w:r>
      <w:r>
        <w:rPr>
          <w:rFonts w:ascii="Arial" w:hAnsi="Arial"/>
          <w:w w:val="105"/>
          <w:sz w:val="19"/>
        </w:rPr>
        <w:t xml:space="preserve">be </w:t>
      </w:r>
      <w:r>
        <w:rPr>
          <w:rFonts w:ascii="Arial" w:hAnsi="Arial"/>
          <w:spacing w:val="-1"/>
          <w:sz w:val="19"/>
        </w:rPr>
        <w:t>b</w:t>
      </w:r>
      <w:r>
        <w:rPr>
          <w:rFonts w:ascii="Arial" w:hAnsi="Arial"/>
          <w:w w:val="94"/>
          <w:sz w:val="19"/>
        </w:rPr>
        <w:t>a</w:t>
      </w:r>
      <w:r>
        <w:rPr>
          <w:rFonts w:ascii="Arial" w:hAnsi="Arial"/>
          <w:w w:val="95"/>
          <w:sz w:val="19"/>
        </w:rPr>
        <w:t>se</w:t>
      </w:r>
      <w:r>
        <w:rPr>
          <w:rFonts w:ascii="Arial" w:hAnsi="Arial"/>
          <w:sz w:val="19"/>
        </w:rPr>
        <w:t>d</w:t>
      </w:r>
      <w:r>
        <w:rPr>
          <w:rFonts w:ascii="Arial" w:hAnsi="Arial"/>
          <w:spacing w:val="-9"/>
          <w:sz w:val="19"/>
        </w:rPr>
        <w:t xml:space="preserve"> </w:t>
      </w:r>
      <w:r>
        <w:rPr>
          <w:rFonts w:ascii="Arial" w:hAnsi="Arial"/>
          <w:w w:val="104"/>
          <w:sz w:val="19"/>
        </w:rPr>
        <w:t>in</w:t>
      </w:r>
      <w:r>
        <w:rPr>
          <w:rFonts w:ascii="Arial" w:hAnsi="Arial"/>
          <w:spacing w:val="-7"/>
          <w:sz w:val="19"/>
        </w:rPr>
        <w:t xml:space="preserve"> </w:t>
      </w:r>
      <w:r>
        <w:rPr>
          <w:rFonts w:ascii="Arial" w:hAnsi="Arial"/>
          <w:spacing w:val="-2"/>
          <w:w w:val="94"/>
          <w:sz w:val="19"/>
        </w:rPr>
        <w:t>a</w:t>
      </w:r>
      <w:r>
        <w:rPr>
          <w:rFonts w:ascii="Arial" w:hAnsi="Arial"/>
          <w:spacing w:val="1"/>
          <w:w w:val="101"/>
          <w:sz w:val="19"/>
        </w:rPr>
        <w:t>n</w:t>
      </w:r>
      <w:r>
        <w:rPr>
          <w:rFonts w:ascii="Arial" w:hAnsi="Arial"/>
          <w:w w:val="105"/>
          <w:sz w:val="19"/>
        </w:rPr>
        <w:t>y</w:t>
      </w:r>
      <w:r>
        <w:rPr>
          <w:rFonts w:ascii="Arial" w:hAnsi="Arial"/>
          <w:spacing w:val="-8"/>
          <w:sz w:val="19"/>
        </w:rPr>
        <w:t xml:space="preserve"> </w:t>
      </w:r>
      <w:r>
        <w:rPr>
          <w:rFonts w:ascii="Arial" w:hAnsi="Arial"/>
          <w:w w:val="108"/>
          <w:sz w:val="19"/>
        </w:rPr>
        <w:t>s</w:t>
      </w:r>
      <w:r>
        <w:rPr>
          <w:rFonts w:ascii="Arial" w:hAnsi="Arial"/>
          <w:spacing w:val="-2"/>
          <w:w w:val="108"/>
          <w:sz w:val="19"/>
        </w:rPr>
        <w:t>t</w:t>
      </w:r>
      <w:r>
        <w:rPr>
          <w:rFonts w:ascii="Arial" w:hAnsi="Arial"/>
          <w:w w:val="94"/>
          <w:sz w:val="19"/>
        </w:rPr>
        <w:t>a</w:t>
      </w:r>
      <w:r>
        <w:rPr>
          <w:rFonts w:ascii="Arial" w:hAnsi="Arial"/>
          <w:w w:val="134"/>
          <w:sz w:val="19"/>
        </w:rPr>
        <w:t>t</w:t>
      </w:r>
      <w:r>
        <w:rPr>
          <w:rFonts w:ascii="Arial" w:hAnsi="Arial"/>
          <w:spacing w:val="-2"/>
          <w:w w:val="96"/>
          <w:sz w:val="19"/>
        </w:rPr>
        <w:t>e</w:t>
      </w:r>
      <w:r>
        <w:rPr>
          <w:rFonts w:ascii="Arial" w:hAnsi="Arial"/>
          <w:w w:val="175"/>
          <w:sz w:val="19"/>
        </w:rPr>
        <w:t>/</w:t>
      </w:r>
      <w:r>
        <w:rPr>
          <w:rFonts w:ascii="Arial" w:hAnsi="Arial"/>
          <w:w w:val="134"/>
          <w:sz w:val="19"/>
        </w:rPr>
        <w:t>t</w:t>
      </w:r>
      <w:r>
        <w:rPr>
          <w:rFonts w:ascii="Arial" w:hAnsi="Arial"/>
          <w:spacing w:val="-2"/>
          <w:w w:val="96"/>
          <w:sz w:val="19"/>
        </w:rPr>
        <w:t>e</w:t>
      </w:r>
      <w:r>
        <w:rPr>
          <w:rFonts w:ascii="Arial" w:hAnsi="Arial"/>
          <w:w w:val="116"/>
          <w:sz w:val="19"/>
        </w:rPr>
        <w:t>rr</w:t>
      </w:r>
      <w:r>
        <w:rPr>
          <w:rFonts w:ascii="Arial" w:hAnsi="Arial"/>
          <w:w w:val="125"/>
          <w:sz w:val="19"/>
        </w:rPr>
        <w:t>it</w:t>
      </w:r>
      <w:r>
        <w:rPr>
          <w:rFonts w:ascii="Arial" w:hAnsi="Arial"/>
          <w:w w:val="106"/>
          <w:sz w:val="19"/>
        </w:rPr>
        <w:t>ory</w:t>
      </w:r>
      <w:r>
        <w:rPr>
          <w:rFonts w:ascii="Arial" w:hAnsi="Arial"/>
          <w:w w:val="80"/>
          <w:sz w:val="19"/>
        </w:rPr>
        <w:t>,</w:t>
      </w:r>
      <w:r>
        <w:rPr>
          <w:rFonts w:ascii="Arial" w:hAnsi="Arial"/>
          <w:spacing w:val="-12"/>
          <w:sz w:val="19"/>
        </w:rPr>
        <w:t xml:space="preserve"> </w:t>
      </w:r>
      <w:r>
        <w:rPr>
          <w:rFonts w:ascii="Arial" w:hAnsi="Arial"/>
          <w:w w:val="134"/>
          <w:sz w:val="19"/>
        </w:rPr>
        <w:t>t</w:t>
      </w:r>
      <w:r>
        <w:rPr>
          <w:rFonts w:ascii="Arial" w:hAnsi="Arial"/>
          <w:spacing w:val="1"/>
          <w:w w:val="101"/>
          <w:sz w:val="19"/>
        </w:rPr>
        <w:t>h</w:t>
      </w:r>
      <w:r>
        <w:rPr>
          <w:rFonts w:ascii="Arial" w:hAnsi="Arial"/>
          <w:w w:val="96"/>
          <w:sz w:val="19"/>
        </w:rPr>
        <w:t>e</w:t>
      </w:r>
      <w:r>
        <w:rPr>
          <w:rFonts w:ascii="Arial" w:hAnsi="Arial"/>
          <w:spacing w:val="-9"/>
          <w:sz w:val="19"/>
        </w:rPr>
        <w:t xml:space="preserve"> </w:t>
      </w:r>
      <w:r>
        <w:rPr>
          <w:rFonts w:ascii="Arial" w:hAnsi="Arial"/>
          <w:spacing w:val="1"/>
          <w:w w:val="101"/>
          <w:sz w:val="19"/>
        </w:rPr>
        <w:t>n</w:t>
      </w:r>
      <w:r>
        <w:rPr>
          <w:rFonts w:ascii="Arial" w:hAnsi="Arial"/>
          <w:spacing w:val="-2"/>
          <w:w w:val="94"/>
          <w:sz w:val="19"/>
        </w:rPr>
        <w:t>a</w:t>
      </w:r>
      <w:r>
        <w:rPr>
          <w:rFonts w:ascii="Arial" w:hAnsi="Arial"/>
          <w:w w:val="134"/>
          <w:sz w:val="19"/>
        </w:rPr>
        <w:t>t</w:t>
      </w:r>
      <w:r>
        <w:rPr>
          <w:rFonts w:ascii="Arial" w:hAnsi="Arial"/>
          <w:w w:val="102"/>
          <w:sz w:val="19"/>
        </w:rPr>
        <w:t>ion</w:t>
      </w:r>
      <w:r>
        <w:rPr>
          <w:rFonts w:ascii="Arial" w:hAnsi="Arial"/>
          <w:spacing w:val="-2"/>
          <w:w w:val="94"/>
          <w:sz w:val="19"/>
        </w:rPr>
        <w:t>a</w:t>
      </w:r>
      <w:r>
        <w:rPr>
          <w:rFonts w:ascii="Arial" w:hAnsi="Arial"/>
          <w:w w:val="117"/>
          <w:sz w:val="19"/>
        </w:rPr>
        <w:t>l</w:t>
      </w:r>
      <w:r>
        <w:rPr>
          <w:rFonts w:ascii="Arial" w:hAnsi="Arial"/>
          <w:spacing w:val="-7"/>
          <w:sz w:val="19"/>
        </w:rPr>
        <w:t xml:space="preserve"> </w:t>
      </w:r>
      <w:r>
        <w:rPr>
          <w:rFonts w:ascii="Arial" w:hAnsi="Arial"/>
          <w:spacing w:val="-1"/>
          <w:sz w:val="19"/>
        </w:rPr>
        <w:t>d</w:t>
      </w:r>
      <w:r>
        <w:rPr>
          <w:rFonts w:ascii="Arial" w:hAnsi="Arial"/>
          <w:w w:val="94"/>
          <w:sz w:val="19"/>
        </w:rPr>
        <w:t>a</w:t>
      </w:r>
      <w:r>
        <w:rPr>
          <w:rFonts w:ascii="Arial" w:hAnsi="Arial"/>
          <w:spacing w:val="-2"/>
          <w:w w:val="134"/>
          <w:sz w:val="19"/>
        </w:rPr>
        <w:t>t</w:t>
      </w:r>
      <w:r>
        <w:rPr>
          <w:rFonts w:ascii="Arial" w:hAnsi="Arial"/>
          <w:w w:val="94"/>
          <w:sz w:val="19"/>
        </w:rPr>
        <w:t>a</w:t>
      </w:r>
      <w:r>
        <w:rPr>
          <w:rFonts w:ascii="Arial" w:hAnsi="Arial"/>
          <w:w w:val="95"/>
          <w:sz w:val="19"/>
        </w:rPr>
        <w:t>se</w:t>
      </w:r>
      <w:r>
        <w:rPr>
          <w:rFonts w:ascii="Arial" w:hAnsi="Arial"/>
          <w:w w:val="134"/>
          <w:sz w:val="19"/>
        </w:rPr>
        <w:t>t</w:t>
      </w:r>
      <w:r>
        <w:rPr>
          <w:rFonts w:ascii="Arial" w:hAnsi="Arial"/>
          <w:spacing w:val="-9"/>
          <w:sz w:val="19"/>
        </w:rPr>
        <w:t xml:space="preserve"> </w:t>
      </w:r>
      <w:r>
        <w:rPr>
          <w:rFonts w:ascii="Arial" w:hAnsi="Arial"/>
          <w:spacing w:val="1"/>
          <w:w w:val="98"/>
          <w:sz w:val="19"/>
        </w:rPr>
        <w:t>w</w:t>
      </w:r>
      <w:r>
        <w:rPr>
          <w:rFonts w:ascii="Arial" w:hAnsi="Arial"/>
          <w:w w:val="94"/>
          <w:sz w:val="19"/>
        </w:rPr>
        <w:t>a</w:t>
      </w:r>
      <w:r>
        <w:rPr>
          <w:rFonts w:ascii="Arial" w:hAnsi="Arial"/>
          <w:w w:val="93"/>
          <w:sz w:val="19"/>
        </w:rPr>
        <w:t>s</w:t>
      </w:r>
      <w:r>
        <w:rPr>
          <w:rFonts w:ascii="Arial" w:hAnsi="Arial"/>
          <w:spacing w:val="-10"/>
          <w:sz w:val="19"/>
        </w:rPr>
        <w:t xml:space="preserve"> </w:t>
      </w:r>
      <w:r>
        <w:rPr>
          <w:rFonts w:ascii="Arial" w:hAnsi="Arial"/>
          <w:spacing w:val="1"/>
          <w:w w:val="101"/>
          <w:sz w:val="19"/>
        </w:rPr>
        <w:t>u</w:t>
      </w:r>
      <w:r>
        <w:rPr>
          <w:rFonts w:ascii="Arial" w:hAnsi="Arial"/>
          <w:w w:val="95"/>
          <w:sz w:val="19"/>
        </w:rPr>
        <w:t>s</w:t>
      </w:r>
      <w:r>
        <w:rPr>
          <w:rFonts w:ascii="Arial" w:hAnsi="Arial"/>
          <w:spacing w:val="-2"/>
          <w:w w:val="95"/>
          <w:sz w:val="19"/>
        </w:rPr>
        <w:t>e</w:t>
      </w:r>
      <w:r>
        <w:rPr>
          <w:rFonts w:ascii="Arial" w:hAnsi="Arial"/>
          <w:spacing w:val="-1"/>
          <w:sz w:val="19"/>
        </w:rPr>
        <w:t>d</w:t>
      </w:r>
      <w:r>
        <w:rPr>
          <w:rFonts w:ascii="Arial" w:hAnsi="Arial"/>
          <w:w w:val="80"/>
          <w:sz w:val="19"/>
        </w:rPr>
        <w:t>.</w:t>
      </w:r>
      <w:r>
        <w:rPr>
          <w:rFonts w:ascii="Arial" w:hAnsi="Arial"/>
          <w:spacing w:val="-7"/>
          <w:sz w:val="19"/>
        </w:rPr>
        <w:t xml:space="preserve"> </w:t>
      </w:r>
      <w:r>
        <w:rPr>
          <w:rFonts w:ascii="Arial" w:hAnsi="Arial"/>
          <w:w w:val="97"/>
          <w:sz w:val="19"/>
        </w:rPr>
        <w:t>Th</w:t>
      </w:r>
      <w:r>
        <w:rPr>
          <w:rFonts w:ascii="Arial" w:hAnsi="Arial"/>
          <w:w w:val="96"/>
          <w:sz w:val="19"/>
        </w:rPr>
        <w:t>e</w:t>
      </w:r>
      <w:r>
        <w:rPr>
          <w:rFonts w:ascii="Arial" w:hAnsi="Arial"/>
          <w:spacing w:val="-7"/>
          <w:sz w:val="19"/>
        </w:rPr>
        <w:t xml:space="preserve"> </w:t>
      </w:r>
      <w:r>
        <w:rPr>
          <w:rFonts w:ascii="Arial" w:hAnsi="Arial"/>
          <w:spacing w:val="-2"/>
          <w:w w:val="116"/>
          <w:sz w:val="19"/>
        </w:rPr>
        <w:t>r</w:t>
      </w:r>
      <w:r>
        <w:rPr>
          <w:rFonts w:ascii="Arial" w:hAnsi="Arial"/>
          <w:w w:val="96"/>
          <w:sz w:val="19"/>
        </w:rPr>
        <w:t>e</w:t>
      </w:r>
      <w:r>
        <w:rPr>
          <w:rFonts w:ascii="Arial" w:hAnsi="Arial"/>
          <w:w w:val="117"/>
          <w:sz w:val="19"/>
        </w:rPr>
        <w:t>l</w:t>
      </w:r>
      <w:r>
        <w:rPr>
          <w:rFonts w:ascii="Arial" w:hAnsi="Arial"/>
          <w:w w:val="96"/>
          <w:sz w:val="19"/>
        </w:rPr>
        <w:t>e</w:t>
      </w:r>
      <w:r>
        <w:rPr>
          <w:rFonts w:ascii="Arial" w:hAnsi="Arial"/>
          <w:spacing w:val="-2"/>
          <w:w w:val="102"/>
          <w:sz w:val="19"/>
        </w:rPr>
        <w:t>v</w:t>
      </w:r>
      <w:r>
        <w:rPr>
          <w:rFonts w:ascii="Arial" w:hAnsi="Arial"/>
          <w:spacing w:val="-2"/>
          <w:w w:val="94"/>
          <w:sz w:val="19"/>
        </w:rPr>
        <w:t>a</w:t>
      </w:r>
      <w:r>
        <w:rPr>
          <w:rFonts w:ascii="Arial" w:hAnsi="Arial"/>
          <w:spacing w:val="1"/>
          <w:w w:val="101"/>
          <w:sz w:val="19"/>
        </w:rPr>
        <w:t>n</w:t>
      </w:r>
      <w:r>
        <w:rPr>
          <w:rFonts w:ascii="Arial" w:hAnsi="Arial"/>
          <w:w w:val="134"/>
          <w:sz w:val="19"/>
        </w:rPr>
        <w:t>t</w:t>
      </w:r>
      <w:r>
        <w:rPr>
          <w:rFonts w:ascii="Arial" w:hAnsi="Arial"/>
          <w:spacing w:val="-9"/>
          <w:sz w:val="19"/>
        </w:rPr>
        <w:t xml:space="preserve"> </w:t>
      </w:r>
      <w:r>
        <w:rPr>
          <w:rFonts w:ascii="Arial" w:hAnsi="Arial"/>
          <w:w w:val="134"/>
          <w:sz w:val="19"/>
        </w:rPr>
        <w:t>t</w:t>
      </w:r>
      <w:r>
        <w:rPr>
          <w:rFonts w:ascii="Arial" w:hAnsi="Arial"/>
          <w:w w:val="94"/>
          <w:sz w:val="19"/>
        </w:rPr>
        <w:t>a</w:t>
      </w:r>
      <w:r>
        <w:rPr>
          <w:rFonts w:ascii="Arial" w:hAnsi="Arial"/>
          <w:spacing w:val="-1"/>
          <w:sz w:val="19"/>
        </w:rPr>
        <w:t>b</w:t>
      </w:r>
      <w:r>
        <w:rPr>
          <w:rFonts w:ascii="Arial" w:hAnsi="Arial"/>
          <w:w w:val="117"/>
          <w:sz w:val="19"/>
        </w:rPr>
        <w:t>l</w:t>
      </w:r>
      <w:r>
        <w:rPr>
          <w:rFonts w:ascii="Arial" w:hAnsi="Arial"/>
          <w:w w:val="96"/>
          <w:sz w:val="19"/>
        </w:rPr>
        <w:t>e</w:t>
      </w:r>
      <w:r>
        <w:rPr>
          <w:rFonts w:ascii="Arial" w:hAnsi="Arial"/>
          <w:spacing w:val="-9"/>
          <w:sz w:val="19"/>
        </w:rPr>
        <w:t xml:space="preserve"> </w:t>
      </w:r>
      <w:r>
        <w:rPr>
          <w:rFonts w:ascii="Arial" w:hAnsi="Arial"/>
          <w:w w:val="99"/>
          <w:sz w:val="19"/>
        </w:rPr>
        <w:t>is</w:t>
      </w:r>
      <w:r>
        <w:rPr>
          <w:rFonts w:ascii="Arial" w:hAnsi="Arial"/>
          <w:spacing w:val="-8"/>
          <w:sz w:val="19"/>
        </w:rPr>
        <w:t xml:space="preserve"> </w:t>
      </w:r>
      <w:r>
        <w:rPr>
          <w:rFonts w:ascii="Arial" w:hAnsi="Arial"/>
          <w:w w:val="94"/>
          <w:sz w:val="19"/>
        </w:rPr>
        <w:t>Ta</w:t>
      </w:r>
      <w:r>
        <w:rPr>
          <w:rFonts w:ascii="Arial" w:hAnsi="Arial"/>
          <w:spacing w:val="-1"/>
          <w:sz w:val="19"/>
        </w:rPr>
        <w:t>b</w:t>
      </w:r>
      <w:r>
        <w:rPr>
          <w:rFonts w:ascii="Arial" w:hAnsi="Arial"/>
          <w:w w:val="117"/>
          <w:sz w:val="19"/>
        </w:rPr>
        <w:t>l</w:t>
      </w:r>
      <w:r>
        <w:rPr>
          <w:rFonts w:ascii="Arial" w:hAnsi="Arial"/>
          <w:w w:val="96"/>
          <w:sz w:val="19"/>
        </w:rPr>
        <w:t>e</w:t>
      </w:r>
      <w:r>
        <w:rPr>
          <w:rFonts w:ascii="Arial" w:hAnsi="Arial"/>
          <w:spacing w:val="-9"/>
          <w:sz w:val="19"/>
        </w:rPr>
        <w:t xml:space="preserve"> </w:t>
      </w:r>
      <w:r>
        <w:rPr>
          <w:rFonts w:ascii="Arial" w:hAnsi="Arial"/>
          <w:spacing w:val="1"/>
          <w:w w:val="66"/>
          <w:sz w:val="19"/>
        </w:rPr>
        <w:t>1</w:t>
      </w:r>
      <w:r>
        <w:rPr>
          <w:rFonts w:ascii="Arial" w:hAnsi="Arial"/>
          <w:spacing w:val="1"/>
          <w:w w:val="114"/>
          <w:sz w:val="19"/>
        </w:rPr>
        <w:t>0</w:t>
      </w:r>
      <w:r>
        <w:rPr>
          <w:rFonts w:ascii="Arial" w:hAnsi="Arial"/>
          <w:w w:val="96"/>
          <w:sz w:val="19"/>
        </w:rPr>
        <w:t xml:space="preserve">H </w:t>
      </w:r>
      <w:r>
        <w:rPr>
          <w:rFonts w:ascii="Arial" w:hAnsi="Arial"/>
          <w:w w:val="105"/>
          <w:sz w:val="19"/>
        </w:rPr>
        <w:t>(‘Average</w:t>
      </w:r>
      <w:r>
        <w:rPr>
          <w:rFonts w:ascii="Arial" w:hAnsi="Arial"/>
          <w:spacing w:val="-27"/>
          <w:w w:val="105"/>
          <w:sz w:val="19"/>
        </w:rPr>
        <w:t xml:space="preserve"> </w:t>
      </w:r>
      <w:r>
        <w:rPr>
          <w:rFonts w:ascii="Arial" w:hAnsi="Arial"/>
          <w:w w:val="105"/>
          <w:sz w:val="19"/>
        </w:rPr>
        <w:t>Weekly</w:t>
      </w:r>
      <w:r>
        <w:rPr>
          <w:rFonts w:ascii="Arial" w:hAnsi="Arial"/>
          <w:spacing w:val="-28"/>
          <w:w w:val="105"/>
          <w:sz w:val="19"/>
        </w:rPr>
        <w:t xml:space="preserve"> </w:t>
      </w:r>
      <w:r>
        <w:rPr>
          <w:rFonts w:ascii="Arial" w:hAnsi="Arial"/>
          <w:w w:val="105"/>
          <w:sz w:val="19"/>
        </w:rPr>
        <w:t>Earnings,</w:t>
      </w:r>
      <w:r>
        <w:rPr>
          <w:rFonts w:ascii="Arial" w:hAnsi="Arial"/>
          <w:spacing w:val="-28"/>
          <w:w w:val="105"/>
          <w:sz w:val="19"/>
        </w:rPr>
        <w:t xml:space="preserve"> </w:t>
      </w:r>
      <w:r>
        <w:rPr>
          <w:rFonts w:ascii="Arial" w:hAnsi="Arial"/>
          <w:w w:val="105"/>
          <w:sz w:val="19"/>
        </w:rPr>
        <w:t>Industry,</w:t>
      </w:r>
      <w:r>
        <w:rPr>
          <w:rFonts w:ascii="Arial" w:hAnsi="Arial"/>
          <w:spacing w:val="-27"/>
          <w:w w:val="105"/>
          <w:sz w:val="19"/>
        </w:rPr>
        <w:t xml:space="preserve"> </w:t>
      </w:r>
      <w:r>
        <w:rPr>
          <w:rFonts w:ascii="Arial" w:hAnsi="Arial"/>
          <w:w w:val="105"/>
          <w:sz w:val="19"/>
        </w:rPr>
        <w:t>Australia</w:t>
      </w:r>
      <w:r>
        <w:rPr>
          <w:rFonts w:ascii="Arial" w:hAnsi="Arial"/>
          <w:spacing w:val="-28"/>
          <w:w w:val="105"/>
          <w:sz w:val="19"/>
        </w:rPr>
        <w:t xml:space="preserve"> </w:t>
      </w:r>
      <w:r>
        <w:rPr>
          <w:rFonts w:ascii="Arial" w:hAnsi="Arial"/>
          <w:w w:val="105"/>
          <w:sz w:val="19"/>
        </w:rPr>
        <w:t>(Dollars)</w:t>
      </w:r>
      <w:r>
        <w:rPr>
          <w:rFonts w:ascii="Arial" w:hAnsi="Arial"/>
          <w:spacing w:val="-26"/>
          <w:w w:val="105"/>
          <w:sz w:val="19"/>
        </w:rPr>
        <w:t xml:space="preserve"> </w:t>
      </w:r>
      <w:r>
        <w:rPr>
          <w:rFonts w:ascii="Arial" w:hAnsi="Arial"/>
          <w:w w:val="105"/>
          <w:sz w:val="19"/>
        </w:rPr>
        <w:t>-</w:t>
      </w:r>
      <w:r>
        <w:rPr>
          <w:rFonts w:ascii="Arial" w:hAnsi="Arial"/>
          <w:spacing w:val="-28"/>
          <w:w w:val="105"/>
          <w:sz w:val="19"/>
        </w:rPr>
        <w:t xml:space="preserve"> </w:t>
      </w:r>
      <w:r>
        <w:rPr>
          <w:rFonts w:ascii="Arial" w:hAnsi="Arial"/>
          <w:w w:val="105"/>
          <w:sz w:val="19"/>
        </w:rPr>
        <w:t>Original</w:t>
      </w:r>
      <w:r>
        <w:rPr>
          <w:rFonts w:ascii="Arial" w:hAnsi="Arial"/>
          <w:spacing w:val="-25"/>
          <w:w w:val="105"/>
          <w:sz w:val="19"/>
        </w:rPr>
        <w:t xml:space="preserve"> </w:t>
      </w:r>
      <w:r>
        <w:rPr>
          <w:rFonts w:ascii="Arial" w:hAnsi="Arial"/>
          <w:w w:val="105"/>
          <w:sz w:val="19"/>
        </w:rPr>
        <w:t>-</w:t>
      </w:r>
      <w:r>
        <w:rPr>
          <w:rFonts w:ascii="Arial" w:hAnsi="Arial"/>
          <w:spacing w:val="-28"/>
          <w:w w:val="105"/>
          <w:sz w:val="19"/>
        </w:rPr>
        <w:t xml:space="preserve"> </w:t>
      </w:r>
      <w:r>
        <w:rPr>
          <w:rFonts w:ascii="Arial" w:hAnsi="Arial"/>
          <w:w w:val="105"/>
          <w:sz w:val="19"/>
        </w:rPr>
        <w:t>Persons,</w:t>
      </w:r>
      <w:r>
        <w:rPr>
          <w:rFonts w:ascii="Arial" w:hAnsi="Arial"/>
          <w:spacing w:val="-26"/>
          <w:w w:val="105"/>
          <w:sz w:val="19"/>
        </w:rPr>
        <w:t xml:space="preserve"> </w:t>
      </w:r>
      <w:r>
        <w:rPr>
          <w:rFonts w:ascii="Arial" w:hAnsi="Arial"/>
          <w:w w:val="105"/>
          <w:sz w:val="19"/>
        </w:rPr>
        <w:t>Full</w:t>
      </w:r>
      <w:r>
        <w:rPr>
          <w:rFonts w:ascii="Arial" w:hAnsi="Arial"/>
          <w:spacing w:val="-26"/>
          <w:w w:val="105"/>
          <w:sz w:val="19"/>
        </w:rPr>
        <w:t xml:space="preserve"> </w:t>
      </w:r>
      <w:r>
        <w:rPr>
          <w:rFonts w:ascii="Arial" w:hAnsi="Arial"/>
          <w:w w:val="105"/>
          <w:sz w:val="19"/>
        </w:rPr>
        <w:t>Time</w:t>
      </w:r>
      <w:r>
        <w:rPr>
          <w:rFonts w:ascii="Arial" w:hAnsi="Arial"/>
          <w:spacing w:val="-29"/>
          <w:w w:val="105"/>
          <w:sz w:val="19"/>
        </w:rPr>
        <w:t xml:space="preserve"> </w:t>
      </w:r>
      <w:r>
        <w:rPr>
          <w:rFonts w:ascii="Arial" w:hAnsi="Arial"/>
          <w:w w:val="105"/>
          <w:sz w:val="19"/>
        </w:rPr>
        <w:t>Adult</w:t>
      </w:r>
      <w:r>
        <w:rPr>
          <w:rFonts w:ascii="Arial" w:hAnsi="Arial"/>
          <w:spacing w:val="-26"/>
          <w:w w:val="105"/>
          <w:sz w:val="19"/>
        </w:rPr>
        <w:t xml:space="preserve"> </w:t>
      </w:r>
      <w:r>
        <w:rPr>
          <w:rFonts w:ascii="Arial" w:hAnsi="Arial"/>
          <w:w w:val="105"/>
          <w:sz w:val="19"/>
        </w:rPr>
        <w:t>Total Earnings’</w:t>
      </w:r>
      <w:r>
        <w:rPr>
          <w:rFonts w:ascii="Arial" w:hAnsi="Arial"/>
          <w:spacing w:val="-35"/>
          <w:w w:val="105"/>
          <w:sz w:val="19"/>
        </w:rPr>
        <w:t xml:space="preserve"> </w:t>
      </w:r>
      <w:r>
        <w:rPr>
          <w:rFonts w:ascii="Arial" w:hAnsi="Arial"/>
          <w:w w:val="105"/>
          <w:sz w:val="19"/>
        </w:rPr>
        <w:t>(includes</w:t>
      </w:r>
      <w:r>
        <w:rPr>
          <w:rFonts w:ascii="Arial" w:hAnsi="Arial"/>
          <w:spacing w:val="-33"/>
          <w:w w:val="105"/>
          <w:sz w:val="19"/>
        </w:rPr>
        <w:t xml:space="preserve"> </w:t>
      </w:r>
      <w:r>
        <w:rPr>
          <w:rFonts w:ascii="Arial" w:hAnsi="Arial"/>
          <w:w w:val="105"/>
          <w:sz w:val="19"/>
        </w:rPr>
        <w:t>overtime)).</w:t>
      </w:r>
      <w:r>
        <w:rPr>
          <w:rFonts w:ascii="Arial" w:hAnsi="Arial"/>
          <w:spacing w:val="-31"/>
          <w:w w:val="105"/>
          <w:sz w:val="19"/>
        </w:rPr>
        <w:t xml:space="preserve"> </w:t>
      </w:r>
      <w:r>
        <w:rPr>
          <w:rFonts w:ascii="Arial" w:hAnsi="Arial"/>
          <w:w w:val="105"/>
          <w:sz w:val="19"/>
        </w:rPr>
        <w:t>Two</w:t>
      </w:r>
      <w:r>
        <w:rPr>
          <w:rFonts w:ascii="Arial" w:hAnsi="Arial"/>
          <w:spacing w:val="-33"/>
          <w:w w:val="105"/>
          <w:sz w:val="19"/>
        </w:rPr>
        <w:t xml:space="preserve"> </w:t>
      </w:r>
      <w:r>
        <w:rPr>
          <w:rFonts w:ascii="Arial" w:hAnsi="Arial"/>
          <w:w w:val="105"/>
          <w:sz w:val="19"/>
        </w:rPr>
        <w:t>Australian</w:t>
      </w:r>
      <w:r>
        <w:rPr>
          <w:rFonts w:ascii="Arial" w:hAnsi="Arial"/>
          <w:spacing w:val="-34"/>
          <w:w w:val="105"/>
          <w:sz w:val="19"/>
        </w:rPr>
        <w:t xml:space="preserve"> </w:t>
      </w:r>
      <w:r>
        <w:rPr>
          <w:rFonts w:ascii="Arial" w:hAnsi="Arial"/>
          <w:w w:val="105"/>
          <w:sz w:val="19"/>
        </w:rPr>
        <w:t>and</w:t>
      </w:r>
      <w:r>
        <w:rPr>
          <w:rFonts w:ascii="Arial" w:hAnsi="Arial"/>
          <w:spacing w:val="-33"/>
          <w:w w:val="105"/>
          <w:sz w:val="19"/>
        </w:rPr>
        <w:t xml:space="preserve"> </w:t>
      </w:r>
      <w:r>
        <w:rPr>
          <w:rFonts w:ascii="Arial" w:hAnsi="Arial"/>
          <w:w w:val="105"/>
          <w:sz w:val="19"/>
        </w:rPr>
        <w:t>New</w:t>
      </w:r>
      <w:r>
        <w:rPr>
          <w:rFonts w:ascii="Arial" w:hAnsi="Arial"/>
          <w:spacing w:val="-33"/>
          <w:w w:val="105"/>
          <w:sz w:val="19"/>
        </w:rPr>
        <w:t xml:space="preserve"> </w:t>
      </w:r>
      <w:r>
        <w:rPr>
          <w:rFonts w:ascii="Arial" w:hAnsi="Arial"/>
          <w:w w:val="105"/>
          <w:sz w:val="19"/>
        </w:rPr>
        <w:t>Zealand</w:t>
      </w:r>
      <w:r>
        <w:rPr>
          <w:rFonts w:ascii="Arial" w:hAnsi="Arial"/>
          <w:spacing w:val="-33"/>
          <w:w w:val="105"/>
          <w:sz w:val="19"/>
        </w:rPr>
        <w:t xml:space="preserve"> </w:t>
      </w:r>
      <w:r>
        <w:rPr>
          <w:rFonts w:ascii="Arial" w:hAnsi="Arial"/>
          <w:w w:val="105"/>
          <w:sz w:val="19"/>
        </w:rPr>
        <w:t>Standard</w:t>
      </w:r>
      <w:r>
        <w:rPr>
          <w:rFonts w:ascii="Arial" w:hAnsi="Arial"/>
          <w:spacing w:val="-34"/>
          <w:w w:val="105"/>
          <w:sz w:val="19"/>
        </w:rPr>
        <w:t xml:space="preserve"> </w:t>
      </w:r>
      <w:r>
        <w:rPr>
          <w:rFonts w:ascii="Arial" w:hAnsi="Arial"/>
          <w:w w:val="105"/>
          <w:sz w:val="19"/>
        </w:rPr>
        <w:t>Industrial</w:t>
      </w:r>
      <w:r>
        <w:rPr>
          <w:rFonts w:ascii="Arial" w:hAnsi="Arial"/>
          <w:spacing w:val="-32"/>
          <w:w w:val="105"/>
          <w:sz w:val="19"/>
        </w:rPr>
        <w:t xml:space="preserve"> </w:t>
      </w:r>
      <w:r>
        <w:rPr>
          <w:rFonts w:ascii="Arial" w:hAnsi="Arial"/>
          <w:w w:val="105"/>
          <w:sz w:val="19"/>
        </w:rPr>
        <w:t>Classification (ANZSIC)</w:t>
      </w:r>
      <w:r>
        <w:rPr>
          <w:rFonts w:ascii="Arial" w:hAnsi="Arial"/>
          <w:spacing w:val="-23"/>
          <w:w w:val="105"/>
          <w:sz w:val="19"/>
        </w:rPr>
        <w:t xml:space="preserve"> </w:t>
      </w:r>
      <w:r>
        <w:rPr>
          <w:rFonts w:ascii="Arial" w:hAnsi="Arial"/>
          <w:w w:val="105"/>
          <w:sz w:val="19"/>
        </w:rPr>
        <w:t>divisions</w:t>
      </w:r>
      <w:r>
        <w:rPr>
          <w:rFonts w:ascii="Arial" w:hAnsi="Arial"/>
          <w:spacing w:val="-23"/>
          <w:w w:val="105"/>
          <w:sz w:val="19"/>
        </w:rPr>
        <w:t xml:space="preserve"> </w:t>
      </w:r>
      <w:r>
        <w:rPr>
          <w:rFonts w:ascii="Arial" w:hAnsi="Arial"/>
          <w:w w:val="105"/>
          <w:sz w:val="19"/>
        </w:rPr>
        <w:t>were</w:t>
      </w:r>
      <w:r>
        <w:rPr>
          <w:rFonts w:ascii="Arial" w:hAnsi="Arial"/>
          <w:spacing w:val="-23"/>
          <w:w w:val="105"/>
          <w:sz w:val="19"/>
        </w:rPr>
        <w:t xml:space="preserve"> </w:t>
      </w:r>
      <w:r>
        <w:rPr>
          <w:rFonts w:ascii="Arial" w:hAnsi="Arial"/>
          <w:w w:val="105"/>
          <w:sz w:val="19"/>
        </w:rPr>
        <w:t>considered</w:t>
      </w:r>
      <w:r>
        <w:rPr>
          <w:rFonts w:ascii="Arial" w:hAnsi="Arial"/>
          <w:spacing w:val="-22"/>
          <w:w w:val="105"/>
          <w:sz w:val="19"/>
        </w:rPr>
        <w:t xml:space="preserve"> </w:t>
      </w:r>
      <w:r>
        <w:rPr>
          <w:rFonts w:ascii="Arial" w:hAnsi="Arial"/>
          <w:w w:val="105"/>
          <w:sz w:val="19"/>
        </w:rPr>
        <w:t>by</w:t>
      </w:r>
      <w:r>
        <w:rPr>
          <w:rFonts w:ascii="Arial" w:hAnsi="Arial"/>
          <w:spacing w:val="-23"/>
          <w:w w:val="105"/>
          <w:sz w:val="19"/>
        </w:rPr>
        <w:t xml:space="preserve"> </w:t>
      </w:r>
      <w:r>
        <w:rPr>
          <w:rFonts w:ascii="Arial" w:hAnsi="Arial"/>
          <w:w w:val="105"/>
          <w:sz w:val="19"/>
        </w:rPr>
        <w:t>Noetic</w:t>
      </w:r>
      <w:r>
        <w:rPr>
          <w:rFonts w:ascii="Arial" w:hAnsi="Arial"/>
          <w:spacing w:val="-23"/>
          <w:w w:val="105"/>
          <w:sz w:val="19"/>
        </w:rPr>
        <w:t xml:space="preserve"> </w:t>
      </w:r>
      <w:r>
        <w:rPr>
          <w:rFonts w:ascii="Arial" w:hAnsi="Arial"/>
          <w:w w:val="105"/>
          <w:sz w:val="19"/>
        </w:rPr>
        <w:t>as</w:t>
      </w:r>
      <w:r>
        <w:rPr>
          <w:rFonts w:ascii="Arial" w:hAnsi="Arial"/>
          <w:spacing w:val="-22"/>
          <w:w w:val="105"/>
          <w:sz w:val="19"/>
        </w:rPr>
        <w:t xml:space="preserve"> </w:t>
      </w:r>
      <w:r>
        <w:rPr>
          <w:rFonts w:ascii="Arial" w:hAnsi="Arial"/>
          <w:w w:val="105"/>
          <w:sz w:val="19"/>
        </w:rPr>
        <w:t>being</w:t>
      </w:r>
      <w:r>
        <w:rPr>
          <w:rFonts w:ascii="Arial" w:hAnsi="Arial"/>
          <w:spacing w:val="-21"/>
          <w:w w:val="105"/>
          <w:sz w:val="19"/>
        </w:rPr>
        <w:t xml:space="preserve"> </w:t>
      </w:r>
      <w:r>
        <w:rPr>
          <w:rFonts w:ascii="Arial" w:hAnsi="Arial"/>
          <w:w w:val="105"/>
          <w:sz w:val="19"/>
        </w:rPr>
        <w:t>relevant</w:t>
      </w:r>
      <w:r>
        <w:rPr>
          <w:rFonts w:ascii="Arial" w:hAnsi="Arial"/>
          <w:spacing w:val="-23"/>
          <w:w w:val="105"/>
          <w:sz w:val="19"/>
        </w:rPr>
        <w:t xml:space="preserve"> </w:t>
      </w:r>
      <w:r>
        <w:rPr>
          <w:rFonts w:ascii="Arial" w:hAnsi="Arial"/>
          <w:w w:val="105"/>
          <w:sz w:val="19"/>
        </w:rPr>
        <w:t>to</w:t>
      </w:r>
      <w:r>
        <w:rPr>
          <w:rFonts w:ascii="Arial" w:hAnsi="Arial"/>
          <w:spacing w:val="-24"/>
          <w:w w:val="105"/>
          <w:sz w:val="19"/>
        </w:rPr>
        <w:t xml:space="preserve"> </w:t>
      </w:r>
      <w:r>
        <w:rPr>
          <w:rFonts w:ascii="Arial" w:hAnsi="Arial"/>
          <w:w w:val="105"/>
          <w:sz w:val="19"/>
        </w:rPr>
        <w:t>the</w:t>
      </w:r>
      <w:r>
        <w:rPr>
          <w:rFonts w:ascii="Arial" w:hAnsi="Arial"/>
          <w:spacing w:val="-21"/>
          <w:w w:val="105"/>
          <w:sz w:val="19"/>
        </w:rPr>
        <w:t xml:space="preserve"> </w:t>
      </w:r>
      <w:r>
        <w:rPr>
          <w:rFonts w:ascii="Arial" w:hAnsi="Arial"/>
          <w:w w:val="105"/>
          <w:sz w:val="19"/>
        </w:rPr>
        <w:t>particular</w:t>
      </w:r>
      <w:r>
        <w:rPr>
          <w:rFonts w:ascii="Arial" w:hAnsi="Arial"/>
          <w:spacing w:val="-24"/>
          <w:w w:val="105"/>
          <w:sz w:val="19"/>
        </w:rPr>
        <w:t xml:space="preserve"> </w:t>
      </w:r>
      <w:r>
        <w:rPr>
          <w:rFonts w:ascii="Arial" w:hAnsi="Arial"/>
          <w:w w:val="105"/>
          <w:sz w:val="19"/>
        </w:rPr>
        <w:t>activities</w:t>
      </w:r>
      <w:r>
        <w:rPr>
          <w:rFonts w:ascii="Arial" w:hAnsi="Arial"/>
          <w:spacing w:val="-22"/>
          <w:w w:val="105"/>
          <w:sz w:val="19"/>
        </w:rPr>
        <w:t xml:space="preserve"> </w:t>
      </w:r>
      <w:r>
        <w:rPr>
          <w:rFonts w:ascii="Arial" w:hAnsi="Arial"/>
          <w:w w:val="105"/>
          <w:sz w:val="19"/>
        </w:rPr>
        <w:t>being costed:</w:t>
      </w:r>
    </w:p>
    <w:p w:rsidR="007D76BB" w:rsidRDefault="00D70D28">
      <w:pPr>
        <w:pStyle w:val="ListParagraph"/>
        <w:numPr>
          <w:ilvl w:val="0"/>
          <w:numId w:val="8"/>
        </w:numPr>
        <w:tabs>
          <w:tab w:val="left" w:pos="766"/>
        </w:tabs>
        <w:spacing w:before="77"/>
        <w:rPr>
          <w:rFonts w:ascii="Arial"/>
          <w:sz w:val="19"/>
        </w:rPr>
      </w:pPr>
      <w:r>
        <w:rPr>
          <w:rFonts w:ascii="Arial"/>
          <w:sz w:val="19"/>
        </w:rPr>
        <w:t>Professional,</w:t>
      </w:r>
      <w:r>
        <w:rPr>
          <w:rFonts w:ascii="Arial"/>
          <w:spacing w:val="-8"/>
          <w:sz w:val="19"/>
        </w:rPr>
        <w:t xml:space="preserve"> </w:t>
      </w:r>
      <w:r>
        <w:rPr>
          <w:rFonts w:ascii="Arial"/>
          <w:sz w:val="19"/>
        </w:rPr>
        <w:t>Scientific</w:t>
      </w:r>
      <w:r>
        <w:rPr>
          <w:rFonts w:ascii="Arial"/>
          <w:spacing w:val="-9"/>
          <w:sz w:val="19"/>
        </w:rPr>
        <w:t xml:space="preserve"> </w:t>
      </w:r>
      <w:r>
        <w:rPr>
          <w:rFonts w:ascii="Arial"/>
          <w:sz w:val="19"/>
        </w:rPr>
        <w:t>and</w:t>
      </w:r>
      <w:r>
        <w:rPr>
          <w:rFonts w:ascii="Arial"/>
          <w:spacing w:val="-9"/>
          <w:sz w:val="19"/>
        </w:rPr>
        <w:t xml:space="preserve"> </w:t>
      </w:r>
      <w:r>
        <w:rPr>
          <w:rFonts w:ascii="Arial"/>
          <w:sz w:val="19"/>
        </w:rPr>
        <w:t>Technical</w:t>
      </w:r>
      <w:r>
        <w:rPr>
          <w:rFonts w:ascii="Arial"/>
          <w:spacing w:val="-8"/>
          <w:sz w:val="19"/>
        </w:rPr>
        <w:t xml:space="preserve"> </w:t>
      </w:r>
      <w:r>
        <w:rPr>
          <w:rFonts w:ascii="Arial"/>
          <w:sz w:val="19"/>
        </w:rPr>
        <w:t>Services</w:t>
      </w:r>
      <w:r>
        <w:rPr>
          <w:rFonts w:ascii="Arial"/>
          <w:spacing w:val="-10"/>
          <w:sz w:val="19"/>
        </w:rPr>
        <w:t xml:space="preserve"> </w:t>
      </w:r>
      <w:r>
        <w:rPr>
          <w:rFonts w:ascii="Arial"/>
          <w:sz w:val="19"/>
        </w:rPr>
        <w:t>(ANZSIC</w:t>
      </w:r>
      <w:r>
        <w:rPr>
          <w:rFonts w:ascii="Arial"/>
          <w:spacing w:val="-8"/>
          <w:sz w:val="19"/>
        </w:rPr>
        <w:t xml:space="preserve"> </w:t>
      </w:r>
      <w:r>
        <w:rPr>
          <w:rFonts w:ascii="Arial"/>
          <w:sz w:val="19"/>
        </w:rPr>
        <w:t>Division</w:t>
      </w:r>
      <w:r>
        <w:rPr>
          <w:rFonts w:ascii="Arial"/>
          <w:spacing w:val="-8"/>
          <w:sz w:val="19"/>
        </w:rPr>
        <w:t xml:space="preserve"> </w:t>
      </w:r>
      <w:r>
        <w:rPr>
          <w:rFonts w:ascii="Arial"/>
          <w:sz w:val="19"/>
        </w:rPr>
        <w:t>M).</w:t>
      </w:r>
    </w:p>
    <w:p w:rsidR="007D76BB" w:rsidRDefault="00D70D28">
      <w:pPr>
        <w:spacing w:before="95" w:line="256" w:lineRule="auto"/>
        <w:ind w:left="1050" w:right="688" w:hanging="286"/>
        <w:rPr>
          <w:rFonts w:ascii="Arial"/>
          <w:sz w:val="19"/>
        </w:rPr>
      </w:pPr>
      <w:r>
        <w:rPr>
          <w:rFonts w:ascii="Calibri"/>
          <w:color w:val="005386"/>
          <w:sz w:val="19"/>
        </w:rPr>
        <w:t xml:space="preserve">+ </w:t>
      </w:r>
      <w:r>
        <w:rPr>
          <w:rFonts w:ascii="Arial"/>
          <w:sz w:val="19"/>
        </w:rPr>
        <w:t>Industry subdivisions are: Professional, Scientific and Technical Services (Except Computer System Design and Related Services), and Computer System Design and Related Services.</w:t>
      </w:r>
    </w:p>
    <w:p w:rsidR="007D76BB" w:rsidRDefault="00D70D28">
      <w:pPr>
        <w:spacing w:before="83"/>
        <w:ind w:left="765"/>
        <w:rPr>
          <w:rFonts w:ascii="Arial"/>
          <w:sz w:val="19"/>
        </w:rPr>
      </w:pPr>
      <w:r>
        <w:rPr>
          <w:rFonts w:ascii="Calibri"/>
          <w:color w:val="005386"/>
          <w:sz w:val="19"/>
        </w:rPr>
        <w:t xml:space="preserve">+ </w:t>
      </w:r>
      <w:r>
        <w:rPr>
          <w:rFonts w:ascii="Arial"/>
          <w:sz w:val="19"/>
        </w:rPr>
        <w:t>For November 2019, the figure for weekly earning is $1910.00.</w:t>
      </w:r>
    </w:p>
    <w:p w:rsidR="007D76BB" w:rsidRDefault="00D70D28">
      <w:pPr>
        <w:pStyle w:val="ListParagraph"/>
        <w:numPr>
          <w:ilvl w:val="0"/>
          <w:numId w:val="8"/>
        </w:numPr>
        <w:tabs>
          <w:tab w:val="left" w:pos="766"/>
        </w:tabs>
        <w:spacing w:before="92"/>
        <w:rPr>
          <w:rFonts w:ascii="Arial"/>
          <w:sz w:val="19"/>
        </w:rPr>
      </w:pPr>
      <w:r>
        <w:rPr>
          <w:rFonts w:ascii="Arial"/>
          <w:sz w:val="19"/>
        </w:rPr>
        <w:t>Health</w:t>
      </w:r>
      <w:r>
        <w:rPr>
          <w:rFonts w:ascii="Arial"/>
          <w:spacing w:val="-10"/>
          <w:sz w:val="19"/>
        </w:rPr>
        <w:t xml:space="preserve"> </w:t>
      </w:r>
      <w:r>
        <w:rPr>
          <w:rFonts w:ascii="Arial"/>
          <w:sz w:val="19"/>
        </w:rPr>
        <w:t>Care</w:t>
      </w:r>
      <w:r>
        <w:rPr>
          <w:rFonts w:ascii="Arial"/>
          <w:spacing w:val="-7"/>
          <w:sz w:val="19"/>
        </w:rPr>
        <w:t xml:space="preserve"> </w:t>
      </w:r>
      <w:r>
        <w:rPr>
          <w:rFonts w:ascii="Arial"/>
          <w:sz w:val="19"/>
        </w:rPr>
        <w:t>and</w:t>
      </w:r>
      <w:r>
        <w:rPr>
          <w:rFonts w:ascii="Arial"/>
          <w:spacing w:val="-10"/>
          <w:sz w:val="19"/>
        </w:rPr>
        <w:t xml:space="preserve"> </w:t>
      </w:r>
      <w:r>
        <w:rPr>
          <w:rFonts w:ascii="Arial"/>
          <w:sz w:val="19"/>
        </w:rPr>
        <w:t>Social</w:t>
      </w:r>
      <w:r>
        <w:rPr>
          <w:rFonts w:ascii="Arial"/>
          <w:spacing w:val="-9"/>
          <w:sz w:val="19"/>
        </w:rPr>
        <w:t xml:space="preserve"> </w:t>
      </w:r>
      <w:r>
        <w:rPr>
          <w:rFonts w:ascii="Arial"/>
          <w:sz w:val="19"/>
        </w:rPr>
        <w:t>Assistance</w:t>
      </w:r>
      <w:r>
        <w:rPr>
          <w:rFonts w:ascii="Arial"/>
          <w:spacing w:val="-8"/>
          <w:sz w:val="19"/>
        </w:rPr>
        <w:t xml:space="preserve"> </w:t>
      </w:r>
      <w:r>
        <w:rPr>
          <w:rFonts w:ascii="Arial"/>
          <w:sz w:val="19"/>
        </w:rPr>
        <w:t>(ANZSIC</w:t>
      </w:r>
      <w:r>
        <w:rPr>
          <w:rFonts w:ascii="Arial"/>
          <w:spacing w:val="-8"/>
          <w:sz w:val="19"/>
        </w:rPr>
        <w:t xml:space="preserve"> </w:t>
      </w:r>
      <w:r>
        <w:rPr>
          <w:rFonts w:ascii="Arial"/>
          <w:sz w:val="19"/>
        </w:rPr>
        <w:t>Division</w:t>
      </w:r>
      <w:r>
        <w:rPr>
          <w:rFonts w:ascii="Arial"/>
          <w:spacing w:val="-8"/>
          <w:sz w:val="19"/>
        </w:rPr>
        <w:t xml:space="preserve"> </w:t>
      </w:r>
      <w:r>
        <w:rPr>
          <w:rFonts w:ascii="Arial"/>
          <w:sz w:val="19"/>
        </w:rPr>
        <w:t>Q).</w:t>
      </w:r>
    </w:p>
    <w:p w:rsidR="007D76BB" w:rsidRDefault="00D70D28">
      <w:pPr>
        <w:spacing w:before="96" w:line="256" w:lineRule="auto"/>
        <w:ind w:left="1050" w:right="688" w:hanging="286"/>
        <w:rPr>
          <w:rFonts w:ascii="Arial"/>
          <w:sz w:val="19"/>
        </w:rPr>
      </w:pPr>
      <w:r>
        <w:rPr>
          <w:rFonts w:ascii="Calibri"/>
          <w:color w:val="005386"/>
          <w:sz w:val="19"/>
        </w:rPr>
        <w:t xml:space="preserve">+ </w:t>
      </w:r>
      <w:r>
        <w:rPr>
          <w:rFonts w:ascii="Arial"/>
          <w:sz w:val="19"/>
        </w:rPr>
        <w:t>Industry subdivisions are: Hospitals, Medical and Other Health Care Services, Residential Care Services, and Social Assistance Services.</w:t>
      </w:r>
    </w:p>
    <w:p w:rsidR="007D76BB" w:rsidRDefault="00D70D28">
      <w:pPr>
        <w:spacing w:before="82"/>
        <w:ind w:left="765"/>
        <w:rPr>
          <w:rFonts w:ascii="Arial"/>
          <w:sz w:val="19"/>
        </w:rPr>
      </w:pPr>
      <w:r>
        <w:rPr>
          <w:rFonts w:ascii="Calibri"/>
          <w:color w:val="005386"/>
          <w:sz w:val="19"/>
        </w:rPr>
        <w:t xml:space="preserve">+ </w:t>
      </w:r>
      <w:r>
        <w:rPr>
          <w:rFonts w:ascii="Arial"/>
          <w:sz w:val="19"/>
        </w:rPr>
        <w:t>For November 2019, the figure for weekly earning is $1645.80.</w:t>
      </w:r>
    </w:p>
    <w:p w:rsidR="007D76BB" w:rsidRDefault="00D70D28">
      <w:pPr>
        <w:spacing w:before="190" w:line="264" w:lineRule="auto"/>
        <w:ind w:left="482" w:right="778"/>
        <w:rPr>
          <w:rFonts w:ascii="Arial"/>
          <w:sz w:val="19"/>
        </w:rPr>
      </w:pPr>
      <w:r>
        <w:rPr>
          <w:rFonts w:ascii="Arial"/>
          <w:w w:val="105"/>
          <w:sz w:val="19"/>
        </w:rPr>
        <w:t>It</w:t>
      </w:r>
      <w:r>
        <w:rPr>
          <w:rFonts w:ascii="Arial"/>
          <w:spacing w:val="-25"/>
          <w:w w:val="105"/>
          <w:sz w:val="19"/>
        </w:rPr>
        <w:t xml:space="preserve"> </w:t>
      </w:r>
      <w:r>
        <w:rPr>
          <w:rFonts w:ascii="Arial"/>
          <w:w w:val="105"/>
          <w:sz w:val="19"/>
        </w:rPr>
        <w:t>was</w:t>
      </w:r>
      <w:r>
        <w:rPr>
          <w:rFonts w:ascii="Arial"/>
          <w:spacing w:val="-25"/>
          <w:w w:val="105"/>
          <w:sz w:val="19"/>
        </w:rPr>
        <w:t xml:space="preserve"> </w:t>
      </w:r>
      <w:r>
        <w:rPr>
          <w:rFonts w:ascii="Arial"/>
          <w:w w:val="105"/>
          <w:sz w:val="19"/>
        </w:rPr>
        <w:t>assessed</w:t>
      </w:r>
      <w:r>
        <w:rPr>
          <w:rFonts w:ascii="Arial"/>
          <w:spacing w:val="-25"/>
          <w:w w:val="105"/>
          <w:sz w:val="19"/>
        </w:rPr>
        <w:t xml:space="preserve"> </w:t>
      </w:r>
      <w:r>
        <w:rPr>
          <w:rFonts w:ascii="Arial"/>
          <w:w w:val="105"/>
          <w:sz w:val="19"/>
        </w:rPr>
        <w:t>by</w:t>
      </w:r>
      <w:r>
        <w:rPr>
          <w:rFonts w:ascii="Arial"/>
          <w:spacing w:val="-25"/>
          <w:w w:val="105"/>
          <w:sz w:val="19"/>
        </w:rPr>
        <w:t xml:space="preserve"> </w:t>
      </w:r>
      <w:r>
        <w:rPr>
          <w:rFonts w:ascii="Arial"/>
          <w:w w:val="105"/>
          <w:sz w:val="19"/>
        </w:rPr>
        <w:t>Noetic</w:t>
      </w:r>
      <w:r>
        <w:rPr>
          <w:rFonts w:ascii="Arial"/>
          <w:spacing w:val="-26"/>
          <w:w w:val="105"/>
          <w:sz w:val="19"/>
        </w:rPr>
        <w:t xml:space="preserve"> </w:t>
      </w:r>
      <w:r>
        <w:rPr>
          <w:rFonts w:ascii="Arial"/>
          <w:w w:val="105"/>
          <w:sz w:val="19"/>
        </w:rPr>
        <w:t>that</w:t>
      </w:r>
      <w:r>
        <w:rPr>
          <w:rFonts w:ascii="Arial"/>
          <w:spacing w:val="-25"/>
          <w:w w:val="105"/>
          <w:sz w:val="19"/>
        </w:rPr>
        <w:t xml:space="preserve"> </w:t>
      </w:r>
      <w:r>
        <w:rPr>
          <w:rFonts w:ascii="Arial"/>
          <w:w w:val="105"/>
          <w:sz w:val="19"/>
        </w:rPr>
        <w:t>the</w:t>
      </w:r>
      <w:r>
        <w:rPr>
          <w:rFonts w:ascii="Arial"/>
          <w:spacing w:val="-26"/>
          <w:w w:val="105"/>
          <w:sz w:val="19"/>
        </w:rPr>
        <w:t xml:space="preserve"> </w:t>
      </w:r>
      <w:r>
        <w:rPr>
          <w:rFonts w:ascii="Arial"/>
          <w:w w:val="105"/>
          <w:sz w:val="19"/>
        </w:rPr>
        <w:t>Professional,</w:t>
      </w:r>
      <w:r>
        <w:rPr>
          <w:rFonts w:ascii="Arial"/>
          <w:spacing w:val="-24"/>
          <w:w w:val="105"/>
          <w:sz w:val="19"/>
        </w:rPr>
        <w:t xml:space="preserve"> </w:t>
      </w:r>
      <w:r>
        <w:rPr>
          <w:rFonts w:ascii="Arial"/>
          <w:w w:val="105"/>
          <w:sz w:val="19"/>
        </w:rPr>
        <w:t>Scientific</w:t>
      </w:r>
      <w:r>
        <w:rPr>
          <w:rFonts w:ascii="Arial"/>
          <w:spacing w:val="-24"/>
          <w:w w:val="105"/>
          <w:sz w:val="19"/>
        </w:rPr>
        <w:t xml:space="preserve"> </w:t>
      </w:r>
      <w:r>
        <w:rPr>
          <w:rFonts w:ascii="Arial"/>
          <w:w w:val="105"/>
          <w:sz w:val="19"/>
        </w:rPr>
        <w:t>and</w:t>
      </w:r>
      <w:r>
        <w:rPr>
          <w:rFonts w:ascii="Arial"/>
          <w:spacing w:val="-26"/>
          <w:w w:val="105"/>
          <w:sz w:val="19"/>
        </w:rPr>
        <w:t xml:space="preserve"> </w:t>
      </w:r>
      <w:r>
        <w:rPr>
          <w:rFonts w:ascii="Arial"/>
          <w:w w:val="105"/>
          <w:sz w:val="19"/>
        </w:rPr>
        <w:t>Technical</w:t>
      </w:r>
      <w:r>
        <w:rPr>
          <w:rFonts w:ascii="Arial"/>
          <w:spacing w:val="-24"/>
          <w:w w:val="105"/>
          <w:sz w:val="19"/>
        </w:rPr>
        <w:t xml:space="preserve"> </w:t>
      </w:r>
      <w:r>
        <w:rPr>
          <w:rFonts w:ascii="Arial"/>
          <w:w w:val="105"/>
          <w:sz w:val="19"/>
        </w:rPr>
        <w:t>Services</w:t>
      </w:r>
      <w:r>
        <w:rPr>
          <w:rFonts w:ascii="Arial"/>
          <w:spacing w:val="-25"/>
          <w:w w:val="105"/>
          <w:sz w:val="19"/>
        </w:rPr>
        <w:t xml:space="preserve"> </w:t>
      </w:r>
      <w:r>
        <w:rPr>
          <w:rFonts w:ascii="Arial"/>
          <w:w w:val="105"/>
          <w:sz w:val="19"/>
        </w:rPr>
        <w:t>was</w:t>
      </w:r>
      <w:r>
        <w:rPr>
          <w:rFonts w:ascii="Arial"/>
          <w:spacing w:val="-26"/>
          <w:w w:val="105"/>
          <w:sz w:val="19"/>
        </w:rPr>
        <w:t xml:space="preserve"> </w:t>
      </w:r>
      <w:r>
        <w:rPr>
          <w:rFonts w:ascii="Arial"/>
          <w:w w:val="105"/>
          <w:sz w:val="19"/>
        </w:rPr>
        <w:t>the</w:t>
      </w:r>
      <w:r>
        <w:rPr>
          <w:rFonts w:ascii="Arial"/>
          <w:spacing w:val="-24"/>
          <w:w w:val="105"/>
          <w:sz w:val="19"/>
        </w:rPr>
        <w:t xml:space="preserve"> </w:t>
      </w:r>
      <w:r>
        <w:rPr>
          <w:rFonts w:ascii="Arial"/>
          <w:w w:val="105"/>
          <w:sz w:val="19"/>
        </w:rPr>
        <w:t>more appropriate industry division because it is the division most likely to include the regulatory staff employed</w:t>
      </w:r>
      <w:r>
        <w:rPr>
          <w:rFonts w:ascii="Arial"/>
          <w:spacing w:val="-28"/>
          <w:w w:val="105"/>
          <w:sz w:val="19"/>
        </w:rPr>
        <w:t xml:space="preserve"> </w:t>
      </w:r>
      <w:r>
        <w:rPr>
          <w:rFonts w:ascii="Arial"/>
          <w:w w:val="105"/>
          <w:sz w:val="19"/>
        </w:rPr>
        <w:t>by</w:t>
      </w:r>
      <w:r>
        <w:rPr>
          <w:rFonts w:ascii="Arial"/>
          <w:spacing w:val="-29"/>
          <w:w w:val="105"/>
          <w:sz w:val="19"/>
        </w:rPr>
        <w:t xml:space="preserve"> </w:t>
      </w:r>
      <w:r>
        <w:rPr>
          <w:rFonts w:ascii="Arial"/>
          <w:w w:val="105"/>
          <w:sz w:val="19"/>
        </w:rPr>
        <w:t>the</w:t>
      </w:r>
      <w:r>
        <w:rPr>
          <w:rFonts w:ascii="Arial"/>
          <w:spacing w:val="-27"/>
          <w:w w:val="105"/>
          <w:sz w:val="19"/>
        </w:rPr>
        <w:t xml:space="preserve"> </w:t>
      </w:r>
      <w:r>
        <w:rPr>
          <w:rFonts w:ascii="Arial"/>
          <w:w w:val="105"/>
          <w:sz w:val="19"/>
        </w:rPr>
        <w:t>businesses</w:t>
      </w:r>
      <w:r>
        <w:rPr>
          <w:rFonts w:ascii="Arial"/>
          <w:spacing w:val="-30"/>
          <w:w w:val="105"/>
          <w:sz w:val="19"/>
        </w:rPr>
        <w:t xml:space="preserve"> </w:t>
      </w:r>
      <w:r>
        <w:rPr>
          <w:rFonts w:ascii="Arial"/>
          <w:w w:val="105"/>
          <w:sz w:val="19"/>
        </w:rPr>
        <w:t>who</w:t>
      </w:r>
      <w:r>
        <w:rPr>
          <w:rFonts w:ascii="Arial"/>
          <w:spacing w:val="-27"/>
          <w:w w:val="105"/>
          <w:sz w:val="19"/>
        </w:rPr>
        <w:t xml:space="preserve"> </w:t>
      </w:r>
      <w:r>
        <w:rPr>
          <w:rFonts w:ascii="Arial"/>
          <w:w w:val="105"/>
          <w:sz w:val="19"/>
        </w:rPr>
        <w:t>would</w:t>
      </w:r>
      <w:r>
        <w:rPr>
          <w:rFonts w:ascii="Arial"/>
          <w:spacing w:val="-28"/>
          <w:w w:val="105"/>
          <w:sz w:val="19"/>
        </w:rPr>
        <w:t xml:space="preserve"> </w:t>
      </w:r>
      <w:r>
        <w:rPr>
          <w:rFonts w:ascii="Arial"/>
          <w:w w:val="105"/>
          <w:sz w:val="19"/>
        </w:rPr>
        <w:t>undertake</w:t>
      </w:r>
      <w:r>
        <w:rPr>
          <w:rFonts w:ascii="Arial"/>
          <w:spacing w:val="-28"/>
          <w:w w:val="105"/>
          <w:sz w:val="19"/>
        </w:rPr>
        <w:t xml:space="preserve"> </w:t>
      </w:r>
      <w:r>
        <w:rPr>
          <w:rFonts w:ascii="Arial"/>
          <w:w w:val="105"/>
          <w:sz w:val="19"/>
        </w:rPr>
        <w:t>the</w:t>
      </w:r>
      <w:r>
        <w:rPr>
          <w:rFonts w:ascii="Arial"/>
          <w:spacing w:val="-26"/>
          <w:w w:val="105"/>
          <w:sz w:val="19"/>
        </w:rPr>
        <w:t xml:space="preserve"> </w:t>
      </w:r>
      <w:r>
        <w:rPr>
          <w:rFonts w:ascii="Arial"/>
          <w:w w:val="105"/>
          <w:sz w:val="19"/>
        </w:rPr>
        <w:t>sponsor/manufacturer</w:t>
      </w:r>
      <w:r>
        <w:rPr>
          <w:rFonts w:ascii="Arial"/>
          <w:spacing w:val="-27"/>
          <w:w w:val="105"/>
          <w:sz w:val="19"/>
        </w:rPr>
        <w:t xml:space="preserve"> </w:t>
      </w:r>
      <w:r>
        <w:rPr>
          <w:rFonts w:ascii="Arial"/>
          <w:w w:val="105"/>
          <w:sz w:val="19"/>
        </w:rPr>
        <w:t>activities</w:t>
      </w:r>
      <w:r>
        <w:rPr>
          <w:rFonts w:ascii="Arial"/>
          <w:spacing w:val="-23"/>
          <w:w w:val="105"/>
          <w:sz w:val="19"/>
        </w:rPr>
        <w:t xml:space="preserve"> </w:t>
      </w:r>
      <w:r>
        <w:rPr>
          <w:rFonts w:ascii="Arial"/>
          <w:w w:val="105"/>
          <w:sz w:val="19"/>
        </w:rPr>
        <w:t>required</w:t>
      </w:r>
      <w:r>
        <w:rPr>
          <w:rFonts w:ascii="Arial"/>
          <w:spacing w:val="-28"/>
          <w:w w:val="105"/>
          <w:sz w:val="19"/>
        </w:rPr>
        <w:t xml:space="preserve"> </w:t>
      </w:r>
      <w:r>
        <w:rPr>
          <w:rFonts w:ascii="Arial"/>
          <w:w w:val="105"/>
          <w:sz w:val="19"/>
        </w:rPr>
        <w:t>by the</w:t>
      </w:r>
      <w:r>
        <w:rPr>
          <w:rFonts w:ascii="Arial"/>
          <w:spacing w:val="-12"/>
          <w:w w:val="105"/>
          <w:sz w:val="19"/>
        </w:rPr>
        <w:t xml:space="preserve"> </w:t>
      </w:r>
      <w:r>
        <w:rPr>
          <w:rFonts w:ascii="Arial"/>
          <w:w w:val="105"/>
          <w:sz w:val="19"/>
        </w:rPr>
        <w:t>TGA.</w:t>
      </w:r>
    </w:p>
    <w:p w:rsidR="007D76BB" w:rsidRDefault="00D70D28">
      <w:pPr>
        <w:spacing w:before="182" w:line="264" w:lineRule="auto"/>
        <w:ind w:left="482" w:right="1079"/>
        <w:rPr>
          <w:rFonts w:ascii="Arial" w:hAnsi="Arial"/>
          <w:sz w:val="19"/>
        </w:rPr>
      </w:pPr>
      <w:r>
        <w:rPr>
          <w:rFonts w:ascii="Arial" w:hAnsi="Arial"/>
          <w:w w:val="105"/>
          <w:sz w:val="19"/>
        </w:rPr>
        <w:lastRenderedPageBreak/>
        <w:t>For</w:t>
      </w:r>
      <w:r>
        <w:rPr>
          <w:rFonts w:ascii="Arial" w:hAnsi="Arial"/>
          <w:spacing w:val="-29"/>
          <w:w w:val="105"/>
          <w:sz w:val="19"/>
        </w:rPr>
        <w:t xml:space="preserve"> </w:t>
      </w:r>
      <w:r>
        <w:rPr>
          <w:rFonts w:ascii="Arial" w:hAnsi="Arial"/>
          <w:w w:val="105"/>
          <w:sz w:val="20"/>
        </w:rPr>
        <w:t>November</w:t>
      </w:r>
      <w:r>
        <w:rPr>
          <w:rFonts w:ascii="Arial" w:hAnsi="Arial"/>
          <w:spacing w:val="-30"/>
          <w:w w:val="105"/>
          <w:sz w:val="20"/>
        </w:rPr>
        <w:t xml:space="preserve"> </w:t>
      </w:r>
      <w:r>
        <w:rPr>
          <w:rFonts w:ascii="Arial" w:hAnsi="Arial"/>
          <w:w w:val="105"/>
          <w:sz w:val="20"/>
        </w:rPr>
        <w:t>2019</w:t>
      </w:r>
      <w:r>
        <w:rPr>
          <w:rFonts w:ascii="Arial" w:hAnsi="Arial"/>
          <w:w w:val="105"/>
          <w:sz w:val="19"/>
        </w:rPr>
        <w:t>,</w:t>
      </w:r>
      <w:r>
        <w:rPr>
          <w:rFonts w:ascii="Arial" w:hAnsi="Arial"/>
          <w:spacing w:val="-29"/>
          <w:w w:val="105"/>
          <w:sz w:val="19"/>
        </w:rPr>
        <w:t xml:space="preserve"> </w:t>
      </w:r>
      <w:r>
        <w:rPr>
          <w:rFonts w:ascii="Arial" w:hAnsi="Arial"/>
          <w:w w:val="105"/>
          <w:sz w:val="19"/>
        </w:rPr>
        <w:t>the</w:t>
      </w:r>
      <w:r>
        <w:rPr>
          <w:rFonts w:ascii="Arial" w:hAnsi="Arial"/>
          <w:spacing w:val="-30"/>
          <w:w w:val="105"/>
          <w:sz w:val="19"/>
        </w:rPr>
        <w:t xml:space="preserve"> </w:t>
      </w:r>
      <w:r>
        <w:rPr>
          <w:rFonts w:ascii="Arial" w:hAnsi="Arial"/>
          <w:w w:val="105"/>
          <w:sz w:val="19"/>
        </w:rPr>
        <w:t>figure</w:t>
      </w:r>
      <w:r>
        <w:rPr>
          <w:rFonts w:ascii="Arial" w:hAnsi="Arial"/>
          <w:spacing w:val="-28"/>
          <w:w w:val="105"/>
          <w:sz w:val="19"/>
        </w:rPr>
        <w:t xml:space="preserve"> </w:t>
      </w:r>
      <w:r>
        <w:rPr>
          <w:rFonts w:ascii="Arial" w:hAnsi="Arial"/>
          <w:w w:val="105"/>
          <w:sz w:val="19"/>
        </w:rPr>
        <w:t>for</w:t>
      </w:r>
      <w:r>
        <w:rPr>
          <w:rFonts w:ascii="Arial" w:hAnsi="Arial"/>
          <w:spacing w:val="-30"/>
          <w:w w:val="105"/>
          <w:sz w:val="19"/>
        </w:rPr>
        <w:t xml:space="preserve"> </w:t>
      </w:r>
      <w:r>
        <w:rPr>
          <w:rFonts w:ascii="Arial" w:hAnsi="Arial"/>
          <w:w w:val="105"/>
          <w:sz w:val="19"/>
        </w:rPr>
        <w:t>weekly</w:t>
      </w:r>
      <w:r>
        <w:rPr>
          <w:rFonts w:ascii="Arial" w:hAnsi="Arial"/>
          <w:spacing w:val="-31"/>
          <w:w w:val="105"/>
          <w:sz w:val="19"/>
        </w:rPr>
        <w:t xml:space="preserve"> </w:t>
      </w:r>
      <w:r>
        <w:rPr>
          <w:rFonts w:ascii="Arial" w:hAnsi="Arial"/>
          <w:w w:val="105"/>
          <w:sz w:val="19"/>
        </w:rPr>
        <w:t>earnings</w:t>
      </w:r>
      <w:r>
        <w:rPr>
          <w:rFonts w:ascii="Arial" w:hAnsi="Arial"/>
          <w:spacing w:val="-30"/>
          <w:w w:val="105"/>
          <w:sz w:val="19"/>
        </w:rPr>
        <w:t xml:space="preserve"> </w:t>
      </w:r>
      <w:r>
        <w:rPr>
          <w:rFonts w:ascii="Arial" w:hAnsi="Arial"/>
          <w:w w:val="105"/>
          <w:sz w:val="19"/>
        </w:rPr>
        <w:t>is</w:t>
      </w:r>
      <w:r>
        <w:rPr>
          <w:rFonts w:ascii="Arial" w:hAnsi="Arial"/>
          <w:spacing w:val="-29"/>
          <w:w w:val="105"/>
          <w:sz w:val="19"/>
        </w:rPr>
        <w:t xml:space="preserve"> </w:t>
      </w:r>
      <w:r>
        <w:rPr>
          <w:rFonts w:ascii="Arial" w:hAnsi="Arial"/>
          <w:w w:val="105"/>
          <w:sz w:val="19"/>
        </w:rPr>
        <w:t>therefore</w:t>
      </w:r>
      <w:r>
        <w:rPr>
          <w:rFonts w:ascii="Arial" w:hAnsi="Arial"/>
          <w:spacing w:val="-28"/>
          <w:w w:val="105"/>
          <w:sz w:val="19"/>
        </w:rPr>
        <w:t xml:space="preserve"> </w:t>
      </w:r>
      <w:r>
        <w:rPr>
          <w:rFonts w:ascii="Arial" w:hAnsi="Arial"/>
          <w:w w:val="105"/>
          <w:sz w:val="19"/>
        </w:rPr>
        <w:t>$</w:t>
      </w:r>
      <w:r>
        <w:rPr>
          <w:rFonts w:ascii="Arial" w:hAnsi="Arial"/>
          <w:w w:val="105"/>
          <w:sz w:val="20"/>
        </w:rPr>
        <w:t>1910.</w:t>
      </w:r>
      <w:r>
        <w:rPr>
          <w:rFonts w:ascii="Arial" w:hAnsi="Arial"/>
          <w:spacing w:val="-30"/>
          <w:w w:val="105"/>
          <w:sz w:val="20"/>
        </w:rPr>
        <w:t xml:space="preserve"> </w:t>
      </w:r>
      <w:r>
        <w:rPr>
          <w:rFonts w:ascii="Arial" w:hAnsi="Arial"/>
          <w:w w:val="105"/>
          <w:sz w:val="19"/>
        </w:rPr>
        <w:t>To</w:t>
      </w:r>
      <w:r>
        <w:rPr>
          <w:rFonts w:ascii="Arial" w:hAnsi="Arial"/>
          <w:spacing w:val="-29"/>
          <w:w w:val="105"/>
          <w:sz w:val="19"/>
        </w:rPr>
        <w:t xml:space="preserve"> </w:t>
      </w:r>
      <w:r>
        <w:rPr>
          <w:rFonts w:ascii="Arial" w:hAnsi="Arial"/>
          <w:w w:val="105"/>
          <w:sz w:val="19"/>
        </w:rPr>
        <w:t>determine</w:t>
      </w:r>
      <w:r>
        <w:rPr>
          <w:rFonts w:ascii="Arial" w:hAnsi="Arial"/>
          <w:spacing w:val="-31"/>
          <w:w w:val="105"/>
          <w:sz w:val="19"/>
        </w:rPr>
        <w:t xml:space="preserve"> </w:t>
      </w:r>
      <w:r>
        <w:rPr>
          <w:rFonts w:ascii="Arial" w:hAnsi="Arial"/>
          <w:w w:val="105"/>
          <w:sz w:val="19"/>
        </w:rPr>
        <w:t>the</w:t>
      </w:r>
      <w:r>
        <w:rPr>
          <w:rFonts w:ascii="Arial" w:hAnsi="Arial"/>
          <w:spacing w:val="-30"/>
          <w:w w:val="105"/>
          <w:sz w:val="19"/>
        </w:rPr>
        <w:t xml:space="preserve"> </w:t>
      </w:r>
      <w:r>
        <w:rPr>
          <w:rFonts w:ascii="Arial" w:hAnsi="Arial"/>
          <w:w w:val="105"/>
          <w:sz w:val="19"/>
        </w:rPr>
        <w:t>average hourly</w:t>
      </w:r>
      <w:r>
        <w:rPr>
          <w:rFonts w:ascii="Arial" w:hAnsi="Arial"/>
          <w:spacing w:val="-22"/>
          <w:w w:val="105"/>
          <w:sz w:val="19"/>
        </w:rPr>
        <w:t xml:space="preserve"> </w:t>
      </w:r>
      <w:r>
        <w:rPr>
          <w:rFonts w:ascii="Arial" w:hAnsi="Arial"/>
          <w:w w:val="105"/>
          <w:sz w:val="19"/>
        </w:rPr>
        <w:t>cost,</w:t>
      </w:r>
      <w:r>
        <w:rPr>
          <w:rFonts w:ascii="Arial" w:hAnsi="Arial"/>
          <w:spacing w:val="-22"/>
          <w:w w:val="105"/>
          <w:sz w:val="19"/>
        </w:rPr>
        <w:t xml:space="preserve"> </w:t>
      </w:r>
      <w:r>
        <w:rPr>
          <w:rFonts w:ascii="Arial" w:hAnsi="Arial"/>
          <w:w w:val="105"/>
          <w:sz w:val="19"/>
        </w:rPr>
        <w:t>this</w:t>
      </w:r>
      <w:r>
        <w:rPr>
          <w:rFonts w:ascii="Arial" w:hAnsi="Arial"/>
          <w:spacing w:val="-22"/>
          <w:w w:val="105"/>
          <w:sz w:val="19"/>
        </w:rPr>
        <w:t xml:space="preserve"> </w:t>
      </w:r>
      <w:r>
        <w:rPr>
          <w:rFonts w:ascii="Arial" w:hAnsi="Arial"/>
          <w:w w:val="105"/>
          <w:sz w:val="19"/>
        </w:rPr>
        <w:t>figure</w:t>
      </w:r>
      <w:r>
        <w:rPr>
          <w:rFonts w:ascii="Arial" w:hAnsi="Arial"/>
          <w:spacing w:val="-20"/>
          <w:w w:val="105"/>
          <w:sz w:val="19"/>
        </w:rPr>
        <w:t xml:space="preserve"> </w:t>
      </w:r>
      <w:r>
        <w:rPr>
          <w:rFonts w:ascii="Arial" w:hAnsi="Arial"/>
          <w:w w:val="105"/>
          <w:sz w:val="19"/>
        </w:rPr>
        <w:t>is</w:t>
      </w:r>
      <w:r>
        <w:rPr>
          <w:rFonts w:ascii="Arial" w:hAnsi="Arial"/>
          <w:spacing w:val="-21"/>
          <w:w w:val="105"/>
          <w:sz w:val="19"/>
        </w:rPr>
        <w:t xml:space="preserve"> </w:t>
      </w:r>
      <w:r>
        <w:rPr>
          <w:rFonts w:ascii="Arial" w:hAnsi="Arial"/>
          <w:w w:val="105"/>
          <w:sz w:val="19"/>
        </w:rPr>
        <w:t>divided</w:t>
      </w:r>
      <w:r>
        <w:rPr>
          <w:rFonts w:ascii="Arial" w:hAnsi="Arial"/>
          <w:spacing w:val="-21"/>
          <w:w w:val="105"/>
          <w:sz w:val="19"/>
        </w:rPr>
        <w:t xml:space="preserve"> </w:t>
      </w:r>
      <w:r>
        <w:rPr>
          <w:rFonts w:ascii="Arial" w:hAnsi="Arial"/>
          <w:w w:val="105"/>
          <w:sz w:val="19"/>
        </w:rPr>
        <w:t>by</w:t>
      </w:r>
      <w:r>
        <w:rPr>
          <w:rFonts w:ascii="Arial" w:hAnsi="Arial"/>
          <w:spacing w:val="-20"/>
          <w:w w:val="105"/>
          <w:sz w:val="19"/>
        </w:rPr>
        <w:t xml:space="preserve"> </w:t>
      </w:r>
      <w:r>
        <w:rPr>
          <w:rFonts w:ascii="Arial" w:hAnsi="Arial"/>
          <w:w w:val="105"/>
          <w:sz w:val="19"/>
        </w:rPr>
        <w:t>the</w:t>
      </w:r>
      <w:r>
        <w:rPr>
          <w:rFonts w:ascii="Arial" w:hAnsi="Arial"/>
          <w:spacing w:val="-21"/>
          <w:w w:val="105"/>
          <w:sz w:val="19"/>
        </w:rPr>
        <w:t xml:space="preserve"> </w:t>
      </w:r>
      <w:r>
        <w:rPr>
          <w:rFonts w:ascii="Arial" w:hAnsi="Arial"/>
          <w:w w:val="105"/>
          <w:sz w:val="19"/>
        </w:rPr>
        <w:t>average</w:t>
      </w:r>
      <w:r>
        <w:rPr>
          <w:rFonts w:ascii="Arial" w:hAnsi="Arial"/>
          <w:spacing w:val="-22"/>
          <w:w w:val="105"/>
          <w:sz w:val="19"/>
        </w:rPr>
        <w:t xml:space="preserve"> </w:t>
      </w:r>
      <w:r>
        <w:rPr>
          <w:rFonts w:ascii="Arial" w:hAnsi="Arial"/>
          <w:w w:val="105"/>
          <w:sz w:val="19"/>
        </w:rPr>
        <w:t>number</w:t>
      </w:r>
      <w:r>
        <w:rPr>
          <w:rFonts w:ascii="Arial" w:hAnsi="Arial"/>
          <w:spacing w:val="-23"/>
          <w:w w:val="105"/>
          <w:sz w:val="19"/>
        </w:rPr>
        <w:t xml:space="preserve"> </w:t>
      </w:r>
      <w:r>
        <w:rPr>
          <w:rFonts w:ascii="Arial" w:hAnsi="Arial"/>
          <w:w w:val="105"/>
          <w:sz w:val="19"/>
        </w:rPr>
        <w:t>of</w:t>
      </w:r>
      <w:r>
        <w:rPr>
          <w:rFonts w:ascii="Arial" w:hAnsi="Arial"/>
          <w:spacing w:val="-21"/>
          <w:w w:val="105"/>
          <w:sz w:val="19"/>
        </w:rPr>
        <w:t xml:space="preserve"> </w:t>
      </w:r>
      <w:r>
        <w:rPr>
          <w:rFonts w:ascii="Arial" w:hAnsi="Arial"/>
          <w:w w:val="105"/>
          <w:sz w:val="19"/>
        </w:rPr>
        <w:t>total</w:t>
      </w:r>
      <w:r>
        <w:rPr>
          <w:rFonts w:ascii="Arial" w:hAnsi="Arial"/>
          <w:spacing w:val="-21"/>
          <w:w w:val="105"/>
          <w:sz w:val="19"/>
        </w:rPr>
        <w:t xml:space="preserve"> </w:t>
      </w:r>
      <w:r>
        <w:rPr>
          <w:rFonts w:ascii="Arial" w:hAnsi="Arial"/>
          <w:w w:val="105"/>
          <w:sz w:val="19"/>
        </w:rPr>
        <w:t>hours</w:t>
      </w:r>
      <w:r>
        <w:rPr>
          <w:rFonts w:ascii="Arial" w:hAnsi="Arial"/>
          <w:spacing w:val="-22"/>
          <w:w w:val="105"/>
          <w:sz w:val="19"/>
        </w:rPr>
        <w:t xml:space="preserve"> </w:t>
      </w:r>
      <w:r>
        <w:rPr>
          <w:rFonts w:ascii="Arial" w:hAnsi="Arial"/>
          <w:w w:val="105"/>
          <w:sz w:val="19"/>
        </w:rPr>
        <w:t>worked</w:t>
      </w:r>
      <w:r>
        <w:rPr>
          <w:rFonts w:ascii="Arial" w:hAnsi="Arial"/>
          <w:spacing w:val="-21"/>
          <w:w w:val="105"/>
          <w:sz w:val="19"/>
        </w:rPr>
        <w:t xml:space="preserve"> </w:t>
      </w:r>
      <w:r>
        <w:rPr>
          <w:rFonts w:ascii="Arial" w:hAnsi="Arial"/>
          <w:w w:val="105"/>
          <w:sz w:val="19"/>
        </w:rPr>
        <w:t>(includes</w:t>
      </w:r>
      <w:r>
        <w:rPr>
          <w:rFonts w:ascii="Arial" w:hAnsi="Arial"/>
          <w:spacing w:val="-20"/>
          <w:w w:val="105"/>
          <w:sz w:val="19"/>
        </w:rPr>
        <w:t xml:space="preserve"> </w:t>
      </w:r>
      <w:r>
        <w:rPr>
          <w:rFonts w:ascii="Arial" w:hAnsi="Arial"/>
          <w:w w:val="105"/>
          <w:sz w:val="19"/>
        </w:rPr>
        <w:t>overtime) for</w:t>
      </w:r>
      <w:r>
        <w:rPr>
          <w:rFonts w:ascii="Arial" w:hAnsi="Arial"/>
          <w:spacing w:val="-17"/>
          <w:w w:val="105"/>
          <w:sz w:val="19"/>
        </w:rPr>
        <w:t xml:space="preserve"> </w:t>
      </w:r>
      <w:r>
        <w:rPr>
          <w:rFonts w:ascii="Arial" w:hAnsi="Arial"/>
          <w:w w:val="105"/>
          <w:sz w:val="19"/>
        </w:rPr>
        <w:t>full-time</w:t>
      </w:r>
      <w:r>
        <w:rPr>
          <w:rFonts w:ascii="Arial" w:hAnsi="Arial"/>
          <w:spacing w:val="-19"/>
          <w:w w:val="105"/>
          <w:sz w:val="19"/>
        </w:rPr>
        <w:t xml:space="preserve"> </w:t>
      </w:r>
      <w:r>
        <w:rPr>
          <w:rFonts w:ascii="Arial" w:hAnsi="Arial"/>
          <w:w w:val="105"/>
          <w:sz w:val="19"/>
        </w:rPr>
        <w:t>non-managerial</w:t>
      </w:r>
      <w:r>
        <w:rPr>
          <w:rFonts w:ascii="Arial" w:hAnsi="Arial"/>
          <w:spacing w:val="-18"/>
          <w:w w:val="105"/>
          <w:sz w:val="19"/>
        </w:rPr>
        <w:t xml:space="preserve"> </w:t>
      </w:r>
      <w:r>
        <w:rPr>
          <w:rFonts w:ascii="Arial" w:hAnsi="Arial"/>
          <w:w w:val="105"/>
          <w:sz w:val="19"/>
        </w:rPr>
        <w:t>employees</w:t>
      </w:r>
      <w:r>
        <w:rPr>
          <w:rFonts w:ascii="Arial" w:hAnsi="Arial"/>
          <w:spacing w:val="-18"/>
          <w:w w:val="105"/>
          <w:sz w:val="19"/>
        </w:rPr>
        <w:t xml:space="preserve"> </w:t>
      </w:r>
      <w:r>
        <w:rPr>
          <w:rFonts w:ascii="Arial" w:hAnsi="Arial"/>
          <w:w w:val="105"/>
          <w:sz w:val="19"/>
        </w:rPr>
        <w:t>(the</w:t>
      </w:r>
      <w:r>
        <w:rPr>
          <w:rFonts w:ascii="Arial" w:hAnsi="Arial"/>
          <w:spacing w:val="-18"/>
          <w:w w:val="105"/>
          <w:sz w:val="19"/>
        </w:rPr>
        <w:t xml:space="preserve"> </w:t>
      </w:r>
      <w:r>
        <w:rPr>
          <w:rFonts w:ascii="Arial" w:hAnsi="Arial"/>
          <w:w w:val="105"/>
          <w:sz w:val="19"/>
        </w:rPr>
        <w:t>‘All</w:t>
      </w:r>
      <w:r>
        <w:rPr>
          <w:rFonts w:ascii="Arial" w:hAnsi="Arial"/>
          <w:spacing w:val="-19"/>
          <w:w w:val="105"/>
          <w:sz w:val="19"/>
        </w:rPr>
        <w:t xml:space="preserve"> </w:t>
      </w:r>
      <w:r>
        <w:rPr>
          <w:rFonts w:ascii="Arial" w:hAnsi="Arial"/>
          <w:w w:val="105"/>
          <w:sz w:val="19"/>
        </w:rPr>
        <w:t>Industries’</w:t>
      </w:r>
      <w:r>
        <w:rPr>
          <w:rFonts w:ascii="Arial" w:hAnsi="Arial"/>
          <w:spacing w:val="-17"/>
          <w:w w:val="105"/>
          <w:sz w:val="19"/>
        </w:rPr>
        <w:t xml:space="preserve"> </w:t>
      </w:r>
      <w:r>
        <w:rPr>
          <w:rFonts w:ascii="Arial" w:hAnsi="Arial"/>
          <w:w w:val="105"/>
          <w:sz w:val="19"/>
        </w:rPr>
        <w:t>category</w:t>
      </w:r>
      <w:r>
        <w:rPr>
          <w:rFonts w:ascii="Arial" w:hAnsi="Arial"/>
          <w:spacing w:val="-17"/>
          <w:w w:val="105"/>
          <w:sz w:val="19"/>
        </w:rPr>
        <w:t xml:space="preserve"> </w:t>
      </w:r>
      <w:r>
        <w:rPr>
          <w:rFonts w:ascii="Arial" w:hAnsi="Arial"/>
          <w:w w:val="105"/>
          <w:sz w:val="19"/>
        </w:rPr>
        <w:t>has</w:t>
      </w:r>
      <w:r>
        <w:rPr>
          <w:rFonts w:ascii="Arial" w:hAnsi="Arial"/>
          <w:spacing w:val="-18"/>
          <w:w w:val="105"/>
          <w:sz w:val="19"/>
        </w:rPr>
        <w:t xml:space="preserve"> </w:t>
      </w:r>
      <w:r>
        <w:rPr>
          <w:rFonts w:ascii="Arial" w:hAnsi="Arial"/>
          <w:w w:val="105"/>
          <w:sz w:val="19"/>
        </w:rPr>
        <w:t>been</w:t>
      </w:r>
      <w:r>
        <w:rPr>
          <w:rFonts w:ascii="Arial" w:hAnsi="Arial"/>
          <w:spacing w:val="-18"/>
          <w:w w:val="105"/>
          <w:sz w:val="19"/>
        </w:rPr>
        <w:t xml:space="preserve"> </w:t>
      </w:r>
      <w:r>
        <w:rPr>
          <w:rFonts w:ascii="Arial" w:hAnsi="Arial"/>
          <w:w w:val="105"/>
          <w:sz w:val="19"/>
        </w:rPr>
        <w:t>used)</w:t>
      </w:r>
      <w:r>
        <w:rPr>
          <w:rFonts w:ascii="Arial" w:hAnsi="Arial"/>
          <w:spacing w:val="-18"/>
          <w:w w:val="105"/>
          <w:sz w:val="19"/>
        </w:rPr>
        <w:t xml:space="preserve"> </w:t>
      </w:r>
      <w:r>
        <w:rPr>
          <w:rFonts w:ascii="Arial" w:hAnsi="Arial"/>
          <w:w w:val="105"/>
          <w:sz w:val="19"/>
        </w:rPr>
        <w:t>(39.40</w:t>
      </w: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D70D28">
      <w:pPr>
        <w:pStyle w:val="BodyText"/>
        <w:spacing w:before="1"/>
        <w:rPr>
          <w:rFonts w:ascii="Arial"/>
          <w:sz w:val="14"/>
        </w:rPr>
      </w:pPr>
      <w:r>
        <w:rPr>
          <w:noProof/>
          <w:lang w:val="en-AU" w:eastAsia="en-AU"/>
        </w:rPr>
        <mc:AlternateContent>
          <mc:Choice Requires="wps">
            <w:drawing>
              <wp:anchor distT="0" distB="0" distL="0" distR="0" simplePos="0" relativeHeight="251697152" behindDoc="1" locked="0" layoutInCell="1" allowOverlap="1">
                <wp:simplePos x="0" y="0"/>
                <wp:positionH relativeFrom="page">
                  <wp:posOffset>1080770</wp:posOffset>
                </wp:positionH>
                <wp:positionV relativeFrom="paragraph">
                  <wp:posOffset>133985</wp:posOffset>
                </wp:positionV>
                <wp:extent cx="1829435" cy="1270"/>
                <wp:effectExtent l="0" t="0" r="0" b="0"/>
                <wp:wrapTopAndBottom/>
                <wp:docPr id="366"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9BBCF" id="Freeform 222" o:spid="_x0000_s1026" style="position:absolute;margin-left:85.1pt;margin-top:10.55pt;width:144.05pt;height:.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" path="m,l2880,e" filled="f" strokeweight=".84pt">
                <v:path arrowok="t" o:connecttype="custom" o:connectlocs="0,0;1828800,0" o:connectangles="0,0"/>
                <w10:wrap type="topAndBottom" anchorx="page"/>
              </v:shape>
            </w:pict>
          </mc:Fallback>
        </mc:AlternateContent>
      </w:r>
    </w:p>
    <w:p w:rsidR="007D76BB" w:rsidRDefault="00D70D28">
      <w:pPr>
        <w:spacing w:before="134"/>
        <w:ind w:left="482"/>
        <w:rPr>
          <w:rFonts w:ascii="Arial" w:hAnsi="Arial"/>
          <w:sz w:val="14"/>
        </w:rPr>
      </w:pPr>
      <w:r>
        <w:rPr>
          <w:rFonts w:ascii="Arial" w:hAnsi="Arial"/>
          <w:color w:val="5B6761"/>
          <w:w w:val="105"/>
          <w:position w:val="5"/>
          <w:sz w:val="8"/>
        </w:rPr>
        <w:t xml:space="preserve">12 </w:t>
      </w:r>
      <w:r>
        <w:rPr>
          <w:rFonts w:ascii="Arial" w:hAnsi="Arial"/>
          <w:color w:val="5B6761"/>
          <w:w w:val="105"/>
          <w:sz w:val="14"/>
        </w:rPr>
        <w:t>Department of the Prime Minister and Cabinet, ‘Regulatory burden measurement framework guidance note’, 30 March 2020, see &lt;</w:t>
      </w:r>
    </w:p>
    <w:p w:rsidR="007D76BB" w:rsidRDefault="00A51832">
      <w:pPr>
        <w:spacing w:before="19"/>
        <w:ind w:left="594"/>
        <w:rPr>
          <w:rFonts w:ascii="Arial"/>
          <w:sz w:val="14"/>
        </w:rPr>
      </w:pPr>
      <w:hyperlink r:id="rId186">
        <w:r w:rsidR="00D70D28">
          <w:rPr>
            <w:rFonts w:ascii="Arial"/>
            <w:w w:val="110"/>
            <w:sz w:val="14"/>
            <w:u w:val="single" w:color="006FC0"/>
          </w:rPr>
          <w:t>https://www.pmc.gov.au/resource-centre/regulation/regulatory-burden-measurement-framework-guidance-note</w:t>
        </w:r>
      </w:hyperlink>
      <w:r w:rsidR="00D70D28">
        <w:rPr>
          <w:rFonts w:ascii="Arial"/>
          <w:color w:val="5B6761"/>
          <w:w w:val="110"/>
          <w:sz w:val="14"/>
        </w:rPr>
        <w:t>&gt;.</w:t>
      </w:r>
    </w:p>
    <w:p w:rsidR="007D76BB" w:rsidRDefault="007D76BB">
      <w:pPr>
        <w:pStyle w:val="BodyText"/>
        <w:spacing w:before="9"/>
        <w:rPr>
          <w:rFonts w:ascii="Arial"/>
          <w:sz w:val="8"/>
        </w:rPr>
      </w:pPr>
    </w:p>
    <w:p w:rsidR="007D76BB" w:rsidRDefault="00D70D28">
      <w:pPr>
        <w:spacing w:before="91"/>
        <w:ind w:left="482"/>
        <w:rPr>
          <w:rFonts w:ascii="Arial"/>
          <w:sz w:val="14"/>
        </w:rPr>
      </w:pPr>
      <w:r>
        <w:rPr>
          <w:rFonts w:ascii="Calibri"/>
          <w:w w:val="105"/>
          <w:position w:val="5"/>
          <w:sz w:val="10"/>
        </w:rPr>
        <w:t xml:space="preserve">13 </w:t>
      </w:r>
      <w:r>
        <w:rPr>
          <w:rFonts w:ascii="Arial"/>
          <w:color w:val="5B6761"/>
          <w:w w:val="105"/>
          <w:sz w:val="14"/>
        </w:rPr>
        <w:t>A</w:t>
      </w:r>
      <w:r>
        <w:rPr>
          <w:rFonts w:ascii="Arial"/>
          <w:w w:val="105"/>
          <w:sz w:val="14"/>
        </w:rPr>
        <w:t>ustralian Bureau of Statistics, 6302.0 - Average Weekly Earnings, Australia, November 2019, viewed 2 April 2020,</w:t>
      </w:r>
    </w:p>
    <w:p w:rsidR="007D76BB" w:rsidRDefault="00D70D28">
      <w:pPr>
        <w:spacing w:before="24"/>
        <w:ind w:left="482"/>
        <w:rPr>
          <w:rFonts w:ascii="Arial"/>
          <w:sz w:val="14"/>
        </w:rPr>
      </w:pPr>
      <w:r>
        <w:rPr>
          <w:rFonts w:ascii="Arial"/>
          <w:spacing w:val="-1"/>
          <w:w w:val="109"/>
          <w:sz w:val="14"/>
        </w:rPr>
        <w:t>&lt;</w:t>
      </w:r>
      <w:hyperlink r:id="rId187">
        <w:r>
          <w:rPr>
            <w:rFonts w:ascii="Arial"/>
            <w:sz w:val="14"/>
            <w:u w:val="single" w:color="006FC0"/>
          </w:rPr>
          <w:t>h</w:t>
        </w:r>
        <w:r>
          <w:rPr>
            <w:rFonts w:ascii="Arial"/>
            <w:w w:val="133"/>
            <w:sz w:val="14"/>
            <w:u w:val="single" w:color="006FC0"/>
          </w:rPr>
          <w:t>tt</w:t>
        </w:r>
        <w:r>
          <w:rPr>
            <w:rFonts w:ascii="Arial"/>
            <w:sz w:val="14"/>
            <w:u w:val="single" w:color="006FC0"/>
          </w:rPr>
          <w:t>p</w:t>
        </w:r>
        <w:r>
          <w:rPr>
            <w:rFonts w:ascii="Arial"/>
            <w:spacing w:val="-1"/>
            <w:w w:val="93"/>
            <w:sz w:val="14"/>
            <w:u w:val="single" w:color="006FC0"/>
          </w:rPr>
          <w:t>s</w:t>
        </w:r>
        <w:r>
          <w:rPr>
            <w:rFonts w:ascii="Arial"/>
            <w:w w:val="127"/>
            <w:sz w:val="14"/>
            <w:u w:val="single" w:color="006FC0"/>
          </w:rPr>
          <w:t>:</w:t>
        </w:r>
        <w:r>
          <w:rPr>
            <w:rFonts w:ascii="Arial"/>
            <w:spacing w:val="1"/>
            <w:w w:val="127"/>
            <w:sz w:val="14"/>
            <w:u w:val="single" w:color="006FC0"/>
          </w:rPr>
          <w:t>/</w:t>
        </w:r>
        <w:r>
          <w:rPr>
            <w:rFonts w:ascii="Arial"/>
            <w:spacing w:val="-1"/>
            <w:w w:val="175"/>
            <w:sz w:val="14"/>
            <w:u w:val="single" w:color="006FC0"/>
          </w:rPr>
          <w:t>/</w:t>
        </w:r>
        <w:r>
          <w:rPr>
            <w:rFonts w:ascii="Arial"/>
            <w:spacing w:val="1"/>
            <w:w w:val="98"/>
            <w:sz w:val="14"/>
            <w:u w:val="single" w:color="006FC0"/>
          </w:rPr>
          <w:t>www</w:t>
        </w:r>
        <w:r>
          <w:rPr>
            <w:rFonts w:ascii="Arial"/>
            <w:w w:val="89"/>
            <w:sz w:val="14"/>
            <w:u w:val="single" w:color="006FC0"/>
          </w:rPr>
          <w:t>.a</w:t>
        </w:r>
        <w:r>
          <w:rPr>
            <w:rFonts w:ascii="Arial"/>
            <w:sz w:val="14"/>
            <w:u w:val="single" w:color="006FC0"/>
          </w:rPr>
          <w:t>b</w:t>
        </w:r>
        <w:r>
          <w:rPr>
            <w:rFonts w:ascii="Arial"/>
            <w:spacing w:val="-1"/>
            <w:w w:val="93"/>
            <w:sz w:val="14"/>
            <w:u w:val="single" w:color="006FC0"/>
          </w:rPr>
          <w:t>s</w:t>
        </w:r>
        <w:r>
          <w:rPr>
            <w:rFonts w:ascii="Arial"/>
            <w:w w:val="93"/>
            <w:sz w:val="14"/>
            <w:u w:val="single" w:color="006FC0"/>
          </w:rPr>
          <w:t>.g</w:t>
        </w:r>
        <w:r>
          <w:rPr>
            <w:rFonts w:ascii="Arial"/>
            <w:spacing w:val="-1"/>
            <w:w w:val="99"/>
            <w:sz w:val="14"/>
            <w:u w:val="single" w:color="006FC0"/>
          </w:rPr>
          <w:t>o</w:t>
        </w:r>
        <w:r>
          <w:rPr>
            <w:rFonts w:ascii="Arial"/>
            <w:w w:val="101"/>
            <w:sz w:val="14"/>
            <w:u w:val="single" w:color="006FC0"/>
          </w:rPr>
          <w:t>v</w:t>
        </w:r>
        <w:r>
          <w:rPr>
            <w:rFonts w:ascii="Arial"/>
            <w:w w:val="89"/>
            <w:sz w:val="14"/>
            <w:u w:val="single" w:color="006FC0"/>
          </w:rPr>
          <w:t>.a</w:t>
        </w:r>
        <w:r>
          <w:rPr>
            <w:rFonts w:ascii="Arial"/>
            <w:sz w:val="14"/>
            <w:u w:val="single" w:color="006FC0"/>
          </w:rPr>
          <w:t>u</w:t>
        </w:r>
        <w:r>
          <w:rPr>
            <w:rFonts w:ascii="Arial"/>
            <w:spacing w:val="-1"/>
            <w:w w:val="175"/>
            <w:sz w:val="14"/>
            <w:u w:val="single" w:color="006FC0"/>
          </w:rPr>
          <w:t>/</w:t>
        </w:r>
        <w:r>
          <w:rPr>
            <w:rFonts w:ascii="Arial"/>
            <w:w w:val="94"/>
            <w:sz w:val="14"/>
            <w:u w:val="single" w:color="006FC0"/>
          </w:rPr>
          <w:t>a</w:t>
        </w:r>
        <w:r>
          <w:rPr>
            <w:rFonts w:ascii="Arial"/>
            <w:sz w:val="14"/>
            <w:u w:val="single" w:color="006FC0"/>
          </w:rPr>
          <w:t>u</w:t>
        </w:r>
        <w:r>
          <w:rPr>
            <w:rFonts w:ascii="Arial"/>
            <w:spacing w:val="-1"/>
            <w:w w:val="93"/>
            <w:sz w:val="14"/>
            <w:u w:val="single" w:color="006FC0"/>
          </w:rPr>
          <w:t>ss</w:t>
        </w:r>
        <w:r>
          <w:rPr>
            <w:rFonts w:ascii="Arial"/>
            <w:w w:val="133"/>
            <w:sz w:val="14"/>
            <w:u w:val="single" w:color="006FC0"/>
          </w:rPr>
          <w:t>t</w:t>
        </w:r>
        <w:r>
          <w:rPr>
            <w:rFonts w:ascii="Arial"/>
            <w:w w:val="94"/>
            <w:sz w:val="14"/>
            <w:u w:val="single" w:color="006FC0"/>
          </w:rPr>
          <w:t>a</w:t>
        </w:r>
        <w:r>
          <w:rPr>
            <w:rFonts w:ascii="Arial"/>
            <w:w w:val="133"/>
            <w:sz w:val="14"/>
            <w:u w:val="single" w:color="006FC0"/>
          </w:rPr>
          <w:t>t</w:t>
        </w:r>
        <w:r>
          <w:rPr>
            <w:rFonts w:ascii="Arial"/>
            <w:spacing w:val="-1"/>
            <w:w w:val="93"/>
            <w:sz w:val="14"/>
            <w:u w:val="single" w:color="006FC0"/>
          </w:rPr>
          <w:t>s</w:t>
        </w:r>
        <w:r>
          <w:rPr>
            <w:rFonts w:ascii="Arial"/>
            <w:spacing w:val="-1"/>
            <w:w w:val="175"/>
            <w:sz w:val="14"/>
            <w:u w:val="single" w:color="006FC0"/>
          </w:rPr>
          <w:t>/</w:t>
        </w:r>
        <w:r>
          <w:rPr>
            <w:rFonts w:ascii="Arial"/>
            <w:w w:val="94"/>
            <w:sz w:val="14"/>
            <w:u w:val="single" w:color="006FC0"/>
          </w:rPr>
          <w:t>a</w:t>
        </w:r>
        <w:r>
          <w:rPr>
            <w:rFonts w:ascii="Arial"/>
            <w:sz w:val="14"/>
            <w:u w:val="single" w:color="006FC0"/>
          </w:rPr>
          <w:t>b</w:t>
        </w:r>
        <w:r>
          <w:rPr>
            <w:rFonts w:ascii="Arial"/>
            <w:spacing w:val="-1"/>
            <w:w w:val="93"/>
            <w:sz w:val="14"/>
            <w:u w:val="single" w:color="006FC0"/>
          </w:rPr>
          <w:t>s</w:t>
        </w:r>
        <w:r>
          <w:rPr>
            <w:rFonts w:ascii="Arial"/>
            <w:w w:val="85"/>
            <w:sz w:val="14"/>
            <w:u w:val="single" w:color="006FC0"/>
          </w:rPr>
          <w:t>@.n</w:t>
        </w:r>
        <w:r>
          <w:rPr>
            <w:rFonts w:ascii="Arial"/>
            <w:spacing w:val="-1"/>
            <w:w w:val="93"/>
            <w:sz w:val="14"/>
            <w:u w:val="single" w:color="006FC0"/>
          </w:rPr>
          <w:t>s</w:t>
        </w:r>
        <w:r>
          <w:rPr>
            <w:rFonts w:ascii="Arial"/>
            <w:spacing w:val="1"/>
            <w:w w:val="119"/>
            <w:sz w:val="14"/>
            <w:u w:val="single" w:color="006FC0"/>
          </w:rPr>
          <w:t>f</w:t>
        </w:r>
        <w:r>
          <w:rPr>
            <w:rFonts w:ascii="Arial"/>
            <w:spacing w:val="-1"/>
            <w:w w:val="175"/>
            <w:sz w:val="14"/>
            <w:u w:val="single" w:color="006FC0"/>
          </w:rPr>
          <w:t>/</w:t>
        </w:r>
        <w:r>
          <w:rPr>
            <w:rFonts w:ascii="Arial"/>
            <w:spacing w:val="2"/>
            <w:w w:val="114"/>
            <w:sz w:val="14"/>
            <w:u w:val="single" w:color="006FC0"/>
          </w:rPr>
          <w:t>0</w:t>
        </w:r>
        <w:r>
          <w:rPr>
            <w:rFonts w:ascii="Arial"/>
            <w:spacing w:val="-1"/>
            <w:w w:val="175"/>
            <w:sz w:val="14"/>
            <w:u w:val="single" w:color="006FC0"/>
          </w:rPr>
          <w:t>/</w:t>
        </w:r>
        <w:r>
          <w:rPr>
            <w:rFonts w:ascii="Arial"/>
            <w:spacing w:val="-1"/>
            <w:w w:val="93"/>
            <w:sz w:val="14"/>
            <w:u w:val="single" w:color="006FC0"/>
          </w:rPr>
          <w:t>7</w:t>
        </w:r>
        <w:r>
          <w:rPr>
            <w:rFonts w:ascii="Arial"/>
            <w:w w:val="91"/>
            <w:sz w:val="14"/>
            <w:u w:val="single" w:color="006FC0"/>
          </w:rPr>
          <w:t>F</w:t>
        </w:r>
        <w:r>
          <w:rPr>
            <w:rFonts w:ascii="Arial"/>
            <w:spacing w:val="-1"/>
            <w:w w:val="93"/>
            <w:sz w:val="14"/>
            <w:u w:val="single" w:color="006FC0"/>
          </w:rPr>
          <w:t>7</w:t>
        </w:r>
        <w:r>
          <w:rPr>
            <w:rFonts w:ascii="Arial"/>
            <w:w w:val="106"/>
            <w:sz w:val="14"/>
            <w:u w:val="single" w:color="006FC0"/>
          </w:rPr>
          <w:t>6</w:t>
        </w:r>
        <w:r>
          <w:rPr>
            <w:rFonts w:ascii="Arial"/>
            <w:w w:val="93"/>
            <w:sz w:val="14"/>
            <w:u w:val="single" w:color="006FC0"/>
          </w:rPr>
          <w:t>D</w:t>
        </w:r>
        <w:r>
          <w:rPr>
            <w:rFonts w:ascii="Arial"/>
            <w:w w:val="66"/>
            <w:sz w:val="14"/>
            <w:u w:val="single" w:color="006FC0"/>
          </w:rPr>
          <w:t>1</w:t>
        </w:r>
        <w:r>
          <w:rPr>
            <w:rFonts w:ascii="Arial"/>
            <w:w w:val="109"/>
            <w:sz w:val="14"/>
            <w:u w:val="single" w:color="006FC0"/>
          </w:rPr>
          <w:t>53</w:t>
        </w:r>
        <w:r>
          <w:rPr>
            <w:rFonts w:ascii="Arial"/>
            <w:spacing w:val="2"/>
            <w:w w:val="109"/>
            <w:sz w:val="14"/>
            <w:u w:val="single" w:color="006FC0"/>
          </w:rPr>
          <w:t>5</w:t>
        </w:r>
        <w:r>
          <w:rPr>
            <w:rFonts w:ascii="Arial"/>
            <w:w w:val="103"/>
            <w:sz w:val="14"/>
            <w:u w:val="single" w:color="006FC0"/>
          </w:rPr>
          <w:t>4BB2</w:t>
        </w:r>
        <w:r>
          <w:rPr>
            <w:rFonts w:ascii="Arial"/>
            <w:w w:val="101"/>
            <w:sz w:val="14"/>
            <w:u w:val="single" w:color="006FC0"/>
          </w:rPr>
          <w:t>5D</w:t>
        </w:r>
        <w:r>
          <w:rPr>
            <w:rFonts w:ascii="Arial"/>
            <w:w w:val="98"/>
            <w:sz w:val="14"/>
            <w:u w:val="single" w:color="006FC0"/>
          </w:rPr>
          <w:t>5C</w:t>
        </w:r>
        <w:r>
          <w:rPr>
            <w:rFonts w:ascii="Arial"/>
            <w:spacing w:val="-1"/>
            <w:w w:val="101"/>
            <w:sz w:val="14"/>
            <w:u w:val="single" w:color="006FC0"/>
          </w:rPr>
          <w:t>A</w:t>
        </w:r>
        <w:r>
          <w:rPr>
            <w:rFonts w:ascii="Arial"/>
            <w:spacing w:val="1"/>
            <w:w w:val="109"/>
            <w:sz w:val="14"/>
            <w:u w:val="single" w:color="006FC0"/>
          </w:rPr>
          <w:t>2</w:t>
        </w:r>
        <w:r>
          <w:rPr>
            <w:rFonts w:ascii="Arial"/>
            <w:spacing w:val="2"/>
            <w:w w:val="111"/>
            <w:sz w:val="14"/>
            <w:u w:val="single" w:color="006FC0"/>
          </w:rPr>
          <w:t>5</w:t>
        </w:r>
        <w:r>
          <w:rPr>
            <w:rFonts w:ascii="Arial"/>
            <w:spacing w:val="1"/>
            <w:w w:val="93"/>
            <w:sz w:val="14"/>
            <w:u w:val="single" w:color="006FC0"/>
          </w:rPr>
          <w:t>7</w:t>
        </w:r>
        <w:r>
          <w:rPr>
            <w:rFonts w:ascii="Arial"/>
            <w:w w:val="98"/>
            <w:sz w:val="14"/>
            <w:u w:val="single" w:color="006FC0"/>
          </w:rPr>
          <w:t>5BC001</w:t>
        </w:r>
        <w:r>
          <w:rPr>
            <w:rFonts w:ascii="Arial"/>
            <w:w w:val="93"/>
            <w:sz w:val="14"/>
            <w:u w:val="single" w:color="006FC0"/>
          </w:rPr>
          <w:t>D</w:t>
        </w:r>
        <w:r>
          <w:rPr>
            <w:rFonts w:ascii="Arial"/>
            <w:w w:val="110"/>
            <w:sz w:val="14"/>
            <w:u w:val="single" w:color="006FC0"/>
          </w:rPr>
          <w:t>5</w:t>
        </w:r>
        <w:r>
          <w:rPr>
            <w:rFonts w:ascii="Arial"/>
            <w:spacing w:val="-2"/>
            <w:w w:val="110"/>
            <w:sz w:val="14"/>
            <w:u w:val="single" w:color="006FC0"/>
          </w:rPr>
          <w:t>8</w:t>
        </w:r>
        <w:r>
          <w:rPr>
            <w:rFonts w:ascii="Arial"/>
            <w:w w:val="106"/>
            <w:sz w:val="14"/>
            <w:u w:val="single" w:color="006FC0"/>
          </w:rPr>
          <w:t>66</w:t>
        </w:r>
        <w:r>
          <w:rPr>
            <w:rFonts w:ascii="Arial"/>
            <w:w w:val="91"/>
            <w:sz w:val="14"/>
            <w:u w:val="single" w:color="006FC0"/>
          </w:rPr>
          <w:t>?</w:t>
        </w:r>
        <w:r>
          <w:rPr>
            <w:rFonts w:ascii="Arial"/>
            <w:spacing w:val="-1"/>
            <w:w w:val="93"/>
            <w:sz w:val="14"/>
            <w:u w:val="single" w:color="006FC0"/>
          </w:rPr>
          <w:t>O</w:t>
        </w:r>
        <w:r>
          <w:rPr>
            <w:rFonts w:ascii="Arial"/>
            <w:spacing w:val="2"/>
            <w:sz w:val="14"/>
            <w:u w:val="single" w:color="006FC0"/>
          </w:rPr>
          <w:t>p</w:t>
        </w:r>
        <w:r>
          <w:rPr>
            <w:rFonts w:ascii="Arial"/>
            <w:spacing w:val="-1"/>
            <w:w w:val="96"/>
            <w:sz w:val="14"/>
            <w:u w:val="single" w:color="006FC0"/>
          </w:rPr>
          <w:t>e</w:t>
        </w:r>
        <w:r>
          <w:rPr>
            <w:rFonts w:ascii="Arial"/>
            <w:sz w:val="14"/>
            <w:u w:val="single" w:color="006FC0"/>
          </w:rPr>
          <w:t>nd</w:t>
        </w:r>
        <w:r>
          <w:rPr>
            <w:rFonts w:ascii="Arial"/>
            <w:spacing w:val="-1"/>
            <w:w w:val="99"/>
            <w:sz w:val="14"/>
            <w:u w:val="single" w:color="006FC0"/>
          </w:rPr>
          <w:t>o</w:t>
        </w:r>
        <w:r>
          <w:rPr>
            <w:rFonts w:ascii="Arial"/>
            <w:sz w:val="14"/>
            <w:u w:val="single" w:color="006FC0"/>
          </w:rPr>
          <w:t>cu</w:t>
        </w:r>
        <w:r>
          <w:rPr>
            <w:rFonts w:ascii="Arial"/>
            <w:spacing w:val="2"/>
            <w:sz w:val="14"/>
            <w:u w:val="single" w:color="006FC0"/>
          </w:rPr>
          <w:t>m</w:t>
        </w:r>
        <w:r>
          <w:rPr>
            <w:rFonts w:ascii="Arial"/>
            <w:spacing w:val="-1"/>
            <w:w w:val="96"/>
            <w:sz w:val="14"/>
            <w:u w:val="single" w:color="006FC0"/>
          </w:rPr>
          <w:t>e</w:t>
        </w:r>
        <w:r>
          <w:rPr>
            <w:rFonts w:ascii="Arial"/>
            <w:sz w:val="14"/>
            <w:u w:val="single" w:color="006FC0"/>
          </w:rPr>
          <w:t>n</w:t>
        </w:r>
        <w:r>
          <w:rPr>
            <w:rFonts w:ascii="Arial"/>
            <w:w w:val="133"/>
            <w:sz w:val="14"/>
            <w:u w:val="single" w:color="006FC0"/>
          </w:rPr>
          <w:t>t</w:t>
        </w:r>
        <w:r>
          <w:rPr>
            <w:rFonts w:ascii="Arial"/>
            <w:spacing w:val="3"/>
            <w:sz w:val="14"/>
          </w:rPr>
          <w:t xml:space="preserve"> </w:t>
        </w:r>
      </w:hyperlink>
      <w:r>
        <w:rPr>
          <w:rFonts w:ascii="Arial"/>
          <w:spacing w:val="-1"/>
          <w:sz w:val="14"/>
        </w:rPr>
        <w:t>&gt;.</w:t>
      </w:r>
    </w:p>
    <w:p w:rsidR="007D76BB" w:rsidRDefault="007D76BB">
      <w:pPr>
        <w:rPr>
          <w:rFonts w:ascii="Arial"/>
          <w:sz w:val="14"/>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spacing w:before="8"/>
        <w:rPr>
          <w:rFonts w:ascii="Arial"/>
          <w:sz w:val="28"/>
        </w:rPr>
      </w:pPr>
    </w:p>
    <w:p w:rsidR="007D76BB" w:rsidRDefault="00D70D28">
      <w:pPr>
        <w:spacing w:before="105" w:line="268" w:lineRule="auto"/>
        <w:ind w:left="482" w:right="778"/>
        <w:rPr>
          <w:rFonts w:ascii="Arial"/>
          <w:sz w:val="19"/>
        </w:rPr>
      </w:pPr>
      <w:proofErr w:type="gramStart"/>
      <w:r>
        <w:rPr>
          <w:rFonts w:ascii="Arial"/>
          <w:sz w:val="19"/>
        </w:rPr>
        <w:t>hours</w:t>
      </w:r>
      <w:proofErr w:type="gramEnd"/>
      <w:r>
        <w:rPr>
          <w:rFonts w:ascii="Arial"/>
          <w:sz w:val="19"/>
        </w:rPr>
        <w:t>).</w:t>
      </w:r>
      <w:r>
        <w:rPr>
          <w:rFonts w:ascii="Arial"/>
          <w:position w:val="7"/>
          <w:sz w:val="12"/>
        </w:rPr>
        <w:t xml:space="preserve">14 </w:t>
      </w:r>
      <w:r>
        <w:rPr>
          <w:rFonts w:ascii="Arial"/>
          <w:sz w:val="19"/>
        </w:rPr>
        <w:t xml:space="preserve">In accordance with OBPR guidance, a multiplier of 1.75 was used to account for the non- wage </w:t>
      </w:r>
      <w:proofErr w:type="spellStart"/>
      <w:r>
        <w:rPr>
          <w:rFonts w:ascii="Arial"/>
          <w:sz w:val="19"/>
        </w:rPr>
        <w:t>labour</w:t>
      </w:r>
      <w:proofErr w:type="spellEnd"/>
      <w:r>
        <w:rPr>
          <w:rFonts w:ascii="Arial"/>
          <w:sz w:val="19"/>
        </w:rPr>
        <w:t xml:space="preserve"> on-costs and overhead costs. The arising calculation is shown below.</w:t>
      </w:r>
    </w:p>
    <w:p w:rsidR="007D76BB" w:rsidRDefault="00D70D28">
      <w:pPr>
        <w:spacing w:before="183"/>
        <w:ind w:left="482"/>
        <w:rPr>
          <w:rFonts w:ascii="Arial"/>
          <w:sz w:val="12"/>
        </w:rPr>
      </w:pPr>
      <w:r>
        <w:rPr>
          <w:rFonts w:ascii="Arial"/>
          <w:w w:val="104"/>
          <w:sz w:val="19"/>
        </w:rPr>
        <w:t>(</w:t>
      </w:r>
      <w:r>
        <w:rPr>
          <w:rFonts w:ascii="Arial"/>
          <w:spacing w:val="-2"/>
          <w:w w:val="104"/>
          <w:sz w:val="19"/>
        </w:rPr>
        <w:t>$</w:t>
      </w:r>
      <w:r>
        <w:rPr>
          <w:rFonts w:ascii="Arial"/>
          <w:spacing w:val="1"/>
          <w:w w:val="66"/>
          <w:sz w:val="19"/>
        </w:rPr>
        <w:t>1</w:t>
      </w:r>
      <w:r>
        <w:rPr>
          <w:rFonts w:ascii="Arial"/>
          <w:spacing w:val="-1"/>
          <w:w w:val="107"/>
          <w:sz w:val="19"/>
        </w:rPr>
        <w:t>9</w:t>
      </w:r>
      <w:r>
        <w:rPr>
          <w:rFonts w:ascii="Arial"/>
          <w:spacing w:val="1"/>
          <w:w w:val="90"/>
          <w:sz w:val="19"/>
        </w:rPr>
        <w:t>10</w:t>
      </w:r>
      <w:r>
        <w:rPr>
          <w:rFonts w:ascii="Arial"/>
          <w:w w:val="175"/>
          <w:sz w:val="19"/>
        </w:rPr>
        <w:t>/</w:t>
      </w:r>
      <w:r>
        <w:rPr>
          <w:rFonts w:ascii="Arial"/>
          <w:w w:val="108"/>
          <w:sz w:val="19"/>
        </w:rPr>
        <w:t>3</w:t>
      </w:r>
      <w:r>
        <w:rPr>
          <w:rFonts w:ascii="Arial"/>
          <w:w w:val="106"/>
          <w:sz w:val="19"/>
        </w:rPr>
        <w:t>9.4</w:t>
      </w:r>
      <w:r>
        <w:rPr>
          <w:rFonts w:ascii="Arial"/>
          <w:spacing w:val="1"/>
          <w:w w:val="106"/>
          <w:sz w:val="19"/>
        </w:rPr>
        <w:t>0</w:t>
      </w:r>
      <w:r>
        <w:rPr>
          <w:rFonts w:ascii="Arial"/>
          <w:w w:val="97"/>
          <w:sz w:val="19"/>
        </w:rPr>
        <w:t>)*1</w:t>
      </w:r>
      <w:r>
        <w:rPr>
          <w:rFonts w:ascii="Arial"/>
          <w:w w:val="98"/>
          <w:sz w:val="19"/>
        </w:rPr>
        <w:t>.75</w:t>
      </w:r>
      <w:r>
        <w:rPr>
          <w:rFonts w:ascii="Arial"/>
          <w:spacing w:val="-8"/>
          <w:sz w:val="19"/>
        </w:rPr>
        <w:t xml:space="preserve"> </w:t>
      </w:r>
      <w:r>
        <w:rPr>
          <w:rFonts w:ascii="Arial"/>
          <w:w w:val="110"/>
          <w:sz w:val="19"/>
        </w:rPr>
        <w:t>=</w:t>
      </w:r>
      <w:r>
        <w:rPr>
          <w:rFonts w:ascii="Arial"/>
          <w:spacing w:val="-10"/>
          <w:sz w:val="19"/>
        </w:rPr>
        <w:t xml:space="preserve"> </w:t>
      </w:r>
      <w:r>
        <w:rPr>
          <w:rFonts w:ascii="Arial"/>
          <w:spacing w:val="-2"/>
          <w:w w:val="105"/>
          <w:sz w:val="19"/>
        </w:rPr>
        <w:t>$</w:t>
      </w:r>
      <w:r>
        <w:rPr>
          <w:rFonts w:ascii="Arial"/>
          <w:w w:val="109"/>
          <w:sz w:val="19"/>
        </w:rPr>
        <w:t>8</w:t>
      </w:r>
      <w:r>
        <w:rPr>
          <w:rFonts w:ascii="Arial"/>
          <w:spacing w:val="-1"/>
          <w:w w:val="111"/>
          <w:sz w:val="19"/>
        </w:rPr>
        <w:t>4</w:t>
      </w:r>
      <w:r>
        <w:rPr>
          <w:rFonts w:ascii="Arial"/>
          <w:w w:val="80"/>
          <w:sz w:val="19"/>
        </w:rPr>
        <w:t>.</w:t>
      </w:r>
      <w:r>
        <w:rPr>
          <w:rFonts w:ascii="Arial"/>
          <w:spacing w:val="1"/>
          <w:w w:val="110"/>
          <w:sz w:val="19"/>
        </w:rPr>
        <w:t>8</w:t>
      </w:r>
      <w:r>
        <w:rPr>
          <w:rFonts w:ascii="Arial"/>
          <w:spacing w:val="-1"/>
          <w:w w:val="110"/>
          <w:sz w:val="19"/>
        </w:rPr>
        <w:t>4</w:t>
      </w:r>
      <w:r>
        <w:rPr>
          <w:rFonts w:ascii="Arial"/>
          <w:w w:val="89"/>
          <w:position w:val="7"/>
          <w:sz w:val="12"/>
        </w:rPr>
        <w:t>15</w:t>
      </w:r>
    </w:p>
    <w:p w:rsidR="007D76BB" w:rsidRDefault="00D70D28">
      <w:pPr>
        <w:pStyle w:val="Heading4"/>
        <w:spacing w:before="199"/>
        <w:rPr>
          <w:b/>
        </w:rPr>
      </w:pPr>
      <w:bookmarkStart w:id="157" w:name="_bookmark83"/>
      <w:bookmarkEnd w:id="157"/>
      <w:r>
        <w:rPr>
          <w:b/>
          <w:color w:val="005386"/>
        </w:rPr>
        <w:t>Regulatory impact</w:t>
      </w:r>
    </w:p>
    <w:p w:rsidR="007D76BB" w:rsidRDefault="00D70D28">
      <w:pPr>
        <w:pStyle w:val="Heading6"/>
        <w:spacing w:before="251"/>
        <w:rPr>
          <w:rFonts w:ascii="Lucida Sans"/>
          <w:b/>
        </w:rPr>
      </w:pPr>
      <w:r>
        <w:rPr>
          <w:rFonts w:ascii="Lucida Sans"/>
          <w:b/>
        </w:rPr>
        <w:t>Overview of regulatory impact analysis</w:t>
      </w:r>
    </w:p>
    <w:p w:rsidR="007D76BB" w:rsidRDefault="00D70D28">
      <w:pPr>
        <w:spacing w:before="205" w:line="528" w:lineRule="auto"/>
        <w:ind w:left="482" w:right="1726"/>
        <w:rPr>
          <w:rFonts w:ascii="Arial"/>
          <w:sz w:val="19"/>
        </w:rPr>
      </w:pPr>
      <w:r>
        <w:rPr>
          <w:noProof/>
          <w:lang w:val="en-AU" w:eastAsia="en-AU"/>
        </w:rPr>
        <w:drawing>
          <wp:anchor distT="0" distB="0" distL="0" distR="0" simplePos="0" relativeHeight="39" behindDoc="0" locked="0" layoutInCell="1" allowOverlap="1">
            <wp:simplePos x="0" y="0"/>
            <wp:positionH relativeFrom="page">
              <wp:posOffset>1178363</wp:posOffset>
            </wp:positionH>
            <wp:positionV relativeFrom="paragraph">
              <wp:posOffset>755172</wp:posOffset>
            </wp:positionV>
            <wp:extent cx="3751855" cy="4691633"/>
            <wp:effectExtent l="0" t="0" r="0" b="0"/>
            <wp:wrapTopAndBottom/>
            <wp:docPr id="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3.png"/>
                    <pic:cNvPicPr/>
                  </pic:nvPicPr>
                  <pic:blipFill>
                    <a:blip r:embed="rId188" cstate="print"/>
                    <a:stretch>
                      <a:fillRect/>
                    </a:stretch>
                  </pic:blipFill>
                  <pic:spPr>
                    <a:xfrm>
                      <a:off x="0" y="0"/>
                      <a:ext cx="3751855" cy="4691633"/>
                    </a:xfrm>
                    <a:prstGeom prst="rect">
                      <a:avLst/>
                    </a:prstGeom>
                  </pic:spPr>
                </pic:pic>
              </a:graphicData>
            </a:graphic>
          </wp:anchor>
        </w:drawing>
      </w:r>
      <w:r>
        <w:rPr>
          <w:rFonts w:ascii="Arial"/>
          <w:sz w:val="19"/>
        </w:rPr>
        <w:t xml:space="preserve">The figure below details the key element considered in the regulatory impact analysis. </w:t>
      </w:r>
      <w:r>
        <w:rPr>
          <w:rFonts w:ascii="Arial"/>
          <w:color w:val="005386"/>
          <w:sz w:val="19"/>
        </w:rPr>
        <w:t>Figure 1. Overview of regulatory impact analysis</w:t>
      </w: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D70D28">
      <w:pPr>
        <w:pStyle w:val="BodyText"/>
        <w:spacing w:before="3"/>
        <w:rPr>
          <w:rFonts w:ascii="Arial"/>
          <w:sz w:val="26"/>
        </w:rPr>
      </w:pPr>
      <w:r>
        <w:rPr>
          <w:noProof/>
          <w:lang w:val="en-AU" w:eastAsia="en-AU"/>
        </w:rPr>
        <mc:AlternateContent>
          <mc:Choice Requires="wps">
            <w:drawing>
              <wp:anchor distT="0" distB="0" distL="0" distR="0" simplePos="0" relativeHeight="251699200" behindDoc="1" locked="0" layoutInCell="1" allowOverlap="1">
                <wp:simplePos x="0" y="0"/>
                <wp:positionH relativeFrom="page">
                  <wp:posOffset>1080770</wp:posOffset>
                </wp:positionH>
                <wp:positionV relativeFrom="paragraph">
                  <wp:posOffset>222250</wp:posOffset>
                </wp:positionV>
                <wp:extent cx="1829435" cy="1270"/>
                <wp:effectExtent l="0" t="0" r="0" b="0"/>
                <wp:wrapTopAndBottom/>
                <wp:docPr id="365"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C32BD" id="Freeform 221" o:spid="_x0000_s1026" style="position:absolute;margin-left:85.1pt;margin-top:17.5pt;width:144.05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" path="m,l2880,e" filled="f" strokeweight=".84pt">
                <v:path arrowok="t" o:connecttype="custom" o:connectlocs="0,0;1828800,0" o:connectangles="0,0"/>
                <w10:wrap type="topAndBottom" anchorx="page"/>
              </v:shape>
            </w:pict>
          </mc:Fallback>
        </mc:AlternateContent>
      </w:r>
    </w:p>
    <w:p w:rsidR="007D76BB" w:rsidRDefault="007D76BB">
      <w:pPr>
        <w:pStyle w:val="BodyText"/>
        <w:spacing w:before="6"/>
        <w:rPr>
          <w:rFonts w:ascii="Arial"/>
          <w:sz w:val="21"/>
        </w:rPr>
      </w:pPr>
    </w:p>
    <w:p w:rsidR="007D76BB" w:rsidRDefault="00D70D28">
      <w:pPr>
        <w:ind w:left="482"/>
        <w:rPr>
          <w:rFonts w:ascii="Arial"/>
          <w:sz w:val="14"/>
        </w:rPr>
      </w:pPr>
      <w:r>
        <w:rPr>
          <w:rFonts w:ascii="Calibri"/>
          <w:w w:val="105"/>
          <w:position w:val="5"/>
          <w:sz w:val="10"/>
        </w:rPr>
        <w:t xml:space="preserve">14 </w:t>
      </w:r>
      <w:r>
        <w:rPr>
          <w:rFonts w:ascii="Arial"/>
          <w:w w:val="105"/>
          <w:sz w:val="14"/>
        </w:rPr>
        <w:t>Australian Bureau of Statistics, 6306.0 - Employee Earnings and Hours, Australia, May 2018,</w:t>
      </w:r>
    </w:p>
    <w:p w:rsidR="007D76BB" w:rsidRDefault="00D70D28">
      <w:pPr>
        <w:spacing w:before="24"/>
        <w:ind w:left="482"/>
        <w:rPr>
          <w:rFonts w:ascii="Arial"/>
          <w:sz w:val="14"/>
        </w:rPr>
      </w:pPr>
      <w:r>
        <w:rPr>
          <w:rFonts w:ascii="Arial"/>
          <w:spacing w:val="-1"/>
          <w:w w:val="109"/>
          <w:sz w:val="14"/>
        </w:rPr>
        <w:t>&lt;</w:t>
      </w:r>
      <w:hyperlink r:id="rId189">
        <w:r>
          <w:rPr>
            <w:rFonts w:ascii="Arial"/>
            <w:sz w:val="14"/>
            <w:u w:val="single" w:color="006FC0"/>
          </w:rPr>
          <w:t>h</w:t>
        </w:r>
        <w:r>
          <w:rPr>
            <w:rFonts w:ascii="Arial"/>
            <w:w w:val="133"/>
            <w:sz w:val="14"/>
            <w:u w:val="single" w:color="006FC0"/>
          </w:rPr>
          <w:t>tt</w:t>
        </w:r>
        <w:r>
          <w:rPr>
            <w:rFonts w:ascii="Arial"/>
            <w:sz w:val="14"/>
            <w:u w:val="single" w:color="006FC0"/>
          </w:rPr>
          <w:t>p</w:t>
        </w:r>
        <w:r>
          <w:rPr>
            <w:rFonts w:ascii="Arial"/>
            <w:spacing w:val="-1"/>
            <w:w w:val="93"/>
            <w:sz w:val="14"/>
            <w:u w:val="single" w:color="006FC0"/>
          </w:rPr>
          <w:t>s</w:t>
        </w:r>
        <w:r>
          <w:rPr>
            <w:rFonts w:ascii="Arial"/>
            <w:w w:val="127"/>
            <w:sz w:val="14"/>
            <w:u w:val="single" w:color="006FC0"/>
          </w:rPr>
          <w:t>:</w:t>
        </w:r>
        <w:r>
          <w:rPr>
            <w:rFonts w:ascii="Arial"/>
            <w:spacing w:val="1"/>
            <w:w w:val="127"/>
            <w:sz w:val="14"/>
            <w:u w:val="single" w:color="006FC0"/>
          </w:rPr>
          <w:t>/</w:t>
        </w:r>
        <w:r>
          <w:rPr>
            <w:rFonts w:ascii="Arial"/>
            <w:spacing w:val="-1"/>
            <w:w w:val="175"/>
            <w:sz w:val="14"/>
            <w:u w:val="single" w:color="006FC0"/>
          </w:rPr>
          <w:t>/</w:t>
        </w:r>
        <w:r>
          <w:rPr>
            <w:rFonts w:ascii="Arial"/>
            <w:spacing w:val="1"/>
            <w:w w:val="98"/>
            <w:sz w:val="14"/>
            <w:u w:val="single" w:color="006FC0"/>
          </w:rPr>
          <w:t>www</w:t>
        </w:r>
        <w:r>
          <w:rPr>
            <w:rFonts w:ascii="Arial"/>
            <w:w w:val="89"/>
            <w:sz w:val="14"/>
            <w:u w:val="single" w:color="006FC0"/>
          </w:rPr>
          <w:t>.a</w:t>
        </w:r>
        <w:r>
          <w:rPr>
            <w:rFonts w:ascii="Arial"/>
            <w:sz w:val="14"/>
            <w:u w:val="single" w:color="006FC0"/>
          </w:rPr>
          <w:t>b</w:t>
        </w:r>
        <w:r>
          <w:rPr>
            <w:rFonts w:ascii="Arial"/>
            <w:spacing w:val="-1"/>
            <w:w w:val="93"/>
            <w:sz w:val="14"/>
            <w:u w:val="single" w:color="006FC0"/>
          </w:rPr>
          <w:t>s</w:t>
        </w:r>
        <w:r>
          <w:rPr>
            <w:rFonts w:ascii="Arial"/>
            <w:w w:val="93"/>
            <w:sz w:val="14"/>
            <w:u w:val="single" w:color="006FC0"/>
          </w:rPr>
          <w:t>.g</w:t>
        </w:r>
        <w:r>
          <w:rPr>
            <w:rFonts w:ascii="Arial"/>
            <w:spacing w:val="-1"/>
            <w:w w:val="99"/>
            <w:sz w:val="14"/>
            <w:u w:val="single" w:color="006FC0"/>
          </w:rPr>
          <w:t>o</w:t>
        </w:r>
        <w:r>
          <w:rPr>
            <w:rFonts w:ascii="Arial"/>
            <w:w w:val="101"/>
            <w:sz w:val="14"/>
            <w:u w:val="single" w:color="006FC0"/>
          </w:rPr>
          <w:t>v</w:t>
        </w:r>
        <w:r>
          <w:rPr>
            <w:rFonts w:ascii="Arial"/>
            <w:w w:val="89"/>
            <w:sz w:val="14"/>
            <w:u w:val="single" w:color="006FC0"/>
          </w:rPr>
          <w:t>.a</w:t>
        </w:r>
        <w:r>
          <w:rPr>
            <w:rFonts w:ascii="Arial"/>
            <w:sz w:val="14"/>
            <w:u w:val="single" w:color="006FC0"/>
          </w:rPr>
          <w:t>u</w:t>
        </w:r>
        <w:r>
          <w:rPr>
            <w:rFonts w:ascii="Arial"/>
            <w:spacing w:val="-1"/>
            <w:w w:val="175"/>
            <w:sz w:val="14"/>
            <w:u w:val="single" w:color="006FC0"/>
          </w:rPr>
          <w:t>/</w:t>
        </w:r>
        <w:r>
          <w:rPr>
            <w:rFonts w:ascii="Arial"/>
            <w:spacing w:val="-1"/>
            <w:w w:val="101"/>
            <w:sz w:val="14"/>
            <w:u w:val="single" w:color="006FC0"/>
          </w:rPr>
          <w:t>A</w:t>
        </w:r>
        <w:r>
          <w:rPr>
            <w:rFonts w:ascii="Arial"/>
            <w:w w:val="92"/>
            <w:sz w:val="14"/>
            <w:u w:val="single" w:color="006FC0"/>
          </w:rPr>
          <w:t>US</w:t>
        </w:r>
        <w:r>
          <w:rPr>
            <w:rFonts w:ascii="Arial"/>
            <w:w w:val="89"/>
            <w:sz w:val="14"/>
            <w:u w:val="single" w:color="006FC0"/>
          </w:rPr>
          <w:t>S</w:t>
        </w:r>
        <w:r>
          <w:rPr>
            <w:rFonts w:ascii="Arial"/>
            <w:spacing w:val="2"/>
            <w:w w:val="94"/>
            <w:sz w:val="14"/>
            <w:u w:val="single" w:color="006FC0"/>
          </w:rPr>
          <w:t>T</w:t>
        </w:r>
        <w:r>
          <w:rPr>
            <w:rFonts w:ascii="Arial"/>
            <w:spacing w:val="-1"/>
            <w:w w:val="101"/>
            <w:sz w:val="14"/>
            <w:u w:val="single" w:color="006FC0"/>
          </w:rPr>
          <w:t>A</w:t>
        </w:r>
        <w:r>
          <w:rPr>
            <w:rFonts w:ascii="Arial"/>
            <w:w w:val="94"/>
            <w:sz w:val="14"/>
            <w:u w:val="single" w:color="006FC0"/>
          </w:rPr>
          <w:t>T</w:t>
        </w:r>
        <w:r>
          <w:rPr>
            <w:rFonts w:ascii="Arial"/>
            <w:w w:val="89"/>
            <w:sz w:val="14"/>
            <w:u w:val="single" w:color="006FC0"/>
          </w:rPr>
          <w:t>S</w:t>
        </w:r>
        <w:r>
          <w:rPr>
            <w:rFonts w:ascii="Arial"/>
            <w:spacing w:val="1"/>
            <w:w w:val="175"/>
            <w:sz w:val="14"/>
            <w:u w:val="single" w:color="006FC0"/>
          </w:rPr>
          <w:t>/</w:t>
        </w:r>
        <w:r>
          <w:rPr>
            <w:rFonts w:ascii="Arial"/>
            <w:w w:val="94"/>
            <w:sz w:val="14"/>
            <w:u w:val="single" w:color="006FC0"/>
          </w:rPr>
          <w:t>a</w:t>
        </w:r>
        <w:r>
          <w:rPr>
            <w:rFonts w:ascii="Arial"/>
            <w:sz w:val="14"/>
            <w:u w:val="single" w:color="006FC0"/>
          </w:rPr>
          <w:t>b</w:t>
        </w:r>
        <w:r>
          <w:rPr>
            <w:rFonts w:ascii="Arial"/>
            <w:spacing w:val="-1"/>
            <w:w w:val="93"/>
            <w:sz w:val="14"/>
            <w:u w:val="single" w:color="006FC0"/>
          </w:rPr>
          <w:t>s</w:t>
        </w:r>
        <w:r>
          <w:rPr>
            <w:rFonts w:ascii="Arial"/>
            <w:w w:val="85"/>
            <w:sz w:val="14"/>
            <w:u w:val="single" w:color="006FC0"/>
          </w:rPr>
          <w:t>@.n</w:t>
        </w:r>
        <w:r>
          <w:rPr>
            <w:rFonts w:ascii="Arial"/>
            <w:spacing w:val="-1"/>
            <w:w w:val="93"/>
            <w:sz w:val="14"/>
            <w:u w:val="single" w:color="006FC0"/>
          </w:rPr>
          <w:t>s</w:t>
        </w:r>
        <w:r>
          <w:rPr>
            <w:rFonts w:ascii="Arial"/>
            <w:spacing w:val="-1"/>
            <w:w w:val="119"/>
            <w:sz w:val="14"/>
            <w:u w:val="single" w:color="006FC0"/>
          </w:rPr>
          <w:t>f</w:t>
        </w:r>
        <w:r>
          <w:rPr>
            <w:rFonts w:ascii="Arial"/>
            <w:spacing w:val="-1"/>
            <w:w w:val="175"/>
            <w:sz w:val="14"/>
            <w:u w:val="single" w:color="006FC0"/>
          </w:rPr>
          <w:t>/</w:t>
        </w:r>
        <w:r>
          <w:rPr>
            <w:rFonts w:ascii="Arial"/>
            <w:spacing w:val="3"/>
            <w:w w:val="93"/>
            <w:sz w:val="14"/>
            <w:u w:val="single" w:color="006FC0"/>
          </w:rPr>
          <w:t>D</w:t>
        </w:r>
        <w:r>
          <w:rPr>
            <w:rFonts w:ascii="Arial"/>
            <w:spacing w:val="-1"/>
            <w:w w:val="96"/>
            <w:sz w:val="14"/>
            <w:u w:val="single" w:color="006FC0"/>
          </w:rPr>
          <w:t>e</w:t>
        </w:r>
        <w:r>
          <w:rPr>
            <w:rFonts w:ascii="Arial"/>
            <w:w w:val="133"/>
            <w:sz w:val="14"/>
            <w:u w:val="single" w:color="006FC0"/>
          </w:rPr>
          <w:t>t</w:t>
        </w:r>
        <w:r>
          <w:rPr>
            <w:rFonts w:ascii="Arial"/>
            <w:w w:val="94"/>
            <w:sz w:val="14"/>
            <w:u w:val="single" w:color="006FC0"/>
          </w:rPr>
          <w:t>a</w:t>
        </w:r>
        <w:r>
          <w:rPr>
            <w:rFonts w:ascii="Arial"/>
            <w:w w:val="113"/>
            <w:sz w:val="14"/>
            <w:u w:val="single" w:color="006FC0"/>
          </w:rPr>
          <w:t>i</w:t>
        </w:r>
        <w:r>
          <w:rPr>
            <w:rFonts w:ascii="Arial"/>
            <w:spacing w:val="-1"/>
            <w:w w:val="117"/>
            <w:sz w:val="14"/>
            <w:u w:val="single" w:color="006FC0"/>
          </w:rPr>
          <w:t>l</w:t>
        </w:r>
        <w:r>
          <w:rPr>
            <w:rFonts w:ascii="Arial"/>
            <w:spacing w:val="-1"/>
            <w:w w:val="93"/>
            <w:sz w:val="14"/>
            <w:u w:val="single" w:color="006FC0"/>
          </w:rPr>
          <w:t>s</w:t>
        </w:r>
        <w:r>
          <w:rPr>
            <w:rFonts w:ascii="Arial"/>
            <w:w w:val="93"/>
            <w:sz w:val="14"/>
            <w:u w:val="single" w:color="006FC0"/>
          </w:rPr>
          <w:t>P</w:t>
        </w:r>
        <w:r>
          <w:rPr>
            <w:rFonts w:ascii="Arial"/>
            <w:w w:val="94"/>
            <w:sz w:val="14"/>
            <w:u w:val="single" w:color="006FC0"/>
          </w:rPr>
          <w:t>a</w:t>
        </w:r>
        <w:r>
          <w:rPr>
            <w:rFonts w:ascii="Arial"/>
            <w:sz w:val="14"/>
            <w:u w:val="single" w:color="006FC0"/>
          </w:rPr>
          <w:t>g</w:t>
        </w:r>
        <w:r>
          <w:rPr>
            <w:rFonts w:ascii="Arial"/>
            <w:spacing w:val="-1"/>
            <w:w w:val="96"/>
            <w:sz w:val="14"/>
            <w:u w:val="single" w:color="006FC0"/>
          </w:rPr>
          <w:t>e</w:t>
        </w:r>
        <w:r>
          <w:rPr>
            <w:rFonts w:ascii="Arial"/>
            <w:spacing w:val="-1"/>
            <w:w w:val="175"/>
            <w:sz w:val="14"/>
            <w:u w:val="single" w:color="006FC0"/>
          </w:rPr>
          <w:t>/</w:t>
        </w:r>
        <w:r>
          <w:rPr>
            <w:rFonts w:ascii="Arial"/>
            <w:w w:val="106"/>
            <w:sz w:val="14"/>
            <w:u w:val="single" w:color="006FC0"/>
          </w:rPr>
          <w:t>6</w:t>
        </w:r>
        <w:r>
          <w:rPr>
            <w:rFonts w:ascii="Arial"/>
            <w:w w:val="109"/>
            <w:sz w:val="14"/>
            <w:u w:val="single" w:color="006FC0"/>
          </w:rPr>
          <w:t>306</w:t>
        </w:r>
        <w:r>
          <w:rPr>
            <w:rFonts w:ascii="Arial"/>
            <w:w w:val="99"/>
            <w:sz w:val="14"/>
            <w:u w:val="single" w:color="006FC0"/>
          </w:rPr>
          <w:t>.0M</w:t>
        </w:r>
        <w:r>
          <w:rPr>
            <w:rFonts w:ascii="Arial"/>
            <w:w w:val="94"/>
            <w:sz w:val="14"/>
            <w:u w:val="single" w:color="006FC0"/>
          </w:rPr>
          <w:t>a</w:t>
        </w:r>
        <w:r>
          <w:rPr>
            <w:rFonts w:ascii="Arial"/>
            <w:w w:val="105"/>
            <w:sz w:val="14"/>
            <w:u w:val="single" w:color="006FC0"/>
          </w:rPr>
          <w:t>y</w:t>
        </w:r>
        <w:r>
          <w:rPr>
            <w:rFonts w:ascii="Arial"/>
            <w:spacing w:val="5"/>
            <w:w w:val="97"/>
            <w:sz w:val="14"/>
            <w:u w:val="single" w:color="006FC0"/>
          </w:rPr>
          <w:t>%</w:t>
        </w:r>
        <w:r>
          <w:rPr>
            <w:rFonts w:ascii="Arial"/>
            <w:spacing w:val="3"/>
            <w:w w:val="109"/>
            <w:sz w:val="14"/>
            <w:u w:val="single" w:color="006FC0"/>
          </w:rPr>
          <w:t>2</w:t>
        </w:r>
        <w:r>
          <w:rPr>
            <w:rFonts w:ascii="Arial"/>
            <w:w w:val="111"/>
            <w:sz w:val="14"/>
            <w:u w:val="single" w:color="006FC0"/>
          </w:rPr>
          <w:t>02</w:t>
        </w:r>
        <w:r>
          <w:rPr>
            <w:rFonts w:ascii="Arial"/>
            <w:w w:val="90"/>
            <w:sz w:val="14"/>
            <w:u w:val="single" w:color="006FC0"/>
          </w:rPr>
          <w:t>01</w:t>
        </w:r>
        <w:r>
          <w:rPr>
            <w:rFonts w:ascii="Arial"/>
            <w:spacing w:val="-2"/>
            <w:w w:val="109"/>
            <w:sz w:val="14"/>
            <w:u w:val="single" w:color="006FC0"/>
          </w:rPr>
          <w:t>8</w:t>
        </w:r>
        <w:r>
          <w:rPr>
            <w:rFonts w:ascii="Arial"/>
            <w:w w:val="91"/>
            <w:sz w:val="14"/>
            <w:u w:val="single" w:color="006FC0"/>
          </w:rPr>
          <w:t>?</w:t>
        </w:r>
        <w:r>
          <w:rPr>
            <w:rFonts w:ascii="Arial"/>
            <w:spacing w:val="-1"/>
            <w:w w:val="93"/>
            <w:sz w:val="14"/>
            <w:u w:val="single" w:color="006FC0"/>
          </w:rPr>
          <w:t>O</w:t>
        </w:r>
        <w:r>
          <w:rPr>
            <w:rFonts w:ascii="Arial"/>
            <w:spacing w:val="2"/>
            <w:sz w:val="14"/>
            <w:u w:val="single" w:color="006FC0"/>
          </w:rPr>
          <w:t>p</w:t>
        </w:r>
        <w:r>
          <w:rPr>
            <w:rFonts w:ascii="Arial"/>
            <w:spacing w:val="-1"/>
            <w:w w:val="96"/>
            <w:sz w:val="14"/>
            <w:u w:val="single" w:color="006FC0"/>
          </w:rPr>
          <w:t>e</w:t>
        </w:r>
        <w:r>
          <w:rPr>
            <w:rFonts w:ascii="Arial"/>
            <w:sz w:val="14"/>
            <w:u w:val="single" w:color="006FC0"/>
          </w:rPr>
          <w:t>n</w:t>
        </w:r>
        <w:r>
          <w:rPr>
            <w:rFonts w:ascii="Arial"/>
            <w:w w:val="93"/>
            <w:sz w:val="14"/>
            <w:u w:val="single" w:color="006FC0"/>
          </w:rPr>
          <w:t>D</w:t>
        </w:r>
        <w:r>
          <w:rPr>
            <w:rFonts w:ascii="Arial"/>
            <w:spacing w:val="-1"/>
            <w:w w:val="99"/>
            <w:sz w:val="14"/>
            <w:u w:val="single" w:color="006FC0"/>
          </w:rPr>
          <w:t>o</w:t>
        </w:r>
        <w:r>
          <w:rPr>
            <w:rFonts w:ascii="Arial"/>
            <w:sz w:val="14"/>
            <w:u w:val="single" w:color="006FC0"/>
          </w:rPr>
          <w:t>cu</w:t>
        </w:r>
        <w:r>
          <w:rPr>
            <w:rFonts w:ascii="Arial"/>
            <w:w w:val="99"/>
            <w:sz w:val="14"/>
            <w:u w:val="single" w:color="006FC0"/>
          </w:rPr>
          <w:t>m</w:t>
        </w:r>
        <w:r>
          <w:rPr>
            <w:rFonts w:ascii="Arial"/>
            <w:spacing w:val="-1"/>
            <w:w w:val="99"/>
            <w:sz w:val="14"/>
            <w:u w:val="single" w:color="006FC0"/>
          </w:rPr>
          <w:t>e</w:t>
        </w:r>
        <w:r>
          <w:rPr>
            <w:rFonts w:ascii="Arial"/>
            <w:sz w:val="14"/>
            <w:u w:val="single" w:color="006FC0"/>
          </w:rPr>
          <w:t>n</w:t>
        </w:r>
        <w:r>
          <w:rPr>
            <w:rFonts w:ascii="Arial"/>
            <w:w w:val="133"/>
            <w:sz w:val="14"/>
            <w:u w:val="single" w:color="006FC0"/>
          </w:rPr>
          <w:t>t</w:t>
        </w:r>
        <w:r>
          <w:rPr>
            <w:rFonts w:ascii="Arial"/>
            <w:spacing w:val="-4"/>
            <w:sz w:val="14"/>
          </w:rPr>
          <w:t xml:space="preserve"> </w:t>
        </w:r>
      </w:hyperlink>
      <w:r>
        <w:rPr>
          <w:rFonts w:ascii="Arial"/>
          <w:spacing w:val="1"/>
          <w:sz w:val="14"/>
        </w:rPr>
        <w:t>&gt;.</w:t>
      </w:r>
    </w:p>
    <w:p w:rsidR="007D76BB" w:rsidRDefault="00D70D28">
      <w:pPr>
        <w:spacing w:before="79"/>
        <w:ind w:left="482"/>
        <w:rPr>
          <w:rFonts w:ascii="Arial"/>
          <w:sz w:val="14"/>
        </w:rPr>
      </w:pPr>
      <w:r>
        <w:rPr>
          <w:rFonts w:ascii="Arial"/>
          <w:position w:val="5"/>
          <w:sz w:val="8"/>
        </w:rPr>
        <w:t xml:space="preserve">15 </w:t>
      </w:r>
      <w:r>
        <w:rPr>
          <w:rFonts w:ascii="Arial"/>
          <w:color w:val="5B6761"/>
          <w:sz w:val="14"/>
        </w:rPr>
        <w:t xml:space="preserve">By way of comparison, the suggested hourly </w:t>
      </w:r>
      <w:proofErr w:type="spellStart"/>
      <w:r>
        <w:rPr>
          <w:rFonts w:ascii="Arial"/>
          <w:color w:val="5B6761"/>
          <w:sz w:val="14"/>
        </w:rPr>
        <w:t>labour</w:t>
      </w:r>
      <w:proofErr w:type="spellEnd"/>
      <w:r>
        <w:rPr>
          <w:rFonts w:ascii="Arial"/>
          <w:color w:val="5B6761"/>
          <w:sz w:val="14"/>
        </w:rPr>
        <w:t xml:space="preserve"> rate by OBPR is $73.05 as compared to a value of $84.84 as calculated above</w:t>
      </w:r>
      <w:r>
        <w:rPr>
          <w:rFonts w:ascii="Arial"/>
          <w:sz w:val="14"/>
        </w:rPr>
        <w:t>.</w:t>
      </w:r>
    </w:p>
    <w:p w:rsidR="007D76BB" w:rsidRDefault="007D76BB">
      <w:pPr>
        <w:rPr>
          <w:rFonts w:ascii="Arial"/>
          <w:sz w:val="14"/>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spacing w:before="3"/>
        <w:rPr>
          <w:rFonts w:ascii="Arial"/>
          <w:sz w:val="28"/>
        </w:rPr>
      </w:pPr>
    </w:p>
    <w:p w:rsidR="007D76BB" w:rsidRDefault="00D70D28">
      <w:pPr>
        <w:pStyle w:val="Heading6"/>
        <w:spacing w:before="103"/>
        <w:rPr>
          <w:rFonts w:ascii="Lucida Sans"/>
          <w:b/>
        </w:rPr>
      </w:pPr>
      <w:r>
        <w:rPr>
          <w:rFonts w:ascii="Lucida Sans"/>
          <w:b/>
        </w:rPr>
        <w:t>Impact analysis common across options 2A, 2B and 3</w:t>
      </w:r>
    </w:p>
    <w:p w:rsidR="007D76BB" w:rsidRDefault="00D70D28">
      <w:pPr>
        <w:pStyle w:val="BodyText"/>
        <w:spacing w:before="257"/>
        <w:ind w:left="482"/>
        <w:rPr>
          <w:rFonts w:ascii="Lucida Sans"/>
          <w:b/>
        </w:rPr>
      </w:pPr>
      <w:r>
        <w:rPr>
          <w:rFonts w:ascii="Lucida Sans"/>
          <w:b/>
          <w:color w:val="608FB5"/>
        </w:rPr>
        <w:t>Awareness</w:t>
      </w:r>
    </w:p>
    <w:p w:rsidR="007D76BB" w:rsidRDefault="00D70D28">
      <w:pPr>
        <w:spacing w:before="204" w:line="264" w:lineRule="auto"/>
        <w:ind w:left="482" w:right="844"/>
        <w:rPr>
          <w:rFonts w:ascii="Arial"/>
          <w:sz w:val="19"/>
        </w:rPr>
      </w:pPr>
      <w:r>
        <w:rPr>
          <w:rFonts w:ascii="Arial"/>
          <w:w w:val="105"/>
          <w:sz w:val="19"/>
        </w:rPr>
        <w:t>All sports supplements manufacturers and retailers in Australia</w:t>
      </w:r>
      <w:r>
        <w:rPr>
          <w:rFonts w:ascii="Arial"/>
          <w:w w:val="105"/>
          <w:position w:val="7"/>
          <w:sz w:val="11"/>
        </w:rPr>
        <w:t xml:space="preserve">16 </w:t>
      </w:r>
      <w:r>
        <w:rPr>
          <w:rFonts w:ascii="Arial"/>
          <w:w w:val="105"/>
          <w:sz w:val="19"/>
        </w:rPr>
        <w:t>will need to be aware of the proposed regulatory clarification. This awareness will include a general awareness that is not product specific, noting that an analysis, perhaps requiring advice from a regulatory affairs consultant,</w:t>
      </w:r>
      <w:r>
        <w:rPr>
          <w:rFonts w:ascii="Arial"/>
          <w:w w:val="105"/>
          <w:position w:val="7"/>
          <w:sz w:val="11"/>
        </w:rPr>
        <w:t>17</w:t>
      </w:r>
      <w:r>
        <w:rPr>
          <w:rFonts w:ascii="Arial"/>
          <w:spacing w:val="4"/>
          <w:w w:val="105"/>
          <w:position w:val="7"/>
          <w:sz w:val="11"/>
        </w:rPr>
        <w:t xml:space="preserve"> </w:t>
      </w:r>
      <w:r>
        <w:rPr>
          <w:rFonts w:ascii="Arial"/>
          <w:w w:val="105"/>
          <w:sz w:val="19"/>
        </w:rPr>
        <w:t>will</w:t>
      </w:r>
      <w:r>
        <w:rPr>
          <w:rFonts w:ascii="Arial"/>
          <w:spacing w:val="-20"/>
          <w:w w:val="105"/>
          <w:sz w:val="19"/>
        </w:rPr>
        <w:t xml:space="preserve"> </w:t>
      </w:r>
      <w:r>
        <w:rPr>
          <w:rFonts w:ascii="Arial"/>
          <w:w w:val="105"/>
          <w:sz w:val="19"/>
        </w:rPr>
        <w:t>be</w:t>
      </w:r>
      <w:r>
        <w:rPr>
          <w:rFonts w:ascii="Arial"/>
          <w:spacing w:val="-19"/>
          <w:w w:val="105"/>
          <w:sz w:val="19"/>
        </w:rPr>
        <w:t xml:space="preserve"> </w:t>
      </w:r>
      <w:r>
        <w:rPr>
          <w:rFonts w:ascii="Arial"/>
          <w:w w:val="105"/>
          <w:sz w:val="19"/>
        </w:rPr>
        <w:t>required</w:t>
      </w:r>
      <w:r>
        <w:rPr>
          <w:rFonts w:ascii="Arial"/>
          <w:spacing w:val="-20"/>
          <w:w w:val="105"/>
          <w:sz w:val="19"/>
        </w:rPr>
        <w:t xml:space="preserve"> </w:t>
      </w:r>
      <w:r>
        <w:rPr>
          <w:rFonts w:ascii="Arial"/>
          <w:w w:val="105"/>
          <w:sz w:val="19"/>
        </w:rPr>
        <w:t>for</w:t>
      </w:r>
      <w:r>
        <w:rPr>
          <w:rFonts w:ascii="Arial"/>
          <w:spacing w:val="-19"/>
          <w:w w:val="105"/>
          <w:sz w:val="19"/>
        </w:rPr>
        <w:t xml:space="preserve"> </w:t>
      </w:r>
      <w:r>
        <w:rPr>
          <w:rFonts w:ascii="Arial"/>
          <w:w w:val="105"/>
          <w:sz w:val="19"/>
        </w:rPr>
        <w:t>each</w:t>
      </w:r>
      <w:r>
        <w:rPr>
          <w:rFonts w:ascii="Arial"/>
          <w:spacing w:val="-20"/>
          <w:w w:val="105"/>
          <w:sz w:val="19"/>
        </w:rPr>
        <w:t xml:space="preserve"> </w:t>
      </w:r>
      <w:r>
        <w:rPr>
          <w:rFonts w:ascii="Arial"/>
          <w:w w:val="105"/>
          <w:sz w:val="19"/>
        </w:rPr>
        <w:t>potentially</w:t>
      </w:r>
      <w:r>
        <w:rPr>
          <w:rFonts w:ascii="Arial"/>
          <w:spacing w:val="-20"/>
          <w:w w:val="105"/>
          <w:sz w:val="19"/>
        </w:rPr>
        <w:t xml:space="preserve"> </w:t>
      </w:r>
      <w:r>
        <w:rPr>
          <w:rFonts w:ascii="Arial"/>
          <w:w w:val="105"/>
          <w:sz w:val="19"/>
        </w:rPr>
        <w:t>in-scope</w:t>
      </w:r>
      <w:r>
        <w:rPr>
          <w:rFonts w:ascii="Arial"/>
          <w:spacing w:val="-20"/>
          <w:w w:val="105"/>
          <w:sz w:val="19"/>
        </w:rPr>
        <w:t xml:space="preserve"> </w:t>
      </w:r>
      <w:r>
        <w:rPr>
          <w:rFonts w:ascii="Arial"/>
          <w:w w:val="105"/>
          <w:sz w:val="19"/>
        </w:rPr>
        <w:t>product</w:t>
      </w:r>
      <w:r>
        <w:rPr>
          <w:rFonts w:ascii="Arial"/>
          <w:spacing w:val="-20"/>
          <w:w w:val="105"/>
          <w:sz w:val="19"/>
        </w:rPr>
        <w:t xml:space="preserve"> </w:t>
      </w:r>
      <w:r>
        <w:rPr>
          <w:rFonts w:ascii="Arial"/>
          <w:w w:val="105"/>
          <w:sz w:val="19"/>
        </w:rPr>
        <w:t>to</w:t>
      </w:r>
      <w:r>
        <w:rPr>
          <w:rFonts w:ascii="Arial"/>
          <w:spacing w:val="-20"/>
          <w:w w:val="105"/>
          <w:sz w:val="19"/>
        </w:rPr>
        <w:t xml:space="preserve"> </w:t>
      </w:r>
      <w:r>
        <w:rPr>
          <w:rFonts w:ascii="Arial"/>
          <w:w w:val="105"/>
          <w:sz w:val="19"/>
        </w:rPr>
        <w:t>determine</w:t>
      </w:r>
      <w:r>
        <w:rPr>
          <w:rFonts w:ascii="Arial"/>
          <w:spacing w:val="-20"/>
          <w:w w:val="105"/>
          <w:sz w:val="19"/>
        </w:rPr>
        <w:t xml:space="preserve"> </w:t>
      </w:r>
      <w:r>
        <w:rPr>
          <w:rFonts w:ascii="Arial"/>
          <w:w w:val="105"/>
          <w:sz w:val="19"/>
        </w:rPr>
        <w:t>the</w:t>
      </w:r>
      <w:r>
        <w:rPr>
          <w:rFonts w:ascii="Arial"/>
          <w:spacing w:val="-20"/>
          <w:w w:val="105"/>
          <w:sz w:val="19"/>
        </w:rPr>
        <w:t xml:space="preserve"> </w:t>
      </w:r>
      <w:r>
        <w:rPr>
          <w:rFonts w:ascii="Arial"/>
          <w:w w:val="105"/>
          <w:sz w:val="19"/>
        </w:rPr>
        <w:t>applicability</w:t>
      </w:r>
      <w:r>
        <w:rPr>
          <w:rFonts w:ascii="Arial"/>
          <w:spacing w:val="-21"/>
          <w:w w:val="105"/>
          <w:sz w:val="19"/>
        </w:rPr>
        <w:t xml:space="preserve"> </w:t>
      </w:r>
      <w:r>
        <w:rPr>
          <w:rFonts w:ascii="Arial"/>
          <w:w w:val="105"/>
          <w:sz w:val="19"/>
        </w:rPr>
        <w:t>of the proposed regulatory</w:t>
      </w:r>
      <w:r>
        <w:rPr>
          <w:rFonts w:ascii="Arial"/>
          <w:spacing w:val="-37"/>
          <w:w w:val="105"/>
          <w:sz w:val="19"/>
        </w:rPr>
        <w:t xml:space="preserve"> </w:t>
      </w:r>
      <w:r>
        <w:rPr>
          <w:rFonts w:ascii="Arial"/>
          <w:w w:val="105"/>
          <w:sz w:val="19"/>
        </w:rPr>
        <w:t>clarification.</w:t>
      </w:r>
    </w:p>
    <w:p w:rsidR="007D76BB" w:rsidRDefault="00D70D28">
      <w:pPr>
        <w:spacing w:before="183" w:line="264" w:lineRule="auto"/>
        <w:ind w:left="482" w:right="778"/>
        <w:rPr>
          <w:rFonts w:ascii="Arial" w:hAnsi="Arial"/>
          <w:sz w:val="19"/>
        </w:rPr>
      </w:pPr>
      <w:r>
        <w:rPr>
          <w:rFonts w:ascii="Arial" w:hAnsi="Arial"/>
          <w:w w:val="105"/>
          <w:sz w:val="19"/>
        </w:rPr>
        <w:t>The potential change in the regulation of certain sports supplements may also impact upon the decisions</w:t>
      </w:r>
      <w:r>
        <w:rPr>
          <w:rFonts w:ascii="Arial" w:hAnsi="Arial"/>
          <w:spacing w:val="-27"/>
          <w:w w:val="105"/>
          <w:sz w:val="19"/>
        </w:rPr>
        <w:t xml:space="preserve"> </w:t>
      </w:r>
      <w:r>
        <w:rPr>
          <w:rFonts w:ascii="Arial" w:hAnsi="Arial"/>
          <w:w w:val="105"/>
          <w:sz w:val="19"/>
        </w:rPr>
        <w:t>made</w:t>
      </w:r>
      <w:r>
        <w:rPr>
          <w:rFonts w:ascii="Arial" w:hAnsi="Arial"/>
          <w:spacing w:val="-26"/>
          <w:w w:val="105"/>
          <w:sz w:val="19"/>
        </w:rPr>
        <w:t xml:space="preserve"> </w:t>
      </w:r>
      <w:r>
        <w:rPr>
          <w:rFonts w:ascii="Arial" w:hAnsi="Arial"/>
          <w:w w:val="105"/>
          <w:sz w:val="19"/>
        </w:rPr>
        <w:t>by</w:t>
      </w:r>
      <w:r>
        <w:rPr>
          <w:rFonts w:ascii="Arial" w:hAnsi="Arial"/>
          <w:spacing w:val="-26"/>
          <w:w w:val="105"/>
          <w:sz w:val="19"/>
        </w:rPr>
        <w:t xml:space="preserve"> </w:t>
      </w:r>
      <w:r>
        <w:rPr>
          <w:rFonts w:ascii="Arial" w:hAnsi="Arial"/>
          <w:w w:val="105"/>
          <w:sz w:val="19"/>
        </w:rPr>
        <w:t>sports</w:t>
      </w:r>
      <w:r>
        <w:rPr>
          <w:rFonts w:ascii="Arial" w:hAnsi="Arial"/>
          <w:spacing w:val="-26"/>
          <w:w w:val="105"/>
          <w:sz w:val="19"/>
        </w:rPr>
        <w:t xml:space="preserve"> </w:t>
      </w:r>
      <w:r>
        <w:rPr>
          <w:rFonts w:ascii="Arial" w:hAnsi="Arial"/>
          <w:w w:val="105"/>
          <w:sz w:val="19"/>
        </w:rPr>
        <w:t>dietitians</w:t>
      </w:r>
      <w:r>
        <w:rPr>
          <w:rFonts w:ascii="Arial" w:hAnsi="Arial"/>
          <w:spacing w:val="-28"/>
          <w:w w:val="105"/>
          <w:sz w:val="19"/>
        </w:rPr>
        <w:t xml:space="preserve"> </w:t>
      </w:r>
      <w:r>
        <w:rPr>
          <w:rFonts w:ascii="Arial" w:hAnsi="Arial"/>
          <w:w w:val="105"/>
          <w:sz w:val="19"/>
        </w:rPr>
        <w:t>(and</w:t>
      </w:r>
      <w:r>
        <w:rPr>
          <w:rFonts w:ascii="Arial" w:hAnsi="Arial"/>
          <w:spacing w:val="-27"/>
          <w:w w:val="105"/>
          <w:sz w:val="19"/>
        </w:rPr>
        <w:t xml:space="preserve"> </w:t>
      </w:r>
      <w:r>
        <w:rPr>
          <w:rFonts w:ascii="Arial" w:hAnsi="Arial"/>
          <w:w w:val="105"/>
          <w:sz w:val="19"/>
        </w:rPr>
        <w:t>similar</w:t>
      </w:r>
      <w:r>
        <w:rPr>
          <w:rFonts w:ascii="Arial" w:hAnsi="Arial"/>
          <w:spacing w:val="-26"/>
          <w:w w:val="105"/>
          <w:sz w:val="19"/>
        </w:rPr>
        <w:t xml:space="preserve"> </w:t>
      </w:r>
      <w:r>
        <w:rPr>
          <w:rFonts w:ascii="Arial" w:hAnsi="Arial"/>
          <w:w w:val="105"/>
          <w:sz w:val="19"/>
        </w:rPr>
        <w:t>health</w:t>
      </w:r>
      <w:r>
        <w:rPr>
          <w:rFonts w:ascii="Arial" w:hAnsi="Arial"/>
          <w:spacing w:val="-24"/>
          <w:w w:val="105"/>
          <w:sz w:val="19"/>
        </w:rPr>
        <w:t xml:space="preserve"> </w:t>
      </w:r>
      <w:r>
        <w:rPr>
          <w:rFonts w:ascii="Arial" w:hAnsi="Arial"/>
          <w:w w:val="105"/>
          <w:sz w:val="19"/>
        </w:rPr>
        <w:t>professionals,</w:t>
      </w:r>
      <w:r>
        <w:rPr>
          <w:rFonts w:ascii="Arial" w:hAnsi="Arial"/>
          <w:spacing w:val="-25"/>
          <w:w w:val="105"/>
          <w:sz w:val="19"/>
        </w:rPr>
        <w:t xml:space="preserve"> </w:t>
      </w:r>
      <w:r>
        <w:rPr>
          <w:rFonts w:ascii="Arial" w:hAnsi="Arial"/>
          <w:w w:val="105"/>
          <w:sz w:val="19"/>
        </w:rPr>
        <w:t>including</w:t>
      </w:r>
      <w:r>
        <w:rPr>
          <w:rFonts w:ascii="Arial" w:hAnsi="Arial"/>
          <w:spacing w:val="-27"/>
          <w:w w:val="105"/>
          <w:sz w:val="19"/>
        </w:rPr>
        <w:t xml:space="preserve"> </w:t>
      </w:r>
      <w:r>
        <w:rPr>
          <w:rFonts w:ascii="Arial" w:hAnsi="Arial"/>
          <w:w w:val="105"/>
          <w:sz w:val="19"/>
        </w:rPr>
        <w:t>sport</w:t>
      </w:r>
      <w:r>
        <w:rPr>
          <w:rFonts w:ascii="Arial" w:hAnsi="Arial"/>
          <w:spacing w:val="-26"/>
          <w:w w:val="105"/>
          <w:sz w:val="19"/>
        </w:rPr>
        <w:t xml:space="preserve"> </w:t>
      </w:r>
      <w:r>
        <w:rPr>
          <w:rFonts w:ascii="Arial" w:hAnsi="Arial"/>
          <w:w w:val="105"/>
          <w:sz w:val="19"/>
        </w:rPr>
        <w:t>and</w:t>
      </w:r>
      <w:r>
        <w:rPr>
          <w:rFonts w:ascii="Arial" w:hAnsi="Arial"/>
          <w:spacing w:val="-27"/>
          <w:w w:val="105"/>
          <w:sz w:val="19"/>
        </w:rPr>
        <w:t xml:space="preserve"> </w:t>
      </w:r>
      <w:r>
        <w:rPr>
          <w:rFonts w:ascii="Arial" w:hAnsi="Arial"/>
          <w:w w:val="105"/>
          <w:sz w:val="19"/>
        </w:rPr>
        <w:t>exercise physicians) to recommend/prescribe certain substances to their clients/patients. Likewise, the potential</w:t>
      </w:r>
      <w:r>
        <w:rPr>
          <w:rFonts w:ascii="Arial" w:hAnsi="Arial"/>
          <w:spacing w:val="-23"/>
          <w:w w:val="105"/>
          <w:sz w:val="19"/>
        </w:rPr>
        <w:t xml:space="preserve"> </w:t>
      </w:r>
      <w:r>
        <w:rPr>
          <w:rFonts w:ascii="Arial" w:hAnsi="Arial"/>
          <w:w w:val="105"/>
          <w:sz w:val="19"/>
        </w:rPr>
        <w:t>reclassification</w:t>
      </w:r>
      <w:r>
        <w:rPr>
          <w:rFonts w:ascii="Arial" w:hAnsi="Arial"/>
          <w:spacing w:val="-20"/>
          <w:w w:val="105"/>
          <w:sz w:val="19"/>
        </w:rPr>
        <w:t xml:space="preserve"> </w:t>
      </w:r>
      <w:r>
        <w:rPr>
          <w:rFonts w:ascii="Arial" w:hAnsi="Arial"/>
          <w:w w:val="105"/>
          <w:sz w:val="19"/>
        </w:rPr>
        <w:t>of</w:t>
      </w:r>
      <w:r>
        <w:rPr>
          <w:rFonts w:ascii="Arial" w:hAnsi="Arial"/>
          <w:spacing w:val="-22"/>
          <w:w w:val="105"/>
          <w:sz w:val="19"/>
        </w:rPr>
        <w:t xml:space="preserve"> </w:t>
      </w:r>
      <w:r>
        <w:rPr>
          <w:rFonts w:ascii="Arial" w:hAnsi="Arial"/>
          <w:w w:val="105"/>
          <w:sz w:val="19"/>
        </w:rPr>
        <w:t>certain</w:t>
      </w:r>
      <w:r>
        <w:rPr>
          <w:rFonts w:ascii="Arial" w:hAnsi="Arial"/>
          <w:spacing w:val="-18"/>
          <w:w w:val="105"/>
          <w:sz w:val="19"/>
        </w:rPr>
        <w:t xml:space="preserve"> </w:t>
      </w:r>
      <w:r>
        <w:rPr>
          <w:rFonts w:ascii="Arial" w:hAnsi="Arial"/>
          <w:w w:val="105"/>
          <w:sz w:val="19"/>
        </w:rPr>
        <w:t>sports</w:t>
      </w:r>
      <w:r>
        <w:rPr>
          <w:rFonts w:ascii="Arial" w:hAnsi="Arial"/>
          <w:spacing w:val="-21"/>
          <w:w w:val="105"/>
          <w:sz w:val="19"/>
        </w:rPr>
        <w:t xml:space="preserve"> </w:t>
      </w:r>
      <w:r>
        <w:rPr>
          <w:rFonts w:ascii="Arial" w:hAnsi="Arial"/>
          <w:w w:val="105"/>
          <w:sz w:val="19"/>
        </w:rPr>
        <w:t>supplements</w:t>
      </w:r>
      <w:r>
        <w:rPr>
          <w:rFonts w:ascii="Arial" w:hAnsi="Arial"/>
          <w:spacing w:val="-21"/>
          <w:w w:val="105"/>
          <w:sz w:val="19"/>
        </w:rPr>
        <w:t xml:space="preserve"> </w:t>
      </w:r>
      <w:r>
        <w:rPr>
          <w:rFonts w:ascii="Arial" w:hAnsi="Arial"/>
          <w:w w:val="105"/>
          <w:sz w:val="19"/>
        </w:rPr>
        <w:t>from</w:t>
      </w:r>
      <w:r>
        <w:rPr>
          <w:rFonts w:ascii="Arial" w:hAnsi="Arial"/>
          <w:spacing w:val="-22"/>
          <w:w w:val="105"/>
          <w:sz w:val="19"/>
        </w:rPr>
        <w:t xml:space="preserve"> </w:t>
      </w:r>
      <w:r>
        <w:rPr>
          <w:rFonts w:ascii="Arial" w:hAnsi="Arial"/>
          <w:w w:val="105"/>
          <w:sz w:val="19"/>
        </w:rPr>
        <w:t>a</w:t>
      </w:r>
      <w:r>
        <w:rPr>
          <w:rFonts w:ascii="Arial" w:hAnsi="Arial"/>
          <w:spacing w:val="-20"/>
          <w:w w:val="105"/>
          <w:sz w:val="19"/>
        </w:rPr>
        <w:t xml:space="preserve"> </w:t>
      </w:r>
      <w:r>
        <w:rPr>
          <w:rFonts w:ascii="Arial" w:hAnsi="Arial"/>
          <w:w w:val="105"/>
          <w:sz w:val="19"/>
        </w:rPr>
        <w:t>food</w:t>
      </w:r>
      <w:r>
        <w:rPr>
          <w:rFonts w:ascii="Arial" w:hAnsi="Arial"/>
          <w:spacing w:val="-22"/>
          <w:w w:val="105"/>
          <w:sz w:val="19"/>
        </w:rPr>
        <w:t xml:space="preserve"> </w:t>
      </w:r>
      <w:r>
        <w:rPr>
          <w:rFonts w:ascii="Arial" w:hAnsi="Arial"/>
          <w:w w:val="105"/>
          <w:sz w:val="19"/>
        </w:rPr>
        <w:t>to</w:t>
      </w:r>
      <w:r>
        <w:rPr>
          <w:rFonts w:ascii="Arial" w:hAnsi="Arial"/>
          <w:spacing w:val="-22"/>
          <w:w w:val="105"/>
          <w:sz w:val="19"/>
        </w:rPr>
        <w:t xml:space="preserve"> </w:t>
      </w:r>
      <w:r>
        <w:rPr>
          <w:rFonts w:ascii="Arial" w:hAnsi="Arial"/>
          <w:w w:val="105"/>
          <w:sz w:val="19"/>
        </w:rPr>
        <w:t>a</w:t>
      </w:r>
      <w:r>
        <w:rPr>
          <w:rFonts w:ascii="Arial" w:hAnsi="Arial"/>
          <w:spacing w:val="-22"/>
          <w:w w:val="105"/>
          <w:sz w:val="19"/>
        </w:rPr>
        <w:t xml:space="preserve"> </w:t>
      </w:r>
      <w:r>
        <w:rPr>
          <w:rFonts w:ascii="Arial" w:hAnsi="Arial"/>
          <w:w w:val="105"/>
          <w:sz w:val="19"/>
        </w:rPr>
        <w:t>therapeutic</w:t>
      </w:r>
      <w:r>
        <w:rPr>
          <w:rFonts w:ascii="Arial" w:hAnsi="Arial"/>
          <w:spacing w:val="-22"/>
          <w:w w:val="105"/>
          <w:sz w:val="19"/>
        </w:rPr>
        <w:t xml:space="preserve"> </w:t>
      </w:r>
      <w:r>
        <w:rPr>
          <w:rFonts w:ascii="Arial" w:hAnsi="Arial"/>
          <w:w w:val="105"/>
          <w:sz w:val="19"/>
        </w:rPr>
        <w:t>good</w:t>
      </w:r>
      <w:r>
        <w:rPr>
          <w:rFonts w:ascii="Arial" w:hAnsi="Arial"/>
          <w:spacing w:val="-22"/>
          <w:w w:val="105"/>
          <w:sz w:val="19"/>
        </w:rPr>
        <w:t xml:space="preserve"> </w:t>
      </w:r>
      <w:r>
        <w:rPr>
          <w:rFonts w:ascii="Arial" w:hAnsi="Arial"/>
          <w:w w:val="105"/>
          <w:sz w:val="19"/>
        </w:rPr>
        <w:t>may</w:t>
      </w:r>
      <w:r>
        <w:rPr>
          <w:rFonts w:ascii="Arial" w:hAnsi="Arial"/>
          <w:spacing w:val="-21"/>
          <w:w w:val="105"/>
          <w:sz w:val="19"/>
        </w:rPr>
        <w:t xml:space="preserve"> </w:t>
      </w:r>
      <w:r>
        <w:rPr>
          <w:rFonts w:ascii="Arial" w:hAnsi="Arial"/>
          <w:w w:val="105"/>
          <w:sz w:val="19"/>
        </w:rPr>
        <w:t>also influence</w:t>
      </w:r>
      <w:r>
        <w:rPr>
          <w:rFonts w:ascii="Arial" w:hAnsi="Arial"/>
          <w:spacing w:val="-27"/>
          <w:w w:val="105"/>
          <w:sz w:val="19"/>
        </w:rPr>
        <w:t xml:space="preserve"> </w:t>
      </w:r>
      <w:r>
        <w:rPr>
          <w:rFonts w:ascii="Arial" w:hAnsi="Arial"/>
          <w:w w:val="105"/>
          <w:sz w:val="19"/>
        </w:rPr>
        <w:t>the</w:t>
      </w:r>
      <w:r>
        <w:rPr>
          <w:rFonts w:ascii="Arial" w:hAnsi="Arial"/>
          <w:spacing w:val="-26"/>
          <w:w w:val="105"/>
          <w:sz w:val="19"/>
        </w:rPr>
        <w:t xml:space="preserve"> </w:t>
      </w:r>
      <w:r>
        <w:rPr>
          <w:rFonts w:ascii="Arial" w:hAnsi="Arial"/>
          <w:w w:val="105"/>
          <w:sz w:val="19"/>
        </w:rPr>
        <w:t>purchasing</w:t>
      </w:r>
      <w:r>
        <w:rPr>
          <w:rFonts w:ascii="Arial" w:hAnsi="Arial"/>
          <w:spacing w:val="-25"/>
          <w:w w:val="105"/>
          <w:sz w:val="19"/>
        </w:rPr>
        <w:t xml:space="preserve"> </w:t>
      </w:r>
      <w:r>
        <w:rPr>
          <w:rFonts w:ascii="Arial" w:hAnsi="Arial"/>
          <w:w w:val="105"/>
          <w:sz w:val="19"/>
        </w:rPr>
        <w:t>decisions</w:t>
      </w:r>
      <w:r>
        <w:rPr>
          <w:rFonts w:ascii="Arial" w:hAnsi="Arial"/>
          <w:spacing w:val="-26"/>
          <w:w w:val="105"/>
          <w:sz w:val="19"/>
        </w:rPr>
        <w:t xml:space="preserve"> </w:t>
      </w:r>
      <w:r>
        <w:rPr>
          <w:rFonts w:ascii="Arial" w:hAnsi="Arial"/>
          <w:w w:val="105"/>
          <w:sz w:val="19"/>
        </w:rPr>
        <w:t>by</w:t>
      </w:r>
      <w:r>
        <w:rPr>
          <w:rFonts w:ascii="Arial" w:hAnsi="Arial"/>
          <w:spacing w:val="-26"/>
          <w:w w:val="105"/>
          <w:sz w:val="19"/>
        </w:rPr>
        <w:t xml:space="preserve"> </w:t>
      </w:r>
      <w:r>
        <w:rPr>
          <w:rFonts w:ascii="Arial" w:hAnsi="Arial"/>
          <w:w w:val="105"/>
          <w:sz w:val="19"/>
        </w:rPr>
        <w:t>consumers.</w:t>
      </w:r>
      <w:r>
        <w:rPr>
          <w:rFonts w:ascii="Arial" w:hAnsi="Arial"/>
          <w:spacing w:val="-23"/>
          <w:w w:val="105"/>
          <w:sz w:val="19"/>
        </w:rPr>
        <w:t xml:space="preserve"> </w:t>
      </w:r>
      <w:r>
        <w:rPr>
          <w:rFonts w:ascii="Arial" w:hAnsi="Arial"/>
          <w:w w:val="105"/>
          <w:sz w:val="19"/>
        </w:rPr>
        <w:t>However,</w:t>
      </w:r>
      <w:r>
        <w:rPr>
          <w:rFonts w:ascii="Arial" w:hAnsi="Arial"/>
          <w:spacing w:val="-25"/>
          <w:w w:val="105"/>
          <w:sz w:val="19"/>
        </w:rPr>
        <w:t xml:space="preserve"> </w:t>
      </w:r>
      <w:r>
        <w:rPr>
          <w:rFonts w:ascii="Arial" w:hAnsi="Arial"/>
          <w:w w:val="105"/>
          <w:sz w:val="19"/>
        </w:rPr>
        <w:t>it</w:t>
      </w:r>
      <w:r>
        <w:rPr>
          <w:rFonts w:ascii="Arial" w:hAnsi="Arial"/>
          <w:spacing w:val="-25"/>
          <w:w w:val="105"/>
          <w:sz w:val="19"/>
        </w:rPr>
        <w:t xml:space="preserve"> </w:t>
      </w:r>
      <w:r>
        <w:rPr>
          <w:rFonts w:ascii="Arial" w:hAnsi="Arial"/>
          <w:w w:val="105"/>
          <w:sz w:val="19"/>
        </w:rPr>
        <w:t>was</w:t>
      </w:r>
      <w:r>
        <w:rPr>
          <w:rFonts w:ascii="Arial" w:hAnsi="Arial"/>
          <w:spacing w:val="-26"/>
          <w:w w:val="105"/>
          <w:sz w:val="19"/>
        </w:rPr>
        <w:t xml:space="preserve"> </w:t>
      </w:r>
      <w:r>
        <w:rPr>
          <w:rFonts w:ascii="Arial" w:hAnsi="Arial"/>
          <w:w w:val="105"/>
          <w:sz w:val="19"/>
        </w:rPr>
        <w:t>considered</w:t>
      </w:r>
      <w:r>
        <w:rPr>
          <w:rFonts w:ascii="Arial" w:hAnsi="Arial"/>
          <w:spacing w:val="-26"/>
          <w:w w:val="105"/>
          <w:sz w:val="19"/>
        </w:rPr>
        <w:t xml:space="preserve"> </w:t>
      </w:r>
      <w:r>
        <w:rPr>
          <w:rFonts w:ascii="Arial" w:hAnsi="Arial"/>
          <w:w w:val="105"/>
          <w:sz w:val="19"/>
        </w:rPr>
        <w:t>that</w:t>
      </w:r>
      <w:r>
        <w:rPr>
          <w:rFonts w:ascii="Arial" w:hAnsi="Arial"/>
          <w:spacing w:val="-27"/>
          <w:w w:val="105"/>
          <w:sz w:val="19"/>
        </w:rPr>
        <w:t xml:space="preserve"> </w:t>
      </w:r>
      <w:r>
        <w:rPr>
          <w:rFonts w:ascii="Arial" w:hAnsi="Arial"/>
          <w:w w:val="105"/>
          <w:sz w:val="19"/>
        </w:rPr>
        <w:t>these</w:t>
      </w:r>
      <w:r>
        <w:rPr>
          <w:rFonts w:ascii="Arial" w:hAnsi="Arial"/>
          <w:spacing w:val="-25"/>
          <w:w w:val="105"/>
          <w:sz w:val="19"/>
        </w:rPr>
        <w:t xml:space="preserve"> </w:t>
      </w:r>
      <w:r>
        <w:rPr>
          <w:rFonts w:ascii="Arial" w:hAnsi="Arial"/>
          <w:w w:val="105"/>
          <w:sz w:val="19"/>
        </w:rPr>
        <w:t>parties would</w:t>
      </w:r>
      <w:r>
        <w:rPr>
          <w:rFonts w:ascii="Arial" w:hAnsi="Arial"/>
          <w:spacing w:val="-29"/>
          <w:w w:val="105"/>
          <w:sz w:val="19"/>
        </w:rPr>
        <w:t xml:space="preserve"> </w:t>
      </w:r>
      <w:r>
        <w:rPr>
          <w:rFonts w:ascii="Arial" w:hAnsi="Arial"/>
          <w:w w:val="105"/>
          <w:sz w:val="19"/>
        </w:rPr>
        <w:t>already</w:t>
      </w:r>
      <w:r>
        <w:rPr>
          <w:rFonts w:ascii="Arial" w:hAnsi="Arial"/>
          <w:spacing w:val="-29"/>
          <w:w w:val="105"/>
          <w:sz w:val="19"/>
        </w:rPr>
        <w:t xml:space="preserve"> </w:t>
      </w:r>
      <w:r>
        <w:rPr>
          <w:rFonts w:ascii="Arial" w:hAnsi="Arial"/>
          <w:w w:val="105"/>
          <w:sz w:val="19"/>
        </w:rPr>
        <w:t>have</w:t>
      </w:r>
      <w:r>
        <w:rPr>
          <w:rFonts w:ascii="Arial" w:hAnsi="Arial"/>
          <w:spacing w:val="-28"/>
          <w:w w:val="105"/>
          <w:sz w:val="19"/>
        </w:rPr>
        <w:t xml:space="preserve"> </w:t>
      </w:r>
      <w:r>
        <w:rPr>
          <w:rFonts w:ascii="Arial" w:hAnsi="Arial"/>
          <w:w w:val="105"/>
          <w:sz w:val="19"/>
        </w:rPr>
        <w:t>been</w:t>
      </w:r>
      <w:r>
        <w:rPr>
          <w:rFonts w:ascii="Arial" w:hAnsi="Arial"/>
          <w:spacing w:val="-28"/>
          <w:w w:val="105"/>
          <w:sz w:val="19"/>
        </w:rPr>
        <w:t xml:space="preserve"> </w:t>
      </w:r>
      <w:r>
        <w:rPr>
          <w:rFonts w:ascii="Arial" w:hAnsi="Arial"/>
          <w:w w:val="105"/>
          <w:sz w:val="19"/>
        </w:rPr>
        <w:t>considering</w:t>
      </w:r>
      <w:r>
        <w:rPr>
          <w:rFonts w:ascii="Arial" w:hAnsi="Arial"/>
          <w:spacing w:val="-28"/>
          <w:w w:val="105"/>
          <w:sz w:val="19"/>
        </w:rPr>
        <w:t xml:space="preserve"> </w:t>
      </w:r>
      <w:r>
        <w:rPr>
          <w:rFonts w:ascii="Arial" w:hAnsi="Arial"/>
          <w:w w:val="105"/>
          <w:sz w:val="19"/>
        </w:rPr>
        <w:t>the</w:t>
      </w:r>
      <w:r>
        <w:rPr>
          <w:rFonts w:ascii="Arial" w:hAnsi="Arial"/>
          <w:spacing w:val="-29"/>
          <w:w w:val="105"/>
          <w:sz w:val="19"/>
        </w:rPr>
        <w:t xml:space="preserve"> </w:t>
      </w:r>
      <w:r>
        <w:rPr>
          <w:rFonts w:ascii="Arial" w:hAnsi="Arial"/>
          <w:w w:val="105"/>
          <w:sz w:val="19"/>
        </w:rPr>
        <w:t>appropriateness</w:t>
      </w:r>
      <w:r>
        <w:rPr>
          <w:rFonts w:ascii="Arial" w:hAnsi="Arial"/>
          <w:spacing w:val="-29"/>
          <w:w w:val="105"/>
          <w:sz w:val="19"/>
        </w:rPr>
        <w:t xml:space="preserve"> </w:t>
      </w:r>
      <w:r>
        <w:rPr>
          <w:rFonts w:ascii="Arial" w:hAnsi="Arial"/>
          <w:w w:val="105"/>
          <w:sz w:val="19"/>
        </w:rPr>
        <w:t>of</w:t>
      </w:r>
      <w:r>
        <w:rPr>
          <w:rFonts w:ascii="Arial" w:hAnsi="Arial"/>
          <w:spacing w:val="-29"/>
          <w:w w:val="105"/>
          <w:sz w:val="19"/>
        </w:rPr>
        <w:t xml:space="preserve"> </w:t>
      </w:r>
      <w:r>
        <w:rPr>
          <w:rFonts w:ascii="Arial" w:hAnsi="Arial"/>
          <w:w w:val="105"/>
          <w:sz w:val="19"/>
        </w:rPr>
        <w:t>product</w:t>
      </w:r>
      <w:r>
        <w:rPr>
          <w:rFonts w:ascii="Arial" w:hAnsi="Arial"/>
          <w:spacing w:val="-28"/>
          <w:w w:val="105"/>
          <w:sz w:val="19"/>
        </w:rPr>
        <w:t xml:space="preserve"> </w:t>
      </w:r>
      <w:r>
        <w:rPr>
          <w:rFonts w:ascii="Arial" w:hAnsi="Arial"/>
          <w:w w:val="105"/>
          <w:sz w:val="19"/>
        </w:rPr>
        <w:t>use</w:t>
      </w:r>
      <w:r>
        <w:rPr>
          <w:rFonts w:ascii="Arial" w:hAnsi="Arial"/>
          <w:spacing w:val="-29"/>
          <w:w w:val="105"/>
          <w:sz w:val="19"/>
        </w:rPr>
        <w:t xml:space="preserve"> </w:t>
      </w:r>
      <w:r>
        <w:rPr>
          <w:rFonts w:ascii="Arial" w:hAnsi="Arial"/>
          <w:w w:val="105"/>
          <w:sz w:val="19"/>
        </w:rPr>
        <w:t>based</w:t>
      </w:r>
      <w:r>
        <w:rPr>
          <w:rFonts w:ascii="Arial" w:hAnsi="Arial"/>
          <w:spacing w:val="-28"/>
          <w:w w:val="105"/>
          <w:sz w:val="19"/>
        </w:rPr>
        <w:t xml:space="preserve"> </w:t>
      </w:r>
      <w:r>
        <w:rPr>
          <w:rFonts w:ascii="Arial" w:hAnsi="Arial"/>
          <w:w w:val="105"/>
          <w:sz w:val="19"/>
        </w:rPr>
        <w:t>on</w:t>
      </w:r>
      <w:r>
        <w:rPr>
          <w:rFonts w:ascii="Arial" w:hAnsi="Arial"/>
          <w:spacing w:val="-29"/>
          <w:w w:val="105"/>
          <w:sz w:val="19"/>
        </w:rPr>
        <w:t xml:space="preserve"> </w:t>
      </w:r>
      <w:r>
        <w:rPr>
          <w:rFonts w:ascii="Arial" w:hAnsi="Arial"/>
          <w:w w:val="105"/>
          <w:sz w:val="19"/>
        </w:rPr>
        <w:t>the</w:t>
      </w:r>
      <w:r>
        <w:rPr>
          <w:rFonts w:ascii="Arial" w:hAnsi="Arial"/>
          <w:spacing w:val="-29"/>
          <w:w w:val="105"/>
          <w:sz w:val="19"/>
        </w:rPr>
        <w:t xml:space="preserve"> </w:t>
      </w:r>
      <w:r>
        <w:rPr>
          <w:rFonts w:ascii="Arial" w:hAnsi="Arial"/>
          <w:w w:val="105"/>
          <w:sz w:val="19"/>
        </w:rPr>
        <w:t>individual’s need</w:t>
      </w:r>
      <w:r>
        <w:rPr>
          <w:rFonts w:ascii="Arial" w:hAnsi="Arial"/>
          <w:spacing w:val="-19"/>
          <w:w w:val="105"/>
          <w:sz w:val="19"/>
        </w:rPr>
        <w:t xml:space="preserve"> </w:t>
      </w:r>
      <w:r>
        <w:rPr>
          <w:rFonts w:ascii="Arial" w:hAnsi="Arial"/>
          <w:w w:val="105"/>
          <w:sz w:val="19"/>
        </w:rPr>
        <w:t>and</w:t>
      </w:r>
      <w:r>
        <w:rPr>
          <w:rFonts w:ascii="Arial" w:hAnsi="Arial"/>
          <w:spacing w:val="-19"/>
          <w:w w:val="105"/>
          <w:sz w:val="19"/>
        </w:rPr>
        <w:t xml:space="preserve"> </w:t>
      </w:r>
      <w:r>
        <w:rPr>
          <w:rFonts w:ascii="Arial" w:hAnsi="Arial"/>
          <w:w w:val="105"/>
          <w:sz w:val="19"/>
        </w:rPr>
        <w:t>risk</w:t>
      </w:r>
      <w:r>
        <w:rPr>
          <w:rFonts w:ascii="Arial" w:hAnsi="Arial"/>
          <w:spacing w:val="-18"/>
          <w:w w:val="105"/>
          <w:sz w:val="19"/>
        </w:rPr>
        <w:t xml:space="preserve"> </w:t>
      </w:r>
      <w:r>
        <w:rPr>
          <w:rFonts w:ascii="Arial" w:hAnsi="Arial"/>
          <w:w w:val="105"/>
          <w:sz w:val="19"/>
        </w:rPr>
        <w:t>profile.</w:t>
      </w:r>
      <w:r>
        <w:rPr>
          <w:rFonts w:ascii="Arial" w:hAnsi="Arial"/>
          <w:spacing w:val="-17"/>
          <w:w w:val="105"/>
          <w:sz w:val="19"/>
        </w:rPr>
        <w:t xml:space="preserve"> </w:t>
      </w:r>
      <w:r>
        <w:rPr>
          <w:rFonts w:ascii="Arial" w:hAnsi="Arial"/>
          <w:w w:val="105"/>
          <w:sz w:val="19"/>
        </w:rPr>
        <w:t>Therefore,</w:t>
      </w:r>
      <w:r>
        <w:rPr>
          <w:rFonts w:ascii="Arial" w:hAnsi="Arial"/>
          <w:spacing w:val="-17"/>
          <w:w w:val="105"/>
          <w:sz w:val="19"/>
        </w:rPr>
        <w:t xml:space="preserve"> </w:t>
      </w:r>
      <w:r>
        <w:rPr>
          <w:rFonts w:ascii="Arial" w:hAnsi="Arial"/>
          <w:w w:val="105"/>
          <w:sz w:val="19"/>
        </w:rPr>
        <w:t>it</w:t>
      </w:r>
      <w:r>
        <w:rPr>
          <w:rFonts w:ascii="Arial" w:hAnsi="Arial"/>
          <w:spacing w:val="-18"/>
          <w:w w:val="105"/>
          <w:sz w:val="19"/>
        </w:rPr>
        <w:t xml:space="preserve"> </w:t>
      </w:r>
      <w:r>
        <w:rPr>
          <w:rFonts w:ascii="Arial" w:hAnsi="Arial"/>
          <w:w w:val="105"/>
          <w:sz w:val="19"/>
        </w:rPr>
        <w:t>is</w:t>
      </w:r>
      <w:r>
        <w:rPr>
          <w:rFonts w:ascii="Arial" w:hAnsi="Arial"/>
          <w:spacing w:val="-18"/>
          <w:w w:val="105"/>
          <w:sz w:val="19"/>
        </w:rPr>
        <w:t xml:space="preserve"> </w:t>
      </w:r>
      <w:r>
        <w:rPr>
          <w:rFonts w:ascii="Arial" w:hAnsi="Arial"/>
          <w:w w:val="105"/>
          <w:sz w:val="19"/>
        </w:rPr>
        <w:t>considered</w:t>
      </w:r>
      <w:r>
        <w:rPr>
          <w:rFonts w:ascii="Arial" w:hAnsi="Arial"/>
          <w:spacing w:val="-19"/>
          <w:w w:val="105"/>
          <w:sz w:val="19"/>
        </w:rPr>
        <w:t xml:space="preserve"> </w:t>
      </w:r>
      <w:r>
        <w:rPr>
          <w:rFonts w:ascii="Arial" w:hAnsi="Arial"/>
          <w:w w:val="105"/>
          <w:sz w:val="19"/>
        </w:rPr>
        <w:t>that</w:t>
      </w:r>
      <w:r>
        <w:rPr>
          <w:rFonts w:ascii="Arial" w:hAnsi="Arial"/>
          <w:spacing w:val="-18"/>
          <w:w w:val="105"/>
          <w:sz w:val="19"/>
        </w:rPr>
        <w:t xml:space="preserve"> </w:t>
      </w:r>
      <w:r>
        <w:rPr>
          <w:rFonts w:ascii="Arial" w:hAnsi="Arial"/>
          <w:w w:val="105"/>
          <w:sz w:val="19"/>
        </w:rPr>
        <w:t>the</w:t>
      </w:r>
      <w:r>
        <w:rPr>
          <w:rFonts w:ascii="Arial" w:hAnsi="Arial"/>
          <w:spacing w:val="-19"/>
          <w:w w:val="105"/>
          <w:sz w:val="19"/>
        </w:rPr>
        <w:t xml:space="preserve"> </w:t>
      </w:r>
      <w:r>
        <w:rPr>
          <w:rFonts w:ascii="Arial" w:hAnsi="Arial"/>
          <w:w w:val="105"/>
          <w:sz w:val="19"/>
        </w:rPr>
        <w:t>proposed</w:t>
      </w:r>
      <w:r>
        <w:rPr>
          <w:rFonts w:ascii="Arial" w:hAnsi="Arial"/>
          <w:spacing w:val="-19"/>
          <w:w w:val="105"/>
          <w:sz w:val="19"/>
        </w:rPr>
        <w:t xml:space="preserve"> </w:t>
      </w:r>
      <w:r>
        <w:rPr>
          <w:rFonts w:ascii="Arial" w:hAnsi="Arial"/>
          <w:w w:val="105"/>
          <w:sz w:val="19"/>
        </w:rPr>
        <w:t>regulatory</w:t>
      </w:r>
      <w:r>
        <w:rPr>
          <w:rFonts w:ascii="Arial" w:hAnsi="Arial"/>
          <w:spacing w:val="-12"/>
          <w:w w:val="105"/>
          <w:sz w:val="19"/>
        </w:rPr>
        <w:t xml:space="preserve"> </w:t>
      </w:r>
      <w:r>
        <w:rPr>
          <w:rFonts w:ascii="Arial" w:hAnsi="Arial"/>
          <w:w w:val="105"/>
          <w:sz w:val="19"/>
        </w:rPr>
        <w:t>clarification</w:t>
      </w:r>
      <w:r>
        <w:rPr>
          <w:rFonts w:ascii="Arial" w:hAnsi="Arial"/>
          <w:spacing w:val="-17"/>
          <w:w w:val="105"/>
          <w:sz w:val="19"/>
        </w:rPr>
        <w:t xml:space="preserve"> </w:t>
      </w:r>
      <w:r>
        <w:rPr>
          <w:rFonts w:ascii="Arial" w:hAnsi="Arial"/>
          <w:w w:val="105"/>
          <w:sz w:val="19"/>
        </w:rPr>
        <w:t>will</w:t>
      </w:r>
      <w:r>
        <w:rPr>
          <w:rFonts w:ascii="Arial" w:hAnsi="Arial"/>
          <w:spacing w:val="-19"/>
          <w:w w:val="105"/>
          <w:sz w:val="19"/>
        </w:rPr>
        <w:t xml:space="preserve"> </w:t>
      </w:r>
      <w:r>
        <w:rPr>
          <w:rFonts w:ascii="Arial" w:hAnsi="Arial"/>
          <w:w w:val="105"/>
          <w:sz w:val="19"/>
        </w:rPr>
        <w:t>not have</w:t>
      </w:r>
      <w:r>
        <w:rPr>
          <w:rFonts w:ascii="Arial" w:hAnsi="Arial"/>
          <w:spacing w:val="-27"/>
          <w:w w:val="105"/>
          <w:sz w:val="19"/>
        </w:rPr>
        <w:t xml:space="preserve"> </w:t>
      </w:r>
      <w:r>
        <w:rPr>
          <w:rFonts w:ascii="Arial" w:hAnsi="Arial"/>
          <w:w w:val="105"/>
          <w:sz w:val="19"/>
        </w:rPr>
        <w:t>a</w:t>
      </w:r>
      <w:r>
        <w:rPr>
          <w:rFonts w:ascii="Arial" w:hAnsi="Arial"/>
          <w:spacing w:val="-28"/>
          <w:w w:val="105"/>
          <w:sz w:val="19"/>
        </w:rPr>
        <w:t xml:space="preserve"> </w:t>
      </w:r>
      <w:r>
        <w:rPr>
          <w:rFonts w:ascii="Arial" w:hAnsi="Arial"/>
          <w:w w:val="105"/>
          <w:sz w:val="19"/>
        </w:rPr>
        <w:t>material</w:t>
      </w:r>
      <w:r>
        <w:rPr>
          <w:rFonts w:ascii="Arial" w:hAnsi="Arial"/>
          <w:spacing w:val="-26"/>
          <w:w w:val="105"/>
          <w:sz w:val="19"/>
        </w:rPr>
        <w:t xml:space="preserve"> </w:t>
      </w:r>
      <w:r>
        <w:rPr>
          <w:rFonts w:ascii="Arial" w:hAnsi="Arial"/>
          <w:w w:val="105"/>
          <w:sz w:val="19"/>
        </w:rPr>
        <w:t>impact</w:t>
      </w:r>
      <w:r>
        <w:rPr>
          <w:rFonts w:ascii="Arial" w:hAnsi="Arial"/>
          <w:spacing w:val="-28"/>
          <w:w w:val="105"/>
          <w:sz w:val="19"/>
        </w:rPr>
        <w:t xml:space="preserve"> </w:t>
      </w:r>
      <w:r>
        <w:rPr>
          <w:rFonts w:ascii="Arial" w:hAnsi="Arial"/>
          <w:w w:val="105"/>
          <w:sz w:val="19"/>
        </w:rPr>
        <w:t>upon</w:t>
      </w:r>
      <w:r>
        <w:rPr>
          <w:rFonts w:ascii="Arial" w:hAnsi="Arial"/>
          <w:spacing w:val="-26"/>
          <w:w w:val="105"/>
          <w:sz w:val="19"/>
        </w:rPr>
        <w:t xml:space="preserve"> </w:t>
      </w:r>
      <w:r>
        <w:rPr>
          <w:rFonts w:ascii="Arial" w:hAnsi="Arial"/>
          <w:w w:val="105"/>
          <w:sz w:val="19"/>
        </w:rPr>
        <w:t>the</w:t>
      </w:r>
      <w:r>
        <w:rPr>
          <w:rFonts w:ascii="Arial" w:hAnsi="Arial"/>
          <w:spacing w:val="-27"/>
          <w:w w:val="105"/>
          <w:sz w:val="19"/>
        </w:rPr>
        <w:t xml:space="preserve"> </w:t>
      </w:r>
      <w:r>
        <w:rPr>
          <w:rFonts w:ascii="Arial" w:hAnsi="Arial"/>
          <w:w w:val="105"/>
          <w:sz w:val="19"/>
        </w:rPr>
        <w:t>regulatory</w:t>
      </w:r>
      <w:r>
        <w:rPr>
          <w:rFonts w:ascii="Arial" w:hAnsi="Arial"/>
          <w:spacing w:val="-28"/>
          <w:w w:val="105"/>
          <w:sz w:val="19"/>
        </w:rPr>
        <w:t xml:space="preserve"> </w:t>
      </w:r>
      <w:r>
        <w:rPr>
          <w:rFonts w:ascii="Arial" w:hAnsi="Arial"/>
          <w:w w:val="105"/>
          <w:sz w:val="19"/>
        </w:rPr>
        <w:t>burden</w:t>
      </w:r>
      <w:r>
        <w:rPr>
          <w:rFonts w:ascii="Arial" w:hAnsi="Arial"/>
          <w:spacing w:val="-27"/>
          <w:w w:val="105"/>
          <w:sz w:val="19"/>
        </w:rPr>
        <w:t xml:space="preserve"> </w:t>
      </w:r>
      <w:r>
        <w:rPr>
          <w:rFonts w:ascii="Arial" w:hAnsi="Arial"/>
          <w:w w:val="105"/>
          <w:sz w:val="19"/>
        </w:rPr>
        <w:t>of</w:t>
      </w:r>
      <w:r>
        <w:rPr>
          <w:rFonts w:ascii="Arial" w:hAnsi="Arial"/>
          <w:spacing w:val="-27"/>
          <w:w w:val="105"/>
          <w:sz w:val="19"/>
        </w:rPr>
        <w:t xml:space="preserve"> </w:t>
      </w:r>
      <w:r>
        <w:rPr>
          <w:rFonts w:ascii="Arial" w:hAnsi="Arial"/>
          <w:w w:val="105"/>
          <w:sz w:val="19"/>
        </w:rPr>
        <w:t>these</w:t>
      </w:r>
      <w:r>
        <w:rPr>
          <w:rFonts w:ascii="Arial" w:hAnsi="Arial"/>
          <w:spacing w:val="-27"/>
          <w:w w:val="105"/>
          <w:sz w:val="19"/>
        </w:rPr>
        <w:t xml:space="preserve"> </w:t>
      </w:r>
      <w:r>
        <w:rPr>
          <w:rFonts w:ascii="Arial" w:hAnsi="Arial"/>
          <w:w w:val="105"/>
          <w:sz w:val="19"/>
        </w:rPr>
        <w:t>parties</w:t>
      </w:r>
      <w:r>
        <w:rPr>
          <w:rFonts w:ascii="Arial" w:hAnsi="Arial"/>
          <w:spacing w:val="-28"/>
          <w:w w:val="105"/>
          <w:sz w:val="19"/>
        </w:rPr>
        <w:t xml:space="preserve"> </w:t>
      </w:r>
      <w:r>
        <w:rPr>
          <w:rFonts w:ascii="Arial" w:hAnsi="Arial"/>
          <w:w w:val="105"/>
          <w:sz w:val="19"/>
        </w:rPr>
        <w:t>from</w:t>
      </w:r>
      <w:r>
        <w:rPr>
          <w:rFonts w:ascii="Arial" w:hAnsi="Arial"/>
          <w:spacing w:val="-27"/>
          <w:w w:val="105"/>
          <w:sz w:val="19"/>
        </w:rPr>
        <w:t xml:space="preserve"> </w:t>
      </w:r>
      <w:r>
        <w:rPr>
          <w:rFonts w:ascii="Arial" w:hAnsi="Arial"/>
          <w:w w:val="105"/>
          <w:sz w:val="19"/>
        </w:rPr>
        <w:t>an</w:t>
      </w:r>
      <w:r>
        <w:rPr>
          <w:rFonts w:ascii="Arial" w:hAnsi="Arial"/>
          <w:spacing w:val="-28"/>
          <w:w w:val="105"/>
          <w:sz w:val="19"/>
        </w:rPr>
        <w:t xml:space="preserve"> </w:t>
      </w:r>
      <w:r>
        <w:rPr>
          <w:rFonts w:ascii="Arial" w:hAnsi="Arial"/>
          <w:w w:val="105"/>
          <w:sz w:val="19"/>
        </w:rPr>
        <w:t>awareness</w:t>
      </w:r>
      <w:r>
        <w:rPr>
          <w:rFonts w:ascii="Arial" w:hAnsi="Arial"/>
          <w:spacing w:val="-27"/>
          <w:w w:val="105"/>
          <w:sz w:val="19"/>
        </w:rPr>
        <w:t xml:space="preserve"> </w:t>
      </w:r>
      <w:r>
        <w:rPr>
          <w:rFonts w:ascii="Arial" w:hAnsi="Arial"/>
          <w:w w:val="105"/>
          <w:sz w:val="19"/>
        </w:rPr>
        <w:t>perspective.</w:t>
      </w:r>
    </w:p>
    <w:p w:rsidR="007D76BB" w:rsidRDefault="007D76BB">
      <w:pPr>
        <w:pStyle w:val="BodyText"/>
        <w:spacing w:before="8"/>
        <w:rPr>
          <w:rFonts w:ascii="Arial"/>
          <w:sz w:val="20"/>
        </w:rPr>
      </w:pPr>
    </w:p>
    <w:p w:rsidR="007D76BB" w:rsidRDefault="00D70D28">
      <w:pPr>
        <w:pStyle w:val="BodyText"/>
        <w:ind w:left="482"/>
        <w:rPr>
          <w:rFonts w:ascii="Lucida Sans"/>
          <w:b/>
        </w:rPr>
      </w:pPr>
      <w:r>
        <w:rPr>
          <w:rFonts w:ascii="Lucida Sans"/>
          <w:b/>
          <w:color w:val="608FB5"/>
        </w:rPr>
        <w:t>Good Manufacturing Practice</w:t>
      </w:r>
    </w:p>
    <w:p w:rsidR="007D76BB" w:rsidRDefault="00D70D28">
      <w:pPr>
        <w:spacing w:before="202" w:line="264" w:lineRule="auto"/>
        <w:ind w:left="482" w:right="3672"/>
        <w:rPr>
          <w:rFonts w:ascii="Arial" w:hAnsi="Arial"/>
          <w:sz w:val="11"/>
        </w:rPr>
      </w:pPr>
      <w:r>
        <w:rPr>
          <w:noProof/>
          <w:lang w:val="en-AU" w:eastAsia="en-AU"/>
        </w:rPr>
        <w:drawing>
          <wp:anchor distT="0" distB="0" distL="0" distR="0" simplePos="0" relativeHeight="251701248" behindDoc="0" locked="0" layoutInCell="1" allowOverlap="1">
            <wp:simplePos x="0" y="0"/>
            <wp:positionH relativeFrom="page">
              <wp:posOffset>4863465</wp:posOffset>
            </wp:positionH>
            <wp:positionV relativeFrom="paragraph">
              <wp:posOffset>130948</wp:posOffset>
            </wp:positionV>
            <wp:extent cx="1549400" cy="2192655"/>
            <wp:effectExtent l="0" t="0" r="0" b="0"/>
            <wp:wrapNone/>
            <wp:docPr id="5" name="image24.jpeg" descr="Image result for Safe Food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4.jpeg"/>
                    <pic:cNvPicPr/>
                  </pic:nvPicPr>
                  <pic:blipFill>
                    <a:blip r:embed="rId190" cstate="print"/>
                    <a:stretch>
                      <a:fillRect/>
                    </a:stretch>
                  </pic:blipFill>
                  <pic:spPr>
                    <a:xfrm>
                      <a:off x="0" y="0"/>
                      <a:ext cx="1549400" cy="2192655"/>
                    </a:xfrm>
                    <a:prstGeom prst="rect">
                      <a:avLst/>
                    </a:prstGeom>
                  </pic:spPr>
                </pic:pic>
              </a:graphicData>
            </a:graphic>
          </wp:anchor>
        </w:drawing>
      </w:r>
      <w:r>
        <w:rPr>
          <w:rFonts w:ascii="Arial" w:hAnsi="Arial"/>
          <w:w w:val="105"/>
          <w:sz w:val="19"/>
        </w:rPr>
        <w:t>In</w:t>
      </w:r>
      <w:r>
        <w:rPr>
          <w:rFonts w:ascii="Arial" w:hAnsi="Arial"/>
          <w:spacing w:val="-22"/>
          <w:w w:val="105"/>
          <w:sz w:val="19"/>
        </w:rPr>
        <w:t xml:space="preserve"> </w:t>
      </w:r>
      <w:r>
        <w:rPr>
          <w:rFonts w:ascii="Arial" w:hAnsi="Arial"/>
          <w:w w:val="105"/>
          <w:sz w:val="19"/>
        </w:rPr>
        <w:t>Australia,</w:t>
      </w:r>
      <w:r>
        <w:rPr>
          <w:rFonts w:ascii="Arial" w:hAnsi="Arial"/>
          <w:spacing w:val="-24"/>
          <w:w w:val="105"/>
          <w:sz w:val="19"/>
        </w:rPr>
        <w:t xml:space="preserve"> </w:t>
      </w:r>
      <w:r>
        <w:rPr>
          <w:rFonts w:ascii="Arial" w:hAnsi="Arial"/>
          <w:w w:val="105"/>
          <w:sz w:val="19"/>
        </w:rPr>
        <w:t>food</w:t>
      </w:r>
      <w:r>
        <w:rPr>
          <w:rFonts w:ascii="Arial" w:hAnsi="Arial"/>
          <w:spacing w:val="-23"/>
          <w:w w:val="105"/>
          <w:sz w:val="19"/>
        </w:rPr>
        <w:t xml:space="preserve"> </w:t>
      </w:r>
      <w:r>
        <w:rPr>
          <w:rFonts w:ascii="Arial" w:hAnsi="Arial"/>
          <w:w w:val="105"/>
          <w:sz w:val="19"/>
        </w:rPr>
        <w:t>manufacturers</w:t>
      </w:r>
      <w:r>
        <w:rPr>
          <w:rFonts w:ascii="Arial" w:hAnsi="Arial"/>
          <w:spacing w:val="-22"/>
          <w:w w:val="105"/>
          <w:sz w:val="19"/>
        </w:rPr>
        <w:t xml:space="preserve"> </w:t>
      </w:r>
      <w:r>
        <w:rPr>
          <w:rFonts w:ascii="Arial" w:hAnsi="Arial"/>
          <w:w w:val="105"/>
          <w:sz w:val="19"/>
        </w:rPr>
        <w:t>and</w:t>
      </w:r>
      <w:r>
        <w:rPr>
          <w:rFonts w:ascii="Arial" w:hAnsi="Arial"/>
          <w:spacing w:val="-23"/>
          <w:w w:val="105"/>
          <w:sz w:val="19"/>
        </w:rPr>
        <w:t xml:space="preserve"> </w:t>
      </w:r>
      <w:r>
        <w:rPr>
          <w:rFonts w:ascii="Arial" w:hAnsi="Arial"/>
          <w:w w:val="105"/>
          <w:sz w:val="19"/>
        </w:rPr>
        <w:t>retailers</w:t>
      </w:r>
      <w:r>
        <w:rPr>
          <w:rFonts w:ascii="Arial" w:hAnsi="Arial"/>
          <w:spacing w:val="-22"/>
          <w:w w:val="105"/>
          <w:sz w:val="19"/>
        </w:rPr>
        <w:t xml:space="preserve"> </w:t>
      </w:r>
      <w:r>
        <w:rPr>
          <w:rFonts w:ascii="Arial" w:hAnsi="Arial"/>
          <w:w w:val="105"/>
          <w:sz w:val="19"/>
        </w:rPr>
        <w:t>are</w:t>
      </w:r>
      <w:r>
        <w:rPr>
          <w:rFonts w:ascii="Arial" w:hAnsi="Arial"/>
          <w:spacing w:val="-23"/>
          <w:w w:val="105"/>
          <w:sz w:val="19"/>
        </w:rPr>
        <w:t xml:space="preserve"> </w:t>
      </w:r>
      <w:r>
        <w:rPr>
          <w:rFonts w:ascii="Arial" w:hAnsi="Arial"/>
          <w:w w:val="105"/>
          <w:sz w:val="19"/>
        </w:rPr>
        <w:t>responsible</w:t>
      </w:r>
      <w:r>
        <w:rPr>
          <w:rFonts w:ascii="Arial" w:hAnsi="Arial"/>
          <w:spacing w:val="-21"/>
          <w:w w:val="105"/>
          <w:sz w:val="19"/>
        </w:rPr>
        <w:t xml:space="preserve"> </w:t>
      </w:r>
      <w:r>
        <w:rPr>
          <w:rFonts w:ascii="Arial" w:hAnsi="Arial"/>
          <w:w w:val="105"/>
          <w:sz w:val="19"/>
        </w:rPr>
        <w:t>for complying</w:t>
      </w:r>
      <w:r>
        <w:rPr>
          <w:rFonts w:ascii="Arial" w:hAnsi="Arial"/>
          <w:spacing w:val="-34"/>
          <w:w w:val="105"/>
          <w:sz w:val="19"/>
        </w:rPr>
        <w:t xml:space="preserve"> </w:t>
      </w:r>
      <w:r>
        <w:rPr>
          <w:rFonts w:ascii="Arial" w:hAnsi="Arial"/>
          <w:w w:val="105"/>
          <w:sz w:val="19"/>
        </w:rPr>
        <w:t>with</w:t>
      </w:r>
      <w:r>
        <w:rPr>
          <w:rFonts w:ascii="Arial" w:hAnsi="Arial"/>
          <w:spacing w:val="-35"/>
          <w:w w:val="105"/>
          <w:sz w:val="19"/>
        </w:rPr>
        <w:t xml:space="preserve"> </w:t>
      </w:r>
      <w:r>
        <w:rPr>
          <w:rFonts w:ascii="Arial" w:hAnsi="Arial"/>
          <w:w w:val="105"/>
          <w:sz w:val="19"/>
        </w:rPr>
        <w:t>the</w:t>
      </w:r>
      <w:r>
        <w:rPr>
          <w:rFonts w:ascii="Arial" w:hAnsi="Arial"/>
          <w:spacing w:val="-34"/>
          <w:w w:val="105"/>
          <w:sz w:val="19"/>
        </w:rPr>
        <w:t xml:space="preserve"> </w:t>
      </w:r>
      <w:r>
        <w:rPr>
          <w:rFonts w:ascii="Arial" w:hAnsi="Arial"/>
          <w:w w:val="105"/>
          <w:sz w:val="19"/>
        </w:rPr>
        <w:t>food</w:t>
      </w:r>
      <w:r>
        <w:rPr>
          <w:rFonts w:ascii="Arial" w:hAnsi="Arial"/>
          <w:spacing w:val="-35"/>
          <w:w w:val="105"/>
          <w:sz w:val="19"/>
        </w:rPr>
        <w:t xml:space="preserve"> </w:t>
      </w:r>
      <w:r>
        <w:rPr>
          <w:rFonts w:ascii="Arial" w:hAnsi="Arial"/>
          <w:w w:val="105"/>
          <w:sz w:val="19"/>
        </w:rPr>
        <w:t>safety</w:t>
      </w:r>
      <w:r>
        <w:rPr>
          <w:rFonts w:ascii="Arial" w:hAnsi="Arial"/>
          <w:spacing w:val="-34"/>
          <w:w w:val="105"/>
          <w:sz w:val="19"/>
        </w:rPr>
        <w:t xml:space="preserve"> </w:t>
      </w:r>
      <w:r>
        <w:rPr>
          <w:rFonts w:ascii="Arial" w:hAnsi="Arial"/>
          <w:w w:val="105"/>
          <w:sz w:val="19"/>
        </w:rPr>
        <w:t>standards</w:t>
      </w:r>
      <w:r>
        <w:rPr>
          <w:rFonts w:ascii="Arial" w:hAnsi="Arial"/>
          <w:spacing w:val="-35"/>
          <w:w w:val="105"/>
          <w:sz w:val="19"/>
        </w:rPr>
        <w:t xml:space="preserve"> </w:t>
      </w:r>
      <w:r>
        <w:rPr>
          <w:rFonts w:ascii="Arial" w:hAnsi="Arial"/>
          <w:w w:val="105"/>
          <w:sz w:val="19"/>
        </w:rPr>
        <w:t>(of</w:t>
      </w:r>
      <w:r>
        <w:rPr>
          <w:rFonts w:ascii="Arial" w:hAnsi="Arial"/>
          <w:spacing w:val="-35"/>
          <w:w w:val="105"/>
          <w:sz w:val="19"/>
        </w:rPr>
        <w:t xml:space="preserve"> </w:t>
      </w:r>
      <w:r>
        <w:rPr>
          <w:rFonts w:ascii="Arial" w:hAnsi="Arial"/>
          <w:w w:val="105"/>
          <w:sz w:val="19"/>
        </w:rPr>
        <w:t>which</w:t>
      </w:r>
      <w:r>
        <w:rPr>
          <w:rFonts w:ascii="Arial" w:hAnsi="Arial"/>
          <w:spacing w:val="-34"/>
          <w:w w:val="105"/>
          <w:sz w:val="19"/>
        </w:rPr>
        <w:t xml:space="preserve"> </w:t>
      </w:r>
      <w:r>
        <w:rPr>
          <w:rFonts w:ascii="Arial" w:hAnsi="Arial"/>
          <w:w w:val="105"/>
          <w:sz w:val="19"/>
        </w:rPr>
        <w:t>standards</w:t>
      </w:r>
      <w:r>
        <w:rPr>
          <w:rFonts w:ascii="Arial" w:hAnsi="Arial"/>
          <w:spacing w:val="-34"/>
          <w:w w:val="105"/>
          <w:sz w:val="19"/>
        </w:rPr>
        <w:t xml:space="preserve"> </w:t>
      </w:r>
      <w:r>
        <w:rPr>
          <w:rFonts w:ascii="Arial" w:hAnsi="Arial"/>
          <w:w w:val="105"/>
          <w:sz w:val="19"/>
        </w:rPr>
        <w:t>3.1.1. (Interpretation</w:t>
      </w:r>
      <w:r>
        <w:rPr>
          <w:rFonts w:ascii="Arial" w:hAnsi="Arial"/>
          <w:spacing w:val="-27"/>
          <w:w w:val="105"/>
          <w:sz w:val="19"/>
        </w:rPr>
        <w:t xml:space="preserve"> </w:t>
      </w:r>
      <w:r>
        <w:rPr>
          <w:rFonts w:ascii="Arial" w:hAnsi="Arial"/>
          <w:w w:val="105"/>
          <w:sz w:val="19"/>
        </w:rPr>
        <w:t>and</w:t>
      </w:r>
      <w:r>
        <w:rPr>
          <w:rFonts w:ascii="Arial" w:hAnsi="Arial"/>
          <w:spacing w:val="-26"/>
          <w:w w:val="105"/>
          <w:sz w:val="19"/>
        </w:rPr>
        <w:t xml:space="preserve"> </w:t>
      </w:r>
      <w:r>
        <w:rPr>
          <w:rFonts w:ascii="Arial" w:hAnsi="Arial"/>
          <w:w w:val="105"/>
          <w:sz w:val="19"/>
        </w:rPr>
        <w:t>Application),</w:t>
      </w:r>
      <w:r>
        <w:rPr>
          <w:rFonts w:ascii="Arial" w:hAnsi="Arial"/>
          <w:spacing w:val="-25"/>
          <w:w w:val="105"/>
          <w:sz w:val="19"/>
        </w:rPr>
        <w:t xml:space="preserve"> </w:t>
      </w:r>
      <w:r>
        <w:rPr>
          <w:rFonts w:ascii="Arial" w:hAnsi="Arial"/>
          <w:w w:val="105"/>
          <w:sz w:val="19"/>
        </w:rPr>
        <w:t>3.2.2</w:t>
      </w:r>
      <w:r>
        <w:rPr>
          <w:rFonts w:ascii="Arial" w:hAnsi="Arial"/>
          <w:spacing w:val="-26"/>
          <w:w w:val="105"/>
          <w:sz w:val="19"/>
        </w:rPr>
        <w:t xml:space="preserve"> </w:t>
      </w:r>
      <w:r>
        <w:rPr>
          <w:rFonts w:ascii="Arial" w:hAnsi="Arial"/>
          <w:w w:val="105"/>
          <w:sz w:val="19"/>
        </w:rPr>
        <w:t>(Food</w:t>
      </w:r>
      <w:r>
        <w:rPr>
          <w:rFonts w:ascii="Arial" w:hAnsi="Arial"/>
          <w:spacing w:val="-26"/>
          <w:w w:val="105"/>
          <w:sz w:val="19"/>
        </w:rPr>
        <w:t xml:space="preserve"> </w:t>
      </w:r>
      <w:r>
        <w:rPr>
          <w:rFonts w:ascii="Arial" w:hAnsi="Arial"/>
          <w:w w:val="105"/>
          <w:sz w:val="19"/>
        </w:rPr>
        <w:t>Safety</w:t>
      </w:r>
      <w:r>
        <w:rPr>
          <w:rFonts w:ascii="Arial" w:hAnsi="Arial"/>
          <w:spacing w:val="-26"/>
          <w:w w:val="105"/>
          <w:sz w:val="19"/>
        </w:rPr>
        <w:t xml:space="preserve"> </w:t>
      </w:r>
      <w:r>
        <w:rPr>
          <w:rFonts w:ascii="Arial" w:hAnsi="Arial"/>
          <w:w w:val="105"/>
          <w:sz w:val="19"/>
        </w:rPr>
        <w:t>Practices</w:t>
      </w:r>
      <w:r>
        <w:rPr>
          <w:rFonts w:ascii="Arial" w:hAnsi="Arial"/>
          <w:spacing w:val="-25"/>
          <w:w w:val="105"/>
          <w:sz w:val="19"/>
        </w:rPr>
        <w:t xml:space="preserve"> </w:t>
      </w:r>
      <w:r>
        <w:rPr>
          <w:rFonts w:ascii="Arial" w:hAnsi="Arial"/>
          <w:w w:val="105"/>
          <w:sz w:val="19"/>
        </w:rPr>
        <w:t>and General</w:t>
      </w:r>
      <w:r>
        <w:rPr>
          <w:rFonts w:ascii="Arial" w:hAnsi="Arial"/>
          <w:spacing w:val="-39"/>
          <w:w w:val="105"/>
          <w:sz w:val="19"/>
        </w:rPr>
        <w:t xml:space="preserve"> </w:t>
      </w:r>
      <w:r>
        <w:rPr>
          <w:rFonts w:ascii="Arial" w:hAnsi="Arial"/>
          <w:w w:val="105"/>
          <w:sz w:val="19"/>
        </w:rPr>
        <w:t>Requirements)</w:t>
      </w:r>
      <w:r>
        <w:rPr>
          <w:rFonts w:ascii="Arial" w:hAnsi="Arial"/>
          <w:spacing w:val="-39"/>
          <w:w w:val="105"/>
          <w:sz w:val="19"/>
        </w:rPr>
        <w:t xml:space="preserve"> </w:t>
      </w:r>
      <w:r>
        <w:rPr>
          <w:rFonts w:ascii="Arial" w:hAnsi="Arial"/>
          <w:w w:val="105"/>
          <w:sz w:val="19"/>
        </w:rPr>
        <w:t>and</w:t>
      </w:r>
      <w:r>
        <w:rPr>
          <w:rFonts w:ascii="Arial" w:hAnsi="Arial"/>
          <w:spacing w:val="-39"/>
          <w:w w:val="105"/>
          <w:sz w:val="19"/>
        </w:rPr>
        <w:t xml:space="preserve"> </w:t>
      </w:r>
      <w:r>
        <w:rPr>
          <w:rFonts w:ascii="Arial" w:hAnsi="Arial"/>
          <w:w w:val="105"/>
          <w:sz w:val="19"/>
        </w:rPr>
        <w:t>3.2.3</w:t>
      </w:r>
      <w:r>
        <w:rPr>
          <w:rFonts w:ascii="Arial" w:hAnsi="Arial"/>
          <w:spacing w:val="-39"/>
          <w:w w:val="105"/>
          <w:sz w:val="19"/>
        </w:rPr>
        <w:t xml:space="preserve"> </w:t>
      </w:r>
      <w:r>
        <w:rPr>
          <w:rFonts w:ascii="Arial" w:hAnsi="Arial"/>
          <w:w w:val="105"/>
          <w:sz w:val="19"/>
        </w:rPr>
        <w:t>(Food</w:t>
      </w:r>
      <w:r>
        <w:rPr>
          <w:rFonts w:ascii="Arial" w:hAnsi="Arial"/>
          <w:spacing w:val="-38"/>
          <w:w w:val="105"/>
          <w:sz w:val="19"/>
        </w:rPr>
        <w:t xml:space="preserve"> </w:t>
      </w:r>
      <w:r>
        <w:rPr>
          <w:rFonts w:ascii="Arial" w:hAnsi="Arial"/>
          <w:w w:val="105"/>
          <w:sz w:val="19"/>
        </w:rPr>
        <w:t>Premises</w:t>
      </w:r>
      <w:r>
        <w:rPr>
          <w:rFonts w:ascii="Arial" w:hAnsi="Arial"/>
          <w:spacing w:val="-39"/>
          <w:w w:val="105"/>
          <w:sz w:val="19"/>
        </w:rPr>
        <w:t xml:space="preserve"> </w:t>
      </w:r>
      <w:r>
        <w:rPr>
          <w:rFonts w:ascii="Arial" w:hAnsi="Arial"/>
          <w:w w:val="105"/>
          <w:sz w:val="19"/>
        </w:rPr>
        <w:t>and</w:t>
      </w:r>
      <w:r>
        <w:rPr>
          <w:rFonts w:ascii="Arial" w:hAnsi="Arial"/>
          <w:spacing w:val="-39"/>
          <w:w w:val="105"/>
          <w:sz w:val="19"/>
        </w:rPr>
        <w:t xml:space="preserve"> </w:t>
      </w:r>
      <w:r>
        <w:rPr>
          <w:rFonts w:ascii="Arial" w:hAnsi="Arial"/>
          <w:w w:val="105"/>
          <w:sz w:val="19"/>
        </w:rPr>
        <w:t>Equipment) are mandatory for all food businesses). These standards are detailed</w:t>
      </w:r>
      <w:r>
        <w:rPr>
          <w:rFonts w:ascii="Arial" w:hAnsi="Arial"/>
          <w:spacing w:val="-28"/>
          <w:w w:val="105"/>
          <w:sz w:val="19"/>
        </w:rPr>
        <w:t xml:space="preserve"> </w:t>
      </w:r>
      <w:r>
        <w:rPr>
          <w:rFonts w:ascii="Arial" w:hAnsi="Arial"/>
          <w:w w:val="105"/>
          <w:sz w:val="19"/>
        </w:rPr>
        <w:t>in</w:t>
      </w:r>
      <w:r>
        <w:rPr>
          <w:rFonts w:ascii="Arial" w:hAnsi="Arial"/>
          <w:spacing w:val="-27"/>
          <w:w w:val="105"/>
          <w:sz w:val="19"/>
        </w:rPr>
        <w:t xml:space="preserve"> </w:t>
      </w:r>
      <w:r>
        <w:rPr>
          <w:rFonts w:ascii="Arial" w:hAnsi="Arial"/>
          <w:w w:val="105"/>
          <w:sz w:val="19"/>
        </w:rPr>
        <w:t>the</w:t>
      </w:r>
      <w:r>
        <w:rPr>
          <w:rFonts w:ascii="Arial" w:hAnsi="Arial"/>
          <w:spacing w:val="-28"/>
          <w:w w:val="105"/>
          <w:sz w:val="19"/>
        </w:rPr>
        <w:t xml:space="preserve"> </w:t>
      </w:r>
      <w:r>
        <w:rPr>
          <w:rFonts w:ascii="Arial" w:hAnsi="Arial"/>
          <w:w w:val="105"/>
          <w:sz w:val="19"/>
        </w:rPr>
        <w:t>‘Safe</w:t>
      </w:r>
      <w:r>
        <w:rPr>
          <w:rFonts w:ascii="Arial" w:hAnsi="Arial"/>
          <w:spacing w:val="-26"/>
          <w:w w:val="105"/>
          <w:sz w:val="19"/>
        </w:rPr>
        <w:t xml:space="preserve"> </w:t>
      </w:r>
      <w:r>
        <w:rPr>
          <w:rFonts w:ascii="Arial" w:hAnsi="Arial"/>
          <w:w w:val="105"/>
          <w:sz w:val="19"/>
        </w:rPr>
        <w:t>Food</w:t>
      </w:r>
      <w:r>
        <w:rPr>
          <w:rFonts w:ascii="Arial" w:hAnsi="Arial"/>
          <w:spacing w:val="-27"/>
          <w:w w:val="105"/>
          <w:sz w:val="19"/>
        </w:rPr>
        <w:t xml:space="preserve"> </w:t>
      </w:r>
      <w:r>
        <w:rPr>
          <w:rFonts w:ascii="Arial" w:hAnsi="Arial"/>
          <w:w w:val="105"/>
          <w:sz w:val="19"/>
        </w:rPr>
        <w:t>Australia’</w:t>
      </w:r>
      <w:r>
        <w:rPr>
          <w:rFonts w:ascii="Arial" w:hAnsi="Arial"/>
          <w:spacing w:val="-27"/>
          <w:w w:val="105"/>
          <w:sz w:val="19"/>
        </w:rPr>
        <w:t xml:space="preserve"> </w:t>
      </w:r>
      <w:r>
        <w:rPr>
          <w:rFonts w:ascii="Arial" w:hAnsi="Arial"/>
          <w:w w:val="105"/>
          <w:sz w:val="19"/>
        </w:rPr>
        <w:t>guide,</w:t>
      </w:r>
      <w:r>
        <w:rPr>
          <w:rFonts w:ascii="Arial" w:hAnsi="Arial"/>
          <w:spacing w:val="-27"/>
          <w:w w:val="105"/>
          <w:sz w:val="19"/>
        </w:rPr>
        <w:t xml:space="preserve"> </w:t>
      </w:r>
      <w:r>
        <w:rPr>
          <w:rFonts w:ascii="Arial" w:hAnsi="Arial"/>
          <w:w w:val="105"/>
          <w:sz w:val="19"/>
        </w:rPr>
        <w:t>which</w:t>
      </w:r>
      <w:r>
        <w:rPr>
          <w:rFonts w:ascii="Arial" w:hAnsi="Arial"/>
          <w:spacing w:val="-26"/>
          <w:w w:val="105"/>
          <w:sz w:val="19"/>
        </w:rPr>
        <w:t xml:space="preserve"> </w:t>
      </w:r>
      <w:r>
        <w:rPr>
          <w:rFonts w:ascii="Arial" w:hAnsi="Arial"/>
          <w:w w:val="105"/>
          <w:sz w:val="19"/>
        </w:rPr>
        <w:t>is</w:t>
      </w:r>
      <w:r>
        <w:rPr>
          <w:rFonts w:ascii="Arial" w:hAnsi="Arial"/>
          <w:spacing w:val="-28"/>
          <w:w w:val="105"/>
          <w:sz w:val="19"/>
        </w:rPr>
        <w:t xml:space="preserve"> </w:t>
      </w:r>
      <w:r>
        <w:rPr>
          <w:rFonts w:ascii="Arial" w:hAnsi="Arial"/>
          <w:w w:val="105"/>
          <w:sz w:val="19"/>
        </w:rPr>
        <w:t>aimed</w:t>
      </w:r>
      <w:r>
        <w:rPr>
          <w:rFonts w:ascii="Arial" w:hAnsi="Arial"/>
          <w:spacing w:val="-28"/>
          <w:w w:val="105"/>
          <w:sz w:val="19"/>
        </w:rPr>
        <w:t xml:space="preserve"> </w:t>
      </w:r>
      <w:r>
        <w:rPr>
          <w:rFonts w:ascii="Arial" w:hAnsi="Arial"/>
          <w:w w:val="105"/>
          <w:sz w:val="19"/>
        </w:rPr>
        <w:t>primarily at the state and local government agencies responsible for enforcing</w:t>
      </w:r>
      <w:r>
        <w:rPr>
          <w:rFonts w:ascii="Arial" w:hAnsi="Arial"/>
          <w:spacing w:val="-22"/>
          <w:w w:val="105"/>
          <w:sz w:val="19"/>
        </w:rPr>
        <w:t xml:space="preserve"> </w:t>
      </w:r>
      <w:r>
        <w:rPr>
          <w:rFonts w:ascii="Arial" w:hAnsi="Arial"/>
          <w:w w:val="105"/>
          <w:sz w:val="19"/>
        </w:rPr>
        <w:t>the</w:t>
      </w:r>
      <w:r>
        <w:rPr>
          <w:rFonts w:ascii="Arial" w:hAnsi="Arial"/>
          <w:spacing w:val="-24"/>
          <w:w w:val="105"/>
          <w:sz w:val="19"/>
        </w:rPr>
        <w:t xml:space="preserve"> </w:t>
      </w:r>
      <w:r>
        <w:rPr>
          <w:rFonts w:ascii="Arial" w:hAnsi="Arial"/>
          <w:w w:val="105"/>
          <w:sz w:val="19"/>
        </w:rPr>
        <w:t>standards.</w:t>
      </w:r>
      <w:r>
        <w:rPr>
          <w:rFonts w:ascii="Arial" w:hAnsi="Arial"/>
          <w:spacing w:val="-22"/>
          <w:w w:val="105"/>
          <w:sz w:val="19"/>
        </w:rPr>
        <w:t xml:space="preserve"> </w:t>
      </w:r>
      <w:r>
        <w:rPr>
          <w:rFonts w:ascii="Arial" w:hAnsi="Arial"/>
          <w:w w:val="105"/>
          <w:sz w:val="19"/>
        </w:rPr>
        <w:t>This</w:t>
      </w:r>
      <w:r>
        <w:rPr>
          <w:rFonts w:ascii="Arial" w:hAnsi="Arial"/>
          <w:spacing w:val="-23"/>
          <w:w w:val="105"/>
          <w:sz w:val="19"/>
        </w:rPr>
        <w:t xml:space="preserve"> </w:t>
      </w:r>
      <w:r>
        <w:rPr>
          <w:rFonts w:ascii="Arial" w:hAnsi="Arial"/>
          <w:w w:val="105"/>
          <w:sz w:val="19"/>
        </w:rPr>
        <w:t>is</w:t>
      </w:r>
      <w:r>
        <w:rPr>
          <w:rFonts w:ascii="Arial" w:hAnsi="Arial"/>
          <w:spacing w:val="-22"/>
          <w:w w:val="105"/>
          <w:sz w:val="19"/>
        </w:rPr>
        <w:t xml:space="preserve"> </w:t>
      </w:r>
      <w:r>
        <w:rPr>
          <w:rFonts w:ascii="Arial" w:hAnsi="Arial"/>
          <w:w w:val="105"/>
          <w:sz w:val="19"/>
        </w:rPr>
        <w:t>because</w:t>
      </w:r>
      <w:r>
        <w:rPr>
          <w:rFonts w:ascii="Arial" w:hAnsi="Arial"/>
          <w:spacing w:val="-24"/>
          <w:w w:val="105"/>
          <w:sz w:val="19"/>
        </w:rPr>
        <w:t xml:space="preserve"> </w:t>
      </w:r>
      <w:r>
        <w:rPr>
          <w:rFonts w:ascii="Arial" w:hAnsi="Arial"/>
          <w:w w:val="105"/>
          <w:sz w:val="19"/>
        </w:rPr>
        <w:t>the</w:t>
      </w:r>
      <w:r>
        <w:rPr>
          <w:rFonts w:ascii="Arial" w:hAnsi="Arial"/>
          <w:spacing w:val="-23"/>
          <w:w w:val="105"/>
          <w:sz w:val="19"/>
        </w:rPr>
        <w:t xml:space="preserve"> </w:t>
      </w:r>
      <w:r>
        <w:rPr>
          <w:rFonts w:ascii="Arial" w:hAnsi="Arial"/>
          <w:w w:val="105"/>
          <w:sz w:val="19"/>
        </w:rPr>
        <w:t>food</w:t>
      </w:r>
      <w:r>
        <w:rPr>
          <w:rFonts w:ascii="Arial" w:hAnsi="Arial"/>
          <w:spacing w:val="-24"/>
          <w:w w:val="105"/>
          <w:sz w:val="19"/>
        </w:rPr>
        <w:t xml:space="preserve"> </w:t>
      </w:r>
      <w:r>
        <w:rPr>
          <w:rFonts w:ascii="Arial" w:hAnsi="Arial"/>
          <w:w w:val="105"/>
          <w:sz w:val="19"/>
        </w:rPr>
        <w:t>standards</w:t>
      </w:r>
      <w:r>
        <w:rPr>
          <w:rFonts w:ascii="Arial" w:hAnsi="Arial"/>
          <w:spacing w:val="-19"/>
          <w:w w:val="105"/>
          <w:sz w:val="19"/>
        </w:rPr>
        <w:t xml:space="preserve"> </w:t>
      </w:r>
      <w:r>
        <w:rPr>
          <w:rFonts w:ascii="Arial" w:hAnsi="Arial"/>
          <w:w w:val="105"/>
          <w:sz w:val="19"/>
        </w:rPr>
        <w:t>that comprise</w:t>
      </w:r>
      <w:r>
        <w:rPr>
          <w:rFonts w:ascii="Arial" w:hAnsi="Arial"/>
          <w:spacing w:val="-38"/>
          <w:w w:val="105"/>
          <w:sz w:val="19"/>
        </w:rPr>
        <w:t xml:space="preserve"> </w:t>
      </w:r>
      <w:r>
        <w:rPr>
          <w:rFonts w:ascii="Arial" w:hAnsi="Arial"/>
          <w:w w:val="105"/>
          <w:sz w:val="19"/>
        </w:rPr>
        <w:t>the</w:t>
      </w:r>
      <w:r>
        <w:rPr>
          <w:rFonts w:ascii="Arial" w:hAnsi="Arial"/>
          <w:spacing w:val="-36"/>
          <w:w w:val="105"/>
          <w:sz w:val="19"/>
        </w:rPr>
        <w:t xml:space="preserve"> </w:t>
      </w:r>
      <w:r>
        <w:rPr>
          <w:rFonts w:ascii="Arial" w:hAnsi="Arial"/>
          <w:i/>
          <w:w w:val="105"/>
          <w:sz w:val="20"/>
        </w:rPr>
        <w:t>Australia</w:t>
      </w:r>
      <w:r>
        <w:rPr>
          <w:rFonts w:ascii="Arial" w:hAnsi="Arial"/>
          <w:i/>
          <w:spacing w:val="-39"/>
          <w:w w:val="105"/>
          <w:sz w:val="20"/>
        </w:rPr>
        <w:t xml:space="preserve"> </w:t>
      </w:r>
      <w:r>
        <w:rPr>
          <w:rFonts w:ascii="Arial" w:hAnsi="Arial"/>
          <w:i/>
          <w:w w:val="105"/>
          <w:sz w:val="20"/>
        </w:rPr>
        <w:t>New</w:t>
      </w:r>
      <w:r>
        <w:rPr>
          <w:rFonts w:ascii="Arial" w:hAnsi="Arial"/>
          <w:i/>
          <w:spacing w:val="-41"/>
          <w:w w:val="105"/>
          <w:sz w:val="20"/>
        </w:rPr>
        <w:t xml:space="preserve"> </w:t>
      </w:r>
      <w:r>
        <w:rPr>
          <w:rFonts w:ascii="Arial" w:hAnsi="Arial"/>
          <w:i/>
          <w:w w:val="105"/>
          <w:sz w:val="20"/>
        </w:rPr>
        <w:t>Zealand</w:t>
      </w:r>
      <w:r>
        <w:rPr>
          <w:rFonts w:ascii="Arial" w:hAnsi="Arial"/>
          <w:i/>
          <w:spacing w:val="-40"/>
          <w:w w:val="105"/>
          <w:sz w:val="20"/>
        </w:rPr>
        <w:t xml:space="preserve"> </w:t>
      </w:r>
      <w:r>
        <w:rPr>
          <w:rFonts w:ascii="Arial" w:hAnsi="Arial"/>
          <w:i/>
          <w:w w:val="105"/>
          <w:sz w:val="20"/>
        </w:rPr>
        <w:t>Food</w:t>
      </w:r>
      <w:r>
        <w:rPr>
          <w:rFonts w:ascii="Arial" w:hAnsi="Arial"/>
          <w:i/>
          <w:spacing w:val="-40"/>
          <w:w w:val="105"/>
          <w:sz w:val="20"/>
        </w:rPr>
        <w:t xml:space="preserve"> </w:t>
      </w:r>
      <w:r>
        <w:rPr>
          <w:rFonts w:ascii="Arial" w:hAnsi="Arial"/>
          <w:i/>
          <w:w w:val="105"/>
          <w:sz w:val="20"/>
        </w:rPr>
        <w:t>Standards</w:t>
      </w:r>
      <w:r>
        <w:rPr>
          <w:rFonts w:ascii="Arial" w:hAnsi="Arial"/>
          <w:i/>
          <w:spacing w:val="-40"/>
          <w:w w:val="105"/>
          <w:sz w:val="20"/>
        </w:rPr>
        <w:t xml:space="preserve"> </w:t>
      </w:r>
      <w:r>
        <w:rPr>
          <w:rFonts w:ascii="Arial" w:hAnsi="Arial"/>
          <w:i/>
          <w:w w:val="105"/>
          <w:sz w:val="20"/>
        </w:rPr>
        <w:t>Code</w:t>
      </w:r>
      <w:r>
        <w:rPr>
          <w:rFonts w:ascii="Arial" w:hAnsi="Arial"/>
          <w:i/>
          <w:spacing w:val="-38"/>
          <w:w w:val="105"/>
          <w:sz w:val="20"/>
        </w:rPr>
        <w:t xml:space="preserve"> </w:t>
      </w:r>
      <w:r>
        <w:rPr>
          <w:rFonts w:ascii="Arial" w:hAnsi="Arial"/>
          <w:w w:val="105"/>
          <w:sz w:val="19"/>
        </w:rPr>
        <w:t>(the Code) are applied in Australia by state and territory food laws – noting</w:t>
      </w:r>
      <w:r>
        <w:rPr>
          <w:rFonts w:ascii="Arial" w:hAnsi="Arial"/>
          <w:spacing w:val="-15"/>
          <w:w w:val="105"/>
          <w:sz w:val="19"/>
        </w:rPr>
        <w:t xml:space="preserve"> </w:t>
      </w:r>
      <w:r>
        <w:rPr>
          <w:rFonts w:ascii="Arial" w:hAnsi="Arial"/>
          <w:w w:val="105"/>
          <w:sz w:val="19"/>
        </w:rPr>
        <w:t>that</w:t>
      </w:r>
      <w:r>
        <w:rPr>
          <w:rFonts w:ascii="Arial" w:hAnsi="Arial"/>
          <w:spacing w:val="-14"/>
          <w:w w:val="105"/>
          <w:sz w:val="19"/>
        </w:rPr>
        <w:t xml:space="preserve"> </w:t>
      </w:r>
      <w:r>
        <w:rPr>
          <w:rFonts w:ascii="Arial" w:hAnsi="Arial"/>
          <w:w w:val="105"/>
          <w:sz w:val="19"/>
        </w:rPr>
        <w:t>it</w:t>
      </w:r>
      <w:r>
        <w:rPr>
          <w:rFonts w:ascii="Arial" w:hAnsi="Arial"/>
          <w:spacing w:val="-12"/>
          <w:w w:val="105"/>
          <w:sz w:val="19"/>
        </w:rPr>
        <w:t xml:space="preserve"> </w:t>
      </w:r>
      <w:r>
        <w:rPr>
          <w:rFonts w:ascii="Arial" w:hAnsi="Arial"/>
          <w:w w:val="105"/>
          <w:sz w:val="19"/>
        </w:rPr>
        <w:t>is</w:t>
      </w:r>
      <w:r>
        <w:rPr>
          <w:rFonts w:ascii="Arial" w:hAnsi="Arial"/>
          <w:spacing w:val="-15"/>
          <w:w w:val="105"/>
          <w:sz w:val="19"/>
        </w:rPr>
        <w:t xml:space="preserve"> </w:t>
      </w:r>
      <w:r>
        <w:rPr>
          <w:rFonts w:ascii="Arial" w:hAnsi="Arial"/>
          <w:w w:val="105"/>
          <w:sz w:val="19"/>
        </w:rPr>
        <w:t>these</w:t>
      </w:r>
      <w:r>
        <w:rPr>
          <w:rFonts w:ascii="Arial" w:hAnsi="Arial"/>
          <w:spacing w:val="-14"/>
          <w:w w:val="105"/>
          <w:sz w:val="19"/>
        </w:rPr>
        <w:t xml:space="preserve"> </w:t>
      </w:r>
      <w:r>
        <w:rPr>
          <w:rFonts w:ascii="Arial" w:hAnsi="Arial"/>
          <w:w w:val="105"/>
          <w:sz w:val="19"/>
        </w:rPr>
        <w:t>laws</w:t>
      </w:r>
      <w:r>
        <w:rPr>
          <w:rFonts w:ascii="Arial" w:hAnsi="Arial"/>
          <w:spacing w:val="-15"/>
          <w:w w:val="105"/>
          <w:sz w:val="19"/>
        </w:rPr>
        <w:t xml:space="preserve"> </w:t>
      </w:r>
      <w:r>
        <w:rPr>
          <w:rFonts w:ascii="Arial" w:hAnsi="Arial"/>
          <w:w w:val="105"/>
          <w:sz w:val="19"/>
        </w:rPr>
        <w:t>that</w:t>
      </w:r>
      <w:r>
        <w:rPr>
          <w:rFonts w:ascii="Arial" w:hAnsi="Arial"/>
          <w:spacing w:val="-12"/>
          <w:w w:val="105"/>
          <w:sz w:val="19"/>
        </w:rPr>
        <w:t xml:space="preserve"> </w:t>
      </w:r>
      <w:r>
        <w:rPr>
          <w:rFonts w:ascii="Arial" w:hAnsi="Arial"/>
          <w:w w:val="105"/>
          <w:sz w:val="19"/>
        </w:rPr>
        <w:t>make</w:t>
      </w:r>
      <w:r>
        <w:rPr>
          <w:rFonts w:ascii="Arial" w:hAnsi="Arial"/>
          <w:spacing w:val="-14"/>
          <w:w w:val="105"/>
          <w:sz w:val="19"/>
        </w:rPr>
        <w:t xml:space="preserve"> </w:t>
      </w:r>
      <w:r>
        <w:rPr>
          <w:rFonts w:ascii="Arial" w:hAnsi="Arial"/>
          <w:w w:val="105"/>
          <w:sz w:val="19"/>
        </w:rPr>
        <w:t>the</w:t>
      </w:r>
      <w:r>
        <w:rPr>
          <w:rFonts w:ascii="Arial" w:hAnsi="Arial"/>
          <w:spacing w:val="-12"/>
          <w:w w:val="105"/>
          <w:sz w:val="19"/>
        </w:rPr>
        <w:t xml:space="preserve"> </w:t>
      </w:r>
      <w:r>
        <w:rPr>
          <w:rFonts w:ascii="Arial" w:hAnsi="Arial"/>
          <w:w w:val="105"/>
          <w:sz w:val="19"/>
        </w:rPr>
        <w:t>failure</w:t>
      </w:r>
      <w:r>
        <w:rPr>
          <w:rFonts w:ascii="Arial" w:hAnsi="Arial"/>
          <w:spacing w:val="-11"/>
          <w:w w:val="105"/>
          <w:sz w:val="19"/>
        </w:rPr>
        <w:t xml:space="preserve"> </w:t>
      </w:r>
      <w:r>
        <w:rPr>
          <w:rFonts w:ascii="Arial" w:hAnsi="Arial"/>
          <w:w w:val="105"/>
          <w:sz w:val="19"/>
        </w:rPr>
        <w:t>to</w:t>
      </w:r>
      <w:r>
        <w:rPr>
          <w:rFonts w:ascii="Arial" w:hAnsi="Arial"/>
          <w:spacing w:val="-13"/>
          <w:w w:val="105"/>
          <w:sz w:val="19"/>
        </w:rPr>
        <w:t xml:space="preserve"> </w:t>
      </w:r>
      <w:r>
        <w:rPr>
          <w:rFonts w:ascii="Arial" w:hAnsi="Arial"/>
          <w:w w:val="105"/>
          <w:sz w:val="19"/>
        </w:rPr>
        <w:t>comply</w:t>
      </w:r>
      <w:r>
        <w:rPr>
          <w:rFonts w:ascii="Arial" w:hAnsi="Arial"/>
          <w:spacing w:val="-13"/>
          <w:w w:val="105"/>
          <w:sz w:val="19"/>
        </w:rPr>
        <w:t xml:space="preserve"> </w:t>
      </w:r>
      <w:r>
        <w:rPr>
          <w:rFonts w:ascii="Arial" w:hAnsi="Arial"/>
          <w:w w:val="105"/>
          <w:sz w:val="19"/>
        </w:rPr>
        <w:t>with</w:t>
      </w:r>
      <w:r>
        <w:rPr>
          <w:rFonts w:ascii="Arial" w:hAnsi="Arial"/>
          <w:spacing w:val="-12"/>
          <w:w w:val="105"/>
          <w:sz w:val="19"/>
        </w:rPr>
        <w:t xml:space="preserve"> </w:t>
      </w:r>
      <w:r>
        <w:rPr>
          <w:rFonts w:ascii="Arial" w:hAnsi="Arial"/>
          <w:w w:val="105"/>
          <w:sz w:val="19"/>
        </w:rPr>
        <w:t>the Code requirements an</w:t>
      </w:r>
      <w:r>
        <w:rPr>
          <w:rFonts w:ascii="Arial" w:hAnsi="Arial"/>
          <w:spacing w:val="-40"/>
          <w:w w:val="105"/>
          <w:sz w:val="19"/>
        </w:rPr>
        <w:t xml:space="preserve"> </w:t>
      </w:r>
      <w:r>
        <w:rPr>
          <w:rFonts w:ascii="Arial" w:hAnsi="Arial"/>
          <w:w w:val="105"/>
          <w:sz w:val="19"/>
        </w:rPr>
        <w:t>offence.</w:t>
      </w:r>
      <w:r>
        <w:rPr>
          <w:rFonts w:ascii="Arial" w:hAnsi="Arial"/>
          <w:w w:val="105"/>
          <w:position w:val="7"/>
          <w:sz w:val="11"/>
        </w:rPr>
        <w:t>18</w:t>
      </w:r>
    </w:p>
    <w:p w:rsidR="007D76BB" w:rsidRDefault="00D70D28">
      <w:pPr>
        <w:spacing w:before="171" w:line="264" w:lineRule="auto"/>
        <w:ind w:left="482" w:right="3672"/>
        <w:rPr>
          <w:rFonts w:ascii="Arial"/>
          <w:sz w:val="19"/>
        </w:rPr>
      </w:pPr>
      <w:r>
        <w:rPr>
          <w:rFonts w:ascii="Arial"/>
          <w:w w:val="105"/>
          <w:sz w:val="19"/>
        </w:rPr>
        <w:t>Food</w:t>
      </w:r>
      <w:r>
        <w:rPr>
          <w:rFonts w:ascii="Arial"/>
          <w:spacing w:val="-28"/>
          <w:w w:val="105"/>
          <w:sz w:val="19"/>
        </w:rPr>
        <w:t xml:space="preserve"> </w:t>
      </w:r>
      <w:r>
        <w:rPr>
          <w:rFonts w:ascii="Arial"/>
          <w:w w:val="105"/>
          <w:sz w:val="19"/>
        </w:rPr>
        <w:t>manufacturers</w:t>
      </w:r>
      <w:r>
        <w:rPr>
          <w:rFonts w:ascii="Arial"/>
          <w:spacing w:val="-28"/>
          <w:w w:val="105"/>
          <w:sz w:val="19"/>
        </w:rPr>
        <w:t xml:space="preserve"> </w:t>
      </w:r>
      <w:r>
        <w:rPr>
          <w:rFonts w:ascii="Arial"/>
          <w:w w:val="105"/>
          <w:sz w:val="19"/>
        </w:rPr>
        <w:t>may</w:t>
      </w:r>
      <w:r>
        <w:rPr>
          <w:rFonts w:ascii="Arial"/>
          <w:spacing w:val="-26"/>
          <w:w w:val="105"/>
          <w:sz w:val="19"/>
        </w:rPr>
        <w:t xml:space="preserve"> </w:t>
      </w:r>
      <w:r>
        <w:rPr>
          <w:rFonts w:ascii="Arial"/>
          <w:w w:val="105"/>
          <w:sz w:val="19"/>
        </w:rPr>
        <w:t>also</w:t>
      </w:r>
      <w:r>
        <w:rPr>
          <w:rFonts w:ascii="Arial"/>
          <w:spacing w:val="-27"/>
          <w:w w:val="105"/>
          <w:sz w:val="19"/>
        </w:rPr>
        <w:t xml:space="preserve"> </w:t>
      </w:r>
      <w:r>
        <w:rPr>
          <w:rFonts w:ascii="Arial"/>
          <w:w w:val="105"/>
          <w:sz w:val="19"/>
        </w:rPr>
        <w:t>seek</w:t>
      </w:r>
      <w:r>
        <w:rPr>
          <w:rFonts w:ascii="Arial"/>
          <w:spacing w:val="-28"/>
          <w:w w:val="105"/>
          <w:sz w:val="19"/>
        </w:rPr>
        <w:t xml:space="preserve"> </w:t>
      </w:r>
      <w:r>
        <w:rPr>
          <w:rFonts w:ascii="Arial"/>
          <w:w w:val="105"/>
          <w:sz w:val="19"/>
        </w:rPr>
        <w:t>to</w:t>
      </w:r>
      <w:r>
        <w:rPr>
          <w:rFonts w:ascii="Arial"/>
          <w:spacing w:val="-27"/>
          <w:w w:val="105"/>
          <w:sz w:val="19"/>
        </w:rPr>
        <w:t xml:space="preserve"> </w:t>
      </w:r>
      <w:r>
        <w:rPr>
          <w:rFonts w:ascii="Arial"/>
          <w:w w:val="105"/>
          <w:sz w:val="19"/>
        </w:rPr>
        <w:t>be</w:t>
      </w:r>
      <w:r>
        <w:rPr>
          <w:rFonts w:ascii="Arial"/>
          <w:spacing w:val="-28"/>
          <w:w w:val="105"/>
          <w:sz w:val="19"/>
        </w:rPr>
        <w:t xml:space="preserve"> </w:t>
      </w:r>
      <w:r>
        <w:rPr>
          <w:rFonts w:ascii="Arial"/>
          <w:w w:val="105"/>
          <w:sz w:val="19"/>
        </w:rPr>
        <w:t>certified</w:t>
      </w:r>
      <w:r>
        <w:rPr>
          <w:rFonts w:ascii="Arial"/>
          <w:spacing w:val="-26"/>
          <w:w w:val="105"/>
          <w:sz w:val="19"/>
        </w:rPr>
        <w:t xml:space="preserve"> </w:t>
      </w:r>
      <w:r>
        <w:rPr>
          <w:rFonts w:ascii="Arial"/>
          <w:w w:val="105"/>
          <w:sz w:val="19"/>
        </w:rPr>
        <w:t>under</w:t>
      </w:r>
      <w:r>
        <w:rPr>
          <w:rFonts w:ascii="Arial"/>
          <w:spacing w:val="-27"/>
          <w:w w:val="105"/>
          <w:sz w:val="19"/>
        </w:rPr>
        <w:t xml:space="preserve"> </w:t>
      </w:r>
      <w:r>
        <w:rPr>
          <w:rFonts w:ascii="Arial"/>
          <w:w w:val="105"/>
          <w:sz w:val="19"/>
        </w:rPr>
        <w:t>the</w:t>
      </w:r>
      <w:r>
        <w:rPr>
          <w:rFonts w:ascii="Arial"/>
          <w:spacing w:val="-25"/>
          <w:w w:val="105"/>
          <w:sz w:val="19"/>
        </w:rPr>
        <w:t xml:space="preserve"> </w:t>
      </w:r>
      <w:r>
        <w:rPr>
          <w:rFonts w:ascii="Arial"/>
          <w:w w:val="105"/>
          <w:sz w:val="19"/>
        </w:rPr>
        <w:t>Hazard Analysis</w:t>
      </w:r>
      <w:r>
        <w:rPr>
          <w:rFonts w:ascii="Arial"/>
          <w:spacing w:val="-31"/>
          <w:w w:val="105"/>
          <w:sz w:val="19"/>
        </w:rPr>
        <w:t xml:space="preserve"> </w:t>
      </w:r>
      <w:r>
        <w:rPr>
          <w:rFonts w:ascii="Arial"/>
          <w:w w:val="105"/>
          <w:sz w:val="19"/>
        </w:rPr>
        <w:t>Critical</w:t>
      </w:r>
      <w:r>
        <w:rPr>
          <w:rFonts w:ascii="Arial"/>
          <w:spacing w:val="-30"/>
          <w:w w:val="105"/>
          <w:sz w:val="19"/>
        </w:rPr>
        <w:t xml:space="preserve"> </w:t>
      </w:r>
      <w:r>
        <w:rPr>
          <w:rFonts w:ascii="Arial"/>
          <w:w w:val="105"/>
          <w:sz w:val="19"/>
        </w:rPr>
        <w:t>Control</w:t>
      </w:r>
      <w:r>
        <w:rPr>
          <w:rFonts w:ascii="Arial"/>
          <w:spacing w:val="-30"/>
          <w:w w:val="105"/>
          <w:sz w:val="19"/>
        </w:rPr>
        <w:t xml:space="preserve"> </w:t>
      </w:r>
      <w:r>
        <w:rPr>
          <w:rFonts w:ascii="Arial"/>
          <w:w w:val="105"/>
          <w:sz w:val="19"/>
        </w:rPr>
        <w:t>Point</w:t>
      </w:r>
      <w:r>
        <w:rPr>
          <w:rFonts w:ascii="Arial"/>
          <w:spacing w:val="-30"/>
          <w:w w:val="105"/>
          <w:sz w:val="19"/>
        </w:rPr>
        <w:t xml:space="preserve"> </w:t>
      </w:r>
      <w:r>
        <w:rPr>
          <w:rFonts w:ascii="Arial"/>
          <w:w w:val="105"/>
          <w:sz w:val="19"/>
        </w:rPr>
        <w:t>(HACCP)</w:t>
      </w:r>
      <w:r>
        <w:rPr>
          <w:rFonts w:ascii="Arial"/>
          <w:spacing w:val="-29"/>
          <w:w w:val="105"/>
          <w:sz w:val="19"/>
        </w:rPr>
        <w:t xml:space="preserve"> </w:t>
      </w:r>
      <w:r>
        <w:rPr>
          <w:rFonts w:ascii="Arial"/>
          <w:w w:val="105"/>
          <w:sz w:val="19"/>
        </w:rPr>
        <w:t>food</w:t>
      </w:r>
      <w:r>
        <w:rPr>
          <w:rFonts w:ascii="Arial"/>
          <w:spacing w:val="-31"/>
          <w:w w:val="105"/>
          <w:sz w:val="19"/>
        </w:rPr>
        <w:t xml:space="preserve"> </w:t>
      </w:r>
      <w:r>
        <w:rPr>
          <w:rFonts w:ascii="Arial"/>
          <w:w w:val="105"/>
          <w:sz w:val="19"/>
        </w:rPr>
        <w:t>safety</w:t>
      </w:r>
      <w:r>
        <w:rPr>
          <w:rFonts w:ascii="Arial"/>
          <w:spacing w:val="-31"/>
          <w:w w:val="105"/>
          <w:sz w:val="19"/>
        </w:rPr>
        <w:t xml:space="preserve"> </w:t>
      </w:r>
      <w:r>
        <w:rPr>
          <w:rFonts w:ascii="Arial"/>
          <w:w w:val="105"/>
          <w:sz w:val="19"/>
        </w:rPr>
        <w:t>program</w:t>
      </w:r>
      <w:r>
        <w:rPr>
          <w:rFonts w:ascii="Arial"/>
          <w:spacing w:val="-29"/>
          <w:w w:val="105"/>
          <w:sz w:val="19"/>
        </w:rPr>
        <w:t xml:space="preserve"> </w:t>
      </w:r>
      <w:r>
        <w:rPr>
          <w:rFonts w:ascii="Arial"/>
          <w:w w:val="105"/>
          <w:sz w:val="19"/>
        </w:rPr>
        <w:t>or</w:t>
      </w:r>
      <w:r>
        <w:rPr>
          <w:rFonts w:ascii="Arial"/>
          <w:spacing w:val="-32"/>
          <w:w w:val="105"/>
          <w:sz w:val="19"/>
        </w:rPr>
        <w:t xml:space="preserve"> </w:t>
      </w:r>
      <w:r>
        <w:rPr>
          <w:rFonts w:ascii="Arial"/>
          <w:w w:val="105"/>
          <w:sz w:val="19"/>
        </w:rPr>
        <w:t>ISO</w:t>
      </w:r>
    </w:p>
    <w:p w:rsidR="007D76BB" w:rsidRDefault="00D70D28">
      <w:pPr>
        <w:spacing w:before="2" w:line="264" w:lineRule="auto"/>
        <w:ind w:left="482" w:right="778"/>
        <w:rPr>
          <w:rFonts w:ascii="Arial"/>
          <w:sz w:val="11"/>
        </w:rPr>
      </w:pPr>
      <w:r>
        <w:rPr>
          <w:rFonts w:ascii="Arial"/>
          <w:w w:val="105"/>
          <w:sz w:val="19"/>
        </w:rPr>
        <w:t>22000,</w:t>
      </w:r>
      <w:r>
        <w:rPr>
          <w:rFonts w:ascii="Arial"/>
          <w:spacing w:val="-21"/>
          <w:w w:val="105"/>
          <w:sz w:val="19"/>
        </w:rPr>
        <w:t xml:space="preserve"> </w:t>
      </w:r>
      <w:r>
        <w:rPr>
          <w:rFonts w:ascii="Arial"/>
          <w:w w:val="105"/>
          <w:sz w:val="19"/>
        </w:rPr>
        <w:t>which</w:t>
      </w:r>
      <w:r>
        <w:rPr>
          <w:rFonts w:ascii="Arial"/>
          <w:spacing w:val="-22"/>
          <w:w w:val="105"/>
          <w:sz w:val="19"/>
        </w:rPr>
        <w:t xml:space="preserve"> </w:t>
      </w:r>
      <w:r>
        <w:rPr>
          <w:rFonts w:ascii="Arial"/>
          <w:w w:val="105"/>
          <w:sz w:val="19"/>
        </w:rPr>
        <w:t>sets</w:t>
      </w:r>
      <w:r>
        <w:rPr>
          <w:rFonts w:ascii="Arial"/>
          <w:spacing w:val="-22"/>
          <w:w w:val="105"/>
          <w:sz w:val="19"/>
        </w:rPr>
        <w:t xml:space="preserve"> </w:t>
      </w:r>
      <w:r>
        <w:rPr>
          <w:rFonts w:ascii="Arial"/>
          <w:w w:val="105"/>
          <w:sz w:val="19"/>
        </w:rPr>
        <w:t>out</w:t>
      </w:r>
      <w:r>
        <w:rPr>
          <w:rFonts w:ascii="Arial"/>
          <w:spacing w:val="-22"/>
          <w:w w:val="105"/>
          <w:sz w:val="19"/>
        </w:rPr>
        <w:t xml:space="preserve"> </w:t>
      </w:r>
      <w:r>
        <w:rPr>
          <w:rFonts w:ascii="Arial"/>
          <w:w w:val="105"/>
          <w:sz w:val="19"/>
        </w:rPr>
        <w:t>the</w:t>
      </w:r>
      <w:r>
        <w:rPr>
          <w:rFonts w:ascii="Arial"/>
          <w:spacing w:val="-22"/>
          <w:w w:val="105"/>
          <w:sz w:val="19"/>
        </w:rPr>
        <w:t xml:space="preserve"> </w:t>
      </w:r>
      <w:r>
        <w:rPr>
          <w:rFonts w:ascii="Arial"/>
          <w:w w:val="105"/>
          <w:sz w:val="19"/>
        </w:rPr>
        <w:t>requirements</w:t>
      </w:r>
      <w:r>
        <w:rPr>
          <w:rFonts w:ascii="Arial"/>
          <w:spacing w:val="-22"/>
          <w:w w:val="105"/>
          <w:sz w:val="19"/>
        </w:rPr>
        <w:t xml:space="preserve"> </w:t>
      </w:r>
      <w:r>
        <w:rPr>
          <w:rFonts w:ascii="Arial"/>
          <w:w w:val="105"/>
          <w:sz w:val="19"/>
        </w:rPr>
        <w:t>for</w:t>
      </w:r>
      <w:r>
        <w:rPr>
          <w:rFonts w:ascii="Arial"/>
          <w:spacing w:val="-21"/>
          <w:w w:val="105"/>
          <w:sz w:val="19"/>
        </w:rPr>
        <w:t xml:space="preserve"> </w:t>
      </w:r>
      <w:r>
        <w:rPr>
          <w:rFonts w:ascii="Arial"/>
          <w:w w:val="105"/>
          <w:sz w:val="19"/>
        </w:rPr>
        <w:t>a</w:t>
      </w:r>
      <w:r>
        <w:rPr>
          <w:rFonts w:ascii="Arial"/>
          <w:spacing w:val="-22"/>
          <w:w w:val="105"/>
          <w:sz w:val="19"/>
        </w:rPr>
        <w:t xml:space="preserve"> </w:t>
      </w:r>
      <w:r>
        <w:rPr>
          <w:rFonts w:ascii="Arial"/>
          <w:w w:val="105"/>
          <w:sz w:val="19"/>
        </w:rPr>
        <w:t>food</w:t>
      </w:r>
      <w:r>
        <w:rPr>
          <w:rFonts w:ascii="Arial"/>
          <w:spacing w:val="-22"/>
          <w:w w:val="105"/>
          <w:sz w:val="19"/>
        </w:rPr>
        <w:t xml:space="preserve"> </w:t>
      </w:r>
      <w:r>
        <w:rPr>
          <w:rFonts w:ascii="Arial"/>
          <w:w w:val="105"/>
          <w:sz w:val="19"/>
        </w:rPr>
        <w:t>safety</w:t>
      </w:r>
      <w:r>
        <w:rPr>
          <w:rFonts w:ascii="Arial"/>
          <w:spacing w:val="-23"/>
          <w:w w:val="105"/>
          <w:sz w:val="19"/>
        </w:rPr>
        <w:t xml:space="preserve"> </w:t>
      </w:r>
      <w:r>
        <w:rPr>
          <w:rFonts w:ascii="Arial"/>
          <w:w w:val="105"/>
          <w:sz w:val="19"/>
        </w:rPr>
        <w:t>management</w:t>
      </w:r>
      <w:r>
        <w:rPr>
          <w:rFonts w:ascii="Arial"/>
          <w:spacing w:val="-22"/>
          <w:w w:val="105"/>
          <w:sz w:val="19"/>
        </w:rPr>
        <w:t xml:space="preserve"> </w:t>
      </w:r>
      <w:r>
        <w:rPr>
          <w:rFonts w:ascii="Arial"/>
          <w:w w:val="105"/>
          <w:sz w:val="19"/>
        </w:rPr>
        <w:t>system.</w:t>
      </w:r>
      <w:r>
        <w:rPr>
          <w:rFonts w:ascii="Arial"/>
          <w:spacing w:val="-23"/>
          <w:w w:val="105"/>
          <w:sz w:val="19"/>
        </w:rPr>
        <w:t xml:space="preserve"> </w:t>
      </w:r>
      <w:r>
        <w:rPr>
          <w:rFonts w:ascii="Arial"/>
          <w:w w:val="105"/>
          <w:sz w:val="19"/>
        </w:rPr>
        <w:t>Additionally,</w:t>
      </w:r>
      <w:r>
        <w:rPr>
          <w:rFonts w:ascii="Arial"/>
          <w:spacing w:val="-22"/>
          <w:w w:val="105"/>
          <w:sz w:val="19"/>
        </w:rPr>
        <w:t xml:space="preserve"> </w:t>
      </w:r>
      <w:r>
        <w:rPr>
          <w:rFonts w:ascii="Arial"/>
          <w:w w:val="105"/>
          <w:sz w:val="19"/>
        </w:rPr>
        <w:t xml:space="preserve">those food manufacturers exporting </w:t>
      </w:r>
      <w:r>
        <w:rPr>
          <w:rFonts w:ascii="Arial"/>
          <w:w w:val="105"/>
          <w:sz w:val="19"/>
        </w:rPr>
        <w:lastRenderedPageBreak/>
        <w:t>products to the United States of America will need to be audited against</w:t>
      </w:r>
      <w:r>
        <w:rPr>
          <w:rFonts w:ascii="Arial"/>
          <w:spacing w:val="-28"/>
          <w:w w:val="105"/>
          <w:sz w:val="19"/>
        </w:rPr>
        <w:t xml:space="preserve"> </w:t>
      </w:r>
      <w:r>
        <w:rPr>
          <w:rFonts w:ascii="Arial"/>
          <w:w w:val="105"/>
          <w:sz w:val="19"/>
        </w:rPr>
        <w:t>the</w:t>
      </w:r>
      <w:r>
        <w:rPr>
          <w:rFonts w:ascii="Arial"/>
          <w:spacing w:val="-28"/>
          <w:w w:val="105"/>
          <w:sz w:val="19"/>
        </w:rPr>
        <w:t xml:space="preserve"> </w:t>
      </w:r>
      <w:r>
        <w:rPr>
          <w:rFonts w:ascii="Arial"/>
          <w:w w:val="105"/>
          <w:sz w:val="19"/>
        </w:rPr>
        <w:t>Food</w:t>
      </w:r>
      <w:r>
        <w:rPr>
          <w:rFonts w:ascii="Arial"/>
          <w:spacing w:val="-28"/>
          <w:w w:val="105"/>
          <w:sz w:val="19"/>
        </w:rPr>
        <w:t xml:space="preserve"> </w:t>
      </w:r>
      <w:r>
        <w:rPr>
          <w:rFonts w:ascii="Arial"/>
          <w:w w:val="105"/>
          <w:sz w:val="19"/>
        </w:rPr>
        <w:t>and</w:t>
      </w:r>
      <w:r>
        <w:rPr>
          <w:rFonts w:ascii="Arial"/>
          <w:spacing w:val="-28"/>
          <w:w w:val="105"/>
          <w:sz w:val="19"/>
        </w:rPr>
        <w:t xml:space="preserve"> </w:t>
      </w:r>
      <w:r>
        <w:rPr>
          <w:rFonts w:ascii="Arial"/>
          <w:w w:val="105"/>
          <w:sz w:val="19"/>
        </w:rPr>
        <w:t>Drug</w:t>
      </w:r>
      <w:r>
        <w:rPr>
          <w:rFonts w:ascii="Arial"/>
          <w:spacing w:val="-26"/>
          <w:w w:val="105"/>
          <w:sz w:val="19"/>
        </w:rPr>
        <w:t xml:space="preserve"> </w:t>
      </w:r>
      <w:r>
        <w:rPr>
          <w:rFonts w:ascii="Arial"/>
          <w:w w:val="105"/>
          <w:sz w:val="19"/>
        </w:rPr>
        <w:t>Administration</w:t>
      </w:r>
      <w:r>
        <w:rPr>
          <w:rFonts w:ascii="Arial"/>
          <w:spacing w:val="-27"/>
          <w:w w:val="105"/>
          <w:sz w:val="19"/>
        </w:rPr>
        <w:t xml:space="preserve"> </w:t>
      </w:r>
      <w:r>
        <w:rPr>
          <w:rFonts w:ascii="Arial"/>
          <w:w w:val="105"/>
          <w:sz w:val="19"/>
        </w:rPr>
        <w:t>(FDA)</w:t>
      </w:r>
      <w:r>
        <w:rPr>
          <w:rFonts w:ascii="Arial"/>
          <w:spacing w:val="-27"/>
          <w:w w:val="105"/>
          <w:sz w:val="19"/>
        </w:rPr>
        <w:t xml:space="preserve"> </w:t>
      </w:r>
      <w:r>
        <w:rPr>
          <w:rFonts w:ascii="Arial"/>
          <w:w w:val="105"/>
          <w:sz w:val="19"/>
        </w:rPr>
        <w:t>Current</w:t>
      </w:r>
      <w:r>
        <w:rPr>
          <w:rFonts w:ascii="Arial"/>
          <w:spacing w:val="-29"/>
          <w:w w:val="105"/>
          <w:sz w:val="19"/>
        </w:rPr>
        <w:t xml:space="preserve"> </w:t>
      </w:r>
      <w:r>
        <w:rPr>
          <w:rFonts w:ascii="Arial"/>
          <w:w w:val="105"/>
          <w:sz w:val="19"/>
        </w:rPr>
        <w:t>Good</w:t>
      </w:r>
      <w:r>
        <w:rPr>
          <w:rFonts w:ascii="Arial"/>
          <w:spacing w:val="-28"/>
          <w:w w:val="105"/>
          <w:sz w:val="19"/>
        </w:rPr>
        <w:t xml:space="preserve"> </w:t>
      </w:r>
      <w:r>
        <w:rPr>
          <w:rFonts w:ascii="Arial"/>
          <w:w w:val="105"/>
          <w:sz w:val="19"/>
        </w:rPr>
        <w:t>Manufacturing</w:t>
      </w:r>
      <w:r>
        <w:rPr>
          <w:rFonts w:ascii="Arial"/>
          <w:spacing w:val="-26"/>
          <w:w w:val="105"/>
          <w:sz w:val="19"/>
        </w:rPr>
        <w:t xml:space="preserve"> </w:t>
      </w:r>
      <w:r>
        <w:rPr>
          <w:rFonts w:ascii="Arial"/>
          <w:w w:val="105"/>
          <w:sz w:val="19"/>
        </w:rPr>
        <w:t>Practice</w:t>
      </w:r>
      <w:r>
        <w:rPr>
          <w:rFonts w:ascii="Arial"/>
          <w:spacing w:val="-27"/>
          <w:w w:val="105"/>
          <w:sz w:val="19"/>
        </w:rPr>
        <w:t xml:space="preserve"> </w:t>
      </w:r>
      <w:r>
        <w:rPr>
          <w:rFonts w:ascii="Arial"/>
          <w:w w:val="105"/>
          <w:sz w:val="19"/>
        </w:rPr>
        <w:t>(CGMP) regulation for food.</w:t>
      </w:r>
      <w:r>
        <w:rPr>
          <w:rFonts w:ascii="Arial"/>
          <w:w w:val="105"/>
          <w:position w:val="7"/>
          <w:sz w:val="11"/>
        </w:rPr>
        <w:t>19</w:t>
      </w:r>
      <w:r>
        <w:rPr>
          <w:rFonts w:ascii="Arial"/>
          <w:spacing w:val="-7"/>
          <w:w w:val="105"/>
          <w:position w:val="7"/>
          <w:sz w:val="11"/>
        </w:rPr>
        <w:t xml:space="preserve"> </w:t>
      </w:r>
      <w:r>
        <w:rPr>
          <w:rFonts w:ascii="Arial"/>
          <w:w w:val="105"/>
          <w:position w:val="7"/>
          <w:sz w:val="11"/>
        </w:rPr>
        <w:t>20</w:t>
      </w:r>
    </w:p>
    <w:p w:rsidR="007D76BB" w:rsidRDefault="00D70D28">
      <w:pPr>
        <w:spacing w:before="181" w:line="264" w:lineRule="auto"/>
        <w:ind w:left="482" w:right="688"/>
        <w:rPr>
          <w:rFonts w:ascii="Arial"/>
          <w:sz w:val="19"/>
        </w:rPr>
      </w:pPr>
      <w:r>
        <w:rPr>
          <w:rFonts w:ascii="Arial"/>
          <w:w w:val="105"/>
          <w:sz w:val="19"/>
        </w:rPr>
        <w:t>Within</w:t>
      </w:r>
      <w:r>
        <w:rPr>
          <w:rFonts w:ascii="Arial"/>
          <w:spacing w:val="-24"/>
          <w:w w:val="105"/>
          <w:sz w:val="19"/>
        </w:rPr>
        <w:t xml:space="preserve"> </w:t>
      </w:r>
      <w:r>
        <w:rPr>
          <w:rFonts w:ascii="Arial"/>
          <w:w w:val="105"/>
          <w:sz w:val="19"/>
        </w:rPr>
        <w:t>Australia,</w:t>
      </w:r>
      <w:r>
        <w:rPr>
          <w:rFonts w:ascii="Arial"/>
          <w:spacing w:val="-24"/>
          <w:w w:val="105"/>
          <w:sz w:val="19"/>
        </w:rPr>
        <w:t xml:space="preserve"> </w:t>
      </w:r>
      <w:r>
        <w:rPr>
          <w:rFonts w:ascii="Arial"/>
          <w:w w:val="105"/>
          <w:sz w:val="19"/>
        </w:rPr>
        <w:t>manufacturers</w:t>
      </w:r>
      <w:r>
        <w:rPr>
          <w:rFonts w:ascii="Arial"/>
          <w:spacing w:val="-24"/>
          <w:w w:val="105"/>
          <w:sz w:val="19"/>
        </w:rPr>
        <w:t xml:space="preserve"> </w:t>
      </w:r>
      <w:r>
        <w:rPr>
          <w:rFonts w:ascii="Arial"/>
          <w:w w:val="105"/>
          <w:sz w:val="19"/>
        </w:rPr>
        <w:t>of</w:t>
      </w:r>
      <w:r>
        <w:rPr>
          <w:rFonts w:ascii="Arial"/>
          <w:spacing w:val="-25"/>
          <w:w w:val="105"/>
          <w:sz w:val="19"/>
        </w:rPr>
        <w:t xml:space="preserve"> </w:t>
      </w:r>
      <w:r>
        <w:rPr>
          <w:rFonts w:ascii="Arial"/>
          <w:w w:val="105"/>
          <w:sz w:val="19"/>
        </w:rPr>
        <w:t>medicines</w:t>
      </w:r>
      <w:r>
        <w:rPr>
          <w:rFonts w:ascii="Arial"/>
          <w:spacing w:val="-24"/>
          <w:w w:val="105"/>
          <w:sz w:val="19"/>
        </w:rPr>
        <w:t xml:space="preserve"> </w:t>
      </w:r>
      <w:r>
        <w:rPr>
          <w:rFonts w:ascii="Arial"/>
          <w:w w:val="105"/>
          <w:sz w:val="19"/>
        </w:rPr>
        <w:t>(including</w:t>
      </w:r>
      <w:r>
        <w:rPr>
          <w:rFonts w:ascii="Arial"/>
          <w:spacing w:val="-24"/>
          <w:w w:val="105"/>
          <w:sz w:val="19"/>
        </w:rPr>
        <w:t xml:space="preserve"> </w:t>
      </w:r>
      <w:r>
        <w:rPr>
          <w:rFonts w:ascii="Arial"/>
          <w:w w:val="105"/>
          <w:sz w:val="19"/>
        </w:rPr>
        <w:t>complementary,</w:t>
      </w:r>
      <w:r>
        <w:rPr>
          <w:rFonts w:ascii="Arial"/>
          <w:spacing w:val="-24"/>
          <w:w w:val="105"/>
          <w:sz w:val="19"/>
        </w:rPr>
        <w:t xml:space="preserve"> </w:t>
      </w:r>
      <w:r>
        <w:rPr>
          <w:rFonts w:ascii="Arial"/>
          <w:w w:val="105"/>
          <w:sz w:val="19"/>
        </w:rPr>
        <w:t>over-the-counter</w:t>
      </w:r>
      <w:r>
        <w:rPr>
          <w:rFonts w:ascii="Arial"/>
          <w:spacing w:val="-24"/>
          <w:w w:val="105"/>
          <w:sz w:val="19"/>
        </w:rPr>
        <w:t xml:space="preserve"> </w:t>
      </w:r>
      <w:r>
        <w:rPr>
          <w:rFonts w:ascii="Arial"/>
          <w:w w:val="105"/>
          <w:sz w:val="19"/>
        </w:rPr>
        <w:t>and prescription)</w:t>
      </w:r>
      <w:r>
        <w:rPr>
          <w:rFonts w:ascii="Arial"/>
          <w:spacing w:val="-25"/>
          <w:w w:val="105"/>
          <w:sz w:val="19"/>
        </w:rPr>
        <w:t xml:space="preserve"> </w:t>
      </w:r>
      <w:r>
        <w:rPr>
          <w:rFonts w:ascii="Arial"/>
          <w:w w:val="105"/>
          <w:sz w:val="19"/>
        </w:rPr>
        <w:t>and</w:t>
      </w:r>
      <w:r>
        <w:rPr>
          <w:rFonts w:ascii="Arial"/>
          <w:spacing w:val="-23"/>
          <w:w w:val="105"/>
          <w:sz w:val="19"/>
        </w:rPr>
        <w:t xml:space="preserve"> </w:t>
      </w:r>
      <w:r>
        <w:rPr>
          <w:rFonts w:ascii="Arial"/>
          <w:w w:val="105"/>
          <w:sz w:val="19"/>
        </w:rPr>
        <w:t>biologicals</w:t>
      </w:r>
      <w:r>
        <w:rPr>
          <w:rFonts w:ascii="Arial"/>
          <w:spacing w:val="-25"/>
          <w:w w:val="105"/>
          <w:sz w:val="19"/>
        </w:rPr>
        <w:t xml:space="preserve"> </w:t>
      </w:r>
      <w:r>
        <w:rPr>
          <w:rFonts w:ascii="Arial"/>
          <w:w w:val="105"/>
          <w:sz w:val="19"/>
        </w:rPr>
        <w:t>must</w:t>
      </w:r>
      <w:r>
        <w:rPr>
          <w:rFonts w:ascii="Arial"/>
          <w:spacing w:val="-23"/>
          <w:w w:val="105"/>
          <w:sz w:val="19"/>
        </w:rPr>
        <w:t xml:space="preserve"> </w:t>
      </w:r>
      <w:r>
        <w:rPr>
          <w:rFonts w:ascii="Arial"/>
          <w:w w:val="105"/>
          <w:sz w:val="19"/>
        </w:rPr>
        <w:t>hold</w:t>
      </w:r>
      <w:r>
        <w:rPr>
          <w:rFonts w:ascii="Arial"/>
          <w:spacing w:val="-23"/>
          <w:w w:val="105"/>
          <w:sz w:val="19"/>
        </w:rPr>
        <w:t xml:space="preserve"> </w:t>
      </w:r>
      <w:r>
        <w:rPr>
          <w:rFonts w:ascii="Arial"/>
          <w:w w:val="105"/>
          <w:sz w:val="19"/>
        </w:rPr>
        <w:t>a</w:t>
      </w:r>
      <w:r>
        <w:rPr>
          <w:rFonts w:ascii="Arial"/>
          <w:spacing w:val="-22"/>
          <w:w w:val="105"/>
          <w:sz w:val="19"/>
        </w:rPr>
        <w:t xml:space="preserve"> </w:t>
      </w:r>
      <w:r>
        <w:rPr>
          <w:rFonts w:ascii="Arial"/>
          <w:w w:val="105"/>
          <w:sz w:val="19"/>
        </w:rPr>
        <w:t>TGA</w:t>
      </w:r>
      <w:r>
        <w:rPr>
          <w:rFonts w:ascii="Arial"/>
          <w:spacing w:val="-22"/>
          <w:w w:val="105"/>
          <w:sz w:val="19"/>
        </w:rPr>
        <w:t xml:space="preserve"> </w:t>
      </w:r>
      <w:r>
        <w:rPr>
          <w:rFonts w:ascii="Arial"/>
          <w:w w:val="105"/>
          <w:sz w:val="19"/>
        </w:rPr>
        <w:t>manufacturing</w:t>
      </w:r>
      <w:r>
        <w:rPr>
          <w:rFonts w:ascii="Arial"/>
          <w:spacing w:val="-23"/>
          <w:w w:val="105"/>
          <w:sz w:val="19"/>
        </w:rPr>
        <w:t xml:space="preserve"> </w:t>
      </w:r>
      <w:proofErr w:type="spellStart"/>
      <w:r>
        <w:rPr>
          <w:rFonts w:ascii="Arial"/>
          <w:w w:val="105"/>
          <w:sz w:val="19"/>
        </w:rPr>
        <w:t>licence</w:t>
      </w:r>
      <w:proofErr w:type="spellEnd"/>
      <w:r>
        <w:rPr>
          <w:rFonts w:ascii="Arial"/>
          <w:w w:val="105"/>
          <w:sz w:val="19"/>
        </w:rPr>
        <w:t>.</w:t>
      </w:r>
      <w:r>
        <w:rPr>
          <w:rFonts w:ascii="Arial"/>
          <w:spacing w:val="-22"/>
          <w:w w:val="105"/>
          <w:sz w:val="19"/>
        </w:rPr>
        <w:t xml:space="preserve"> </w:t>
      </w:r>
      <w:r>
        <w:rPr>
          <w:rFonts w:ascii="Arial"/>
          <w:w w:val="105"/>
          <w:sz w:val="19"/>
        </w:rPr>
        <w:t>To</w:t>
      </w:r>
      <w:r>
        <w:rPr>
          <w:rFonts w:ascii="Arial"/>
          <w:spacing w:val="-23"/>
          <w:w w:val="105"/>
          <w:sz w:val="19"/>
        </w:rPr>
        <w:t xml:space="preserve"> </w:t>
      </w:r>
      <w:r>
        <w:rPr>
          <w:rFonts w:ascii="Arial"/>
          <w:w w:val="105"/>
          <w:sz w:val="19"/>
        </w:rPr>
        <w:t>obtain</w:t>
      </w:r>
      <w:r>
        <w:rPr>
          <w:rFonts w:ascii="Arial"/>
          <w:spacing w:val="-23"/>
          <w:w w:val="105"/>
          <w:sz w:val="19"/>
        </w:rPr>
        <w:t xml:space="preserve"> </w:t>
      </w:r>
      <w:r>
        <w:rPr>
          <w:rFonts w:ascii="Arial"/>
          <w:w w:val="105"/>
          <w:sz w:val="19"/>
        </w:rPr>
        <w:t>this</w:t>
      </w:r>
      <w:r>
        <w:rPr>
          <w:rFonts w:ascii="Arial"/>
          <w:spacing w:val="-23"/>
          <w:w w:val="105"/>
          <w:sz w:val="19"/>
        </w:rPr>
        <w:t xml:space="preserve"> </w:t>
      </w:r>
      <w:proofErr w:type="spellStart"/>
      <w:r>
        <w:rPr>
          <w:rFonts w:ascii="Arial"/>
          <w:w w:val="105"/>
          <w:sz w:val="19"/>
        </w:rPr>
        <w:t>licence</w:t>
      </w:r>
      <w:proofErr w:type="spellEnd"/>
      <w:r>
        <w:rPr>
          <w:rFonts w:ascii="Arial"/>
          <w:spacing w:val="-22"/>
          <w:w w:val="105"/>
          <w:sz w:val="19"/>
        </w:rPr>
        <w:t xml:space="preserve"> </w:t>
      </w:r>
      <w:r>
        <w:rPr>
          <w:rFonts w:ascii="Arial"/>
          <w:w w:val="105"/>
          <w:sz w:val="19"/>
        </w:rPr>
        <w:t>the manufacturer</w:t>
      </w:r>
      <w:r>
        <w:rPr>
          <w:rFonts w:ascii="Arial"/>
          <w:spacing w:val="-35"/>
          <w:w w:val="105"/>
          <w:sz w:val="19"/>
        </w:rPr>
        <w:t xml:space="preserve"> </w:t>
      </w:r>
      <w:r>
        <w:rPr>
          <w:rFonts w:ascii="Arial"/>
          <w:w w:val="105"/>
          <w:sz w:val="19"/>
        </w:rPr>
        <w:t>must</w:t>
      </w:r>
      <w:r>
        <w:rPr>
          <w:rFonts w:ascii="Arial"/>
          <w:spacing w:val="-34"/>
          <w:w w:val="105"/>
          <w:sz w:val="19"/>
        </w:rPr>
        <w:t xml:space="preserve"> </w:t>
      </w:r>
      <w:r>
        <w:rPr>
          <w:rFonts w:ascii="Arial"/>
          <w:w w:val="105"/>
          <w:sz w:val="19"/>
        </w:rPr>
        <w:t>demonstrate</w:t>
      </w:r>
      <w:r>
        <w:rPr>
          <w:rFonts w:ascii="Arial"/>
          <w:spacing w:val="-35"/>
          <w:w w:val="105"/>
          <w:sz w:val="19"/>
        </w:rPr>
        <w:t xml:space="preserve"> </w:t>
      </w:r>
      <w:r>
        <w:rPr>
          <w:rFonts w:ascii="Arial"/>
          <w:w w:val="105"/>
          <w:sz w:val="19"/>
        </w:rPr>
        <w:t>compliance</w:t>
      </w:r>
      <w:r>
        <w:rPr>
          <w:rFonts w:ascii="Arial"/>
          <w:spacing w:val="-34"/>
          <w:w w:val="105"/>
          <w:sz w:val="19"/>
        </w:rPr>
        <w:t xml:space="preserve"> </w:t>
      </w:r>
      <w:r>
        <w:rPr>
          <w:rFonts w:ascii="Arial"/>
          <w:w w:val="105"/>
          <w:sz w:val="19"/>
        </w:rPr>
        <w:t>with</w:t>
      </w:r>
      <w:r>
        <w:rPr>
          <w:rFonts w:ascii="Arial"/>
          <w:spacing w:val="-34"/>
          <w:w w:val="105"/>
          <w:sz w:val="19"/>
        </w:rPr>
        <w:t xml:space="preserve"> </w:t>
      </w:r>
      <w:r>
        <w:rPr>
          <w:rFonts w:ascii="Arial"/>
          <w:w w:val="105"/>
          <w:sz w:val="19"/>
        </w:rPr>
        <w:t>the</w:t>
      </w:r>
      <w:r>
        <w:rPr>
          <w:rFonts w:ascii="Arial"/>
          <w:spacing w:val="-34"/>
          <w:w w:val="105"/>
          <w:sz w:val="19"/>
        </w:rPr>
        <w:t xml:space="preserve"> </w:t>
      </w:r>
      <w:r>
        <w:rPr>
          <w:rFonts w:ascii="Arial"/>
          <w:w w:val="105"/>
          <w:sz w:val="19"/>
        </w:rPr>
        <w:t>relevant</w:t>
      </w:r>
      <w:r>
        <w:rPr>
          <w:rFonts w:ascii="Arial"/>
          <w:spacing w:val="-33"/>
          <w:w w:val="105"/>
          <w:sz w:val="19"/>
        </w:rPr>
        <w:t xml:space="preserve"> </w:t>
      </w:r>
      <w:r>
        <w:rPr>
          <w:rFonts w:ascii="Arial"/>
          <w:w w:val="105"/>
          <w:sz w:val="19"/>
        </w:rPr>
        <w:t>GMP</w:t>
      </w:r>
      <w:r>
        <w:rPr>
          <w:rFonts w:ascii="Arial"/>
          <w:spacing w:val="-34"/>
          <w:w w:val="105"/>
          <w:sz w:val="19"/>
        </w:rPr>
        <w:t xml:space="preserve"> </w:t>
      </w:r>
      <w:r>
        <w:rPr>
          <w:rFonts w:ascii="Arial"/>
          <w:w w:val="105"/>
          <w:sz w:val="19"/>
        </w:rPr>
        <w:t>requirements,</w:t>
      </w:r>
      <w:r>
        <w:rPr>
          <w:rFonts w:ascii="Arial"/>
          <w:spacing w:val="-35"/>
          <w:w w:val="105"/>
          <w:sz w:val="19"/>
        </w:rPr>
        <w:t xml:space="preserve"> </w:t>
      </w:r>
      <w:r>
        <w:rPr>
          <w:rFonts w:ascii="Arial"/>
          <w:w w:val="105"/>
          <w:sz w:val="19"/>
        </w:rPr>
        <w:t>while</w:t>
      </w:r>
      <w:r>
        <w:rPr>
          <w:rFonts w:ascii="Arial"/>
          <w:spacing w:val="-33"/>
          <w:w w:val="105"/>
          <w:sz w:val="19"/>
        </w:rPr>
        <w:t xml:space="preserve"> </w:t>
      </w:r>
      <w:r>
        <w:rPr>
          <w:rFonts w:ascii="Arial"/>
          <w:w w:val="105"/>
          <w:sz w:val="19"/>
        </w:rPr>
        <w:t>overseas</w:t>
      </w:r>
    </w:p>
    <w:p w:rsidR="007D76BB" w:rsidRDefault="00D70D28">
      <w:pPr>
        <w:pStyle w:val="BodyText"/>
        <w:spacing w:before="1"/>
        <w:rPr>
          <w:rFonts w:ascii="Arial"/>
          <w:sz w:val="19"/>
        </w:rPr>
      </w:pPr>
      <w:r>
        <w:rPr>
          <w:noProof/>
          <w:lang w:val="en-AU" w:eastAsia="en-AU"/>
        </w:rPr>
        <mc:AlternateContent>
          <mc:Choice Requires="wps">
            <w:drawing>
              <wp:anchor distT="0" distB="0" distL="0" distR="0" simplePos="0" relativeHeight="251700224" behindDoc="1" locked="0" layoutInCell="1" allowOverlap="1">
                <wp:simplePos x="0" y="0"/>
                <wp:positionH relativeFrom="page">
                  <wp:posOffset>1080770</wp:posOffset>
                </wp:positionH>
                <wp:positionV relativeFrom="paragraph">
                  <wp:posOffset>170180</wp:posOffset>
                </wp:positionV>
                <wp:extent cx="1829435" cy="1270"/>
                <wp:effectExtent l="0" t="0" r="0" b="0"/>
                <wp:wrapTopAndBottom/>
                <wp:docPr id="364"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A0C83" id="Freeform 220" o:spid="_x0000_s1026" style="position:absolute;margin-left:85.1pt;margin-top:13.4pt;width:144.05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" path="m,l2880,e" filled="f" strokeweight=".84pt">
                <v:path arrowok="t" o:connecttype="custom" o:connectlocs="0,0;1828800,0" o:connectangles="0,0"/>
                <w10:wrap type="topAndBottom" anchorx="page"/>
              </v:shape>
            </w:pict>
          </mc:Fallback>
        </mc:AlternateContent>
      </w:r>
    </w:p>
    <w:p w:rsidR="007D76BB" w:rsidRDefault="00D70D28">
      <w:pPr>
        <w:spacing w:before="132" w:line="268" w:lineRule="auto"/>
        <w:ind w:left="594" w:right="778" w:hanging="113"/>
        <w:rPr>
          <w:rFonts w:ascii="Arial"/>
          <w:sz w:val="14"/>
        </w:rPr>
      </w:pPr>
      <w:r>
        <w:rPr>
          <w:rFonts w:ascii="Arial"/>
          <w:color w:val="5B6761"/>
          <w:position w:val="5"/>
          <w:sz w:val="8"/>
        </w:rPr>
        <w:t xml:space="preserve">16 </w:t>
      </w:r>
      <w:r>
        <w:rPr>
          <w:rFonts w:ascii="Arial"/>
          <w:color w:val="5B6761"/>
          <w:sz w:val="14"/>
        </w:rPr>
        <w:t>Impact on overseas entities not operating or seeking to operate in Australia are excluded from a regulatory costing. See Regulatory Burden Measurement Guidance Note, p.5.</w:t>
      </w:r>
    </w:p>
    <w:p w:rsidR="007D76BB" w:rsidRDefault="00D70D28">
      <w:pPr>
        <w:spacing w:before="59" w:line="268" w:lineRule="auto"/>
        <w:ind w:left="594" w:right="979" w:hanging="113"/>
        <w:rPr>
          <w:rFonts w:ascii="Arial"/>
          <w:sz w:val="14"/>
        </w:rPr>
      </w:pPr>
      <w:r>
        <w:rPr>
          <w:rFonts w:ascii="Arial"/>
          <w:color w:val="5B6761"/>
          <w:w w:val="105"/>
          <w:position w:val="5"/>
          <w:sz w:val="8"/>
        </w:rPr>
        <w:t>17</w:t>
      </w:r>
      <w:r>
        <w:rPr>
          <w:rFonts w:ascii="Arial"/>
          <w:color w:val="5B6761"/>
          <w:spacing w:val="-1"/>
          <w:w w:val="105"/>
          <w:position w:val="5"/>
          <w:sz w:val="8"/>
        </w:rPr>
        <w:t xml:space="preserve"> </w:t>
      </w:r>
      <w:r>
        <w:rPr>
          <w:rFonts w:ascii="Arial"/>
          <w:color w:val="5B6761"/>
          <w:w w:val="105"/>
          <w:sz w:val="14"/>
        </w:rPr>
        <w:t>While</w:t>
      </w:r>
      <w:r>
        <w:rPr>
          <w:rFonts w:ascii="Arial"/>
          <w:color w:val="5B6761"/>
          <w:spacing w:val="-18"/>
          <w:w w:val="105"/>
          <w:sz w:val="14"/>
        </w:rPr>
        <w:t xml:space="preserve"> </w:t>
      </w:r>
      <w:r>
        <w:rPr>
          <w:rFonts w:ascii="Arial"/>
          <w:color w:val="5B6761"/>
          <w:w w:val="105"/>
          <w:sz w:val="14"/>
        </w:rPr>
        <w:t>it</w:t>
      </w:r>
      <w:r>
        <w:rPr>
          <w:rFonts w:ascii="Arial"/>
          <w:color w:val="5B6761"/>
          <w:spacing w:val="-16"/>
          <w:w w:val="105"/>
          <w:sz w:val="14"/>
        </w:rPr>
        <w:t xml:space="preserve"> </w:t>
      </w:r>
      <w:r>
        <w:rPr>
          <w:rFonts w:ascii="Arial"/>
          <w:color w:val="5B6761"/>
          <w:w w:val="105"/>
          <w:sz w:val="14"/>
        </w:rPr>
        <w:t>is</w:t>
      </w:r>
      <w:r>
        <w:rPr>
          <w:rFonts w:ascii="Arial"/>
          <w:color w:val="5B6761"/>
          <w:spacing w:val="-18"/>
          <w:w w:val="105"/>
          <w:sz w:val="14"/>
        </w:rPr>
        <w:t xml:space="preserve"> </w:t>
      </w:r>
      <w:r>
        <w:rPr>
          <w:rFonts w:ascii="Arial"/>
          <w:color w:val="5B6761"/>
          <w:w w:val="105"/>
          <w:sz w:val="14"/>
        </w:rPr>
        <w:t>acknowledged</w:t>
      </w:r>
      <w:r>
        <w:rPr>
          <w:rFonts w:ascii="Arial"/>
          <w:color w:val="5B6761"/>
          <w:spacing w:val="-16"/>
          <w:w w:val="105"/>
          <w:sz w:val="14"/>
        </w:rPr>
        <w:t xml:space="preserve"> </w:t>
      </w:r>
      <w:r>
        <w:rPr>
          <w:rFonts w:ascii="Arial"/>
          <w:color w:val="5B6761"/>
          <w:w w:val="105"/>
          <w:sz w:val="14"/>
        </w:rPr>
        <w:t>that</w:t>
      </w:r>
      <w:r>
        <w:rPr>
          <w:rFonts w:ascii="Arial"/>
          <w:color w:val="5B6761"/>
          <w:spacing w:val="-17"/>
          <w:w w:val="105"/>
          <w:sz w:val="14"/>
        </w:rPr>
        <w:t xml:space="preserve"> </w:t>
      </w:r>
      <w:r>
        <w:rPr>
          <w:rFonts w:ascii="Arial"/>
          <w:color w:val="5B6761"/>
          <w:w w:val="105"/>
          <w:sz w:val="14"/>
        </w:rPr>
        <w:t>regulatory</w:t>
      </w:r>
      <w:r>
        <w:rPr>
          <w:rFonts w:ascii="Arial"/>
          <w:color w:val="5B6761"/>
          <w:spacing w:val="-17"/>
          <w:w w:val="105"/>
          <w:sz w:val="14"/>
        </w:rPr>
        <w:t xml:space="preserve"> </w:t>
      </w:r>
      <w:r>
        <w:rPr>
          <w:rFonts w:ascii="Arial"/>
          <w:color w:val="5B6761"/>
          <w:w w:val="105"/>
          <w:sz w:val="14"/>
        </w:rPr>
        <w:t>affairs</w:t>
      </w:r>
      <w:r>
        <w:rPr>
          <w:rFonts w:ascii="Arial"/>
          <w:color w:val="5B6761"/>
          <w:spacing w:val="-18"/>
          <w:w w:val="105"/>
          <w:sz w:val="14"/>
        </w:rPr>
        <w:t xml:space="preserve"> </w:t>
      </w:r>
      <w:r>
        <w:rPr>
          <w:rFonts w:ascii="Arial"/>
          <w:color w:val="5B6761"/>
          <w:w w:val="105"/>
          <w:sz w:val="14"/>
        </w:rPr>
        <w:t>consultants</w:t>
      </w:r>
      <w:r>
        <w:rPr>
          <w:rFonts w:ascii="Arial"/>
          <w:color w:val="5B6761"/>
          <w:spacing w:val="-17"/>
          <w:w w:val="105"/>
          <w:sz w:val="14"/>
        </w:rPr>
        <w:t xml:space="preserve"> </w:t>
      </w:r>
      <w:r>
        <w:rPr>
          <w:rFonts w:ascii="Arial"/>
          <w:color w:val="5B6761"/>
          <w:w w:val="105"/>
          <w:sz w:val="14"/>
        </w:rPr>
        <w:t>for</w:t>
      </w:r>
      <w:r>
        <w:rPr>
          <w:rFonts w:ascii="Arial"/>
          <w:color w:val="5B6761"/>
          <w:spacing w:val="-17"/>
          <w:w w:val="105"/>
          <w:sz w:val="14"/>
        </w:rPr>
        <w:t xml:space="preserve"> </w:t>
      </w:r>
      <w:r>
        <w:rPr>
          <w:rFonts w:ascii="Arial"/>
          <w:color w:val="5B6761"/>
          <w:w w:val="105"/>
          <w:sz w:val="14"/>
        </w:rPr>
        <w:t>both</w:t>
      </w:r>
      <w:r>
        <w:rPr>
          <w:rFonts w:ascii="Arial"/>
          <w:color w:val="5B6761"/>
          <w:spacing w:val="-16"/>
          <w:w w:val="105"/>
          <w:sz w:val="14"/>
        </w:rPr>
        <w:t xml:space="preserve"> </w:t>
      </w:r>
      <w:r>
        <w:rPr>
          <w:rFonts w:ascii="Arial"/>
          <w:color w:val="5B6761"/>
          <w:w w:val="105"/>
          <w:sz w:val="14"/>
        </w:rPr>
        <w:t>the</w:t>
      </w:r>
      <w:r>
        <w:rPr>
          <w:rFonts w:ascii="Arial"/>
          <w:color w:val="5B6761"/>
          <w:spacing w:val="-18"/>
          <w:w w:val="105"/>
          <w:sz w:val="14"/>
        </w:rPr>
        <w:t xml:space="preserve"> </w:t>
      </w:r>
      <w:r>
        <w:rPr>
          <w:rFonts w:ascii="Arial"/>
          <w:color w:val="5B6761"/>
          <w:w w:val="105"/>
          <w:sz w:val="14"/>
        </w:rPr>
        <w:t>food</w:t>
      </w:r>
      <w:r>
        <w:rPr>
          <w:rFonts w:ascii="Arial"/>
          <w:color w:val="5B6761"/>
          <w:spacing w:val="-17"/>
          <w:w w:val="105"/>
          <w:sz w:val="14"/>
        </w:rPr>
        <w:t xml:space="preserve"> </w:t>
      </w:r>
      <w:r>
        <w:rPr>
          <w:rFonts w:ascii="Arial"/>
          <w:color w:val="5B6761"/>
          <w:w w:val="105"/>
          <w:sz w:val="14"/>
        </w:rPr>
        <w:t>and</w:t>
      </w:r>
      <w:r>
        <w:rPr>
          <w:rFonts w:ascii="Arial"/>
          <w:color w:val="5B6761"/>
          <w:spacing w:val="-17"/>
          <w:w w:val="105"/>
          <w:sz w:val="14"/>
        </w:rPr>
        <w:t xml:space="preserve"> </w:t>
      </w:r>
      <w:r>
        <w:rPr>
          <w:rFonts w:ascii="Arial"/>
          <w:color w:val="5B6761"/>
          <w:w w:val="105"/>
          <w:sz w:val="14"/>
        </w:rPr>
        <w:t>therapeutic</w:t>
      </w:r>
      <w:r>
        <w:rPr>
          <w:rFonts w:ascii="Arial"/>
          <w:color w:val="5B6761"/>
          <w:spacing w:val="-17"/>
          <w:w w:val="105"/>
          <w:sz w:val="14"/>
        </w:rPr>
        <w:t xml:space="preserve"> </w:t>
      </w:r>
      <w:r>
        <w:rPr>
          <w:rFonts w:ascii="Arial"/>
          <w:color w:val="5B6761"/>
          <w:w w:val="105"/>
          <w:sz w:val="14"/>
        </w:rPr>
        <w:t>goods</w:t>
      </w:r>
      <w:r>
        <w:rPr>
          <w:rFonts w:ascii="Arial"/>
          <w:color w:val="5B6761"/>
          <w:spacing w:val="-17"/>
          <w:w w:val="105"/>
          <w:sz w:val="14"/>
        </w:rPr>
        <w:t xml:space="preserve"> </w:t>
      </w:r>
      <w:r>
        <w:rPr>
          <w:rFonts w:ascii="Arial"/>
          <w:color w:val="5B6761"/>
          <w:w w:val="105"/>
          <w:sz w:val="14"/>
        </w:rPr>
        <w:t>sectors</w:t>
      </w:r>
      <w:r>
        <w:rPr>
          <w:rFonts w:ascii="Arial"/>
          <w:color w:val="5B6761"/>
          <w:spacing w:val="-18"/>
          <w:w w:val="105"/>
          <w:sz w:val="14"/>
        </w:rPr>
        <w:t xml:space="preserve"> </w:t>
      </w:r>
      <w:r>
        <w:rPr>
          <w:rFonts w:ascii="Arial"/>
          <w:color w:val="5B6761"/>
          <w:w w:val="105"/>
          <w:sz w:val="14"/>
        </w:rPr>
        <w:t>will</w:t>
      </w:r>
      <w:r>
        <w:rPr>
          <w:rFonts w:ascii="Arial"/>
          <w:color w:val="5B6761"/>
          <w:spacing w:val="-17"/>
          <w:w w:val="105"/>
          <w:sz w:val="14"/>
        </w:rPr>
        <w:t xml:space="preserve"> </w:t>
      </w:r>
      <w:r>
        <w:rPr>
          <w:rFonts w:ascii="Arial"/>
          <w:color w:val="5B6761"/>
          <w:w w:val="105"/>
          <w:sz w:val="14"/>
        </w:rPr>
        <w:t>need</w:t>
      </w:r>
      <w:r>
        <w:rPr>
          <w:rFonts w:ascii="Arial"/>
          <w:color w:val="5B6761"/>
          <w:spacing w:val="-17"/>
          <w:w w:val="105"/>
          <w:sz w:val="14"/>
        </w:rPr>
        <w:t xml:space="preserve"> </w:t>
      </w:r>
      <w:r>
        <w:rPr>
          <w:rFonts w:ascii="Arial"/>
          <w:color w:val="5B6761"/>
          <w:w w:val="105"/>
          <w:sz w:val="14"/>
        </w:rPr>
        <w:t>to</w:t>
      </w:r>
      <w:r>
        <w:rPr>
          <w:rFonts w:ascii="Arial"/>
          <w:color w:val="5B6761"/>
          <w:spacing w:val="-18"/>
          <w:w w:val="105"/>
          <w:sz w:val="14"/>
        </w:rPr>
        <w:t xml:space="preserve"> </w:t>
      </w:r>
      <w:r>
        <w:rPr>
          <w:rFonts w:ascii="Arial"/>
          <w:color w:val="5B6761"/>
          <w:w w:val="105"/>
          <w:sz w:val="14"/>
        </w:rPr>
        <w:t>be</w:t>
      </w:r>
      <w:r>
        <w:rPr>
          <w:rFonts w:ascii="Arial"/>
          <w:color w:val="5B6761"/>
          <w:spacing w:val="-18"/>
          <w:w w:val="105"/>
          <w:sz w:val="14"/>
        </w:rPr>
        <w:t xml:space="preserve"> </w:t>
      </w:r>
      <w:r>
        <w:rPr>
          <w:rFonts w:ascii="Arial"/>
          <w:color w:val="5B6761"/>
          <w:w w:val="105"/>
          <w:sz w:val="14"/>
        </w:rPr>
        <w:t>aware</w:t>
      </w:r>
      <w:r>
        <w:rPr>
          <w:rFonts w:ascii="Arial"/>
          <w:color w:val="5B6761"/>
          <w:spacing w:val="-18"/>
          <w:w w:val="105"/>
          <w:sz w:val="14"/>
        </w:rPr>
        <w:t xml:space="preserve"> </w:t>
      </w:r>
      <w:r>
        <w:rPr>
          <w:rFonts w:ascii="Arial"/>
          <w:color w:val="5B6761"/>
          <w:w w:val="105"/>
          <w:sz w:val="14"/>
        </w:rPr>
        <w:t>of the</w:t>
      </w:r>
      <w:r>
        <w:rPr>
          <w:rFonts w:ascii="Arial"/>
          <w:color w:val="5B6761"/>
          <w:spacing w:val="-16"/>
          <w:w w:val="105"/>
          <w:sz w:val="14"/>
        </w:rPr>
        <w:t xml:space="preserve"> </w:t>
      </w:r>
      <w:r>
        <w:rPr>
          <w:rFonts w:ascii="Arial"/>
          <w:color w:val="5B6761"/>
          <w:w w:val="105"/>
          <w:sz w:val="14"/>
        </w:rPr>
        <w:t>proposed</w:t>
      </w:r>
      <w:r>
        <w:rPr>
          <w:rFonts w:ascii="Arial"/>
          <w:color w:val="5B6761"/>
          <w:spacing w:val="-15"/>
          <w:w w:val="105"/>
          <w:sz w:val="14"/>
        </w:rPr>
        <w:t xml:space="preserve"> </w:t>
      </w:r>
      <w:r>
        <w:rPr>
          <w:rFonts w:ascii="Arial"/>
          <w:color w:val="5B6761"/>
          <w:w w:val="105"/>
          <w:sz w:val="14"/>
        </w:rPr>
        <w:t>regulatory</w:t>
      </w:r>
      <w:r>
        <w:rPr>
          <w:rFonts w:ascii="Arial"/>
          <w:color w:val="5B6761"/>
          <w:spacing w:val="-15"/>
          <w:w w:val="105"/>
          <w:sz w:val="14"/>
        </w:rPr>
        <w:t xml:space="preserve"> </w:t>
      </w:r>
      <w:r>
        <w:rPr>
          <w:rFonts w:ascii="Arial"/>
          <w:color w:val="5B6761"/>
          <w:w w:val="105"/>
          <w:sz w:val="14"/>
        </w:rPr>
        <w:t>clarification,</w:t>
      </w:r>
      <w:r>
        <w:rPr>
          <w:rFonts w:ascii="Arial"/>
          <w:color w:val="5B6761"/>
          <w:spacing w:val="-15"/>
          <w:w w:val="105"/>
          <w:sz w:val="14"/>
        </w:rPr>
        <w:t xml:space="preserve"> </w:t>
      </w:r>
      <w:r>
        <w:rPr>
          <w:rFonts w:ascii="Arial"/>
          <w:color w:val="5B6761"/>
          <w:w w:val="105"/>
          <w:sz w:val="14"/>
        </w:rPr>
        <w:t>their</w:t>
      </w:r>
      <w:r>
        <w:rPr>
          <w:rFonts w:ascii="Arial"/>
          <w:color w:val="5B6761"/>
          <w:spacing w:val="-15"/>
          <w:w w:val="105"/>
          <w:sz w:val="14"/>
        </w:rPr>
        <w:t xml:space="preserve"> </w:t>
      </w:r>
      <w:r>
        <w:rPr>
          <w:rFonts w:ascii="Arial"/>
          <w:color w:val="5B6761"/>
          <w:w w:val="105"/>
          <w:sz w:val="14"/>
        </w:rPr>
        <w:t>key</w:t>
      </w:r>
      <w:r>
        <w:rPr>
          <w:rFonts w:ascii="Arial"/>
          <w:color w:val="5B6761"/>
          <w:spacing w:val="-15"/>
          <w:w w:val="105"/>
          <w:sz w:val="14"/>
        </w:rPr>
        <w:t xml:space="preserve"> </w:t>
      </w:r>
      <w:r>
        <w:rPr>
          <w:rFonts w:ascii="Arial"/>
          <w:color w:val="5B6761"/>
          <w:w w:val="105"/>
          <w:sz w:val="14"/>
        </w:rPr>
        <w:t>value</w:t>
      </w:r>
      <w:r>
        <w:rPr>
          <w:rFonts w:ascii="Arial"/>
          <w:color w:val="5B6761"/>
          <w:spacing w:val="-16"/>
          <w:w w:val="105"/>
          <w:sz w:val="14"/>
        </w:rPr>
        <w:t xml:space="preserve"> </w:t>
      </w:r>
      <w:r>
        <w:rPr>
          <w:rFonts w:ascii="Arial"/>
          <w:color w:val="5B6761"/>
          <w:w w:val="105"/>
          <w:sz w:val="14"/>
        </w:rPr>
        <w:t>proposition</w:t>
      </w:r>
      <w:r>
        <w:rPr>
          <w:rFonts w:ascii="Arial"/>
          <w:color w:val="5B6761"/>
          <w:spacing w:val="-14"/>
          <w:w w:val="105"/>
          <w:sz w:val="14"/>
        </w:rPr>
        <w:t xml:space="preserve"> </w:t>
      </w:r>
      <w:r>
        <w:rPr>
          <w:rFonts w:ascii="Arial"/>
          <w:color w:val="5B6761"/>
          <w:w w:val="105"/>
          <w:sz w:val="14"/>
        </w:rPr>
        <w:t>is</w:t>
      </w:r>
      <w:r>
        <w:rPr>
          <w:rFonts w:ascii="Arial"/>
          <w:color w:val="5B6761"/>
          <w:spacing w:val="-15"/>
          <w:w w:val="105"/>
          <w:sz w:val="14"/>
        </w:rPr>
        <w:t xml:space="preserve"> </w:t>
      </w:r>
      <w:r>
        <w:rPr>
          <w:rFonts w:ascii="Arial"/>
          <w:color w:val="5B6761"/>
          <w:w w:val="105"/>
          <w:sz w:val="14"/>
        </w:rPr>
        <w:t>their</w:t>
      </w:r>
      <w:r>
        <w:rPr>
          <w:rFonts w:ascii="Arial"/>
          <w:color w:val="5B6761"/>
          <w:spacing w:val="-15"/>
          <w:w w:val="105"/>
          <w:sz w:val="14"/>
        </w:rPr>
        <w:t xml:space="preserve"> </w:t>
      </w:r>
      <w:r>
        <w:rPr>
          <w:rFonts w:ascii="Arial"/>
          <w:color w:val="5B6761"/>
          <w:w w:val="105"/>
          <w:sz w:val="14"/>
        </w:rPr>
        <w:t>currency</w:t>
      </w:r>
      <w:r>
        <w:rPr>
          <w:rFonts w:ascii="Arial"/>
          <w:color w:val="5B6761"/>
          <w:spacing w:val="-15"/>
          <w:w w:val="105"/>
          <w:sz w:val="14"/>
        </w:rPr>
        <w:t xml:space="preserve"> </w:t>
      </w:r>
      <w:r>
        <w:rPr>
          <w:rFonts w:ascii="Arial"/>
          <w:color w:val="5B6761"/>
          <w:w w:val="105"/>
          <w:sz w:val="14"/>
        </w:rPr>
        <w:t>with</w:t>
      </w:r>
      <w:r>
        <w:rPr>
          <w:rFonts w:ascii="Arial"/>
          <w:color w:val="5B6761"/>
          <w:spacing w:val="-16"/>
          <w:w w:val="105"/>
          <w:sz w:val="14"/>
        </w:rPr>
        <w:t xml:space="preserve"> </w:t>
      </w:r>
      <w:r>
        <w:rPr>
          <w:rFonts w:ascii="Arial"/>
          <w:color w:val="5B6761"/>
          <w:w w:val="105"/>
          <w:sz w:val="14"/>
        </w:rPr>
        <w:t>the</w:t>
      </w:r>
      <w:r>
        <w:rPr>
          <w:rFonts w:ascii="Arial"/>
          <w:color w:val="5B6761"/>
          <w:spacing w:val="-16"/>
          <w:w w:val="105"/>
          <w:sz w:val="14"/>
        </w:rPr>
        <w:t xml:space="preserve"> </w:t>
      </w:r>
      <w:r>
        <w:rPr>
          <w:rFonts w:ascii="Arial"/>
          <w:color w:val="5B6761"/>
          <w:w w:val="105"/>
          <w:sz w:val="14"/>
        </w:rPr>
        <w:t>respective</w:t>
      </w:r>
      <w:r>
        <w:rPr>
          <w:rFonts w:ascii="Arial"/>
          <w:color w:val="5B6761"/>
          <w:spacing w:val="-16"/>
          <w:w w:val="105"/>
          <w:sz w:val="14"/>
        </w:rPr>
        <w:t xml:space="preserve"> </w:t>
      </w:r>
      <w:r>
        <w:rPr>
          <w:rFonts w:ascii="Arial"/>
          <w:color w:val="5B6761"/>
          <w:w w:val="105"/>
          <w:sz w:val="14"/>
        </w:rPr>
        <w:t>regulatory</w:t>
      </w:r>
      <w:r>
        <w:rPr>
          <w:rFonts w:ascii="Arial"/>
          <w:color w:val="5B6761"/>
          <w:spacing w:val="-15"/>
          <w:w w:val="105"/>
          <w:sz w:val="14"/>
        </w:rPr>
        <w:t xml:space="preserve"> </w:t>
      </w:r>
      <w:r>
        <w:rPr>
          <w:rFonts w:ascii="Arial"/>
          <w:color w:val="5B6761"/>
          <w:w w:val="105"/>
          <w:sz w:val="14"/>
        </w:rPr>
        <w:t>frameworks</w:t>
      </w:r>
      <w:r>
        <w:rPr>
          <w:rFonts w:ascii="Arial"/>
          <w:color w:val="5B6761"/>
          <w:spacing w:val="-16"/>
          <w:w w:val="105"/>
          <w:sz w:val="14"/>
        </w:rPr>
        <w:t xml:space="preserve"> </w:t>
      </w:r>
      <w:r>
        <w:rPr>
          <w:rFonts w:ascii="Arial"/>
          <w:color w:val="5B6761"/>
          <w:w w:val="105"/>
          <w:sz w:val="14"/>
        </w:rPr>
        <w:t>which are</w:t>
      </w:r>
      <w:r>
        <w:rPr>
          <w:rFonts w:ascii="Arial"/>
          <w:color w:val="5B6761"/>
          <w:spacing w:val="-19"/>
          <w:w w:val="105"/>
          <w:sz w:val="14"/>
        </w:rPr>
        <w:t xml:space="preserve"> </w:t>
      </w:r>
      <w:r>
        <w:rPr>
          <w:rFonts w:ascii="Arial"/>
          <w:color w:val="5B6761"/>
          <w:w w:val="105"/>
          <w:sz w:val="14"/>
        </w:rPr>
        <w:t>frequently</w:t>
      </w:r>
      <w:r>
        <w:rPr>
          <w:rFonts w:ascii="Arial"/>
          <w:color w:val="5B6761"/>
          <w:spacing w:val="-17"/>
          <w:w w:val="105"/>
          <w:sz w:val="14"/>
        </w:rPr>
        <w:t xml:space="preserve"> </w:t>
      </w:r>
      <w:r>
        <w:rPr>
          <w:rFonts w:ascii="Arial"/>
          <w:color w:val="5B6761"/>
          <w:w w:val="105"/>
          <w:sz w:val="14"/>
        </w:rPr>
        <w:t>changed,</w:t>
      </w:r>
      <w:r>
        <w:rPr>
          <w:rFonts w:ascii="Arial"/>
          <w:color w:val="5B6761"/>
          <w:spacing w:val="-17"/>
          <w:w w:val="105"/>
          <w:sz w:val="14"/>
        </w:rPr>
        <w:t xml:space="preserve"> </w:t>
      </w:r>
      <w:r>
        <w:rPr>
          <w:rFonts w:ascii="Arial"/>
          <w:color w:val="5B6761"/>
          <w:w w:val="105"/>
          <w:sz w:val="14"/>
        </w:rPr>
        <w:t>and</w:t>
      </w:r>
      <w:r>
        <w:rPr>
          <w:rFonts w:ascii="Arial"/>
          <w:color w:val="5B6761"/>
          <w:spacing w:val="-17"/>
          <w:w w:val="105"/>
          <w:sz w:val="14"/>
        </w:rPr>
        <w:t xml:space="preserve"> </w:t>
      </w:r>
      <w:r>
        <w:rPr>
          <w:rFonts w:ascii="Arial"/>
          <w:color w:val="5B6761"/>
          <w:w w:val="105"/>
          <w:sz w:val="14"/>
        </w:rPr>
        <w:t>hence</w:t>
      </w:r>
      <w:r>
        <w:rPr>
          <w:rFonts w:ascii="Arial"/>
          <w:color w:val="5B6761"/>
          <w:spacing w:val="-18"/>
          <w:w w:val="105"/>
          <w:sz w:val="14"/>
        </w:rPr>
        <w:t xml:space="preserve"> </w:t>
      </w:r>
      <w:r>
        <w:rPr>
          <w:rFonts w:ascii="Arial"/>
          <w:color w:val="5B6761"/>
          <w:w w:val="105"/>
          <w:sz w:val="14"/>
        </w:rPr>
        <w:t>it</w:t>
      </w:r>
      <w:r>
        <w:rPr>
          <w:rFonts w:ascii="Arial"/>
          <w:color w:val="5B6761"/>
          <w:spacing w:val="-17"/>
          <w:w w:val="105"/>
          <w:sz w:val="14"/>
        </w:rPr>
        <w:t xml:space="preserve"> </w:t>
      </w:r>
      <w:r>
        <w:rPr>
          <w:rFonts w:ascii="Arial"/>
          <w:color w:val="5B6761"/>
          <w:w w:val="105"/>
          <w:sz w:val="14"/>
        </w:rPr>
        <w:t>is</w:t>
      </w:r>
      <w:r>
        <w:rPr>
          <w:rFonts w:ascii="Arial"/>
          <w:color w:val="5B6761"/>
          <w:spacing w:val="-19"/>
          <w:w w:val="105"/>
          <w:sz w:val="14"/>
        </w:rPr>
        <w:t xml:space="preserve"> </w:t>
      </w:r>
      <w:r>
        <w:rPr>
          <w:rFonts w:ascii="Arial"/>
          <w:color w:val="5B6761"/>
          <w:w w:val="105"/>
          <w:sz w:val="14"/>
        </w:rPr>
        <w:t>expected</w:t>
      </w:r>
      <w:r>
        <w:rPr>
          <w:rFonts w:ascii="Arial"/>
          <w:color w:val="5B6761"/>
          <w:spacing w:val="-17"/>
          <w:w w:val="105"/>
          <w:sz w:val="14"/>
        </w:rPr>
        <w:t xml:space="preserve"> </w:t>
      </w:r>
      <w:r>
        <w:rPr>
          <w:rFonts w:ascii="Arial"/>
          <w:color w:val="5B6761"/>
          <w:w w:val="105"/>
          <w:sz w:val="14"/>
        </w:rPr>
        <w:t>that</w:t>
      </w:r>
      <w:r>
        <w:rPr>
          <w:rFonts w:ascii="Arial"/>
          <w:color w:val="5B6761"/>
          <w:spacing w:val="-17"/>
          <w:w w:val="105"/>
          <w:sz w:val="14"/>
        </w:rPr>
        <w:t xml:space="preserve"> </w:t>
      </w:r>
      <w:r>
        <w:rPr>
          <w:rFonts w:ascii="Arial"/>
          <w:color w:val="5B6761"/>
          <w:w w:val="105"/>
          <w:sz w:val="14"/>
        </w:rPr>
        <w:t>they</w:t>
      </w:r>
      <w:r>
        <w:rPr>
          <w:rFonts w:ascii="Arial"/>
          <w:color w:val="5B6761"/>
          <w:spacing w:val="-17"/>
          <w:w w:val="105"/>
          <w:sz w:val="14"/>
        </w:rPr>
        <w:t xml:space="preserve"> </w:t>
      </w:r>
      <w:r>
        <w:rPr>
          <w:rFonts w:ascii="Arial"/>
          <w:color w:val="5B6761"/>
          <w:w w:val="105"/>
          <w:sz w:val="14"/>
        </w:rPr>
        <w:t>would</w:t>
      </w:r>
      <w:r>
        <w:rPr>
          <w:rFonts w:ascii="Arial"/>
          <w:color w:val="5B6761"/>
          <w:spacing w:val="-17"/>
          <w:w w:val="105"/>
          <w:sz w:val="14"/>
        </w:rPr>
        <w:t xml:space="preserve"> </w:t>
      </w:r>
      <w:r>
        <w:rPr>
          <w:rFonts w:ascii="Arial"/>
          <w:color w:val="5B6761"/>
          <w:w w:val="105"/>
          <w:sz w:val="14"/>
        </w:rPr>
        <w:t>be</w:t>
      </w:r>
      <w:r>
        <w:rPr>
          <w:rFonts w:ascii="Arial"/>
          <w:color w:val="5B6761"/>
          <w:spacing w:val="-18"/>
          <w:w w:val="105"/>
          <w:sz w:val="14"/>
        </w:rPr>
        <w:t xml:space="preserve"> </w:t>
      </w:r>
      <w:r>
        <w:rPr>
          <w:rFonts w:ascii="Arial"/>
          <w:color w:val="5B6761"/>
          <w:w w:val="105"/>
          <w:sz w:val="14"/>
        </w:rPr>
        <w:t>regularly</w:t>
      </w:r>
      <w:r>
        <w:rPr>
          <w:rFonts w:ascii="Arial"/>
          <w:color w:val="5B6761"/>
          <w:spacing w:val="-18"/>
          <w:w w:val="105"/>
          <w:sz w:val="14"/>
        </w:rPr>
        <w:t xml:space="preserve"> </w:t>
      </w:r>
      <w:r>
        <w:rPr>
          <w:rFonts w:ascii="Arial"/>
          <w:color w:val="5B6761"/>
          <w:w w:val="105"/>
          <w:sz w:val="14"/>
        </w:rPr>
        <w:t>reviewing</w:t>
      </w:r>
      <w:r>
        <w:rPr>
          <w:rFonts w:ascii="Arial"/>
          <w:color w:val="5B6761"/>
          <w:spacing w:val="-17"/>
          <w:w w:val="105"/>
          <w:sz w:val="14"/>
        </w:rPr>
        <w:t xml:space="preserve"> </w:t>
      </w:r>
      <w:r>
        <w:rPr>
          <w:rFonts w:ascii="Arial"/>
          <w:color w:val="5B6761"/>
          <w:w w:val="105"/>
          <w:sz w:val="14"/>
        </w:rPr>
        <w:t>changes</w:t>
      </w:r>
      <w:r>
        <w:rPr>
          <w:rFonts w:ascii="Arial"/>
          <w:color w:val="5B6761"/>
          <w:spacing w:val="-17"/>
          <w:w w:val="105"/>
          <w:sz w:val="14"/>
        </w:rPr>
        <w:t xml:space="preserve"> </w:t>
      </w:r>
      <w:r>
        <w:rPr>
          <w:rFonts w:ascii="Arial"/>
          <w:color w:val="5B6761"/>
          <w:w w:val="105"/>
          <w:sz w:val="14"/>
        </w:rPr>
        <w:t>(and</w:t>
      </w:r>
      <w:r>
        <w:rPr>
          <w:rFonts w:ascii="Arial"/>
          <w:color w:val="5B6761"/>
          <w:spacing w:val="-17"/>
          <w:w w:val="105"/>
          <w:sz w:val="14"/>
        </w:rPr>
        <w:t xml:space="preserve"> </w:t>
      </w:r>
      <w:r>
        <w:rPr>
          <w:rFonts w:ascii="Arial"/>
          <w:color w:val="5B6761"/>
          <w:w w:val="105"/>
          <w:sz w:val="14"/>
        </w:rPr>
        <w:t>proposed</w:t>
      </w:r>
      <w:r>
        <w:rPr>
          <w:rFonts w:ascii="Arial"/>
          <w:color w:val="5B6761"/>
          <w:spacing w:val="-17"/>
          <w:w w:val="105"/>
          <w:sz w:val="14"/>
        </w:rPr>
        <w:t xml:space="preserve"> </w:t>
      </w:r>
      <w:r>
        <w:rPr>
          <w:rFonts w:ascii="Arial"/>
          <w:color w:val="5B6761"/>
          <w:w w:val="105"/>
          <w:sz w:val="14"/>
        </w:rPr>
        <w:t>changes)</w:t>
      </w:r>
      <w:r>
        <w:rPr>
          <w:rFonts w:ascii="Arial"/>
          <w:color w:val="5B6761"/>
          <w:spacing w:val="-17"/>
          <w:w w:val="105"/>
          <w:sz w:val="14"/>
        </w:rPr>
        <w:t xml:space="preserve"> </w:t>
      </w:r>
      <w:r>
        <w:rPr>
          <w:rFonts w:ascii="Arial"/>
          <w:color w:val="5B6761"/>
          <w:w w:val="105"/>
          <w:sz w:val="14"/>
        </w:rPr>
        <w:t>to</w:t>
      </w:r>
      <w:r>
        <w:rPr>
          <w:rFonts w:ascii="Arial"/>
          <w:color w:val="5B6761"/>
          <w:spacing w:val="-18"/>
          <w:w w:val="105"/>
          <w:sz w:val="14"/>
        </w:rPr>
        <w:t xml:space="preserve"> </w:t>
      </w:r>
      <w:r>
        <w:rPr>
          <w:rFonts w:ascii="Arial"/>
          <w:color w:val="5B6761"/>
          <w:w w:val="105"/>
          <w:sz w:val="14"/>
        </w:rPr>
        <w:t>the regulatory</w:t>
      </w:r>
      <w:r>
        <w:rPr>
          <w:rFonts w:ascii="Arial"/>
          <w:color w:val="5B6761"/>
          <w:spacing w:val="-21"/>
          <w:w w:val="105"/>
          <w:sz w:val="14"/>
        </w:rPr>
        <w:t xml:space="preserve"> </w:t>
      </w:r>
      <w:r>
        <w:rPr>
          <w:rFonts w:ascii="Arial"/>
          <w:color w:val="5B6761"/>
          <w:w w:val="105"/>
          <w:sz w:val="14"/>
        </w:rPr>
        <w:t>frameworks.</w:t>
      </w:r>
      <w:r>
        <w:rPr>
          <w:rFonts w:ascii="Arial"/>
          <w:color w:val="5B6761"/>
          <w:spacing w:val="-21"/>
          <w:w w:val="105"/>
          <w:sz w:val="14"/>
        </w:rPr>
        <w:t xml:space="preserve"> </w:t>
      </w:r>
      <w:r>
        <w:rPr>
          <w:rFonts w:ascii="Arial"/>
          <w:color w:val="5B6761"/>
          <w:w w:val="105"/>
          <w:sz w:val="14"/>
        </w:rPr>
        <w:t>Therefore,</w:t>
      </w:r>
      <w:r>
        <w:rPr>
          <w:rFonts w:ascii="Arial"/>
          <w:color w:val="5B6761"/>
          <w:spacing w:val="-20"/>
          <w:w w:val="105"/>
          <w:sz w:val="14"/>
        </w:rPr>
        <w:t xml:space="preserve"> </w:t>
      </w:r>
      <w:r>
        <w:rPr>
          <w:rFonts w:ascii="Arial"/>
          <w:color w:val="5B6761"/>
          <w:w w:val="105"/>
          <w:sz w:val="14"/>
        </w:rPr>
        <w:t>it</w:t>
      </w:r>
      <w:r>
        <w:rPr>
          <w:rFonts w:ascii="Arial"/>
          <w:color w:val="5B6761"/>
          <w:spacing w:val="-20"/>
          <w:w w:val="105"/>
          <w:sz w:val="14"/>
        </w:rPr>
        <w:t xml:space="preserve"> </w:t>
      </w:r>
      <w:r>
        <w:rPr>
          <w:rFonts w:ascii="Arial"/>
          <w:color w:val="5B6761"/>
          <w:w w:val="105"/>
          <w:sz w:val="14"/>
        </w:rPr>
        <w:t>is</w:t>
      </w:r>
      <w:r>
        <w:rPr>
          <w:rFonts w:ascii="Arial"/>
          <w:color w:val="5B6761"/>
          <w:spacing w:val="-21"/>
          <w:w w:val="105"/>
          <w:sz w:val="14"/>
        </w:rPr>
        <w:t xml:space="preserve"> </w:t>
      </w:r>
      <w:r>
        <w:rPr>
          <w:rFonts w:ascii="Arial"/>
          <w:color w:val="5B6761"/>
          <w:w w:val="105"/>
          <w:sz w:val="14"/>
        </w:rPr>
        <w:t>considered</w:t>
      </w:r>
      <w:r>
        <w:rPr>
          <w:rFonts w:ascii="Arial"/>
          <w:color w:val="5B6761"/>
          <w:spacing w:val="-20"/>
          <w:w w:val="105"/>
          <w:sz w:val="14"/>
        </w:rPr>
        <w:t xml:space="preserve"> </w:t>
      </w:r>
      <w:r>
        <w:rPr>
          <w:rFonts w:ascii="Arial"/>
          <w:color w:val="5B6761"/>
          <w:w w:val="105"/>
          <w:sz w:val="14"/>
        </w:rPr>
        <w:t>a</w:t>
      </w:r>
      <w:r>
        <w:rPr>
          <w:rFonts w:ascii="Arial"/>
          <w:color w:val="5B6761"/>
          <w:spacing w:val="-20"/>
          <w:w w:val="105"/>
          <w:sz w:val="14"/>
        </w:rPr>
        <w:t xml:space="preserve"> </w:t>
      </w:r>
      <w:r>
        <w:rPr>
          <w:rFonts w:ascii="Arial"/>
          <w:color w:val="5B6761"/>
          <w:w w:val="105"/>
          <w:sz w:val="14"/>
        </w:rPr>
        <w:t>non-material</w:t>
      </w:r>
      <w:r>
        <w:rPr>
          <w:rFonts w:ascii="Arial"/>
          <w:color w:val="5B6761"/>
          <w:spacing w:val="-21"/>
          <w:w w:val="105"/>
          <w:sz w:val="14"/>
        </w:rPr>
        <w:t xml:space="preserve"> </w:t>
      </w:r>
      <w:r>
        <w:rPr>
          <w:rFonts w:ascii="Arial"/>
          <w:color w:val="5B6761"/>
          <w:w w:val="105"/>
          <w:sz w:val="14"/>
        </w:rPr>
        <w:t>increase</w:t>
      </w:r>
      <w:r>
        <w:rPr>
          <w:rFonts w:ascii="Arial"/>
          <w:color w:val="5B6761"/>
          <w:spacing w:val="-21"/>
          <w:w w:val="105"/>
          <w:sz w:val="14"/>
        </w:rPr>
        <w:t xml:space="preserve"> </w:t>
      </w:r>
      <w:r>
        <w:rPr>
          <w:rFonts w:ascii="Arial"/>
          <w:color w:val="5B6761"/>
          <w:w w:val="105"/>
          <w:sz w:val="14"/>
        </w:rPr>
        <w:t>in</w:t>
      </w:r>
      <w:r>
        <w:rPr>
          <w:rFonts w:ascii="Arial"/>
          <w:color w:val="5B6761"/>
          <w:spacing w:val="-20"/>
          <w:w w:val="105"/>
          <w:sz w:val="14"/>
        </w:rPr>
        <w:t xml:space="preserve"> </w:t>
      </w:r>
      <w:r>
        <w:rPr>
          <w:rFonts w:ascii="Arial"/>
          <w:color w:val="5B6761"/>
          <w:w w:val="105"/>
          <w:sz w:val="14"/>
        </w:rPr>
        <w:t>regulatory</w:t>
      </w:r>
      <w:r>
        <w:rPr>
          <w:rFonts w:ascii="Arial"/>
          <w:color w:val="5B6761"/>
          <w:spacing w:val="-21"/>
          <w:w w:val="105"/>
          <w:sz w:val="14"/>
        </w:rPr>
        <w:t xml:space="preserve"> </w:t>
      </w:r>
      <w:r>
        <w:rPr>
          <w:rFonts w:ascii="Arial"/>
          <w:color w:val="5B6761"/>
          <w:w w:val="105"/>
          <w:sz w:val="14"/>
        </w:rPr>
        <w:t>burden</w:t>
      </w:r>
      <w:r>
        <w:rPr>
          <w:rFonts w:ascii="Arial"/>
          <w:color w:val="5B6761"/>
          <w:spacing w:val="-20"/>
          <w:w w:val="105"/>
          <w:sz w:val="14"/>
        </w:rPr>
        <w:t xml:space="preserve"> </w:t>
      </w:r>
      <w:r>
        <w:rPr>
          <w:rFonts w:ascii="Arial"/>
          <w:color w:val="5B6761"/>
          <w:w w:val="105"/>
          <w:sz w:val="14"/>
        </w:rPr>
        <w:t>from</w:t>
      </w:r>
      <w:r>
        <w:rPr>
          <w:rFonts w:ascii="Arial"/>
          <w:color w:val="5B6761"/>
          <w:spacing w:val="-20"/>
          <w:w w:val="105"/>
          <w:sz w:val="14"/>
        </w:rPr>
        <w:t xml:space="preserve"> </w:t>
      </w:r>
      <w:r>
        <w:rPr>
          <w:rFonts w:ascii="Arial"/>
          <w:color w:val="5B6761"/>
          <w:w w:val="105"/>
          <w:sz w:val="14"/>
        </w:rPr>
        <w:t>an</w:t>
      </w:r>
      <w:r>
        <w:rPr>
          <w:rFonts w:ascii="Arial"/>
          <w:color w:val="5B6761"/>
          <w:spacing w:val="-22"/>
          <w:w w:val="105"/>
          <w:sz w:val="14"/>
        </w:rPr>
        <w:t xml:space="preserve"> </w:t>
      </w:r>
      <w:r>
        <w:rPr>
          <w:rFonts w:ascii="Arial"/>
          <w:color w:val="5B6761"/>
          <w:w w:val="105"/>
          <w:sz w:val="14"/>
        </w:rPr>
        <w:t>awareness</w:t>
      </w:r>
      <w:r>
        <w:rPr>
          <w:rFonts w:ascii="Arial"/>
          <w:color w:val="5B6761"/>
          <w:spacing w:val="-21"/>
          <w:w w:val="105"/>
          <w:sz w:val="14"/>
        </w:rPr>
        <w:t xml:space="preserve"> </w:t>
      </w:r>
      <w:r>
        <w:rPr>
          <w:rFonts w:ascii="Arial"/>
          <w:color w:val="5B6761"/>
          <w:w w:val="105"/>
          <w:sz w:val="14"/>
        </w:rPr>
        <w:t>perspective</w:t>
      </w:r>
      <w:r>
        <w:rPr>
          <w:rFonts w:ascii="Arial"/>
          <w:color w:val="5B6761"/>
          <w:spacing w:val="-21"/>
          <w:w w:val="105"/>
          <w:sz w:val="14"/>
        </w:rPr>
        <w:t xml:space="preserve"> </w:t>
      </w:r>
      <w:r>
        <w:rPr>
          <w:rFonts w:ascii="Arial"/>
          <w:color w:val="5B6761"/>
          <w:w w:val="105"/>
          <w:sz w:val="14"/>
        </w:rPr>
        <w:t>for regulatory affairs</w:t>
      </w:r>
      <w:r>
        <w:rPr>
          <w:rFonts w:ascii="Arial"/>
          <w:color w:val="5B6761"/>
          <w:spacing w:val="-17"/>
          <w:w w:val="105"/>
          <w:sz w:val="14"/>
        </w:rPr>
        <w:t xml:space="preserve"> </w:t>
      </w:r>
      <w:r>
        <w:rPr>
          <w:rFonts w:ascii="Arial"/>
          <w:color w:val="5B6761"/>
          <w:w w:val="105"/>
          <w:sz w:val="14"/>
        </w:rPr>
        <w:t>consultants.</w:t>
      </w:r>
    </w:p>
    <w:p w:rsidR="007D76BB" w:rsidRDefault="00D70D28">
      <w:pPr>
        <w:spacing w:before="58" w:line="268" w:lineRule="auto"/>
        <w:ind w:left="594" w:right="1130" w:hanging="113"/>
        <w:rPr>
          <w:rFonts w:ascii="Arial"/>
          <w:sz w:val="14"/>
        </w:rPr>
      </w:pPr>
      <w:r>
        <w:rPr>
          <w:rFonts w:ascii="Arial"/>
          <w:color w:val="5B6761"/>
          <w:w w:val="105"/>
          <w:position w:val="5"/>
          <w:sz w:val="8"/>
        </w:rPr>
        <w:t>18</w:t>
      </w:r>
      <w:r>
        <w:rPr>
          <w:rFonts w:ascii="Arial"/>
          <w:color w:val="5B6761"/>
          <w:spacing w:val="-5"/>
          <w:w w:val="105"/>
          <w:position w:val="5"/>
          <w:sz w:val="8"/>
        </w:rPr>
        <w:t xml:space="preserve"> </w:t>
      </w:r>
      <w:r>
        <w:rPr>
          <w:rFonts w:ascii="Arial"/>
          <w:color w:val="5B6761"/>
          <w:w w:val="105"/>
          <w:sz w:val="14"/>
        </w:rPr>
        <w:t>At</w:t>
      </w:r>
      <w:r>
        <w:rPr>
          <w:rFonts w:ascii="Arial"/>
          <w:color w:val="5B6761"/>
          <w:spacing w:val="-22"/>
          <w:w w:val="105"/>
          <w:sz w:val="14"/>
        </w:rPr>
        <w:t xml:space="preserve"> </w:t>
      </w:r>
      <w:r>
        <w:rPr>
          <w:rFonts w:ascii="Arial"/>
          <w:color w:val="5B6761"/>
          <w:w w:val="105"/>
          <w:sz w:val="14"/>
        </w:rPr>
        <w:t>the</w:t>
      </w:r>
      <w:r>
        <w:rPr>
          <w:rFonts w:ascii="Arial"/>
          <w:color w:val="5B6761"/>
          <w:spacing w:val="-23"/>
          <w:w w:val="105"/>
          <w:sz w:val="14"/>
        </w:rPr>
        <w:t xml:space="preserve"> </w:t>
      </w:r>
      <w:r>
        <w:rPr>
          <w:rFonts w:ascii="Arial"/>
          <w:color w:val="5B6761"/>
          <w:w w:val="105"/>
          <w:sz w:val="14"/>
        </w:rPr>
        <w:t>Commonwealth</w:t>
      </w:r>
      <w:r>
        <w:rPr>
          <w:rFonts w:ascii="Arial"/>
          <w:color w:val="5B6761"/>
          <w:spacing w:val="-21"/>
          <w:w w:val="105"/>
          <w:sz w:val="14"/>
        </w:rPr>
        <w:t xml:space="preserve"> </w:t>
      </w:r>
      <w:r>
        <w:rPr>
          <w:rFonts w:ascii="Arial"/>
          <w:color w:val="5B6761"/>
          <w:w w:val="105"/>
          <w:sz w:val="14"/>
        </w:rPr>
        <w:t>Level,</w:t>
      </w:r>
      <w:r>
        <w:rPr>
          <w:rFonts w:ascii="Arial"/>
          <w:color w:val="5B6761"/>
          <w:spacing w:val="-22"/>
          <w:w w:val="105"/>
          <w:sz w:val="14"/>
        </w:rPr>
        <w:t xml:space="preserve"> </w:t>
      </w:r>
      <w:r>
        <w:rPr>
          <w:rFonts w:ascii="Arial"/>
          <w:color w:val="5B6761"/>
          <w:w w:val="105"/>
          <w:sz w:val="14"/>
        </w:rPr>
        <w:t>the</w:t>
      </w:r>
      <w:r>
        <w:rPr>
          <w:rFonts w:ascii="Arial"/>
          <w:color w:val="5B6761"/>
          <w:spacing w:val="-23"/>
          <w:w w:val="105"/>
          <w:sz w:val="14"/>
        </w:rPr>
        <w:t xml:space="preserve"> </w:t>
      </w:r>
      <w:r>
        <w:rPr>
          <w:rFonts w:ascii="Arial"/>
          <w:color w:val="5B6761"/>
          <w:w w:val="105"/>
          <w:sz w:val="14"/>
        </w:rPr>
        <w:t>Commonwealth</w:t>
      </w:r>
      <w:r>
        <w:rPr>
          <w:rFonts w:ascii="Arial"/>
          <w:color w:val="5B6761"/>
          <w:spacing w:val="-21"/>
          <w:w w:val="105"/>
          <w:sz w:val="14"/>
        </w:rPr>
        <w:t xml:space="preserve"> </w:t>
      </w:r>
      <w:r>
        <w:rPr>
          <w:rFonts w:ascii="Arial"/>
          <w:color w:val="5B6761"/>
          <w:w w:val="105"/>
          <w:sz w:val="14"/>
        </w:rPr>
        <w:t>Department</w:t>
      </w:r>
      <w:r>
        <w:rPr>
          <w:rFonts w:ascii="Arial"/>
          <w:color w:val="5B6761"/>
          <w:spacing w:val="-22"/>
          <w:w w:val="105"/>
          <w:sz w:val="14"/>
        </w:rPr>
        <w:t xml:space="preserve"> </w:t>
      </w:r>
      <w:r>
        <w:rPr>
          <w:rFonts w:ascii="Arial"/>
          <w:color w:val="5B6761"/>
          <w:w w:val="105"/>
          <w:sz w:val="14"/>
        </w:rPr>
        <w:t>of</w:t>
      </w:r>
      <w:r>
        <w:rPr>
          <w:rFonts w:ascii="Arial"/>
          <w:color w:val="5B6761"/>
          <w:spacing w:val="-22"/>
          <w:w w:val="105"/>
          <w:sz w:val="14"/>
        </w:rPr>
        <w:t xml:space="preserve"> </w:t>
      </w:r>
      <w:r>
        <w:rPr>
          <w:rFonts w:ascii="Arial"/>
          <w:color w:val="5B6761"/>
          <w:w w:val="105"/>
          <w:sz w:val="14"/>
        </w:rPr>
        <w:t>Agriculture,</w:t>
      </w:r>
      <w:r>
        <w:rPr>
          <w:rFonts w:ascii="Arial"/>
          <w:color w:val="5B6761"/>
          <w:spacing w:val="-22"/>
          <w:w w:val="105"/>
          <w:sz w:val="14"/>
        </w:rPr>
        <w:t xml:space="preserve"> </w:t>
      </w:r>
      <w:r>
        <w:rPr>
          <w:rFonts w:ascii="Arial"/>
          <w:color w:val="5B6761"/>
          <w:w w:val="105"/>
          <w:sz w:val="14"/>
        </w:rPr>
        <w:t>Water</w:t>
      </w:r>
      <w:r>
        <w:rPr>
          <w:rFonts w:ascii="Arial"/>
          <w:color w:val="5B6761"/>
          <w:spacing w:val="-22"/>
          <w:w w:val="105"/>
          <w:sz w:val="14"/>
        </w:rPr>
        <w:t xml:space="preserve"> </w:t>
      </w:r>
      <w:r>
        <w:rPr>
          <w:rFonts w:ascii="Arial"/>
          <w:color w:val="5B6761"/>
          <w:w w:val="105"/>
          <w:sz w:val="14"/>
        </w:rPr>
        <w:t>and</w:t>
      </w:r>
      <w:r>
        <w:rPr>
          <w:rFonts w:ascii="Arial"/>
          <w:color w:val="5B6761"/>
          <w:spacing w:val="-22"/>
          <w:w w:val="105"/>
          <w:sz w:val="14"/>
        </w:rPr>
        <w:t xml:space="preserve"> </w:t>
      </w:r>
      <w:r>
        <w:rPr>
          <w:rFonts w:ascii="Arial"/>
          <w:color w:val="5B6761"/>
          <w:w w:val="105"/>
          <w:sz w:val="14"/>
        </w:rPr>
        <w:t>the</w:t>
      </w:r>
      <w:r>
        <w:rPr>
          <w:rFonts w:ascii="Arial"/>
          <w:color w:val="5B6761"/>
          <w:spacing w:val="-23"/>
          <w:w w:val="105"/>
          <w:sz w:val="14"/>
        </w:rPr>
        <w:t xml:space="preserve"> </w:t>
      </w:r>
      <w:r>
        <w:rPr>
          <w:rFonts w:ascii="Arial"/>
          <w:color w:val="5B6761"/>
          <w:w w:val="105"/>
          <w:sz w:val="14"/>
        </w:rPr>
        <w:t>Environment</w:t>
      </w:r>
      <w:r>
        <w:rPr>
          <w:rFonts w:ascii="Arial"/>
          <w:color w:val="5B6761"/>
          <w:spacing w:val="-22"/>
          <w:w w:val="105"/>
          <w:sz w:val="14"/>
        </w:rPr>
        <w:t xml:space="preserve"> </w:t>
      </w:r>
      <w:r>
        <w:rPr>
          <w:rFonts w:ascii="Arial"/>
          <w:color w:val="5B6761"/>
          <w:w w:val="105"/>
          <w:sz w:val="14"/>
        </w:rPr>
        <w:t>administers</w:t>
      </w:r>
      <w:r>
        <w:rPr>
          <w:rFonts w:ascii="Arial"/>
          <w:color w:val="5B6761"/>
          <w:spacing w:val="-22"/>
          <w:w w:val="105"/>
          <w:sz w:val="14"/>
        </w:rPr>
        <w:t xml:space="preserve"> </w:t>
      </w:r>
      <w:r>
        <w:rPr>
          <w:rFonts w:ascii="Arial"/>
          <w:color w:val="5B6761"/>
          <w:w w:val="105"/>
          <w:sz w:val="14"/>
        </w:rPr>
        <w:t>the</w:t>
      </w:r>
      <w:r>
        <w:rPr>
          <w:rFonts w:ascii="Arial"/>
          <w:color w:val="5B6761"/>
          <w:spacing w:val="-17"/>
          <w:w w:val="105"/>
          <w:sz w:val="14"/>
        </w:rPr>
        <w:t xml:space="preserve"> </w:t>
      </w:r>
      <w:r>
        <w:rPr>
          <w:rFonts w:ascii="Arial"/>
          <w:i/>
          <w:color w:val="5B6761"/>
          <w:w w:val="105"/>
          <w:sz w:val="14"/>
        </w:rPr>
        <w:t>Imported Food</w:t>
      </w:r>
      <w:r>
        <w:rPr>
          <w:rFonts w:ascii="Arial"/>
          <w:i/>
          <w:color w:val="5B6761"/>
          <w:spacing w:val="-9"/>
          <w:w w:val="105"/>
          <w:sz w:val="14"/>
        </w:rPr>
        <w:t xml:space="preserve"> </w:t>
      </w:r>
      <w:r>
        <w:rPr>
          <w:rFonts w:ascii="Arial"/>
          <w:i/>
          <w:color w:val="5B6761"/>
          <w:w w:val="105"/>
          <w:sz w:val="14"/>
        </w:rPr>
        <w:t>Control</w:t>
      </w:r>
      <w:r>
        <w:rPr>
          <w:rFonts w:ascii="Arial"/>
          <w:i/>
          <w:color w:val="5B6761"/>
          <w:spacing w:val="-9"/>
          <w:w w:val="105"/>
          <w:sz w:val="14"/>
        </w:rPr>
        <w:t xml:space="preserve"> </w:t>
      </w:r>
      <w:r>
        <w:rPr>
          <w:rFonts w:ascii="Arial"/>
          <w:i/>
          <w:color w:val="5B6761"/>
          <w:w w:val="105"/>
          <w:sz w:val="14"/>
        </w:rPr>
        <w:t>Act</w:t>
      </w:r>
      <w:r>
        <w:rPr>
          <w:rFonts w:ascii="Arial"/>
          <w:i/>
          <w:color w:val="5B6761"/>
          <w:spacing w:val="-7"/>
          <w:w w:val="105"/>
          <w:sz w:val="14"/>
        </w:rPr>
        <w:t xml:space="preserve"> </w:t>
      </w:r>
      <w:r>
        <w:rPr>
          <w:rFonts w:ascii="Arial"/>
          <w:i/>
          <w:color w:val="5B6761"/>
          <w:w w:val="105"/>
          <w:sz w:val="14"/>
        </w:rPr>
        <w:t>1992</w:t>
      </w:r>
      <w:r>
        <w:rPr>
          <w:rFonts w:ascii="Arial"/>
          <w:color w:val="5B6761"/>
          <w:w w:val="105"/>
          <w:sz w:val="14"/>
        </w:rPr>
        <w:t>,</w:t>
      </w:r>
      <w:r>
        <w:rPr>
          <w:rFonts w:ascii="Arial"/>
          <w:color w:val="5B6761"/>
          <w:spacing w:val="-10"/>
          <w:w w:val="105"/>
          <w:sz w:val="14"/>
        </w:rPr>
        <w:t xml:space="preserve"> </w:t>
      </w:r>
      <w:r>
        <w:rPr>
          <w:rFonts w:ascii="Arial"/>
          <w:color w:val="5B6761"/>
          <w:w w:val="105"/>
          <w:sz w:val="14"/>
        </w:rPr>
        <w:t>which</w:t>
      </w:r>
      <w:r>
        <w:rPr>
          <w:rFonts w:ascii="Arial"/>
          <w:color w:val="5B6761"/>
          <w:spacing w:val="-8"/>
          <w:w w:val="105"/>
          <w:sz w:val="14"/>
        </w:rPr>
        <w:t xml:space="preserve"> </w:t>
      </w:r>
      <w:r>
        <w:rPr>
          <w:rFonts w:ascii="Arial"/>
          <w:color w:val="5B6761"/>
          <w:w w:val="105"/>
          <w:sz w:val="14"/>
        </w:rPr>
        <w:t>applies</w:t>
      </w:r>
      <w:r>
        <w:rPr>
          <w:rFonts w:ascii="Arial"/>
          <w:color w:val="5B6761"/>
          <w:spacing w:val="-9"/>
          <w:w w:val="105"/>
          <w:sz w:val="14"/>
        </w:rPr>
        <w:t xml:space="preserve"> </w:t>
      </w:r>
      <w:r>
        <w:rPr>
          <w:rFonts w:ascii="Arial"/>
          <w:color w:val="5B6761"/>
          <w:w w:val="105"/>
          <w:sz w:val="14"/>
        </w:rPr>
        <w:t>the</w:t>
      </w:r>
      <w:r>
        <w:rPr>
          <w:rFonts w:ascii="Arial"/>
          <w:color w:val="5B6761"/>
          <w:spacing w:val="-10"/>
          <w:w w:val="105"/>
          <w:sz w:val="14"/>
        </w:rPr>
        <w:t xml:space="preserve"> </w:t>
      </w:r>
      <w:r>
        <w:rPr>
          <w:rFonts w:ascii="Arial"/>
          <w:color w:val="5B6761"/>
          <w:w w:val="105"/>
          <w:sz w:val="14"/>
        </w:rPr>
        <w:t>food</w:t>
      </w:r>
      <w:r>
        <w:rPr>
          <w:rFonts w:ascii="Arial"/>
          <w:color w:val="5B6761"/>
          <w:spacing w:val="-9"/>
          <w:w w:val="105"/>
          <w:sz w:val="14"/>
        </w:rPr>
        <w:t xml:space="preserve"> </w:t>
      </w:r>
      <w:r>
        <w:rPr>
          <w:rFonts w:ascii="Arial"/>
          <w:color w:val="5B6761"/>
          <w:w w:val="105"/>
          <w:sz w:val="14"/>
        </w:rPr>
        <w:t>standards</w:t>
      </w:r>
      <w:r>
        <w:rPr>
          <w:rFonts w:ascii="Arial"/>
          <w:color w:val="5B6761"/>
          <w:spacing w:val="-9"/>
          <w:w w:val="105"/>
          <w:sz w:val="14"/>
        </w:rPr>
        <w:t xml:space="preserve"> </w:t>
      </w:r>
      <w:r>
        <w:rPr>
          <w:rFonts w:ascii="Arial"/>
          <w:color w:val="5B6761"/>
          <w:w w:val="105"/>
          <w:sz w:val="14"/>
        </w:rPr>
        <w:t>to</w:t>
      </w:r>
      <w:r>
        <w:rPr>
          <w:rFonts w:ascii="Arial"/>
          <w:color w:val="5B6761"/>
          <w:spacing w:val="-10"/>
          <w:w w:val="105"/>
          <w:sz w:val="14"/>
        </w:rPr>
        <w:t xml:space="preserve"> </w:t>
      </w:r>
      <w:r>
        <w:rPr>
          <w:rFonts w:ascii="Arial"/>
          <w:color w:val="5B6761"/>
          <w:w w:val="105"/>
          <w:sz w:val="14"/>
        </w:rPr>
        <w:t>imported</w:t>
      </w:r>
      <w:r>
        <w:rPr>
          <w:rFonts w:ascii="Arial"/>
          <w:color w:val="5B6761"/>
          <w:spacing w:val="-8"/>
          <w:w w:val="105"/>
          <w:sz w:val="14"/>
        </w:rPr>
        <w:t xml:space="preserve"> </w:t>
      </w:r>
      <w:r>
        <w:rPr>
          <w:rFonts w:ascii="Arial"/>
          <w:color w:val="5B6761"/>
          <w:w w:val="105"/>
          <w:sz w:val="14"/>
        </w:rPr>
        <w:t>food.</w:t>
      </w:r>
    </w:p>
    <w:p w:rsidR="007D76BB" w:rsidRDefault="00D70D28">
      <w:pPr>
        <w:spacing w:before="60" w:line="268" w:lineRule="auto"/>
        <w:ind w:left="594" w:right="1181" w:hanging="113"/>
        <w:rPr>
          <w:rFonts w:ascii="Arial" w:hAnsi="Arial"/>
          <w:sz w:val="14"/>
        </w:rPr>
      </w:pPr>
      <w:r>
        <w:rPr>
          <w:rFonts w:ascii="Arial" w:hAnsi="Arial"/>
          <w:color w:val="5B6761"/>
          <w:position w:val="5"/>
          <w:sz w:val="8"/>
        </w:rPr>
        <w:t>19</w:t>
      </w:r>
      <w:r>
        <w:rPr>
          <w:rFonts w:ascii="Arial" w:hAnsi="Arial"/>
          <w:color w:val="5B6761"/>
          <w:spacing w:val="7"/>
          <w:position w:val="5"/>
          <w:sz w:val="8"/>
        </w:rPr>
        <w:t xml:space="preserve"> </w:t>
      </w:r>
      <w:r>
        <w:rPr>
          <w:rFonts w:ascii="Arial" w:hAnsi="Arial"/>
          <w:color w:val="5B6761"/>
          <w:sz w:val="14"/>
        </w:rPr>
        <w:t>Code</w:t>
      </w:r>
      <w:r>
        <w:rPr>
          <w:rFonts w:ascii="Arial" w:hAnsi="Arial"/>
          <w:color w:val="5B6761"/>
          <w:spacing w:val="-11"/>
          <w:sz w:val="14"/>
        </w:rPr>
        <w:t xml:space="preserve"> </w:t>
      </w:r>
      <w:r>
        <w:rPr>
          <w:rFonts w:ascii="Arial" w:hAnsi="Arial"/>
          <w:color w:val="5B6761"/>
          <w:sz w:val="14"/>
        </w:rPr>
        <w:t>of</w:t>
      </w:r>
      <w:r>
        <w:rPr>
          <w:rFonts w:ascii="Arial" w:hAnsi="Arial"/>
          <w:color w:val="5B6761"/>
          <w:spacing w:val="-10"/>
          <w:sz w:val="14"/>
        </w:rPr>
        <w:t xml:space="preserve"> </w:t>
      </w:r>
      <w:r>
        <w:rPr>
          <w:rFonts w:ascii="Arial" w:hAnsi="Arial"/>
          <w:color w:val="5B6761"/>
          <w:sz w:val="14"/>
        </w:rPr>
        <w:t>Federal</w:t>
      </w:r>
      <w:r>
        <w:rPr>
          <w:rFonts w:ascii="Arial" w:hAnsi="Arial"/>
          <w:color w:val="5B6761"/>
          <w:spacing w:val="-10"/>
          <w:sz w:val="14"/>
        </w:rPr>
        <w:t xml:space="preserve"> </w:t>
      </w:r>
      <w:r>
        <w:rPr>
          <w:rFonts w:ascii="Arial" w:hAnsi="Arial"/>
          <w:color w:val="5B6761"/>
          <w:sz w:val="14"/>
        </w:rPr>
        <w:t>Regulation</w:t>
      </w:r>
      <w:r>
        <w:rPr>
          <w:rFonts w:ascii="Arial" w:hAnsi="Arial"/>
          <w:color w:val="5B6761"/>
          <w:spacing w:val="-9"/>
          <w:sz w:val="14"/>
        </w:rPr>
        <w:t xml:space="preserve"> </w:t>
      </w:r>
      <w:r>
        <w:rPr>
          <w:rFonts w:ascii="Arial" w:hAnsi="Arial"/>
          <w:color w:val="5B6761"/>
          <w:sz w:val="14"/>
        </w:rPr>
        <w:t>(CFR)</w:t>
      </w:r>
      <w:r>
        <w:rPr>
          <w:rFonts w:ascii="Arial" w:hAnsi="Arial"/>
          <w:color w:val="5B6761"/>
          <w:spacing w:val="-10"/>
          <w:sz w:val="14"/>
        </w:rPr>
        <w:t xml:space="preserve"> </w:t>
      </w:r>
      <w:r>
        <w:rPr>
          <w:rFonts w:ascii="Arial" w:hAnsi="Arial"/>
          <w:color w:val="5B6761"/>
          <w:sz w:val="14"/>
        </w:rPr>
        <w:t>Title</w:t>
      </w:r>
      <w:r>
        <w:rPr>
          <w:rFonts w:ascii="Arial" w:hAnsi="Arial"/>
          <w:color w:val="5B6761"/>
          <w:spacing w:val="-12"/>
          <w:sz w:val="14"/>
        </w:rPr>
        <w:t xml:space="preserve"> </w:t>
      </w:r>
      <w:r>
        <w:rPr>
          <w:rFonts w:ascii="Arial" w:hAnsi="Arial"/>
          <w:color w:val="5B6761"/>
          <w:sz w:val="14"/>
        </w:rPr>
        <w:t>21</w:t>
      </w:r>
      <w:r>
        <w:rPr>
          <w:rFonts w:ascii="Arial" w:hAnsi="Arial"/>
          <w:color w:val="5B6761"/>
          <w:spacing w:val="-4"/>
          <w:sz w:val="14"/>
        </w:rPr>
        <w:t xml:space="preserve"> </w:t>
      </w:r>
      <w:r>
        <w:rPr>
          <w:rFonts w:ascii="Arial" w:hAnsi="Arial"/>
          <w:color w:val="5B6761"/>
          <w:sz w:val="14"/>
        </w:rPr>
        <w:t>–</w:t>
      </w:r>
      <w:r>
        <w:rPr>
          <w:rFonts w:ascii="Arial" w:hAnsi="Arial"/>
          <w:color w:val="5B6761"/>
          <w:spacing w:val="-11"/>
          <w:sz w:val="14"/>
        </w:rPr>
        <w:t xml:space="preserve"> </w:t>
      </w:r>
      <w:r>
        <w:rPr>
          <w:rFonts w:ascii="Arial" w:hAnsi="Arial"/>
          <w:color w:val="5B6761"/>
          <w:sz w:val="14"/>
        </w:rPr>
        <w:t>Food</w:t>
      </w:r>
      <w:r>
        <w:rPr>
          <w:rFonts w:ascii="Arial" w:hAnsi="Arial"/>
          <w:color w:val="5B6761"/>
          <w:spacing w:val="-9"/>
          <w:sz w:val="14"/>
        </w:rPr>
        <w:t xml:space="preserve"> </w:t>
      </w:r>
      <w:r>
        <w:rPr>
          <w:rFonts w:ascii="Arial" w:hAnsi="Arial"/>
          <w:color w:val="5B6761"/>
          <w:sz w:val="14"/>
        </w:rPr>
        <w:t>and</w:t>
      </w:r>
      <w:r>
        <w:rPr>
          <w:rFonts w:ascii="Arial" w:hAnsi="Arial"/>
          <w:color w:val="5B6761"/>
          <w:spacing w:val="-9"/>
          <w:sz w:val="14"/>
        </w:rPr>
        <w:t xml:space="preserve"> </w:t>
      </w:r>
      <w:r>
        <w:rPr>
          <w:rFonts w:ascii="Arial" w:hAnsi="Arial"/>
          <w:color w:val="5B6761"/>
          <w:sz w:val="14"/>
        </w:rPr>
        <w:t>Drugs,</w:t>
      </w:r>
      <w:r>
        <w:rPr>
          <w:rFonts w:ascii="Arial" w:hAnsi="Arial"/>
          <w:color w:val="5B6761"/>
          <w:spacing w:val="-10"/>
          <w:sz w:val="14"/>
        </w:rPr>
        <w:t xml:space="preserve"> </w:t>
      </w:r>
      <w:r>
        <w:rPr>
          <w:rFonts w:ascii="Arial" w:hAnsi="Arial"/>
          <w:color w:val="5B6761"/>
          <w:sz w:val="14"/>
        </w:rPr>
        <w:t>Part</w:t>
      </w:r>
      <w:r>
        <w:rPr>
          <w:rFonts w:ascii="Arial" w:hAnsi="Arial"/>
          <w:color w:val="5B6761"/>
          <w:spacing w:val="-8"/>
          <w:sz w:val="14"/>
        </w:rPr>
        <w:t xml:space="preserve"> </w:t>
      </w:r>
      <w:r>
        <w:rPr>
          <w:rFonts w:ascii="Arial" w:hAnsi="Arial"/>
          <w:color w:val="5B6761"/>
          <w:sz w:val="14"/>
        </w:rPr>
        <w:t>110</w:t>
      </w:r>
      <w:r>
        <w:rPr>
          <w:rFonts w:ascii="Arial" w:hAnsi="Arial"/>
          <w:color w:val="5B6761"/>
          <w:spacing w:val="-8"/>
          <w:sz w:val="14"/>
        </w:rPr>
        <w:t xml:space="preserve"> </w:t>
      </w:r>
      <w:r>
        <w:rPr>
          <w:rFonts w:ascii="Arial" w:hAnsi="Arial"/>
          <w:color w:val="5B6761"/>
          <w:sz w:val="14"/>
        </w:rPr>
        <w:t>–</w:t>
      </w:r>
      <w:r>
        <w:rPr>
          <w:rFonts w:ascii="Arial" w:hAnsi="Arial"/>
          <w:color w:val="5B6761"/>
          <w:spacing w:val="-11"/>
          <w:sz w:val="14"/>
        </w:rPr>
        <w:t xml:space="preserve"> </w:t>
      </w:r>
      <w:r>
        <w:rPr>
          <w:rFonts w:ascii="Arial" w:hAnsi="Arial"/>
          <w:color w:val="5B6761"/>
          <w:sz w:val="14"/>
        </w:rPr>
        <w:t>Current</w:t>
      </w:r>
      <w:r>
        <w:rPr>
          <w:rFonts w:ascii="Arial" w:hAnsi="Arial"/>
          <w:color w:val="5B6761"/>
          <w:spacing w:val="-9"/>
          <w:sz w:val="14"/>
        </w:rPr>
        <w:t xml:space="preserve"> </w:t>
      </w:r>
      <w:r>
        <w:rPr>
          <w:rFonts w:ascii="Arial" w:hAnsi="Arial"/>
          <w:color w:val="5B6761"/>
          <w:sz w:val="14"/>
        </w:rPr>
        <w:t>Good</w:t>
      </w:r>
      <w:r>
        <w:rPr>
          <w:rFonts w:ascii="Arial" w:hAnsi="Arial"/>
          <w:color w:val="5B6761"/>
          <w:spacing w:val="-9"/>
          <w:sz w:val="14"/>
        </w:rPr>
        <w:t xml:space="preserve"> </w:t>
      </w:r>
      <w:r>
        <w:rPr>
          <w:rFonts w:ascii="Arial" w:hAnsi="Arial"/>
          <w:color w:val="5B6761"/>
          <w:sz w:val="14"/>
        </w:rPr>
        <w:t>Manufacturing</w:t>
      </w:r>
      <w:r>
        <w:rPr>
          <w:rFonts w:ascii="Arial" w:hAnsi="Arial"/>
          <w:color w:val="5B6761"/>
          <w:spacing w:val="-11"/>
          <w:sz w:val="14"/>
        </w:rPr>
        <w:t xml:space="preserve"> </w:t>
      </w:r>
      <w:r>
        <w:rPr>
          <w:rFonts w:ascii="Arial" w:hAnsi="Arial"/>
          <w:color w:val="5B6761"/>
          <w:sz w:val="14"/>
        </w:rPr>
        <w:t>Practice</w:t>
      </w:r>
      <w:r>
        <w:rPr>
          <w:rFonts w:ascii="Arial" w:hAnsi="Arial"/>
          <w:color w:val="5B6761"/>
          <w:spacing w:val="-11"/>
          <w:sz w:val="14"/>
        </w:rPr>
        <w:t xml:space="preserve"> </w:t>
      </w:r>
      <w:r>
        <w:rPr>
          <w:rFonts w:ascii="Arial" w:hAnsi="Arial"/>
          <w:color w:val="5B6761"/>
          <w:sz w:val="14"/>
        </w:rPr>
        <w:t>in</w:t>
      </w:r>
      <w:r>
        <w:rPr>
          <w:rFonts w:ascii="Arial" w:hAnsi="Arial"/>
          <w:color w:val="5B6761"/>
          <w:spacing w:val="-9"/>
          <w:sz w:val="14"/>
        </w:rPr>
        <w:t xml:space="preserve"> </w:t>
      </w:r>
      <w:r>
        <w:rPr>
          <w:rFonts w:ascii="Arial" w:hAnsi="Arial"/>
          <w:color w:val="5B6761"/>
          <w:sz w:val="14"/>
        </w:rPr>
        <w:t>Manufacturing, Packing or Holding Human</w:t>
      </w:r>
      <w:r>
        <w:rPr>
          <w:rFonts w:ascii="Arial" w:hAnsi="Arial"/>
          <w:color w:val="5B6761"/>
          <w:spacing w:val="-27"/>
          <w:sz w:val="14"/>
        </w:rPr>
        <w:t xml:space="preserve"> </w:t>
      </w:r>
      <w:r>
        <w:rPr>
          <w:rFonts w:ascii="Arial" w:hAnsi="Arial"/>
          <w:color w:val="5B6761"/>
          <w:sz w:val="14"/>
        </w:rPr>
        <w:t>Food.</w:t>
      </w:r>
    </w:p>
    <w:p w:rsidR="007D76BB" w:rsidRDefault="00D70D28">
      <w:pPr>
        <w:spacing w:before="59" w:line="268" w:lineRule="auto"/>
        <w:ind w:left="594" w:right="1181" w:hanging="113"/>
        <w:rPr>
          <w:rFonts w:ascii="Arial" w:hAnsi="Arial"/>
          <w:sz w:val="14"/>
        </w:rPr>
      </w:pPr>
      <w:r>
        <w:rPr>
          <w:rFonts w:ascii="Arial" w:hAnsi="Arial"/>
          <w:color w:val="5B6761"/>
          <w:position w:val="5"/>
          <w:sz w:val="8"/>
        </w:rPr>
        <w:t>20</w:t>
      </w:r>
      <w:r>
        <w:rPr>
          <w:rFonts w:ascii="Arial" w:hAnsi="Arial"/>
          <w:color w:val="5B6761"/>
          <w:spacing w:val="3"/>
          <w:position w:val="5"/>
          <w:sz w:val="8"/>
        </w:rPr>
        <w:t xml:space="preserve"> </w:t>
      </w:r>
      <w:r>
        <w:rPr>
          <w:rFonts w:ascii="Arial" w:hAnsi="Arial"/>
          <w:color w:val="5B6761"/>
          <w:sz w:val="14"/>
        </w:rPr>
        <w:t>The</w:t>
      </w:r>
      <w:r>
        <w:rPr>
          <w:rFonts w:ascii="Arial" w:hAnsi="Arial"/>
          <w:color w:val="5B6761"/>
          <w:spacing w:val="-14"/>
          <w:sz w:val="14"/>
        </w:rPr>
        <w:t xml:space="preserve"> </w:t>
      </w:r>
      <w:r>
        <w:rPr>
          <w:rFonts w:ascii="Arial" w:hAnsi="Arial"/>
          <w:color w:val="5B6761"/>
          <w:sz w:val="14"/>
        </w:rPr>
        <w:t>FDA</w:t>
      </w:r>
      <w:r>
        <w:rPr>
          <w:rFonts w:ascii="Arial" w:hAnsi="Arial"/>
          <w:color w:val="5B6761"/>
          <w:spacing w:val="-13"/>
          <w:sz w:val="14"/>
        </w:rPr>
        <w:t xml:space="preserve"> </w:t>
      </w:r>
      <w:r>
        <w:rPr>
          <w:rFonts w:ascii="Arial" w:hAnsi="Arial"/>
          <w:color w:val="5B6761"/>
          <w:sz w:val="14"/>
        </w:rPr>
        <w:t>has</w:t>
      </w:r>
      <w:r>
        <w:rPr>
          <w:rFonts w:ascii="Arial" w:hAnsi="Arial"/>
          <w:color w:val="5B6761"/>
          <w:spacing w:val="-13"/>
          <w:sz w:val="14"/>
        </w:rPr>
        <w:t xml:space="preserve"> </w:t>
      </w:r>
      <w:r>
        <w:rPr>
          <w:rFonts w:ascii="Arial" w:hAnsi="Arial"/>
          <w:color w:val="5B6761"/>
          <w:sz w:val="14"/>
        </w:rPr>
        <w:t>three</w:t>
      </w:r>
      <w:r>
        <w:rPr>
          <w:rFonts w:ascii="Arial" w:hAnsi="Arial"/>
          <w:color w:val="5B6761"/>
          <w:spacing w:val="-13"/>
          <w:sz w:val="14"/>
        </w:rPr>
        <w:t xml:space="preserve"> </w:t>
      </w:r>
      <w:r>
        <w:rPr>
          <w:rFonts w:ascii="Arial" w:hAnsi="Arial"/>
          <w:color w:val="5B6761"/>
          <w:sz w:val="14"/>
        </w:rPr>
        <w:t>distinct</w:t>
      </w:r>
      <w:r>
        <w:rPr>
          <w:rFonts w:ascii="Arial" w:hAnsi="Arial"/>
          <w:color w:val="5B6761"/>
          <w:spacing w:val="-12"/>
          <w:sz w:val="14"/>
        </w:rPr>
        <w:t xml:space="preserve"> </w:t>
      </w:r>
      <w:r>
        <w:rPr>
          <w:rFonts w:ascii="Arial" w:hAnsi="Arial"/>
          <w:color w:val="5B6761"/>
          <w:sz w:val="14"/>
        </w:rPr>
        <w:t>CGMP</w:t>
      </w:r>
      <w:r>
        <w:rPr>
          <w:rFonts w:ascii="Arial" w:hAnsi="Arial"/>
          <w:color w:val="5B6761"/>
          <w:spacing w:val="-14"/>
          <w:sz w:val="14"/>
        </w:rPr>
        <w:t xml:space="preserve"> </w:t>
      </w:r>
      <w:r>
        <w:rPr>
          <w:rFonts w:ascii="Arial" w:hAnsi="Arial"/>
          <w:color w:val="5B6761"/>
          <w:sz w:val="14"/>
        </w:rPr>
        <w:t>systems</w:t>
      </w:r>
      <w:r>
        <w:rPr>
          <w:rFonts w:ascii="Arial" w:hAnsi="Arial"/>
          <w:color w:val="5B6761"/>
          <w:spacing w:val="-13"/>
          <w:sz w:val="14"/>
        </w:rPr>
        <w:t xml:space="preserve"> </w:t>
      </w:r>
      <w:r>
        <w:rPr>
          <w:rFonts w:ascii="Arial" w:hAnsi="Arial"/>
          <w:color w:val="5B6761"/>
          <w:sz w:val="14"/>
        </w:rPr>
        <w:t>–</w:t>
      </w:r>
      <w:r>
        <w:rPr>
          <w:rFonts w:ascii="Arial" w:hAnsi="Arial"/>
          <w:color w:val="5B6761"/>
          <w:spacing w:val="-12"/>
          <w:sz w:val="14"/>
        </w:rPr>
        <w:t xml:space="preserve"> </w:t>
      </w:r>
      <w:r>
        <w:rPr>
          <w:rFonts w:ascii="Arial" w:hAnsi="Arial"/>
          <w:color w:val="5B6761"/>
          <w:sz w:val="14"/>
        </w:rPr>
        <w:t>food</w:t>
      </w:r>
      <w:r>
        <w:rPr>
          <w:rFonts w:ascii="Arial" w:hAnsi="Arial"/>
          <w:color w:val="5B6761"/>
          <w:spacing w:val="-12"/>
          <w:sz w:val="14"/>
        </w:rPr>
        <w:t xml:space="preserve"> </w:t>
      </w:r>
      <w:r>
        <w:rPr>
          <w:rFonts w:ascii="Arial" w:hAnsi="Arial"/>
          <w:color w:val="5B6761"/>
          <w:sz w:val="14"/>
        </w:rPr>
        <w:t>(CFR</w:t>
      </w:r>
      <w:r>
        <w:rPr>
          <w:rFonts w:ascii="Arial" w:hAnsi="Arial"/>
          <w:color w:val="5B6761"/>
          <w:spacing w:val="-12"/>
          <w:sz w:val="14"/>
        </w:rPr>
        <w:t xml:space="preserve"> </w:t>
      </w:r>
      <w:r>
        <w:rPr>
          <w:rFonts w:ascii="Arial" w:hAnsi="Arial"/>
          <w:color w:val="5B6761"/>
          <w:sz w:val="14"/>
        </w:rPr>
        <w:t>Title</w:t>
      </w:r>
      <w:r>
        <w:rPr>
          <w:rFonts w:ascii="Arial" w:hAnsi="Arial"/>
          <w:color w:val="5B6761"/>
          <w:spacing w:val="-13"/>
          <w:sz w:val="14"/>
        </w:rPr>
        <w:t xml:space="preserve"> </w:t>
      </w:r>
      <w:r>
        <w:rPr>
          <w:rFonts w:ascii="Arial" w:hAnsi="Arial"/>
          <w:color w:val="5B6761"/>
          <w:sz w:val="14"/>
        </w:rPr>
        <w:t>21</w:t>
      </w:r>
      <w:r>
        <w:rPr>
          <w:rFonts w:ascii="Arial" w:hAnsi="Arial"/>
          <w:color w:val="5B6761"/>
          <w:spacing w:val="-15"/>
          <w:sz w:val="14"/>
        </w:rPr>
        <w:t xml:space="preserve"> </w:t>
      </w:r>
      <w:r>
        <w:rPr>
          <w:rFonts w:ascii="Arial" w:hAnsi="Arial"/>
          <w:color w:val="5B6761"/>
          <w:sz w:val="14"/>
        </w:rPr>
        <w:t>Part</w:t>
      </w:r>
      <w:r>
        <w:rPr>
          <w:rFonts w:ascii="Arial" w:hAnsi="Arial"/>
          <w:color w:val="5B6761"/>
          <w:spacing w:val="-12"/>
          <w:sz w:val="14"/>
        </w:rPr>
        <w:t xml:space="preserve"> </w:t>
      </w:r>
      <w:r>
        <w:rPr>
          <w:rFonts w:ascii="Arial" w:hAnsi="Arial"/>
          <w:color w:val="5B6761"/>
          <w:sz w:val="14"/>
        </w:rPr>
        <w:t>110),</w:t>
      </w:r>
      <w:r>
        <w:rPr>
          <w:rFonts w:ascii="Arial" w:hAnsi="Arial"/>
          <w:color w:val="5B6761"/>
          <w:spacing w:val="-12"/>
          <w:sz w:val="14"/>
        </w:rPr>
        <w:t xml:space="preserve"> </w:t>
      </w:r>
      <w:r>
        <w:rPr>
          <w:rFonts w:ascii="Arial" w:hAnsi="Arial"/>
          <w:color w:val="5B6761"/>
          <w:sz w:val="14"/>
        </w:rPr>
        <w:t>dietary</w:t>
      </w:r>
      <w:r>
        <w:rPr>
          <w:rFonts w:ascii="Arial" w:hAnsi="Arial"/>
          <w:color w:val="5B6761"/>
          <w:spacing w:val="-13"/>
          <w:sz w:val="14"/>
        </w:rPr>
        <w:t xml:space="preserve"> </w:t>
      </w:r>
      <w:r>
        <w:rPr>
          <w:rFonts w:ascii="Arial" w:hAnsi="Arial"/>
          <w:color w:val="5B6761"/>
          <w:sz w:val="14"/>
        </w:rPr>
        <w:t>supplements</w:t>
      </w:r>
      <w:r>
        <w:rPr>
          <w:rFonts w:ascii="Arial" w:hAnsi="Arial"/>
          <w:color w:val="5B6761"/>
          <w:spacing w:val="-13"/>
          <w:sz w:val="14"/>
        </w:rPr>
        <w:t xml:space="preserve"> </w:t>
      </w:r>
      <w:r>
        <w:rPr>
          <w:rFonts w:ascii="Arial" w:hAnsi="Arial"/>
          <w:color w:val="5B6761"/>
          <w:sz w:val="14"/>
        </w:rPr>
        <w:t>(CFR</w:t>
      </w:r>
      <w:r>
        <w:rPr>
          <w:rFonts w:ascii="Arial" w:hAnsi="Arial"/>
          <w:color w:val="5B6761"/>
          <w:spacing w:val="-12"/>
          <w:sz w:val="14"/>
        </w:rPr>
        <w:t xml:space="preserve"> </w:t>
      </w:r>
      <w:r>
        <w:rPr>
          <w:rFonts w:ascii="Arial" w:hAnsi="Arial"/>
          <w:color w:val="5B6761"/>
          <w:sz w:val="14"/>
        </w:rPr>
        <w:t>Title</w:t>
      </w:r>
      <w:r>
        <w:rPr>
          <w:rFonts w:ascii="Arial" w:hAnsi="Arial"/>
          <w:color w:val="5B6761"/>
          <w:spacing w:val="-14"/>
          <w:sz w:val="14"/>
        </w:rPr>
        <w:t xml:space="preserve"> </w:t>
      </w:r>
      <w:r>
        <w:rPr>
          <w:rFonts w:ascii="Arial" w:hAnsi="Arial"/>
          <w:color w:val="5B6761"/>
          <w:sz w:val="14"/>
        </w:rPr>
        <w:t>21</w:t>
      </w:r>
      <w:r>
        <w:rPr>
          <w:rFonts w:ascii="Arial" w:hAnsi="Arial"/>
          <w:color w:val="5B6761"/>
          <w:spacing w:val="-14"/>
          <w:sz w:val="14"/>
        </w:rPr>
        <w:t xml:space="preserve"> </w:t>
      </w:r>
      <w:r>
        <w:rPr>
          <w:rFonts w:ascii="Arial" w:hAnsi="Arial"/>
          <w:color w:val="5B6761"/>
          <w:sz w:val="14"/>
        </w:rPr>
        <w:t>Part</w:t>
      </w:r>
      <w:r>
        <w:rPr>
          <w:rFonts w:ascii="Arial" w:hAnsi="Arial"/>
          <w:color w:val="5B6761"/>
          <w:spacing w:val="-12"/>
          <w:sz w:val="14"/>
        </w:rPr>
        <w:t xml:space="preserve"> </w:t>
      </w:r>
      <w:r>
        <w:rPr>
          <w:rFonts w:ascii="Arial" w:hAnsi="Arial"/>
          <w:color w:val="5B6761"/>
          <w:sz w:val="14"/>
        </w:rPr>
        <w:t>111),</w:t>
      </w:r>
      <w:r>
        <w:rPr>
          <w:rFonts w:ascii="Arial" w:hAnsi="Arial"/>
          <w:color w:val="5B6761"/>
          <w:spacing w:val="-14"/>
          <w:sz w:val="14"/>
        </w:rPr>
        <w:t xml:space="preserve"> </w:t>
      </w:r>
      <w:r>
        <w:rPr>
          <w:rFonts w:ascii="Arial" w:hAnsi="Arial"/>
          <w:color w:val="5B6761"/>
          <w:sz w:val="14"/>
        </w:rPr>
        <w:t>and pharmaceuticals</w:t>
      </w:r>
      <w:r>
        <w:rPr>
          <w:rFonts w:ascii="Arial" w:hAnsi="Arial"/>
          <w:color w:val="5B6761"/>
          <w:spacing w:val="-7"/>
          <w:sz w:val="14"/>
        </w:rPr>
        <w:t xml:space="preserve"> </w:t>
      </w:r>
      <w:r>
        <w:rPr>
          <w:rFonts w:ascii="Arial" w:hAnsi="Arial"/>
          <w:color w:val="5B6761"/>
          <w:sz w:val="14"/>
        </w:rPr>
        <w:t>(CFR</w:t>
      </w:r>
      <w:r>
        <w:rPr>
          <w:rFonts w:ascii="Arial" w:hAnsi="Arial"/>
          <w:color w:val="5B6761"/>
          <w:spacing w:val="-7"/>
          <w:sz w:val="14"/>
        </w:rPr>
        <w:t xml:space="preserve"> </w:t>
      </w:r>
      <w:r>
        <w:rPr>
          <w:rFonts w:ascii="Arial" w:hAnsi="Arial"/>
          <w:color w:val="5B6761"/>
          <w:sz w:val="14"/>
        </w:rPr>
        <w:t>Title</w:t>
      </w:r>
      <w:r>
        <w:rPr>
          <w:rFonts w:ascii="Arial" w:hAnsi="Arial"/>
          <w:color w:val="5B6761"/>
          <w:spacing w:val="-8"/>
          <w:sz w:val="14"/>
        </w:rPr>
        <w:t xml:space="preserve"> </w:t>
      </w:r>
      <w:r>
        <w:rPr>
          <w:rFonts w:ascii="Arial" w:hAnsi="Arial"/>
          <w:color w:val="5B6761"/>
          <w:sz w:val="14"/>
        </w:rPr>
        <w:t>21</w:t>
      </w:r>
      <w:r>
        <w:rPr>
          <w:rFonts w:ascii="Arial" w:hAnsi="Arial"/>
          <w:color w:val="5B6761"/>
          <w:spacing w:val="-8"/>
          <w:sz w:val="14"/>
        </w:rPr>
        <w:t xml:space="preserve"> </w:t>
      </w:r>
      <w:r>
        <w:rPr>
          <w:rFonts w:ascii="Arial" w:hAnsi="Arial"/>
          <w:color w:val="5B6761"/>
          <w:sz w:val="14"/>
        </w:rPr>
        <w:t>Part</w:t>
      </w:r>
      <w:r>
        <w:rPr>
          <w:rFonts w:ascii="Arial" w:hAnsi="Arial"/>
          <w:color w:val="5B6761"/>
          <w:spacing w:val="-8"/>
          <w:sz w:val="14"/>
        </w:rPr>
        <w:t xml:space="preserve"> </w:t>
      </w:r>
      <w:r>
        <w:rPr>
          <w:rFonts w:ascii="Arial" w:hAnsi="Arial"/>
          <w:color w:val="5B6761"/>
          <w:sz w:val="14"/>
        </w:rPr>
        <w:t>211).</w:t>
      </w:r>
    </w:p>
    <w:p w:rsidR="007D76BB" w:rsidRDefault="007D76BB">
      <w:pPr>
        <w:spacing w:line="268" w:lineRule="auto"/>
        <w:rPr>
          <w:rFonts w:ascii="Arial" w:hAnsi="Arial"/>
          <w:sz w:val="14"/>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8"/>
        </w:rPr>
      </w:pPr>
    </w:p>
    <w:p w:rsidR="007D76BB" w:rsidRDefault="00D70D28">
      <w:pPr>
        <w:spacing w:before="108" w:line="264" w:lineRule="auto"/>
        <w:ind w:left="482" w:right="928"/>
        <w:rPr>
          <w:rFonts w:ascii="Arial" w:hAnsi="Arial"/>
          <w:sz w:val="11"/>
        </w:rPr>
      </w:pPr>
      <w:proofErr w:type="gramStart"/>
      <w:r>
        <w:rPr>
          <w:rFonts w:ascii="Arial" w:hAnsi="Arial"/>
          <w:w w:val="105"/>
          <w:sz w:val="19"/>
        </w:rPr>
        <w:t>manufacturers</w:t>
      </w:r>
      <w:proofErr w:type="gramEnd"/>
      <w:r>
        <w:rPr>
          <w:rFonts w:ascii="Arial" w:hAnsi="Arial"/>
          <w:spacing w:val="-29"/>
          <w:w w:val="105"/>
          <w:sz w:val="19"/>
        </w:rPr>
        <w:t xml:space="preserve"> </w:t>
      </w:r>
      <w:r>
        <w:rPr>
          <w:rFonts w:ascii="Arial" w:hAnsi="Arial"/>
          <w:w w:val="105"/>
          <w:sz w:val="19"/>
        </w:rPr>
        <w:t>of</w:t>
      </w:r>
      <w:r>
        <w:rPr>
          <w:rFonts w:ascii="Arial" w:hAnsi="Arial"/>
          <w:spacing w:val="-27"/>
          <w:w w:val="105"/>
          <w:sz w:val="19"/>
        </w:rPr>
        <w:t xml:space="preserve"> </w:t>
      </w:r>
      <w:r>
        <w:rPr>
          <w:rFonts w:ascii="Arial" w:hAnsi="Arial"/>
          <w:w w:val="105"/>
          <w:sz w:val="19"/>
        </w:rPr>
        <w:t>medicines</w:t>
      </w:r>
      <w:r>
        <w:rPr>
          <w:rFonts w:ascii="Arial" w:hAnsi="Arial"/>
          <w:spacing w:val="-30"/>
          <w:w w:val="105"/>
          <w:sz w:val="19"/>
        </w:rPr>
        <w:t xml:space="preserve"> </w:t>
      </w:r>
      <w:r>
        <w:rPr>
          <w:rFonts w:ascii="Arial" w:hAnsi="Arial"/>
          <w:w w:val="105"/>
          <w:sz w:val="19"/>
        </w:rPr>
        <w:t>supplied</w:t>
      </w:r>
      <w:r>
        <w:rPr>
          <w:rFonts w:ascii="Arial" w:hAnsi="Arial"/>
          <w:spacing w:val="-28"/>
          <w:w w:val="105"/>
          <w:sz w:val="19"/>
        </w:rPr>
        <w:t xml:space="preserve"> </w:t>
      </w:r>
      <w:r>
        <w:rPr>
          <w:rFonts w:ascii="Arial" w:hAnsi="Arial"/>
          <w:w w:val="105"/>
          <w:sz w:val="19"/>
        </w:rPr>
        <w:t>in</w:t>
      </w:r>
      <w:r>
        <w:rPr>
          <w:rFonts w:ascii="Arial" w:hAnsi="Arial"/>
          <w:spacing w:val="-26"/>
          <w:w w:val="105"/>
          <w:sz w:val="19"/>
        </w:rPr>
        <w:t xml:space="preserve"> </w:t>
      </w:r>
      <w:r>
        <w:rPr>
          <w:rFonts w:ascii="Arial" w:hAnsi="Arial"/>
          <w:w w:val="105"/>
          <w:sz w:val="19"/>
        </w:rPr>
        <w:t>Australia</w:t>
      </w:r>
      <w:r>
        <w:rPr>
          <w:rFonts w:ascii="Arial" w:hAnsi="Arial"/>
          <w:spacing w:val="-27"/>
          <w:w w:val="105"/>
          <w:sz w:val="19"/>
        </w:rPr>
        <w:t xml:space="preserve"> </w:t>
      </w:r>
      <w:r>
        <w:rPr>
          <w:rFonts w:ascii="Arial" w:hAnsi="Arial"/>
          <w:w w:val="105"/>
          <w:sz w:val="19"/>
        </w:rPr>
        <w:t>are</w:t>
      </w:r>
      <w:r>
        <w:rPr>
          <w:rFonts w:ascii="Arial" w:hAnsi="Arial"/>
          <w:spacing w:val="-26"/>
          <w:w w:val="105"/>
          <w:sz w:val="19"/>
        </w:rPr>
        <w:t xml:space="preserve"> </w:t>
      </w:r>
      <w:r>
        <w:rPr>
          <w:rFonts w:ascii="Arial" w:hAnsi="Arial"/>
          <w:w w:val="105"/>
          <w:sz w:val="19"/>
        </w:rPr>
        <w:t>also</w:t>
      </w:r>
      <w:r>
        <w:rPr>
          <w:rFonts w:ascii="Arial" w:hAnsi="Arial"/>
          <w:spacing w:val="-27"/>
          <w:w w:val="105"/>
          <w:sz w:val="19"/>
        </w:rPr>
        <w:t xml:space="preserve"> </w:t>
      </w:r>
      <w:r>
        <w:rPr>
          <w:rFonts w:ascii="Arial" w:hAnsi="Arial"/>
          <w:w w:val="105"/>
          <w:sz w:val="19"/>
        </w:rPr>
        <w:t>required</w:t>
      </w:r>
      <w:r>
        <w:rPr>
          <w:rFonts w:ascii="Arial" w:hAnsi="Arial"/>
          <w:spacing w:val="-29"/>
          <w:w w:val="105"/>
          <w:sz w:val="19"/>
        </w:rPr>
        <w:t xml:space="preserve"> </w:t>
      </w:r>
      <w:r>
        <w:rPr>
          <w:rFonts w:ascii="Arial" w:hAnsi="Arial"/>
          <w:w w:val="105"/>
          <w:sz w:val="19"/>
        </w:rPr>
        <w:t>to</w:t>
      </w:r>
      <w:r>
        <w:rPr>
          <w:rFonts w:ascii="Arial" w:hAnsi="Arial"/>
          <w:spacing w:val="-27"/>
          <w:w w:val="105"/>
          <w:sz w:val="19"/>
        </w:rPr>
        <w:t xml:space="preserve"> </w:t>
      </w:r>
      <w:r>
        <w:rPr>
          <w:rFonts w:ascii="Arial" w:hAnsi="Arial"/>
          <w:w w:val="105"/>
          <w:sz w:val="19"/>
        </w:rPr>
        <w:t>meet</w:t>
      </w:r>
      <w:r>
        <w:rPr>
          <w:rFonts w:ascii="Arial" w:hAnsi="Arial"/>
          <w:spacing w:val="-27"/>
          <w:w w:val="105"/>
          <w:sz w:val="19"/>
        </w:rPr>
        <w:t xml:space="preserve"> </w:t>
      </w:r>
      <w:r>
        <w:rPr>
          <w:rFonts w:ascii="Arial" w:hAnsi="Arial"/>
          <w:w w:val="105"/>
          <w:sz w:val="19"/>
        </w:rPr>
        <w:t>an</w:t>
      </w:r>
      <w:r>
        <w:rPr>
          <w:rFonts w:ascii="Arial" w:hAnsi="Arial"/>
          <w:spacing w:val="-28"/>
          <w:w w:val="105"/>
          <w:sz w:val="19"/>
        </w:rPr>
        <w:t xml:space="preserve"> </w:t>
      </w:r>
      <w:r>
        <w:rPr>
          <w:rFonts w:ascii="Arial" w:hAnsi="Arial"/>
          <w:w w:val="105"/>
          <w:sz w:val="19"/>
        </w:rPr>
        <w:t>acceptable</w:t>
      </w:r>
      <w:r>
        <w:rPr>
          <w:rFonts w:ascii="Arial" w:hAnsi="Arial"/>
          <w:spacing w:val="-26"/>
          <w:w w:val="105"/>
          <w:sz w:val="19"/>
        </w:rPr>
        <w:t xml:space="preserve"> </w:t>
      </w:r>
      <w:r>
        <w:rPr>
          <w:rFonts w:ascii="Arial" w:hAnsi="Arial"/>
          <w:w w:val="105"/>
          <w:sz w:val="19"/>
        </w:rPr>
        <w:t>standard of</w:t>
      </w:r>
      <w:r>
        <w:rPr>
          <w:rFonts w:ascii="Arial" w:hAnsi="Arial"/>
          <w:spacing w:val="-37"/>
          <w:w w:val="105"/>
          <w:sz w:val="19"/>
        </w:rPr>
        <w:t xml:space="preserve"> </w:t>
      </w:r>
      <w:r>
        <w:rPr>
          <w:rFonts w:ascii="Arial" w:hAnsi="Arial"/>
          <w:w w:val="105"/>
          <w:sz w:val="19"/>
        </w:rPr>
        <w:t>GMP.</w:t>
      </w:r>
      <w:r>
        <w:rPr>
          <w:rFonts w:ascii="Arial" w:hAnsi="Arial"/>
          <w:spacing w:val="-35"/>
          <w:w w:val="105"/>
          <w:sz w:val="19"/>
        </w:rPr>
        <w:t xml:space="preserve"> </w:t>
      </w:r>
      <w:r>
        <w:rPr>
          <w:rFonts w:ascii="Arial" w:hAnsi="Arial"/>
          <w:w w:val="105"/>
          <w:sz w:val="19"/>
        </w:rPr>
        <w:t>The</w:t>
      </w:r>
      <w:r>
        <w:rPr>
          <w:rFonts w:ascii="Arial" w:hAnsi="Arial"/>
          <w:spacing w:val="-36"/>
          <w:w w:val="105"/>
          <w:sz w:val="19"/>
        </w:rPr>
        <w:t xml:space="preserve"> </w:t>
      </w:r>
      <w:r>
        <w:rPr>
          <w:rFonts w:ascii="Arial" w:hAnsi="Arial"/>
          <w:w w:val="105"/>
          <w:sz w:val="19"/>
        </w:rPr>
        <w:t>Pharmaceutical</w:t>
      </w:r>
      <w:r>
        <w:rPr>
          <w:rFonts w:ascii="Arial" w:hAnsi="Arial"/>
          <w:spacing w:val="-36"/>
          <w:w w:val="105"/>
          <w:sz w:val="19"/>
        </w:rPr>
        <w:t xml:space="preserve"> </w:t>
      </w:r>
      <w:r>
        <w:rPr>
          <w:rFonts w:ascii="Arial" w:hAnsi="Arial"/>
          <w:w w:val="105"/>
          <w:sz w:val="19"/>
        </w:rPr>
        <w:t>Inspection</w:t>
      </w:r>
      <w:r>
        <w:rPr>
          <w:rFonts w:ascii="Arial" w:hAnsi="Arial"/>
          <w:spacing w:val="-36"/>
          <w:w w:val="105"/>
          <w:sz w:val="19"/>
        </w:rPr>
        <w:t xml:space="preserve"> </w:t>
      </w:r>
      <w:r>
        <w:rPr>
          <w:rFonts w:ascii="Arial" w:hAnsi="Arial"/>
          <w:w w:val="105"/>
          <w:sz w:val="19"/>
        </w:rPr>
        <w:t>Convention</w:t>
      </w:r>
      <w:r>
        <w:rPr>
          <w:rFonts w:ascii="Arial" w:hAnsi="Arial"/>
          <w:spacing w:val="-36"/>
          <w:w w:val="105"/>
          <w:sz w:val="19"/>
        </w:rPr>
        <w:t xml:space="preserve"> </w:t>
      </w:r>
      <w:r>
        <w:rPr>
          <w:rFonts w:ascii="Arial" w:hAnsi="Arial"/>
          <w:w w:val="105"/>
          <w:sz w:val="19"/>
        </w:rPr>
        <w:t>and</w:t>
      </w:r>
      <w:r>
        <w:rPr>
          <w:rFonts w:ascii="Arial" w:hAnsi="Arial"/>
          <w:spacing w:val="-36"/>
          <w:w w:val="105"/>
          <w:sz w:val="19"/>
        </w:rPr>
        <w:t xml:space="preserve"> </w:t>
      </w:r>
      <w:r>
        <w:rPr>
          <w:rFonts w:ascii="Arial" w:hAnsi="Arial"/>
          <w:w w:val="105"/>
          <w:sz w:val="19"/>
        </w:rPr>
        <w:t>Pharmaceutical</w:t>
      </w:r>
      <w:r>
        <w:rPr>
          <w:rFonts w:ascii="Arial" w:hAnsi="Arial"/>
          <w:spacing w:val="-37"/>
          <w:w w:val="105"/>
          <w:sz w:val="19"/>
        </w:rPr>
        <w:t xml:space="preserve"> </w:t>
      </w:r>
      <w:r>
        <w:rPr>
          <w:rFonts w:ascii="Arial" w:hAnsi="Arial"/>
          <w:w w:val="105"/>
          <w:sz w:val="19"/>
        </w:rPr>
        <w:t>Inspection</w:t>
      </w:r>
      <w:r>
        <w:rPr>
          <w:rFonts w:ascii="Arial" w:hAnsi="Arial"/>
          <w:spacing w:val="-35"/>
          <w:w w:val="105"/>
          <w:sz w:val="19"/>
        </w:rPr>
        <w:t xml:space="preserve"> </w:t>
      </w:r>
      <w:r>
        <w:rPr>
          <w:rFonts w:ascii="Arial" w:hAnsi="Arial"/>
          <w:w w:val="105"/>
          <w:sz w:val="19"/>
        </w:rPr>
        <w:t>Co-Operation Scheme</w:t>
      </w:r>
      <w:r>
        <w:rPr>
          <w:rFonts w:ascii="Arial" w:hAnsi="Arial"/>
          <w:spacing w:val="-28"/>
          <w:w w:val="105"/>
          <w:sz w:val="19"/>
        </w:rPr>
        <w:t xml:space="preserve"> </w:t>
      </w:r>
      <w:r>
        <w:rPr>
          <w:rFonts w:ascii="Arial" w:hAnsi="Arial"/>
          <w:w w:val="105"/>
          <w:sz w:val="19"/>
        </w:rPr>
        <w:t>(jointly</w:t>
      </w:r>
      <w:r>
        <w:rPr>
          <w:rFonts w:ascii="Arial" w:hAnsi="Arial"/>
          <w:spacing w:val="-27"/>
          <w:w w:val="105"/>
          <w:sz w:val="19"/>
        </w:rPr>
        <w:t xml:space="preserve"> </w:t>
      </w:r>
      <w:r>
        <w:rPr>
          <w:rFonts w:ascii="Arial" w:hAnsi="Arial"/>
          <w:w w:val="105"/>
          <w:sz w:val="19"/>
        </w:rPr>
        <w:t>known</w:t>
      </w:r>
      <w:r>
        <w:rPr>
          <w:rFonts w:ascii="Arial" w:hAnsi="Arial"/>
          <w:spacing w:val="-26"/>
          <w:w w:val="105"/>
          <w:sz w:val="19"/>
        </w:rPr>
        <w:t xml:space="preserve"> </w:t>
      </w:r>
      <w:r>
        <w:rPr>
          <w:rFonts w:ascii="Arial" w:hAnsi="Arial"/>
          <w:w w:val="105"/>
          <w:sz w:val="19"/>
        </w:rPr>
        <w:t>as</w:t>
      </w:r>
      <w:r>
        <w:rPr>
          <w:rFonts w:ascii="Arial" w:hAnsi="Arial"/>
          <w:spacing w:val="-28"/>
          <w:w w:val="105"/>
          <w:sz w:val="19"/>
        </w:rPr>
        <w:t xml:space="preserve"> </w:t>
      </w:r>
      <w:r>
        <w:rPr>
          <w:rFonts w:ascii="Arial" w:hAnsi="Arial"/>
          <w:w w:val="105"/>
          <w:sz w:val="19"/>
        </w:rPr>
        <w:t>PIC/S)</w:t>
      </w:r>
      <w:r>
        <w:rPr>
          <w:rFonts w:ascii="Arial" w:hAnsi="Arial"/>
          <w:spacing w:val="-27"/>
          <w:w w:val="105"/>
          <w:sz w:val="19"/>
        </w:rPr>
        <w:t xml:space="preserve"> </w:t>
      </w:r>
      <w:r>
        <w:rPr>
          <w:rFonts w:ascii="Arial" w:hAnsi="Arial"/>
          <w:w w:val="105"/>
          <w:sz w:val="19"/>
        </w:rPr>
        <w:t>have</w:t>
      </w:r>
      <w:r>
        <w:rPr>
          <w:rFonts w:ascii="Arial" w:hAnsi="Arial"/>
          <w:spacing w:val="-25"/>
          <w:w w:val="105"/>
          <w:sz w:val="19"/>
        </w:rPr>
        <w:t xml:space="preserve"> </w:t>
      </w:r>
      <w:r>
        <w:rPr>
          <w:rFonts w:ascii="Arial" w:hAnsi="Arial"/>
          <w:w w:val="105"/>
          <w:sz w:val="19"/>
        </w:rPr>
        <w:t>developed</w:t>
      </w:r>
      <w:r>
        <w:rPr>
          <w:rFonts w:ascii="Arial" w:hAnsi="Arial"/>
          <w:spacing w:val="-28"/>
          <w:w w:val="105"/>
          <w:sz w:val="19"/>
        </w:rPr>
        <w:t xml:space="preserve"> </w:t>
      </w:r>
      <w:r>
        <w:rPr>
          <w:rFonts w:ascii="Arial" w:hAnsi="Arial"/>
          <w:w w:val="105"/>
          <w:sz w:val="19"/>
        </w:rPr>
        <w:t>international</w:t>
      </w:r>
      <w:r>
        <w:rPr>
          <w:rFonts w:ascii="Arial" w:hAnsi="Arial"/>
          <w:spacing w:val="-27"/>
          <w:w w:val="105"/>
          <w:sz w:val="19"/>
        </w:rPr>
        <w:t xml:space="preserve"> </w:t>
      </w:r>
      <w:r>
        <w:rPr>
          <w:rFonts w:ascii="Arial" w:hAnsi="Arial"/>
          <w:w w:val="105"/>
          <w:sz w:val="19"/>
        </w:rPr>
        <w:t>standards</w:t>
      </w:r>
      <w:r>
        <w:rPr>
          <w:rFonts w:ascii="Arial" w:hAnsi="Arial"/>
          <w:spacing w:val="-26"/>
          <w:w w:val="105"/>
          <w:sz w:val="19"/>
        </w:rPr>
        <w:t xml:space="preserve"> </w:t>
      </w:r>
      <w:r>
        <w:rPr>
          <w:rFonts w:ascii="Arial" w:hAnsi="Arial"/>
          <w:w w:val="105"/>
          <w:sz w:val="19"/>
        </w:rPr>
        <w:t>between</w:t>
      </w:r>
      <w:r>
        <w:rPr>
          <w:rFonts w:ascii="Arial" w:hAnsi="Arial"/>
          <w:spacing w:val="-27"/>
          <w:w w:val="105"/>
          <w:sz w:val="19"/>
        </w:rPr>
        <w:t xml:space="preserve"> </w:t>
      </w:r>
      <w:r>
        <w:rPr>
          <w:rFonts w:ascii="Arial" w:hAnsi="Arial"/>
          <w:w w:val="105"/>
          <w:sz w:val="19"/>
        </w:rPr>
        <w:t>countries</w:t>
      </w:r>
      <w:r>
        <w:rPr>
          <w:rFonts w:ascii="Arial" w:hAnsi="Arial"/>
          <w:spacing w:val="-27"/>
          <w:w w:val="105"/>
          <w:sz w:val="19"/>
        </w:rPr>
        <w:t xml:space="preserve"> </w:t>
      </w:r>
      <w:r>
        <w:rPr>
          <w:rFonts w:ascii="Arial" w:hAnsi="Arial"/>
          <w:w w:val="105"/>
          <w:sz w:val="19"/>
        </w:rPr>
        <w:t>and pharmaceutical</w:t>
      </w:r>
      <w:r>
        <w:rPr>
          <w:rFonts w:ascii="Arial" w:hAnsi="Arial"/>
          <w:spacing w:val="-32"/>
          <w:w w:val="105"/>
          <w:sz w:val="19"/>
        </w:rPr>
        <w:t xml:space="preserve"> </w:t>
      </w:r>
      <w:r>
        <w:rPr>
          <w:rFonts w:ascii="Arial" w:hAnsi="Arial"/>
          <w:w w:val="105"/>
          <w:sz w:val="19"/>
        </w:rPr>
        <w:t>inspection</w:t>
      </w:r>
      <w:r>
        <w:rPr>
          <w:rFonts w:ascii="Arial" w:hAnsi="Arial"/>
          <w:spacing w:val="-30"/>
          <w:w w:val="105"/>
          <w:sz w:val="19"/>
        </w:rPr>
        <w:t xml:space="preserve"> </w:t>
      </w:r>
      <w:r>
        <w:rPr>
          <w:rFonts w:ascii="Arial" w:hAnsi="Arial"/>
          <w:w w:val="105"/>
          <w:sz w:val="19"/>
        </w:rPr>
        <w:t>authorities</w:t>
      </w:r>
      <w:r>
        <w:rPr>
          <w:rFonts w:ascii="Arial" w:hAnsi="Arial"/>
          <w:spacing w:val="-31"/>
          <w:w w:val="105"/>
          <w:sz w:val="19"/>
        </w:rPr>
        <w:t xml:space="preserve"> </w:t>
      </w:r>
      <w:r>
        <w:rPr>
          <w:rFonts w:ascii="Arial" w:hAnsi="Arial"/>
          <w:w w:val="105"/>
          <w:sz w:val="19"/>
        </w:rPr>
        <w:t>to</w:t>
      </w:r>
      <w:r>
        <w:rPr>
          <w:rFonts w:ascii="Arial" w:hAnsi="Arial"/>
          <w:spacing w:val="-31"/>
          <w:w w:val="105"/>
          <w:sz w:val="19"/>
        </w:rPr>
        <w:t xml:space="preserve"> </w:t>
      </w:r>
      <w:r>
        <w:rPr>
          <w:rFonts w:ascii="Arial" w:hAnsi="Arial"/>
          <w:w w:val="105"/>
          <w:sz w:val="19"/>
        </w:rPr>
        <w:t>provide</w:t>
      </w:r>
      <w:r>
        <w:rPr>
          <w:rFonts w:ascii="Arial" w:hAnsi="Arial"/>
          <w:spacing w:val="-30"/>
          <w:w w:val="105"/>
          <w:sz w:val="19"/>
        </w:rPr>
        <w:t xml:space="preserve"> </w:t>
      </w:r>
      <w:r>
        <w:rPr>
          <w:rFonts w:ascii="Arial" w:hAnsi="Arial"/>
          <w:w w:val="105"/>
          <w:sz w:val="19"/>
        </w:rPr>
        <w:t>a</w:t>
      </w:r>
      <w:r>
        <w:rPr>
          <w:rFonts w:ascii="Arial" w:hAnsi="Arial"/>
          <w:spacing w:val="-31"/>
          <w:w w:val="105"/>
          <w:sz w:val="19"/>
        </w:rPr>
        <w:t xml:space="preserve"> </w:t>
      </w:r>
      <w:proofErr w:type="spellStart"/>
      <w:r>
        <w:rPr>
          <w:rFonts w:ascii="Arial" w:hAnsi="Arial"/>
          <w:w w:val="105"/>
          <w:sz w:val="19"/>
        </w:rPr>
        <w:t>harmonised</w:t>
      </w:r>
      <w:proofErr w:type="spellEnd"/>
      <w:r>
        <w:rPr>
          <w:rFonts w:ascii="Arial" w:hAnsi="Arial"/>
          <w:spacing w:val="-31"/>
          <w:w w:val="105"/>
          <w:sz w:val="19"/>
        </w:rPr>
        <w:t xml:space="preserve"> </w:t>
      </w:r>
      <w:r>
        <w:rPr>
          <w:rFonts w:ascii="Arial" w:hAnsi="Arial"/>
          <w:w w:val="105"/>
          <w:sz w:val="19"/>
        </w:rPr>
        <w:t>approach</w:t>
      </w:r>
      <w:r>
        <w:rPr>
          <w:rFonts w:ascii="Arial" w:hAnsi="Arial"/>
          <w:spacing w:val="-30"/>
          <w:w w:val="105"/>
          <w:sz w:val="19"/>
        </w:rPr>
        <w:t xml:space="preserve"> </w:t>
      </w:r>
      <w:r>
        <w:rPr>
          <w:rFonts w:ascii="Arial" w:hAnsi="Arial"/>
          <w:w w:val="105"/>
          <w:sz w:val="19"/>
        </w:rPr>
        <w:t>to</w:t>
      </w:r>
      <w:r>
        <w:rPr>
          <w:rFonts w:ascii="Arial" w:hAnsi="Arial"/>
          <w:spacing w:val="-32"/>
          <w:w w:val="105"/>
          <w:sz w:val="19"/>
        </w:rPr>
        <w:t xml:space="preserve"> </w:t>
      </w:r>
      <w:r>
        <w:rPr>
          <w:rFonts w:ascii="Arial" w:hAnsi="Arial"/>
          <w:w w:val="105"/>
          <w:sz w:val="19"/>
        </w:rPr>
        <w:t>GMP.</w:t>
      </w:r>
      <w:r>
        <w:rPr>
          <w:rFonts w:ascii="Arial" w:hAnsi="Arial"/>
          <w:spacing w:val="-30"/>
          <w:w w:val="105"/>
          <w:sz w:val="19"/>
        </w:rPr>
        <w:t xml:space="preserve"> </w:t>
      </w:r>
      <w:r>
        <w:rPr>
          <w:rFonts w:ascii="Arial" w:hAnsi="Arial"/>
          <w:w w:val="105"/>
          <w:position w:val="7"/>
          <w:sz w:val="11"/>
        </w:rPr>
        <w:t>21</w:t>
      </w:r>
      <w:r>
        <w:rPr>
          <w:rFonts w:ascii="Arial" w:hAnsi="Arial"/>
          <w:spacing w:val="-7"/>
          <w:w w:val="105"/>
          <w:position w:val="7"/>
          <w:sz w:val="11"/>
        </w:rPr>
        <w:t xml:space="preserve"> </w:t>
      </w:r>
      <w:r>
        <w:rPr>
          <w:rFonts w:ascii="Arial" w:hAnsi="Arial"/>
          <w:w w:val="105"/>
          <w:sz w:val="19"/>
        </w:rPr>
        <w:t>The</w:t>
      </w:r>
      <w:r>
        <w:rPr>
          <w:rFonts w:ascii="Arial" w:hAnsi="Arial"/>
          <w:spacing w:val="-30"/>
          <w:w w:val="105"/>
          <w:sz w:val="19"/>
        </w:rPr>
        <w:t xml:space="preserve"> </w:t>
      </w:r>
      <w:r>
        <w:rPr>
          <w:rFonts w:ascii="Arial" w:hAnsi="Arial"/>
          <w:w w:val="105"/>
          <w:sz w:val="19"/>
        </w:rPr>
        <w:t>sections</w:t>
      </w:r>
      <w:r>
        <w:rPr>
          <w:rFonts w:ascii="Arial" w:hAnsi="Arial"/>
          <w:spacing w:val="-30"/>
          <w:w w:val="105"/>
          <w:sz w:val="19"/>
        </w:rPr>
        <w:t xml:space="preserve"> </w:t>
      </w:r>
      <w:r>
        <w:rPr>
          <w:rFonts w:ascii="Arial" w:hAnsi="Arial"/>
          <w:w w:val="105"/>
          <w:sz w:val="19"/>
        </w:rPr>
        <w:t>of the</w:t>
      </w:r>
      <w:r>
        <w:rPr>
          <w:rFonts w:ascii="Arial" w:hAnsi="Arial"/>
          <w:spacing w:val="-19"/>
          <w:w w:val="105"/>
          <w:sz w:val="19"/>
        </w:rPr>
        <w:t xml:space="preserve"> </w:t>
      </w:r>
      <w:r>
        <w:rPr>
          <w:rFonts w:ascii="Arial" w:hAnsi="Arial"/>
          <w:w w:val="105"/>
          <w:sz w:val="19"/>
        </w:rPr>
        <w:t>PIC/S</w:t>
      </w:r>
      <w:r>
        <w:rPr>
          <w:rFonts w:ascii="Arial" w:hAnsi="Arial"/>
          <w:spacing w:val="-18"/>
          <w:w w:val="105"/>
          <w:sz w:val="19"/>
        </w:rPr>
        <w:t xml:space="preserve"> </w:t>
      </w:r>
      <w:r>
        <w:rPr>
          <w:rFonts w:ascii="Arial" w:hAnsi="Arial"/>
          <w:w w:val="105"/>
          <w:sz w:val="19"/>
        </w:rPr>
        <w:t>guide</w:t>
      </w:r>
      <w:r>
        <w:rPr>
          <w:rFonts w:ascii="Arial" w:hAnsi="Arial"/>
          <w:spacing w:val="-17"/>
          <w:w w:val="105"/>
          <w:sz w:val="19"/>
        </w:rPr>
        <w:t xml:space="preserve"> </w:t>
      </w:r>
      <w:r>
        <w:rPr>
          <w:rFonts w:ascii="Arial" w:hAnsi="Arial"/>
          <w:w w:val="105"/>
          <w:sz w:val="19"/>
        </w:rPr>
        <w:t>that</w:t>
      </w:r>
      <w:r>
        <w:rPr>
          <w:rFonts w:ascii="Arial" w:hAnsi="Arial"/>
          <w:spacing w:val="-17"/>
          <w:w w:val="105"/>
          <w:sz w:val="19"/>
        </w:rPr>
        <w:t xml:space="preserve"> </w:t>
      </w:r>
      <w:r>
        <w:rPr>
          <w:rFonts w:ascii="Arial" w:hAnsi="Arial"/>
          <w:w w:val="105"/>
          <w:sz w:val="19"/>
        </w:rPr>
        <w:t>apply</w:t>
      </w:r>
      <w:r>
        <w:rPr>
          <w:rFonts w:ascii="Arial" w:hAnsi="Arial"/>
          <w:spacing w:val="-20"/>
          <w:w w:val="105"/>
          <w:sz w:val="19"/>
        </w:rPr>
        <w:t xml:space="preserve"> </w:t>
      </w:r>
      <w:r>
        <w:rPr>
          <w:rFonts w:ascii="Arial" w:hAnsi="Arial"/>
          <w:w w:val="105"/>
          <w:sz w:val="19"/>
        </w:rPr>
        <w:t>will</w:t>
      </w:r>
      <w:r>
        <w:rPr>
          <w:rFonts w:ascii="Arial" w:hAnsi="Arial"/>
          <w:spacing w:val="-17"/>
          <w:w w:val="105"/>
          <w:sz w:val="19"/>
        </w:rPr>
        <w:t xml:space="preserve"> </w:t>
      </w:r>
      <w:r>
        <w:rPr>
          <w:rFonts w:ascii="Arial" w:hAnsi="Arial"/>
          <w:w w:val="105"/>
          <w:sz w:val="19"/>
        </w:rPr>
        <w:t>be</w:t>
      </w:r>
      <w:r>
        <w:rPr>
          <w:rFonts w:ascii="Arial" w:hAnsi="Arial"/>
          <w:spacing w:val="-17"/>
          <w:w w:val="105"/>
          <w:sz w:val="19"/>
        </w:rPr>
        <w:t xml:space="preserve"> </w:t>
      </w:r>
      <w:r>
        <w:rPr>
          <w:rFonts w:ascii="Arial" w:hAnsi="Arial"/>
          <w:w w:val="105"/>
          <w:sz w:val="19"/>
        </w:rPr>
        <w:t>determined</w:t>
      </w:r>
      <w:r>
        <w:rPr>
          <w:rFonts w:ascii="Arial" w:hAnsi="Arial"/>
          <w:spacing w:val="-19"/>
          <w:w w:val="105"/>
          <w:sz w:val="19"/>
        </w:rPr>
        <w:t xml:space="preserve"> </w:t>
      </w:r>
      <w:r>
        <w:rPr>
          <w:rFonts w:ascii="Arial" w:hAnsi="Arial"/>
          <w:w w:val="105"/>
          <w:sz w:val="19"/>
        </w:rPr>
        <w:t>by</w:t>
      </w:r>
      <w:r>
        <w:rPr>
          <w:rFonts w:ascii="Arial" w:hAnsi="Arial"/>
          <w:spacing w:val="-17"/>
          <w:w w:val="105"/>
          <w:sz w:val="19"/>
        </w:rPr>
        <w:t xml:space="preserve"> </w:t>
      </w:r>
      <w:r>
        <w:rPr>
          <w:rFonts w:ascii="Arial" w:hAnsi="Arial"/>
          <w:w w:val="105"/>
          <w:sz w:val="19"/>
        </w:rPr>
        <w:t>the</w:t>
      </w:r>
      <w:r>
        <w:rPr>
          <w:rFonts w:ascii="Arial" w:hAnsi="Arial"/>
          <w:spacing w:val="-19"/>
          <w:w w:val="105"/>
          <w:sz w:val="19"/>
        </w:rPr>
        <w:t xml:space="preserve"> </w:t>
      </w:r>
      <w:r>
        <w:rPr>
          <w:rFonts w:ascii="Arial" w:hAnsi="Arial"/>
          <w:w w:val="105"/>
          <w:sz w:val="19"/>
        </w:rPr>
        <w:t>nature</w:t>
      </w:r>
      <w:r>
        <w:rPr>
          <w:rFonts w:ascii="Arial" w:hAnsi="Arial"/>
          <w:spacing w:val="-17"/>
          <w:w w:val="105"/>
          <w:sz w:val="19"/>
        </w:rPr>
        <w:t xml:space="preserve"> </w:t>
      </w:r>
      <w:r>
        <w:rPr>
          <w:rFonts w:ascii="Arial" w:hAnsi="Arial"/>
          <w:w w:val="105"/>
          <w:sz w:val="19"/>
        </w:rPr>
        <w:t>of</w:t>
      </w:r>
      <w:r>
        <w:rPr>
          <w:rFonts w:ascii="Arial" w:hAnsi="Arial"/>
          <w:spacing w:val="-19"/>
          <w:w w:val="105"/>
          <w:sz w:val="19"/>
        </w:rPr>
        <w:t xml:space="preserve"> </w:t>
      </w:r>
      <w:r>
        <w:rPr>
          <w:rFonts w:ascii="Arial" w:hAnsi="Arial"/>
          <w:w w:val="105"/>
          <w:sz w:val="19"/>
        </w:rPr>
        <w:t>manufacturing</w:t>
      </w:r>
      <w:r>
        <w:rPr>
          <w:rFonts w:ascii="Arial" w:hAnsi="Arial"/>
          <w:spacing w:val="-19"/>
          <w:w w:val="105"/>
          <w:sz w:val="19"/>
        </w:rPr>
        <w:t xml:space="preserve"> </w:t>
      </w:r>
      <w:r>
        <w:rPr>
          <w:rFonts w:ascii="Arial" w:hAnsi="Arial"/>
          <w:w w:val="105"/>
          <w:sz w:val="19"/>
        </w:rPr>
        <w:t>operations</w:t>
      </w:r>
      <w:r>
        <w:rPr>
          <w:rFonts w:ascii="Arial" w:hAnsi="Arial"/>
          <w:spacing w:val="-18"/>
          <w:w w:val="105"/>
          <w:sz w:val="19"/>
        </w:rPr>
        <w:t xml:space="preserve"> </w:t>
      </w:r>
      <w:r>
        <w:rPr>
          <w:rFonts w:ascii="Arial" w:hAnsi="Arial"/>
          <w:w w:val="105"/>
          <w:sz w:val="19"/>
        </w:rPr>
        <w:t>and</w:t>
      </w:r>
      <w:r>
        <w:rPr>
          <w:rFonts w:ascii="Arial" w:hAnsi="Arial"/>
          <w:spacing w:val="-20"/>
          <w:w w:val="105"/>
          <w:sz w:val="19"/>
        </w:rPr>
        <w:t xml:space="preserve"> </w:t>
      </w:r>
      <w:r>
        <w:rPr>
          <w:rFonts w:ascii="Arial" w:hAnsi="Arial"/>
          <w:w w:val="105"/>
          <w:sz w:val="19"/>
        </w:rPr>
        <w:t>the types</w:t>
      </w:r>
      <w:r>
        <w:rPr>
          <w:rFonts w:ascii="Arial" w:hAnsi="Arial"/>
          <w:spacing w:val="-29"/>
          <w:w w:val="105"/>
          <w:sz w:val="19"/>
        </w:rPr>
        <w:t xml:space="preserve"> </w:t>
      </w:r>
      <w:r>
        <w:rPr>
          <w:rFonts w:ascii="Arial" w:hAnsi="Arial"/>
          <w:w w:val="105"/>
          <w:sz w:val="19"/>
        </w:rPr>
        <w:t>of</w:t>
      </w:r>
      <w:r>
        <w:rPr>
          <w:rFonts w:ascii="Arial" w:hAnsi="Arial"/>
          <w:spacing w:val="-31"/>
          <w:w w:val="105"/>
          <w:sz w:val="19"/>
        </w:rPr>
        <w:t xml:space="preserve"> </w:t>
      </w:r>
      <w:r>
        <w:rPr>
          <w:rFonts w:ascii="Arial" w:hAnsi="Arial"/>
          <w:w w:val="105"/>
          <w:sz w:val="19"/>
        </w:rPr>
        <w:t>products</w:t>
      </w:r>
      <w:r>
        <w:rPr>
          <w:rFonts w:ascii="Arial" w:hAnsi="Arial"/>
          <w:spacing w:val="-30"/>
          <w:w w:val="105"/>
          <w:sz w:val="19"/>
        </w:rPr>
        <w:t xml:space="preserve"> </w:t>
      </w:r>
      <w:r>
        <w:rPr>
          <w:rFonts w:ascii="Arial" w:hAnsi="Arial"/>
          <w:w w:val="105"/>
          <w:sz w:val="19"/>
        </w:rPr>
        <w:t>and</w:t>
      </w:r>
      <w:r>
        <w:rPr>
          <w:rFonts w:ascii="Arial" w:hAnsi="Arial"/>
          <w:spacing w:val="-30"/>
          <w:w w:val="105"/>
          <w:sz w:val="19"/>
        </w:rPr>
        <w:t xml:space="preserve"> </w:t>
      </w:r>
      <w:r>
        <w:rPr>
          <w:rFonts w:ascii="Arial" w:hAnsi="Arial"/>
          <w:w w:val="105"/>
          <w:sz w:val="19"/>
        </w:rPr>
        <w:t>dosage</w:t>
      </w:r>
      <w:r>
        <w:rPr>
          <w:rFonts w:ascii="Arial" w:hAnsi="Arial"/>
          <w:spacing w:val="-28"/>
          <w:w w:val="105"/>
          <w:sz w:val="19"/>
        </w:rPr>
        <w:t xml:space="preserve"> </w:t>
      </w:r>
      <w:r>
        <w:rPr>
          <w:rFonts w:ascii="Arial" w:hAnsi="Arial"/>
          <w:w w:val="105"/>
          <w:sz w:val="19"/>
        </w:rPr>
        <w:t>forms</w:t>
      </w:r>
      <w:r>
        <w:rPr>
          <w:rFonts w:ascii="Arial" w:hAnsi="Arial"/>
          <w:spacing w:val="-29"/>
          <w:w w:val="105"/>
          <w:sz w:val="19"/>
        </w:rPr>
        <w:t xml:space="preserve"> </w:t>
      </w:r>
      <w:r>
        <w:rPr>
          <w:rFonts w:ascii="Arial" w:hAnsi="Arial"/>
          <w:w w:val="105"/>
          <w:sz w:val="19"/>
        </w:rPr>
        <w:t>manufactured.</w:t>
      </w:r>
      <w:r>
        <w:rPr>
          <w:rFonts w:ascii="Arial" w:hAnsi="Arial"/>
          <w:w w:val="105"/>
          <w:position w:val="7"/>
          <w:sz w:val="11"/>
        </w:rPr>
        <w:t>22</w:t>
      </w:r>
      <w:r>
        <w:rPr>
          <w:rFonts w:ascii="Arial" w:hAnsi="Arial"/>
          <w:spacing w:val="-5"/>
          <w:w w:val="105"/>
          <w:position w:val="7"/>
          <w:sz w:val="11"/>
        </w:rPr>
        <w:t xml:space="preserve"> </w:t>
      </w:r>
      <w:r>
        <w:rPr>
          <w:rFonts w:ascii="Arial" w:hAnsi="Arial"/>
          <w:w w:val="105"/>
          <w:sz w:val="19"/>
        </w:rPr>
        <w:t>Australian</w:t>
      </w:r>
      <w:r>
        <w:rPr>
          <w:rFonts w:ascii="Arial" w:hAnsi="Arial"/>
          <w:spacing w:val="-30"/>
          <w:w w:val="105"/>
          <w:sz w:val="19"/>
        </w:rPr>
        <w:t xml:space="preserve"> </w:t>
      </w:r>
      <w:r>
        <w:rPr>
          <w:rFonts w:ascii="Arial" w:hAnsi="Arial"/>
          <w:w w:val="105"/>
          <w:sz w:val="19"/>
        </w:rPr>
        <w:t>sponsors</w:t>
      </w:r>
      <w:r>
        <w:rPr>
          <w:rFonts w:ascii="Arial" w:hAnsi="Arial"/>
          <w:spacing w:val="-29"/>
          <w:w w:val="105"/>
          <w:sz w:val="19"/>
        </w:rPr>
        <w:t xml:space="preserve"> </w:t>
      </w:r>
      <w:r>
        <w:rPr>
          <w:rFonts w:ascii="Arial" w:hAnsi="Arial"/>
          <w:w w:val="105"/>
          <w:sz w:val="19"/>
        </w:rPr>
        <w:t>may</w:t>
      </w:r>
      <w:r>
        <w:rPr>
          <w:rFonts w:ascii="Arial" w:hAnsi="Arial"/>
          <w:spacing w:val="-29"/>
          <w:w w:val="105"/>
          <w:sz w:val="19"/>
        </w:rPr>
        <w:t xml:space="preserve"> </w:t>
      </w:r>
      <w:r>
        <w:rPr>
          <w:rFonts w:ascii="Arial" w:hAnsi="Arial"/>
          <w:w w:val="105"/>
          <w:sz w:val="19"/>
        </w:rPr>
        <w:t>also</w:t>
      </w:r>
      <w:r>
        <w:rPr>
          <w:rFonts w:ascii="Arial" w:hAnsi="Arial"/>
          <w:spacing w:val="-29"/>
          <w:w w:val="105"/>
          <w:sz w:val="19"/>
        </w:rPr>
        <w:t xml:space="preserve"> </w:t>
      </w:r>
      <w:r>
        <w:rPr>
          <w:rFonts w:ascii="Arial" w:hAnsi="Arial"/>
          <w:w w:val="105"/>
          <w:sz w:val="19"/>
        </w:rPr>
        <w:t>import</w:t>
      </w:r>
      <w:r>
        <w:rPr>
          <w:rFonts w:ascii="Arial" w:hAnsi="Arial"/>
          <w:spacing w:val="-28"/>
          <w:w w:val="105"/>
          <w:sz w:val="19"/>
        </w:rPr>
        <w:t xml:space="preserve"> </w:t>
      </w:r>
      <w:r>
        <w:rPr>
          <w:rFonts w:ascii="Arial" w:hAnsi="Arial"/>
          <w:w w:val="105"/>
          <w:sz w:val="19"/>
        </w:rPr>
        <w:t>products from overseas manufacturers who meet the TGA’s GMP requirements via either the Mutual Recognition</w:t>
      </w:r>
      <w:r>
        <w:rPr>
          <w:rFonts w:ascii="Arial" w:hAnsi="Arial"/>
          <w:spacing w:val="-35"/>
          <w:w w:val="105"/>
          <w:sz w:val="19"/>
        </w:rPr>
        <w:t xml:space="preserve"> </w:t>
      </w:r>
      <w:r>
        <w:rPr>
          <w:rFonts w:ascii="Arial" w:hAnsi="Arial"/>
          <w:w w:val="105"/>
          <w:sz w:val="19"/>
        </w:rPr>
        <w:t>Agreement</w:t>
      </w:r>
      <w:r>
        <w:rPr>
          <w:rFonts w:ascii="Arial" w:hAnsi="Arial"/>
          <w:spacing w:val="-33"/>
          <w:w w:val="105"/>
          <w:sz w:val="19"/>
        </w:rPr>
        <w:t xml:space="preserve"> </w:t>
      </w:r>
      <w:r>
        <w:rPr>
          <w:rFonts w:ascii="Arial" w:hAnsi="Arial"/>
          <w:w w:val="105"/>
          <w:sz w:val="19"/>
        </w:rPr>
        <w:t>(MRA)</w:t>
      </w:r>
      <w:r>
        <w:rPr>
          <w:rFonts w:ascii="Arial" w:hAnsi="Arial"/>
          <w:spacing w:val="-33"/>
          <w:w w:val="105"/>
          <w:sz w:val="19"/>
        </w:rPr>
        <w:t xml:space="preserve"> </w:t>
      </w:r>
      <w:r>
        <w:rPr>
          <w:rFonts w:ascii="Arial" w:hAnsi="Arial"/>
          <w:w w:val="105"/>
          <w:sz w:val="19"/>
        </w:rPr>
        <w:t>GMP</w:t>
      </w:r>
      <w:r>
        <w:rPr>
          <w:rFonts w:ascii="Arial" w:hAnsi="Arial"/>
          <w:spacing w:val="-33"/>
          <w:w w:val="105"/>
          <w:sz w:val="19"/>
        </w:rPr>
        <w:t xml:space="preserve"> </w:t>
      </w:r>
      <w:r>
        <w:rPr>
          <w:rFonts w:ascii="Arial" w:hAnsi="Arial"/>
          <w:w w:val="105"/>
          <w:sz w:val="19"/>
        </w:rPr>
        <w:t>clearance</w:t>
      </w:r>
      <w:r>
        <w:rPr>
          <w:rFonts w:ascii="Arial" w:hAnsi="Arial"/>
          <w:spacing w:val="-35"/>
          <w:w w:val="105"/>
          <w:sz w:val="19"/>
        </w:rPr>
        <w:t xml:space="preserve"> </w:t>
      </w:r>
      <w:r>
        <w:rPr>
          <w:rFonts w:ascii="Arial" w:hAnsi="Arial"/>
          <w:w w:val="105"/>
          <w:sz w:val="19"/>
        </w:rPr>
        <w:t>pathway</w:t>
      </w:r>
      <w:r>
        <w:rPr>
          <w:rFonts w:ascii="Arial" w:hAnsi="Arial"/>
          <w:spacing w:val="-33"/>
          <w:w w:val="105"/>
          <w:sz w:val="19"/>
        </w:rPr>
        <w:t xml:space="preserve"> </w:t>
      </w:r>
      <w:r>
        <w:rPr>
          <w:rFonts w:ascii="Arial" w:hAnsi="Arial"/>
          <w:w w:val="105"/>
          <w:sz w:val="19"/>
        </w:rPr>
        <w:t>or</w:t>
      </w:r>
      <w:r>
        <w:rPr>
          <w:rFonts w:ascii="Arial" w:hAnsi="Arial"/>
          <w:spacing w:val="-33"/>
          <w:w w:val="105"/>
          <w:sz w:val="19"/>
        </w:rPr>
        <w:t xml:space="preserve"> </w:t>
      </w:r>
      <w:r>
        <w:rPr>
          <w:rFonts w:ascii="Arial" w:hAnsi="Arial"/>
          <w:w w:val="105"/>
          <w:sz w:val="19"/>
        </w:rPr>
        <w:t>the</w:t>
      </w:r>
      <w:r>
        <w:rPr>
          <w:rFonts w:ascii="Arial" w:hAnsi="Arial"/>
          <w:spacing w:val="-33"/>
          <w:w w:val="105"/>
          <w:sz w:val="19"/>
        </w:rPr>
        <w:t xml:space="preserve"> </w:t>
      </w:r>
      <w:r>
        <w:rPr>
          <w:rFonts w:ascii="Arial" w:hAnsi="Arial"/>
          <w:w w:val="105"/>
          <w:sz w:val="19"/>
        </w:rPr>
        <w:t>Compliance</w:t>
      </w:r>
      <w:r>
        <w:rPr>
          <w:rFonts w:ascii="Arial" w:hAnsi="Arial"/>
          <w:spacing w:val="-35"/>
          <w:w w:val="105"/>
          <w:sz w:val="19"/>
        </w:rPr>
        <w:t xml:space="preserve"> </w:t>
      </w:r>
      <w:r>
        <w:rPr>
          <w:rFonts w:ascii="Arial" w:hAnsi="Arial"/>
          <w:w w:val="105"/>
          <w:sz w:val="19"/>
        </w:rPr>
        <w:t>Verification</w:t>
      </w:r>
      <w:r>
        <w:rPr>
          <w:rFonts w:ascii="Arial" w:hAnsi="Arial"/>
          <w:spacing w:val="-33"/>
          <w:w w:val="105"/>
          <w:sz w:val="19"/>
        </w:rPr>
        <w:t xml:space="preserve"> </w:t>
      </w:r>
      <w:r>
        <w:rPr>
          <w:rFonts w:ascii="Arial" w:hAnsi="Arial"/>
          <w:w w:val="105"/>
          <w:sz w:val="19"/>
        </w:rPr>
        <w:t>(CV)</w:t>
      </w:r>
      <w:r>
        <w:rPr>
          <w:rFonts w:ascii="Arial" w:hAnsi="Arial"/>
          <w:spacing w:val="-33"/>
          <w:w w:val="105"/>
          <w:sz w:val="19"/>
        </w:rPr>
        <w:t xml:space="preserve"> </w:t>
      </w:r>
      <w:r>
        <w:rPr>
          <w:rFonts w:ascii="Arial" w:hAnsi="Arial"/>
          <w:w w:val="105"/>
          <w:sz w:val="19"/>
        </w:rPr>
        <w:t>GMP clearance</w:t>
      </w:r>
      <w:r>
        <w:rPr>
          <w:rFonts w:ascii="Arial" w:hAnsi="Arial"/>
          <w:spacing w:val="-13"/>
          <w:w w:val="105"/>
          <w:sz w:val="19"/>
        </w:rPr>
        <w:t xml:space="preserve"> </w:t>
      </w:r>
      <w:r>
        <w:rPr>
          <w:rFonts w:ascii="Arial" w:hAnsi="Arial"/>
          <w:w w:val="105"/>
          <w:sz w:val="19"/>
        </w:rPr>
        <w:t>pathway.</w:t>
      </w:r>
      <w:r>
        <w:rPr>
          <w:rFonts w:ascii="Arial" w:hAnsi="Arial"/>
          <w:w w:val="105"/>
          <w:position w:val="7"/>
          <w:sz w:val="11"/>
        </w:rPr>
        <w:t>23</w:t>
      </w:r>
    </w:p>
    <w:p w:rsidR="007D76BB" w:rsidRDefault="00D70D28">
      <w:pPr>
        <w:spacing w:before="182" w:line="264" w:lineRule="auto"/>
        <w:ind w:left="482" w:right="900"/>
        <w:rPr>
          <w:rFonts w:ascii="Arial"/>
          <w:sz w:val="19"/>
        </w:rPr>
      </w:pPr>
      <w:r>
        <w:rPr>
          <w:rFonts w:ascii="Arial"/>
          <w:w w:val="105"/>
          <w:sz w:val="19"/>
        </w:rPr>
        <w:t>While</w:t>
      </w:r>
      <w:r>
        <w:rPr>
          <w:rFonts w:ascii="Arial"/>
          <w:spacing w:val="-23"/>
          <w:w w:val="105"/>
          <w:sz w:val="19"/>
        </w:rPr>
        <w:t xml:space="preserve"> </w:t>
      </w:r>
      <w:r>
        <w:rPr>
          <w:rFonts w:ascii="Arial"/>
          <w:w w:val="105"/>
          <w:sz w:val="19"/>
        </w:rPr>
        <w:t>there</w:t>
      </w:r>
      <w:r>
        <w:rPr>
          <w:rFonts w:ascii="Arial"/>
          <w:spacing w:val="-23"/>
          <w:w w:val="105"/>
          <w:sz w:val="19"/>
        </w:rPr>
        <w:t xml:space="preserve"> </w:t>
      </w:r>
      <w:r>
        <w:rPr>
          <w:rFonts w:ascii="Arial"/>
          <w:w w:val="105"/>
          <w:sz w:val="19"/>
        </w:rPr>
        <w:t>is</w:t>
      </w:r>
      <w:r>
        <w:rPr>
          <w:rFonts w:ascii="Arial"/>
          <w:spacing w:val="-25"/>
          <w:w w:val="105"/>
          <w:sz w:val="19"/>
        </w:rPr>
        <w:t xml:space="preserve"> </w:t>
      </w:r>
      <w:r>
        <w:rPr>
          <w:rFonts w:ascii="Arial"/>
          <w:w w:val="105"/>
          <w:sz w:val="19"/>
        </w:rPr>
        <w:t>a</w:t>
      </w:r>
      <w:r>
        <w:rPr>
          <w:rFonts w:ascii="Arial"/>
          <w:spacing w:val="-23"/>
          <w:w w:val="105"/>
          <w:sz w:val="19"/>
        </w:rPr>
        <w:t xml:space="preserve"> </w:t>
      </w:r>
      <w:r>
        <w:rPr>
          <w:rFonts w:ascii="Arial"/>
          <w:w w:val="105"/>
          <w:sz w:val="19"/>
        </w:rPr>
        <w:t>relatively</w:t>
      </w:r>
      <w:r>
        <w:rPr>
          <w:rFonts w:ascii="Arial"/>
          <w:spacing w:val="-26"/>
          <w:w w:val="105"/>
          <w:sz w:val="19"/>
        </w:rPr>
        <w:t xml:space="preserve"> </w:t>
      </w:r>
      <w:r>
        <w:rPr>
          <w:rFonts w:ascii="Arial"/>
          <w:w w:val="105"/>
          <w:sz w:val="19"/>
        </w:rPr>
        <w:t>high</w:t>
      </w:r>
      <w:r>
        <w:rPr>
          <w:rFonts w:ascii="Arial"/>
          <w:spacing w:val="-23"/>
          <w:w w:val="105"/>
          <w:sz w:val="19"/>
        </w:rPr>
        <w:t xml:space="preserve"> </w:t>
      </w:r>
      <w:r>
        <w:rPr>
          <w:rFonts w:ascii="Arial"/>
          <w:w w:val="105"/>
          <w:sz w:val="19"/>
        </w:rPr>
        <w:t>correlation</w:t>
      </w:r>
      <w:r>
        <w:rPr>
          <w:rFonts w:ascii="Arial"/>
          <w:spacing w:val="-23"/>
          <w:w w:val="105"/>
          <w:sz w:val="19"/>
        </w:rPr>
        <w:t xml:space="preserve"> </w:t>
      </w:r>
      <w:r>
        <w:rPr>
          <w:rFonts w:ascii="Arial"/>
          <w:w w:val="105"/>
          <w:sz w:val="19"/>
        </w:rPr>
        <w:t>between</w:t>
      </w:r>
      <w:r>
        <w:rPr>
          <w:rFonts w:ascii="Arial"/>
          <w:spacing w:val="-25"/>
          <w:w w:val="105"/>
          <w:sz w:val="19"/>
        </w:rPr>
        <w:t xml:space="preserve"> </w:t>
      </w:r>
      <w:r>
        <w:rPr>
          <w:rFonts w:ascii="Arial"/>
          <w:w w:val="105"/>
          <w:sz w:val="19"/>
        </w:rPr>
        <w:t>the</w:t>
      </w:r>
      <w:r>
        <w:rPr>
          <w:rFonts w:ascii="Arial"/>
          <w:spacing w:val="-24"/>
          <w:w w:val="105"/>
          <w:sz w:val="19"/>
        </w:rPr>
        <w:t xml:space="preserve"> </w:t>
      </w:r>
      <w:r>
        <w:rPr>
          <w:rFonts w:ascii="Arial"/>
          <w:w w:val="105"/>
          <w:sz w:val="19"/>
        </w:rPr>
        <w:t>elements</w:t>
      </w:r>
      <w:r>
        <w:rPr>
          <w:rFonts w:ascii="Arial"/>
          <w:spacing w:val="-24"/>
          <w:w w:val="105"/>
          <w:sz w:val="19"/>
        </w:rPr>
        <w:t xml:space="preserve"> </w:t>
      </w:r>
      <w:r>
        <w:rPr>
          <w:rFonts w:ascii="Arial"/>
          <w:w w:val="105"/>
          <w:sz w:val="19"/>
        </w:rPr>
        <w:t>of</w:t>
      </w:r>
      <w:r>
        <w:rPr>
          <w:rFonts w:ascii="Arial"/>
          <w:spacing w:val="-24"/>
          <w:w w:val="105"/>
          <w:sz w:val="19"/>
        </w:rPr>
        <w:t xml:space="preserve"> </w:t>
      </w:r>
      <w:r>
        <w:rPr>
          <w:rFonts w:ascii="Arial"/>
          <w:w w:val="105"/>
          <w:sz w:val="19"/>
        </w:rPr>
        <w:t>the</w:t>
      </w:r>
      <w:r>
        <w:rPr>
          <w:rFonts w:ascii="Arial"/>
          <w:spacing w:val="-24"/>
          <w:w w:val="105"/>
          <w:sz w:val="19"/>
        </w:rPr>
        <w:t xml:space="preserve"> </w:t>
      </w:r>
      <w:r>
        <w:rPr>
          <w:rFonts w:ascii="Arial"/>
          <w:w w:val="105"/>
          <w:sz w:val="19"/>
        </w:rPr>
        <w:t>Food</w:t>
      </w:r>
      <w:r>
        <w:rPr>
          <w:rFonts w:ascii="Arial"/>
          <w:spacing w:val="-24"/>
          <w:w w:val="105"/>
          <w:sz w:val="19"/>
        </w:rPr>
        <w:t xml:space="preserve"> </w:t>
      </w:r>
      <w:r>
        <w:rPr>
          <w:rFonts w:ascii="Arial"/>
          <w:w w:val="105"/>
          <w:sz w:val="19"/>
        </w:rPr>
        <w:t>Safety</w:t>
      </w:r>
      <w:r>
        <w:rPr>
          <w:rFonts w:ascii="Arial"/>
          <w:spacing w:val="-24"/>
          <w:w w:val="105"/>
          <w:sz w:val="19"/>
        </w:rPr>
        <w:t xml:space="preserve"> </w:t>
      </w:r>
      <w:r>
        <w:rPr>
          <w:rFonts w:ascii="Arial"/>
          <w:w w:val="105"/>
          <w:sz w:val="19"/>
        </w:rPr>
        <w:t>Standards</w:t>
      </w:r>
      <w:r>
        <w:rPr>
          <w:rFonts w:ascii="Arial"/>
          <w:spacing w:val="-24"/>
          <w:w w:val="105"/>
          <w:sz w:val="19"/>
        </w:rPr>
        <w:t xml:space="preserve"> </w:t>
      </w:r>
      <w:r>
        <w:rPr>
          <w:rFonts w:ascii="Arial"/>
          <w:w w:val="105"/>
          <w:sz w:val="19"/>
        </w:rPr>
        <w:t xml:space="preserve">and </w:t>
      </w:r>
      <w:r>
        <w:rPr>
          <w:rFonts w:ascii="Arial"/>
          <w:spacing w:val="1"/>
          <w:w w:val="134"/>
          <w:sz w:val="19"/>
        </w:rPr>
        <w:t>t</w:t>
      </w:r>
      <w:r>
        <w:rPr>
          <w:rFonts w:ascii="Arial"/>
          <w:spacing w:val="1"/>
          <w:w w:val="101"/>
          <w:sz w:val="19"/>
        </w:rPr>
        <w:t>h</w:t>
      </w:r>
      <w:r>
        <w:rPr>
          <w:rFonts w:ascii="Arial"/>
          <w:w w:val="96"/>
          <w:sz w:val="19"/>
        </w:rPr>
        <w:t>e</w:t>
      </w:r>
      <w:r>
        <w:rPr>
          <w:rFonts w:ascii="Arial"/>
          <w:spacing w:val="-9"/>
          <w:sz w:val="19"/>
        </w:rPr>
        <w:t xml:space="preserve"> </w:t>
      </w:r>
      <w:r>
        <w:rPr>
          <w:rFonts w:ascii="Arial"/>
          <w:w w:val="96"/>
          <w:sz w:val="19"/>
        </w:rPr>
        <w:t>P</w:t>
      </w:r>
      <w:r>
        <w:rPr>
          <w:rFonts w:ascii="Arial"/>
          <w:spacing w:val="1"/>
          <w:w w:val="96"/>
          <w:sz w:val="19"/>
        </w:rPr>
        <w:t>I</w:t>
      </w:r>
      <w:r>
        <w:rPr>
          <w:rFonts w:ascii="Arial"/>
          <w:w w:val="89"/>
          <w:sz w:val="19"/>
        </w:rPr>
        <w:t>C</w:t>
      </w:r>
      <w:r>
        <w:rPr>
          <w:rFonts w:ascii="Arial"/>
          <w:w w:val="175"/>
          <w:sz w:val="19"/>
        </w:rPr>
        <w:t>/</w:t>
      </w:r>
      <w:r>
        <w:rPr>
          <w:rFonts w:ascii="Arial"/>
          <w:spacing w:val="-1"/>
          <w:w w:val="89"/>
          <w:sz w:val="19"/>
        </w:rPr>
        <w:t>S</w:t>
      </w:r>
      <w:r>
        <w:rPr>
          <w:rFonts w:ascii="Arial"/>
          <w:w w:val="80"/>
          <w:sz w:val="19"/>
        </w:rPr>
        <w:t>,</w:t>
      </w:r>
      <w:r>
        <w:rPr>
          <w:rFonts w:ascii="Arial"/>
          <w:spacing w:val="-9"/>
          <w:sz w:val="19"/>
        </w:rPr>
        <w:t xml:space="preserve"> </w:t>
      </w:r>
      <w:r>
        <w:rPr>
          <w:rFonts w:ascii="Arial"/>
          <w:w w:val="134"/>
          <w:sz w:val="19"/>
        </w:rPr>
        <w:t>t</w:t>
      </w:r>
      <w:r>
        <w:rPr>
          <w:rFonts w:ascii="Arial"/>
          <w:spacing w:val="1"/>
          <w:w w:val="101"/>
          <w:sz w:val="19"/>
        </w:rPr>
        <w:t>h</w:t>
      </w:r>
      <w:r>
        <w:rPr>
          <w:rFonts w:ascii="Arial"/>
          <w:w w:val="96"/>
          <w:sz w:val="19"/>
        </w:rPr>
        <w:t>e</w:t>
      </w:r>
      <w:r>
        <w:rPr>
          <w:rFonts w:ascii="Arial"/>
          <w:spacing w:val="-9"/>
          <w:sz w:val="19"/>
        </w:rPr>
        <w:t xml:space="preserve"> </w:t>
      </w:r>
      <w:r>
        <w:rPr>
          <w:rFonts w:ascii="Arial"/>
          <w:w w:val="96"/>
          <w:sz w:val="19"/>
        </w:rPr>
        <w:t>P</w:t>
      </w:r>
      <w:r>
        <w:rPr>
          <w:rFonts w:ascii="Arial"/>
          <w:spacing w:val="1"/>
          <w:w w:val="96"/>
          <w:sz w:val="19"/>
        </w:rPr>
        <w:t>I</w:t>
      </w:r>
      <w:r>
        <w:rPr>
          <w:rFonts w:ascii="Arial"/>
          <w:w w:val="103"/>
          <w:sz w:val="19"/>
        </w:rPr>
        <w:t>C/S</w:t>
      </w:r>
      <w:r>
        <w:rPr>
          <w:rFonts w:ascii="Arial"/>
          <w:spacing w:val="-8"/>
          <w:sz w:val="19"/>
        </w:rPr>
        <w:t xml:space="preserve"> </w:t>
      </w:r>
      <w:r>
        <w:rPr>
          <w:rFonts w:ascii="Arial"/>
          <w:spacing w:val="-2"/>
          <w:w w:val="94"/>
          <w:sz w:val="19"/>
        </w:rPr>
        <w:t>a</w:t>
      </w:r>
      <w:r>
        <w:rPr>
          <w:rFonts w:ascii="Arial"/>
          <w:w w:val="116"/>
          <w:sz w:val="19"/>
        </w:rPr>
        <w:t>r</w:t>
      </w:r>
      <w:r>
        <w:rPr>
          <w:rFonts w:ascii="Arial"/>
          <w:w w:val="96"/>
          <w:sz w:val="19"/>
        </w:rPr>
        <w:t>e</w:t>
      </w:r>
      <w:r>
        <w:rPr>
          <w:rFonts w:ascii="Arial"/>
          <w:spacing w:val="-9"/>
          <w:sz w:val="19"/>
        </w:rPr>
        <w:t xml:space="preserve"> </w:t>
      </w:r>
      <w:r>
        <w:rPr>
          <w:rFonts w:ascii="Arial"/>
          <w:w w:val="103"/>
          <w:sz w:val="19"/>
        </w:rPr>
        <w:t>mo</w:t>
      </w:r>
      <w:r>
        <w:rPr>
          <w:rFonts w:ascii="Arial"/>
          <w:spacing w:val="-2"/>
          <w:w w:val="103"/>
          <w:sz w:val="19"/>
        </w:rPr>
        <w:t>r</w:t>
      </w:r>
      <w:r>
        <w:rPr>
          <w:rFonts w:ascii="Arial"/>
          <w:w w:val="96"/>
          <w:sz w:val="19"/>
        </w:rPr>
        <w:t>e</w:t>
      </w:r>
      <w:r>
        <w:rPr>
          <w:rFonts w:ascii="Arial"/>
          <w:spacing w:val="-7"/>
          <w:sz w:val="19"/>
        </w:rPr>
        <w:t xml:space="preserve"> </w:t>
      </w:r>
      <w:r>
        <w:rPr>
          <w:rFonts w:ascii="Arial"/>
          <w:w w:val="101"/>
          <w:sz w:val="19"/>
        </w:rPr>
        <w:t>p</w:t>
      </w:r>
      <w:r>
        <w:rPr>
          <w:rFonts w:ascii="Arial"/>
          <w:spacing w:val="-2"/>
          <w:w w:val="116"/>
          <w:sz w:val="19"/>
        </w:rPr>
        <w:t>r</w:t>
      </w:r>
      <w:r>
        <w:rPr>
          <w:rFonts w:ascii="Arial"/>
          <w:w w:val="96"/>
          <w:sz w:val="19"/>
        </w:rPr>
        <w:t>esc</w:t>
      </w:r>
      <w:r>
        <w:rPr>
          <w:rFonts w:ascii="Arial"/>
          <w:w w:val="116"/>
          <w:sz w:val="19"/>
        </w:rPr>
        <w:t>r</w:t>
      </w:r>
      <w:r>
        <w:rPr>
          <w:rFonts w:ascii="Arial"/>
          <w:w w:val="104"/>
          <w:sz w:val="19"/>
        </w:rPr>
        <w:t>i</w:t>
      </w:r>
      <w:r>
        <w:rPr>
          <w:rFonts w:ascii="Arial"/>
          <w:spacing w:val="-2"/>
          <w:w w:val="104"/>
          <w:sz w:val="19"/>
        </w:rPr>
        <w:t>p</w:t>
      </w:r>
      <w:r>
        <w:rPr>
          <w:rFonts w:ascii="Arial"/>
          <w:w w:val="134"/>
          <w:sz w:val="19"/>
        </w:rPr>
        <w:t>t</w:t>
      </w:r>
      <w:r>
        <w:rPr>
          <w:rFonts w:ascii="Arial"/>
          <w:w w:val="105"/>
          <w:sz w:val="19"/>
        </w:rPr>
        <w:t>i</w:t>
      </w:r>
      <w:r>
        <w:rPr>
          <w:rFonts w:ascii="Arial"/>
          <w:spacing w:val="-2"/>
          <w:w w:val="105"/>
          <w:sz w:val="19"/>
        </w:rPr>
        <w:t>v</w:t>
      </w:r>
      <w:r>
        <w:rPr>
          <w:rFonts w:ascii="Arial"/>
          <w:w w:val="96"/>
          <w:sz w:val="19"/>
        </w:rPr>
        <w:t>e</w:t>
      </w:r>
      <w:r>
        <w:rPr>
          <w:rFonts w:ascii="Arial"/>
          <w:spacing w:val="-7"/>
          <w:sz w:val="19"/>
        </w:rPr>
        <w:t xml:space="preserve"> </w:t>
      </w:r>
      <w:r>
        <w:rPr>
          <w:rFonts w:ascii="Arial"/>
          <w:w w:val="104"/>
          <w:sz w:val="19"/>
        </w:rPr>
        <w:t>in</w:t>
      </w:r>
      <w:r>
        <w:rPr>
          <w:rFonts w:ascii="Arial"/>
          <w:spacing w:val="-9"/>
          <w:sz w:val="19"/>
        </w:rPr>
        <w:t xml:space="preserve"> </w:t>
      </w:r>
      <w:r>
        <w:rPr>
          <w:rFonts w:ascii="Arial"/>
          <w:w w:val="116"/>
          <w:sz w:val="19"/>
        </w:rPr>
        <w:t>r</w:t>
      </w:r>
      <w:r>
        <w:rPr>
          <w:rFonts w:ascii="Arial"/>
          <w:spacing w:val="-2"/>
          <w:w w:val="96"/>
          <w:sz w:val="19"/>
        </w:rPr>
        <w:t>e</w:t>
      </w:r>
      <w:r>
        <w:rPr>
          <w:rFonts w:ascii="Arial"/>
          <w:w w:val="117"/>
          <w:sz w:val="19"/>
        </w:rPr>
        <w:t>l</w:t>
      </w:r>
      <w:r>
        <w:rPr>
          <w:rFonts w:ascii="Arial"/>
          <w:w w:val="94"/>
          <w:sz w:val="19"/>
        </w:rPr>
        <w:t>a</w:t>
      </w:r>
      <w:r>
        <w:rPr>
          <w:rFonts w:ascii="Arial"/>
          <w:w w:val="134"/>
          <w:sz w:val="19"/>
        </w:rPr>
        <w:t>t</w:t>
      </w:r>
      <w:r>
        <w:rPr>
          <w:rFonts w:ascii="Arial"/>
          <w:w w:val="102"/>
          <w:sz w:val="19"/>
        </w:rPr>
        <w:t>ion</w:t>
      </w:r>
      <w:r>
        <w:rPr>
          <w:rFonts w:ascii="Arial"/>
          <w:spacing w:val="-9"/>
          <w:sz w:val="19"/>
        </w:rPr>
        <w:t xml:space="preserve"> </w:t>
      </w:r>
      <w:r>
        <w:rPr>
          <w:rFonts w:ascii="Arial"/>
          <w:w w:val="134"/>
          <w:sz w:val="19"/>
        </w:rPr>
        <w:t>t</w:t>
      </w:r>
      <w:r>
        <w:rPr>
          <w:rFonts w:ascii="Arial"/>
          <w:sz w:val="19"/>
        </w:rPr>
        <w:t>o</w:t>
      </w:r>
      <w:r>
        <w:rPr>
          <w:rFonts w:ascii="Arial"/>
          <w:spacing w:val="-10"/>
          <w:sz w:val="19"/>
        </w:rPr>
        <w:t xml:space="preserve"> </w:t>
      </w:r>
      <w:r>
        <w:rPr>
          <w:rFonts w:ascii="Arial"/>
          <w:spacing w:val="-2"/>
          <w:w w:val="101"/>
          <w:sz w:val="19"/>
        </w:rPr>
        <w:t>q</w:t>
      </w:r>
      <w:r>
        <w:rPr>
          <w:rFonts w:ascii="Arial"/>
          <w:spacing w:val="1"/>
          <w:w w:val="101"/>
          <w:sz w:val="19"/>
        </w:rPr>
        <w:t>u</w:t>
      </w:r>
      <w:r>
        <w:rPr>
          <w:rFonts w:ascii="Arial"/>
          <w:w w:val="94"/>
          <w:sz w:val="19"/>
        </w:rPr>
        <w:t>a</w:t>
      </w:r>
      <w:r>
        <w:rPr>
          <w:rFonts w:ascii="Arial"/>
          <w:w w:val="117"/>
          <w:sz w:val="19"/>
        </w:rPr>
        <w:t>l</w:t>
      </w:r>
      <w:r>
        <w:rPr>
          <w:rFonts w:ascii="Arial"/>
          <w:w w:val="125"/>
          <w:sz w:val="19"/>
        </w:rPr>
        <w:t>it</w:t>
      </w:r>
      <w:r>
        <w:rPr>
          <w:rFonts w:ascii="Arial"/>
          <w:w w:val="105"/>
          <w:sz w:val="19"/>
        </w:rPr>
        <w:t>y</w:t>
      </w:r>
      <w:r>
        <w:rPr>
          <w:rFonts w:ascii="Arial"/>
          <w:spacing w:val="-10"/>
          <w:sz w:val="19"/>
        </w:rPr>
        <w:t xml:space="preserve"> </w:t>
      </w:r>
      <w:r>
        <w:rPr>
          <w:rFonts w:ascii="Arial"/>
          <w:w w:val="103"/>
          <w:sz w:val="19"/>
        </w:rPr>
        <w:t>syst</w:t>
      </w:r>
      <w:r>
        <w:rPr>
          <w:rFonts w:ascii="Arial"/>
          <w:w w:val="96"/>
          <w:sz w:val="19"/>
        </w:rPr>
        <w:t>e</w:t>
      </w:r>
      <w:r>
        <w:rPr>
          <w:rFonts w:ascii="Arial"/>
          <w:w w:val="98"/>
          <w:sz w:val="19"/>
        </w:rPr>
        <w:t>ms</w:t>
      </w:r>
      <w:r>
        <w:rPr>
          <w:rFonts w:ascii="Arial"/>
          <w:spacing w:val="-10"/>
          <w:sz w:val="19"/>
        </w:rPr>
        <w:t xml:space="preserve"> </w:t>
      </w:r>
      <w:r>
        <w:rPr>
          <w:rFonts w:ascii="Arial"/>
          <w:w w:val="94"/>
          <w:sz w:val="19"/>
        </w:rPr>
        <w:t>a</w:t>
      </w:r>
      <w:r>
        <w:rPr>
          <w:rFonts w:ascii="Arial"/>
          <w:spacing w:val="1"/>
          <w:w w:val="101"/>
          <w:sz w:val="19"/>
        </w:rPr>
        <w:t>n</w:t>
      </w:r>
      <w:r>
        <w:rPr>
          <w:rFonts w:ascii="Arial"/>
          <w:sz w:val="19"/>
        </w:rPr>
        <w:t>d</w:t>
      </w:r>
      <w:r>
        <w:rPr>
          <w:rFonts w:ascii="Arial"/>
          <w:spacing w:val="-11"/>
          <w:sz w:val="19"/>
        </w:rPr>
        <w:t xml:space="preserve"> </w:t>
      </w:r>
      <w:r>
        <w:rPr>
          <w:rFonts w:ascii="Arial"/>
          <w:w w:val="94"/>
          <w:sz w:val="19"/>
        </w:rPr>
        <w:t>a</w:t>
      </w:r>
      <w:r>
        <w:rPr>
          <w:rFonts w:ascii="Arial"/>
          <w:w w:val="96"/>
          <w:sz w:val="19"/>
        </w:rPr>
        <w:t>ssoc</w:t>
      </w:r>
      <w:r>
        <w:rPr>
          <w:rFonts w:ascii="Arial"/>
          <w:sz w:val="19"/>
        </w:rPr>
        <w:t>ia</w:t>
      </w:r>
      <w:r>
        <w:rPr>
          <w:rFonts w:ascii="Arial"/>
          <w:spacing w:val="-2"/>
          <w:w w:val="134"/>
          <w:sz w:val="19"/>
        </w:rPr>
        <w:t>t</w:t>
      </w:r>
      <w:r>
        <w:rPr>
          <w:rFonts w:ascii="Arial"/>
          <w:spacing w:val="-2"/>
          <w:w w:val="96"/>
          <w:sz w:val="19"/>
        </w:rPr>
        <w:t>e</w:t>
      </w:r>
      <w:r>
        <w:rPr>
          <w:rFonts w:ascii="Arial"/>
          <w:sz w:val="19"/>
        </w:rPr>
        <w:t>d</w:t>
      </w:r>
      <w:r>
        <w:rPr>
          <w:rFonts w:ascii="Arial"/>
          <w:spacing w:val="-9"/>
          <w:sz w:val="19"/>
        </w:rPr>
        <w:t xml:space="preserve"> </w:t>
      </w:r>
      <w:r>
        <w:rPr>
          <w:rFonts w:ascii="Arial"/>
          <w:w w:val="108"/>
          <w:sz w:val="19"/>
        </w:rPr>
        <w:t>st</w:t>
      </w:r>
      <w:r>
        <w:rPr>
          <w:rFonts w:ascii="Arial"/>
          <w:w w:val="94"/>
          <w:sz w:val="19"/>
        </w:rPr>
        <w:t>a</w:t>
      </w:r>
      <w:r>
        <w:rPr>
          <w:rFonts w:ascii="Arial"/>
          <w:spacing w:val="-1"/>
          <w:w w:val="119"/>
          <w:sz w:val="19"/>
        </w:rPr>
        <w:t>f</w:t>
      </w:r>
      <w:r>
        <w:rPr>
          <w:rFonts w:ascii="Arial"/>
          <w:w w:val="119"/>
          <w:sz w:val="19"/>
        </w:rPr>
        <w:t xml:space="preserve">f </w:t>
      </w:r>
      <w:r>
        <w:rPr>
          <w:rFonts w:ascii="Arial"/>
          <w:w w:val="105"/>
          <w:sz w:val="19"/>
        </w:rPr>
        <w:t>training,</w:t>
      </w:r>
      <w:r>
        <w:rPr>
          <w:rFonts w:ascii="Arial"/>
          <w:spacing w:val="-25"/>
          <w:w w:val="105"/>
          <w:sz w:val="19"/>
        </w:rPr>
        <w:t xml:space="preserve"> </w:t>
      </w:r>
      <w:r>
        <w:rPr>
          <w:rFonts w:ascii="Arial"/>
          <w:w w:val="105"/>
          <w:sz w:val="19"/>
        </w:rPr>
        <w:t>as</w:t>
      </w:r>
      <w:r>
        <w:rPr>
          <w:rFonts w:ascii="Arial"/>
          <w:spacing w:val="-25"/>
          <w:w w:val="105"/>
          <w:sz w:val="19"/>
        </w:rPr>
        <w:t xml:space="preserve"> </w:t>
      </w:r>
      <w:r>
        <w:rPr>
          <w:rFonts w:ascii="Arial"/>
          <w:w w:val="105"/>
          <w:sz w:val="19"/>
        </w:rPr>
        <w:t>well</w:t>
      </w:r>
      <w:r>
        <w:rPr>
          <w:rFonts w:ascii="Arial"/>
          <w:spacing w:val="-23"/>
          <w:w w:val="105"/>
          <w:sz w:val="19"/>
        </w:rPr>
        <w:t xml:space="preserve"> </w:t>
      </w:r>
      <w:r>
        <w:rPr>
          <w:rFonts w:ascii="Arial"/>
          <w:w w:val="105"/>
          <w:sz w:val="19"/>
        </w:rPr>
        <w:t>as</w:t>
      </w:r>
      <w:r>
        <w:rPr>
          <w:rFonts w:ascii="Arial"/>
          <w:spacing w:val="-24"/>
          <w:w w:val="105"/>
          <w:sz w:val="19"/>
        </w:rPr>
        <w:t xml:space="preserve"> </w:t>
      </w:r>
      <w:r>
        <w:rPr>
          <w:rFonts w:ascii="Arial"/>
          <w:w w:val="105"/>
          <w:sz w:val="19"/>
        </w:rPr>
        <w:t>fit-out</w:t>
      </w:r>
      <w:r>
        <w:rPr>
          <w:rFonts w:ascii="Arial"/>
          <w:spacing w:val="-23"/>
          <w:w w:val="105"/>
          <w:sz w:val="19"/>
        </w:rPr>
        <w:t xml:space="preserve"> </w:t>
      </w:r>
      <w:r>
        <w:rPr>
          <w:rFonts w:ascii="Arial"/>
          <w:w w:val="105"/>
          <w:sz w:val="19"/>
        </w:rPr>
        <w:t>aspects.</w:t>
      </w:r>
      <w:r>
        <w:rPr>
          <w:rFonts w:ascii="Arial"/>
          <w:spacing w:val="-23"/>
          <w:w w:val="105"/>
          <w:sz w:val="19"/>
        </w:rPr>
        <w:t xml:space="preserve"> </w:t>
      </w:r>
      <w:r>
        <w:rPr>
          <w:rFonts w:ascii="Arial"/>
          <w:w w:val="105"/>
          <w:sz w:val="19"/>
        </w:rPr>
        <w:t>These</w:t>
      </w:r>
      <w:r>
        <w:rPr>
          <w:rFonts w:ascii="Arial"/>
          <w:spacing w:val="-22"/>
          <w:w w:val="105"/>
          <w:sz w:val="19"/>
        </w:rPr>
        <w:t xml:space="preserve"> </w:t>
      </w:r>
      <w:r>
        <w:rPr>
          <w:rFonts w:ascii="Arial"/>
          <w:w w:val="105"/>
          <w:sz w:val="19"/>
        </w:rPr>
        <w:t>fit-out</w:t>
      </w:r>
      <w:r>
        <w:rPr>
          <w:rFonts w:ascii="Arial"/>
          <w:spacing w:val="-24"/>
          <w:w w:val="105"/>
          <w:sz w:val="19"/>
        </w:rPr>
        <w:t xml:space="preserve"> </w:t>
      </w:r>
      <w:r>
        <w:rPr>
          <w:rFonts w:ascii="Arial"/>
          <w:w w:val="105"/>
          <w:sz w:val="19"/>
        </w:rPr>
        <w:t>aspects</w:t>
      </w:r>
      <w:r>
        <w:rPr>
          <w:rFonts w:ascii="Arial"/>
          <w:spacing w:val="-24"/>
          <w:w w:val="105"/>
          <w:sz w:val="19"/>
        </w:rPr>
        <w:t xml:space="preserve"> </w:t>
      </w:r>
      <w:r>
        <w:rPr>
          <w:rFonts w:ascii="Arial"/>
          <w:w w:val="105"/>
          <w:sz w:val="19"/>
        </w:rPr>
        <w:t>include</w:t>
      </w:r>
      <w:r>
        <w:rPr>
          <w:rFonts w:ascii="Arial"/>
          <w:spacing w:val="-22"/>
          <w:w w:val="105"/>
          <w:sz w:val="19"/>
        </w:rPr>
        <w:t xml:space="preserve"> </w:t>
      </w:r>
      <w:r>
        <w:rPr>
          <w:rFonts w:ascii="Arial"/>
          <w:w w:val="105"/>
          <w:sz w:val="19"/>
        </w:rPr>
        <w:t>maintaining</w:t>
      </w:r>
      <w:r>
        <w:rPr>
          <w:rFonts w:ascii="Arial"/>
          <w:spacing w:val="-24"/>
          <w:w w:val="105"/>
          <w:sz w:val="19"/>
        </w:rPr>
        <w:t xml:space="preserve"> </w:t>
      </w:r>
      <w:r>
        <w:rPr>
          <w:rFonts w:ascii="Arial"/>
          <w:w w:val="105"/>
          <w:sz w:val="19"/>
        </w:rPr>
        <w:t>positive</w:t>
      </w:r>
      <w:r>
        <w:rPr>
          <w:rFonts w:ascii="Arial"/>
          <w:spacing w:val="-24"/>
          <w:w w:val="105"/>
          <w:sz w:val="19"/>
        </w:rPr>
        <w:t xml:space="preserve"> </w:t>
      </w:r>
      <w:r>
        <w:rPr>
          <w:rFonts w:ascii="Arial"/>
          <w:w w:val="105"/>
          <w:sz w:val="19"/>
        </w:rPr>
        <w:t>air</w:t>
      </w:r>
      <w:r>
        <w:rPr>
          <w:rFonts w:ascii="Arial"/>
          <w:spacing w:val="-23"/>
          <w:w w:val="105"/>
          <w:sz w:val="19"/>
        </w:rPr>
        <w:t xml:space="preserve"> </w:t>
      </w:r>
      <w:r>
        <w:rPr>
          <w:rFonts w:ascii="Arial"/>
          <w:w w:val="105"/>
          <w:sz w:val="19"/>
        </w:rPr>
        <w:t>pressure</w:t>
      </w:r>
      <w:r>
        <w:rPr>
          <w:rFonts w:ascii="Arial"/>
          <w:spacing w:val="-23"/>
          <w:w w:val="105"/>
          <w:sz w:val="19"/>
        </w:rPr>
        <w:t xml:space="preserve"> </w:t>
      </w:r>
      <w:r>
        <w:rPr>
          <w:rFonts w:ascii="Arial"/>
          <w:w w:val="105"/>
          <w:sz w:val="19"/>
        </w:rPr>
        <w:t>to avoid contamination and cross-contamination and hence require a higher capacity heating, ventilation and air-conditioning system (HVAC) than for food manufacturing. As such, additional capital</w:t>
      </w:r>
      <w:r>
        <w:rPr>
          <w:rFonts w:ascii="Arial"/>
          <w:spacing w:val="-29"/>
          <w:w w:val="105"/>
          <w:sz w:val="19"/>
        </w:rPr>
        <w:t xml:space="preserve"> </w:t>
      </w:r>
      <w:r>
        <w:rPr>
          <w:rFonts w:ascii="Arial"/>
          <w:w w:val="105"/>
          <w:sz w:val="19"/>
        </w:rPr>
        <w:t>expenses</w:t>
      </w:r>
      <w:r>
        <w:rPr>
          <w:rFonts w:ascii="Arial"/>
          <w:spacing w:val="-29"/>
          <w:w w:val="105"/>
          <w:sz w:val="19"/>
        </w:rPr>
        <w:t xml:space="preserve"> </w:t>
      </w:r>
      <w:r>
        <w:rPr>
          <w:rFonts w:ascii="Arial"/>
          <w:w w:val="105"/>
          <w:sz w:val="19"/>
        </w:rPr>
        <w:t>and</w:t>
      </w:r>
      <w:r>
        <w:rPr>
          <w:rFonts w:ascii="Arial"/>
          <w:spacing w:val="-28"/>
          <w:w w:val="105"/>
          <w:sz w:val="19"/>
        </w:rPr>
        <w:t xml:space="preserve"> </w:t>
      </w:r>
      <w:r>
        <w:rPr>
          <w:rFonts w:ascii="Arial"/>
          <w:w w:val="105"/>
          <w:sz w:val="19"/>
        </w:rPr>
        <w:t>ongoing</w:t>
      </w:r>
      <w:r>
        <w:rPr>
          <w:rFonts w:ascii="Arial"/>
          <w:spacing w:val="-26"/>
          <w:w w:val="105"/>
          <w:sz w:val="19"/>
        </w:rPr>
        <w:t xml:space="preserve"> </w:t>
      </w:r>
      <w:r>
        <w:rPr>
          <w:rFonts w:ascii="Arial"/>
          <w:w w:val="105"/>
          <w:sz w:val="19"/>
        </w:rPr>
        <w:t>expenses</w:t>
      </w:r>
      <w:r>
        <w:rPr>
          <w:rFonts w:ascii="Arial"/>
          <w:spacing w:val="-27"/>
          <w:w w:val="105"/>
          <w:sz w:val="19"/>
        </w:rPr>
        <w:t xml:space="preserve"> </w:t>
      </w:r>
      <w:r>
        <w:rPr>
          <w:rFonts w:ascii="Arial"/>
          <w:w w:val="105"/>
          <w:sz w:val="19"/>
        </w:rPr>
        <w:t>are</w:t>
      </w:r>
      <w:r>
        <w:rPr>
          <w:rFonts w:ascii="Arial"/>
          <w:spacing w:val="-29"/>
          <w:w w:val="105"/>
          <w:sz w:val="19"/>
        </w:rPr>
        <w:t xml:space="preserve"> </w:t>
      </w:r>
      <w:r>
        <w:rPr>
          <w:rFonts w:ascii="Arial"/>
          <w:w w:val="105"/>
          <w:sz w:val="19"/>
        </w:rPr>
        <w:t>required</w:t>
      </w:r>
      <w:r>
        <w:rPr>
          <w:rFonts w:ascii="Arial"/>
          <w:spacing w:val="-29"/>
          <w:w w:val="105"/>
          <w:sz w:val="19"/>
        </w:rPr>
        <w:t xml:space="preserve"> </w:t>
      </w:r>
      <w:r>
        <w:rPr>
          <w:rFonts w:ascii="Arial"/>
          <w:w w:val="105"/>
          <w:sz w:val="19"/>
        </w:rPr>
        <w:t>to</w:t>
      </w:r>
      <w:r>
        <w:rPr>
          <w:rFonts w:ascii="Arial"/>
          <w:spacing w:val="-28"/>
          <w:w w:val="105"/>
          <w:sz w:val="19"/>
        </w:rPr>
        <w:t xml:space="preserve"> </w:t>
      </w:r>
      <w:r>
        <w:rPr>
          <w:rFonts w:ascii="Arial"/>
          <w:w w:val="105"/>
          <w:sz w:val="19"/>
        </w:rPr>
        <w:t>obtain</w:t>
      </w:r>
      <w:r>
        <w:rPr>
          <w:rFonts w:ascii="Arial"/>
          <w:spacing w:val="-27"/>
          <w:w w:val="105"/>
          <w:sz w:val="19"/>
        </w:rPr>
        <w:t xml:space="preserve"> </w:t>
      </w:r>
      <w:r>
        <w:rPr>
          <w:rFonts w:ascii="Arial"/>
          <w:w w:val="105"/>
          <w:sz w:val="19"/>
        </w:rPr>
        <w:t>and</w:t>
      </w:r>
      <w:r>
        <w:rPr>
          <w:rFonts w:ascii="Arial"/>
          <w:spacing w:val="-29"/>
          <w:w w:val="105"/>
          <w:sz w:val="19"/>
        </w:rPr>
        <w:t xml:space="preserve"> </w:t>
      </w:r>
      <w:r>
        <w:rPr>
          <w:rFonts w:ascii="Arial"/>
          <w:w w:val="105"/>
          <w:sz w:val="19"/>
        </w:rPr>
        <w:t>maintain</w:t>
      </w:r>
      <w:r>
        <w:rPr>
          <w:rFonts w:ascii="Arial"/>
          <w:spacing w:val="-28"/>
          <w:w w:val="105"/>
          <w:sz w:val="19"/>
        </w:rPr>
        <w:t xml:space="preserve"> </w:t>
      </w:r>
      <w:r>
        <w:rPr>
          <w:rFonts w:ascii="Arial"/>
          <w:w w:val="105"/>
          <w:sz w:val="19"/>
        </w:rPr>
        <w:t>a</w:t>
      </w:r>
      <w:r>
        <w:rPr>
          <w:rFonts w:ascii="Arial"/>
          <w:spacing w:val="-28"/>
          <w:w w:val="105"/>
          <w:sz w:val="19"/>
        </w:rPr>
        <w:t xml:space="preserve"> </w:t>
      </w:r>
      <w:r>
        <w:rPr>
          <w:rFonts w:ascii="Arial"/>
          <w:w w:val="105"/>
          <w:sz w:val="19"/>
        </w:rPr>
        <w:t>TGA</w:t>
      </w:r>
      <w:r>
        <w:rPr>
          <w:rFonts w:ascii="Arial"/>
          <w:spacing w:val="-28"/>
          <w:w w:val="105"/>
          <w:sz w:val="19"/>
        </w:rPr>
        <w:t xml:space="preserve"> </w:t>
      </w:r>
      <w:r>
        <w:rPr>
          <w:rFonts w:ascii="Arial"/>
          <w:w w:val="105"/>
          <w:sz w:val="19"/>
        </w:rPr>
        <w:t xml:space="preserve">manufacturing </w:t>
      </w:r>
      <w:proofErr w:type="spellStart"/>
      <w:r>
        <w:rPr>
          <w:rFonts w:ascii="Arial"/>
          <w:w w:val="105"/>
          <w:sz w:val="19"/>
        </w:rPr>
        <w:t>licence</w:t>
      </w:r>
      <w:proofErr w:type="spellEnd"/>
      <w:r>
        <w:rPr>
          <w:rFonts w:ascii="Arial"/>
          <w:spacing w:val="-22"/>
          <w:w w:val="105"/>
          <w:sz w:val="19"/>
        </w:rPr>
        <w:t xml:space="preserve"> </w:t>
      </w:r>
      <w:r>
        <w:rPr>
          <w:rFonts w:ascii="Arial"/>
          <w:w w:val="105"/>
          <w:sz w:val="19"/>
        </w:rPr>
        <w:t>than</w:t>
      </w:r>
      <w:r>
        <w:rPr>
          <w:rFonts w:ascii="Arial"/>
          <w:spacing w:val="-21"/>
          <w:w w:val="105"/>
          <w:sz w:val="19"/>
        </w:rPr>
        <w:t xml:space="preserve"> </w:t>
      </w:r>
      <w:r>
        <w:rPr>
          <w:rFonts w:ascii="Arial"/>
          <w:w w:val="105"/>
          <w:sz w:val="19"/>
        </w:rPr>
        <w:t>to</w:t>
      </w:r>
      <w:r>
        <w:rPr>
          <w:rFonts w:ascii="Arial"/>
          <w:spacing w:val="-20"/>
          <w:w w:val="105"/>
          <w:sz w:val="19"/>
        </w:rPr>
        <w:t xml:space="preserve"> </w:t>
      </w:r>
      <w:r>
        <w:rPr>
          <w:rFonts w:ascii="Arial"/>
          <w:w w:val="105"/>
          <w:sz w:val="19"/>
        </w:rPr>
        <w:t>meet</w:t>
      </w:r>
      <w:r>
        <w:rPr>
          <w:rFonts w:ascii="Arial"/>
          <w:spacing w:val="-21"/>
          <w:w w:val="105"/>
          <w:sz w:val="19"/>
        </w:rPr>
        <w:t xml:space="preserve"> </w:t>
      </w:r>
      <w:r>
        <w:rPr>
          <w:rFonts w:ascii="Arial"/>
          <w:w w:val="105"/>
          <w:sz w:val="19"/>
        </w:rPr>
        <w:t>the</w:t>
      </w:r>
      <w:r>
        <w:rPr>
          <w:rFonts w:ascii="Arial"/>
          <w:spacing w:val="-20"/>
          <w:w w:val="105"/>
          <w:sz w:val="19"/>
        </w:rPr>
        <w:t xml:space="preserve"> </w:t>
      </w:r>
      <w:r>
        <w:rPr>
          <w:rFonts w:ascii="Arial"/>
          <w:w w:val="105"/>
          <w:sz w:val="19"/>
        </w:rPr>
        <w:t>Food</w:t>
      </w:r>
      <w:r>
        <w:rPr>
          <w:rFonts w:ascii="Arial"/>
          <w:spacing w:val="-21"/>
          <w:w w:val="105"/>
          <w:sz w:val="19"/>
        </w:rPr>
        <w:t xml:space="preserve"> </w:t>
      </w:r>
      <w:r>
        <w:rPr>
          <w:rFonts w:ascii="Arial"/>
          <w:w w:val="105"/>
          <w:sz w:val="19"/>
        </w:rPr>
        <w:t>Safety</w:t>
      </w:r>
      <w:r>
        <w:rPr>
          <w:rFonts w:ascii="Arial"/>
          <w:spacing w:val="-20"/>
          <w:w w:val="105"/>
          <w:sz w:val="19"/>
        </w:rPr>
        <w:t xml:space="preserve"> </w:t>
      </w:r>
      <w:r>
        <w:rPr>
          <w:rFonts w:ascii="Arial"/>
          <w:w w:val="105"/>
          <w:sz w:val="19"/>
        </w:rPr>
        <w:t>Requirements</w:t>
      </w:r>
      <w:r>
        <w:rPr>
          <w:rFonts w:ascii="Arial"/>
          <w:spacing w:val="-20"/>
          <w:w w:val="105"/>
          <w:sz w:val="19"/>
        </w:rPr>
        <w:t xml:space="preserve"> </w:t>
      </w:r>
      <w:r>
        <w:rPr>
          <w:rFonts w:ascii="Arial"/>
          <w:w w:val="105"/>
          <w:sz w:val="19"/>
        </w:rPr>
        <w:t>or</w:t>
      </w:r>
      <w:r>
        <w:rPr>
          <w:rFonts w:ascii="Arial"/>
          <w:spacing w:val="-22"/>
          <w:w w:val="105"/>
          <w:sz w:val="19"/>
        </w:rPr>
        <w:t xml:space="preserve"> </w:t>
      </w:r>
      <w:r>
        <w:rPr>
          <w:rFonts w:ascii="Arial"/>
          <w:w w:val="105"/>
          <w:sz w:val="19"/>
        </w:rPr>
        <w:t>obtain</w:t>
      </w:r>
      <w:r>
        <w:rPr>
          <w:rFonts w:ascii="Arial"/>
          <w:spacing w:val="-20"/>
          <w:w w:val="105"/>
          <w:sz w:val="19"/>
        </w:rPr>
        <w:t xml:space="preserve"> </w:t>
      </w:r>
      <w:r>
        <w:rPr>
          <w:rFonts w:ascii="Arial"/>
          <w:w w:val="105"/>
          <w:sz w:val="19"/>
        </w:rPr>
        <w:t>FDA</w:t>
      </w:r>
      <w:r>
        <w:rPr>
          <w:rFonts w:ascii="Arial"/>
          <w:spacing w:val="-21"/>
          <w:w w:val="105"/>
          <w:sz w:val="19"/>
        </w:rPr>
        <w:t xml:space="preserve"> </w:t>
      </w:r>
      <w:r>
        <w:rPr>
          <w:rFonts w:ascii="Arial"/>
          <w:w w:val="105"/>
          <w:sz w:val="19"/>
        </w:rPr>
        <w:t>CGMP</w:t>
      </w:r>
      <w:r>
        <w:rPr>
          <w:rFonts w:ascii="Arial"/>
          <w:spacing w:val="-20"/>
          <w:w w:val="105"/>
          <w:sz w:val="19"/>
        </w:rPr>
        <w:t xml:space="preserve"> </w:t>
      </w:r>
      <w:r>
        <w:rPr>
          <w:rFonts w:ascii="Arial"/>
          <w:w w:val="105"/>
          <w:sz w:val="19"/>
        </w:rPr>
        <w:t>for</w:t>
      </w:r>
      <w:r>
        <w:rPr>
          <w:rFonts w:ascii="Arial"/>
          <w:spacing w:val="-19"/>
          <w:w w:val="105"/>
          <w:sz w:val="19"/>
        </w:rPr>
        <w:t xml:space="preserve"> </w:t>
      </w:r>
      <w:r>
        <w:rPr>
          <w:rFonts w:ascii="Arial"/>
          <w:w w:val="105"/>
          <w:sz w:val="19"/>
        </w:rPr>
        <w:t>food</w:t>
      </w:r>
      <w:r>
        <w:rPr>
          <w:rFonts w:ascii="Arial"/>
          <w:spacing w:val="-21"/>
          <w:w w:val="105"/>
          <w:sz w:val="19"/>
        </w:rPr>
        <w:t xml:space="preserve"> </w:t>
      </w:r>
      <w:r>
        <w:rPr>
          <w:rFonts w:ascii="Arial"/>
          <w:w w:val="105"/>
          <w:sz w:val="19"/>
        </w:rPr>
        <w:t>production.</w:t>
      </w:r>
    </w:p>
    <w:p w:rsidR="007D76BB" w:rsidRDefault="00D70D28">
      <w:pPr>
        <w:spacing w:before="183" w:line="266" w:lineRule="auto"/>
        <w:ind w:left="482" w:right="1181"/>
        <w:rPr>
          <w:rFonts w:ascii="Arial"/>
          <w:sz w:val="19"/>
        </w:rPr>
      </w:pPr>
      <w:r>
        <w:rPr>
          <w:rFonts w:ascii="Arial"/>
          <w:w w:val="105"/>
          <w:sz w:val="19"/>
        </w:rPr>
        <w:t>In</w:t>
      </w:r>
      <w:r>
        <w:rPr>
          <w:rFonts w:ascii="Arial"/>
          <w:spacing w:val="-28"/>
          <w:w w:val="105"/>
          <w:sz w:val="19"/>
        </w:rPr>
        <w:t xml:space="preserve"> </w:t>
      </w:r>
      <w:r>
        <w:rPr>
          <w:rFonts w:ascii="Arial"/>
          <w:w w:val="105"/>
          <w:sz w:val="19"/>
        </w:rPr>
        <w:t>relation</w:t>
      </w:r>
      <w:r>
        <w:rPr>
          <w:rFonts w:ascii="Arial"/>
          <w:spacing w:val="-29"/>
          <w:w w:val="105"/>
          <w:sz w:val="19"/>
        </w:rPr>
        <w:t xml:space="preserve"> </w:t>
      </w:r>
      <w:r>
        <w:rPr>
          <w:rFonts w:ascii="Arial"/>
          <w:w w:val="105"/>
          <w:sz w:val="19"/>
        </w:rPr>
        <w:t>to</w:t>
      </w:r>
      <w:r>
        <w:rPr>
          <w:rFonts w:ascii="Arial"/>
          <w:spacing w:val="-28"/>
          <w:w w:val="105"/>
          <w:sz w:val="19"/>
        </w:rPr>
        <w:t xml:space="preserve"> </w:t>
      </w:r>
      <w:r>
        <w:rPr>
          <w:rFonts w:ascii="Arial"/>
          <w:w w:val="105"/>
          <w:sz w:val="19"/>
        </w:rPr>
        <w:t>GMP</w:t>
      </w:r>
      <w:r>
        <w:rPr>
          <w:rFonts w:ascii="Arial"/>
          <w:spacing w:val="-28"/>
          <w:w w:val="105"/>
          <w:sz w:val="19"/>
        </w:rPr>
        <w:t xml:space="preserve"> </w:t>
      </w:r>
      <w:r>
        <w:rPr>
          <w:rFonts w:ascii="Arial"/>
          <w:w w:val="105"/>
          <w:sz w:val="19"/>
        </w:rPr>
        <w:t>manufacturing,</w:t>
      </w:r>
      <w:r>
        <w:rPr>
          <w:rFonts w:ascii="Arial"/>
          <w:spacing w:val="-28"/>
          <w:w w:val="105"/>
          <w:sz w:val="19"/>
        </w:rPr>
        <w:t xml:space="preserve"> </w:t>
      </w:r>
      <w:r>
        <w:rPr>
          <w:rFonts w:ascii="Arial"/>
          <w:w w:val="105"/>
          <w:sz w:val="19"/>
        </w:rPr>
        <w:t>the</w:t>
      </w:r>
      <w:r>
        <w:rPr>
          <w:rFonts w:ascii="Arial"/>
          <w:spacing w:val="-29"/>
          <w:w w:val="105"/>
          <w:sz w:val="19"/>
        </w:rPr>
        <w:t xml:space="preserve"> </w:t>
      </w:r>
      <w:r>
        <w:rPr>
          <w:rFonts w:ascii="Arial"/>
          <w:w w:val="105"/>
          <w:sz w:val="19"/>
        </w:rPr>
        <w:t>options</w:t>
      </w:r>
      <w:r>
        <w:rPr>
          <w:rFonts w:ascii="Arial"/>
          <w:spacing w:val="-27"/>
          <w:w w:val="105"/>
          <w:sz w:val="19"/>
        </w:rPr>
        <w:t xml:space="preserve"> </w:t>
      </w:r>
      <w:r>
        <w:rPr>
          <w:rFonts w:ascii="Arial"/>
          <w:w w:val="105"/>
          <w:sz w:val="19"/>
        </w:rPr>
        <w:t>(as</w:t>
      </w:r>
      <w:r>
        <w:rPr>
          <w:rFonts w:ascii="Arial"/>
          <w:spacing w:val="-28"/>
          <w:w w:val="105"/>
          <w:sz w:val="19"/>
        </w:rPr>
        <w:t xml:space="preserve"> </w:t>
      </w:r>
      <w:r>
        <w:rPr>
          <w:rFonts w:ascii="Arial"/>
          <w:w w:val="105"/>
          <w:sz w:val="19"/>
        </w:rPr>
        <w:t>determined</w:t>
      </w:r>
      <w:r>
        <w:rPr>
          <w:rFonts w:ascii="Arial"/>
          <w:spacing w:val="-29"/>
          <w:w w:val="105"/>
          <w:sz w:val="19"/>
        </w:rPr>
        <w:t xml:space="preserve"> </w:t>
      </w:r>
      <w:r>
        <w:rPr>
          <w:rFonts w:ascii="Arial"/>
          <w:w w:val="105"/>
          <w:sz w:val="19"/>
        </w:rPr>
        <w:t>by</w:t>
      </w:r>
      <w:r>
        <w:rPr>
          <w:rFonts w:ascii="Arial"/>
          <w:spacing w:val="-26"/>
          <w:w w:val="105"/>
          <w:sz w:val="19"/>
        </w:rPr>
        <w:t xml:space="preserve"> </w:t>
      </w:r>
      <w:r>
        <w:rPr>
          <w:rFonts w:ascii="Arial"/>
          <w:w w:val="105"/>
          <w:sz w:val="19"/>
        </w:rPr>
        <w:t>stakeholder</w:t>
      </w:r>
      <w:r>
        <w:rPr>
          <w:rFonts w:ascii="Arial"/>
          <w:spacing w:val="-29"/>
          <w:w w:val="105"/>
          <w:sz w:val="19"/>
        </w:rPr>
        <w:t xml:space="preserve"> </w:t>
      </w:r>
      <w:r>
        <w:rPr>
          <w:rFonts w:ascii="Arial"/>
          <w:w w:val="105"/>
          <w:sz w:val="19"/>
        </w:rPr>
        <w:t>comments</w:t>
      </w:r>
      <w:r>
        <w:rPr>
          <w:rFonts w:ascii="Arial"/>
          <w:spacing w:val="-28"/>
          <w:w w:val="105"/>
          <w:sz w:val="19"/>
        </w:rPr>
        <w:t xml:space="preserve"> </w:t>
      </w:r>
      <w:r>
        <w:rPr>
          <w:rFonts w:ascii="Arial"/>
          <w:w w:val="105"/>
          <w:sz w:val="19"/>
        </w:rPr>
        <w:t>and possible</w:t>
      </w:r>
      <w:r>
        <w:rPr>
          <w:rFonts w:ascii="Arial"/>
          <w:spacing w:val="-17"/>
          <w:w w:val="105"/>
          <w:sz w:val="19"/>
        </w:rPr>
        <w:t xml:space="preserve"> </w:t>
      </w:r>
      <w:r>
        <w:rPr>
          <w:rFonts w:ascii="Arial"/>
          <w:w w:val="105"/>
          <w:sz w:val="19"/>
        </w:rPr>
        <w:t>pathway</w:t>
      </w:r>
      <w:r>
        <w:rPr>
          <w:rFonts w:ascii="Arial"/>
          <w:spacing w:val="-18"/>
          <w:w w:val="105"/>
          <w:sz w:val="19"/>
        </w:rPr>
        <w:t xml:space="preserve"> </w:t>
      </w:r>
      <w:r>
        <w:rPr>
          <w:rFonts w:ascii="Arial"/>
          <w:w w:val="105"/>
          <w:sz w:val="19"/>
        </w:rPr>
        <w:t>analysis)</w:t>
      </w:r>
      <w:r>
        <w:rPr>
          <w:rFonts w:ascii="Arial"/>
          <w:spacing w:val="-17"/>
          <w:w w:val="105"/>
          <w:sz w:val="19"/>
        </w:rPr>
        <w:t xml:space="preserve"> </w:t>
      </w:r>
      <w:r>
        <w:rPr>
          <w:rFonts w:ascii="Arial"/>
          <w:w w:val="105"/>
          <w:sz w:val="19"/>
        </w:rPr>
        <w:t>for</w:t>
      </w:r>
      <w:r>
        <w:rPr>
          <w:rFonts w:ascii="Arial"/>
          <w:spacing w:val="-17"/>
          <w:w w:val="105"/>
          <w:sz w:val="19"/>
        </w:rPr>
        <w:t xml:space="preserve"> </w:t>
      </w:r>
      <w:r>
        <w:rPr>
          <w:rFonts w:ascii="Arial"/>
          <w:w w:val="105"/>
          <w:sz w:val="19"/>
        </w:rPr>
        <w:t>potential</w:t>
      </w:r>
      <w:r>
        <w:rPr>
          <w:rFonts w:ascii="Arial"/>
          <w:spacing w:val="-17"/>
          <w:w w:val="105"/>
          <w:sz w:val="19"/>
        </w:rPr>
        <w:t xml:space="preserve"> </w:t>
      </w:r>
      <w:r>
        <w:rPr>
          <w:rFonts w:ascii="Arial"/>
          <w:w w:val="105"/>
          <w:sz w:val="19"/>
        </w:rPr>
        <w:t>sponsors</w:t>
      </w:r>
      <w:r>
        <w:rPr>
          <w:rFonts w:ascii="Arial"/>
          <w:w w:val="105"/>
          <w:position w:val="7"/>
          <w:sz w:val="11"/>
        </w:rPr>
        <w:t>24</w:t>
      </w:r>
      <w:r>
        <w:rPr>
          <w:rFonts w:ascii="Arial"/>
          <w:spacing w:val="5"/>
          <w:w w:val="105"/>
          <w:position w:val="7"/>
          <w:sz w:val="11"/>
        </w:rPr>
        <w:t xml:space="preserve"> </w:t>
      </w:r>
      <w:r>
        <w:rPr>
          <w:rFonts w:ascii="Arial"/>
          <w:w w:val="105"/>
          <w:position w:val="7"/>
          <w:sz w:val="11"/>
        </w:rPr>
        <w:t>25</w:t>
      </w:r>
      <w:r>
        <w:rPr>
          <w:rFonts w:ascii="Arial"/>
          <w:w w:val="105"/>
          <w:sz w:val="19"/>
        </w:rPr>
        <w:t>are</w:t>
      </w:r>
      <w:r>
        <w:rPr>
          <w:rFonts w:ascii="Arial"/>
          <w:spacing w:val="-17"/>
          <w:w w:val="105"/>
          <w:sz w:val="19"/>
        </w:rPr>
        <w:t xml:space="preserve"> </w:t>
      </w:r>
      <w:r>
        <w:rPr>
          <w:rFonts w:ascii="Arial"/>
          <w:w w:val="105"/>
          <w:sz w:val="19"/>
        </w:rPr>
        <w:t>detailed</w:t>
      </w:r>
      <w:r>
        <w:rPr>
          <w:rFonts w:ascii="Arial"/>
          <w:spacing w:val="-19"/>
          <w:w w:val="105"/>
          <w:sz w:val="19"/>
        </w:rPr>
        <w:t xml:space="preserve"> </w:t>
      </w:r>
      <w:r>
        <w:rPr>
          <w:rFonts w:ascii="Arial"/>
          <w:w w:val="105"/>
          <w:sz w:val="19"/>
        </w:rPr>
        <w:t>in</w:t>
      </w:r>
      <w:r>
        <w:rPr>
          <w:rFonts w:ascii="Arial"/>
          <w:spacing w:val="-18"/>
          <w:w w:val="105"/>
          <w:sz w:val="19"/>
        </w:rPr>
        <w:t xml:space="preserve"> </w:t>
      </w:r>
      <w:r>
        <w:rPr>
          <w:rFonts w:ascii="Arial"/>
          <w:w w:val="105"/>
          <w:sz w:val="19"/>
        </w:rPr>
        <w:t>the</w:t>
      </w:r>
      <w:r>
        <w:rPr>
          <w:rFonts w:ascii="Arial"/>
          <w:spacing w:val="-17"/>
          <w:w w:val="105"/>
          <w:sz w:val="19"/>
        </w:rPr>
        <w:t xml:space="preserve"> </w:t>
      </w:r>
      <w:r>
        <w:rPr>
          <w:rFonts w:ascii="Arial"/>
          <w:w w:val="105"/>
          <w:sz w:val="19"/>
        </w:rPr>
        <w:t>figure</w:t>
      </w:r>
      <w:r>
        <w:rPr>
          <w:rFonts w:ascii="Arial"/>
          <w:spacing w:val="-19"/>
          <w:w w:val="105"/>
          <w:sz w:val="19"/>
        </w:rPr>
        <w:t xml:space="preserve"> </w:t>
      </w:r>
      <w:r>
        <w:rPr>
          <w:rFonts w:ascii="Arial"/>
          <w:w w:val="105"/>
          <w:sz w:val="19"/>
        </w:rPr>
        <w:t>below.</w:t>
      </w:r>
    </w:p>
    <w:p w:rsidR="007D76BB" w:rsidRDefault="007D76BB">
      <w:pPr>
        <w:pStyle w:val="BodyText"/>
        <w:spacing w:before="5"/>
        <w:rPr>
          <w:rFonts w:ascii="Arial"/>
          <w:sz w:val="20"/>
        </w:rPr>
      </w:pPr>
    </w:p>
    <w:p w:rsidR="007D76BB" w:rsidRDefault="00D70D28">
      <w:pPr>
        <w:ind w:left="482"/>
        <w:rPr>
          <w:rFonts w:ascii="Arial"/>
          <w:sz w:val="19"/>
        </w:rPr>
      </w:pPr>
      <w:r>
        <w:rPr>
          <w:rFonts w:ascii="Arial"/>
          <w:color w:val="005386"/>
          <w:w w:val="105"/>
          <w:sz w:val="19"/>
        </w:rPr>
        <w:t>Figure 2. Manufacturing options for potential sponsors</w:t>
      </w:r>
    </w:p>
    <w:p w:rsidR="007D76BB" w:rsidRDefault="007D76BB">
      <w:pPr>
        <w:pStyle w:val="BodyText"/>
        <w:spacing w:before="9"/>
        <w:rPr>
          <w:rFonts w:ascii="Arial"/>
          <w:sz w:val="19"/>
        </w:rPr>
      </w:pPr>
    </w:p>
    <w:p w:rsidR="007D76BB" w:rsidRDefault="00D70D28">
      <w:pPr>
        <w:tabs>
          <w:tab w:val="left" w:pos="2219"/>
          <w:tab w:val="left" w:pos="3550"/>
          <w:tab w:val="left" w:pos="5099"/>
          <w:tab w:val="left" w:pos="6304"/>
          <w:tab w:val="left" w:pos="7700"/>
        </w:tabs>
        <w:ind w:left="895"/>
        <w:rPr>
          <w:rFonts w:ascii="Arial"/>
          <w:sz w:val="20"/>
        </w:rPr>
      </w:pPr>
      <w:r>
        <w:rPr>
          <w:rFonts w:ascii="Arial"/>
          <w:noProof/>
          <w:position w:val="3"/>
          <w:sz w:val="20"/>
          <w:lang w:val="en-AU" w:eastAsia="en-AU"/>
        </w:rPr>
        <w:drawing>
          <wp:inline distT="0" distB="0" distL="0" distR="0">
            <wp:extent cx="379299" cy="267176"/>
            <wp:effectExtent l="0" t="0" r="0" b="0"/>
            <wp:docPr id="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5.png"/>
                    <pic:cNvPicPr/>
                  </pic:nvPicPr>
                  <pic:blipFill>
                    <a:blip r:embed="rId191" cstate="print"/>
                    <a:stretch>
                      <a:fillRect/>
                    </a:stretch>
                  </pic:blipFill>
                  <pic:spPr>
                    <a:xfrm>
                      <a:off x="0" y="0"/>
                      <a:ext cx="379299" cy="267176"/>
                    </a:xfrm>
                    <a:prstGeom prst="rect">
                      <a:avLst/>
                    </a:prstGeom>
                  </pic:spPr>
                </pic:pic>
              </a:graphicData>
            </a:graphic>
          </wp:inline>
        </w:drawing>
      </w:r>
      <w:r>
        <w:rPr>
          <w:rFonts w:ascii="Arial"/>
          <w:position w:val="3"/>
          <w:sz w:val="20"/>
        </w:rPr>
        <w:tab/>
      </w:r>
      <w:r>
        <w:rPr>
          <w:rFonts w:ascii="Arial"/>
          <w:noProof/>
          <w:position w:val="4"/>
          <w:sz w:val="20"/>
          <w:lang w:val="en-AU" w:eastAsia="en-AU"/>
        </w:rPr>
        <w:drawing>
          <wp:inline distT="0" distB="0" distL="0" distR="0">
            <wp:extent cx="414941" cy="319087"/>
            <wp:effectExtent l="0" t="0" r="0" b="0"/>
            <wp:docPr id="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6.png"/>
                    <pic:cNvPicPr/>
                  </pic:nvPicPr>
                  <pic:blipFill>
                    <a:blip r:embed="rId192" cstate="print"/>
                    <a:stretch>
                      <a:fillRect/>
                    </a:stretch>
                  </pic:blipFill>
                  <pic:spPr>
                    <a:xfrm>
                      <a:off x="0" y="0"/>
                      <a:ext cx="414941" cy="319087"/>
                    </a:xfrm>
                    <a:prstGeom prst="rect">
                      <a:avLst/>
                    </a:prstGeom>
                  </pic:spPr>
                </pic:pic>
              </a:graphicData>
            </a:graphic>
          </wp:inline>
        </w:drawing>
      </w:r>
      <w:r>
        <w:rPr>
          <w:rFonts w:ascii="Arial"/>
          <w:position w:val="4"/>
          <w:sz w:val="20"/>
        </w:rPr>
        <w:tab/>
      </w:r>
      <w:r>
        <w:rPr>
          <w:rFonts w:ascii="Arial"/>
          <w:noProof/>
          <w:sz w:val="20"/>
          <w:lang w:val="en-AU" w:eastAsia="en-AU"/>
        </w:rPr>
        <w:drawing>
          <wp:inline distT="0" distB="0" distL="0" distR="0">
            <wp:extent cx="358579" cy="357187"/>
            <wp:effectExtent l="0" t="0" r="0" b="0"/>
            <wp:docPr id="1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7.png"/>
                    <pic:cNvPicPr/>
                  </pic:nvPicPr>
                  <pic:blipFill>
                    <a:blip r:embed="rId193" cstate="print"/>
                    <a:stretch>
                      <a:fillRect/>
                    </a:stretch>
                  </pic:blipFill>
                  <pic:spPr>
                    <a:xfrm>
                      <a:off x="0" y="0"/>
                      <a:ext cx="358579" cy="357187"/>
                    </a:xfrm>
                    <a:prstGeom prst="rect">
                      <a:avLst/>
                    </a:prstGeom>
                  </pic:spPr>
                </pic:pic>
              </a:graphicData>
            </a:graphic>
          </wp:inline>
        </w:drawing>
      </w:r>
      <w:r>
        <w:rPr>
          <w:rFonts w:ascii="Arial"/>
          <w:sz w:val="20"/>
        </w:rPr>
        <w:tab/>
      </w:r>
      <w:r>
        <w:rPr>
          <w:rFonts w:ascii="Arial"/>
          <w:noProof/>
          <w:position w:val="3"/>
          <w:sz w:val="20"/>
          <w:lang w:val="en-AU" w:eastAsia="en-AU"/>
        </w:rPr>
        <mc:AlternateContent>
          <mc:Choice Requires="wpg">
            <w:drawing>
              <wp:inline distT="0" distB="0" distL="0" distR="0">
                <wp:extent cx="364490" cy="352425"/>
                <wp:effectExtent l="2540" t="3175" r="4445" b="6350"/>
                <wp:docPr id="361"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352425"/>
                          <a:chOff x="0" y="0"/>
                          <a:chExt cx="574" cy="555"/>
                        </a:xfrm>
                      </wpg:grpSpPr>
                      <wps:wsp>
                        <wps:cNvPr id="362" name="AutoShape 219"/>
                        <wps:cNvSpPr>
                          <a:spLocks/>
                        </wps:cNvSpPr>
                        <wps:spPr bwMode="auto">
                          <a:xfrm>
                            <a:off x="0" y="70"/>
                            <a:ext cx="422" cy="485"/>
                          </a:xfrm>
                          <a:custGeom>
                            <a:avLst/>
                            <a:gdLst>
                              <a:gd name="T0" fmla="*/ 97 w 422"/>
                              <a:gd name="T1" fmla="+- 0 70 70"/>
                              <a:gd name="T2" fmla="*/ 70 h 485"/>
                              <a:gd name="T3" fmla="*/ 30 w 422"/>
                              <a:gd name="T4" fmla="+- 0 70 70"/>
                              <a:gd name="T5" fmla="*/ 70 h 485"/>
                              <a:gd name="T6" fmla="*/ 19 w 422"/>
                              <a:gd name="T7" fmla="+- 0 72 70"/>
                              <a:gd name="T8" fmla="*/ 72 h 485"/>
                              <a:gd name="T9" fmla="*/ 9 w 422"/>
                              <a:gd name="T10" fmla="+- 0 79 70"/>
                              <a:gd name="T11" fmla="*/ 79 h 485"/>
                              <a:gd name="T12" fmla="*/ 2 w 422"/>
                              <a:gd name="T13" fmla="+- 0 88 70"/>
                              <a:gd name="T14" fmla="*/ 88 h 485"/>
                              <a:gd name="T15" fmla="*/ 0 w 422"/>
                              <a:gd name="T16" fmla="+- 0 99 70"/>
                              <a:gd name="T17" fmla="*/ 99 h 485"/>
                              <a:gd name="T18" fmla="*/ 0 w 422"/>
                              <a:gd name="T19" fmla="+- 0 525 70"/>
                              <a:gd name="T20" fmla="*/ 525 h 485"/>
                              <a:gd name="T21" fmla="*/ 2 w 422"/>
                              <a:gd name="T22" fmla="+- 0 537 70"/>
                              <a:gd name="T23" fmla="*/ 537 h 485"/>
                              <a:gd name="T24" fmla="*/ 9 w 422"/>
                              <a:gd name="T25" fmla="+- 0 546 70"/>
                              <a:gd name="T26" fmla="*/ 546 h 485"/>
                              <a:gd name="T27" fmla="*/ 19 w 422"/>
                              <a:gd name="T28" fmla="+- 0 552 70"/>
                              <a:gd name="T29" fmla="*/ 552 h 485"/>
                              <a:gd name="T30" fmla="*/ 30 w 422"/>
                              <a:gd name="T31" fmla="+- 0 555 70"/>
                              <a:gd name="T32" fmla="*/ 555 h 485"/>
                              <a:gd name="T33" fmla="*/ 390 w 422"/>
                              <a:gd name="T34" fmla="+- 0 555 70"/>
                              <a:gd name="T35" fmla="*/ 555 h 485"/>
                              <a:gd name="T36" fmla="*/ 402 w 422"/>
                              <a:gd name="T37" fmla="+- 0 552 70"/>
                              <a:gd name="T38" fmla="*/ 552 h 485"/>
                              <a:gd name="T39" fmla="*/ 412 w 422"/>
                              <a:gd name="T40" fmla="+- 0 546 70"/>
                              <a:gd name="T41" fmla="*/ 546 h 485"/>
                              <a:gd name="T42" fmla="*/ 416 w 422"/>
                              <a:gd name="T43" fmla="+- 0 540 70"/>
                              <a:gd name="T44" fmla="*/ 540 h 485"/>
                              <a:gd name="T45" fmla="*/ 21 w 422"/>
                              <a:gd name="T46" fmla="+- 0 540 70"/>
                              <a:gd name="T47" fmla="*/ 540 h 485"/>
                              <a:gd name="T48" fmla="*/ 15 w 422"/>
                              <a:gd name="T49" fmla="+- 0 534 70"/>
                              <a:gd name="T50" fmla="*/ 534 h 485"/>
                              <a:gd name="T51" fmla="*/ 15 w 422"/>
                              <a:gd name="T52" fmla="+- 0 91 70"/>
                              <a:gd name="T53" fmla="*/ 91 h 485"/>
                              <a:gd name="T54" fmla="*/ 21 w 422"/>
                              <a:gd name="T55" fmla="+- 0 84 70"/>
                              <a:gd name="T56" fmla="*/ 84 h 485"/>
                              <a:gd name="T57" fmla="*/ 97 w 422"/>
                              <a:gd name="T58" fmla="+- 0 84 70"/>
                              <a:gd name="T59" fmla="*/ 84 h 485"/>
                              <a:gd name="T60" fmla="*/ 97 w 422"/>
                              <a:gd name="T61" fmla="+- 0 70 70"/>
                              <a:gd name="T62" fmla="*/ 70 h 485"/>
                              <a:gd name="T63" fmla="*/ 421 w 422"/>
                              <a:gd name="T64" fmla="+- 0 377 70"/>
                              <a:gd name="T65" fmla="*/ 377 h 485"/>
                              <a:gd name="T66" fmla="*/ 406 w 422"/>
                              <a:gd name="T67" fmla="+- 0 377 70"/>
                              <a:gd name="T68" fmla="*/ 377 h 485"/>
                              <a:gd name="T69" fmla="*/ 406 w 422"/>
                              <a:gd name="T70" fmla="+- 0 534 70"/>
                              <a:gd name="T71" fmla="*/ 534 h 485"/>
                              <a:gd name="T72" fmla="*/ 399 w 422"/>
                              <a:gd name="T73" fmla="+- 0 540 70"/>
                              <a:gd name="T74" fmla="*/ 540 h 485"/>
                              <a:gd name="T75" fmla="*/ 416 w 422"/>
                              <a:gd name="T76" fmla="+- 0 540 70"/>
                              <a:gd name="T77" fmla="*/ 540 h 485"/>
                              <a:gd name="T78" fmla="*/ 419 w 422"/>
                              <a:gd name="T79" fmla="+- 0 537 70"/>
                              <a:gd name="T80" fmla="*/ 537 h 485"/>
                              <a:gd name="T81" fmla="*/ 421 w 422"/>
                              <a:gd name="T82" fmla="+- 0 525 70"/>
                              <a:gd name="T83" fmla="*/ 525 h 485"/>
                              <a:gd name="T84" fmla="*/ 421 w 422"/>
                              <a:gd name="T85" fmla="+- 0 377 70"/>
                              <a:gd name="T86" fmla="*/ 377 h 4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Lst>
                            <a:rect l="0" t="0" r="r" b="b"/>
                            <a:pathLst>
                              <a:path w="422" h="485">
                                <a:moveTo>
                                  <a:pt x="97" y="0"/>
                                </a:moveTo>
                                <a:lnTo>
                                  <a:pt x="30" y="0"/>
                                </a:lnTo>
                                <a:lnTo>
                                  <a:pt x="19" y="2"/>
                                </a:lnTo>
                                <a:lnTo>
                                  <a:pt x="9" y="9"/>
                                </a:lnTo>
                                <a:lnTo>
                                  <a:pt x="2" y="18"/>
                                </a:lnTo>
                                <a:lnTo>
                                  <a:pt x="0" y="29"/>
                                </a:lnTo>
                                <a:lnTo>
                                  <a:pt x="0" y="455"/>
                                </a:lnTo>
                                <a:lnTo>
                                  <a:pt x="2" y="467"/>
                                </a:lnTo>
                                <a:lnTo>
                                  <a:pt x="9" y="476"/>
                                </a:lnTo>
                                <a:lnTo>
                                  <a:pt x="19" y="482"/>
                                </a:lnTo>
                                <a:lnTo>
                                  <a:pt x="30" y="485"/>
                                </a:lnTo>
                                <a:lnTo>
                                  <a:pt x="390" y="485"/>
                                </a:lnTo>
                                <a:lnTo>
                                  <a:pt x="402" y="482"/>
                                </a:lnTo>
                                <a:lnTo>
                                  <a:pt x="412" y="476"/>
                                </a:lnTo>
                                <a:lnTo>
                                  <a:pt x="416" y="470"/>
                                </a:lnTo>
                                <a:lnTo>
                                  <a:pt x="21" y="470"/>
                                </a:lnTo>
                                <a:lnTo>
                                  <a:pt x="15" y="464"/>
                                </a:lnTo>
                                <a:lnTo>
                                  <a:pt x="15" y="21"/>
                                </a:lnTo>
                                <a:lnTo>
                                  <a:pt x="21" y="14"/>
                                </a:lnTo>
                                <a:lnTo>
                                  <a:pt x="97" y="14"/>
                                </a:lnTo>
                                <a:lnTo>
                                  <a:pt x="97" y="0"/>
                                </a:lnTo>
                                <a:close/>
                                <a:moveTo>
                                  <a:pt x="421" y="307"/>
                                </a:moveTo>
                                <a:lnTo>
                                  <a:pt x="406" y="307"/>
                                </a:lnTo>
                                <a:lnTo>
                                  <a:pt x="406" y="464"/>
                                </a:lnTo>
                                <a:lnTo>
                                  <a:pt x="399" y="470"/>
                                </a:lnTo>
                                <a:lnTo>
                                  <a:pt x="416" y="470"/>
                                </a:lnTo>
                                <a:lnTo>
                                  <a:pt x="419" y="467"/>
                                </a:lnTo>
                                <a:lnTo>
                                  <a:pt x="421" y="455"/>
                                </a:lnTo>
                                <a:lnTo>
                                  <a:pt x="421" y="307"/>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3" name="Picture 21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35" y="0"/>
                            <a:ext cx="539"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35CFCDE" id="Group 217" o:spid="_x0000_s1026" style="width:28.7pt;height:27.75pt;mso-position-horizontal-relative:char;mso-position-vertical-relative:line" coordsize="574,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">
                <v:shape id="AutoShape 219" o:spid="_x0000_s1027" style="position:absolute;top:70;width:422;height:485;visibility:visible;mso-wrap-style:square;v-text-anchor:top" coordsize="42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" path="m97,l30,,19,2,9,9,2,18,,29,,455r2,12l9,476r10,6l30,485r360,l402,482r10,-6l416,470r-395,l15,464,15,21r6,-7l97,14,97,xm421,307r-15,l406,464r-7,6l416,470r3,-3l421,455r,-148xe" fillcolor="#001f5f" stroked="f">
                  <v:path arrowok="t" o:connecttype="custom" o:connectlocs="97,70;30,70;19,72;9,79;2,88;0,99;0,525;2,537;9,546;19,552;30,555;390,555;402,552;412,546;416,540;21,540;15,534;15,91;21,84;97,84;97,70;421,377;406,377;406,534;399,540;416,540;419,537;421,525;421,377" o:connectangles="0,0,0,0,0,0,0,0,0,0,0,0,0,0,0,0,0,0,0,0,0,0,0,0,0,0,0,0,0"/>
                </v:shape>
                <v:shape id="Picture 218" o:spid="_x0000_s1028" type="#_x0000_t75" style="position:absolute;left:35;width:539;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">
                  <v:imagedata r:id="rId195" o:title=""/>
                </v:shape>
                <w10:anchorlock/>
              </v:group>
            </w:pict>
          </mc:Fallback>
        </mc:AlternateContent>
      </w:r>
      <w:r>
        <w:rPr>
          <w:rFonts w:ascii="Arial"/>
          <w:position w:val="3"/>
          <w:sz w:val="20"/>
        </w:rPr>
        <w:tab/>
      </w:r>
      <w:r>
        <w:rPr>
          <w:rFonts w:ascii="Arial"/>
          <w:noProof/>
          <w:position w:val="4"/>
          <w:sz w:val="20"/>
          <w:lang w:val="en-AU" w:eastAsia="en-AU"/>
        </w:rPr>
        <w:drawing>
          <wp:inline distT="0" distB="0" distL="0" distR="0">
            <wp:extent cx="414941" cy="319087"/>
            <wp:effectExtent l="0" t="0" r="0" b="0"/>
            <wp:docPr id="1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196" cstate="print"/>
                    <a:stretch>
                      <a:fillRect/>
                    </a:stretch>
                  </pic:blipFill>
                  <pic:spPr>
                    <a:xfrm>
                      <a:off x="0" y="0"/>
                      <a:ext cx="414941" cy="319087"/>
                    </a:xfrm>
                    <a:prstGeom prst="rect">
                      <a:avLst/>
                    </a:prstGeom>
                  </pic:spPr>
                </pic:pic>
              </a:graphicData>
            </a:graphic>
          </wp:inline>
        </w:drawing>
      </w:r>
      <w:r>
        <w:rPr>
          <w:rFonts w:ascii="Arial"/>
          <w:position w:val="4"/>
          <w:sz w:val="20"/>
        </w:rPr>
        <w:tab/>
      </w:r>
      <w:r>
        <w:rPr>
          <w:rFonts w:ascii="Arial"/>
          <w:noProof/>
          <w:sz w:val="20"/>
          <w:lang w:val="en-AU" w:eastAsia="en-AU"/>
        </w:rPr>
        <w:drawing>
          <wp:inline distT="0" distB="0" distL="0" distR="0">
            <wp:extent cx="358579" cy="357187"/>
            <wp:effectExtent l="0" t="0" r="0" b="0"/>
            <wp:docPr id="1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7.png"/>
                    <pic:cNvPicPr/>
                  </pic:nvPicPr>
                  <pic:blipFill>
                    <a:blip r:embed="rId193" cstate="print"/>
                    <a:stretch>
                      <a:fillRect/>
                    </a:stretch>
                  </pic:blipFill>
                  <pic:spPr>
                    <a:xfrm>
                      <a:off x="0" y="0"/>
                      <a:ext cx="358579" cy="357187"/>
                    </a:xfrm>
                    <a:prstGeom prst="rect">
                      <a:avLst/>
                    </a:prstGeom>
                  </pic:spPr>
                </pic:pic>
              </a:graphicData>
            </a:graphic>
          </wp:inline>
        </w:drawing>
      </w:r>
    </w:p>
    <w:p w:rsidR="007D76BB" w:rsidRDefault="007D76BB">
      <w:pPr>
        <w:rPr>
          <w:rFonts w:ascii="Arial"/>
          <w:sz w:val="20"/>
        </w:rPr>
        <w:sectPr w:rsidR="007D76BB">
          <w:pgSz w:w="11910" w:h="16850"/>
          <w:pgMar w:top="820" w:right="820" w:bottom="740" w:left="1220" w:header="459" w:footer="546" w:gutter="0"/>
          <w:cols w:space="720"/>
        </w:sectPr>
      </w:pPr>
    </w:p>
    <w:p w:rsidR="007D76BB" w:rsidRDefault="00D70D28">
      <w:pPr>
        <w:spacing w:before="42" w:line="266" w:lineRule="auto"/>
        <w:ind w:left="556" w:right="-13"/>
        <w:rPr>
          <w:rFonts w:ascii="Arial"/>
          <w:sz w:val="11"/>
        </w:rPr>
      </w:pPr>
      <w:r>
        <w:rPr>
          <w:rFonts w:ascii="Arial"/>
          <w:color w:val="001F5F"/>
          <w:w w:val="110"/>
          <w:sz w:val="11"/>
        </w:rPr>
        <w:t>Manufacture</w:t>
      </w:r>
      <w:r>
        <w:rPr>
          <w:rFonts w:ascii="Arial"/>
          <w:color w:val="001F5F"/>
          <w:spacing w:val="-17"/>
          <w:w w:val="110"/>
          <w:sz w:val="11"/>
        </w:rPr>
        <w:t xml:space="preserve"> </w:t>
      </w:r>
      <w:r>
        <w:rPr>
          <w:rFonts w:ascii="Arial"/>
          <w:color w:val="001F5F"/>
          <w:w w:val="110"/>
          <w:sz w:val="11"/>
        </w:rPr>
        <w:t>on</w:t>
      </w:r>
      <w:r>
        <w:rPr>
          <w:rFonts w:ascii="Arial"/>
          <w:color w:val="001F5F"/>
          <w:spacing w:val="-16"/>
          <w:w w:val="110"/>
          <w:sz w:val="11"/>
        </w:rPr>
        <w:t xml:space="preserve"> </w:t>
      </w:r>
      <w:r>
        <w:rPr>
          <w:rFonts w:ascii="Arial"/>
          <w:color w:val="001F5F"/>
          <w:w w:val="110"/>
          <w:sz w:val="11"/>
        </w:rPr>
        <w:t>own</w:t>
      </w:r>
      <w:r>
        <w:rPr>
          <w:rFonts w:ascii="Arial"/>
          <w:color w:val="001F5F"/>
          <w:spacing w:val="-11"/>
          <w:w w:val="110"/>
          <w:sz w:val="11"/>
        </w:rPr>
        <w:t xml:space="preserve"> </w:t>
      </w:r>
      <w:r>
        <w:rPr>
          <w:rFonts w:ascii="Arial"/>
          <w:color w:val="001F5F"/>
          <w:w w:val="110"/>
          <w:sz w:val="11"/>
        </w:rPr>
        <w:t>site (Australia</w:t>
      </w:r>
      <w:r>
        <w:rPr>
          <w:rFonts w:ascii="Arial"/>
          <w:color w:val="001F5F"/>
          <w:spacing w:val="-14"/>
          <w:w w:val="110"/>
          <w:sz w:val="11"/>
        </w:rPr>
        <w:t xml:space="preserve"> </w:t>
      </w:r>
      <w:r>
        <w:rPr>
          <w:rFonts w:ascii="Arial"/>
          <w:color w:val="001F5F"/>
          <w:w w:val="110"/>
          <w:sz w:val="11"/>
        </w:rPr>
        <w:t>or</w:t>
      </w:r>
      <w:r>
        <w:rPr>
          <w:rFonts w:ascii="Arial"/>
          <w:color w:val="001F5F"/>
          <w:spacing w:val="-11"/>
          <w:w w:val="110"/>
          <w:sz w:val="11"/>
        </w:rPr>
        <w:t xml:space="preserve"> </w:t>
      </w:r>
      <w:r>
        <w:rPr>
          <w:rFonts w:ascii="Arial"/>
          <w:color w:val="001F5F"/>
          <w:w w:val="110"/>
          <w:sz w:val="11"/>
        </w:rPr>
        <w:t>overseas)</w:t>
      </w:r>
      <w:r>
        <w:rPr>
          <w:rFonts w:ascii="Arial"/>
          <w:color w:val="001F5F"/>
          <w:spacing w:val="-15"/>
          <w:w w:val="110"/>
          <w:sz w:val="11"/>
        </w:rPr>
        <w:t xml:space="preserve"> </w:t>
      </w:r>
      <w:r>
        <w:rPr>
          <w:rFonts w:ascii="Arial"/>
          <w:color w:val="001F5F"/>
          <w:w w:val="110"/>
          <w:sz w:val="11"/>
        </w:rPr>
        <w:t>if</w:t>
      </w:r>
    </w:p>
    <w:p w:rsidR="007D76BB" w:rsidRDefault="00D70D28">
      <w:pPr>
        <w:spacing w:before="42" w:line="266" w:lineRule="auto"/>
        <w:ind w:left="155" w:right="-8"/>
        <w:rPr>
          <w:rFonts w:ascii="Arial"/>
          <w:sz w:val="11"/>
        </w:rPr>
      </w:pPr>
      <w:r>
        <w:br w:type="column"/>
      </w:r>
      <w:r>
        <w:rPr>
          <w:rFonts w:ascii="Arial"/>
          <w:color w:val="001F5F"/>
          <w:w w:val="115"/>
          <w:sz w:val="11"/>
        </w:rPr>
        <w:lastRenderedPageBreak/>
        <w:t xml:space="preserve">Use an existing </w:t>
      </w:r>
      <w:r>
        <w:rPr>
          <w:rFonts w:ascii="Arial"/>
          <w:color w:val="001F5F"/>
          <w:spacing w:val="-1"/>
          <w:w w:val="115"/>
          <w:sz w:val="11"/>
        </w:rPr>
        <w:t>Australian</w:t>
      </w:r>
      <w:r>
        <w:rPr>
          <w:rFonts w:ascii="Arial"/>
          <w:color w:val="001F5F"/>
          <w:spacing w:val="-22"/>
          <w:w w:val="115"/>
          <w:sz w:val="11"/>
        </w:rPr>
        <w:t xml:space="preserve"> </w:t>
      </w:r>
      <w:r>
        <w:rPr>
          <w:rFonts w:ascii="Arial"/>
          <w:color w:val="001F5F"/>
          <w:spacing w:val="-3"/>
          <w:w w:val="115"/>
          <w:sz w:val="11"/>
        </w:rPr>
        <w:t>contract</w:t>
      </w:r>
    </w:p>
    <w:p w:rsidR="007D76BB" w:rsidRDefault="00D70D28">
      <w:pPr>
        <w:spacing w:before="42" w:line="266" w:lineRule="auto"/>
        <w:ind w:left="378" w:right="-7"/>
        <w:rPr>
          <w:rFonts w:ascii="Arial"/>
          <w:sz w:val="11"/>
        </w:rPr>
      </w:pPr>
      <w:r>
        <w:br w:type="column"/>
      </w:r>
      <w:r>
        <w:rPr>
          <w:rFonts w:ascii="Arial"/>
          <w:color w:val="001F5F"/>
          <w:w w:val="110"/>
          <w:sz w:val="11"/>
        </w:rPr>
        <w:lastRenderedPageBreak/>
        <w:t>Use</w:t>
      </w:r>
      <w:r>
        <w:rPr>
          <w:rFonts w:ascii="Arial"/>
          <w:color w:val="001F5F"/>
          <w:spacing w:val="-16"/>
          <w:w w:val="110"/>
          <w:sz w:val="11"/>
        </w:rPr>
        <w:t xml:space="preserve"> </w:t>
      </w:r>
      <w:r>
        <w:rPr>
          <w:rFonts w:ascii="Arial"/>
          <w:color w:val="001F5F"/>
          <w:w w:val="110"/>
          <w:sz w:val="11"/>
        </w:rPr>
        <w:t>an</w:t>
      </w:r>
      <w:r>
        <w:rPr>
          <w:rFonts w:ascii="Arial"/>
          <w:color w:val="001F5F"/>
          <w:spacing w:val="-20"/>
          <w:w w:val="110"/>
          <w:sz w:val="11"/>
        </w:rPr>
        <w:t xml:space="preserve"> </w:t>
      </w:r>
      <w:r>
        <w:rPr>
          <w:rFonts w:ascii="Arial"/>
          <w:color w:val="001F5F"/>
          <w:w w:val="110"/>
          <w:sz w:val="11"/>
        </w:rPr>
        <w:t>existing</w:t>
      </w:r>
      <w:r>
        <w:rPr>
          <w:rFonts w:ascii="Arial"/>
          <w:color w:val="001F5F"/>
          <w:spacing w:val="-9"/>
          <w:w w:val="110"/>
          <w:sz w:val="11"/>
        </w:rPr>
        <w:t xml:space="preserve"> </w:t>
      </w:r>
      <w:r>
        <w:rPr>
          <w:rFonts w:ascii="Arial"/>
          <w:color w:val="001F5F"/>
          <w:spacing w:val="-3"/>
          <w:w w:val="110"/>
          <w:sz w:val="11"/>
        </w:rPr>
        <w:t xml:space="preserve">overseas </w:t>
      </w:r>
      <w:r>
        <w:rPr>
          <w:rFonts w:ascii="Arial"/>
          <w:color w:val="001F5F"/>
          <w:w w:val="110"/>
          <w:sz w:val="11"/>
        </w:rPr>
        <w:t>contract</w:t>
      </w:r>
      <w:r>
        <w:rPr>
          <w:rFonts w:ascii="Arial"/>
          <w:color w:val="001F5F"/>
          <w:spacing w:val="-7"/>
          <w:w w:val="110"/>
          <w:sz w:val="11"/>
        </w:rPr>
        <w:t xml:space="preserve"> </w:t>
      </w:r>
      <w:r>
        <w:rPr>
          <w:rFonts w:ascii="Arial"/>
          <w:color w:val="001F5F"/>
          <w:w w:val="110"/>
          <w:sz w:val="11"/>
        </w:rPr>
        <w:t>manufacturer</w:t>
      </w:r>
    </w:p>
    <w:p w:rsidR="007D76BB" w:rsidRDefault="00D70D28">
      <w:pPr>
        <w:spacing w:before="42" w:line="266" w:lineRule="auto"/>
        <w:ind w:left="94" w:right="-8"/>
        <w:rPr>
          <w:rFonts w:ascii="Arial"/>
          <w:sz w:val="11"/>
        </w:rPr>
      </w:pPr>
      <w:r>
        <w:br w:type="column"/>
      </w:r>
      <w:r>
        <w:rPr>
          <w:rFonts w:ascii="Arial"/>
          <w:color w:val="001F5F"/>
          <w:w w:val="110"/>
          <w:sz w:val="11"/>
        </w:rPr>
        <w:lastRenderedPageBreak/>
        <w:t xml:space="preserve">Apply for a TGA manufacturing </w:t>
      </w:r>
      <w:proofErr w:type="spellStart"/>
      <w:r>
        <w:rPr>
          <w:rFonts w:ascii="Arial"/>
          <w:color w:val="001F5F"/>
          <w:spacing w:val="-3"/>
          <w:w w:val="110"/>
          <w:sz w:val="11"/>
        </w:rPr>
        <w:t>licence</w:t>
      </w:r>
      <w:proofErr w:type="spellEnd"/>
    </w:p>
    <w:p w:rsidR="007D76BB" w:rsidRDefault="00D70D28">
      <w:pPr>
        <w:spacing w:before="42" w:line="266" w:lineRule="auto"/>
        <w:ind w:left="95" w:right="-8"/>
        <w:rPr>
          <w:rFonts w:ascii="Arial"/>
          <w:sz w:val="11"/>
        </w:rPr>
      </w:pPr>
      <w:r>
        <w:br w:type="column"/>
      </w:r>
      <w:r>
        <w:rPr>
          <w:rFonts w:ascii="Arial"/>
          <w:color w:val="001F5F"/>
          <w:w w:val="115"/>
          <w:sz w:val="11"/>
        </w:rPr>
        <w:lastRenderedPageBreak/>
        <w:t xml:space="preserve">Request existing </w:t>
      </w:r>
      <w:r>
        <w:rPr>
          <w:rFonts w:ascii="Arial"/>
          <w:color w:val="001F5F"/>
          <w:spacing w:val="-1"/>
          <w:w w:val="115"/>
          <w:sz w:val="11"/>
        </w:rPr>
        <w:t>Australian</w:t>
      </w:r>
      <w:r>
        <w:rPr>
          <w:rFonts w:ascii="Arial"/>
          <w:color w:val="001F5F"/>
          <w:spacing w:val="-22"/>
          <w:w w:val="115"/>
          <w:sz w:val="11"/>
        </w:rPr>
        <w:t xml:space="preserve"> </w:t>
      </w:r>
      <w:r>
        <w:rPr>
          <w:rFonts w:ascii="Arial"/>
          <w:color w:val="001F5F"/>
          <w:spacing w:val="-3"/>
          <w:w w:val="115"/>
          <w:sz w:val="11"/>
        </w:rPr>
        <w:t>contract</w:t>
      </w:r>
    </w:p>
    <w:p w:rsidR="007D76BB" w:rsidRDefault="00D70D28">
      <w:pPr>
        <w:spacing w:before="42" w:line="266" w:lineRule="auto"/>
        <w:ind w:left="356" w:right="876"/>
        <w:rPr>
          <w:rFonts w:ascii="Arial"/>
          <w:sz w:val="11"/>
        </w:rPr>
      </w:pPr>
      <w:r>
        <w:br w:type="column"/>
      </w:r>
      <w:r>
        <w:rPr>
          <w:rFonts w:ascii="Arial"/>
          <w:color w:val="001F5F"/>
          <w:w w:val="115"/>
          <w:sz w:val="11"/>
        </w:rPr>
        <w:lastRenderedPageBreak/>
        <w:t xml:space="preserve">Request existing </w:t>
      </w:r>
      <w:r>
        <w:rPr>
          <w:rFonts w:ascii="Arial"/>
          <w:color w:val="001F5F"/>
          <w:w w:val="110"/>
          <w:sz w:val="11"/>
        </w:rPr>
        <w:t>overseas contract</w:t>
      </w:r>
    </w:p>
    <w:p w:rsidR="007D76BB" w:rsidRDefault="007D76BB">
      <w:pPr>
        <w:spacing w:line="266" w:lineRule="auto"/>
        <w:rPr>
          <w:rFonts w:ascii="Arial"/>
          <w:sz w:val="11"/>
        </w:rPr>
        <w:sectPr w:rsidR="007D76BB">
          <w:type w:val="continuous"/>
          <w:pgSz w:w="11910" w:h="16850"/>
          <w:pgMar w:top="1220" w:right="820" w:bottom="280" w:left="1220" w:header="720" w:footer="720" w:gutter="0"/>
          <w:cols w:num="6" w:space="720" w:equalWidth="0">
            <w:col w:w="1838" w:space="40"/>
            <w:col w:w="1159" w:space="39"/>
            <w:col w:w="1674" w:space="40"/>
            <w:col w:w="1263" w:space="40"/>
            <w:col w:w="1099" w:space="39"/>
            <w:col w:w="2639"/>
          </w:cols>
        </w:sectPr>
      </w:pPr>
    </w:p>
    <w:p w:rsidR="007D76BB" w:rsidRDefault="00D70D28">
      <w:pPr>
        <w:spacing w:before="1"/>
        <w:ind w:left="556"/>
        <w:rPr>
          <w:rFonts w:ascii="Arial"/>
          <w:sz w:val="11"/>
        </w:rPr>
      </w:pPr>
      <w:proofErr w:type="gramStart"/>
      <w:r>
        <w:rPr>
          <w:rFonts w:ascii="Arial"/>
          <w:color w:val="001F5F"/>
          <w:w w:val="110"/>
          <w:sz w:val="11"/>
        </w:rPr>
        <w:t>holder</w:t>
      </w:r>
      <w:proofErr w:type="gramEnd"/>
      <w:r>
        <w:rPr>
          <w:rFonts w:ascii="Arial"/>
          <w:color w:val="001F5F"/>
          <w:w w:val="110"/>
          <w:sz w:val="11"/>
        </w:rPr>
        <w:t xml:space="preserve"> of current</w:t>
      </w:r>
      <w:r>
        <w:rPr>
          <w:rFonts w:ascii="Arial"/>
          <w:color w:val="001F5F"/>
          <w:spacing w:val="-25"/>
          <w:w w:val="110"/>
          <w:sz w:val="11"/>
        </w:rPr>
        <w:t xml:space="preserve"> </w:t>
      </w:r>
      <w:r>
        <w:rPr>
          <w:rFonts w:ascii="Arial"/>
          <w:color w:val="001F5F"/>
          <w:spacing w:val="-4"/>
          <w:w w:val="110"/>
          <w:sz w:val="11"/>
        </w:rPr>
        <w:t>TGA</w:t>
      </w:r>
    </w:p>
    <w:p w:rsidR="007D76BB" w:rsidRDefault="00D70D28">
      <w:pPr>
        <w:spacing w:before="1"/>
        <w:ind w:left="292"/>
        <w:rPr>
          <w:rFonts w:ascii="Arial"/>
          <w:sz w:val="11"/>
        </w:rPr>
      </w:pPr>
      <w:r>
        <w:br w:type="column"/>
      </w:r>
      <w:proofErr w:type="gramStart"/>
      <w:r>
        <w:rPr>
          <w:rFonts w:ascii="Arial"/>
          <w:color w:val="001F5F"/>
          <w:w w:val="110"/>
          <w:sz w:val="11"/>
        </w:rPr>
        <w:lastRenderedPageBreak/>
        <w:t>manufacturer</w:t>
      </w:r>
      <w:proofErr w:type="gramEnd"/>
      <w:r>
        <w:rPr>
          <w:rFonts w:ascii="Arial"/>
          <w:color w:val="001F5F"/>
          <w:w w:val="110"/>
          <w:sz w:val="11"/>
        </w:rPr>
        <w:t xml:space="preserve"> who</w:t>
      </w:r>
      <w:r>
        <w:rPr>
          <w:rFonts w:ascii="Arial"/>
          <w:color w:val="001F5F"/>
          <w:spacing w:val="-24"/>
          <w:w w:val="110"/>
          <w:sz w:val="11"/>
        </w:rPr>
        <w:t xml:space="preserve"> </w:t>
      </w:r>
      <w:r>
        <w:rPr>
          <w:rFonts w:ascii="Arial"/>
          <w:color w:val="001F5F"/>
          <w:spacing w:val="-5"/>
          <w:w w:val="110"/>
          <w:sz w:val="11"/>
        </w:rPr>
        <w:t>holds</w:t>
      </w:r>
    </w:p>
    <w:p w:rsidR="007D76BB" w:rsidRDefault="00D70D28">
      <w:pPr>
        <w:spacing w:before="1"/>
        <w:ind w:left="122"/>
        <w:rPr>
          <w:rFonts w:ascii="Arial"/>
          <w:sz w:val="11"/>
        </w:rPr>
      </w:pPr>
      <w:r>
        <w:br w:type="column"/>
      </w:r>
      <w:proofErr w:type="gramStart"/>
      <w:r>
        <w:rPr>
          <w:rFonts w:ascii="Arial"/>
          <w:color w:val="001F5F"/>
          <w:w w:val="110"/>
          <w:sz w:val="11"/>
        </w:rPr>
        <w:lastRenderedPageBreak/>
        <w:t>who</w:t>
      </w:r>
      <w:proofErr w:type="gramEnd"/>
      <w:r>
        <w:rPr>
          <w:rFonts w:ascii="Arial"/>
          <w:color w:val="001F5F"/>
          <w:w w:val="110"/>
          <w:sz w:val="11"/>
        </w:rPr>
        <w:t xml:space="preserve"> has been</w:t>
      </w:r>
      <w:r>
        <w:rPr>
          <w:rFonts w:ascii="Arial"/>
          <w:color w:val="001F5F"/>
          <w:spacing w:val="-25"/>
          <w:w w:val="110"/>
          <w:sz w:val="11"/>
        </w:rPr>
        <w:t xml:space="preserve"> </w:t>
      </w:r>
      <w:r>
        <w:rPr>
          <w:rFonts w:ascii="Arial"/>
          <w:color w:val="001F5F"/>
          <w:spacing w:val="-3"/>
          <w:w w:val="110"/>
          <w:sz w:val="11"/>
        </w:rPr>
        <w:t>certified</w:t>
      </w:r>
    </w:p>
    <w:p w:rsidR="007D76BB" w:rsidRDefault="00D70D28">
      <w:pPr>
        <w:spacing w:before="1"/>
        <w:ind w:left="212"/>
        <w:rPr>
          <w:rFonts w:ascii="Arial"/>
          <w:sz w:val="11"/>
        </w:rPr>
      </w:pPr>
      <w:r>
        <w:br w:type="column"/>
      </w:r>
      <w:r>
        <w:rPr>
          <w:rFonts w:ascii="Arial"/>
          <w:color w:val="001F5F"/>
          <w:w w:val="115"/>
          <w:sz w:val="11"/>
        </w:rPr>
        <w:lastRenderedPageBreak/>
        <w:t>(</w:t>
      </w:r>
      <w:proofErr w:type="gramStart"/>
      <w:r>
        <w:rPr>
          <w:rFonts w:ascii="Arial"/>
          <w:color w:val="001F5F"/>
          <w:w w:val="115"/>
          <w:sz w:val="11"/>
        </w:rPr>
        <w:t>likely</w:t>
      </w:r>
      <w:proofErr w:type="gramEnd"/>
      <w:r>
        <w:rPr>
          <w:rFonts w:ascii="Arial"/>
          <w:color w:val="001F5F"/>
          <w:w w:val="115"/>
          <w:sz w:val="11"/>
        </w:rPr>
        <w:t xml:space="preserve"> to</w:t>
      </w:r>
      <w:r>
        <w:rPr>
          <w:rFonts w:ascii="Arial"/>
          <w:color w:val="001F5F"/>
          <w:spacing w:val="-24"/>
          <w:w w:val="115"/>
          <w:sz w:val="11"/>
        </w:rPr>
        <w:t xml:space="preserve"> </w:t>
      </w:r>
      <w:r>
        <w:rPr>
          <w:rFonts w:ascii="Arial"/>
          <w:color w:val="001F5F"/>
          <w:spacing w:val="-4"/>
          <w:w w:val="115"/>
          <w:sz w:val="11"/>
        </w:rPr>
        <w:t>involve</w:t>
      </w:r>
    </w:p>
    <w:p w:rsidR="007D76BB" w:rsidRDefault="00D70D28">
      <w:pPr>
        <w:spacing w:before="1"/>
        <w:ind w:left="405"/>
        <w:rPr>
          <w:rFonts w:ascii="Arial"/>
          <w:sz w:val="11"/>
        </w:rPr>
      </w:pPr>
      <w:r>
        <w:br w:type="column"/>
      </w:r>
      <w:proofErr w:type="gramStart"/>
      <w:r>
        <w:rPr>
          <w:rFonts w:ascii="Arial"/>
          <w:color w:val="001F5F"/>
          <w:w w:val="115"/>
          <w:sz w:val="11"/>
        </w:rPr>
        <w:lastRenderedPageBreak/>
        <w:t>manufacturer</w:t>
      </w:r>
      <w:proofErr w:type="gramEnd"/>
      <w:r>
        <w:rPr>
          <w:rFonts w:ascii="Arial"/>
          <w:color w:val="001F5F"/>
          <w:w w:val="115"/>
          <w:sz w:val="11"/>
        </w:rPr>
        <w:t xml:space="preserve"> to obtain a manufacturer to provide</w:t>
      </w:r>
    </w:p>
    <w:p w:rsidR="007D76BB" w:rsidRDefault="007D76BB">
      <w:pPr>
        <w:rPr>
          <w:rFonts w:ascii="Arial"/>
          <w:sz w:val="11"/>
        </w:rPr>
        <w:sectPr w:rsidR="007D76BB">
          <w:type w:val="continuous"/>
          <w:pgSz w:w="11910" w:h="16850"/>
          <w:pgMar w:top="1220" w:right="820" w:bottom="280" w:left="1220" w:header="720" w:footer="720" w:gutter="0"/>
          <w:cols w:num="5" w:space="720" w:equalWidth="0">
            <w:col w:w="1701" w:space="40"/>
            <w:col w:w="1553" w:space="39"/>
            <w:col w:w="1300" w:space="40"/>
            <w:col w:w="1070" w:space="39"/>
            <w:col w:w="4088"/>
          </w:cols>
        </w:sectPr>
      </w:pPr>
    </w:p>
    <w:p w:rsidR="007D76BB" w:rsidRDefault="00D70D28">
      <w:pPr>
        <w:spacing w:before="14" w:line="266" w:lineRule="auto"/>
        <w:ind w:left="556" w:right="-12"/>
        <w:rPr>
          <w:rFonts w:ascii="Arial" w:hAnsi="Arial"/>
          <w:sz w:val="11"/>
        </w:rPr>
      </w:pPr>
      <w:proofErr w:type="gramStart"/>
      <w:r>
        <w:rPr>
          <w:rFonts w:ascii="Arial" w:hAnsi="Arial"/>
          <w:color w:val="001F5F"/>
          <w:w w:val="110"/>
          <w:sz w:val="11"/>
        </w:rPr>
        <w:t>manufacturing</w:t>
      </w:r>
      <w:proofErr w:type="gramEnd"/>
      <w:r>
        <w:rPr>
          <w:rFonts w:ascii="Arial" w:hAnsi="Arial"/>
          <w:color w:val="001F5F"/>
          <w:w w:val="110"/>
          <w:sz w:val="11"/>
        </w:rPr>
        <w:t xml:space="preserve"> </w:t>
      </w:r>
      <w:proofErr w:type="spellStart"/>
      <w:r>
        <w:rPr>
          <w:rFonts w:ascii="Arial" w:hAnsi="Arial"/>
          <w:color w:val="001F5F"/>
          <w:w w:val="110"/>
          <w:sz w:val="11"/>
        </w:rPr>
        <w:t>licence</w:t>
      </w:r>
      <w:proofErr w:type="spellEnd"/>
      <w:r>
        <w:rPr>
          <w:rFonts w:ascii="Arial" w:hAnsi="Arial"/>
          <w:color w:val="001F5F"/>
          <w:w w:val="110"/>
          <w:sz w:val="11"/>
        </w:rPr>
        <w:t>/certified under the TGA’s MRA or CV GMP</w:t>
      </w:r>
      <w:r>
        <w:rPr>
          <w:rFonts w:ascii="Arial" w:hAnsi="Arial"/>
          <w:color w:val="001F5F"/>
          <w:spacing w:val="-25"/>
          <w:w w:val="110"/>
          <w:sz w:val="11"/>
        </w:rPr>
        <w:t xml:space="preserve"> </w:t>
      </w:r>
      <w:r>
        <w:rPr>
          <w:rFonts w:ascii="Arial" w:hAnsi="Arial"/>
          <w:color w:val="001F5F"/>
          <w:w w:val="110"/>
          <w:sz w:val="11"/>
        </w:rPr>
        <w:t>clearance</w:t>
      </w:r>
      <w:r>
        <w:rPr>
          <w:rFonts w:ascii="Arial" w:hAnsi="Arial"/>
          <w:color w:val="001F5F"/>
          <w:spacing w:val="-24"/>
          <w:w w:val="110"/>
          <w:sz w:val="11"/>
        </w:rPr>
        <w:t xml:space="preserve"> </w:t>
      </w:r>
      <w:r>
        <w:rPr>
          <w:rFonts w:ascii="Arial" w:hAnsi="Arial"/>
          <w:color w:val="001F5F"/>
          <w:spacing w:val="-3"/>
          <w:w w:val="110"/>
          <w:sz w:val="11"/>
        </w:rPr>
        <w:t>pathways</w:t>
      </w:r>
    </w:p>
    <w:p w:rsidR="007D76BB" w:rsidRDefault="00D70D28">
      <w:pPr>
        <w:spacing w:before="14" w:line="266" w:lineRule="auto"/>
        <w:ind w:left="123" w:right="-12"/>
        <w:rPr>
          <w:rFonts w:ascii="Arial"/>
          <w:sz w:val="11"/>
        </w:rPr>
      </w:pPr>
      <w:r>
        <w:br w:type="column"/>
      </w:r>
      <w:proofErr w:type="gramStart"/>
      <w:r>
        <w:rPr>
          <w:rFonts w:ascii="Arial"/>
          <w:color w:val="001F5F"/>
          <w:w w:val="110"/>
          <w:sz w:val="11"/>
        </w:rPr>
        <w:lastRenderedPageBreak/>
        <w:t>a</w:t>
      </w:r>
      <w:proofErr w:type="gramEnd"/>
      <w:r>
        <w:rPr>
          <w:rFonts w:ascii="Arial"/>
          <w:color w:val="001F5F"/>
          <w:w w:val="110"/>
          <w:sz w:val="11"/>
        </w:rPr>
        <w:t xml:space="preserve"> current TGA manufacturing </w:t>
      </w:r>
      <w:proofErr w:type="spellStart"/>
      <w:r>
        <w:rPr>
          <w:rFonts w:ascii="Arial"/>
          <w:color w:val="001F5F"/>
          <w:spacing w:val="-3"/>
          <w:w w:val="110"/>
          <w:sz w:val="11"/>
        </w:rPr>
        <w:t>licence</w:t>
      </w:r>
      <w:proofErr w:type="spellEnd"/>
    </w:p>
    <w:p w:rsidR="007D76BB" w:rsidRDefault="00D70D28">
      <w:pPr>
        <w:spacing w:before="14" w:line="266" w:lineRule="auto"/>
        <w:ind w:left="218" w:right="-6"/>
        <w:rPr>
          <w:rFonts w:ascii="Arial" w:hAnsi="Arial"/>
          <w:sz w:val="11"/>
        </w:rPr>
      </w:pPr>
      <w:r>
        <w:br w:type="column"/>
      </w:r>
      <w:proofErr w:type="gramStart"/>
      <w:r>
        <w:rPr>
          <w:rFonts w:ascii="Arial" w:hAnsi="Arial"/>
          <w:color w:val="001F5F"/>
          <w:w w:val="110"/>
          <w:sz w:val="11"/>
        </w:rPr>
        <w:lastRenderedPageBreak/>
        <w:t>under</w:t>
      </w:r>
      <w:proofErr w:type="gramEnd"/>
      <w:r>
        <w:rPr>
          <w:rFonts w:ascii="Arial" w:hAnsi="Arial"/>
          <w:color w:val="001F5F"/>
          <w:spacing w:val="-14"/>
          <w:w w:val="110"/>
          <w:sz w:val="11"/>
        </w:rPr>
        <w:t xml:space="preserve"> </w:t>
      </w:r>
      <w:r>
        <w:rPr>
          <w:rFonts w:ascii="Arial" w:hAnsi="Arial"/>
          <w:color w:val="001F5F"/>
          <w:w w:val="110"/>
          <w:sz w:val="11"/>
        </w:rPr>
        <w:t>the</w:t>
      </w:r>
      <w:r>
        <w:rPr>
          <w:rFonts w:ascii="Arial" w:hAnsi="Arial"/>
          <w:color w:val="001F5F"/>
          <w:spacing w:val="-14"/>
          <w:w w:val="110"/>
          <w:sz w:val="11"/>
        </w:rPr>
        <w:t xml:space="preserve"> </w:t>
      </w:r>
      <w:r>
        <w:rPr>
          <w:rFonts w:ascii="Arial" w:hAnsi="Arial"/>
          <w:color w:val="001F5F"/>
          <w:w w:val="110"/>
          <w:sz w:val="11"/>
        </w:rPr>
        <w:t>TGA’s</w:t>
      </w:r>
      <w:r>
        <w:rPr>
          <w:rFonts w:ascii="Arial" w:hAnsi="Arial"/>
          <w:color w:val="001F5F"/>
          <w:spacing w:val="-20"/>
          <w:w w:val="110"/>
          <w:sz w:val="11"/>
        </w:rPr>
        <w:t xml:space="preserve"> </w:t>
      </w:r>
      <w:r>
        <w:rPr>
          <w:rFonts w:ascii="Arial" w:hAnsi="Arial"/>
          <w:color w:val="001F5F"/>
          <w:w w:val="110"/>
          <w:sz w:val="11"/>
        </w:rPr>
        <w:t>MRA</w:t>
      </w:r>
      <w:r>
        <w:rPr>
          <w:rFonts w:ascii="Arial" w:hAnsi="Arial"/>
          <w:color w:val="001F5F"/>
          <w:spacing w:val="-13"/>
          <w:w w:val="110"/>
          <w:sz w:val="11"/>
        </w:rPr>
        <w:t xml:space="preserve"> </w:t>
      </w:r>
      <w:r>
        <w:rPr>
          <w:rFonts w:ascii="Arial" w:hAnsi="Arial"/>
          <w:color w:val="001F5F"/>
          <w:spacing w:val="-7"/>
          <w:w w:val="110"/>
          <w:sz w:val="11"/>
        </w:rPr>
        <w:t xml:space="preserve">or </w:t>
      </w:r>
      <w:r>
        <w:rPr>
          <w:rFonts w:ascii="Arial" w:hAnsi="Arial"/>
          <w:color w:val="001F5F"/>
          <w:w w:val="110"/>
          <w:sz w:val="11"/>
        </w:rPr>
        <w:t>CV GMP clearance pathways</w:t>
      </w:r>
    </w:p>
    <w:p w:rsidR="007D76BB" w:rsidRDefault="00D70D28">
      <w:pPr>
        <w:spacing w:before="14" w:line="266" w:lineRule="auto"/>
        <w:ind w:left="127" w:right="-5"/>
        <w:rPr>
          <w:rFonts w:ascii="Arial"/>
          <w:sz w:val="11"/>
        </w:rPr>
      </w:pPr>
      <w:r>
        <w:br w:type="column"/>
      </w:r>
      <w:proofErr w:type="gramStart"/>
      <w:r>
        <w:rPr>
          <w:rFonts w:ascii="Arial"/>
          <w:color w:val="001F5F"/>
          <w:w w:val="110"/>
          <w:sz w:val="11"/>
        </w:rPr>
        <w:lastRenderedPageBreak/>
        <w:t>considerable</w:t>
      </w:r>
      <w:proofErr w:type="gramEnd"/>
      <w:r>
        <w:rPr>
          <w:rFonts w:ascii="Arial"/>
          <w:color w:val="001F5F"/>
          <w:w w:val="110"/>
          <w:sz w:val="11"/>
        </w:rPr>
        <w:t xml:space="preserve"> time</w:t>
      </w:r>
      <w:r>
        <w:rPr>
          <w:rFonts w:ascii="Arial"/>
          <w:color w:val="001F5F"/>
          <w:spacing w:val="-24"/>
          <w:w w:val="110"/>
          <w:sz w:val="11"/>
        </w:rPr>
        <w:t xml:space="preserve"> </w:t>
      </w:r>
      <w:r>
        <w:rPr>
          <w:rFonts w:ascii="Arial"/>
          <w:color w:val="001F5F"/>
          <w:spacing w:val="-5"/>
          <w:w w:val="110"/>
          <w:sz w:val="11"/>
        </w:rPr>
        <w:t xml:space="preserve">and </w:t>
      </w:r>
      <w:r>
        <w:rPr>
          <w:rFonts w:ascii="Arial"/>
          <w:color w:val="001F5F"/>
          <w:w w:val="110"/>
          <w:sz w:val="11"/>
        </w:rPr>
        <w:t>cost)</w:t>
      </w:r>
    </w:p>
    <w:p w:rsidR="007D76BB" w:rsidRDefault="00D70D28">
      <w:pPr>
        <w:spacing w:before="14" w:line="266" w:lineRule="auto"/>
        <w:ind w:left="104" w:right="-8"/>
        <w:rPr>
          <w:rFonts w:ascii="Arial"/>
          <w:sz w:val="11"/>
        </w:rPr>
      </w:pPr>
      <w:r>
        <w:br w:type="column"/>
      </w:r>
      <w:r>
        <w:rPr>
          <w:rFonts w:ascii="Arial"/>
          <w:color w:val="001F5F"/>
          <w:spacing w:val="-1"/>
          <w:w w:val="110"/>
          <w:sz w:val="11"/>
        </w:rPr>
        <w:lastRenderedPageBreak/>
        <w:t>TGA</w:t>
      </w:r>
      <w:r>
        <w:rPr>
          <w:rFonts w:ascii="Arial"/>
          <w:color w:val="001F5F"/>
          <w:spacing w:val="-20"/>
          <w:w w:val="110"/>
          <w:sz w:val="11"/>
        </w:rPr>
        <w:t xml:space="preserve"> </w:t>
      </w:r>
      <w:r>
        <w:rPr>
          <w:rFonts w:ascii="Arial"/>
          <w:color w:val="001F5F"/>
          <w:spacing w:val="-1"/>
          <w:w w:val="110"/>
          <w:sz w:val="11"/>
        </w:rPr>
        <w:t xml:space="preserve">manufacturing </w:t>
      </w:r>
      <w:proofErr w:type="spellStart"/>
      <w:r>
        <w:rPr>
          <w:rFonts w:ascii="Arial"/>
          <w:color w:val="001F5F"/>
          <w:w w:val="110"/>
          <w:sz w:val="11"/>
        </w:rPr>
        <w:t>licence</w:t>
      </w:r>
      <w:proofErr w:type="spellEnd"/>
    </w:p>
    <w:p w:rsidR="007D76BB" w:rsidRDefault="00D70D28">
      <w:pPr>
        <w:spacing w:before="14" w:line="266" w:lineRule="auto"/>
        <w:ind w:left="335" w:right="929"/>
        <w:rPr>
          <w:rFonts w:ascii="Arial"/>
          <w:sz w:val="11"/>
        </w:rPr>
      </w:pPr>
      <w:r>
        <w:br w:type="column"/>
      </w:r>
      <w:proofErr w:type="gramStart"/>
      <w:r>
        <w:rPr>
          <w:rFonts w:ascii="Arial"/>
          <w:color w:val="001F5F"/>
          <w:w w:val="110"/>
          <w:sz w:val="11"/>
        </w:rPr>
        <w:lastRenderedPageBreak/>
        <w:t>the</w:t>
      </w:r>
      <w:proofErr w:type="gramEnd"/>
      <w:r>
        <w:rPr>
          <w:rFonts w:ascii="Arial"/>
          <w:color w:val="001F5F"/>
          <w:w w:val="110"/>
          <w:sz w:val="11"/>
        </w:rPr>
        <w:t xml:space="preserve"> necessary evidence to proceed down either the MRA or CV GMP clearance pathways</w:t>
      </w:r>
    </w:p>
    <w:p w:rsidR="007D76BB" w:rsidRDefault="007D76BB">
      <w:pPr>
        <w:spacing w:line="266" w:lineRule="auto"/>
        <w:rPr>
          <w:rFonts w:ascii="Arial"/>
          <w:sz w:val="11"/>
        </w:rPr>
        <w:sectPr w:rsidR="007D76BB">
          <w:type w:val="continuous"/>
          <w:pgSz w:w="11910" w:h="16850"/>
          <w:pgMar w:top="1220" w:right="820" w:bottom="280" w:left="1220" w:header="720" w:footer="720" w:gutter="0"/>
          <w:cols w:num="6" w:space="720" w:equalWidth="0">
            <w:col w:w="1870" w:space="40"/>
            <w:col w:w="1288" w:space="39"/>
            <w:col w:w="1482" w:space="39"/>
            <w:col w:w="1287" w:space="39"/>
            <w:col w:w="1130" w:space="39"/>
            <w:col w:w="2617"/>
          </w:cols>
        </w:sectPr>
      </w:pPr>
    </w:p>
    <w:p w:rsidR="007D76BB" w:rsidRDefault="00D70D28">
      <w:pPr>
        <w:pStyle w:val="ListParagraph"/>
        <w:numPr>
          <w:ilvl w:val="0"/>
          <w:numId w:val="10"/>
        </w:numPr>
        <w:tabs>
          <w:tab w:val="left" w:pos="766"/>
        </w:tabs>
        <w:spacing w:before="154" w:line="264" w:lineRule="auto"/>
        <w:ind w:right="894"/>
        <w:rPr>
          <w:rFonts w:ascii="Arial" w:hAnsi="Arial"/>
          <w:sz w:val="19"/>
        </w:rPr>
      </w:pPr>
      <w:r>
        <w:rPr>
          <w:rFonts w:ascii="Arial" w:hAnsi="Arial"/>
          <w:w w:val="105"/>
          <w:sz w:val="19"/>
        </w:rPr>
        <w:t>In</w:t>
      </w:r>
      <w:r>
        <w:rPr>
          <w:rFonts w:ascii="Arial" w:hAnsi="Arial"/>
          <w:spacing w:val="-30"/>
          <w:w w:val="105"/>
          <w:sz w:val="19"/>
        </w:rPr>
        <w:t xml:space="preserve"> </w:t>
      </w:r>
      <w:r>
        <w:rPr>
          <w:rFonts w:ascii="Arial" w:hAnsi="Arial"/>
          <w:w w:val="105"/>
          <w:sz w:val="19"/>
        </w:rPr>
        <w:t>relation</w:t>
      </w:r>
      <w:r>
        <w:rPr>
          <w:rFonts w:ascii="Arial" w:hAnsi="Arial"/>
          <w:spacing w:val="-30"/>
          <w:w w:val="105"/>
          <w:sz w:val="19"/>
        </w:rPr>
        <w:t xml:space="preserve"> </w:t>
      </w:r>
      <w:r>
        <w:rPr>
          <w:rFonts w:ascii="Arial" w:hAnsi="Arial"/>
          <w:w w:val="105"/>
          <w:sz w:val="19"/>
        </w:rPr>
        <w:t>to</w:t>
      </w:r>
      <w:r>
        <w:rPr>
          <w:rFonts w:ascii="Arial" w:hAnsi="Arial"/>
          <w:spacing w:val="-29"/>
          <w:w w:val="105"/>
          <w:sz w:val="19"/>
        </w:rPr>
        <w:t xml:space="preserve"> </w:t>
      </w:r>
      <w:r>
        <w:rPr>
          <w:rFonts w:ascii="Arial" w:hAnsi="Arial"/>
          <w:w w:val="105"/>
          <w:sz w:val="19"/>
        </w:rPr>
        <w:t>industry</w:t>
      </w:r>
      <w:r>
        <w:rPr>
          <w:rFonts w:ascii="Arial" w:hAnsi="Arial"/>
          <w:spacing w:val="-30"/>
          <w:w w:val="105"/>
          <w:sz w:val="19"/>
        </w:rPr>
        <w:t xml:space="preserve"> </w:t>
      </w:r>
      <w:r>
        <w:rPr>
          <w:rFonts w:ascii="Arial" w:hAnsi="Arial"/>
          <w:w w:val="105"/>
          <w:sz w:val="19"/>
        </w:rPr>
        <w:t>intentions,</w:t>
      </w:r>
      <w:r>
        <w:rPr>
          <w:rFonts w:ascii="Arial" w:hAnsi="Arial"/>
          <w:spacing w:val="-29"/>
          <w:w w:val="105"/>
          <w:sz w:val="19"/>
        </w:rPr>
        <w:t xml:space="preserve"> </w:t>
      </w:r>
      <w:r>
        <w:rPr>
          <w:rFonts w:ascii="Arial" w:hAnsi="Arial"/>
          <w:w w:val="105"/>
          <w:sz w:val="19"/>
        </w:rPr>
        <w:t>some</w:t>
      </w:r>
      <w:r>
        <w:rPr>
          <w:rFonts w:ascii="Arial" w:hAnsi="Arial"/>
          <w:spacing w:val="-29"/>
          <w:w w:val="105"/>
          <w:sz w:val="19"/>
        </w:rPr>
        <w:t xml:space="preserve"> </w:t>
      </w:r>
      <w:r>
        <w:rPr>
          <w:rFonts w:ascii="Arial" w:hAnsi="Arial"/>
          <w:w w:val="105"/>
          <w:sz w:val="19"/>
        </w:rPr>
        <w:t>businesses</w:t>
      </w:r>
      <w:r>
        <w:rPr>
          <w:rFonts w:ascii="Arial" w:hAnsi="Arial"/>
          <w:spacing w:val="-31"/>
          <w:w w:val="105"/>
          <w:sz w:val="19"/>
        </w:rPr>
        <w:t xml:space="preserve"> </w:t>
      </w:r>
      <w:r>
        <w:rPr>
          <w:rFonts w:ascii="Arial" w:hAnsi="Arial"/>
          <w:w w:val="105"/>
          <w:sz w:val="19"/>
        </w:rPr>
        <w:t>will</w:t>
      </w:r>
      <w:r>
        <w:rPr>
          <w:rFonts w:ascii="Arial" w:hAnsi="Arial"/>
          <w:spacing w:val="-30"/>
          <w:w w:val="105"/>
          <w:sz w:val="19"/>
        </w:rPr>
        <w:t xml:space="preserve"> </w:t>
      </w:r>
      <w:r>
        <w:rPr>
          <w:rFonts w:ascii="Arial" w:hAnsi="Arial"/>
          <w:w w:val="105"/>
          <w:sz w:val="19"/>
        </w:rPr>
        <w:t>already</w:t>
      </w:r>
      <w:r>
        <w:rPr>
          <w:rFonts w:ascii="Arial" w:hAnsi="Arial"/>
          <w:spacing w:val="-30"/>
          <w:w w:val="105"/>
          <w:sz w:val="19"/>
        </w:rPr>
        <w:t xml:space="preserve"> </w:t>
      </w:r>
      <w:r>
        <w:rPr>
          <w:rFonts w:ascii="Arial" w:hAnsi="Arial"/>
          <w:w w:val="105"/>
          <w:sz w:val="19"/>
        </w:rPr>
        <w:t>have</w:t>
      </w:r>
      <w:r>
        <w:rPr>
          <w:rFonts w:ascii="Arial" w:hAnsi="Arial"/>
          <w:spacing w:val="-30"/>
          <w:w w:val="105"/>
          <w:sz w:val="19"/>
        </w:rPr>
        <w:t xml:space="preserve"> </w:t>
      </w:r>
      <w:r>
        <w:rPr>
          <w:rFonts w:ascii="Arial" w:hAnsi="Arial"/>
          <w:w w:val="105"/>
          <w:sz w:val="19"/>
        </w:rPr>
        <w:t>a</w:t>
      </w:r>
      <w:r>
        <w:rPr>
          <w:rFonts w:ascii="Arial" w:hAnsi="Arial"/>
          <w:spacing w:val="-30"/>
          <w:w w:val="105"/>
          <w:sz w:val="19"/>
        </w:rPr>
        <w:t xml:space="preserve"> </w:t>
      </w:r>
      <w:r>
        <w:rPr>
          <w:rFonts w:ascii="Arial" w:hAnsi="Arial"/>
          <w:w w:val="105"/>
          <w:sz w:val="19"/>
        </w:rPr>
        <w:t>TGA</w:t>
      </w:r>
      <w:r>
        <w:rPr>
          <w:rFonts w:ascii="Arial" w:hAnsi="Arial"/>
          <w:spacing w:val="-29"/>
          <w:w w:val="105"/>
          <w:sz w:val="19"/>
        </w:rPr>
        <w:t xml:space="preserve"> </w:t>
      </w:r>
      <w:r>
        <w:rPr>
          <w:rFonts w:ascii="Arial" w:hAnsi="Arial"/>
          <w:w w:val="105"/>
          <w:sz w:val="19"/>
        </w:rPr>
        <w:t>manufacturing</w:t>
      </w:r>
      <w:r>
        <w:rPr>
          <w:rFonts w:ascii="Arial" w:hAnsi="Arial"/>
          <w:spacing w:val="-29"/>
          <w:w w:val="105"/>
          <w:sz w:val="19"/>
        </w:rPr>
        <w:t xml:space="preserve"> </w:t>
      </w:r>
      <w:proofErr w:type="spellStart"/>
      <w:r>
        <w:rPr>
          <w:rFonts w:ascii="Arial" w:hAnsi="Arial"/>
          <w:w w:val="105"/>
          <w:sz w:val="19"/>
        </w:rPr>
        <w:t>licence</w:t>
      </w:r>
      <w:proofErr w:type="spellEnd"/>
      <w:r>
        <w:rPr>
          <w:rFonts w:ascii="Arial" w:hAnsi="Arial"/>
          <w:w w:val="105"/>
          <w:sz w:val="19"/>
        </w:rPr>
        <w:t xml:space="preserve"> or are </w:t>
      </w:r>
      <w:proofErr w:type="spellStart"/>
      <w:r>
        <w:rPr>
          <w:rFonts w:ascii="Arial" w:hAnsi="Arial"/>
          <w:w w:val="105"/>
          <w:sz w:val="19"/>
        </w:rPr>
        <w:t>utilising</w:t>
      </w:r>
      <w:proofErr w:type="spellEnd"/>
      <w:r>
        <w:rPr>
          <w:rFonts w:ascii="Arial" w:hAnsi="Arial"/>
          <w:w w:val="105"/>
          <w:sz w:val="19"/>
        </w:rPr>
        <w:t xml:space="preserve"> a contract manufacturer who holds a current TGA manufacturing </w:t>
      </w:r>
      <w:proofErr w:type="spellStart"/>
      <w:r>
        <w:rPr>
          <w:rFonts w:ascii="Arial" w:hAnsi="Arial"/>
          <w:w w:val="105"/>
          <w:sz w:val="19"/>
        </w:rPr>
        <w:t>licence</w:t>
      </w:r>
      <w:proofErr w:type="spellEnd"/>
      <w:r>
        <w:rPr>
          <w:rFonts w:ascii="Arial" w:hAnsi="Arial"/>
          <w:w w:val="105"/>
          <w:sz w:val="19"/>
        </w:rPr>
        <w:t>/GMP certification.</w:t>
      </w:r>
      <w:r>
        <w:rPr>
          <w:rFonts w:ascii="Arial" w:hAnsi="Arial"/>
          <w:spacing w:val="-27"/>
          <w:w w:val="105"/>
          <w:sz w:val="19"/>
        </w:rPr>
        <w:t xml:space="preserve"> </w:t>
      </w:r>
      <w:r>
        <w:rPr>
          <w:rFonts w:ascii="Arial" w:hAnsi="Arial"/>
          <w:w w:val="105"/>
          <w:sz w:val="19"/>
        </w:rPr>
        <w:t>Industry</w:t>
      </w:r>
      <w:r>
        <w:rPr>
          <w:rFonts w:ascii="Arial" w:hAnsi="Arial"/>
          <w:spacing w:val="-27"/>
          <w:w w:val="105"/>
          <w:sz w:val="19"/>
        </w:rPr>
        <w:t xml:space="preserve"> </w:t>
      </w:r>
      <w:r>
        <w:rPr>
          <w:rFonts w:ascii="Arial" w:hAnsi="Arial"/>
          <w:w w:val="105"/>
          <w:sz w:val="19"/>
        </w:rPr>
        <w:t>has</w:t>
      </w:r>
      <w:r>
        <w:rPr>
          <w:rFonts w:ascii="Arial" w:hAnsi="Arial"/>
          <w:spacing w:val="-27"/>
          <w:w w:val="105"/>
          <w:sz w:val="19"/>
        </w:rPr>
        <w:t xml:space="preserve"> </w:t>
      </w:r>
      <w:r>
        <w:rPr>
          <w:rFonts w:ascii="Arial" w:hAnsi="Arial"/>
          <w:w w:val="105"/>
          <w:sz w:val="19"/>
        </w:rPr>
        <w:t>advised</w:t>
      </w:r>
      <w:r>
        <w:rPr>
          <w:rFonts w:ascii="Arial" w:hAnsi="Arial"/>
          <w:spacing w:val="-26"/>
          <w:w w:val="105"/>
          <w:sz w:val="19"/>
        </w:rPr>
        <w:t xml:space="preserve"> </w:t>
      </w:r>
      <w:r>
        <w:rPr>
          <w:rFonts w:ascii="Arial" w:hAnsi="Arial"/>
          <w:w w:val="105"/>
          <w:sz w:val="19"/>
        </w:rPr>
        <w:t>Noetic</w:t>
      </w:r>
      <w:r>
        <w:rPr>
          <w:rFonts w:ascii="Arial" w:hAnsi="Arial"/>
          <w:spacing w:val="-24"/>
          <w:w w:val="105"/>
          <w:sz w:val="19"/>
        </w:rPr>
        <w:t xml:space="preserve"> </w:t>
      </w:r>
      <w:r>
        <w:rPr>
          <w:rFonts w:ascii="Arial" w:hAnsi="Arial"/>
          <w:w w:val="105"/>
          <w:sz w:val="19"/>
        </w:rPr>
        <w:t>that</w:t>
      </w:r>
      <w:r>
        <w:rPr>
          <w:rFonts w:ascii="Arial" w:hAnsi="Arial"/>
          <w:spacing w:val="-27"/>
          <w:w w:val="105"/>
          <w:sz w:val="19"/>
        </w:rPr>
        <w:t xml:space="preserve"> </w:t>
      </w:r>
      <w:r>
        <w:rPr>
          <w:rFonts w:ascii="Arial" w:hAnsi="Arial"/>
          <w:w w:val="105"/>
          <w:sz w:val="19"/>
        </w:rPr>
        <w:t>some</w:t>
      </w:r>
      <w:r>
        <w:rPr>
          <w:rFonts w:ascii="Arial" w:hAnsi="Arial"/>
          <w:spacing w:val="-24"/>
          <w:w w:val="105"/>
          <w:sz w:val="19"/>
        </w:rPr>
        <w:t xml:space="preserve"> </w:t>
      </w:r>
      <w:r>
        <w:rPr>
          <w:rFonts w:ascii="Arial" w:hAnsi="Arial"/>
          <w:w w:val="105"/>
          <w:sz w:val="19"/>
        </w:rPr>
        <w:t>manufacturers</w:t>
      </w:r>
      <w:r>
        <w:rPr>
          <w:rFonts w:ascii="Arial" w:hAnsi="Arial"/>
          <w:spacing w:val="-27"/>
          <w:w w:val="105"/>
          <w:sz w:val="19"/>
        </w:rPr>
        <w:t xml:space="preserve"> </w:t>
      </w:r>
      <w:r>
        <w:rPr>
          <w:rFonts w:ascii="Arial" w:hAnsi="Arial"/>
          <w:w w:val="105"/>
          <w:sz w:val="19"/>
        </w:rPr>
        <w:t>operate</w:t>
      </w:r>
      <w:r>
        <w:rPr>
          <w:rFonts w:ascii="Arial" w:hAnsi="Arial"/>
          <w:spacing w:val="-25"/>
          <w:w w:val="105"/>
          <w:sz w:val="19"/>
        </w:rPr>
        <w:t xml:space="preserve"> </w:t>
      </w:r>
      <w:r>
        <w:rPr>
          <w:rFonts w:ascii="Arial" w:hAnsi="Arial"/>
          <w:w w:val="105"/>
          <w:sz w:val="19"/>
        </w:rPr>
        <w:t>separate</w:t>
      </w:r>
      <w:r>
        <w:rPr>
          <w:rFonts w:ascii="Arial" w:hAnsi="Arial"/>
          <w:spacing w:val="-27"/>
          <w:w w:val="105"/>
          <w:sz w:val="19"/>
        </w:rPr>
        <w:t xml:space="preserve"> </w:t>
      </w:r>
      <w:r>
        <w:rPr>
          <w:rFonts w:ascii="Arial" w:hAnsi="Arial"/>
          <w:w w:val="105"/>
          <w:sz w:val="19"/>
        </w:rPr>
        <w:t>production lines for therapeutic goods and food (perhaps even within the same facility), while other manufacturers</w:t>
      </w:r>
      <w:r>
        <w:rPr>
          <w:rFonts w:ascii="Arial" w:hAnsi="Arial"/>
          <w:spacing w:val="-30"/>
          <w:w w:val="105"/>
          <w:sz w:val="19"/>
        </w:rPr>
        <w:t xml:space="preserve"> </w:t>
      </w:r>
      <w:r>
        <w:rPr>
          <w:rFonts w:ascii="Arial" w:hAnsi="Arial"/>
          <w:w w:val="105"/>
          <w:sz w:val="19"/>
        </w:rPr>
        <w:t>will</w:t>
      </w:r>
      <w:r>
        <w:rPr>
          <w:rFonts w:ascii="Arial" w:hAnsi="Arial"/>
          <w:spacing w:val="-29"/>
          <w:w w:val="105"/>
          <w:sz w:val="19"/>
        </w:rPr>
        <w:t xml:space="preserve"> </w:t>
      </w:r>
      <w:r>
        <w:rPr>
          <w:rFonts w:ascii="Arial" w:hAnsi="Arial"/>
          <w:w w:val="105"/>
          <w:sz w:val="19"/>
        </w:rPr>
        <w:t>produce</w:t>
      </w:r>
      <w:r>
        <w:rPr>
          <w:rFonts w:ascii="Arial" w:hAnsi="Arial"/>
          <w:spacing w:val="-28"/>
          <w:w w:val="105"/>
          <w:sz w:val="19"/>
        </w:rPr>
        <w:t xml:space="preserve"> </w:t>
      </w:r>
      <w:r>
        <w:rPr>
          <w:rFonts w:ascii="Arial" w:hAnsi="Arial"/>
          <w:w w:val="105"/>
          <w:sz w:val="19"/>
        </w:rPr>
        <w:t>food</w:t>
      </w:r>
      <w:r>
        <w:rPr>
          <w:rFonts w:ascii="Arial" w:hAnsi="Arial"/>
          <w:spacing w:val="-30"/>
          <w:w w:val="105"/>
          <w:sz w:val="19"/>
        </w:rPr>
        <w:t xml:space="preserve"> </w:t>
      </w:r>
      <w:r>
        <w:rPr>
          <w:rFonts w:ascii="Arial" w:hAnsi="Arial"/>
          <w:w w:val="105"/>
          <w:sz w:val="19"/>
        </w:rPr>
        <w:t>products</w:t>
      </w:r>
      <w:r>
        <w:rPr>
          <w:rFonts w:ascii="Arial" w:hAnsi="Arial"/>
          <w:spacing w:val="-28"/>
          <w:w w:val="105"/>
          <w:sz w:val="19"/>
        </w:rPr>
        <w:t xml:space="preserve"> </w:t>
      </w:r>
      <w:r>
        <w:rPr>
          <w:rFonts w:ascii="Arial" w:hAnsi="Arial"/>
          <w:w w:val="105"/>
          <w:sz w:val="19"/>
        </w:rPr>
        <w:t>under</w:t>
      </w:r>
      <w:r>
        <w:rPr>
          <w:rFonts w:ascii="Arial" w:hAnsi="Arial"/>
          <w:spacing w:val="-28"/>
          <w:w w:val="105"/>
          <w:sz w:val="19"/>
        </w:rPr>
        <w:t xml:space="preserve"> </w:t>
      </w:r>
      <w:r>
        <w:rPr>
          <w:rFonts w:ascii="Arial" w:hAnsi="Arial"/>
          <w:w w:val="105"/>
          <w:sz w:val="19"/>
        </w:rPr>
        <w:t>TGA</w:t>
      </w:r>
      <w:r>
        <w:rPr>
          <w:rFonts w:ascii="Arial" w:hAnsi="Arial"/>
          <w:spacing w:val="-29"/>
          <w:w w:val="105"/>
          <w:sz w:val="19"/>
        </w:rPr>
        <w:t xml:space="preserve"> </w:t>
      </w:r>
      <w:r>
        <w:rPr>
          <w:rFonts w:ascii="Arial" w:hAnsi="Arial"/>
          <w:w w:val="105"/>
          <w:sz w:val="19"/>
        </w:rPr>
        <w:t>pharmaceutical</w:t>
      </w:r>
      <w:r>
        <w:rPr>
          <w:rFonts w:ascii="Arial" w:hAnsi="Arial"/>
          <w:spacing w:val="-29"/>
          <w:w w:val="105"/>
          <w:sz w:val="19"/>
        </w:rPr>
        <w:t xml:space="preserve"> </w:t>
      </w:r>
      <w:r>
        <w:rPr>
          <w:rFonts w:ascii="Arial" w:hAnsi="Arial"/>
          <w:w w:val="105"/>
          <w:sz w:val="19"/>
        </w:rPr>
        <w:t>grade</w:t>
      </w:r>
      <w:r>
        <w:rPr>
          <w:rFonts w:ascii="Arial" w:hAnsi="Arial"/>
          <w:spacing w:val="-28"/>
          <w:w w:val="105"/>
          <w:sz w:val="19"/>
        </w:rPr>
        <w:t xml:space="preserve"> </w:t>
      </w:r>
      <w:r>
        <w:rPr>
          <w:rFonts w:ascii="Arial" w:hAnsi="Arial"/>
          <w:w w:val="105"/>
          <w:sz w:val="19"/>
        </w:rPr>
        <w:t>GMP</w:t>
      </w:r>
      <w:r>
        <w:rPr>
          <w:rFonts w:ascii="Arial" w:hAnsi="Arial"/>
          <w:spacing w:val="-28"/>
          <w:w w:val="105"/>
          <w:sz w:val="19"/>
        </w:rPr>
        <w:t xml:space="preserve"> </w:t>
      </w:r>
      <w:r>
        <w:rPr>
          <w:rFonts w:ascii="Arial" w:hAnsi="Arial"/>
          <w:w w:val="105"/>
          <w:sz w:val="19"/>
        </w:rPr>
        <w:t>standards.</w:t>
      </w:r>
      <w:r>
        <w:rPr>
          <w:rFonts w:ascii="Arial" w:hAnsi="Arial"/>
          <w:spacing w:val="-28"/>
          <w:w w:val="105"/>
          <w:sz w:val="19"/>
        </w:rPr>
        <w:t xml:space="preserve"> </w:t>
      </w:r>
      <w:r>
        <w:rPr>
          <w:rFonts w:ascii="Arial" w:hAnsi="Arial"/>
          <w:w w:val="105"/>
          <w:sz w:val="19"/>
        </w:rPr>
        <w:t>In the first instance, there may be additional capacity for former food products to be produced using the therapeutic goods production facility.</w:t>
      </w:r>
      <w:r>
        <w:rPr>
          <w:rFonts w:ascii="Arial" w:hAnsi="Arial"/>
          <w:w w:val="105"/>
          <w:position w:val="7"/>
          <w:sz w:val="11"/>
        </w:rPr>
        <w:t xml:space="preserve">26 </w:t>
      </w:r>
      <w:r>
        <w:rPr>
          <w:rFonts w:ascii="Arial" w:hAnsi="Arial"/>
          <w:w w:val="105"/>
          <w:sz w:val="19"/>
        </w:rPr>
        <w:t>In the second instance, there may be some additional operating expenses incurred, such as additional batch testing and a more rigorous equipment cleaning regime required when switching between batches when manufacturing therapeutic</w:t>
      </w:r>
      <w:r>
        <w:rPr>
          <w:rFonts w:ascii="Arial" w:hAnsi="Arial"/>
          <w:spacing w:val="-31"/>
          <w:w w:val="105"/>
          <w:sz w:val="19"/>
        </w:rPr>
        <w:t xml:space="preserve"> </w:t>
      </w:r>
      <w:r>
        <w:rPr>
          <w:rFonts w:ascii="Arial" w:hAnsi="Arial"/>
          <w:w w:val="105"/>
          <w:sz w:val="19"/>
        </w:rPr>
        <w:t>goods</w:t>
      </w:r>
      <w:r>
        <w:rPr>
          <w:rFonts w:ascii="Arial" w:hAnsi="Arial"/>
          <w:spacing w:val="-31"/>
          <w:w w:val="105"/>
          <w:sz w:val="19"/>
        </w:rPr>
        <w:t xml:space="preserve"> </w:t>
      </w:r>
      <w:r>
        <w:rPr>
          <w:rFonts w:ascii="Arial" w:hAnsi="Arial"/>
          <w:w w:val="105"/>
          <w:sz w:val="19"/>
        </w:rPr>
        <w:t>as</w:t>
      </w:r>
      <w:r>
        <w:rPr>
          <w:rFonts w:ascii="Arial" w:hAnsi="Arial"/>
          <w:spacing w:val="-32"/>
          <w:w w:val="105"/>
          <w:sz w:val="19"/>
        </w:rPr>
        <w:t xml:space="preserve"> </w:t>
      </w:r>
      <w:r>
        <w:rPr>
          <w:rFonts w:ascii="Arial" w:hAnsi="Arial"/>
          <w:w w:val="105"/>
          <w:sz w:val="19"/>
        </w:rPr>
        <w:t>opposed</w:t>
      </w:r>
      <w:r>
        <w:rPr>
          <w:rFonts w:ascii="Arial" w:hAnsi="Arial"/>
          <w:spacing w:val="-31"/>
          <w:w w:val="105"/>
          <w:sz w:val="19"/>
        </w:rPr>
        <w:t xml:space="preserve"> </w:t>
      </w:r>
      <w:r>
        <w:rPr>
          <w:rFonts w:ascii="Arial" w:hAnsi="Arial"/>
          <w:w w:val="105"/>
          <w:sz w:val="19"/>
        </w:rPr>
        <w:t>to</w:t>
      </w:r>
      <w:r>
        <w:rPr>
          <w:rFonts w:ascii="Arial" w:hAnsi="Arial"/>
          <w:spacing w:val="-31"/>
          <w:w w:val="105"/>
          <w:sz w:val="19"/>
        </w:rPr>
        <w:t xml:space="preserve"> </w:t>
      </w:r>
      <w:r>
        <w:rPr>
          <w:rFonts w:ascii="Arial" w:hAnsi="Arial"/>
          <w:w w:val="105"/>
          <w:sz w:val="19"/>
        </w:rPr>
        <w:t>food.</w:t>
      </w:r>
      <w:r>
        <w:rPr>
          <w:rFonts w:ascii="Arial" w:hAnsi="Arial"/>
          <w:spacing w:val="-31"/>
          <w:w w:val="105"/>
          <w:sz w:val="19"/>
        </w:rPr>
        <w:t xml:space="preserve"> </w:t>
      </w:r>
      <w:r>
        <w:rPr>
          <w:rFonts w:ascii="Arial" w:hAnsi="Arial"/>
          <w:w w:val="105"/>
          <w:sz w:val="19"/>
        </w:rPr>
        <w:t>Additionally,</w:t>
      </w:r>
      <w:r>
        <w:rPr>
          <w:rFonts w:ascii="Arial" w:hAnsi="Arial"/>
          <w:spacing w:val="-30"/>
          <w:w w:val="105"/>
          <w:sz w:val="19"/>
        </w:rPr>
        <w:t xml:space="preserve"> </w:t>
      </w:r>
      <w:r>
        <w:rPr>
          <w:rFonts w:ascii="Arial" w:hAnsi="Arial"/>
          <w:w w:val="105"/>
          <w:sz w:val="19"/>
        </w:rPr>
        <w:t>some</w:t>
      </w:r>
      <w:r>
        <w:rPr>
          <w:rFonts w:ascii="Arial" w:hAnsi="Arial"/>
          <w:spacing w:val="-33"/>
          <w:w w:val="105"/>
          <w:sz w:val="19"/>
        </w:rPr>
        <w:t xml:space="preserve"> </w:t>
      </w:r>
      <w:r>
        <w:rPr>
          <w:rFonts w:ascii="Arial" w:hAnsi="Arial"/>
          <w:w w:val="105"/>
          <w:sz w:val="19"/>
        </w:rPr>
        <w:t>manufacturers</w:t>
      </w:r>
      <w:r>
        <w:rPr>
          <w:rFonts w:ascii="Arial" w:hAnsi="Arial"/>
          <w:spacing w:val="-32"/>
          <w:w w:val="105"/>
          <w:sz w:val="19"/>
        </w:rPr>
        <w:t xml:space="preserve"> </w:t>
      </w:r>
      <w:r>
        <w:rPr>
          <w:rFonts w:ascii="Arial" w:hAnsi="Arial"/>
          <w:w w:val="105"/>
          <w:sz w:val="19"/>
        </w:rPr>
        <w:t>may</w:t>
      </w:r>
      <w:r>
        <w:rPr>
          <w:rFonts w:ascii="Arial" w:hAnsi="Arial"/>
          <w:spacing w:val="-32"/>
          <w:w w:val="105"/>
          <w:sz w:val="19"/>
        </w:rPr>
        <w:t xml:space="preserve"> </w:t>
      </w:r>
      <w:r>
        <w:rPr>
          <w:rFonts w:ascii="Arial" w:hAnsi="Arial"/>
          <w:w w:val="105"/>
          <w:sz w:val="19"/>
        </w:rPr>
        <w:t>already</w:t>
      </w:r>
      <w:r>
        <w:rPr>
          <w:rFonts w:ascii="Arial" w:hAnsi="Arial"/>
          <w:spacing w:val="-32"/>
          <w:w w:val="105"/>
          <w:sz w:val="19"/>
        </w:rPr>
        <w:t xml:space="preserve"> </w:t>
      </w:r>
      <w:r>
        <w:rPr>
          <w:rFonts w:ascii="Arial" w:hAnsi="Arial"/>
          <w:w w:val="105"/>
          <w:sz w:val="19"/>
        </w:rPr>
        <w:t>have</w:t>
      </w:r>
      <w:r>
        <w:rPr>
          <w:rFonts w:ascii="Arial" w:hAnsi="Arial"/>
          <w:spacing w:val="-30"/>
          <w:w w:val="105"/>
          <w:sz w:val="19"/>
        </w:rPr>
        <w:t xml:space="preserve"> </w:t>
      </w:r>
      <w:r>
        <w:rPr>
          <w:rFonts w:ascii="Arial" w:hAnsi="Arial"/>
          <w:w w:val="105"/>
          <w:sz w:val="19"/>
        </w:rPr>
        <w:t>been proceeding</w:t>
      </w:r>
      <w:r>
        <w:rPr>
          <w:rFonts w:ascii="Arial" w:hAnsi="Arial"/>
          <w:spacing w:val="-25"/>
          <w:w w:val="105"/>
          <w:sz w:val="19"/>
        </w:rPr>
        <w:t xml:space="preserve"> </w:t>
      </w:r>
      <w:r>
        <w:rPr>
          <w:rFonts w:ascii="Arial" w:hAnsi="Arial"/>
          <w:w w:val="105"/>
          <w:sz w:val="19"/>
        </w:rPr>
        <w:t>down</w:t>
      </w:r>
      <w:r>
        <w:rPr>
          <w:rFonts w:ascii="Arial" w:hAnsi="Arial"/>
          <w:spacing w:val="-25"/>
          <w:w w:val="105"/>
          <w:sz w:val="19"/>
        </w:rPr>
        <w:t xml:space="preserve"> </w:t>
      </w:r>
      <w:r>
        <w:rPr>
          <w:rFonts w:ascii="Arial" w:hAnsi="Arial"/>
          <w:w w:val="105"/>
          <w:sz w:val="19"/>
        </w:rPr>
        <w:t>obtaining</w:t>
      </w:r>
      <w:r>
        <w:rPr>
          <w:rFonts w:ascii="Arial" w:hAnsi="Arial"/>
          <w:spacing w:val="-26"/>
          <w:w w:val="105"/>
          <w:sz w:val="19"/>
        </w:rPr>
        <w:t xml:space="preserve"> </w:t>
      </w:r>
      <w:r>
        <w:rPr>
          <w:rFonts w:ascii="Arial" w:hAnsi="Arial"/>
          <w:w w:val="105"/>
          <w:sz w:val="19"/>
        </w:rPr>
        <w:t>a</w:t>
      </w:r>
      <w:r>
        <w:rPr>
          <w:rFonts w:ascii="Arial" w:hAnsi="Arial"/>
          <w:spacing w:val="-27"/>
          <w:w w:val="105"/>
          <w:sz w:val="19"/>
        </w:rPr>
        <w:t xml:space="preserve"> </w:t>
      </w:r>
      <w:r>
        <w:rPr>
          <w:rFonts w:ascii="Arial" w:hAnsi="Arial"/>
          <w:w w:val="105"/>
          <w:sz w:val="19"/>
        </w:rPr>
        <w:t>TGA</w:t>
      </w:r>
      <w:r>
        <w:rPr>
          <w:rFonts w:ascii="Arial" w:hAnsi="Arial"/>
          <w:spacing w:val="-24"/>
          <w:w w:val="105"/>
          <w:sz w:val="19"/>
        </w:rPr>
        <w:t xml:space="preserve"> </w:t>
      </w:r>
      <w:r>
        <w:rPr>
          <w:rFonts w:ascii="Arial" w:hAnsi="Arial"/>
          <w:w w:val="105"/>
          <w:sz w:val="19"/>
        </w:rPr>
        <w:t>manufacturing</w:t>
      </w:r>
      <w:r>
        <w:rPr>
          <w:rFonts w:ascii="Arial" w:hAnsi="Arial"/>
          <w:spacing w:val="-23"/>
          <w:w w:val="105"/>
          <w:sz w:val="19"/>
        </w:rPr>
        <w:t xml:space="preserve"> </w:t>
      </w:r>
      <w:proofErr w:type="spellStart"/>
      <w:r>
        <w:rPr>
          <w:rFonts w:ascii="Arial" w:hAnsi="Arial"/>
          <w:w w:val="105"/>
          <w:sz w:val="19"/>
        </w:rPr>
        <w:t>licence</w:t>
      </w:r>
      <w:proofErr w:type="spellEnd"/>
      <w:r>
        <w:rPr>
          <w:rFonts w:ascii="Arial" w:hAnsi="Arial"/>
          <w:spacing w:val="-28"/>
          <w:w w:val="105"/>
          <w:sz w:val="19"/>
        </w:rPr>
        <w:t xml:space="preserve"> </w:t>
      </w:r>
      <w:r>
        <w:rPr>
          <w:rFonts w:ascii="Arial" w:hAnsi="Arial"/>
          <w:w w:val="105"/>
          <w:sz w:val="19"/>
        </w:rPr>
        <w:t>pathway</w:t>
      </w:r>
      <w:r>
        <w:rPr>
          <w:rFonts w:ascii="Arial" w:hAnsi="Arial"/>
          <w:spacing w:val="-27"/>
          <w:w w:val="105"/>
          <w:sz w:val="19"/>
        </w:rPr>
        <w:t xml:space="preserve"> </w:t>
      </w:r>
      <w:r>
        <w:rPr>
          <w:rFonts w:ascii="Arial" w:hAnsi="Arial"/>
          <w:w w:val="105"/>
          <w:sz w:val="19"/>
        </w:rPr>
        <w:t>prior</w:t>
      </w:r>
      <w:r>
        <w:rPr>
          <w:rFonts w:ascii="Arial" w:hAnsi="Arial"/>
          <w:spacing w:val="-27"/>
          <w:w w:val="105"/>
          <w:sz w:val="19"/>
        </w:rPr>
        <w:t xml:space="preserve"> </w:t>
      </w:r>
      <w:r>
        <w:rPr>
          <w:rFonts w:ascii="Arial" w:hAnsi="Arial"/>
          <w:w w:val="105"/>
          <w:sz w:val="19"/>
        </w:rPr>
        <w:t>to</w:t>
      </w:r>
      <w:r>
        <w:rPr>
          <w:rFonts w:ascii="Arial" w:hAnsi="Arial"/>
          <w:spacing w:val="-26"/>
          <w:w w:val="105"/>
          <w:sz w:val="19"/>
        </w:rPr>
        <w:t xml:space="preserve"> </w:t>
      </w:r>
      <w:r>
        <w:rPr>
          <w:rFonts w:ascii="Arial" w:hAnsi="Arial"/>
          <w:w w:val="105"/>
          <w:sz w:val="19"/>
        </w:rPr>
        <w:t>the</w:t>
      </w:r>
      <w:r>
        <w:rPr>
          <w:rFonts w:ascii="Arial" w:hAnsi="Arial"/>
          <w:spacing w:val="-27"/>
          <w:w w:val="105"/>
          <w:sz w:val="19"/>
        </w:rPr>
        <w:t xml:space="preserve"> </w:t>
      </w:r>
      <w:r>
        <w:rPr>
          <w:rFonts w:ascii="Arial" w:hAnsi="Arial"/>
          <w:w w:val="105"/>
          <w:sz w:val="19"/>
        </w:rPr>
        <w:t>announcement</w:t>
      </w:r>
      <w:r>
        <w:rPr>
          <w:rFonts w:ascii="Arial" w:hAnsi="Arial"/>
          <w:spacing w:val="-25"/>
          <w:w w:val="105"/>
          <w:sz w:val="19"/>
        </w:rPr>
        <w:t xml:space="preserve"> </w:t>
      </w:r>
      <w:r>
        <w:rPr>
          <w:rFonts w:ascii="Arial" w:hAnsi="Arial"/>
          <w:w w:val="105"/>
          <w:sz w:val="19"/>
        </w:rPr>
        <w:t>of</w:t>
      </w:r>
    </w:p>
    <w:p w:rsidR="007D76BB" w:rsidRDefault="00D70D28">
      <w:pPr>
        <w:pStyle w:val="BodyText"/>
        <w:spacing w:before="7"/>
        <w:rPr>
          <w:rFonts w:ascii="Arial"/>
          <w:sz w:val="18"/>
        </w:rPr>
      </w:pPr>
      <w:r>
        <w:rPr>
          <w:noProof/>
          <w:lang w:val="en-AU" w:eastAsia="en-AU"/>
        </w:rPr>
        <mc:AlternateContent>
          <mc:Choice Requires="wps">
            <w:drawing>
              <wp:anchor distT="0" distB="0" distL="0" distR="0" simplePos="0" relativeHeight="251703296" behindDoc="1" locked="0" layoutInCell="1" allowOverlap="1">
                <wp:simplePos x="0" y="0"/>
                <wp:positionH relativeFrom="page">
                  <wp:posOffset>1080770</wp:posOffset>
                </wp:positionH>
                <wp:positionV relativeFrom="paragraph">
                  <wp:posOffset>167005</wp:posOffset>
                </wp:positionV>
                <wp:extent cx="1829435" cy="1270"/>
                <wp:effectExtent l="0" t="0" r="0" b="0"/>
                <wp:wrapTopAndBottom/>
                <wp:docPr id="360"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98CE5" id="Freeform 216" o:spid="_x0000_s1026" style="position:absolute;margin-left:85.1pt;margin-top:13.15pt;width:144.05pt;height:.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" path="m,l2880,e" filled="f" strokeweight=".84pt">
                <v:path arrowok="t" o:connecttype="custom" o:connectlocs="0,0;1828800,0" o:connectangles="0,0"/>
                <w10:wrap type="topAndBottom" anchorx="page"/>
              </v:shape>
            </w:pict>
          </mc:Fallback>
        </mc:AlternateContent>
      </w:r>
    </w:p>
    <w:p w:rsidR="007D76BB" w:rsidRDefault="00D70D28">
      <w:pPr>
        <w:spacing w:before="132" w:line="268" w:lineRule="auto"/>
        <w:ind w:left="594" w:right="848" w:hanging="113"/>
        <w:rPr>
          <w:rFonts w:ascii="Arial" w:hAnsi="Arial"/>
          <w:sz w:val="14"/>
        </w:rPr>
      </w:pPr>
      <w:r>
        <w:rPr>
          <w:rFonts w:ascii="Arial" w:hAnsi="Arial"/>
          <w:color w:val="5B6761"/>
          <w:position w:val="5"/>
          <w:sz w:val="8"/>
        </w:rPr>
        <w:t xml:space="preserve">21 </w:t>
      </w:r>
      <w:r>
        <w:rPr>
          <w:rFonts w:ascii="Arial" w:hAnsi="Arial"/>
          <w:color w:val="5B6761"/>
          <w:sz w:val="14"/>
        </w:rPr>
        <w:t xml:space="preserve">The extant PIC/S guide is ‘Guide to Good Manufacturing for Medicinal Products’, PE 009-13 dated 1 January 2017 except for annexes 4 (Manufacture of veterinary medicinal products other than </w:t>
      </w:r>
      <w:proofErr w:type="spellStart"/>
      <w:r>
        <w:rPr>
          <w:rFonts w:ascii="Arial" w:hAnsi="Arial"/>
          <w:color w:val="5B6761"/>
          <w:sz w:val="14"/>
        </w:rPr>
        <w:t>immunologicals</w:t>
      </w:r>
      <w:proofErr w:type="spellEnd"/>
      <w:r>
        <w:rPr>
          <w:rFonts w:ascii="Arial" w:hAnsi="Arial"/>
          <w:color w:val="5B6761"/>
          <w:sz w:val="14"/>
        </w:rPr>
        <w:t>), 5 (Manufacture of immunological veterinary medical products) and 14 (Manufacture of medicinal products derived from human blood or plasma), which have not been adopted by Australia.</w:t>
      </w:r>
    </w:p>
    <w:p w:rsidR="007D76BB" w:rsidRDefault="00D70D28">
      <w:pPr>
        <w:spacing w:before="59" w:line="268" w:lineRule="auto"/>
        <w:ind w:left="594" w:right="778" w:hanging="113"/>
        <w:rPr>
          <w:rFonts w:ascii="Arial"/>
          <w:sz w:val="14"/>
        </w:rPr>
      </w:pPr>
      <w:r>
        <w:rPr>
          <w:rFonts w:ascii="Arial"/>
          <w:color w:val="5B6761"/>
          <w:w w:val="105"/>
          <w:position w:val="5"/>
          <w:sz w:val="8"/>
        </w:rPr>
        <w:t xml:space="preserve">22 </w:t>
      </w:r>
      <w:r>
        <w:rPr>
          <w:rFonts w:ascii="Arial"/>
          <w:color w:val="5B6761"/>
          <w:w w:val="105"/>
          <w:sz w:val="14"/>
        </w:rPr>
        <w:t xml:space="preserve">Manufacturers of finished dosage forms follow the principles of Part </w:t>
      </w:r>
      <w:r>
        <w:rPr>
          <w:rFonts w:ascii="Arial"/>
          <w:color w:val="5B6761"/>
          <w:sz w:val="14"/>
        </w:rPr>
        <w:t xml:space="preserve">1 </w:t>
      </w:r>
      <w:r>
        <w:rPr>
          <w:rFonts w:ascii="Arial"/>
          <w:color w:val="5B6761"/>
          <w:w w:val="105"/>
          <w:sz w:val="14"/>
        </w:rPr>
        <w:t>and relevant annexes, while manufacturers of active pharmaceutical</w:t>
      </w:r>
      <w:r>
        <w:rPr>
          <w:rFonts w:ascii="Arial"/>
          <w:color w:val="5B6761"/>
          <w:spacing w:val="-21"/>
          <w:w w:val="105"/>
          <w:sz w:val="14"/>
        </w:rPr>
        <w:t xml:space="preserve"> </w:t>
      </w:r>
      <w:r>
        <w:rPr>
          <w:rFonts w:ascii="Arial"/>
          <w:color w:val="5B6761"/>
          <w:w w:val="105"/>
          <w:sz w:val="14"/>
        </w:rPr>
        <w:t>ingredients</w:t>
      </w:r>
      <w:r>
        <w:rPr>
          <w:rFonts w:ascii="Arial"/>
          <w:color w:val="5B6761"/>
          <w:spacing w:val="-18"/>
          <w:w w:val="105"/>
          <w:sz w:val="14"/>
        </w:rPr>
        <w:t xml:space="preserve"> </w:t>
      </w:r>
      <w:r>
        <w:rPr>
          <w:rFonts w:ascii="Arial"/>
          <w:color w:val="5B6761"/>
          <w:w w:val="105"/>
          <w:sz w:val="14"/>
        </w:rPr>
        <w:t>follow</w:t>
      </w:r>
      <w:r>
        <w:rPr>
          <w:rFonts w:ascii="Arial"/>
          <w:color w:val="5B6761"/>
          <w:spacing w:val="-20"/>
          <w:w w:val="105"/>
          <w:sz w:val="14"/>
        </w:rPr>
        <w:t xml:space="preserve"> </w:t>
      </w:r>
      <w:r>
        <w:rPr>
          <w:rFonts w:ascii="Arial"/>
          <w:color w:val="5B6761"/>
          <w:w w:val="105"/>
          <w:sz w:val="14"/>
        </w:rPr>
        <w:t>the</w:t>
      </w:r>
      <w:r>
        <w:rPr>
          <w:rFonts w:ascii="Arial"/>
          <w:color w:val="5B6761"/>
          <w:spacing w:val="-18"/>
          <w:w w:val="105"/>
          <w:sz w:val="14"/>
        </w:rPr>
        <w:t xml:space="preserve"> </w:t>
      </w:r>
      <w:r>
        <w:rPr>
          <w:rFonts w:ascii="Arial"/>
          <w:color w:val="5B6761"/>
          <w:w w:val="105"/>
          <w:sz w:val="14"/>
        </w:rPr>
        <w:t>principles</w:t>
      </w:r>
      <w:r>
        <w:rPr>
          <w:rFonts w:ascii="Arial"/>
          <w:color w:val="5B6761"/>
          <w:spacing w:val="-20"/>
          <w:w w:val="105"/>
          <w:sz w:val="14"/>
        </w:rPr>
        <w:t xml:space="preserve"> </w:t>
      </w:r>
      <w:r>
        <w:rPr>
          <w:rFonts w:ascii="Arial"/>
          <w:color w:val="5B6761"/>
          <w:w w:val="105"/>
          <w:sz w:val="14"/>
        </w:rPr>
        <w:t>of</w:t>
      </w:r>
      <w:r>
        <w:rPr>
          <w:rFonts w:ascii="Arial"/>
          <w:color w:val="5B6761"/>
          <w:spacing w:val="-21"/>
          <w:w w:val="105"/>
          <w:sz w:val="14"/>
        </w:rPr>
        <w:t xml:space="preserve"> </w:t>
      </w:r>
      <w:r>
        <w:rPr>
          <w:rFonts w:ascii="Arial"/>
          <w:color w:val="5B6761"/>
          <w:w w:val="105"/>
          <w:sz w:val="14"/>
        </w:rPr>
        <w:t>Part</w:t>
      </w:r>
      <w:r>
        <w:rPr>
          <w:rFonts w:ascii="Arial"/>
          <w:color w:val="5B6761"/>
          <w:spacing w:val="-19"/>
          <w:w w:val="105"/>
          <w:sz w:val="14"/>
        </w:rPr>
        <w:t xml:space="preserve"> </w:t>
      </w:r>
      <w:r>
        <w:rPr>
          <w:rFonts w:ascii="Arial"/>
          <w:color w:val="5B6761"/>
          <w:w w:val="105"/>
          <w:sz w:val="14"/>
        </w:rPr>
        <w:t>II</w:t>
      </w:r>
      <w:r>
        <w:rPr>
          <w:rFonts w:ascii="Arial"/>
          <w:color w:val="5B6761"/>
          <w:spacing w:val="-22"/>
          <w:w w:val="105"/>
          <w:sz w:val="14"/>
        </w:rPr>
        <w:t xml:space="preserve"> </w:t>
      </w:r>
      <w:r>
        <w:rPr>
          <w:rFonts w:ascii="Arial"/>
          <w:color w:val="5B6761"/>
          <w:w w:val="105"/>
          <w:sz w:val="14"/>
        </w:rPr>
        <w:t>and</w:t>
      </w:r>
      <w:r>
        <w:rPr>
          <w:rFonts w:ascii="Arial"/>
          <w:color w:val="5B6761"/>
          <w:spacing w:val="-20"/>
          <w:w w:val="105"/>
          <w:sz w:val="14"/>
        </w:rPr>
        <w:t xml:space="preserve"> </w:t>
      </w:r>
      <w:r>
        <w:rPr>
          <w:rFonts w:ascii="Arial"/>
          <w:color w:val="5B6761"/>
          <w:w w:val="105"/>
          <w:sz w:val="14"/>
        </w:rPr>
        <w:t>relevant</w:t>
      </w:r>
      <w:r>
        <w:rPr>
          <w:rFonts w:ascii="Arial"/>
          <w:color w:val="5B6761"/>
          <w:spacing w:val="-20"/>
          <w:w w:val="105"/>
          <w:sz w:val="14"/>
        </w:rPr>
        <w:t xml:space="preserve"> </w:t>
      </w:r>
      <w:r>
        <w:rPr>
          <w:rFonts w:ascii="Arial"/>
          <w:color w:val="5B6761"/>
          <w:w w:val="105"/>
          <w:sz w:val="14"/>
        </w:rPr>
        <w:t>annexes.</w:t>
      </w:r>
      <w:r>
        <w:rPr>
          <w:rFonts w:ascii="Arial"/>
          <w:color w:val="5B6761"/>
          <w:spacing w:val="-20"/>
          <w:w w:val="105"/>
          <w:sz w:val="14"/>
        </w:rPr>
        <w:t xml:space="preserve"> </w:t>
      </w:r>
      <w:r>
        <w:rPr>
          <w:rFonts w:ascii="Arial"/>
          <w:color w:val="5B6761"/>
          <w:w w:val="105"/>
          <w:sz w:val="14"/>
        </w:rPr>
        <w:t>For</w:t>
      </w:r>
      <w:r>
        <w:rPr>
          <w:rFonts w:ascii="Arial"/>
          <w:color w:val="5B6761"/>
          <w:spacing w:val="-19"/>
          <w:w w:val="105"/>
          <w:sz w:val="14"/>
        </w:rPr>
        <w:t xml:space="preserve"> </w:t>
      </w:r>
      <w:r>
        <w:rPr>
          <w:rFonts w:ascii="Arial"/>
          <w:color w:val="5B6761"/>
          <w:w w:val="105"/>
          <w:sz w:val="14"/>
        </w:rPr>
        <w:t>example,</w:t>
      </w:r>
      <w:r>
        <w:rPr>
          <w:rFonts w:ascii="Arial"/>
          <w:color w:val="5B6761"/>
          <w:spacing w:val="-20"/>
          <w:w w:val="105"/>
          <w:sz w:val="14"/>
        </w:rPr>
        <w:t xml:space="preserve"> </w:t>
      </w:r>
      <w:r>
        <w:rPr>
          <w:rFonts w:ascii="Arial"/>
          <w:color w:val="5B6761"/>
          <w:w w:val="105"/>
          <w:sz w:val="14"/>
        </w:rPr>
        <w:t>Annex</w:t>
      </w:r>
      <w:r>
        <w:rPr>
          <w:rFonts w:ascii="Arial"/>
          <w:color w:val="5B6761"/>
          <w:spacing w:val="-20"/>
          <w:w w:val="105"/>
          <w:sz w:val="14"/>
        </w:rPr>
        <w:t xml:space="preserve"> </w:t>
      </w:r>
      <w:r>
        <w:rPr>
          <w:rFonts w:ascii="Arial"/>
          <w:color w:val="5B6761"/>
          <w:w w:val="105"/>
          <w:sz w:val="14"/>
        </w:rPr>
        <w:t>7</w:t>
      </w:r>
      <w:r>
        <w:rPr>
          <w:rFonts w:ascii="Arial"/>
          <w:color w:val="5B6761"/>
          <w:spacing w:val="-21"/>
          <w:w w:val="105"/>
          <w:sz w:val="14"/>
        </w:rPr>
        <w:t xml:space="preserve"> </w:t>
      </w:r>
      <w:r>
        <w:rPr>
          <w:rFonts w:ascii="Arial"/>
          <w:color w:val="5B6761"/>
          <w:w w:val="105"/>
          <w:sz w:val="14"/>
        </w:rPr>
        <w:t>relates</w:t>
      </w:r>
      <w:r>
        <w:rPr>
          <w:rFonts w:ascii="Arial"/>
          <w:color w:val="5B6761"/>
          <w:spacing w:val="-20"/>
          <w:w w:val="105"/>
          <w:sz w:val="14"/>
        </w:rPr>
        <w:t xml:space="preserve"> </w:t>
      </w:r>
      <w:r>
        <w:rPr>
          <w:rFonts w:ascii="Arial"/>
          <w:color w:val="5B6761"/>
          <w:w w:val="105"/>
          <w:sz w:val="14"/>
        </w:rPr>
        <w:t>to</w:t>
      </w:r>
      <w:r>
        <w:rPr>
          <w:rFonts w:ascii="Arial"/>
          <w:color w:val="5B6761"/>
          <w:spacing w:val="-20"/>
          <w:w w:val="105"/>
          <w:sz w:val="14"/>
        </w:rPr>
        <w:t xml:space="preserve"> </w:t>
      </w:r>
      <w:r>
        <w:rPr>
          <w:rFonts w:ascii="Arial"/>
          <w:color w:val="5B6761"/>
          <w:w w:val="105"/>
          <w:sz w:val="14"/>
        </w:rPr>
        <w:t>the</w:t>
      </w:r>
      <w:r>
        <w:rPr>
          <w:rFonts w:ascii="Arial"/>
          <w:color w:val="5B6761"/>
          <w:spacing w:val="-21"/>
          <w:w w:val="105"/>
          <w:sz w:val="14"/>
        </w:rPr>
        <w:t xml:space="preserve"> </w:t>
      </w:r>
      <w:r>
        <w:rPr>
          <w:rFonts w:ascii="Arial"/>
          <w:color w:val="5B6761"/>
          <w:w w:val="105"/>
          <w:sz w:val="14"/>
        </w:rPr>
        <w:t>Manufacture</w:t>
      </w:r>
      <w:r>
        <w:rPr>
          <w:rFonts w:ascii="Arial"/>
          <w:color w:val="5B6761"/>
          <w:spacing w:val="-21"/>
          <w:w w:val="105"/>
          <w:sz w:val="14"/>
        </w:rPr>
        <w:t xml:space="preserve"> </w:t>
      </w:r>
      <w:r>
        <w:rPr>
          <w:rFonts w:ascii="Arial"/>
          <w:color w:val="5B6761"/>
          <w:w w:val="105"/>
          <w:sz w:val="14"/>
        </w:rPr>
        <w:t>of Herbal Medicinal</w:t>
      </w:r>
      <w:r>
        <w:rPr>
          <w:rFonts w:ascii="Arial"/>
          <w:color w:val="5B6761"/>
          <w:spacing w:val="-20"/>
          <w:w w:val="105"/>
          <w:sz w:val="14"/>
        </w:rPr>
        <w:t xml:space="preserve"> </w:t>
      </w:r>
      <w:r>
        <w:rPr>
          <w:rFonts w:ascii="Arial"/>
          <w:color w:val="5B6761"/>
          <w:w w:val="105"/>
          <w:sz w:val="14"/>
        </w:rPr>
        <w:t>Products.</w:t>
      </w:r>
    </w:p>
    <w:p w:rsidR="007D76BB" w:rsidRDefault="00D70D28">
      <w:pPr>
        <w:spacing w:before="59" w:line="268" w:lineRule="auto"/>
        <w:ind w:left="594" w:right="1181" w:hanging="113"/>
        <w:rPr>
          <w:rFonts w:ascii="Arial"/>
          <w:sz w:val="14"/>
        </w:rPr>
      </w:pPr>
      <w:r>
        <w:rPr>
          <w:rFonts w:ascii="Arial"/>
          <w:color w:val="5B6761"/>
          <w:position w:val="5"/>
          <w:sz w:val="8"/>
        </w:rPr>
        <w:t>23</w:t>
      </w:r>
      <w:r>
        <w:rPr>
          <w:rFonts w:ascii="Arial"/>
          <w:color w:val="5B6761"/>
          <w:spacing w:val="6"/>
          <w:position w:val="5"/>
          <w:sz w:val="8"/>
        </w:rPr>
        <w:t xml:space="preserve"> </w:t>
      </w:r>
      <w:r>
        <w:rPr>
          <w:rFonts w:ascii="Arial"/>
          <w:color w:val="5B6761"/>
          <w:sz w:val="14"/>
        </w:rPr>
        <w:t>The</w:t>
      </w:r>
      <w:r>
        <w:rPr>
          <w:rFonts w:ascii="Arial"/>
          <w:color w:val="5B6761"/>
          <w:spacing w:val="-11"/>
          <w:sz w:val="14"/>
        </w:rPr>
        <w:t xml:space="preserve"> </w:t>
      </w:r>
      <w:r>
        <w:rPr>
          <w:rFonts w:ascii="Arial"/>
          <w:color w:val="5B6761"/>
          <w:sz w:val="14"/>
        </w:rPr>
        <w:t>MRA</w:t>
      </w:r>
      <w:r>
        <w:rPr>
          <w:rFonts w:ascii="Arial"/>
          <w:color w:val="5B6761"/>
          <w:spacing w:val="-11"/>
          <w:sz w:val="14"/>
        </w:rPr>
        <w:t xml:space="preserve"> </w:t>
      </w:r>
      <w:r>
        <w:rPr>
          <w:rFonts w:ascii="Arial"/>
          <w:color w:val="5B6761"/>
          <w:sz w:val="14"/>
        </w:rPr>
        <w:t>GMP</w:t>
      </w:r>
      <w:r>
        <w:rPr>
          <w:rFonts w:ascii="Arial"/>
          <w:color w:val="5B6761"/>
          <w:spacing w:val="-10"/>
          <w:sz w:val="14"/>
        </w:rPr>
        <w:t xml:space="preserve"> </w:t>
      </w:r>
      <w:r>
        <w:rPr>
          <w:rFonts w:ascii="Arial"/>
          <w:color w:val="5B6761"/>
          <w:sz w:val="14"/>
        </w:rPr>
        <w:t>clearance</w:t>
      </w:r>
      <w:r>
        <w:rPr>
          <w:rFonts w:ascii="Arial"/>
          <w:color w:val="5B6761"/>
          <w:spacing w:val="-11"/>
          <w:sz w:val="14"/>
        </w:rPr>
        <w:t xml:space="preserve"> </w:t>
      </w:r>
      <w:r>
        <w:rPr>
          <w:rFonts w:ascii="Arial"/>
          <w:color w:val="5B6761"/>
          <w:sz w:val="14"/>
        </w:rPr>
        <w:t>pathway</w:t>
      </w:r>
      <w:r>
        <w:rPr>
          <w:rFonts w:ascii="Arial"/>
          <w:color w:val="5B6761"/>
          <w:spacing w:val="-12"/>
          <w:sz w:val="14"/>
        </w:rPr>
        <w:t xml:space="preserve"> </w:t>
      </w:r>
      <w:r>
        <w:rPr>
          <w:rFonts w:ascii="Arial"/>
          <w:color w:val="5B6761"/>
          <w:sz w:val="14"/>
        </w:rPr>
        <w:t>is</w:t>
      </w:r>
      <w:r>
        <w:rPr>
          <w:rFonts w:ascii="Arial"/>
          <w:color w:val="5B6761"/>
          <w:spacing w:val="-11"/>
          <w:sz w:val="14"/>
        </w:rPr>
        <w:t xml:space="preserve"> </w:t>
      </w:r>
      <w:r>
        <w:rPr>
          <w:rFonts w:ascii="Arial"/>
          <w:color w:val="5B6761"/>
          <w:sz w:val="14"/>
        </w:rPr>
        <w:t>open</w:t>
      </w:r>
      <w:r>
        <w:rPr>
          <w:rFonts w:ascii="Arial"/>
          <w:color w:val="5B6761"/>
          <w:spacing w:val="-9"/>
          <w:sz w:val="14"/>
        </w:rPr>
        <w:t xml:space="preserve"> </w:t>
      </w:r>
      <w:r>
        <w:rPr>
          <w:rFonts w:ascii="Arial"/>
          <w:color w:val="5B6761"/>
          <w:sz w:val="14"/>
        </w:rPr>
        <w:t>only</w:t>
      </w:r>
      <w:r>
        <w:rPr>
          <w:rFonts w:ascii="Arial"/>
          <w:color w:val="5B6761"/>
          <w:spacing w:val="-11"/>
          <w:sz w:val="14"/>
        </w:rPr>
        <w:t xml:space="preserve"> </w:t>
      </w:r>
      <w:r>
        <w:rPr>
          <w:rFonts w:ascii="Arial"/>
          <w:color w:val="5B6761"/>
          <w:sz w:val="14"/>
        </w:rPr>
        <w:t>to</w:t>
      </w:r>
      <w:r>
        <w:rPr>
          <w:rFonts w:ascii="Arial"/>
          <w:color w:val="5B6761"/>
          <w:spacing w:val="-11"/>
          <w:sz w:val="14"/>
        </w:rPr>
        <w:t xml:space="preserve"> </w:t>
      </w:r>
      <w:r>
        <w:rPr>
          <w:rFonts w:ascii="Arial"/>
          <w:color w:val="5B6761"/>
          <w:sz w:val="14"/>
        </w:rPr>
        <w:t>Canada,</w:t>
      </w:r>
      <w:r>
        <w:rPr>
          <w:rFonts w:ascii="Arial"/>
          <w:color w:val="5B6761"/>
          <w:spacing w:val="-12"/>
          <w:sz w:val="14"/>
        </w:rPr>
        <w:t xml:space="preserve"> </w:t>
      </w:r>
      <w:r>
        <w:rPr>
          <w:rFonts w:ascii="Arial"/>
          <w:color w:val="5B6761"/>
          <w:sz w:val="14"/>
        </w:rPr>
        <w:t>EU</w:t>
      </w:r>
      <w:r>
        <w:rPr>
          <w:rFonts w:ascii="Arial"/>
          <w:color w:val="5B6761"/>
          <w:spacing w:val="-11"/>
          <w:sz w:val="14"/>
        </w:rPr>
        <w:t xml:space="preserve"> </w:t>
      </w:r>
      <w:r>
        <w:rPr>
          <w:rFonts w:ascii="Arial"/>
          <w:color w:val="5B6761"/>
          <w:sz w:val="14"/>
        </w:rPr>
        <w:t>members</w:t>
      </w:r>
      <w:r>
        <w:rPr>
          <w:rFonts w:ascii="Arial"/>
          <w:color w:val="5B6761"/>
          <w:spacing w:val="-10"/>
          <w:sz w:val="14"/>
        </w:rPr>
        <w:t xml:space="preserve"> </w:t>
      </w:r>
      <w:r>
        <w:rPr>
          <w:rFonts w:ascii="Arial"/>
          <w:color w:val="5B6761"/>
          <w:sz w:val="14"/>
        </w:rPr>
        <w:t>states,</w:t>
      </w:r>
      <w:r>
        <w:rPr>
          <w:rFonts w:ascii="Arial"/>
          <w:color w:val="5B6761"/>
          <w:spacing w:val="-10"/>
          <w:sz w:val="14"/>
        </w:rPr>
        <w:t xml:space="preserve"> </w:t>
      </w:r>
      <w:r>
        <w:rPr>
          <w:rFonts w:ascii="Arial"/>
          <w:color w:val="5B6761"/>
          <w:sz w:val="14"/>
        </w:rPr>
        <w:t>New</w:t>
      </w:r>
      <w:r>
        <w:rPr>
          <w:rFonts w:ascii="Arial"/>
          <w:color w:val="5B6761"/>
          <w:spacing w:val="-10"/>
          <w:sz w:val="14"/>
        </w:rPr>
        <w:t xml:space="preserve"> </w:t>
      </w:r>
      <w:r>
        <w:rPr>
          <w:rFonts w:ascii="Arial"/>
          <w:color w:val="5B6761"/>
          <w:sz w:val="14"/>
        </w:rPr>
        <w:t>Zealand,</w:t>
      </w:r>
      <w:r>
        <w:rPr>
          <w:rFonts w:ascii="Arial"/>
          <w:color w:val="5B6761"/>
          <w:spacing w:val="-10"/>
          <w:sz w:val="14"/>
        </w:rPr>
        <w:t xml:space="preserve"> </w:t>
      </w:r>
      <w:r>
        <w:rPr>
          <w:rFonts w:ascii="Arial"/>
          <w:color w:val="5B6761"/>
          <w:sz w:val="14"/>
        </w:rPr>
        <w:t>Singapore</w:t>
      </w:r>
      <w:r>
        <w:rPr>
          <w:rFonts w:ascii="Arial"/>
          <w:color w:val="5B6761"/>
          <w:spacing w:val="-12"/>
          <w:sz w:val="14"/>
        </w:rPr>
        <w:t xml:space="preserve"> </w:t>
      </w:r>
      <w:r>
        <w:rPr>
          <w:rFonts w:ascii="Arial"/>
          <w:color w:val="5B6761"/>
          <w:sz w:val="14"/>
        </w:rPr>
        <w:t>and</w:t>
      </w:r>
      <w:r>
        <w:rPr>
          <w:rFonts w:ascii="Arial"/>
          <w:color w:val="5B6761"/>
          <w:spacing w:val="-9"/>
          <w:sz w:val="14"/>
        </w:rPr>
        <w:t xml:space="preserve"> </w:t>
      </w:r>
      <w:r>
        <w:rPr>
          <w:rFonts w:ascii="Arial"/>
          <w:color w:val="5B6761"/>
          <w:sz w:val="14"/>
        </w:rPr>
        <w:t>Switzerland,</w:t>
      </w:r>
      <w:r>
        <w:rPr>
          <w:rFonts w:ascii="Arial"/>
          <w:color w:val="5B6761"/>
          <w:spacing w:val="-11"/>
          <w:sz w:val="14"/>
        </w:rPr>
        <w:t xml:space="preserve"> </w:t>
      </w:r>
      <w:r>
        <w:rPr>
          <w:rFonts w:ascii="Arial"/>
          <w:color w:val="5B6761"/>
          <w:sz w:val="14"/>
        </w:rPr>
        <w:t xml:space="preserve">while </w:t>
      </w:r>
      <w:r>
        <w:rPr>
          <w:rFonts w:ascii="Arial"/>
          <w:color w:val="5B6761"/>
          <w:w w:val="105"/>
          <w:sz w:val="14"/>
        </w:rPr>
        <w:t>evidence</w:t>
      </w:r>
      <w:r>
        <w:rPr>
          <w:rFonts w:ascii="Arial"/>
          <w:color w:val="5B6761"/>
          <w:spacing w:val="-13"/>
          <w:w w:val="105"/>
          <w:sz w:val="14"/>
        </w:rPr>
        <w:t xml:space="preserve"> </w:t>
      </w:r>
      <w:r>
        <w:rPr>
          <w:rFonts w:ascii="Arial"/>
          <w:color w:val="5B6761"/>
          <w:w w:val="105"/>
          <w:sz w:val="14"/>
        </w:rPr>
        <w:t>from</w:t>
      </w:r>
      <w:r>
        <w:rPr>
          <w:rFonts w:ascii="Arial"/>
          <w:color w:val="5B6761"/>
          <w:spacing w:val="-12"/>
          <w:w w:val="105"/>
          <w:sz w:val="14"/>
        </w:rPr>
        <w:t xml:space="preserve"> </w:t>
      </w:r>
      <w:r>
        <w:rPr>
          <w:rFonts w:ascii="Arial"/>
          <w:color w:val="5B6761"/>
          <w:w w:val="105"/>
          <w:sz w:val="14"/>
        </w:rPr>
        <w:t>the</w:t>
      </w:r>
      <w:r>
        <w:rPr>
          <w:rFonts w:ascii="Arial"/>
          <w:color w:val="5B6761"/>
          <w:spacing w:val="-13"/>
          <w:w w:val="105"/>
          <w:sz w:val="14"/>
        </w:rPr>
        <w:t xml:space="preserve"> </w:t>
      </w:r>
      <w:r>
        <w:rPr>
          <w:rFonts w:ascii="Arial"/>
          <w:color w:val="5B6761"/>
          <w:w w:val="105"/>
          <w:sz w:val="14"/>
        </w:rPr>
        <w:t>US</w:t>
      </w:r>
      <w:r>
        <w:rPr>
          <w:rFonts w:ascii="Arial"/>
          <w:color w:val="5B6761"/>
          <w:spacing w:val="-11"/>
          <w:w w:val="105"/>
          <w:sz w:val="14"/>
        </w:rPr>
        <w:t xml:space="preserve"> </w:t>
      </w:r>
      <w:r>
        <w:rPr>
          <w:rFonts w:ascii="Arial"/>
          <w:color w:val="5B6761"/>
          <w:w w:val="105"/>
          <w:sz w:val="14"/>
        </w:rPr>
        <w:t>FDA</w:t>
      </w:r>
      <w:r>
        <w:rPr>
          <w:rFonts w:ascii="Arial"/>
          <w:color w:val="5B6761"/>
          <w:spacing w:val="-13"/>
          <w:w w:val="105"/>
          <w:sz w:val="14"/>
        </w:rPr>
        <w:t xml:space="preserve"> </w:t>
      </w:r>
      <w:r>
        <w:rPr>
          <w:rFonts w:ascii="Arial"/>
          <w:color w:val="5B6761"/>
          <w:w w:val="105"/>
          <w:sz w:val="14"/>
        </w:rPr>
        <w:t>for</w:t>
      </w:r>
      <w:r>
        <w:rPr>
          <w:rFonts w:ascii="Arial"/>
          <w:color w:val="5B6761"/>
          <w:spacing w:val="-11"/>
          <w:w w:val="105"/>
          <w:sz w:val="14"/>
        </w:rPr>
        <w:t xml:space="preserve"> </w:t>
      </w:r>
      <w:r>
        <w:rPr>
          <w:rFonts w:ascii="Arial"/>
          <w:color w:val="5B6761"/>
          <w:w w:val="105"/>
          <w:sz w:val="14"/>
        </w:rPr>
        <w:t>GMP</w:t>
      </w:r>
      <w:r>
        <w:rPr>
          <w:rFonts w:ascii="Arial"/>
          <w:color w:val="5B6761"/>
          <w:spacing w:val="-11"/>
          <w:w w:val="105"/>
          <w:sz w:val="14"/>
        </w:rPr>
        <w:t xml:space="preserve"> </w:t>
      </w:r>
      <w:r>
        <w:rPr>
          <w:rFonts w:ascii="Arial"/>
          <w:color w:val="5B6761"/>
          <w:w w:val="105"/>
          <w:sz w:val="14"/>
        </w:rPr>
        <w:t>clearance</w:t>
      </w:r>
      <w:r>
        <w:rPr>
          <w:rFonts w:ascii="Arial"/>
          <w:color w:val="5B6761"/>
          <w:spacing w:val="-12"/>
          <w:w w:val="105"/>
          <w:sz w:val="14"/>
        </w:rPr>
        <w:t xml:space="preserve"> </w:t>
      </w:r>
      <w:r>
        <w:rPr>
          <w:rFonts w:ascii="Arial"/>
          <w:color w:val="5B6761"/>
          <w:w w:val="105"/>
          <w:sz w:val="14"/>
        </w:rPr>
        <w:t>applications</w:t>
      </w:r>
      <w:r>
        <w:rPr>
          <w:rFonts w:ascii="Arial"/>
          <w:color w:val="5B6761"/>
          <w:spacing w:val="-12"/>
          <w:w w:val="105"/>
          <w:sz w:val="14"/>
        </w:rPr>
        <w:t xml:space="preserve"> </w:t>
      </w:r>
      <w:r>
        <w:rPr>
          <w:rFonts w:ascii="Arial"/>
          <w:color w:val="5B6761"/>
          <w:w w:val="105"/>
          <w:sz w:val="14"/>
        </w:rPr>
        <w:t>will</w:t>
      </w:r>
      <w:r>
        <w:rPr>
          <w:rFonts w:ascii="Arial"/>
          <w:color w:val="5B6761"/>
          <w:spacing w:val="-12"/>
          <w:w w:val="105"/>
          <w:sz w:val="14"/>
        </w:rPr>
        <w:t xml:space="preserve"> </w:t>
      </w:r>
      <w:r>
        <w:rPr>
          <w:rFonts w:ascii="Arial"/>
          <w:color w:val="5B6761"/>
          <w:w w:val="105"/>
          <w:sz w:val="14"/>
        </w:rPr>
        <w:t>be</w:t>
      </w:r>
      <w:r>
        <w:rPr>
          <w:rFonts w:ascii="Arial"/>
          <w:color w:val="5B6761"/>
          <w:spacing w:val="-13"/>
          <w:w w:val="105"/>
          <w:sz w:val="14"/>
        </w:rPr>
        <w:t xml:space="preserve"> </w:t>
      </w:r>
      <w:r>
        <w:rPr>
          <w:rFonts w:ascii="Arial"/>
          <w:color w:val="5B6761"/>
          <w:w w:val="105"/>
          <w:sz w:val="14"/>
        </w:rPr>
        <w:t>accepted</w:t>
      </w:r>
      <w:r>
        <w:rPr>
          <w:rFonts w:ascii="Arial"/>
          <w:color w:val="5B6761"/>
          <w:spacing w:val="-11"/>
          <w:w w:val="105"/>
          <w:sz w:val="14"/>
        </w:rPr>
        <w:t xml:space="preserve"> </w:t>
      </w:r>
      <w:r>
        <w:rPr>
          <w:rFonts w:ascii="Arial"/>
          <w:color w:val="5B6761"/>
          <w:w w:val="105"/>
          <w:sz w:val="14"/>
        </w:rPr>
        <w:t>only</w:t>
      </w:r>
      <w:r>
        <w:rPr>
          <w:rFonts w:ascii="Arial"/>
          <w:color w:val="5B6761"/>
          <w:spacing w:val="-12"/>
          <w:w w:val="105"/>
          <w:sz w:val="14"/>
        </w:rPr>
        <w:t xml:space="preserve"> </w:t>
      </w:r>
      <w:r>
        <w:rPr>
          <w:rFonts w:ascii="Arial"/>
          <w:color w:val="5B6761"/>
          <w:w w:val="105"/>
          <w:sz w:val="14"/>
        </w:rPr>
        <w:t>for</w:t>
      </w:r>
      <w:r>
        <w:rPr>
          <w:rFonts w:ascii="Arial"/>
          <w:color w:val="5B6761"/>
          <w:spacing w:val="-11"/>
          <w:w w:val="105"/>
          <w:sz w:val="14"/>
        </w:rPr>
        <w:t xml:space="preserve"> </w:t>
      </w:r>
      <w:r>
        <w:rPr>
          <w:rFonts w:ascii="Arial"/>
          <w:color w:val="5B6761"/>
          <w:w w:val="105"/>
          <w:sz w:val="14"/>
        </w:rPr>
        <w:t>the</w:t>
      </w:r>
      <w:r>
        <w:rPr>
          <w:rFonts w:ascii="Arial"/>
          <w:color w:val="5B6761"/>
          <w:spacing w:val="-12"/>
          <w:w w:val="105"/>
          <w:sz w:val="14"/>
        </w:rPr>
        <w:t xml:space="preserve"> </w:t>
      </w:r>
      <w:r>
        <w:rPr>
          <w:rFonts w:ascii="Arial"/>
          <w:color w:val="5B6761"/>
          <w:w w:val="105"/>
          <w:sz w:val="14"/>
        </w:rPr>
        <w:t>CV</w:t>
      </w:r>
      <w:r>
        <w:rPr>
          <w:rFonts w:ascii="Arial"/>
          <w:color w:val="5B6761"/>
          <w:spacing w:val="-12"/>
          <w:w w:val="105"/>
          <w:sz w:val="14"/>
        </w:rPr>
        <w:t xml:space="preserve"> </w:t>
      </w:r>
      <w:r>
        <w:rPr>
          <w:rFonts w:ascii="Arial"/>
          <w:color w:val="5B6761"/>
          <w:w w:val="105"/>
          <w:sz w:val="14"/>
        </w:rPr>
        <w:t>pathway.</w:t>
      </w:r>
    </w:p>
    <w:p w:rsidR="007D76BB" w:rsidRDefault="00D70D28">
      <w:pPr>
        <w:spacing w:before="60" w:line="268" w:lineRule="auto"/>
        <w:ind w:left="594" w:right="688" w:hanging="113"/>
        <w:rPr>
          <w:rFonts w:ascii="Arial"/>
          <w:sz w:val="14"/>
        </w:rPr>
      </w:pPr>
      <w:r>
        <w:rPr>
          <w:rFonts w:ascii="Arial"/>
          <w:color w:val="5B6761"/>
          <w:w w:val="105"/>
          <w:position w:val="5"/>
          <w:sz w:val="8"/>
        </w:rPr>
        <w:t>24</w:t>
      </w:r>
      <w:r>
        <w:rPr>
          <w:rFonts w:ascii="Arial"/>
          <w:color w:val="5B6761"/>
          <w:spacing w:val="-1"/>
          <w:w w:val="105"/>
          <w:position w:val="5"/>
          <w:sz w:val="8"/>
        </w:rPr>
        <w:t xml:space="preserve"> </w:t>
      </w:r>
      <w:r>
        <w:rPr>
          <w:rFonts w:ascii="Arial"/>
          <w:color w:val="5B6761"/>
          <w:w w:val="105"/>
          <w:sz w:val="14"/>
        </w:rPr>
        <w:t>As</w:t>
      </w:r>
      <w:r>
        <w:rPr>
          <w:rFonts w:ascii="Arial"/>
          <w:color w:val="5B6761"/>
          <w:spacing w:val="-20"/>
          <w:w w:val="105"/>
          <w:sz w:val="14"/>
        </w:rPr>
        <w:t xml:space="preserve"> </w:t>
      </w:r>
      <w:r>
        <w:rPr>
          <w:rFonts w:ascii="Arial"/>
          <w:color w:val="5B6761"/>
          <w:w w:val="105"/>
          <w:sz w:val="14"/>
        </w:rPr>
        <w:t>at</w:t>
      </w:r>
      <w:r>
        <w:rPr>
          <w:rFonts w:ascii="Arial"/>
          <w:color w:val="5B6761"/>
          <w:spacing w:val="-19"/>
          <w:w w:val="105"/>
          <w:sz w:val="14"/>
        </w:rPr>
        <w:t xml:space="preserve"> </w:t>
      </w:r>
      <w:r>
        <w:rPr>
          <w:rFonts w:ascii="Arial"/>
          <w:color w:val="5B6761"/>
          <w:w w:val="105"/>
          <w:sz w:val="14"/>
        </w:rPr>
        <w:t>30</w:t>
      </w:r>
      <w:r>
        <w:rPr>
          <w:rFonts w:ascii="Arial"/>
          <w:color w:val="5B6761"/>
          <w:spacing w:val="-19"/>
          <w:w w:val="105"/>
          <w:sz w:val="14"/>
        </w:rPr>
        <w:t xml:space="preserve"> </w:t>
      </w:r>
      <w:r>
        <w:rPr>
          <w:rFonts w:ascii="Arial"/>
          <w:color w:val="5B6761"/>
          <w:w w:val="105"/>
          <w:sz w:val="14"/>
        </w:rPr>
        <w:t>June</w:t>
      </w:r>
      <w:r>
        <w:rPr>
          <w:rFonts w:ascii="Arial"/>
          <w:color w:val="5B6761"/>
          <w:spacing w:val="-21"/>
          <w:w w:val="105"/>
          <w:sz w:val="14"/>
        </w:rPr>
        <w:t xml:space="preserve"> </w:t>
      </w:r>
      <w:r>
        <w:rPr>
          <w:rFonts w:ascii="Arial"/>
          <w:color w:val="5B6761"/>
          <w:w w:val="105"/>
          <w:sz w:val="14"/>
        </w:rPr>
        <w:t>2019,</w:t>
      </w:r>
      <w:r>
        <w:rPr>
          <w:rFonts w:ascii="Arial"/>
          <w:color w:val="5B6761"/>
          <w:spacing w:val="-19"/>
          <w:w w:val="105"/>
          <w:sz w:val="14"/>
        </w:rPr>
        <w:t xml:space="preserve"> </w:t>
      </w:r>
      <w:r>
        <w:rPr>
          <w:rFonts w:ascii="Arial"/>
          <w:color w:val="5B6761"/>
          <w:w w:val="105"/>
          <w:sz w:val="14"/>
        </w:rPr>
        <w:t>there</w:t>
      </w:r>
      <w:r>
        <w:rPr>
          <w:rFonts w:ascii="Arial"/>
          <w:color w:val="5B6761"/>
          <w:spacing w:val="-20"/>
          <w:w w:val="105"/>
          <w:sz w:val="14"/>
        </w:rPr>
        <w:t xml:space="preserve"> </w:t>
      </w:r>
      <w:r>
        <w:rPr>
          <w:rFonts w:ascii="Arial"/>
          <w:color w:val="5B6761"/>
          <w:w w:val="105"/>
          <w:sz w:val="14"/>
        </w:rPr>
        <w:t>were</w:t>
      </w:r>
      <w:r>
        <w:rPr>
          <w:rFonts w:ascii="Arial"/>
          <w:color w:val="5B6761"/>
          <w:spacing w:val="-20"/>
          <w:w w:val="105"/>
          <w:sz w:val="14"/>
        </w:rPr>
        <w:t xml:space="preserve"> </w:t>
      </w:r>
      <w:r>
        <w:rPr>
          <w:rFonts w:ascii="Arial"/>
          <w:color w:val="5B6761"/>
          <w:w w:val="105"/>
          <w:sz w:val="14"/>
        </w:rPr>
        <w:t>254</w:t>
      </w:r>
      <w:r>
        <w:rPr>
          <w:rFonts w:ascii="Arial"/>
          <w:color w:val="5B6761"/>
          <w:spacing w:val="-20"/>
          <w:w w:val="105"/>
          <w:sz w:val="14"/>
        </w:rPr>
        <w:t xml:space="preserve"> </w:t>
      </w:r>
      <w:r>
        <w:rPr>
          <w:rFonts w:ascii="Arial"/>
          <w:color w:val="5B6761"/>
          <w:w w:val="105"/>
          <w:sz w:val="14"/>
        </w:rPr>
        <w:t>Australian</w:t>
      </w:r>
      <w:r>
        <w:rPr>
          <w:rFonts w:ascii="Arial"/>
          <w:color w:val="5B6761"/>
          <w:spacing w:val="-19"/>
          <w:w w:val="105"/>
          <w:sz w:val="14"/>
        </w:rPr>
        <w:t xml:space="preserve"> </w:t>
      </w:r>
      <w:r>
        <w:rPr>
          <w:rFonts w:ascii="Arial"/>
          <w:color w:val="5B6761"/>
          <w:w w:val="105"/>
          <w:sz w:val="14"/>
        </w:rPr>
        <w:t>companies</w:t>
      </w:r>
      <w:r>
        <w:rPr>
          <w:rFonts w:ascii="Arial"/>
          <w:color w:val="5B6761"/>
          <w:spacing w:val="-19"/>
          <w:w w:val="105"/>
          <w:sz w:val="14"/>
        </w:rPr>
        <w:t xml:space="preserve"> </w:t>
      </w:r>
      <w:r>
        <w:rPr>
          <w:rFonts w:ascii="Arial"/>
          <w:color w:val="5B6761"/>
          <w:w w:val="105"/>
          <w:sz w:val="14"/>
        </w:rPr>
        <w:t>holding</w:t>
      </w:r>
      <w:r>
        <w:rPr>
          <w:rFonts w:ascii="Arial"/>
          <w:color w:val="5B6761"/>
          <w:spacing w:val="-19"/>
          <w:w w:val="105"/>
          <w:sz w:val="14"/>
        </w:rPr>
        <w:t xml:space="preserve"> </w:t>
      </w:r>
      <w:r>
        <w:rPr>
          <w:rFonts w:ascii="Arial"/>
          <w:color w:val="5B6761"/>
          <w:w w:val="105"/>
          <w:sz w:val="14"/>
        </w:rPr>
        <w:t>manufacturing</w:t>
      </w:r>
      <w:r>
        <w:rPr>
          <w:rFonts w:ascii="Arial"/>
          <w:color w:val="5B6761"/>
          <w:spacing w:val="-19"/>
          <w:w w:val="105"/>
          <w:sz w:val="14"/>
        </w:rPr>
        <w:t xml:space="preserve"> </w:t>
      </w:r>
      <w:proofErr w:type="spellStart"/>
      <w:r>
        <w:rPr>
          <w:rFonts w:ascii="Arial"/>
          <w:color w:val="5B6761"/>
          <w:w w:val="105"/>
          <w:sz w:val="14"/>
        </w:rPr>
        <w:t>licences</w:t>
      </w:r>
      <w:proofErr w:type="spellEnd"/>
      <w:r>
        <w:rPr>
          <w:rFonts w:ascii="Arial"/>
          <w:color w:val="5B6761"/>
          <w:spacing w:val="-20"/>
          <w:w w:val="105"/>
          <w:sz w:val="14"/>
        </w:rPr>
        <w:t xml:space="preserve"> </w:t>
      </w:r>
      <w:r>
        <w:rPr>
          <w:rFonts w:ascii="Arial"/>
          <w:color w:val="5B6761"/>
          <w:w w:val="105"/>
          <w:sz w:val="14"/>
        </w:rPr>
        <w:t>covering</w:t>
      </w:r>
      <w:r>
        <w:rPr>
          <w:rFonts w:ascii="Arial"/>
          <w:color w:val="5B6761"/>
          <w:spacing w:val="-18"/>
          <w:w w:val="105"/>
          <w:sz w:val="14"/>
        </w:rPr>
        <w:t xml:space="preserve"> </w:t>
      </w:r>
      <w:r>
        <w:rPr>
          <w:rFonts w:ascii="Arial"/>
          <w:color w:val="5B6761"/>
          <w:w w:val="105"/>
          <w:sz w:val="14"/>
        </w:rPr>
        <w:t>396</w:t>
      </w:r>
      <w:r>
        <w:rPr>
          <w:rFonts w:ascii="Arial"/>
          <w:color w:val="5B6761"/>
          <w:spacing w:val="-19"/>
          <w:w w:val="105"/>
          <w:sz w:val="14"/>
        </w:rPr>
        <w:t xml:space="preserve"> </w:t>
      </w:r>
      <w:r>
        <w:rPr>
          <w:rFonts w:ascii="Arial"/>
          <w:color w:val="5B6761"/>
          <w:w w:val="105"/>
          <w:sz w:val="14"/>
        </w:rPr>
        <w:t>sites.</w:t>
      </w:r>
      <w:r>
        <w:rPr>
          <w:rFonts w:ascii="Arial"/>
          <w:color w:val="5B6761"/>
          <w:spacing w:val="2"/>
          <w:w w:val="105"/>
          <w:sz w:val="14"/>
        </w:rPr>
        <w:t xml:space="preserve"> </w:t>
      </w:r>
      <w:r>
        <w:rPr>
          <w:rFonts w:ascii="Arial"/>
          <w:color w:val="5B6761"/>
          <w:w w:val="105"/>
          <w:sz w:val="14"/>
        </w:rPr>
        <w:t>Refer</w:t>
      </w:r>
      <w:r>
        <w:rPr>
          <w:rFonts w:ascii="Arial"/>
          <w:color w:val="5B6761"/>
          <w:spacing w:val="-19"/>
          <w:w w:val="105"/>
          <w:sz w:val="14"/>
        </w:rPr>
        <w:t xml:space="preserve"> </w:t>
      </w:r>
      <w:r>
        <w:rPr>
          <w:rFonts w:ascii="Arial"/>
          <w:color w:val="5B6761"/>
          <w:w w:val="105"/>
          <w:sz w:val="14"/>
        </w:rPr>
        <w:t>to</w:t>
      </w:r>
      <w:r>
        <w:rPr>
          <w:rFonts w:ascii="Arial"/>
          <w:color w:val="5B6761"/>
          <w:spacing w:val="-20"/>
          <w:w w:val="105"/>
          <w:sz w:val="14"/>
        </w:rPr>
        <w:t xml:space="preserve"> </w:t>
      </w:r>
      <w:r>
        <w:rPr>
          <w:rFonts w:ascii="Arial"/>
          <w:color w:val="5B6761"/>
          <w:w w:val="105"/>
          <w:sz w:val="14"/>
        </w:rPr>
        <w:t>TGA,</w:t>
      </w:r>
      <w:r>
        <w:rPr>
          <w:rFonts w:ascii="Arial"/>
          <w:color w:val="5B6761"/>
          <w:spacing w:val="-19"/>
          <w:w w:val="105"/>
          <w:sz w:val="14"/>
        </w:rPr>
        <w:t xml:space="preserve"> </w:t>
      </w:r>
      <w:r>
        <w:rPr>
          <w:rFonts w:ascii="Arial"/>
          <w:color w:val="5B6761"/>
          <w:w w:val="105"/>
          <w:sz w:val="14"/>
        </w:rPr>
        <w:t>Annual Performance</w:t>
      </w:r>
      <w:r>
        <w:rPr>
          <w:rFonts w:ascii="Arial"/>
          <w:color w:val="5B6761"/>
          <w:spacing w:val="-10"/>
          <w:w w:val="105"/>
          <w:sz w:val="14"/>
        </w:rPr>
        <w:t xml:space="preserve"> </w:t>
      </w:r>
      <w:r>
        <w:rPr>
          <w:rFonts w:ascii="Arial"/>
          <w:color w:val="5B6761"/>
          <w:w w:val="105"/>
          <w:sz w:val="14"/>
        </w:rPr>
        <w:t>Statistics</w:t>
      </w:r>
      <w:r>
        <w:rPr>
          <w:rFonts w:ascii="Arial"/>
          <w:color w:val="5B6761"/>
          <w:spacing w:val="-9"/>
          <w:w w:val="105"/>
          <w:sz w:val="14"/>
        </w:rPr>
        <w:t xml:space="preserve"> </w:t>
      </w:r>
      <w:r>
        <w:rPr>
          <w:rFonts w:ascii="Arial"/>
          <w:color w:val="5B6761"/>
          <w:w w:val="105"/>
          <w:sz w:val="14"/>
        </w:rPr>
        <w:t>Report:</w:t>
      </w:r>
      <w:r>
        <w:rPr>
          <w:rFonts w:ascii="Arial"/>
          <w:color w:val="5B6761"/>
          <w:spacing w:val="-9"/>
          <w:w w:val="105"/>
          <w:sz w:val="14"/>
        </w:rPr>
        <w:t xml:space="preserve"> </w:t>
      </w:r>
      <w:r>
        <w:rPr>
          <w:rFonts w:ascii="Arial"/>
          <w:color w:val="5B6761"/>
          <w:w w:val="105"/>
          <w:sz w:val="14"/>
        </w:rPr>
        <w:t>July</w:t>
      </w:r>
      <w:r>
        <w:rPr>
          <w:rFonts w:ascii="Arial"/>
          <w:color w:val="5B6761"/>
          <w:spacing w:val="-9"/>
          <w:w w:val="105"/>
          <w:sz w:val="14"/>
        </w:rPr>
        <w:t xml:space="preserve"> </w:t>
      </w:r>
      <w:r>
        <w:rPr>
          <w:rFonts w:ascii="Arial"/>
          <w:color w:val="5B6761"/>
          <w:w w:val="105"/>
          <w:sz w:val="14"/>
        </w:rPr>
        <w:t>2018</w:t>
      </w:r>
      <w:r>
        <w:rPr>
          <w:rFonts w:ascii="Arial"/>
          <w:color w:val="5B6761"/>
          <w:spacing w:val="-9"/>
          <w:w w:val="105"/>
          <w:sz w:val="14"/>
        </w:rPr>
        <w:t xml:space="preserve"> </w:t>
      </w:r>
      <w:r>
        <w:rPr>
          <w:rFonts w:ascii="Arial"/>
          <w:color w:val="5B6761"/>
          <w:w w:val="105"/>
          <w:sz w:val="14"/>
        </w:rPr>
        <w:t>to</w:t>
      </w:r>
      <w:r>
        <w:rPr>
          <w:rFonts w:ascii="Arial"/>
          <w:color w:val="5B6761"/>
          <w:spacing w:val="-10"/>
          <w:w w:val="105"/>
          <w:sz w:val="14"/>
        </w:rPr>
        <w:t xml:space="preserve"> </w:t>
      </w:r>
      <w:r>
        <w:rPr>
          <w:rFonts w:ascii="Arial"/>
          <w:color w:val="5B6761"/>
          <w:w w:val="105"/>
          <w:sz w:val="14"/>
        </w:rPr>
        <w:t>June</w:t>
      </w:r>
      <w:r>
        <w:rPr>
          <w:rFonts w:ascii="Arial"/>
          <w:color w:val="5B6761"/>
          <w:spacing w:val="-10"/>
          <w:w w:val="105"/>
          <w:sz w:val="14"/>
        </w:rPr>
        <w:t xml:space="preserve"> </w:t>
      </w:r>
      <w:r>
        <w:rPr>
          <w:rFonts w:ascii="Arial"/>
          <w:color w:val="5B6761"/>
          <w:w w:val="105"/>
          <w:sz w:val="14"/>
        </w:rPr>
        <w:t>2019,</w:t>
      </w:r>
      <w:r>
        <w:rPr>
          <w:rFonts w:ascii="Arial"/>
          <w:color w:val="5B6761"/>
          <w:spacing w:val="-9"/>
          <w:w w:val="105"/>
          <w:sz w:val="14"/>
        </w:rPr>
        <w:t xml:space="preserve"> </w:t>
      </w:r>
      <w:r>
        <w:rPr>
          <w:rFonts w:ascii="Arial"/>
          <w:color w:val="5B6761"/>
          <w:w w:val="105"/>
          <w:sz w:val="14"/>
        </w:rPr>
        <w:t>p.58.</w:t>
      </w:r>
    </w:p>
    <w:p w:rsidR="007D76BB" w:rsidRDefault="00D70D28">
      <w:pPr>
        <w:spacing w:before="59" w:line="268" w:lineRule="auto"/>
        <w:ind w:left="594" w:right="688" w:hanging="113"/>
        <w:rPr>
          <w:rFonts w:ascii="Arial"/>
          <w:sz w:val="14"/>
        </w:rPr>
      </w:pPr>
      <w:r>
        <w:rPr>
          <w:rFonts w:ascii="Arial"/>
          <w:color w:val="5B6761"/>
          <w:w w:val="105"/>
          <w:position w:val="5"/>
          <w:sz w:val="8"/>
        </w:rPr>
        <w:t>25</w:t>
      </w:r>
      <w:r>
        <w:rPr>
          <w:rFonts w:ascii="Arial"/>
          <w:color w:val="5B6761"/>
          <w:spacing w:val="-5"/>
          <w:w w:val="105"/>
          <w:position w:val="5"/>
          <w:sz w:val="8"/>
        </w:rPr>
        <w:t xml:space="preserve"> </w:t>
      </w:r>
      <w:r>
        <w:rPr>
          <w:rFonts w:ascii="Arial"/>
          <w:color w:val="5B6761"/>
          <w:w w:val="105"/>
          <w:sz w:val="14"/>
        </w:rPr>
        <w:t>As</w:t>
      </w:r>
      <w:r>
        <w:rPr>
          <w:rFonts w:ascii="Arial"/>
          <w:color w:val="5B6761"/>
          <w:spacing w:val="-22"/>
          <w:w w:val="105"/>
          <w:sz w:val="14"/>
        </w:rPr>
        <w:t xml:space="preserve"> </w:t>
      </w:r>
      <w:r>
        <w:rPr>
          <w:rFonts w:ascii="Arial"/>
          <w:color w:val="5B6761"/>
          <w:w w:val="105"/>
          <w:sz w:val="14"/>
        </w:rPr>
        <w:t>at</w:t>
      </w:r>
      <w:r>
        <w:rPr>
          <w:rFonts w:ascii="Arial"/>
          <w:color w:val="5B6761"/>
          <w:spacing w:val="-22"/>
          <w:w w:val="105"/>
          <w:sz w:val="14"/>
        </w:rPr>
        <w:t xml:space="preserve"> </w:t>
      </w:r>
      <w:r>
        <w:rPr>
          <w:rFonts w:ascii="Arial"/>
          <w:color w:val="5B6761"/>
          <w:w w:val="105"/>
          <w:sz w:val="14"/>
        </w:rPr>
        <w:t>30</w:t>
      </w:r>
      <w:r>
        <w:rPr>
          <w:rFonts w:ascii="Arial"/>
          <w:color w:val="5B6761"/>
          <w:spacing w:val="-22"/>
          <w:w w:val="105"/>
          <w:sz w:val="14"/>
        </w:rPr>
        <w:t xml:space="preserve"> </w:t>
      </w:r>
      <w:r>
        <w:rPr>
          <w:rFonts w:ascii="Arial"/>
          <w:color w:val="5B6761"/>
          <w:w w:val="105"/>
          <w:sz w:val="14"/>
        </w:rPr>
        <w:t>June</w:t>
      </w:r>
      <w:r>
        <w:rPr>
          <w:rFonts w:ascii="Arial"/>
          <w:color w:val="5B6761"/>
          <w:spacing w:val="-23"/>
          <w:w w:val="105"/>
          <w:sz w:val="14"/>
        </w:rPr>
        <w:t xml:space="preserve"> </w:t>
      </w:r>
      <w:r>
        <w:rPr>
          <w:rFonts w:ascii="Arial"/>
          <w:color w:val="5B6761"/>
          <w:w w:val="105"/>
          <w:sz w:val="14"/>
        </w:rPr>
        <w:t>2019,</w:t>
      </w:r>
      <w:r>
        <w:rPr>
          <w:rFonts w:ascii="Arial"/>
          <w:color w:val="5B6761"/>
          <w:spacing w:val="-23"/>
          <w:w w:val="105"/>
          <w:sz w:val="14"/>
        </w:rPr>
        <w:t xml:space="preserve"> </w:t>
      </w:r>
      <w:r>
        <w:rPr>
          <w:rFonts w:ascii="Arial"/>
          <w:color w:val="5B6761"/>
          <w:w w:val="105"/>
          <w:sz w:val="14"/>
        </w:rPr>
        <w:t>there</w:t>
      </w:r>
      <w:r>
        <w:rPr>
          <w:rFonts w:ascii="Arial"/>
          <w:color w:val="5B6761"/>
          <w:spacing w:val="-23"/>
          <w:w w:val="105"/>
          <w:sz w:val="14"/>
        </w:rPr>
        <w:t xml:space="preserve"> </w:t>
      </w:r>
      <w:r>
        <w:rPr>
          <w:rFonts w:ascii="Arial"/>
          <w:color w:val="5B6761"/>
          <w:w w:val="105"/>
          <w:sz w:val="14"/>
        </w:rPr>
        <w:t>were</w:t>
      </w:r>
      <w:r>
        <w:rPr>
          <w:rFonts w:ascii="Arial"/>
          <w:color w:val="5B6761"/>
          <w:spacing w:val="-23"/>
          <w:w w:val="105"/>
          <w:sz w:val="14"/>
        </w:rPr>
        <w:t xml:space="preserve"> </w:t>
      </w:r>
      <w:r>
        <w:rPr>
          <w:rFonts w:ascii="Arial"/>
          <w:color w:val="5B6761"/>
          <w:w w:val="105"/>
          <w:sz w:val="14"/>
        </w:rPr>
        <w:t>141</w:t>
      </w:r>
      <w:r>
        <w:rPr>
          <w:rFonts w:ascii="Arial"/>
          <w:color w:val="5B6761"/>
          <w:spacing w:val="-21"/>
          <w:w w:val="105"/>
          <w:sz w:val="14"/>
        </w:rPr>
        <w:t xml:space="preserve"> </w:t>
      </w:r>
      <w:r>
        <w:rPr>
          <w:rFonts w:ascii="Arial"/>
          <w:color w:val="5B6761"/>
          <w:w w:val="105"/>
          <w:sz w:val="14"/>
        </w:rPr>
        <w:t>overseas</w:t>
      </w:r>
      <w:r>
        <w:rPr>
          <w:rFonts w:ascii="Arial"/>
          <w:color w:val="5B6761"/>
          <w:spacing w:val="-23"/>
          <w:w w:val="105"/>
          <w:sz w:val="14"/>
        </w:rPr>
        <w:t xml:space="preserve"> </w:t>
      </w:r>
      <w:r>
        <w:rPr>
          <w:rFonts w:ascii="Arial"/>
          <w:color w:val="5B6761"/>
          <w:w w:val="105"/>
          <w:sz w:val="14"/>
        </w:rPr>
        <w:t>manufacturers</w:t>
      </w:r>
      <w:r>
        <w:rPr>
          <w:rFonts w:ascii="Arial"/>
          <w:color w:val="5B6761"/>
          <w:spacing w:val="-22"/>
          <w:w w:val="105"/>
          <w:sz w:val="14"/>
        </w:rPr>
        <w:t xml:space="preserve"> </w:t>
      </w:r>
      <w:r>
        <w:rPr>
          <w:rFonts w:ascii="Arial"/>
          <w:color w:val="5B6761"/>
          <w:w w:val="105"/>
          <w:sz w:val="14"/>
        </w:rPr>
        <w:t>covering</w:t>
      </w:r>
      <w:r>
        <w:rPr>
          <w:rFonts w:ascii="Arial"/>
          <w:color w:val="5B6761"/>
          <w:spacing w:val="-22"/>
          <w:w w:val="105"/>
          <w:sz w:val="14"/>
        </w:rPr>
        <w:t xml:space="preserve"> </w:t>
      </w:r>
      <w:r>
        <w:rPr>
          <w:rFonts w:ascii="Arial"/>
          <w:color w:val="5B6761"/>
          <w:w w:val="105"/>
          <w:sz w:val="14"/>
        </w:rPr>
        <w:t>164</w:t>
      </w:r>
      <w:r>
        <w:rPr>
          <w:rFonts w:ascii="Arial"/>
          <w:color w:val="5B6761"/>
          <w:spacing w:val="-22"/>
          <w:w w:val="105"/>
          <w:sz w:val="14"/>
        </w:rPr>
        <w:t xml:space="preserve"> </w:t>
      </w:r>
      <w:r>
        <w:rPr>
          <w:rFonts w:ascii="Arial"/>
          <w:color w:val="5B6761"/>
          <w:w w:val="105"/>
          <w:sz w:val="14"/>
        </w:rPr>
        <w:t>manufacturing</w:t>
      </w:r>
      <w:r>
        <w:rPr>
          <w:rFonts w:ascii="Arial"/>
          <w:color w:val="5B6761"/>
          <w:spacing w:val="-22"/>
          <w:w w:val="105"/>
          <w:sz w:val="14"/>
        </w:rPr>
        <w:t xml:space="preserve"> </w:t>
      </w:r>
      <w:r>
        <w:rPr>
          <w:rFonts w:ascii="Arial"/>
          <w:color w:val="5B6761"/>
          <w:w w:val="105"/>
          <w:sz w:val="14"/>
        </w:rPr>
        <w:t>sites</w:t>
      </w:r>
      <w:r>
        <w:rPr>
          <w:rFonts w:ascii="Arial"/>
          <w:color w:val="5B6761"/>
          <w:spacing w:val="-23"/>
          <w:w w:val="105"/>
          <w:sz w:val="14"/>
        </w:rPr>
        <w:t xml:space="preserve"> </w:t>
      </w:r>
      <w:r>
        <w:rPr>
          <w:rFonts w:ascii="Arial"/>
          <w:color w:val="5B6761"/>
          <w:w w:val="105"/>
          <w:sz w:val="14"/>
        </w:rPr>
        <w:t>that</w:t>
      </w:r>
      <w:r>
        <w:rPr>
          <w:rFonts w:ascii="Arial"/>
          <w:color w:val="5B6761"/>
          <w:spacing w:val="-22"/>
          <w:w w:val="105"/>
          <w:sz w:val="14"/>
        </w:rPr>
        <w:t xml:space="preserve"> </w:t>
      </w:r>
      <w:r>
        <w:rPr>
          <w:rFonts w:ascii="Arial"/>
          <w:color w:val="5B6761"/>
          <w:w w:val="105"/>
          <w:sz w:val="14"/>
        </w:rPr>
        <w:t>were</w:t>
      </w:r>
      <w:r>
        <w:rPr>
          <w:rFonts w:ascii="Arial"/>
          <w:color w:val="5B6761"/>
          <w:spacing w:val="-20"/>
          <w:w w:val="105"/>
          <w:sz w:val="14"/>
        </w:rPr>
        <w:t xml:space="preserve"> </w:t>
      </w:r>
      <w:r>
        <w:rPr>
          <w:rFonts w:ascii="Arial"/>
          <w:color w:val="5B6761"/>
          <w:w w:val="105"/>
          <w:sz w:val="14"/>
        </w:rPr>
        <w:t>subject</w:t>
      </w:r>
      <w:r>
        <w:rPr>
          <w:rFonts w:ascii="Arial"/>
          <w:color w:val="5B6761"/>
          <w:spacing w:val="-23"/>
          <w:w w:val="105"/>
          <w:sz w:val="14"/>
        </w:rPr>
        <w:t xml:space="preserve"> </w:t>
      </w:r>
      <w:r>
        <w:rPr>
          <w:rFonts w:ascii="Arial"/>
          <w:color w:val="5B6761"/>
          <w:w w:val="105"/>
          <w:sz w:val="14"/>
        </w:rPr>
        <w:t>to</w:t>
      </w:r>
      <w:r>
        <w:rPr>
          <w:rFonts w:ascii="Arial"/>
          <w:color w:val="5B6761"/>
          <w:spacing w:val="-23"/>
          <w:w w:val="105"/>
          <w:sz w:val="14"/>
        </w:rPr>
        <w:t xml:space="preserve"> </w:t>
      </w:r>
      <w:r>
        <w:rPr>
          <w:rFonts w:ascii="Arial"/>
          <w:color w:val="5B6761"/>
          <w:w w:val="105"/>
          <w:sz w:val="14"/>
        </w:rPr>
        <w:t>TGA</w:t>
      </w:r>
      <w:r>
        <w:rPr>
          <w:rFonts w:ascii="Arial"/>
          <w:color w:val="5B6761"/>
          <w:spacing w:val="-23"/>
          <w:w w:val="105"/>
          <w:sz w:val="14"/>
        </w:rPr>
        <w:t xml:space="preserve"> </w:t>
      </w:r>
      <w:r>
        <w:rPr>
          <w:rFonts w:ascii="Arial"/>
          <w:color w:val="5B6761"/>
          <w:w w:val="105"/>
          <w:sz w:val="14"/>
        </w:rPr>
        <w:t>inspection</w:t>
      </w:r>
      <w:r>
        <w:rPr>
          <w:rFonts w:ascii="Arial"/>
          <w:color w:val="5B6761"/>
          <w:spacing w:val="-22"/>
          <w:w w:val="105"/>
          <w:sz w:val="14"/>
        </w:rPr>
        <w:t xml:space="preserve"> </w:t>
      </w:r>
      <w:r>
        <w:rPr>
          <w:rFonts w:ascii="Arial"/>
          <w:color w:val="5B6761"/>
          <w:w w:val="105"/>
          <w:sz w:val="14"/>
        </w:rPr>
        <w:t>(CV GMP</w:t>
      </w:r>
      <w:r>
        <w:rPr>
          <w:rFonts w:ascii="Arial"/>
          <w:color w:val="5B6761"/>
          <w:spacing w:val="-21"/>
          <w:w w:val="105"/>
          <w:sz w:val="14"/>
        </w:rPr>
        <w:t xml:space="preserve"> </w:t>
      </w:r>
      <w:r>
        <w:rPr>
          <w:rFonts w:ascii="Arial"/>
          <w:color w:val="5B6761"/>
          <w:w w:val="105"/>
          <w:sz w:val="14"/>
        </w:rPr>
        <w:t>clearance</w:t>
      </w:r>
      <w:r>
        <w:rPr>
          <w:rFonts w:ascii="Arial"/>
          <w:color w:val="5B6761"/>
          <w:spacing w:val="-21"/>
          <w:w w:val="105"/>
          <w:sz w:val="14"/>
        </w:rPr>
        <w:t xml:space="preserve"> </w:t>
      </w:r>
      <w:r>
        <w:rPr>
          <w:rFonts w:ascii="Arial"/>
          <w:color w:val="5B6761"/>
          <w:w w:val="105"/>
          <w:sz w:val="14"/>
        </w:rPr>
        <w:t>pathway)</w:t>
      </w:r>
      <w:r>
        <w:rPr>
          <w:rFonts w:ascii="Arial"/>
          <w:color w:val="5B6761"/>
          <w:spacing w:val="-23"/>
          <w:w w:val="105"/>
          <w:sz w:val="14"/>
        </w:rPr>
        <w:t xml:space="preserve"> </w:t>
      </w:r>
      <w:r>
        <w:rPr>
          <w:rFonts w:ascii="Arial"/>
          <w:color w:val="5B6761"/>
          <w:w w:val="105"/>
          <w:sz w:val="14"/>
        </w:rPr>
        <w:t>and</w:t>
      </w:r>
      <w:r>
        <w:rPr>
          <w:rFonts w:ascii="Arial"/>
          <w:color w:val="5B6761"/>
          <w:spacing w:val="-21"/>
          <w:w w:val="105"/>
          <w:sz w:val="14"/>
        </w:rPr>
        <w:t xml:space="preserve"> </w:t>
      </w:r>
      <w:r>
        <w:rPr>
          <w:rFonts w:ascii="Arial"/>
          <w:color w:val="5B6761"/>
          <w:w w:val="105"/>
          <w:sz w:val="14"/>
        </w:rPr>
        <w:t>approximately</w:t>
      </w:r>
      <w:r>
        <w:rPr>
          <w:rFonts w:ascii="Arial"/>
          <w:color w:val="5B6761"/>
          <w:spacing w:val="-21"/>
          <w:w w:val="105"/>
          <w:sz w:val="14"/>
        </w:rPr>
        <w:t xml:space="preserve"> </w:t>
      </w:r>
      <w:r>
        <w:rPr>
          <w:rFonts w:ascii="Arial"/>
          <w:color w:val="5B6761"/>
          <w:w w:val="105"/>
          <w:sz w:val="14"/>
        </w:rPr>
        <w:t>2,600</w:t>
      </w:r>
      <w:r>
        <w:rPr>
          <w:rFonts w:ascii="Arial"/>
          <w:color w:val="5B6761"/>
          <w:spacing w:val="-21"/>
          <w:w w:val="105"/>
          <w:sz w:val="14"/>
        </w:rPr>
        <w:t xml:space="preserve"> </w:t>
      </w:r>
      <w:r>
        <w:rPr>
          <w:rFonts w:ascii="Arial"/>
          <w:color w:val="5B6761"/>
          <w:w w:val="105"/>
          <w:sz w:val="14"/>
        </w:rPr>
        <w:t>overseas</w:t>
      </w:r>
      <w:r>
        <w:rPr>
          <w:rFonts w:ascii="Arial"/>
          <w:color w:val="5B6761"/>
          <w:spacing w:val="-21"/>
          <w:w w:val="105"/>
          <w:sz w:val="14"/>
        </w:rPr>
        <w:t xml:space="preserve"> </w:t>
      </w:r>
      <w:r>
        <w:rPr>
          <w:rFonts w:ascii="Arial"/>
          <w:color w:val="5B6761"/>
          <w:w w:val="105"/>
          <w:sz w:val="14"/>
        </w:rPr>
        <w:t>manufacturing</w:t>
      </w:r>
      <w:r>
        <w:rPr>
          <w:rFonts w:ascii="Arial"/>
          <w:color w:val="5B6761"/>
          <w:spacing w:val="-20"/>
          <w:w w:val="105"/>
          <w:sz w:val="14"/>
        </w:rPr>
        <w:t xml:space="preserve"> </w:t>
      </w:r>
      <w:r>
        <w:rPr>
          <w:rFonts w:ascii="Arial"/>
          <w:color w:val="5B6761"/>
          <w:w w:val="105"/>
          <w:sz w:val="14"/>
        </w:rPr>
        <w:t>sites</w:t>
      </w:r>
      <w:r>
        <w:rPr>
          <w:rFonts w:ascii="Arial"/>
          <w:color w:val="5B6761"/>
          <w:spacing w:val="-21"/>
          <w:w w:val="105"/>
          <w:sz w:val="14"/>
        </w:rPr>
        <w:t xml:space="preserve"> </w:t>
      </w:r>
      <w:r>
        <w:rPr>
          <w:rFonts w:ascii="Arial"/>
          <w:color w:val="5B6761"/>
          <w:w w:val="105"/>
          <w:sz w:val="14"/>
        </w:rPr>
        <w:t>that</w:t>
      </w:r>
      <w:r>
        <w:rPr>
          <w:rFonts w:ascii="Arial"/>
          <w:color w:val="5B6761"/>
          <w:spacing w:val="-21"/>
          <w:w w:val="105"/>
          <w:sz w:val="14"/>
        </w:rPr>
        <w:t xml:space="preserve"> </w:t>
      </w:r>
      <w:r>
        <w:rPr>
          <w:rFonts w:ascii="Arial"/>
          <w:color w:val="5B6761"/>
          <w:w w:val="105"/>
          <w:sz w:val="14"/>
        </w:rPr>
        <w:t>relied</w:t>
      </w:r>
      <w:r>
        <w:rPr>
          <w:rFonts w:ascii="Arial"/>
          <w:color w:val="5B6761"/>
          <w:spacing w:val="-20"/>
          <w:w w:val="105"/>
          <w:sz w:val="14"/>
        </w:rPr>
        <w:t xml:space="preserve"> </w:t>
      </w:r>
      <w:r>
        <w:rPr>
          <w:rFonts w:ascii="Arial"/>
          <w:color w:val="5B6761"/>
          <w:spacing w:val="4"/>
          <w:w w:val="105"/>
          <w:sz w:val="14"/>
        </w:rPr>
        <w:t>on</w:t>
      </w:r>
      <w:r>
        <w:rPr>
          <w:rFonts w:ascii="Arial"/>
          <w:color w:val="5B6761"/>
          <w:spacing w:val="-20"/>
          <w:w w:val="105"/>
          <w:sz w:val="14"/>
        </w:rPr>
        <w:t xml:space="preserve"> </w:t>
      </w:r>
      <w:r>
        <w:rPr>
          <w:rFonts w:ascii="Arial"/>
          <w:color w:val="5B6761"/>
          <w:w w:val="105"/>
          <w:sz w:val="14"/>
        </w:rPr>
        <w:t>evidence</w:t>
      </w:r>
      <w:r>
        <w:rPr>
          <w:rFonts w:ascii="Arial"/>
          <w:color w:val="5B6761"/>
          <w:spacing w:val="-22"/>
          <w:w w:val="105"/>
          <w:sz w:val="14"/>
        </w:rPr>
        <w:t xml:space="preserve"> </w:t>
      </w:r>
      <w:r>
        <w:rPr>
          <w:rFonts w:ascii="Arial"/>
          <w:color w:val="5B6761"/>
          <w:w w:val="105"/>
          <w:sz w:val="14"/>
        </w:rPr>
        <w:t>from</w:t>
      </w:r>
      <w:r>
        <w:rPr>
          <w:rFonts w:ascii="Arial"/>
          <w:color w:val="5B6761"/>
          <w:spacing w:val="-21"/>
          <w:w w:val="105"/>
          <w:sz w:val="14"/>
        </w:rPr>
        <w:t xml:space="preserve"> </w:t>
      </w:r>
      <w:r>
        <w:rPr>
          <w:rFonts w:ascii="Arial"/>
          <w:color w:val="5B6761"/>
          <w:w w:val="105"/>
          <w:sz w:val="14"/>
        </w:rPr>
        <w:t>recognised</w:t>
      </w:r>
      <w:r>
        <w:rPr>
          <w:rFonts w:ascii="Arial"/>
          <w:color w:val="5B6761"/>
          <w:spacing w:val="-20"/>
          <w:w w:val="105"/>
          <w:sz w:val="14"/>
        </w:rPr>
        <w:t xml:space="preserve"> </w:t>
      </w:r>
      <w:r>
        <w:rPr>
          <w:rFonts w:ascii="Arial"/>
          <w:color w:val="5B6761"/>
          <w:w w:val="105"/>
          <w:sz w:val="14"/>
        </w:rPr>
        <w:t>regulators (MRA</w:t>
      </w:r>
      <w:r>
        <w:rPr>
          <w:rFonts w:ascii="Arial"/>
          <w:color w:val="5B6761"/>
          <w:spacing w:val="-15"/>
          <w:w w:val="105"/>
          <w:sz w:val="14"/>
        </w:rPr>
        <w:t xml:space="preserve"> </w:t>
      </w:r>
      <w:r>
        <w:rPr>
          <w:rFonts w:ascii="Arial"/>
          <w:color w:val="5B6761"/>
          <w:w w:val="105"/>
          <w:sz w:val="14"/>
        </w:rPr>
        <w:t>GMP</w:t>
      </w:r>
      <w:r>
        <w:rPr>
          <w:rFonts w:ascii="Arial"/>
          <w:color w:val="5B6761"/>
          <w:spacing w:val="-13"/>
          <w:w w:val="105"/>
          <w:sz w:val="14"/>
        </w:rPr>
        <w:t xml:space="preserve"> </w:t>
      </w:r>
      <w:r>
        <w:rPr>
          <w:rFonts w:ascii="Arial"/>
          <w:color w:val="5B6761"/>
          <w:w w:val="105"/>
          <w:sz w:val="14"/>
        </w:rPr>
        <w:t>clearance</w:t>
      </w:r>
      <w:r>
        <w:rPr>
          <w:rFonts w:ascii="Arial"/>
          <w:color w:val="5B6761"/>
          <w:spacing w:val="-15"/>
          <w:w w:val="105"/>
          <w:sz w:val="14"/>
        </w:rPr>
        <w:t xml:space="preserve"> </w:t>
      </w:r>
      <w:r>
        <w:rPr>
          <w:rFonts w:ascii="Arial"/>
          <w:color w:val="5B6761"/>
          <w:w w:val="105"/>
          <w:sz w:val="14"/>
        </w:rPr>
        <w:t>pathway).</w:t>
      </w:r>
      <w:r>
        <w:rPr>
          <w:rFonts w:ascii="Arial"/>
          <w:color w:val="5B6761"/>
          <w:spacing w:val="-14"/>
          <w:w w:val="105"/>
          <w:sz w:val="14"/>
        </w:rPr>
        <w:t xml:space="preserve"> </w:t>
      </w:r>
      <w:r>
        <w:rPr>
          <w:rFonts w:ascii="Arial"/>
          <w:color w:val="5B6761"/>
          <w:w w:val="105"/>
          <w:sz w:val="14"/>
        </w:rPr>
        <w:t>Refer</w:t>
      </w:r>
      <w:r>
        <w:rPr>
          <w:rFonts w:ascii="Arial"/>
          <w:color w:val="5B6761"/>
          <w:spacing w:val="-13"/>
          <w:w w:val="105"/>
          <w:sz w:val="14"/>
        </w:rPr>
        <w:t xml:space="preserve"> </w:t>
      </w:r>
      <w:r>
        <w:rPr>
          <w:rFonts w:ascii="Arial"/>
          <w:color w:val="5B6761"/>
          <w:w w:val="105"/>
          <w:sz w:val="14"/>
        </w:rPr>
        <w:t>to</w:t>
      </w:r>
      <w:r>
        <w:rPr>
          <w:rFonts w:ascii="Arial"/>
          <w:color w:val="5B6761"/>
          <w:spacing w:val="-15"/>
          <w:w w:val="105"/>
          <w:sz w:val="14"/>
        </w:rPr>
        <w:t xml:space="preserve"> </w:t>
      </w:r>
      <w:r>
        <w:rPr>
          <w:rFonts w:ascii="Arial"/>
          <w:color w:val="5B6761"/>
          <w:w w:val="105"/>
          <w:sz w:val="14"/>
        </w:rPr>
        <w:t>TGA,</w:t>
      </w:r>
      <w:r>
        <w:rPr>
          <w:rFonts w:ascii="Arial"/>
          <w:color w:val="5B6761"/>
          <w:spacing w:val="-14"/>
          <w:w w:val="105"/>
          <w:sz w:val="14"/>
        </w:rPr>
        <w:t xml:space="preserve"> </w:t>
      </w:r>
      <w:r>
        <w:rPr>
          <w:rFonts w:ascii="Arial"/>
          <w:color w:val="5B6761"/>
          <w:w w:val="105"/>
          <w:sz w:val="14"/>
        </w:rPr>
        <w:t>Annual</w:t>
      </w:r>
      <w:r>
        <w:rPr>
          <w:rFonts w:ascii="Arial"/>
          <w:color w:val="5B6761"/>
          <w:spacing w:val="-13"/>
          <w:w w:val="105"/>
          <w:sz w:val="14"/>
        </w:rPr>
        <w:t xml:space="preserve"> </w:t>
      </w:r>
      <w:r>
        <w:rPr>
          <w:rFonts w:ascii="Arial"/>
          <w:color w:val="5B6761"/>
          <w:w w:val="105"/>
          <w:sz w:val="14"/>
        </w:rPr>
        <w:t>Performance</w:t>
      </w:r>
      <w:r>
        <w:rPr>
          <w:rFonts w:ascii="Arial"/>
          <w:color w:val="5B6761"/>
          <w:spacing w:val="-9"/>
          <w:w w:val="105"/>
          <w:sz w:val="14"/>
        </w:rPr>
        <w:t xml:space="preserve"> </w:t>
      </w:r>
      <w:r>
        <w:rPr>
          <w:rFonts w:ascii="Arial"/>
          <w:color w:val="5B6761"/>
          <w:w w:val="105"/>
          <w:sz w:val="14"/>
        </w:rPr>
        <w:t>Statistics</w:t>
      </w:r>
      <w:r>
        <w:rPr>
          <w:rFonts w:ascii="Arial"/>
          <w:color w:val="5B6761"/>
          <w:spacing w:val="-14"/>
          <w:w w:val="105"/>
          <w:sz w:val="14"/>
        </w:rPr>
        <w:t xml:space="preserve"> </w:t>
      </w:r>
      <w:r>
        <w:rPr>
          <w:rFonts w:ascii="Arial"/>
          <w:color w:val="5B6761"/>
          <w:w w:val="105"/>
          <w:sz w:val="14"/>
        </w:rPr>
        <w:t>Report:</w:t>
      </w:r>
      <w:r>
        <w:rPr>
          <w:rFonts w:ascii="Arial"/>
          <w:color w:val="5B6761"/>
          <w:spacing w:val="-14"/>
          <w:w w:val="105"/>
          <w:sz w:val="14"/>
        </w:rPr>
        <w:t xml:space="preserve"> </w:t>
      </w:r>
      <w:r>
        <w:rPr>
          <w:rFonts w:ascii="Arial"/>
          <w:color w:val="5B6761"/>
          <w:w w:val="105"/>
          <w:sz w:val="14"/>
        </w:rPr>
        <w:t>July</w:t>
      </w:r>
      <w:r>
        <w:rPr>
          <w:rFonts w:ascii="Arial"/>
          <w:color w:val="5B6761"/>
          <w:spacing w:val="-14"/>
          <w:w w:val="105"/>
          <w:sz w:val="14"/>
        </w:rPr>
        <w:t xml:space="preserve"> </w:t>
      </w:r>
      <w:r>
        <w:rPr>
          <w:rFonts w:ascii="Arial"/>
          <w:color w:val="5B6761"/>
          <w:w w:val="105"/>
          <w:sz w:val="14"/>
        </w:rPr>
        <w:t>2018</w:t>
      </w:r>
      <w:r>
        <w:rPr>
          <w:rFonts w:ascii="Arial"/>
          <w:color w:val="5B6761"/>
          <w:spacing w:val="-15"/>
          <w:w w:val="105"/>
          <w:sz w:val="14"/>
        </w:rPr>
        <w:t xml:space="preserve"> </w:t>
      </w:r>
      <w:r>
        <w:rPr>
          <w:rFonts w:ascii="Arial"/>
          <w:color w:val="5B6761"/>
          <w:w w:val="105"/>
          <w:sz w:val="14"/>
        </w:rPr>
        <w:t>to</w:t>
      </w:r>
      <w:r>
        <w:rPr>
          <w:rFonts w:ascii="Arial"/>
          <w:color w:val="5B6761"/>
          <w:spacing w:val="-15"/>
          <w:w w:val="105"/>
          <w:sz w:val="14"/>
        </w:rPr>
        <w:t xml:space="preserve"> </w:t>
      </w:r>
      <w:r>
        <w:rPr>
          <w:rFonts w:ascii="Arial"/>
          <w:color w:val="5B6761"/>
          <w:w w:val="105"/>
          <w:sz w:val="14"/>
        </w:rPr>
        <w:t>June</w:t>
      </w:r>
      <w:r>
        <w:rPr>
          <w:rFonts w:ascii="Arial"/>
          <w:color w:val="5B6761"/>
          <w:spacing w:val="-10"/>
          <w:w w:val="105"/>
          <w:sz w:val="14"/>
        </w:rPr>
        <w:t xml:space="preserve"> </w:t>
      </w:r>
      <w:r>
        <w:rPr>
          <w:rFonts w:ascii="Arial"/>
          <w:color w:val="5B6761"/>
          <w:w w:val="105"/>
          <w:sz w:val="14"/>
        </w:rPr>
        <w:t>2019,</w:t>
      </w:r>
      <w:r>
        <w:rPr>
          <w:rFonts w:ascii="Arial"/>
          <w:color w:val="5B6761"/>
          <w:spacing w:val="-14"/>
          <w:w w:val="105"/>
          <w:sz w:val="14"/>
        </w:rPr>
        <w:t xml:space="preserve"> </w:t>
      </w:r>
      <w:r>
        <w:rPr>
          <w:rFonts w:ascii="Arial"/>
          <w:color w:val="5B6761"/>
          <w:w w:val="105"/>
          <w:sz w:val="14"/>
        </w:rPr>
        <w:t>p.58.</w:t>
      </w:r>
    </w:p>
    <w:p w:rsidR="007D76BB" w:rsidRDefault="00D70D28">
      <w:pPr>
        <w:spacing w:before="59" w:line="268" w:lineRule="auto"/>
        <w:ind w:left="594" w:right="688" w:hanging="113"/>
        <w:rPr>
          <w:rFonts w:ascii="Arial"/>
          <w:sz w:val="14"/>
        </w:rPr>
      </w:pPr>
      <w:r>
        <w:rPr>
          <w:rFonts w:ascii="Arial"/>
          <w:color w:val="5B6761"/>
          <w:w w:val="105"/>
          <w:position w:val="5"/>
          <w:sz w:val="8"/>
        </w:rPr>
        <w:t>26</w:t>
      </w:r>
      <w:r>
        <w:rPr>
          <w:rFonts w:ascii="Arial"/>
          <w:color w:val="5B6761"/>
          <w:spacing w:val="-1"/>
          <w:w w:val="105"/>
          <w:position w:val="5"/>
          <w:sz w:val="8"/>
        </w:rPr>
        <w:t xml:space="preserve"> </w:t>
      </w:r>
      <w:r>
        <w:rPr>
          <w:rFonts w:ascii="Arial"/>
          <w:color w:val="5B6761"/>
          <w:w w:val="105"/>
          <w:sz w:val="14"/>
        </w:rPr>
        <w:t>Industry</w:t>
      </w:r>
      <w:r>
        <w:rPr>
          <w:rFonts w:ascii="Arial"/>
          <w:color w:val="5B6761"/>
          <w:spacing w:val="-20"/>
          <w:w w:val="105"/>
          <w:sz w:val="14"/>
        </w:rPr>
        <w:t xml:space="preserve"> </w:t>
      </w:r>
      <w:r>
        <w:rPr>
          <w:rFonts w:ascii="Arial"/>
          <w:color w:val="5B6761"/>
          <w:w w:val="105"/>
          <w:sz w:val="14"/>
        </w:rPr>
        <w:t>has</w:t>
      </w:r>
      <w:r>
        <w:rPr>
          <w:rFonts w:ascii="Arial"/>
          <w:color w:val="5B6761"/>
          <w:spacing w:val="-18"/>
          <w:w w:val="105"/>
          <w:sz w:val="14"/>
        </w:rPr>
        <w:t xml:space="preserve"> </w:t>
      </w:r>
      <w:r>
        <w:rPr>
          <w:rFonts w:ascii="Arial"/>
          <w:color w:val="5B6761"/>
          <w:w w:val="105"/>
          <w:sz w:val="14"/>
        </w:rPr>
        <w:t>advised</w:t>
      </w:r>
      <w:r>
        <w:rPr>
          <w:rFonts w:ascii="Arial"/>
          <w:color w:val="5B6761"/>
          <w:spacing w:val="-18"/>
          <w:w w:val="105"/>
          <w:sz w:val="14"/>
        </w:rPr>
        <w:t xml:space="preserve"> </w:t>
      </w:r>
      <w:r>
        <w:rPr>
          <w:rFonts w:ascii="Arial"/>
          <w:color w:val="5B6761"/>
          <w:w w:val="105"/>
          <w:sz w:val="14"/>
        </w:rPr>
        <w:t>Noetic</w:t>
      </w:r>
      <w:r>
        <w:rPr>
          <w:rFonts w:ascii="Arial"/>
          <w:color w:val="5B6761"/>
          <w:spacing w:val="-18"/>
          <w:w w:val="105"/>
          <w:sz w:val="14"/>
        </w:rPr>
        <w:t xml:space="preserve"> </w:t>
      </w:r>
      <w:r>
        <w:rPr>
          <w:rFonts w:ascii="Arial"/>
          <w:color w:val="5B6761"/>
          <w:w w:val="105"/>
          <w:sz w:val="14"/>
        </w:rPr>
        <w:t>that</w:t>
      </w:r>
      <w:r>
        <w:rPr>
          <w:rFonts w:ascii="Arial"/>
          <w:color w:val="5B6761"/>
          <w:spacing w:val="-18"/>
          <w:w w:val="105"/>
          <w:sz w:val="14"/>
        </w:rPr>
        <w:t xml:space="preserve"> </w:t>
      </w:r>
      <w:r>
        <w:rPr>
          <w:rFonts w:ascii="Arial"/>
          <w:color w:val="5B6761"/>
          <w:w w:val="105"/>
          <w:sz w:val="14"/>
        </w:rPr>
        <w:t>many</w:t>
      </w:r>
      <w:r>
        <w:rPr>
          <w:rFonts w:ascii="Arial"/>
          <w:color w:val="5B6761"/>
          <w:spacing w:val="-20"/>
          <w:w w:val="105"/>
          <w:sz w:val="14"/>
        </w:rPr>
        <w:t xml:space="preserve"> </w:t>
      </w:r>
      <w:r>
        <w:rPr>
          <w:rFonts w:ascii="Arial"/>
          <w:color w:val="5B6761"/>
          <w:w w:val="105"/>
          <w:sz w:val="14"/>
        </w:rPr>
        <w:t>if</w:t>
      </w:r>
      <w:r>
        <w:rPr>
          <w:rFonts w:ascii="Arial"/>
          <w:color w:val="5B6761"/>
          <w:spacing w:val="-19"/>
          <w:w w:val="105"/>
          <w:sz w:val="14"/>
        </w:rPr>
        <w:t xml:space="preserve"> </w:t>
      </w:r>
      <w:r>
        <w:rPr>
          <w:rFonts w:ascii="Arial"/>
          <w:color w:val="5B6761"/>
          <w:w w:val="105"/>
          <w:sz w:val="14"/>
        </w:rPr>
        <w:t>not</w:t>
      </w:r>
      <w:r>
        <w:rPr>
          <w:rFonts w:ascii="Arial"/>
          <w:color w:val="5B6761"/>
          <w:spacing w:val="-18"/>
          <w:w w:val="105"/>
          <w:sz w:val="14"/>
        </w:rPr>
        <w:t xml:space="preserve"> </w:t>
      </w:r>
      <w:r>
        <w:rPr>
          <w:rFonts w:ascii="Arial"/>
          <w:color w:val="5B6761"/>
          <w:w w:val="105"/>
          <w:sz w:val="14"/>
        </w:rPr>
        <w:t>most</w:t>
      </w:r>
      <w:r>
        <w:rPr>
          <w:rFonts w:ascii="Arial"/>
          <w:color w:val="5B6761"/>
          <w:spacing w:val="-17"/>
          <w:w w:val="105"/>
          <w:sz w:val="14"/>
        </w:rPr>
        <w:t xml:space="preserve"> </w:t>
      </w:r>
      <w:r>
        <w:rPr>
          <w:rFonts w:ascii="Arial"/>
          <w:color w:val="5B6761"/>
          <w:w w:val="105"/>
          <w:sz w:val="14"/>
        </w:rPr>
        <w:t>Australian</w:t>
      </w:r>
      <w:r>
        <w:rPr>
          <w:rFonts w:ascii="Arial"/>
          <w:color w:val="5B6761"/>
          <w:spacing w:val="-18"/>
          <w:w w:val="105"/>
          <w:sz w:val="14"/>
        </w:rPr>
        <w:t xml:space="preserve"> </w:t>
      </w:r>
      <w:r>
        <w:rPr>
          <w:rFonts w:ascii="Arial"/>
          <w:color w:val="5B6761"/>
          <w:w w:val="105"/>
          <w:sz w:val="14"/>
        </w:rPr>
        <w:t>GMP</w:t>
      </w:r>
      <w:r>
        <w:rPr>
          <w:rFonts w:ascii="Arial"/>
          <w:color w:val="5B6761"/>
          <w:spacing w:val="-18"/>
          <w:w w:val="105"/>
          <w:sz w:val="14"/>
        </w:rPr>
        <w:t xml:space="preserve"> </w:t>
      </w:r>
      <w:r>
        <w:rPr>
          <w:rFonts w:ascii="Arial"/>
          <w:color w:val="5B6761"/>
          <w:w w:val="105"/>
          <w:sz w:val="14"/>
        </w:rPr>
        <w:t>facilities</w:t>
      </w:r>
      <w:r>
        <w:rPr>
          <w:rFonts w:ascii="Arial"/>
          <w:color w:val="5B6761"/>
          <w:spacing w:val="-18"/>
          <w:w w:val="105"/>
          <w:sz w:val="14"/>
        </w:rPr>
        <w:t xml:space="preserve"> </w:t>
      </w:r>
      <w:r>
        <w:rPr>
          <w:rFonts w:ascii="Arial"/>
          <w:color w:val="5B6761"/>
          <w:w w:val="105"/>
          <w:sz w:val="14"/>
        </w:rPr>
        <w:t>are</w:t>
      </w:r>
      <w:r>
        <w:rPr>
          <w:rFonts w:ascii="Arial"/>
          <w:color w:val="5B6761"/>
          <w:spacing w:val="-19"/>
          <w:w w:val="105"/>
          <w:sz w:val="14"/>
        </w:rPr>
        <w:t xml:space="preserve"> </w:t>
      </w:r>
      <w:r>
        <w:rPr>
          <w:rFonts w:ascii="Arial"/>
          <w:color w:val="5B6761"/>
          <w:w w:val="105"/>
          <w:sz w:val="14"/>
        </w:rPr>
        <w:t>already</w:t>
      </w:r>
      <w:r>
        <w:rPr>
          <w:rFonts w:ascii="Arial"/>
          <w:color w:val="5B6761"/>
          <w:spacing w:val="-19"/>
          <w:w w:val="105"/>
          <w:sz w:val="14"/>
        </w:rPr>
        <w:t xml:space="preserve"> </w:t>
      </w:r>
      <w:r>
        <w:rPr>
          <w:rFonts w:ascii="Arial"/>
          <w:color w:val="5B6761"/>
          <w:w w:val="105"/>
          <w:sz w:val="14"/>
        </w:rPr>
        <w:t>operating</w:t>
      </w:r>
      <w:r>
        <w:rPr>
          <w:rFonts w:ascii="Arial"/>
          <w:color w:val="5B6761"/>
          <w:spacing w:val="-19"/>
          <w:w w:val="105"/>
          <w:sz w:val="14"/>
        </w:rPr>
        <w:t xml:space="preserve"> </w:t>
      </w:r>
      <w:r>
        <w:rPr>
          <w:rFonts w:ascii="Arial"/>
          <w:color w:val="5B6761"/>
          <w:w w:val="105"/>
          <w:sz w:val="14"/>
        </w:rPr>
        <w:t>at</w:t>
      </w:r>
      <w:r>
        <w:rPr>
          <w:rFonts w:ascii="Arial"/>
          <w:color w:val="5B6761"/>
          <w:spacing w:val="-18"/>
          <w:w w:val="105"/>
          <w:sz w:val="14"/>
        </w:rPr>
        <w:t xml:space="preserve"> </w:t>
      </w:r>
      <w:proofErr w:type="spellStart"/>
      <w:r>
        <w:rPr>
          <w:rFonts w:ascii="Arial"/>
          <w:color w:val="5B6761"/>
          <w:w w:val="105"/>
          <w:sz w:val="14"/>
        </w:rPr>
        <w:t>capa</w:t>
      </w:r>
      <w:proofErr w:type="spellEnd"/>
      <w:r>
        <w:rPr>
          <w:rFonts w:ascii="Arial"/>
          <w:color w:val="5B6761"/>
          <w:spacing w:val="-33"/>
          <w:w w:val="105"/>
          <w:sz w:val="14"/>
        </w:rPr>
        <w:t xml:space="preserve"> </w:t>
      </w:r>
      <w:r>
        <w:rPr>
          <w:rFonts w:ascii="Arial"/>
          <w:color w:val="5B6761"/>
          <w:w w:val="105"/>
          <w:sz w:val="14"/>
        </w:rPr>
        <w:t>city</w:t>
      </w:r>
      <w:r>
        <w:rPr>
          <w:rFonts w:ascii="Arial"/>
          <w:color w:val="5B6761"/>
          <w:spacing w:val="-19"/>
          <w:w w:val="105"/>
          <w:sz w:val="14"/>
        </w:rPr>
        <w:t xml:space="preserve"> </w:t>
      </w:r>
      <w:r>
        <w:rPr>
          <w:rFonts w:ascii="Arial"/>
          <w:color w:val="5B6761"/>
          <w:w w:val="105"/>
          <w:sz w:val="14"/>
        </w:rPr>
        <w:t>as</w:t>
      </w:r>
      <w:r>
        <w:rPr>
          <w:rFonts w:ascii="Arial"/>
          <w:color w:val="5B6761"/>
          <w:spacing w:val="-19"/>
          <w:w w:val="105"/>
          <w:sz w:val="14"/>
        </w:rPr>
        <w:t xml:space="preserve"> </w:t>
      </w:r>
      <w:r>
        <w:rPr>
          <w:rFonts w:ascii="Arial"/>
          <w:color w:val="5B6761"/>
          <w:w w:val="105"/>
          <w:sz w:val="14"/>
        </w:rPr>
        <w:t>well</w:t>
      </w:r>
      <w:r>
        <w:rPr>
          <w:rFonts w:ascii="Arial"/>
          <w:color w:val="5B6761"/>
          <w:spacing w:val="-18"/>
          <w:w w:val="105"/>
          <w:sz w:val="14"/>
        </w:rPr>
        <w:t xml:space="preserve"> </w:t>
      </w:r>
      <w:r>
        <w:rPr>
          <w:rFonts w:ascii="Arial"/>
          <w:color w:val="5B6761"/>
          <w:w w:val="105"/>
          <w:sz w:val="14"/>
        </w:rPr>
        <w:t>as</w:t>
      </w:r>
      <w:r>
        <w:rPr>
          <w:rFonts w:ascii="Arial"/>
          <w:color w:val="5B6761"/>
          <w:spacing w:val="-19"/>
          <w:w w:val="105"/>
          <w:sz w:val="14"/>
        </w:rPr>
        <w:t xml:space="preserve"> </w:t>
      </w:r>
      <w:r>
        <w:rPr>
          <w:rFonts w:ascii="Arial"/>
          <w:color w:val="5B6761"/>
          <w:w w:val="105"/>
          <w:sz w:val="14"/>
        </w:rPr>
        <w:t>having</w:t>
      </w:r>
      <w:r>
        <w:rPr>
          <w:rFonts w:ascii="Arial"/>
          <w:color w:val="5B6761"/>
          <w:spacing w:val="-19"/>
          <w:w w:val="105"/>
          <w:sz w:val="14"/>
        </w:rPr>
        <w:t xml:space="preserve"> </w:t>
      </w:r>
      <w:r>
        <w:rPr>
          <w:rFonts w:ascii="Arial"/>
          <w:color w:val="5B6761"/>
          <w:w w:val="105"/>
          <w:sz w:val="14"/>
        </w:rPr>
        <w:t>minimal order quantities that might be cost prohibitive for smaller retailers due to the switch-over costs (such as cleaning) required for pharmaceutical</w:t>
      </w:r>
      <w:r>
        <w:rPr>
          <w:rFonts w:ascii="Arial"/>
          <w:color w:val="5B6761"/>
          <w:spacing w:val="-9"/>
          <w:w w:val="105"/>
          <w:sz w:val="14"/>
        </w:rPr>
        <w:t xml:space="preserve"> </w:t>
      </w:r>
      <w:r>
        <w:rPr>
          <w:rFonts w:ascii="Arial"/>
          <w:color w:val="5B6761"/>
          <w:w w:val="105"/>
          <w:sz w:val="14"/>
        </w:rPr>
        <w:t>manufacture.</w:t>
      </w:r>
    </w:p>
    <w:p w:rsidR="007D76BB" w:rsidRDefault="007D76BB">
      <w:pPr>
        <w:spacing w:line="268" w:lineRule="auto"/>
        <w:rPr>
          <w:rFonts w:ascii="Arial"/>
          <w:sz w:val="14"/>
        </w:rPr>
        <w:sectPr w:rsidR="007D76BB">
          <w:type w:val="continuous"/>
          <w:pgSz w:w="11910" w:h="16850"/>
          <w:pgMar w:top="1220" w:right="820" w:bottom="280" w:left="1220" w:header="720" w:footer="720"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8"/>
        </w:rPr>
      </w:pPr>
    </w:p>
    <w:p w:rsidR="007D76BB" w:rsidRDefault="00D70D28">
      <w:pPr>
        <w:spacing w:before="108" w:line="264" w:lineRule="auto"/>
        <w:ind w:left="765" w:right="879"/>
        <w:rPr>
          <w:rFonts w:ascii="Arial"/>
          <w:sz w:val="19"/>
        </w:rPr>
      </w:pPr>
      <w:r>
        <w:rPr>
          <w:rFonts w:ascii="Arial"/>
          <w:w w:val="105"/>
          <w:sz w:val="19"/>
        </w:rPr>
        <w:t>the regulatory clarification.</w:t>
      </w:r>
      <w:r>
        <w:rPr>
          <w:rFonts w:ascii="Arial"/>
          <w:w w:val="105"/>
          <w:position w:val="7"/>
          <w:sz w:val="11"/>
        </w:rPr>
        <w:t xml:space="preserve">27 </w:t>
      </w:r>
      <w:r>
        <w:rPr>
          <w:rFonts w:ascii="Arial"/>
          <w:w w:val="105"/>
          <w:sz w:val="19"/>
        </w:rPr>
        <w:t xml:space="preserve">Stakeholders detailed several factors for why they were already proceeding (or planning to proceed) down the TGA manufacturing </w:t>
      </w:r>
      <w:proofErr w:type="spellStart"/>
      <w:r>
        <w:rPr>
          <w:rFonts w:ascii="Arial"/>
          <w:w w:val="105"/>
          <w:sz w:val="19"/>
        </w:rPr>
        <w:t>licence</w:t>
      </w:r>
      <w:proofErr w:type="spellEnd"/>
      <w:r>
        <w:rPr>
          <w:rFonts w:ascii="Arial"/>
          <w:w w:val="105"/>
          <w:sz w:val="19"/>
        </w:rPr>
        <w:t xml:space="preserve"> pathway, such as ability to produce a wider range of products (food and therapeutic goods), broader contracting/commercial</w:t>
      </w:r>
      <w:r>
        <w:rPr>
          <w:rFonts w:ascii="Arial"/>
          <w:spacing w:val="-27"/>
          <w:w w:val="105"/>
          <w:sz w:val="19"/>
        </w:rPr>
        <w:t xml:space="preserve"> </w:t>
      </w:r>
      <w:r>
        <w:rPr>
          <w:rFonts w:ascii="Arial"/>
          <w:w w:val="105"/>
          <w:sz w:val="19"/>
        </w:rPr>
        <w:t>opportunities,</w:t>
      </w:r>
      <w:r>
        <w:rPr>
          <w:rFonts w:ascii="Arial"/>
          <w:spacing w:val="-27"/>
          <w:w w:val="105"/>
          <w:sz w:val="19"/>
        </w:rPr>
        <w:t xml:space="preserve"> </w:t>
      </w:r>
      <w:r>
        <w:rPr>
          <w:rFonts w:ascii="Arial"/>
          <w:w w:val="105"/>
          <w:sz w:val="19"/>
        </w:rPr>
        <w:t>and</w:t>
      </w:r>
      <w:r>
        <w:rPr>
          <w:rFonts w:ascii="Arial"/>
          <w:spacing w:val="-26"/>
          <w:w w:val="105"/>
          <w:sz w:val="19"/>
        </w:rPr>
        <w:t xml:space="preserve"> </w:t>
      </w:r>
      <w:r>
        <w:rPr>
          <w:rFonts w:ascii="Arial"/>
          <w:w w:val="105"/>
          <w:sz w:val="19"/>
        </w:rPr>
        <w:t>consumer</w:t>
      </w:r>
      <w:r>
        <w:rPr>
          <w:rFonts w:ascii="Arial"/>
          <w:spacing w:val="-25"/>
          <w:w w:val="105"/>
          <w:sz w:val="19"/>
        </w:rPr>
        <w:t xml:space="preserve"> </w:t>
      </w:r>
      <w:r>
        <w:rPr>
          <w:rFonts w:ascii="Arial"/>
          <w:w w:val="105"/>
          <w:sz w:val="19"/>
        </w:rPr>
        <w:t>demand</w:t>
      </w:r>
      <w:r>
        <w:rPr>
          <w:rFonts w:ascii="Arial"/>
          <w:spacing w:val="-26"/>
          <w:w w:val="105"/>
          <w:sz w:val="19"/>
        </w:rPr>
        <w:t xml:space="preserve"> </w:t>
      </w:r>
      <w:r>
        <w:rPr>
          <w:rFonts w:ascii="Arial"/>
          <w:w w:val="105"/>
          <w:sz w:val="19"/>
        </w:rPr>
        <w:t>for</w:t>
      </w:r>
      <w:r>
        <w:rPr>
          <w:rFonts w:ascii="Arial"/>
          <w:spacing w:val="-25"/>
          <w:w w:val="105"/>
          <w:sz w:val="19"/>
        </w:rPr>
        <w:t xml:space="preserve"> </w:t>
      </w:r>
      <w:r>
        <w:rPr>
          <w:rFonts w:ascii="Arial"/>
          <w:w w:val="105"/>
          <w:sz w:val="19"/>
        </w:rPr>
        <w:t>higher</w:t>
      </w:r>
      <w:r>
        <w:rPr>
          <w:rFonts w:ascii="Arial"/>
          <w:spacing w:val="-25"/>
          <w:w w:val="105"/>
          <w:sz w:val="19"/>
        </w:rPr>
        <w:t xml:space="preserve"> </w:t>
      </w:r>
      <w:r>
        <w:rPr>
          <w:rFonts w:ascii="Arial"/>
          <w:w w:val="105"/>
          <w:sz w:val="19"/>
        </w:rPr>
        <w:t>quality</w:t>
      </w:r>
      <w:r>
        <w:rPr>
          <w:rFonts w:ascii="Arial"/>
          <w:spacing w:val="-26"/>
          <w:w w:val="105"/>
          <w:sz w:val="19"/>
        </w:rPr>
        <w:t xml:space="preserve"> </w:t>
      </w:r>
      <w:r>
        <w:rPr>
          <w:rFonts w:ascii="Arial"/>
          <w:w w:val="105"/>
          <w:sz w:val="19"/>
        </w:rPr>
        <w:t>(ingredients</w:t>
      </w:r>
      <w:r>
        <w:rPr>
          <w:rFonts w:ascii="Arial"/>
          <w:spacing w:val="-27"/>
          <w:w w:val="105"/>
          <w:sz w:val="19"/>
        </w:rPr>
        <w:t xml:space="preserve"> </w:t>
      </w:r>
      <w:r>
        <w:rPr>
          <w:rFonts w:ascii="Arial"/>
          <w:w w:val="105"/>
          <w:sz w:val="19"/>
        </w:rPr>
        <w:t>and production)</w:t>
      </w:r>
      <w:r>
        <w:rPr>
          <w:rFonts w:ascii="Arial"/>
          <w:spacing w:val="-22"/>
          <w:w w:val="105"/>
          <w:sz w:val="19"/>
        </w:rPr>
        <w:t xml:space="preserve"> </w:t>
      </w:r>
      <w:r>
        <w:rPr>
          <w:rFonts w:ascii="Arial"/>
          <w:w w:val="105"/>
          <w:sz w:val="19"/>
        </w:rPr>
        <w:t>products.</w:t>
      </w:r>
      <w:r>
        <w:rPr>
          <w:rFonts w:ascii="Arial"/>
          <w:spacing w:val="-19"/>
          <w:w w:val="105"/>
          <w:sz w:val="19"/>
        </w:rPr>
        <w:t xml:space="preserve"> </w:t>
      </w:r>
      <w:r>
        <w:rPr>
          <w:rFonts w:ascii="Arial"/>
          <w:w w:val="105"/>
          <w:sz w:val="19"/>
        </w:rPr>
        <w:t>It</w:t>
      </w:r>
      <w:r>
        <w:rPr>
          <w:rFonts w:ascii="Arial"/>
          <w:spacing w:val="-20"/>
          <w:w w:val="105"/>
          <w:sz w:val="19"/>
        </w:rPr>
        <w:t xml:space="preserve"> </w:t>
      </w:r>
      <w:r>
        <w:rPr>
          <w:rFonts w:ascii="Arial"/>
          <w:w w:val="105"/>
          <w:sz w:val="19"/>
        </w:rPr>
        <w:t>was</w:t>
      </w:r>
      <w:r>
        <w:rPr>
          <w:rFonts w:ascii="Arial"/>
          <w:spacing w:val="-22"/>
          <w:w w:val="105"/>
          <w:sz w:val="19"/>
        </w:rPr>
        <w:t xml:space="preserve"> </w:t>
      </w:r>
      <w:r>
        <w:rPr>
          <w:rFonts w:ascii="Arial"/>
          <w:w w:val="105"/>
          <w:sz w:val="19"/>
        </w:rPr>
        <w:t>noted</w:t>
      </w:r>
      <w:r>
        <w:rPr>
          <w:rFonts w:ascii="Arial"/>
          <w:spacing w:val="-21"/>
          <w:w w:val="105"/>
          <w:sz w:val="19"/>
        </w:rPr>
        <w:t xml:space="preserve"> </w:t>
      </w:r>
      <w:r>
        <w:rPr>
          <w:rFonts w:ascii="Arial"/>
          <w:w w:val="105"/>
          <w:sz w:val="19"/>
        </w:rPr>
        <w:t>that</w:t>
      </w:r>
      <w:r>
        <w:rPr>
          <w:rFonts w:ascii="Arial"/>
          <w:spacing w:val="-18"/>
          <w:w w:val="105"/>
          <w:sz w:val="19"/>
        </w:rPr>
        <w:t xml:space="preserve"> </w:t>
      </w:r>
      <w:r>
        <w:rPr>
          <w:rFonts w:ascii="Arial"/>
          <w:w w:val="105"/>
          <w:sz w:val="19"/>
        </w:rPr>
        <w:t>some</w:t>
      </w:r>
      <w:r>
        <w:rPr>
          <w:rFonts w:ascii="Arial"/>
          <w:spacing w:val="-19"/>
          <w:w w:val="105"/>
          <w:sz w:val="19"/>
        </w:rPr>
        <w:t xml:space="preserve"> </w:t>
      </w:r>
      <w:r>
        <w:rPr>
          <w:rFonts w:ascii="Arial"/>
          <w:w w:val="105"/>
          <w:sz w:val="19"/>
        </w:rPr>
        <w:t>of</w:t>
      </w:r>
      <w:r>
        <w:rPr>
          <w:rFonts w:ascii="Arial"/>
          <w:spacing w:val="-23"/>
          <w:w w:val="105"/>
          <w:sz w:val="19"/>
        </w:rPr>
        <w:t xml:space="preserve"> </w:t>
      </w:r>
      <w:r>
        <w:rPr>
          <w:rFonts w:ascii="Arial"/>
          <w:w w:val="105"/>
          <w:sz w:val="19"/>
        </w:rPr>
        <w:t>these</w:t>
      </w:r>
      <w:r>
        <w:rPr>
          <w:rFonts w:ascii="Arial"/>
          <w:spacing w:val="-21"/>
          <w:w w:val="105"/>
          <w:sz w:val="19"/>
        </w:rPr>
        <w:t xml:space="preserve"> </w:t>
      </w:r>
      <w:r>
        <w:rPr>
          <w:rFonts w:ascii="Arial"/>
          <w:w w:val="105"/>
          <w:sz w:val="19"/>
        </w:rPr>
        <w:t>pathways</w:t>
      </w:r>
      <w:r>
        <w:rPr>
          <w:rFonts w:ascii="Arial"/>
          <w:spacing w:val="-20"/>
          <w:w w:val="105"/>
          <w:sz w:val="19"/>
        </w:rPr>
        <w:t xml:space="preserve"> </w:t>
      </w:r>
      <w:r>
        <w:rPr>
          <w:rFonts w:ascii="Arial"/>
          <w:w w:val="105"/>
          <w:sz w:val="19"/>
        </w:rPr>
        <w:t>may</w:t>
      </w:r>
      <w:r>
        <w:rPr>
          <w:rFonts w:ascii="Arial"/>
          <w:spacing w:val="-20"/>
          <w:w w:val="105"/>
          <w:sz w:val="19"/>
        </w:rPr>
        <w:t xml:space="preserve"> </w:t>
      </w:r>
      <w:r>
        <w:rPr>
          <w:rFonts w:ascii="Arial"/>
          <w:w w:val="105"/>
          <w:sz w:val="19"/>
        </w:rPr>
        <w:t>result</w:t>
      </w:r>
      <w:r>
        <w:rPr>
          <w:rFonts w:ascii="Arial"/>
          <w:spacing w:val="-19"/>
          <w:w w:val="105"/>
          <w:sz w:val="19"/>
        </w:rPr>
        <w:t xml:space="preserve"> </w:t>
      </w:r>
      <w:r>
        <w:rPr>
          <w:rFonts w:ascii="Arial"/>
          <w:w w:val="105"/>
          <w:sz w:val="19"/>
        </w:rPr>
        <w:t>in</w:t>
      </w:r>
      <w:r>
        <w:rPr>
          <w:rFonts w:ascii="Arial"/>
          <w:spacing w:val="-19"/>
          <w:w w:val="105"/>
          <w:sz w:val="19"/>
        </w:rPr>
        <w:t xml:space="preserve"> </w:t>
      </w:r>
      <w:r>
        <w:rPr>
          <w:rFonts w:ascii="Arial"/>
          <w:w w:val="105"/>
          <w:sz w:val="19"/>
        </w:rPr>
        <w:t>additional</w:t>
      </w:r>
      <w:r>
        <w:rPr>
          <w:rFonts w:ascii="Arial"/>
          <w:spacing w:val="-19"/>
          <w:w w:val="105"/>
          <w:sz w:val="19"/>
        </w:rPr>
        <w:t xml:space="preserve"> </w:t>
      </w:r>
      <w:r>
        <w:rPr>
          <w:rFonts w:ascii="Arial"/>
          <w:w w:val="105"/>
          <w:sz w:val="19"/>
        </w:rPr>
        <w:t>capital investment</w:t>
      </w:r>
      <w:r>
        <w:rPr>
          <w:rFonts w:ascii="Arial"/>
          <w:spacing w:val="-28"/>
          <w:w w:val="105"/>
          <w:sz w:val="19"/>
        </w:rPr>
        <w:t xml:space="preserve"> </w:t>
      </w:r>
      <w:r>
        <w:rPr>
          <w:rFonts w:ascii="Arial"/>
          <w:w w:val="105"/>
          <w:sz w:val="19"/>
        </w:rPr>
        <w:t>in</w:t>
      </w:r>
      <w:r>
        <w:rPr>
          <w:rFonts w:ascii="Arial"/>
          <w:spacing w:val="-29"/>
          <w:w w:val="105"/>
          <w:sz w:val="19"/>
        </w:rPr>
        <w:t xml:space="preserve"> </w:t>
      </w:r>
      <w:r>
        <w:rPr>
          <w:rFonts w:ascii="Arial"/>
          <w:w w:val="105"/>
          <w:sz w:val="19"/>
        </w:rPr>
        <w:t>new</w:t>
      </w:r>
      <w:r>
        <w:rPr>
          <w:rFonts w:ascii="Arial"/>
          <w:spacing w:val="-29"/>
          <w:w w:val="105"/>
          <w:sz w:val="19"/>
        </w:rPr>
        <w:t xml:space="preserve"> </w:t>
      </w:r>
      <w:r>
        <w:rPr>
          <w:rFonts w:ascii="Arial"/>
          <w:w w:val="105"/>
          <w:sz w:val="19"/>
        </w:rPr>
        <w:t>equipment.</w:t>
      </w:r>
      <w:r>
        <w:rPr>
          <w:rFonts w:ascii="Arial"/>
          <w:spacing w:val="-28"/>
          <w:w w:val="105"/>
          <w:sz w:val="19"/>
        </w:rPr>
        <w:t xml:space="preserve"> </w:t>
      </w:r>
      <w:r>
        <w:rPr>
          <w:rFonts w:ascii="Arial"/>
          <w:w w:val="105"/>
          <w:sz w:val="19"/>
        </w:rPr>
        <w:t>This</w:t>
      </w:r>
      <w:r>
        <w:rPr>
          <w:rFonts w:ascii="Arial"/>
          <w:spacing w:val="-29"/>
          <w:w w:val="105"/>
          <w:sz w:val="19"/>
        </w:rPr>
        <w:t xml:space="preserve"> </w:t>
      </w:r>
      <w:r>
        <w:rPr>
          <w:rFonts w:ascii="Arial"/>
          <w:w w:val="105"/>
          <w:sz w:val="19"/>
        </w:rPr>
        <w:t>would,</w:t>
      </w:r>
      <w:r>
        <w:rPr>
          <w:rFonts w:ascii="Arial"/>
          <w:spacing w:val="-29"/>
          <w:w w:val="105"/>
          <w:sz w:val="19"/>
        </w:rPr>
        <w:t xml:space="preserve"> </w:t>
      </w:r>
      <w:r>
        <w:rPr>
          <w:rFonts w:ascii="Arial"/>
          <w:w w:val="105"/>
          <w:sz w:val="19"/>
        </w:rPr>
        <w:t>however,</w:t>
      </w:r>
      <w:r>
        <w:rPr>
          <w:rFonts w:ascii="Arial"/>
          <w:spacing w:val="-28"/>
          <w:w w:val="105"/>
          <w:sz w:val="19"/>
        </w:rPr>
        <w:t xml:space="preserve"> </w:t>
      </w:r>
      <w:r>
        <w:rPr>
          <w:rFonts w:ascii="Arial"/>
          <w:w w:val="105"/>
          <w:sz w:val="19"/>
        </w:rPr>
        <w:t>be</w:t>
      </w:r>
      <w:r>
        <w:rPr>
          <w:rFonts w:ascii="Arial"/>
          <w:spacing w:val="-29"/>
          <w:w w:val="105"/>
          <w:sz w:val="19"/>
        </w:rPr>
        <w:t xml:space="preserve"> </w:t>
      </w:r>
      <w:r>
        <w:rPr>
          <w:rFonts w:ascii="Arial"/>
          <w:w w:val="105"/>
          <w:sz w:val="19"/>
        </w:rPr>
        <w:t>a</w:t>
      </w:r>
      <w:r>
        <w:rPr>
          <w:rFonts w:ascii="Arial"/>
          <w:spacing w:val="-29"/>
          <w:w w:val="105"/>
          <w:sz w:val="19"/>
        </w:rPr>
        <w:t xml:space="preserve"> </w:t>
      </w:r>
      <w:r>
        <w:rPr>
          <w:rFonts w:ascii="Arial"/>
          <w:w w:val="105"/>
          <w:sz w:val="19"/>
        </w:rPr>
        <w:t>business</w:t>
      </w:r>
      <w:r>
        <w:rPr>
          <w:rFonts w:ascii="Arial"/>
          <w:spacing w:val="-28"/>
          <w:w w:val="105"/>
          <w:sz w:val="19"/>
        </w:rPr>
        <w:t xml:space="preserve"> </w:t>
      </w:r>
      <w:r>
        <w:rPr>
          <w:rFonts w:ascii="Arial"/>
          <w:w w:val="105"/>
          <w:sz w:val="19"/>
        </w:rPr>
        <w:t>decision</w:t>
      </w:r>
      <w:r>
        <w:rPr>
          <w:rFonts w:ascii="Arial"/>
          <w:spacing w:val="-29"/>
          <w:w w:val="105"/>
          <w:sz w:val="19"/>
        </w:rPr>
        <w:t xml:space="preserve"> </w:t>
      </w:r>
      <w:r>
        <w:rPr>
          <w:rFonts w:ascii="Arial"/>
          <w:w w:val="105"/>
          <w:sz w:val="19"/>
        </w:rPr>
        <w:t>to</w:t>
      </w:r>
      <w:r>
        <w:rPr>
          <w:rFonts w:ascii="Arial"/>
          <w:spacing w:val="-29"/>
          <w:w w:val="105"/>
          <w:sz w:val="19"/>
        </w:rPr>
        <w:t xml:space="preserve"> </w:t>
      </w:r>
      <w:r>
        <w:rPr>
          <w:rFonts w:ascii="Arial"/>
          <w:w w:val="105"/>
          <w:sz w:val="19"/>
        </w:rPr>
        <w:t>do</w:t>
      </w:r>
      <w:r>
        <w:rPr>
          <w:rFonts w:ascii="Arial"/>
          <w:spacing w:val="-28"/>
          <w:w w:val="105"/>
          <w:sz w:val="19"/>
        </w:rPr>
        <w:t xml:space="preserve"> </w:t>
      </w:r>
      <w:r>
        <w:rPr>
          <w:rFonts w:ascii="Arial"/>
          <w:w w:val="105"/>
          <w:sz w:val="19"/>
        </w:rPr>
        <w:t>so</w:t>
      </w:r>
      <w:r>
        <w:rPr>
          <w:rFonts w:ascii="Arial"/>
          <w:spacing w:val="-29"/>
          <w:w w:val="105"/>
          <w:sz w:val="19"/>
        </w:rPr>
        <w:t xml:space="preserve"> </w:t>
      </w:r>
      <w:r>
        <w:rPr>
          <w:rFonts w:ascii="Arial"/>
          <w:w w:val="105"/>
          <w:sz w:val="19"/>
        </w:rPr>
        <w:t>(arising</w:t>
      </w:r>
      <w:r>
        <w:rPr>
          <w:rFonts w:ascii="Arial"/>
          <w:spacing w:val="-28"/>
          <w:w w:val="105"/>
          <w:sz w:val="19"/>
        </w:rPr>
        <w:t xml:space="preserve"> </w:t>
      </w:r>
      <w:r>
        <w:rPr>
          <w:rFonts w:ascii="Arial"/>
          <w:w w:val="105"/>
          <w:sz w:val="19"/>
        </w:rPr>
        <w:t>from a number of factors (some identified above)) and cannot be attributed solely to the regulatory clarification.</w:t>
      </w:r>
      <w:r>
        <w:rPr>
          <w:rFonts w:ascii="Arial"/>
          <w:spacing w:val="-30"/>
          <w:w w:val="105"/>
          <w:sz w:val="19"/>
        </w:rPr>
        <w:t xml:space="preserve"> </w:t>
      </w:r>
      <w:r>
        <w:rPr>
          <w:rFonts w:ascii="Arial"/>
          <w:w w:val="105"/>
          <w:sz w:val="19"/>
        </w:rPr>
        <w:t>Therefore, obtaining</w:t>
      </w:r>
      <w:r>
        <w:rPr>
          <w:rFonts w:ascii="Arial"/>
          <w:spacing w:val="-29"/>
          <w:w w:val="105"/>
          <w:sz w:val="19"/>
        </w:rPr>
        <w:t xml:space="preserve"> </w:t>
      </w:r>
      <w:r>
        <w:rPr>
          <w:rFonts w:ascii="Arial"/>
          <w:w w:val="105"/>
          <w:sz w:val="19"/>
        </w:rPr>
        <w:t>a</w:t>
      </w:r>
      <w:r>
        <w:rPr>
          <w:rFonts w:ascii="Arial"/>
          <w:spacing w:val="-29"/>
          <w:w w:val="105"/>
          <w:sz w:val="19"/>
        </w:rPr>
        <w:t xml:space="preserve"> </w:t>
      </w:r>
      <w:r>
        <w:rPr>
          <w:rFonts w:ascii="Arial"/>
          <w:w w:val="105"/>
          <w:sz w:val="19"/>
        </w:rPr>
        <w:t>new</w:t>
      </w:r>
      <w:r>
        <w:rPr>
          <w:rFonts w:ascii="Arial"/>
          <w:spacing w:val="-29"/>
          <w:w w:val="105"/>
          <w:sz w:val="19"/>
        </w:rPr>
        <w:t xml:space="preserve"> </w:t>
      </w:r>
      <w:r>
        <w:rPr>
          <w:rFonts w:ascii="Arial"/>
          <w:w w:val="105"/>
          <w:sz w:val="19"/>
        </w:rPr>
        <w:t>TGA</w:t>
      </w:r>
      <w:r>
        <w:rPr>
          <w:rFonts w:ascii="Arial"/>
          <w:spacing w:val="-28"/>
          <w:w w:val="105"/>
          <w:sz w:val="19"/>
        </w:rPr>
        <w:t xml:space="preserve"> </w:t>
      </w:r>
      <w:r>
        <w:rPr>
          <w:rFonts w:ascii="Arial"/>
          <w:w w:val="105"/>
          <w:sz w:val="19"/>
        </w:rPr>
        <w:t>manufacturing</w:t>
      </w:r>
      <w:r>
        <w:rPr>
          <w:rFonts w:ascii="Arial"/>
          <w:spacing w:val="-29"/>
          <w:w w:val="105"/>
          <w:sz w:val="19"/>
        </w:rPr>
        <w:t xml:space="preserve"> </w:t>
      </w:r>
      <w:proofErr w:type="spellStart"/>
      <w:r>
        <w:rPr>
          <w:rFonts w:ascii="Arial"/>
          <w:w w:val="105"/>
          <w:sz w:val="19"/>
        </w:rPr>
        <w:t>licence</w:t>
      </w:r>
      <w:proofErr w:type="spellEnd"/>
      <w:r>
        <w:rPr>
          <w:rFonts w:ascii="Arial"/>
          <w:spacing w:val="-27"/>
          <w:w w:val="105"/>
          <w:sz w:val="19"/>
        </w:rPr>
        <w:t xml:space="preserve"> </w:t>
      </w:r>
      <w:r>
        <w:rPr>
          <w:rFonts w:ascii="Arial"/>
          <w:w w:val="105"/>
          <w:sz w:val="19"/>
        </w:rPr>
        <w:t>has</w:t>
      </w:r>
      <w:r>
        <w:rPr>
          <w:rFonts w:ascii="Arial"/>
          <w:spacing w:val="-28"/>
          <w:w w:val="105"/>
          <w:sz w:val="19"/>
        </w:rPr>
        <w:t xml:space="preserve"> </w:t>
      </w:r>
      <w:r>
        <w:rPr>
          <w:rFonts w:ascii="Arial"/>
          <w:w w:val="105"/>
          <w:sz w:val="19"/>
        </w:rPr>
        <w:t>been</w:t>
      </w:r>
      <w:r>
        <w:rPr>
          <w:rFonts w:ascii="Arial"/>
          <w:spacing w:val="-28"/>
          <w:w w:val="105"/>
          <w:sz w:val="19"/>
        </w:rPr>
        <w:t xml:space="preserve"> </w:t>
      </w:r>
      <w:r>
        <w:rPr>
          <w:rFonts w:ascii="Arial"/>
          <w:w w:val="105"/>
          <w:sz w:val="19"/>
        </w:rPr>
        <w:t>excluded</w:t>
      </w:r>
      <w:r>
        <w:rPr>
          <w:rFonts w:ascii="Arial"/>
          <w:spacing w:val="-29"/>
          <w:w w:val="105"/>
          <w:sz w:val="19"/>
        </w:rPr>
        <w:t xml:space="preserve"> </w:t>
      </w:r>
      <w:r>
        <w:rPr>
          <w:rFonts w:ascii="Arial"/>
          <w:w w:val="105"/>
          <w:sz w:val="19"/>
        </w:rPr>
        <w:t>from</w:t>
      </w:r>
      <w:r>
        <w:rPr>
          <w:rFonts w:ascii="Arial"/>
          <w:spacing w:val="-28"/>
          <w:w w:val="105"/>
          <w:sz w:val="19"/>
        </w:rPr>
        <w:t xml:space="preserve"> </w:t>
      </w:r>
      <w:r>
        <w:rPr>
          <w:rFonts w:ascii="Arial"/>
          <w:w w:val="105"/>
          <w:sz w:val="19"/>
        </w:rPr>
        <w:t>the regulatory</w:t>
      </w:r>
      <w:r>
        <w:rPr>
          <w:rFonts w:ascii="Arial"/>
          <w:spacing w:val="-12"/>
          <w:w w:val="105"/>
          <w:sz w:val="19"/>
        </w:rPr>
        <w:t xml:space="preserve"> </w:t>
      </w:r>
      <w:r>
        <w:rPr>
          <w:rFonts w:ascii="Arial"/>
          <w:w w:val="105"/>
          <w:sz w:val="19"/>
        </w:rPr>
        <w:t>burden</w:t>
      </w:r>
      <w:r>
        <w:rPr>
          <w:rFonts w:ascii="Arial"/>
          <w:spacing w:val="-11"/>
          <w:w w:val="105"/>
          <w:sz w:val="19"/>
        </w:rPr>
        <w:t xml:space="preserve"> </w:t>
      </w:r>
      <w:r>
        <w:rPr>
          <w:rFonts w:ascii="Arial"/>
          <w:w w:val="105"/>
          <w:sz w:val="19"/>
        </w:rPr>
        <w:t>costing</w:t>
      </w:r>
      <w:r>
        <w:rPr>
          <w:rFonts w:ascii="Arial"/>
          <w:spacing w:val="-9"/>
          <w:w w:val="105"/>
          <w:sz w:val="19"/>
        </w:rPr>
        <w:t xml:space="preserve"> </w:t>
      </w:r>
      <w:r>
        <w:rPr>
          <w:rFonts w:ascii="Arial"/>
          <w:w w:val="105"/>
          <w:sz w:val="19"/>
        </w:rPr>
        <w:t>for</w:t>
      </w:r>
      <w:r>
        <w:rPr>
          <w:rFonts w:ascii="Arial"/>
          <w:spacing w:val="-11"/>
          <w:w w:val="105"/>
          <w:sz w:val="19"/>
        </w:rPr>
        <w:t xml:space="preserve"> </w:t>
      </w:r>
      <w:r>
        <w:rPr>
          <w:rFonts w:ascii="Arial"/>
          <w:w w:val="105"/>
          <w:sz w:val="19"/>
        </w:rPr>
        <w:t>the</w:t>
      </w:r>
      <w:r>
        <w:rPr>
          <w:rFonts w:ascii="Arial"/>
          <w:spacing w:val="-11"/>
          <w:w w:val="105"/>
          <w:sz w:val="19"/>
        </w:rPr>
        <w:t xml:space="preserve"> </w:t>
      </w:r>
      <w:r>
        <w:rPr>
          <w:rFonts w:ascii="Arial"/>
          <w:w w:val="105"/>
          <w:sz w:val="19"/>
        </w:rPr>
        <w:t>following</w:t>
      </w:r>
      <w:r>
        <w:rPr>
          <w:rFonts w:ascii="Arial"/>
          <w:spacing w:val="-11"/>
          <w:w w:val="105"/>
          <w:sz w:val="19"/>
        </w:rPr>
        <w:t xml:space="preserve"> </w:t>
      </w:r>
      <w:r>
        <w:rPr>
          <w:rFonts w:ascii="Arial"/>
          <w:w w:val="105"/>
          <w:sz w:val="19"/>
        </w:rPr>
        <w:t>population</w:t>
      </w:r>
      <w:r>
        <w:rPr>
          <w:rFonts w:ascii="Arial"/>
          <w:spacing w:val="-11"/>
          <w:w w:val="105"/>
          <w:sz w:val="19"/>
        </w:rPr>
        <w:t xml:space="preserve"> </w:t>
      </w:r>
      <w:r>
        <w:rPr>
          <w:rFonts w:ascii="Arial"/>
          <w:w w:val="105"/>
          <w:sz w:val="19"/>
        </w:rPr>
        <w:t>groups:</w:t>
      </w:r>
    </w:p>
    <w:p w:rsidR="007D76BB" w:rsidRDefault="00D70D28">
      <w:pPr>
        <w:pStyle w:val="ListParagraph"/>
        <w:numPr>
          <w:ilvl w:val="0"/>
          <w:numId w:val="10"/>
        </w:numPr>
        <w:tabs>
          <w:tab w:val="left" w:pos="766"/>
        </w:tabs>
        <w:spacing w:before="81" w:line="266" w:lineRule="auto"/>
        <w:ind w:right="916"/>
        <w:rPr>
          <w:rFonts w:ascii="Arial" w:hAnsi="Arial"/>
          <w:sz w:val="19"/>
        </w:rPr>
      </w:pPr>
      <w:r>
        <w:rPr>
          <w:rFonts w:ascii="Arial" w:hAnsi="Arial"/>
          <w:w w:val="105"/>
          <w:sz w:val="19"/>
        </w:rPr>
        <w:t>those</w:t>
      </w:r>
      <w:r>
        <w:rPr>
          <w:rFonts w:ascii="Arial" w:hAnsi="Arial"/>
          <w:spacing w:val="-31"/>
          <w:w w:val="105"/>
          <w:sz w:val="19"/>
        </w:rPr>
        <w:t xml:space="preserve"> </w:t>
      </w:r>
      <w:r>
        <w:rPr>
          <w:rFonts w:ascii="Arial" w:hAnsi="Arial"/>
          <w:w w:val="105"/>
          <w:sz w:val="19"/>
        </w:rPr>
        <w:t>manufacturers/sponsors</w:t>
      </w:r>
      <w:r>
        <w:rPr>
          <w:rFonts w:ascii="Arial" w:hAnsi="Arial"/>
          <w:spacing w:val="-31"/>
          <w:w w:val="105"/>
          <w:sz w:val="19"/>
        </w:rPr>
        <w:t xml:space="preserve"> </w:t>
      </w:r>
      <w:r>
        <w:rPr>
          <w:rFonts w:ascii="Arial" w:hAnsi="Arial"/>
          <w:w w:val="105"/>
          <w:sz w:val="19"/>
        </w:rPr>
        <w:t>who</w:t>
      </w:r>
      <w:r>
        <w:rPr>
          <w:rFonts w:ascii="Arial" w:hAnsi="Arial"/>
          <w:spacing w:val="-33"/>
          <w:w w:val="105"/>
          <w:sz w:val="19"/>
        </w:rPr>
        <w:t xml:space="preserve"> </w:t>
      </w:r>
      <w:r>
        <w:rPr>
          <w:rFonts w:ascii="Arial" w:hAnsi="Arial"/>
          <w:w w:val="105"/>
          <w:sz w:val="19"/>
        </w:rPr>
        <w:t>already</w:t>
      </w:r>
      <w:r>
        <w:rPr>
          <w:rFonts w:ascii="Arial" w:hAnsi="Arial"/>
          <w:spacing w:val="-31"/>
          <w:w w:val="105"/>
          <w:sz w:val="19"/>
        </w:rPr>
        <w:t xml:space="preserve"> </w:t>
      </w:r>
      <w:r>
        <w:rPr>
          <w:rFonts w:ascii="Arial" w:hAnsi="Arial"/>
          <w:w w:val="105"/>
          <w:sz w:val="19"/>
        </w:rPr>
        <w:t>hold</w:t>
      </w:r>
      <w:r>
        <w:rPr>
          <w:rFonts w:ascii="Arial" w:hAnsi="Arial"/>
          <w:spacing w:val="-32"/>
          <w:w w:val="105"/>
          <w:sz w:val="19"/>
        </w:rPr>
        <w:t xml:space="preserve"> </w:t>
      </w:r>
      <w:r>
        <w:rPr>
          <w:rFonts w:ascii="Arial" w:hAnsi="Arial"/>
          <w:w w:val="105"/>
          <w:sz w:val="19"/>
        </w:rPr>
        <w:t>a</w:t>
      </w:r>
      <w:r>
        <w:rPr>
          <w:rFonts w:ascii="Arial" w:hAnsi="Arial"/>
          <w:spacing w:val="-31"/>
          <w:w w:val="105"/>
          <w:sz w:val="19"/>
        </w:rPr>
        <w:t xml:space="preserve"> </w:t>
      </w:r>
      <w:r>
        <w:rPr>
          <w:rFonts w:ascii="Arial" w:hAnsi="Arial"/>
          <w:w w:val="105"/>
          <w:sz w:val="19"/>
        </w:rPr>
        <w:t>TGA</w:t>
      </w:r>
      <w:r>
        <w:rPr>
          <w:rFonts w:ascii="Arial" w:hAnsi="Arial"/>
          <w:spacing w:val="-32"/>
          <w:w w:val="105"/>
          <w:sz w:val="19"/>
        </w:rPr>
        <w:t xml:space="preserve"> </w:t>
      </w:r>
      <w:r>
        <w:rPr>
          <w:rFonts w:ascii="Arial" w:hAnsi="Arial"/>
          <w:w w:val="105"/>
          <w:sz w:val="19"/>
        </w:rPr>
        <w:t>manufacturing</w:t>
      </w:r>
      <w:r>
        <w:rPr>
          <w:rFonts w:ascii="Arial" w:hAnsi="Arial"/>
          <w:spacing w:val="-32"/>
          <w:w w:val="105"/>
          <w:sz w:val="19"/>
        </w:rPr>
        <w:t xml:space="preserve"> </w:t>
      </w:r>
      <w:proofErr w:type="spellStart"/>
      <w:r>
        <w:rPr>
          <w:rFonts w:ascii="Arial" w:hAnsi="Arial"/>
          <w:w w:val="105"/>
          <w:sz w:val="19"/>
        </w:rPr>
        <w:t>licence</w:t>
      </w:r>
      <w:proofErr w:type="spellEnd"/>
      <w:r>
        <w:rPr>
          <w:rFonts w:ascii="Arial" w:hAnsi="Arial"/>
          <w:w w:val="105"/>
          <w:sz w:val="19"/>
        </w:rPr>
        <w:t>/GMP</w:t>
      </w:r>
      <w:r>
        <w:rPr>
          <w:rFonts w:ascii="Arial" w:hAnsi="Arial"/>
          <w:spacing w:val="-32"/>
          <w:w w:val="105"/>
          <w:sz w:val="19"/>
        </w:rPr>
        <w:t xml:space="preserve"> </w:t>
      </w:r>
      <w:r>
        <w:rPr>
          <w:rFonts w:ascii="Arial" w:hAnsi="Arial"/>
          <w:w w:val="105"/>
          <w:sz w:val="19"/>
        </w:rPr>
        <w:t xml:space="preserve">certification will not incur any additional regulatory costs in relation to obtaining a TGA manufacturing </w:t>
      </w:r>
      <w:proofErr w:type="spellStart"/>
      <w:r>
        <w:rPr>
          <w:rFonts w:ascii="Arial" w:hAnsi="Arial"/>
          <w:w w:val="105"/>
          <w:sz w:val="19"/>
        </w:rPr>
        <w:t>licence</w:t>
      </w:r>
      <w:proofErr w:type="spellEnd"/>
      <w:r>
        <w:rPr>
          <w:rFonts w:ascii="Arial" w:hAnsi="Arial"/>
          <w:w w:val="105"/>
          <w:sz w:val="19"/>
        </w:rPr>
        <w:t>/GMP</w:t>
      </w:r>
      <w:r>
        <w:rPr>
          <w:rFonts w:ascii="Arial" w:hAnsi="Arial"/>
          <w:spacing w:val="-10"/>
          <w:w w:val="105"/>
          <w:sz w:val="19"/>
        </w:rPr>
        <w:t xml:space="preserve"> </w:t>
      </w:r>
      <w:r>
        <w:rPr>
          <w:rFonts w:ascii="Arial" w:hAnsi="Arial"/>
          <w:w w:val="105"/>
          <w:sz w:val="19"/>
        </w:rPr>
        <w:t>certification</w:t>
      </w:r>
    </w:p>
    <w:p w:rsidR="007D76BB" w:rsidRDefault="00D70D28">
      <w:pPr>
        <w:pStyle w:val="ListParagraph"/>
        <w:numPr>
          <w:ilvl w:val="0"/>
          <w:numId w:val="10"/>
        </w:numPr>
        <w:tabs>
          <w:tab w:val="left" w:pos="766"/>
        </w:tabs>
        <w:spacing w:before="74" w:line="266" w:lineRule="auto"/>
        <w:ind w:right="1013"/>
        <w:rPr>
          <w:rFonts w:ascii="Arial" w:hAnsi="Arial"/>
          <w:sz w:val="19"/>
        </w:rPr>
      </w:pPr>
      <w:r>
        <w:rPr>
          <w:rFonts w:ascii="Arial" w:hAnsi="Arial"/>
          <w:w w:val="105"/>
          <w:sz w:val="19"/>
        </w:rPr>
        <w:t>those manufacturers who were already proceeding down the pathway to obtain a TGA manufacturing</w:t>
      </w:r>
      <w:r>
        <w:rPr>
          <w:rFonts w:ascii="Arial" w:hAnsi="Arial"/>
          <w:spacing w:val="-21"/>
          <w:w w:val="105"/>
          <w:sz w:val="19"/>
        </w:rPr>
        <w:t xml:space="preserve"> </w:t>
      </w:r>
      <w:proofErr w:type="spellStart"/>
      <w:r>
        <w:rPr>
          <w:rFonts w:ascii="Arial" w:hAnsi="Arial"/>
          <w:w w:val="105"/>
          <w:sz w:val="19"/>
        </w:rPr>
        <w:t>licence</w:t>
      </w:r>
      <w:proofErr w:type="spellEnd"/>
      <w:r>
        <w:rPr>
          <w:rFonts w:ascii="Arial" w:hAnsi="Arial"/>
          <w:w w:val="105"/>
          <w:sz w:val="19"/>
        </w:rPr>
        <w:t>/GMP</w:t>
      </w:r>
      <w:r>
        <w:rPr>
          <w:rFonts w:ascii="Arial" w:hAnsi="Arial"/>
          <w:spacing w:val="-20"/>
          <w:w w:val="105"/>
          <w:sz w:val="19"/>
        </w:rPr>
        <w:t xml:space="preserve"> </w:t>
      </w:r>
      <w:r>
        <w:rPr>
          <w:rFonts w:ascii="Arial" w:hAnsi="Arial"/>
          <w:w w:val="105"/>
          <w:sz w:val="19"/>
        </w:rPr>
        <w:t>certification</w:t>
      </w:r>
      <w:r>
        <w:rPr>
          <w:rFonts w:ascii="Arial" w:hAnsi="Arial"/>
          <w:spacing w:val="-20"/>
          <w:w w:val="105"/>
          <w:sz w:val="19"/>
        </w:rPr>
        <w:t xml:space="preserve"> </w:t>
      </w:r>
      <w:r>
        <w:rPr>
          <w:rFonts w:ascii="Arial" w:hAnsi="Arial"/>
          <w:w w:val="105"/>
          <w:sz w:val="19"/>
        </w:rPr>
        <w:t>will</w:t>
      </w:r>
      <w:r>
        <w:rPr>
          <w:rFonts w:ascii="Arial" w:hAnsi="Arial"/>
          <w:spacing w:val="-21"/>
          <w:w w:val="105"/>
          <w:sz w:val="19"/>
        </w:rPr>
        <w:t xml:space="preserve"> </w:t>
      </w:r>
      <w:r>
        <w:rPr>
          <w:rFonts w:ascii="Arial" w:hAnsi="Arial"/>
          <w:w w:val="105"/>
          <w:sz w:val="19"/>
        </w:rPr>
        <w:t>most</w:t>
      </w:r>
      <w:r>
        <w:rPr>
          <w:rFonts w:ascii="Arial" w:hAnsi="Arial"/>
          <w:spacing w:val="-18"/>
          <w:w w:val="105"/>
          <w:sz w:val="19"/>
        </w:rPr>
        <w:t xml:space="preserve"> </w:t>
      </w:r>
      <w:r>
        <w:rPr>
          <w:rFonts w:ascii="Arial" w:hAnsi="Arial"/>
          <w:w w:val="105"/>
          <w:sz w:val="19"/>
        </w:rPr>
        <w:t>likely</w:t>
      </w:r>
      <w:r>
        <w:rPr>
          <w:rFonts w:ascii="Arial" w:hAnsi="Arial"/>
          <w:spacing w:val="-21"/>
          <w:w w:val="105"/>
          <w:sz w:val="19"/>
        </w:rPr>
        <w:t xml:space="preserve"> </w:t>
      </w:r>
      <w:r>
        <w:rPr>
          <w:rFonts w:ascii="Arial" w:hAnsi="Arial"/>
          <w:w w:val="105"/>
          <w:sz w:val="19"/>
        </w:rPr>
        <w:t>continue</w:t>
      </w:r>
      <w:r>
        <w:rPr>
          <w:rFonts w:ascii="Arial" w:hAnsi="Arial"/>
          <w:spacing w:val="-21"/>
          <w:w w:val="105"/>
          <w:sz w:val="19"/>
        </w:rPr>
        <w:t xml:space="preserve"> </w:t>
      </w:r>
      <w:r>
        <w:rPr>
          <w:rFonts w:ascii="Arial" w:hAnsi="Arial"/>
          <w:w w:val="105"/>
          <w:sz w:val="19"/>
        </w:rPr>
        <w:t>to</w:t>
      </w:r>
      <w:r>
        <w:rPr>
          <w:rFonts w:ascii="Arial" w:hAnsi="Arial"/>
          <w:spacing w:val="-19"/>
          <w:w w:val="105"/>
          <w:sz w:val="19"/>
        </w:rPr>
        <w:t xml:space="preserve"> </w:t>
      </w:r>
      <w:r>
        <w:rPr>
          <w:rFonts w:ascii="Arial" w:hAnsi="Arial"/>
          <w:w w:val="105"/>
          <w:sz w:val="19"/>
        </w:rPr>
        <w:t>do</w:t>
      </w:r>
      <w:r>
        <w:rPr>
          <w:rFonts w:ascii="Arial" w:hAnsi="Arial"/>
          <w:spacing w:val="-20"/>
          <w:w w:val="105"/>
          <w:sz w:val="19"/>
        </w:rPr>
        <w:t xml:space="preserve"> </w:t>
      </w:r>
      <w:r>
        <w:rPr>
          <w:rFonts w:ascii="Arial" w:hAnsi="Arial"/>
          <w:w w:val="105"/>
          <w:sz w:val="19"/>
        </w:rPr>
        <w:t>so</w:t>
      </w:r>
      <w:r>
        <w:rPr>
          <w:rFonts w:ascii="Arial" w:hAnsi="Arial"/>
          <w:spacing w:val="-19"/>
          <w:w w:val="105"/>
          <w:sz w:val="19"/>
        </w:rPr>
        <w:t xml:space="preserve"> </w:t>
      </w:r>
      <w:r>
        <w:rPr>
          <w:rFonts w:ascii="Arial" w:hAnsi="Arial"/>
          <w:w w:val="105"/>
          <w:sz w:val="19"/>
        </w:rPr>
        <w:t>and</w:t>
      </w:r>
      <w:r>
        <w:rPr>
          <w:rFonts w:ascii="Arial" w:hAnsi="Arial"/>
          <w:spacing w:val="-20"/>
          <w:w w:val="105"/>
          <w:sz w:val="19"/>
        </w:rPr>
        <w:t xml:space="preserve"> </w:t>
      </w:r>
      <w:r>
        <w:rPr>
          <w:rFonts w:ascii="Arial" w:hAnsi="Arial"/>
          <w:w w:val="105"/>
          <w:sz w:val="19"/>
        </w:rPr>
        <w:t>this</w:t>
      </w:r>
      <w:r>
        <w:rPr>
          <w:rFonts w:ascii="Arial" w:hAnsi="Arial"/>
          <w:spacing w:val="-20"/>
          <w:w w:val="105"/>
          <w:sz w:val="19"/>
        </w:rPr>
        <w:t xml:space="preserve"> </w:t>
      </w:r>
      <w:r>
        <w:rPr>
          <w:rFonts w:ascii="Arial" w:hAnsi="Arial"/>
          <w:w w:val="105"/>
          <w:sz w:val="19"/>
        </w:rPr>
        <w:t>action,</w:t>
      </w:r>
      <w:r>
        <w:rPr>
          <w:rFonts w:ascii="Arial" w:hAnsi="Arial"/>
          <w:spacing w:val="-20"/>
          <w:w w:val="105"/>
          <w:sz w:val="19"/>
        </w:rPr>
        <w:t xml:space="preserve"> </w:t>
      </w:r>
      <w:r>
        <w:rPr>
          <w:rFonts w:ascii="Arial" w:hAnsi="Arial"/>
          <w:w w:val="105"/>
          <w:sz w:val="19"/>
        </w:rPr>
        <w:t>while likely</w:t>
      </w:r>
      <w:r>
        <w:rPr>
          <w:rFonts w:ascii="Arial" w:hAnsi="Arial"/>
          <w:spacing w:val="-20"/>
          <w:w w:val="105"/>
          <w:sz w:val="19"/>
        </w:rPr>
        <w:t xml:space="preserve"> </w:t>
      </w:r>
      <w:r>
        <w:rPr>
          <w:rFonts w:ascii="Arial" w:hAnsi="Arial"/>
          <w:w w:val="105"/>
          <w:sz w:val="19"/>
        </w:rPr>
        <w:t>influenced</w:t>
      </w:r>
      <w:r>
        <w:rPr>
          <w:rFonts w:ascii="Arial" w:hAnsi="Arial"/>
          <w:spacing w:val="-21"/>
          <w:w w:val="105"/>
          <w:sz w:val="19"/>
        </w:rPr>
        <w:t xml:space="preserve"> </w:t>
      </w:r>
      <w:r>
        <w:rPr>
          <w:rFonts w:ascii="Arial" w:hAnsi="Arial"/>
          <w:w w:val="105"/>
          <w:sz w:val="19"/>
        </w:rPr>
        <w:t>by</w:t>
      </w:r>
      <w:r>
        <w:rPr>
          <w:rFonts w:ascii="Arial" w:hAnsi="Arial"/>
          <w:spacing w:val="-20"/>
          <w:w w:val="105"/>
          <w:sz w:val="19"/>
        </w:rPr>
        <w:t xml:space="preserve"> </w:t>
      </w:r>
      <w:r>
        <w:rPr>
          <w:rFonts w:ascii="Arial" w:hAnsi="Arial"/>
          <w:w w:val="105"/>
          <w:sz w:val="19"/>
        </w:rPr>
        <w:t>the</w:t>
      </w:r>
      <w:r>
        <w:rPr>
          <w:rFonts w:ascii="Arial" w:hAnsi="Arial"/>
          <w:spacing w:val="-18"/>
          <w:w w:val="105"/>
          <w:sz w:val="19"/>
        </w:rPr>
        <w:t xml:space="preserve"> </w:t>
      </w:r>
      <w:r>
        <w:rPr>
          <w:rFonts w:ascii="Arial" w:hAnsi="Arial"/>
          <w:w w:val="105"/>
          <w:sz w:val="19"/>
        </w:rPr>
        <w:t>proposed</w:t>
      </w:r>
      <w:r>
        <w:rPr>
          <w:rFonts w:ascii="Arial" w:hAnsi="Arial"/>
          <w:spacing w:val="-21"/>
          <w:w w:val="105"/>
          <w:sz w:val="19"/>
        </w:rPr>
        <w:t xml:space="preserve"> </w:t>
      </w:r>
      <w:r>
        <w:rPr>
          <w:rFonts w:ascii="Arial" w:hAnsi="Arial"/>
          <w:w w:val="105"/>
          <w:sz w:val="19"/>
        </w:rPr>
        <w:t>regulatory</w:t>
      </w:r>
      <w:r>
        <w:rPr>
          <w:rFonts w:ascii="Arial" w:hAnsi="Arial"/>
          <w:spacing w:val="-20"/>
          <w:w w:val="105"/>
          <w:sz w:val="19"/>
        </w:rPr>
        <w:t xml:space="preserve"> </w:t>
      </w:r>
      <w:r>
        <w:rPr>
          <w:rFonts w:ascii="Arial" w:hAnsi="Arial"/>
          <w:w w:val="105"/>
          <w:sz w:val="19"/>
        </w:rPr>
        <w:t>clarification,</w:t>
      </w:r>
      <w:r>
        <w:rPr>
          <w:rFonts w:ascii="Arial" w:hAnsi="Arial"/>
          <w:spacing w:val="-21"/>
          <w:w w:val="105"/>
          <w:sz w:val="19"/>
        </w:rPr>
        <w:t xml:space="preserve"> </w:t>
      </w:r>
      <w:r>
        <w:rPr>
          <w:rFonts w:ascii="Arial" w:hAnsi="Arial"/>
          <w:w w:val="105"/>
          <w:sz w:val="19"/>
        </w:rPr>
        <w:t>would</w:t>
      </w:r>
      <w:r>
        <w:rPr>
          <w:rFonts w:ascii="Arial" w:hAnsi="Arial"/>
          <w:spacing w:val="-22"/>
          <w:w w:val="105"/>
          <w:sz w:val="19"/>
        </w:rPr>
        <w:t xml:space="preserve"> </w:t>
      </w:r>
      <w:r>
        <w:rPr>
          <w:rFonts w:ascii="Arial" w:hAnsi="Arial"/>
          <w:w w:val="105"/>
          <w:sz w:val="19"/>
        </w:rPr>
        <w:t>also</w:t>
      </w:r>
      <w:r>
        <w:rPr>
          <w:rFonts w:ascii="Arial" w:hAnsi="Arial"/>
          <w:spacing w:val="-20"/>
          <w:w w:val="105"/>
          <w:sz w:val="19"/>
        </w:rPr>
        <w:t xml:space="preserve"> </w:t>
      </w:r>
      <w:r>
        <w:rPr>
          <w:rFonts w:ascii="Arial" w:hAnsi="Arial"/>
          <w:w w:val="105"/>
          <w:sz w:val="19"/>
        </w:rPr>
        <w:t>likely</w:t>
      </w:r>
      <w:r>
        <w:rPr>
          <w:rFonts w:ascii="Arial" w:hAnsi="Arial"/>
          <w:spacing w:val="-21"/>
          <w:w w:val="105"/>
          <w:sz w:val="19"/>
        </w:rPr>
        <w:t xml:space="preserve"> </w:t>
      </w:r>
      <w:r>
        <w:rPr>
          <w:rFonts w:ascii="Arial" w:hAnsi="Arial"/>
          <w:w w:val="105"/>
          <w:sz w:val="19"/>
        </w:rPr>
        <w:t>have</w:t>
      </w:r>
      <w:r>
        <w:rPr>
          <w:rFonts w:ascii="Arial" w:hAnsi="Arial"/>
          <w:spacing w:val="-19"/>
          <w:w w:val="105"/>
          <w:sz w:val="19"/>
        </w:rPr>
        <w:t xml:space="preserve"> </w:t>
      </w:r>
      <w:r>
        <w:rPr>
          <w:rFonts w:ascii="Arial" w:hAnsi="Arial"/>
          <w:w w:val="105"/>
          <w:sz w:val="19"/>
        </w:rPr>
        <w:t>occurred</w:t>
      </w:r>
      <w:r>
        <w:rPr>
          <w:rFonts w:ascii="Arial" w:hAnsi="Arial"/>
          <w:spacing w:val="-21"/>
          <w:w w:val="105"/>
          <w:sz w:val="19"/>
        </w:rPr>
        <w:t xml:space="preserve"> </w:t>
      </w:r>
      <w:r>
        <w:rPr>
          <w:rFonts w:ascii="Arial" w:hAnsi="Arial"/>
          <w:w w:val="105"/>
          <w:sz w:val="19"/>
        </w:rPr>
        <w:t>in</w:t>
      </w:r>
      <w:r>
        <w:rPr>
          <w:rFonts w:ascii="Arial" w:hAnsi="Arial"/>
          <w:spacing w:val="-19"/>
          <w:w w:val="105"/>
          <w:sz w:val="19"/>
        </w:rPr>
        <w:t xml:space="preserve"> </w:t>
      </w:r>
      <w:r>
        <w:rPr>
          <w:rFonts w:ascii="Arial" w:hAnsi="Arial"/>
          <w:w w:val="105"/>
          <w:sz w:val="19"/>
        </w:rPr>
        <w:t>its absence</w:t>
      </w:r>
      <w:r>
        <w:rPr>
          <w:rFonts w:ascii="Arial" w:hAnsi="Arial"/>
          <w:spacing w:val="-12"/>
          <w:w w:val="105"/>
          <w:sz w:val="19"/>
        </w:rPr>
        <w:t xml:space="preserve"> </w:t>
      </w:r>
      <w:r>
        <w:rPr>
          <w:rFonts w:ascii="Arial" w:hAnsi="Arial"/>
          <w:w w:val="105"/>
          <w:sz w:val="19"/>
        </w:rPr>
        <w:t>–</w:t>
      </w:r>
      <w:r>
        <w:rPr>
          <w:rFonts w:ascii="Arial" w:hAnsi="Arial"/>
          <w:spacing w:val="-12"/>
          <w:w w:val="105"/>
          <w:sz w:val="19"/>
        </w:rPr>
        <w:t xml:space="preserve"> </w:t>
      </w:r>
      <w:r>
        <w:rPr>
          <w:rFonts w:ascii="Arial" w:hAnsi="Arial"/>
          <w:w w:val="105"/>
          <w:sz w:val="19"/>
        </w:rPr>
        <w:t>so</w:t>
      </w:r>
      <w:r>
        <w:rPr>
          <w:rFonts w:ascii="Arial" w:hAnsi="Arial"/>
          <w:spacing w:val="-12"/>
          <w:w w:val="105"/>
          <w:sz w:val="19"/>
        </w:rPr>
        <w:t xml:space="preserve"> </w:t>
      </w:r>
      <w:r>
        <w:rPr>
          <w:rFonts w:ascii="Arial" w:hAnsi="Arial"/>
          <w:w w:val="105"/>
          <w:sz w:val="19"/>
        </w:rPr>
        <w:t>no</w:t>
      </w:r>
      <w:r>
        <w:rPr>
          <w:rFonts w:ascii="Arial" w:hAnsi="Arial"/>
          <w:spacing w:val="-14"/>
          <w:w w:val="105"/>
          <w:sz w:val="19"/>
        </w:rPr>
        <w:t xml:space="preserve"> </w:t>
      </w:r>
      <w:r>
        <w:rPr>
          <w:rFonts w:ascii="Arial" w:hAnsi="Arial"/>
          <w:w w:val="105"/>
          <w:sz w:val="19"/>
        </w:rPr>
        <w:t>direct</w:t>
      </w:r>
      <w:r>
        <w:rPr>
          <w:rFonts w:ascii="Arial" w:hAnsi="Arial"/>
          <w:spacing w:val="-12"/>
          <w:w w:val="105"/>
          <w:sz w:val="19"/>
        </w:rPr>
        <w:t xml:space="preserve"> </w:t>
      </w:r>
      <w:r>
        <w:rPr>
          <w:rFonts w:ascii="Arial" w:hAnsi="Arial"/>
          <w:w w:val="105"/>
          <w:sz w:val="19"/>
        </w:rPr>
        <w:t>regulatory</w:t>
      </w:r>
      <w:r>
        <w:rPr>
          <w:rFonts w:ascii="Arial" w:hAnsi="Arial"/>
          <w:spacing w:val="-13"/>
          <w:w w:val="105"/>
          <w:sz w:val="19"/>
        </w:rPr>
        <w:t xml:space="preserve"> </w:t>
      </w:r>
      <w:r>
        <w:rPr>
          <w:rFonts w:ascii="Arial" w:hAnsi="Arial"/>
          <w:w w:val="105"/>
          <w:sz w:val="19"/>
        </w:rPr>
        <w:t>costs</w:t>
      </w:r>
      <w:r>
        <w:rPr>
          <w:rFonts w:ascii="Arial" w:hAnsi="Arial"/>
          <w:spacing w:val="-12"/>
          <w:w w:val="105"/>
          <w:sz w:val="19"/>
        </w:rPr>
        <w:t xml:space="preserve"> </w:t>
      </w:r>
      <w:r>
        <w:rPr>
          <w:rFonts w:ascii="Arial" w:hAnsi="Arial"/>
          <w:w w:val="105"/>
          <w:sz w:val="19"/>
        </w:rPr>
        <w:t>arise</w:t>
      </w:r>
    </w:p>
    <w:p w:rsidR="007D76BB" w:rsidRDefault="00D70D28">
      <w:pPr>
        <w:pStyle w:val="ListParagraph"/>
        <w:numPr>
          <w:ilvl w:val="0"/>
          <w:numId w:val="10"/>
        </w:numPr>
        <w:tabs>
          <w:tab w:val="left" w:pos="766"/>
        </w:tabs>
        <w:spacing w:before="72" w:line="268" w:lineRule="auto"/>
        <w:ind w:right="991"/>
        <w:rPr>
          <w:rFonts w:ascii="Arial" w:hAnsi="Arial"/>
          <w:sz w:val="19"/>
        </w:rPr>
      </w:pPr>
      <w:proofErr w:type="gramStart"/>
      <w:r>
        <w:rPr>
          <w:rFonts w:ascii="Arial" w:hAnsi="Arial"/>
          <w:w w:val="105"/>
          <w:sz w:val="19"/>
        </w:rPr>
        <w:t>no</w:t>
      </w:r>
      <w:proofErr w:type="gramEnd"/>
      <w:r>
        <w:rPr>
          <w:rFonts w:ascii="Arial" w:hAnsi="Arial"/>
          <w:spacing w:val="-28"/>
          <w:w w:val="105"/>
          <w:sz w:val="19"/>
        </w:rPr>
        <w:t xml:space="preserve"> </w:t>
      </w:r>
      <w:r>
        <w:rPr>
          <w:rFonts w:ascii="Arial" w:hAnsi="Arial"/>
          <w:w w:val="105"/>
          <w:sz w:val="19"/>
        </w:rPr>
        <w:t>evidence</w:t>
      </w:r>
      <w:r>
        <w:rPr>
          <w:rFonts w:ascii="Arial" w:hAnsi="Arial"/>
          <w:spacing w:val="-27"/>
          <w:w w:val="105"/>
          <w:sz w:val="19"/>
        </w:rPr>
        <w:t xml:space="preserve"> </w:t>
      </w:r>
      <w:r>
        <w:rPr>
          <w:rFonts w:ascii="Arial" w:hAnsi="Arial"/>
          <w:w w:val="105"/>
          <w:sz w:val="19"/>
        </w:rPr>
        <w:t>was</w:t>
      </w:r>
      <w:r>
        <w:rPr>
          <w:rFonts w:ascii="Arial" w:hAnsi="Arial"/>
          <w:spacing w:val="-27"/>
          <w:w w:val="105"/>
          <w:sz w:val="19"/>
        </w:rPr>
        <w:t xml:space="preserve"> </w:t>
      </w:r>
      <w:r>
        <w:rPr>
          <w:rFonts w:ascii="Arial" w:hAnsi="Arial"/>
          <w:w w:val="105"/>
          <w:sz w:val="19"/>
        </w:rPr>
        <w:t>provided</w:t>
      </w:r>
      <w:r>
        <w:rPr>
          <w:rFonts w:ascii="Arial" w:hAnsi="Arial"/>
          <w:spacing w:val="-28"/>
          <w:w w:val="105"/>
          <w:sz w:val="19"/>
        </w:rPr>
        <w:t xml:space="preserve"> </w:t>
      </w:r>
      <w:r>
        <w:rPr>
          <w:rFonts w:ascii="Arial" w:hAnsi="Arial"/>
          <w:w w:val="105"/>
          <w:sz w:val="19"/>
        </w:rPr>
        <w:t>to</w:t>
      </w:r>
      <w:r>
        <w:rPr>
          <w:rFonts w:ascii="Arial" w:hAnsi="Arial"/>
          <w:spacing w:val="-27"/>
          <w:w w:val="105"/>
          <w:sz w:val="19"/>
        </w:rPr>
        <w:t xml:space="preserve"> </w:t>
      </w:r>
      <w:r>
        <w:rPr>
          <w:rFonts w:ascii="Arial" w:hAnsi="Arial"/>
          <w:w w:val="105"/>
          <w:sz w:val="19"/>
        </w:rPr>
        <w:t>Noetic</w:t>
      </w:r>
      <w:r>
        <w:rPr>
          <w:rFonts w:ascii="Arial" w:hAnsi="Arial"/>
          <w:spacing w:val="-27"/>
          <w:w w:val="105"/>
          <w:sz w:val="19"/>
        </w:rPr>
        <w:t xml:space="preserve"> </w:t>
      </w:r>
      <w:r>
        <w:rPr>
          <w:rFonts w:ascii="Arial" w:hAnsi="Arial"/>
          <w:w w:val="105"/>
          <w:sz w:val="19"/>
        </w:rPr>
        <w:t>of</w:t>
      </w:r>
      <w:r>
        <w:rPr>
          <w:rFonts w:ascii="Arial" w:hAnsi="Arial"/>
          <w:spacing w:val="-29"/>
          <w:w w:val="105"/>
          <w:sz w:val="19"/>
        </w:rPr>
        <w:t xml:space="preserve"> </w:t>
      </w:r>
      <w:r>
        <w:rPr>
          <w:rFonts w:ascii="Arial" w:hAnsi="Arial"/>
          <w:w w:val="105"/>
          <w:sz w:val="19"/>
        </w:rPr>
        <w:t>existing</w:t>
      </w:r>
      <w:r>
        <w:rPr>
          <w:rFonts w:ascii="Arial" w:hAnsi="Arial"/>
          <w:spacing w:val="-27"/>
          <w:w w:val="105"/>
          <w:sz w:val="19"/>
        </w:rPr>
        <w:t xml:space="preserve"> </w:t>
      </w:r>
      <w:r>
        <w:rPr>
          <w:rFonts w:ascii="Arial" w:hAnsi="Arial"/>
          <w:w w:val="105"/>
          <w:sz w:val="19"/>
        </w:rPr>
        <w:t>food</w:t>
      </w:r>
      <w:r>
        <w:rPr>
          <w:rFonts w:ascii="Arial" w:hAnsi="Arial"/>
          <w:spacing w:val="-25"/>
          <w:w w:val="105"/>
          <w:sz w:val="19"/>
        </w:rPr>
        <w:t xml:space="preserve"> </w:t>
      </w:r>
      <w:r>
        <w:rPr>
          <w:rFonts w:ascii="Arial" w:hAnsi="Arial"/>
          <w:w w:val="105"/>
          <w:sz w:val="19"/>
        </w:rPr>
        <w:t>manufacturers</w:t>
      </w:r>
      <w:r>
        <w:rPr>
          <w:rFonts w:ascii="Arial" w:hAnsi="Arial"/>
          <w:spacing w:val="-29"/>
          <w:w w:val="105"/>
          <w:sz w:val="19"/>
        </w:rPr>
        <w:t xml:space="preserve"> </w:t>
      </w:r>
      <w:r>
        <w:rPr>
          <w:rFonts w:ascii="Arial" w:hAnsi="Arial"/>
          <w:w w:val="105"/>
          <w:sz w:val="19"/>
        </w:rPr>
        <w:t>who,</w:t>
      </w:r>
      <w:r>
        <w:rPr>
          <w:rFonts w:ascii="Arial" w:hAnsi="Arial"/>
          <w:spacing w:val="-28"/>
          <w:w w:val="105"/>
          <w:sz w:val="19"/>
        </w:rPr>
        <w:t xml:space="preserve"> </w:t>
      </w:r>
      <w:r>
        <w:rPr>
          <w:rFonts w:ascii="Arial" w:hAnsi="Arial"/>
          <w:w w:val="105"/>
          <w:sz w:val="19"/>
        </w:rPr>
        <w:t>because</w:t>
      </w:r>
      <w:r>
        <w:rPr>
          <w:rFonts w:ascii="Arial" w:hAnsi="Arial"/>
          <w:spacing w:val="-27"/>
          <w:w w:val="105"/>
          <w:sz w:val="19"/>
        </w:rPr>
        <w:t xml:space="preserve"> </w:t>
      </w:r>
      <w:r>
        <w:rPr>
          <w:rFonts w:ascii="Arial" w:hAnsi="Arial"/>
          <w:w w:val="105"/>
          <w:sz w:val="19"/>
        </w:rPr>
        <w:t>of</w:t>
      </w:r>
      <w:r>
        <w:rPr>
          <w:rFonts w:ascii="Arial" w:hAnsi="Arial"/>
          <w:spacing w:val="-29"/>
          <w:w w:val="105"/>
          <w:sz w:val="19"/>
        </w:rPr>
        <w:t xml:space="preserve"> </w:t>
      </w:r>
      <w:r>
        <w:rPr>
          <w:rFonts w:ascii="Arial" w:hAnsi="Arial"/>
          <w:w w:val="105"/>
          <w:sz w:val="19"/>
        </w:rPr>
        <w:t>this</w:t>
      </w:r>
      <w:r>
        <w:rPr>
          <w:rFonts w:ascii="Arial" w:hAnsi="Arial"/>
          <w:spacing w:val="-28"/>
          <w:w w:val="105"/>
          <w:sz w:val="19"/>
        </w:rPr>
        <w:t xml:space="preserve"> </w:t>
      </w:r>
      <w:r>
        <w:rPr>
          <w:rFonts w:ascii="Arial" w:hAnsi="Arial"/>
          <w:w w:val="105"/>
          <w:sz w:val="19"/>
        </w:rPr>
        <w:t>specific regulatory</w:t>
      </w:r>
      <w:r>
        <w:rPr>
          <w:rFonts w:ascii="Arial" w:hAnsi="Arial"/>
          <w:spacing w:val="-16"/>
          <w:w w:val="105"/>
          <w:sz w:val="19"/>
        </w:rPr>
        <w:t xml:space="preserve"> </w:t>
      </w:r>
      <w:r>
        <w:rPr>
          <w:rFonts w:ascii="Arial" w:hAnsi="Arial"/>
          <w:w w:val="105"/>
          <w:sz w:val="19"/>
        </w:rPr>
        <w:t>clarification,</w:t>
      </w:r>
      <w:r>
        <w:rPr>
          <w:rFonts w:ascii="Arial" w:hAnsi="Arial"/>
          <w:spacing w:val="-16"/>
          <w:w w:val="105"/>
          <w:sz w:val="19"/>
        </w:rPr>
        <w:t xml:space="preserve"> </w:t>
      </w:r>
      <w:r>
        <w:rPr>
          <w:rFonts w:ascii="Arial" w:hAnsi="Arial"/>
          <w:w w:val="105"/>
          <w:sz w:val="19"/>
        </w:rPr>
        <w:t>would</w:t>
      </w:r>
      <w:r>
        <w:rPr>
          <w:rFonts w:ascii="Arial" w:hAnsi="Arial"/>
          <w:spacing w:val="-16"/>
          <w:w w:val="105"/>
          <w:sz w:val="19"/>
        </w:rPr>
        <w:t xml:space="preserve"> </w:t>
      </w:r>
      <w:r>
        <w:rPr>
          <w:rFonts w:ascii="Arial" w:hAnsi="Arial"/>
          <w:w w:val="105"/>
          <w:sz w:val="19"/>
        </w:rPr>
        <w:t>now</w:t>
      </w:r>
      <w:r>
        <w:rPr>
          <w:rFonts w:ascii="Arial" w:hAnsi="Arial"/>
          <w:spacing w:val="-14"/>
          <w:w w:val="105"/>
          <w:sz w:val="19"/>
        </w:rPr>
        <w:t xml:space="preserve"> </w:t>
      </w:r>
      <w:r>
        <w:rPr>
          <w:rFonts w:ascii="Arial" w:hAnsi="Arial"/>
          <w:w w:val="105"/>
          <w:sz w:val="19"/>
        </w:rPr>
        <w:t>seek</w:t>
      </w:r>
      <w:r>
        <w:rPr>
          <w:rFonts w:ascii="Arial" w:hAnsi="Arial"/>
          <w:spacing w:val="-15"/>
          <w:w w:val="105"/>
          <w:sz w:val="19"/>
        </w:rPr>
        <w:t xml:space="preserve"> </w:t>
      </w:r>
      <w:r>
        <w:rPr>
          <w:rFonts w:ascii="Arial" w:hAnsi="Arial"/>
          <w:w w:val="105"/>
          <w:sz w:val="19"/>
        </w:rPr>
        <w:t>to</w:t>
      </w:r>
      <w:r>
        <w:rPr>
          <w:rFonts w:ascii="Arial" w:hAnsi="Arial"/>
          <w:spacing w:val="-17"/>
          <w:w w:val="105"/>
          <w:sz w:val="19"/>
        </w:rPr>
        <w:t xml:space="preserve"> </w:t>
      </w:r>
      <w:r>
        <w:rPr>
          <w:rFonts w:ascii="Arial" w:hAnsi="Arial"/>
          <w:w w:val="105"/>
          <w:sz w:val="19"/>
        </w:rPr>
        <w:t>obtain</w:t>
      </w:r>
      <w:r>
        <w:rPr>
          <w:rFonts w:ascii="Arial" w:hAnsi="Arial"/>
          <w:spacing w:val="-16"/>
          <w:w w:val="105"/>
          <w:sz w:val="19"/>
        </w:rPr>
        <w:t xml:space="preserve"> </w:t>
      </w:r>
      <w:r>
        <w:rPr>
          <w:rFonts w:ascii="Arial" w:hAnsi="Arial"/>
          <w:w w:val="105"/>
          <w:sz w:val="19"/>
        </w:rPr>
        <w:t>a</w:t>
      </w:r>
      <w:r>
        <w:rPr>
          <w:rFonts w:ascii="Arial" w:hAnsi="Arial"/>
          <w:spacing w:val="-14"/>
          <w:w w:val="105"/>
          <w:sz w:val="19"/>
        </w:rPr>
        <w:t xml:space="preserve"> </w:t>
      </w:r>
      <w:r>
        <w:rPr>
          <w:rFonts w:ascii="Arial" w:hAnsi="Arial"/>
          <w:w w:val="105"/>
          <w:sz w:val="19"/>
        </w:rPr>
        <w:t>TGA</w:t>
      </w:r>
      <w:r>
        <w:rPr>
          <w:rFonts w:ascii="Arial" w:hAnsi="Arial"/>
          <w:spacing w:val="-16"/>
          <w:w w:val="105"/>
          <w:sz w:val="19"/>
        </w:rPr>
        <w:t xml:space="preserve"> </w:t>
      </w:r>
      <w:r>
        <w:rPr>
          <w:rFonts w:ascii="Arial" w:hAnsi="Arial"/>
          <w:w w:val="105"/>
          <w:sz w:val="19"/>
        </w:rPr>
        <w:t>manufacturing</w:t>
      </w:r>
      <w:r>
        <w:rPr>
          <w:rFonts w:ascii="Arial" w:hAnsi="Arial"/>
          <w:spacing w:val="-16"/>
          <w:w w:val="105"/>
          <w:sz w:val="19"/>
        </w:rPr>
        <w:t xml:space="preserve"> </w:t>
      </w:r>
      <w:proofErr w:type="spellStart"/>
      <w:r>
        <w:rPr>
          <w:rFonts w:ascii="Arial" w:hAnsi="Arial"/>
          <w:w w:val="105"/>
          <w:sz w:val="19"/>
        </w:rPr>
        <w:t>licence</w:t>
      </w:r>
      <w:proofErr w:type="spellEnd"/>
      <w:r>
        <w:rPr>
          <w:rFonts w:ascii="Arial" w:hAnsi="Arial"/>
          <w:w w:val="105"/>
          <w:sz w:val="19"/>
        </w:rPr>
        <w:t>.</w:t>
      </w:r>
    </w:p>
    <w:p w:rsidR="007D76BB" w:rsidRDefault="00D70D28">
      <w:pPr>
        <w:spacing w:before="173" w:line="264" w:lineRule="auto"/>
        <w:ind w:left="482" w:right="778"/>
        <w:rPr>
          <w:rFonts w:ascii="Arial"/>
          <w:sz w:val="19"/>
        </w:rPr>
      </w:pPr>
      <w:r>
        <w:rPr>
          <w:rFonts w:ascii="Arial"/>
          <w:w w:val="105"/>
          <w:sz w:val="19"/>
        </w:rPr>
        <w:t>The</w:t>
      </w:r>
      <w:r>
        <w:rPr>
          <w:rFonts w:ascii="Arial"/>
          <w:spacing w:val="-22"/>
          <w:w w:val="105"/>
          <w:sz w:val="19"/>
        </w:rPr>
        <w:t xml:space="preserve"> </w:t>
      </w:r>
      <w:r>
        <w:rPr>
          <w:rFonts w:ascii="Arial"/>
          <w:w w:val="105"/>
          <w:sz w:val="19"/>
        </w:rPr>
        <w:t>identified</w:t>
      </w:r>
      <w:r>
        <w:rPr>
          <w:rFonts w:ascii="Arial"/>
          <w:spacing w:val="-23"/>
          <w:w w:val="105"/>
          <w:sz w:val="19"/>
        </w:rPr>
        <w:t xml:space="preserve"> </w:t>
      </w:r>
      <w:r>
        <w:rPr>
          <w:rFonts w:ascii="Arial"/>
          <w:w w:val="105"/>
          <w:sz w:val="19"/>
        </w:rPr>
        <w:t>pathways</w:t>
      </w:r>
      <w:r>
        <w:rPr>
          <w:rFonts w:ascii="Arial"/>
          <w:spacing w:val="-24"/>
          <w:w w:val="105"/>
          <w:sz w:val="19"/>
        </w:rPr>
        <w:t xml:space="preserve"> </w:t>
      </w:r>
      <w:r>
        <w:rPr>
          <w:rFonts w:ascii="Arial"/>
          <w:w w:val="105"/>
          <w:sz w:val="19"/>
        </w:rPr>
        <w:t>(and</w:t>
      </w:r>
      <w:r>
        <w:rPr>
          <w:rFonts w:ascii="Arial"/>
          <w:spacing w:val="-24"/>
          <w:w w:val="105"/>
          <w:sz w:val="19"/>
        </w:rPr>
        <w:t xml:space="preserve"> </w:t>
      </w:r>
      <w:r>
        <w:rPr>
          <w:rFonts w:ascii="Arial"/>
          <w:w w:val="105"/>
          <w:sz w:val="19"/>
        </w:rPr>
        <w:t>related</w:t>
      </w:r>
      <w:r>
        <w:rPr>
          <w:rFonts w:ascii="Arial"/>
          <w:spacing w:val="-25"/>
          <w:w w:val="105"/>
          <w:sz w:val="19"/>
        </w:rPr>
        <w:t xml:space="preserve"> </w:t>
      </w:r>
      <w:r>
        <w:rPr>
          <w:rFonts w:ascii="Arial"/>
          <w:w w:val="105"/>
          <w:sz w:val="19"/>
        </w:rPr>
        <w:t>regulatory</w:t>
      </w:r>
      <w:r>
        <w:rPr>
          <w:rFonts w:ascii="Arial"/>
          <w:spacing w:val="-23"/>
          <w:w w:val="105"/>
          <w:sz w:val="19"/>
        </w:rPr>
        <w:t xml:space="preserve"> </w:t>
      </w:r>
      <w:r>
        <w:rPr>
          <w:rFonts w:ascii="Arial"/>
          <w:w w:val="105"/>
          <w:sz w:val="19"/>
        </w:rPr>
        <w:t>burdens)</w:t>
      </w:r>
      <w:r>
        <w:rPr>
          <w:rFonts w:ascii="Arial"/>
          <w:spacing w:val="-24"/>
          <w:w w:val="105"/>
          <w:sz w:val="19"/>
        </w:rPr>
        <w:t xml:space="preserve"> </w:t>
      </w:r>
      <w:r>
        <w:rPr>
          <w:rFonts w:ascii="Arial"/>
          <w:w w:val="105"/>
          <w:sz w:val="19"/>
        </w:rPr>
        <w:t>were</w:t>
      </w:r>
      <w:r>
        <w:rPr>
          <w:rFonts w:ascii="Arial"/>
          <w:spacing w:val="-21"/>
          <w:w w:val="105"/>
          <w:sz w:val="19"/>
        </w:rPr>
        <w:t xml:space="preserve"> </w:t>
      </w:r>
      <w:r>
        <w:rPr>
          <w:rFonts w:ascii="Arial"/>
          <w:w w:val="105"/>
          <w:sz w:val="19"/>
        </w:rPr>
        <w:t>tested</w:t>
      </w:r>
      <w:r>
        <w:rPr>
          <w:rFonts w:ascii="Arial"/>
          <w:spacing w:val="-25"/>
          <w:w w:val="105"/>
          <w:sz w:val="19"/>
        </w:rPr>
        <w:t xml:space="preserve"> </w:t>
      </w:r>
      <w:r>
        <w:rPr>
          <w:rFonts w:ascii="Arial"/>
          <w:w w:val="105"/>
          <w:sz w:val="19"/>
        </w:rPr>
        <w:t>with</w:t>
      </w:r>
      <w:r>
        <w:rPr>
          <w:rFonts w:ascii="Arial"/>
          <w:spacing w:val="-24"/>
          <w:w w:val="105"/>
          <w:sz w:val="19"/>
        </w:rPr>
        <w:t xml:space="preserve"> </w:t>
      </w:r>
      <w:r>
        <w:rPr>
          <w:rFonts w:ascii="Arial"/>
          <w:w w:val="105"/>
          <w:sz w:val="19"/>
        </w:rPr>
        <w:t>a</w:t>
      </w:r>
      <w:r>
        <w:rPr>
          <w:rFonts w:ascii="Arial"/>
          <w:spacing w:val="-24"/>
          <w:w w:val="105"/>
          <w:sz w:val="19"/>
        </w:rPr>
        <w:t xml:space="preserve"> </w:t>
      </w:r>
      <w:r>
        <w:rPr>
          <w:rFonts w:ascii="Arial"/>
          <w:w w:val="105"/>
          <w:sz w:val="19"/>
        </w:rPr>
        <w:t>range</w:t>
      </w:r>
      <w:r>
        <w:rPr>
          <w:rFonts w:ascii="Arial"/>
          <w:spacing w:val="-24"/>
          <w:w w:val="105"/>
          <w:sz w:val="19"/>
        </w:rPr>
        <w:t xml:space="preserve"> </w:t>
      </w:r>
      <w:r>
        <w:rPr>
          <w:rFonts w:ascii="Arial"/>
          <w:w w:val="105"/>
          <w:sz w:val="19"/>
        </w:rPr>
        <w:t>of</w:t>
      </w:r>
      <w:r>
        <w:rPr>
          <w:rFonts w:ascii="Arial"/>
          <w:spacing w:val="-24"/>
          <w:w w:val="105"/>
          <w:sz w:val="19"/>
        </w:rPr>
        <w:t xml:space="preserve"> </w:t>
      </w:r>
      <w:r>
        <w:rPr>
          <w:rFonts w:ascii="Arial"/>
          <w:w w:val="105"/>
          <w:sz w:val="19"/>
        </w:rPr>
        <w:t xml:space="preserve">businesses, </w:t>
      </w:r>
      <w:r>
        <w:rPr>
          <w:rFonts w:ascii="Arial"/>
          <w:w w:val="110"/>
          <w:sz w:val="19"/>
        </w:rPr>
        <w:t>across</w:t>
      </w:r>
      <w:r>
        <w:rPr>
          <w:rFonts w:ascii="Arial"/>
          <w:spacing w:val="-43"/>
          <w:w w:val="110"/>
          <w:sz w:val="19"/>
        </w:rPr>
        <w:t xml:space="preserve"> </w:t>
      </w:r>
      <w:r>
        <w:rPr>
          <w:rFonts w:ascii="Arial"/>
          <w:w w:val="110"/>
          <w:sz w:val="19"/>
        </w:rPr>
        <w:t>a</w:t>
      </w:r>
      <w:r>
        <w:rPr>
          <w:rFonts w:ascii="Arial"/>
          <w:spacing w:val="-42"/>
          <w:w w:val="110"/>
          <w:sz w:val="19"/>
        </w:rPr>
        <w:t xml:space="preserve"> </w:t>
      </w:r>
      <w:r>
        <w:rPr>
          <w:rFonts w:ascii="Arial"/>
          <w:w w:val="110"/>
          <w:sz w:val="19"/>
        </w:rPr>
        <w:t>broad</w:t>
      </w:r>
      <w:r>
        <w:rPr>
          <w:rFonts w:ascii="Arial"/>
          <w:spacing w:val="-43"/>
          <w:w w:val="110"/>
          <w:sz w:val="19"/>
        </w:rPr>
        <w:t xml:space="preserve"> </w:t>
      </w:r>
      <w:r>
        <w:rPr>
          <w:rFonts w:ascii="Arial"/>
          <w:w w:val="110"/>
          <w:sz w:val="19"/>
        </w:rPr>
        <w:t>continuum</w:t>
      </w:r>
      <w:r>
        <w:rPr>
          <w:rFonts w:ascii="Arial"/>
          <w:spacing w:val="-42"/>
          <w:w w:val="110"/>
          <w:sz w:val="19"/>
        </w:rPr>
        <w:t xml:space="preserve"> </w:t>
      </w:r>
      <w:r>
        <w:rPr>
          <w:rFonts w:ascii="Arial"/>
          <w:w w:val="110"/>
          <w:sz w:val="19"/>
        </w:rPr>
        <w:t>of</w:t>
      </w:r>
      <w:r>
        <w:rPr>
          <w:rFonts w:ascii="Arial"/>
          <w:spacing w:val="-43"/>
          <w:w w:val="110"/>
          <w:sz w:val="19"/>
        </w:rPr>
        <w:t xml:space="preserve"> </w:t>
      </w:r>
      <w:r>
        <w:rPr>
          <w:rFonts w:ascii="Arial"/>
          <w:w w:val="110"/>
          <w:sz w:val="19"/>
        </w:rPr>
        <w:t>manufacturing</w:t>
      </w:r>
      <w:r>
        <w:rPr>
          <w:rFonts w:ascii="Arial"/>
          <w:spacing w:val="-43"/>
          <w:w w:val="110"/>
          <w:sz w:val="19"/>
        </w:rPr>
        <w:t xml:space="preserve"> </w:t>
      </w:r>
      <w:r>
        <w:rPr>
          <w:rFonts w:ascii="Arial"/>
          <w:w w:val="110"/>
          <w:sz w:val="19"/>
        </w:rPr>
        <w:t>status</w:t>
      </w:r>
      <w:r>
        <w:rPr>
          <w:rFonts w:ascii="Arial"/>
          <w:spacing w:val="-42"/>
          <w:w w:val="110"/>
          <w:sz w:val="19"/>
        </w:rPr>
        <w:t xml:space="preserve"> </w:t>
      </w:r>
      <w:r>
        <w:rPr>
          <w:rFonts w:ascii="Arial"/>
          <w:w w:val="110"/>
          <w:sz w:val="19"/>
        </w:rPr>
        <w:t>(already</w:t>
      </w:r>
      <w:r>
        <w:rPr>
          <w:rFonts w:ascii="Arial"/>
          <w:spacing w:val="-42"/>
          <w:w w:val="110"/>
          <w:sz w:val="19"/>
        </w:rPr>
        <w:t xml:space="preserve"> </w:t>
      </w:r>
      <w:r>
        <w:rPr>
          <w:rFonts w:ascii="Arial"/>
          <w:w w:val="110"/>
          <w:sz w:val="19"/>
        </w:rPr>
        <w:t>TGA</w:t>
      </w:r>
      <w:r>
        <w:rPr>
          <w:rFonts w:ascii="Arial"/>
          <w:spacing w:val="-42"/>
          <w:w w:val="110"/>
          <w:sz w:val="19"/>
        </w:rPr>
        <w:t xml:space="preserve"> </w:t>
      </w:r>
      <w:proofErr w:type="spellStart"/>
      <w:r>
        <w:rPr>
          <w:rFonts w:ascii="Arial"/>
          <w:w w:val="110"/>
          <w:sz w:val="19"/>
        </w:rPr>
        <w:t>licenced</w:t>
      </w:r>
      <w:proofErr w:type="spellEnd"/>
      <w:r>
        <w:rPr>
          <w:rFonts w:ascii="Arial"/>
          <w:spacing w:val="-43"/>
          <w:w w:val="110"/>
          <w:sz w:val="19"/>
        </w:rPr>
        <w:t xml:space="preserve"> </w:t>
      </w:r>
      <w:r>
        <w:rPr>
          <w:rFonts w:ascii="Arial"/>
          <w:w w:val="110"/>
          <w:sz w:val="19"/>
        </w:rPr>
        <w:t>facility,</w:t>
      </w:r>
      <w:r>
        <w:rPr>
          <w:rFonts w:ascii="Arial"/>
          <w:spacing w:val="-42"/>
          <w:w w:val="110"/>
          <w:sz w:val="19"/>
        </w:rPr>
        <w:t xml:space="preserve"> </w:t>
      </w:r>
      <w:r>
        <w:rPr>
          <w:rFonts w:ascii="Arial"/>
          <w:w w:val="110"/>
          <w:sz w:val="19"/>
        </w:rPr>
        <w:t>transitioning</w:t>
      </w:r>
      <w:r>
        <w:rPr>
          <w:rFonts w:ascii="Arial"/>
          <w:spacing w:val="-43"/>
          <w:w w:val="110"/>
          <w:sz w:val="19"/>
        </w:rPr>
        <w:t xml:space="preserve"> </w:t>
      </w:r>
      <w:r>
        <w:rPr>
          <w:rFonts w:ascii="Arial"/>
          <w:w w:val="110"/>
          <w:sz w:val="19"/>
        </w:rPr>
        <w:t>to TGA</w:t>
      </w:r>
      <w:r>
        <w:rPr>
          <w:rFonts w:ascii="Arial"/>
          <w:spacing w:val="-40"/>
          <w:w w:val="110"/>
          <w:sz w:val="19"/>
        </w:rPr>
        <w:t xml:space="preserve"> </w:t>
      </w:r>
      <w:proofErr w:type="spellStart"/>
      <w:r>
        <w:rPr>
          <w:rFonts w:ascii="Arial"/>
          <w:w w:val="110"/>
          <w:sz w:val="19"/>
        </w:rPr>
        <w:t>licenced</w:t>
      </w:r>
      <w:proofErr w:type="spellEnd"/>
      <w:r>
        <w:rPr>
          <w:rFonts w:ascii="Arial"/>
          <w:spacing w:val="-39"/>
          <w:w w:val="110"/>
          <w:sz w:val="19"/>
        </w:rPr>
        <w:t xml:space="preserve"> </w:t>
      </w:r>
      <w:r>
        <w:rPr>
          <w:rFonts w:ascii="Arial"/>
          <w:w w:val="110"/>
          <w:sz w:val="19"/>
        </w:rPr>
        <w:t>facility</w:t>
      </w:r>
      <w:r>
        <w:rPr>
          <w:rFonts w:ascii="Arial"/>
          <w:spacing w:val="-40"/>
          <w:w w:val="110"/>
          <w:sz w:val="19"/>
        </w:rPr>
        <w:t xml:space="preserve"> </w:t>
      </w:r>
      <w:r>
        <w:rPr>
          <w:rFonts w:ascii="Arial"/>
          <w:w w:val="110"/>
          <w:sz w:val="19"/>
        </w:rPr>
        <w:t>or</w:t>
      </w:r>
      <w:r>
        <w:rPr>
          <w:rFonts w:ascii="Arial"/>
          <w:spacing w:val="-40"/>
          <w:w w:val="110"/>
          <w:sz w:val="19"/>
        </w:rPr>
        <w:t xml:space="preserve"> </w:t>
      </w:r>
      <w:r>
        <w:rPr>
          <w:rFonts w:ascii="Arial"/>
          <w:w w:val="110"/>
          <w:sz w:val="19"/>
        </w:rPr>
        <w:t>not</w:t>
      </w:r>
      <w:r>
        <w:rPr>
          <w:rFonts w:ascii="Arial"/>
          <w:spacing w:val="-39"/>
          <w:w w:val="110"/>
          <w:sz w:val="19"/>
        </w:rPr>
        <w:t xml:space="preserve"> </w:t>
      </w:r>
      <w:r>
        <w:rPr>
          <w:rFonts w:ascii="Arial"/>
          <w:w w:val="110"/>
          <w:sz w:val="19"/>
        </w:rPr>
        <w:t>currently</w:t>
      </w:r>
      <w:r>
        <w:rPr>
          <w:rFonts w:ascii="Arial"/>
          <w:spacing w:val="-40"/>
          <w:w w:val="110"/>
          <w:sz w:val="19"/>
        </w:rPr>
        <w:t xml:space="preserve"> </w:t>
      </w:r>
      <w:r>
        <w:rPr>
          <w:rFonts w:ascii="Arial"/>
          <w:w w:val="110"/>
          <w:sz w:val="19"/>
        </w:rPr>
        <w:t>TGA</w:t>
      </w:r>
      <w:r>
        <w:rPr>
          <w:rFonts w:ascii="Arial"/>
          <w:spacing w:val="-39"/>
          <w:w w:val="110"/>
          <w:sz w:val="19"/>
        </w:rPr>
        <w:t xml:space="preserve"> </w:t>
      </w:r>
      <w:proofErr w:type="spellStart"/>
      <w:r>
        <w:rPr>
          <w:rFonts w:ascii="Arial"/>
          <w:w w:val="110"/>
          <w:sz w:val="19"/>
        </w:rPr>
        <w:t>licenced</w:t>
      </w:r>
      <w:proofErr w:type="spellEnd"/>
      <w:r>
        <w:rPr>
          <w:rFonts w:ascii="Arial"/>
          <w:spacing w:val="-40"/>
          <w:w w:val="110"/>
          <w:sz w:val="19"/>
        </w:rPr>
        <w:t xml:space="preserve"> </w:t>
      </w:r>
      <w:r>
        <w:rPr>
          <w:rFonts w:ascii="Arial"/>
          <w:w w:val="110"/>
          <w:sz w:val="19"/>
        </w:rPr>
        <w:t>facility).</w:t>
      </w:r>
      <w:r>
        <w:rPr>
          <w:rFonts w:ascii="Arial"/>
          <w:spacing w:val="-39"/>
          <w:w w:val="110"/>
          <w:sz w:val="19"/>
        </w:rPr>
        <w:t xml:space="preserve"> </w:t>
      </w:r>
      <w:r>
        <w:rPr>
          <w:rFonts w:ascii="Arial"/>
          <w:w w:val="110"/>
          <w:sz w:val="19"/>
        </w:rPr>
        <w:t>Stakeholders</w:t>
      </w:r>
      <w:r>
        <w:rPr>
          <w:rFonts w:ascii="Arial"/>
          <w:spacing w:val="-39"/>
          <w:w w:val="110"/>
          <w:sz w:val="19"/>
        </w:rPr>
        <w:t xml:space="preserve"> </w:t>
      </w:r>
      <w:r>
        <w:rPr>
          <w:rFonts w:ascii="Arial"/>
          <w:w w:val="110"/>
          <w:sz w:val="19"/>
        </w:rPr>
        <w:t>validated</w:t>
      </w:r>
      <w:r>
        <w:rPr>
          <w:rFonts w:ascii="Arial"/>
          <w:spacing w:val="-39"/>
          <w:w w:val="110"/>
          <w:sz w:val="19"/>
        </w:rPr>
        <w:t xml:space="preserve"> </w:t>
      </w:r>
      <w:r>
        <w:rPr>
          <w:rFonts w:ascii="Arial"/>
          <w:w w:val="110"/>
          <w:sz w:val="19"/>
        </w:rPr>
        <w:t>that</w:t>
      </w:r>
      <w:r>
        <w:rPr>
          <w:rFonts w:ascii="Arial"/>
          <w:spacing w:val="-40"/>
          <w:w w:val="110"/>
          <w:sz w:val="19"/>
        </w:rPr>
        <w:t xml:space="preserve"> </w:t>
      </w:r>
      <w:r>
        <w:rPr>
          <w:rFonts w:ascii="Arial"/>
          <w:w w:val="110"/>
          <w:sz w:val="19"/>
        </w:rPr>
        <w:t>the</w:t>
      </w:r>
      <w:r>
        <w:rPr>
          <w:rFonts w:ascii="Arial"/>
          <w:spacing w:val="-40"/>
          <w:w w:val="110"/>
          <w:sz w:val="19"/>
        </w:rPr>
        <w:t xml:space="preserve"> </w:t>
      </w:r>
      <w:r>
        <w:rPr>
          <w:rFonts w:ascii="Arial"/>
          <w:w w:val="110"/>
          <w:sz w:val="19"/>
        </w:rPr>
        <w:t>most likely reaction to the proposed regulatory clarification by sponsors who wish for their sport supplements</w:t>
      </w:r>
      <w:r>
        <w:rPr>
          <w:rFonts w:ascii="Arial"/>
          <w:spacing w:val="-41"/>
          <w:w w:val="110"/>
          <w:sz w:val="19"/>
        </w:rPr>
        <w:t xml:space="preserve"> </w:t>
      </w:r>
      <w:r>
        <w:rPr>
          <w:rFonts w:ascii="Arial"/>
          <w:w w:val="110"/>
          <w:sz w:val="19"/>
        </w:rPr>
        <w:t>products</w:t>
      </w:r>
      <w:r>
        <w:rPr>
          <w:rFonts w:ascii="Arial"/>
          <w:spacing w:val="-40"/>
          <w:w w:val="110"/>
          <w:sz w:val="19"/>
        </w:rPr>
        <w:t xml:space="preserve"> </w:t>
      </w:r>
      <w:r>
        <w:rPr>
          <w:rFonts w:ascii="Arial"/>
          <w:w w:val="110"/>
          <w:sz w:val="19"/>
        </w:rPr>
        <w:t>to</w:t>
      </w:r>
      <w:r>
        <w:rPr>
          <w:rFonts w:ascii="Arial"/>
          <w:spacing w:val="-38"/>
          <w:w w:val="110"/>
          <w:sz w:val="19"/>
        </w:rPr>
        <w:t xml:space="preserve"> </w:t>
      </w:r>
      <w:r>
        <w:rPr>
          <w:rFonts w:ascii="Arial"/>
          <w:w w:val="110"/>
          <w:sz w:val="19"/>
        </w:rPr>
        <w:t>be</w:t>
      </w:r>
      <w:r>
        <w:rPr>
          <w:rFonts w:ascii="Arial"/>
          <w:spacing w:val="-40"/>
          <w:w w:val="110"/>
          <w:sz w:val="19"/>
        </w:rPr>
        <w:t xml:space="preserve"> </w:t>
      </w:r>
      <w:r>
        <w:rPr>
          <w:rFonts w:ascii="Arial"/>
          <w:w w:val="110"/>
          <w:sz w:val="19"/>
        </w:rPr>
        <w:t>listed</w:t>
      </w:r>
      <w:r>
        <w:rPr>
          <w:rFonts w:ascii="Arial"/>
          <w:spacing w:val="-40"/>
          <w:w w:val="110"/>
          <w:sz w:val="19"/>
        </w:rPr>
        <w:t xml:space="preserve"> </w:t>
      </w:r>
      <w:r>
        <w:rPr>
          <w:rFonts w:ascii="Arial"/>
          <w:w w:val="110"/>
          <w:sz w:val="19"/>
        </w:rPr>
        <w:t>in</w:t>
      </w:r>
      <w:r>
        <w:rPr>
          <w:rFonts w:ascii="Arial"/>
          <w:spacing w:val="-40"/>
          <w:w w:val="110"/>
          <w:sz w:val="19"/>
        </w:rPr>
        <w:t xml:space="preserve"> </w:t>
      </w:r>
      <w:r>
        <w:rPr>
          <w:rFonts w:ascii="Arial"/>
          <w:w w:val="110"/>
          <w:sz w:val="19"/>
        </w:rPr>
        <w:t>the</w:t>
      </w:r>
      <w:r>
        <w:rPr>
          <w:rFonts w:ascii="Arial"/>
          <w:spacing w:val="-39"/>
          <w:w w:val="110"/>
          <w:sz w:val="19"/>
        </w:rPr>
        <w:t xml:space="preserve"> </w:t>
      </w:r>
      <w:r>
        <w:rPr>
          <w:rFonts w:ascii="Arial"/>
          <w:w w:val="110"/>
          <w:sz w:val="19"/>
        </w:rPr>
        <w:t>ARTG</w:t>
      </w:r>
      <w:r>
        <w:rPr>
          <w:rFonts w:ascii="Arial"/>
          <w:spacing w:val="-40"/>
          <w:w w:val="110"/>
          <w:sz w:val="19"/>
        </w:rPr>
        <w:t xml:space="preserve"> </w:t>
      </w:r>
      <w:r>
        <w:rPr>
          <w:rFonts w:ascii="Arial"/>
          <w:w w:val="110"/>
          <w:sz w:val="19"/>
        </w:rPr>
        <w:t>is</w:t>
      </w:r>
      <w:r>
        <w:rPr>
          <w:rFonts w:ascii="Arial"/>
          <w:spacing w:val="-40"/>
          <w:w w:val="110"/>
          <w:sz w:val="19"/>
        </w:rPr>
        <w:t xml:space="preserve"> </w:t>
      </w:r>
      <w:r>
        <w:rPr>
          <w:rFonts w:ascii="Arial"/>
          <w:w w:val="110"/>
          <w:sz w:val="19"/>
        </w:rPr>
        <w:t>to</w:t>
      </w:r>
      <w:r>
        <w:rPr>
          <w:rFonts w:ascii="Arial"/>
          <w:spacing w:val="-40"/>
          <w:w w:val="110"/>
          <w:sz w:val="19"/>
        </w:rPr>
        <w:t xml:space="preserve"> </w:t>
      </w:r>
      <w:r>
        <w:rPr>
          <w:rFonts w:ascii="Arial"/>
          <w:w w:val="110"/>
          <w:sz w:val="19"/>
        </w:rPr>
        <w:t>use</w:t>
      </w:r>
      <w:r>
        <w:rPr>
          <w:rFonts w:ascii="Arial"/>
          <w:spacing w:val="-40"/>
          <w:w w:val="110"/>
          <w:sz w:val="19"/>
        </w:rPr>
        <w:t xml:space="preserve"> </w:t>
      </w:r>
      <w:r>
        <w:rPr>
          <w:rFonts w:ascii="Arial"/>
          <w:w w:val="110"/>
          <w:sz w:val="19"/>
        </w:rPr>
        <w:t>an</w:t>
      </w:r>
      <w:r>
        <w:rPr>
          <w:rFonts w:ascii="Arial"/>
          <w:spacing w:val="-39"/>
          <w:w w:val="110"/>
          <w:sz w:val="19"/>
        </w:rPr>
        <w:t xml:space="preserve"> </w:t>
      </w:r>
      <w:r>
        <w:rPr>
          <w:rFonts w:ascii="Arial"/>
          <w:w w:val="110"/>
          <w:sz w:val="19"/>
        </w:rPr>
        <w:t>existing</w:t>
      </w:r>
      <w:r>
        <w:rPr>
          <w:rFonts w:ascii="Arial"/>
          <w:spacing w:val="-40"/>
          <w:w w:val="110"/>
          <w:sz w:val="19"/>
        </w:rPr>
        <w:t xml:space="preserve"> </w:t>
      </w:r>
      <w:r>
        <w:rPr>
          <w:rFonts w:ascii="Arial"/>
          <w:w w:val="110"/>
          <w:sz w:val="19"/>
        </w:rPr>
        <w:t>TGA</w:t>
      </w:r>
      <w:r>
        <w:rPr>
          <w:rFonts w:ascii="Arial"/>
          <w:spacing w:val="-39"/>
          <w:w w:val="110"/>
          <w:sz w:val="19"/>
        </w:rPr>
        <w:t xml:space="preserve"> </w:t>
      </w:r>
      <w:proofErr w:type="spellStart"/>
      <w:r>
        <w:rPr>
          <w:rFonts w:ascii="Arial"/>
          <w:w w:val="110"/>
          <w:sz w:val="19"/>
        </w:rPr>
        <w:t>licenced</w:t>
      </w:r>
      <w:proofErr w:type="spellEnd"/>
      <w:r>
        <w:rPr>
          <w:rFonts w:ascii="Arial"/>
          <w:spacing w:val="-40"/>
          <w:w w:val="110"/>
          <w:sz w:val="19"/>
        </w:rPr>
        <w:t xml:space="preserve"> </w:t>
      </w:r>
      <w:r>
        <w:rPr>
          <w:rFonts w:ascii="Arial"/>
          <w:w w:val="110"/>
          <w:sz w:val="19"/>
        </w:rPr>
        <w:t>manufacturing facility/GMP</w:t>
      </w:r>
      <w:r>
        <w:rPr>
          <w:rFonts w:ascii="Arial"/>
          <w:spacing w:val="-42"/>
          <w:w w:val="110"/>
          <w:sz w:val="19"/>
        </w:rPr>
        <w:t xml:space="preserve"> </w:t>
      </w:r>
      <w:r>
        <w:rPr>
          <w:rFonts w:ascii="Arial"/>
          <w:w w:val="110"/>
          <w:sz w:val="19"/>
        </w:rPr>
        <w:t>certified</w:t>
      </w:r>
      <w:r>
        <w:rPr>
          <w:rFonts w:ascii="Arial"/>
          <w:spacing w:val="-43"/>
          <w:w w:val="110"/>
          <w:sz w:val="19"/>
        </w:rPr>
        <w:t xml:space="preserve"> </w:t>
      </w:r>
      <w:r>
        <w:rPr>
          <w:rFonts w:ascii="Arial"/>
          <w:w w:val="110"/>
          <w:sz w:val="19"/>
        </w:rPr>
        <w:t>manufacturing</w:t>
      </w:r>
      <w:r>
        <w:rPr>
          <w:rFonts w:ascii="Arial"/>
          <w:spacing w:val="-41"/>
          <w:w w:val="110"/>
          <w:sz w:val="19"/>
        </w:rPr>
        <w:t xml:space="preserve"> </w:t>
      </w:r>
      <w:r>
        <w:rPr>
          <w:rFonts w:ascii="Arial"/>
          <w:w w:val="110"/>
          <w:sz w:val="19"/>
        </w:rPr>
        <w:t>facility</w:t>
      </w:r>
      <w:r>
        <w:rPr>
          <w:rFonts w:ascii="Arial"/>
          <w:spacing w:val="-42"/>
          <w:w w:val="110"/>
          <w:sz w:val="19"/>
        </w:rPr>
        <w:t xml:space="preserve"> </w:t>
      </w:r>
      <w:r>
        <w:rPr>
          <w:rFonts w:ascii="Arial"/>
          <w:w w:val="110"/>
          <w:sz w:val="19"/>
        </w:rPr>
        <w:t>(capacity</w:t>
      </w:r>
      <w:r>
        <w:rPr>
          <w:rFonts w:ascii="Arial"/>
          <w:spacing w:val="-43"/>
          <w:w w:val="110"/>
          <w:sz w:val="19"/>
        </w:rPr>
        <w:t xml:space="preserve"> </w:t>
      </w:r>
      <w:r>
        <w:rPr>
          <w:rFonts w:ascii="Arial"/>
          <w:w w:val="110"/>
          <w:sz w:val="19"/>
        </w:rPr>
        <w:t>issues</w:t>
      </w:r>
      <w:r>
        <w:rPr>
          <w:rFonts w:ascii="Arial"/>
          <w:spacing w:val="-43"/>
          <w:w w:val="110"/>
          <w:sz w:val="19"/>
        </w:rPr>
        <w:t xml:space="preserve"> </w:t>
      </w:r>
      <w:r>
        <w:rPr>
          <w:rFonts w:ascii="Arial"/>
          <w:w w:val="110"/>
          <w:sz w:val="19"/>
        </w:rPr>
        <w:t>notwithstanding).</w:t>
      </w:r>
      <w:r>
        <w:rPr>
          <w:rFonts w:ascii="Arial"/>
          <w:spacing w:val="-40"/>
          <w:w w:val="110"/>
          <w:sz w:val="19"/>
        </w:rPr>
        <w:t xml:space="preserve"> </w:t>
      </w:r>
      <w:r>
        <w:rPr>
          <w:rFonts w:ascii="Arial"/>
          <w:w w:val="110"/>
          <w:sz w:val="19"/>
        </w:rPr>
        <w:t>It</w:t>
      </w:r>
      <w:r>
        <w:rPr>
          <w:rFonts w:ascii="Arial"/>
          <w:spacing w:val="-42"/>
          <w:w w:val="110"/>
          <w:sz w:val="19"/>
        </w:rPr>
        <w:t xml:space="preserve"> </w:t>
      </w:r>
      <w:r>
        <w:rPr>
          <w:rFonts w:ascii="Arial"/>
          <w:w w:val="110"/>
          <w:sz w:val="19"/>
        </w:rPr>
        <w:t>was</w:t>
      </w:r>
      <w:r>
        <w:rPr>
          <w:rFonts w:ascii="Arial"/>
          <w:spacing w:val="-44"/>
          <w:w w:val="110"/>
          <w:sz w:val="19"/>
        </w:rPr>
        <w:t xml:space="preserve"> </w:t>
      </w:r>
      <w:r>
        <w:rPr>
          <w:rFonts w:ascii="Arial"/>
          <w:w w:val="110"/>
          <w:sz w:val="19"/>
        </w:rPr>
        <w:t>concluded that</w:t>
      </w:r>
      <w:r>
        <w:rPr>
          <w:rFonts w:ascii="Arial"/>
          <w:spacing w:val="-41"/>
          <w:w w:val="110"/>
          <w:sz w:val="19"/>
        </w:rPr>
        <w:t xml:space="preserve"> </w:t>
      </w:r>
      <w:r>
        <w:rPr>
          <w:rFonts w:ascii="Arial"/>
          <w:w w:val="110"/>
          <w:sz w:val="19"/>
        </w:rPr>
        <w:t>no</w:t>
      </w:r>
      <w:r>
        <w:rPr>
          <w:rFonts w:ascii="Arial"/>
          <w:spacing w:val="-42"/>
          <w:w w:val="110"/>
          <w:sz w:val="19"/>
        </w:rPr>
        <w:t xml:space="preserve"> </w:t>
      </w:r>
      <w:r>
        <w:rPr>
          <w:rFonts w:ascii="Arial"/>
          <w:w w:val="110"/>
          <w:sz w:val="19"/>
        </w:rPr>
        <w:t>business</w:t>
      </w:r>
      <w:r>
        <w:rPr>
          <w:rFonts w:ascii="Arial"/>
          <w:spacing w:val="-43"/>
          <w:w w:val="110"/>
          <w:sz w:val="19"/>
        </w:rPr>
        <w:t xml:space="preserve"> </w:t>
      </w:r>
      <w:r>
        <w:rPr>
          <w:rFonts w:ascii="Arial"/>
          <w:w w:val="110"/>
          <w:sz w:val="19"/>
        </w:rPr>
        <w:t>was</w:t>
      </w:r>
      <w:r>
        <w:rPr>
          <w:rFonts w:ascii="Arial"/>
          <w:spacing w:val="-41"/>
          <w:w w:val="110"/>
          <w:sz w:val="19"/>
        </w:rPr>
        <w:t xml:space="preserve"> </w:t>
      </w:r>
      <w:r>
        <w:rPr>
          <w:rFonts w:ascii="Arial"/>
          <w:w w:val="110"/>
          <w:sz w:val="19"/>
        </w:rPr>
        <w:t>forced</w:t>
      </w:r>
      <w:r>
        <w:rPr>
          <w:rFonts w:ascii="Arial"/>
          <w:spacing w:val="-43"/>
          <w:w w:val="110"/>
          <w:sz w:val="19"/>
        </w:rPr>
        <w:t xml:space="preserve"> </w:t>
      </w:r>
      <w:r>
        <w:rPr>
          <w:rFonts w:ascii="Arial"/>
          <w:w w:val="110"/>
          <w:sz w:val="19"/>
        </w:rPr>
        <w:t>to</w:t>
      </w:r>
      <w:r>
        <w:rPr>
          <w:rFonts w:ascii="Arial"/>
          <w:spacing w:val="-41"/>
          <w:w w:val="110"/>
          <w:sz w:val="19"/>
        </w:rPr>
        <w:t xml:space="preserve"> </w:t>
      </w:r>
      <w:r>
        <w:rPr>
          <w:rFonts w:ascii="Arial"/>
          <w:w w:val="110"/>
          <w:sz w:val="19"/>
        </w:rPr>
        <w:t>transition</w:t>
      </w:r>
      <w:r>
        <w:rPr>
          <w:rFonts w:ascii="Arial"/>
          <w:spacing w:val="-42"/>
          <w:w w:val="110"/>
          <w:sz w:val="19"/>
        </w:rPr>
        <w:t xml:space="preserve"> </w:t>
      </w:r>
      <w:r>
        <w:rPr>
          <w:rFonts w:ascii="Arial"/>
          <w:w w:val="110"/>
          <w:sz w:val="19"/>
        </w:rPr>
        <w:t>to</w:t>
      </w:r>
      <w:r>
        <w:rPr>
          <w:rFonts w:ascii="Arial"/>
          <w:spacing w:val="-42"/>
          <w:w w:val="110"/>
          <w:sz w:val="19"/>
        </w:rPr>
        <w:t xml:space="preserve"> </w:t>
      </w:r>
      <w:r>
        <w:rPr>
          <w:rFonts w:ascii="Arial"/>
          <w:w w:val="110"/>
          <w:sz w:val="19"/>
        </w:rPr>
        <w:t>a</w:t>
      </w:r>
      <w:r>
        <w:rPr>
          <w:rFonts w:ascii="Arial"/>
          <w:spacing w:val="-39"/>
          <w:w w:val="110"/>
          <w:sz w:val="19"/>
        </w:rPr>
        <w:t xml:space="preserve"> </w:t>
      </w:r>
      <w:r>
        <w:rPr>
          <w:rFonts w:ascii="Arial"/>
          <w:w w:val="110"/>
          <w:sz w:val="19"/>
        </w:rPr>
        <w:t>TGA</w:t>
      </w:r>
      <w:r>
        <w:rPr>
          <w:rFonts w:ascii="Arial"/>
          <w:spacing w:val="-42"/>
          <w:w w:val="110"/>
          <w:sz w:val="19"/>
        </w:rPr>
        <w:t xml:space="preserve"> </w:t>
      </w:r>
      <w:proofErr w:type="spellStart"/>
      <w:r>
        <w:rPr>
          <w:rFonts w:ascii="Arial"/>
          <w:w w:val="110"/>
          <w:sz w:val="19"/>
        </w:rPr>
        <w:t>licenced</w:t>
      </w:r>
      <w:proofErr w:type="spellEnd"/>
      <w:r>
        <w:rPr>
          <w:rFonts w:ascii="Arial"/>
          <w:spacing w:val="-41"/>
          <w:w w:val="110"/>
          <w:sz w:val="19"/>
        </w:rPr>
        <w:t xml:space="preserve"> </w:t>
      </w:r>
      <w:r>
        <w:rPr>
          <w:rFonts w:ascii="Arial"/>
          <w:w w:val="110"/>
          <w:sz w:val="19"/>
        </w:rPr>
        <w:t>manufacturing</w:t>
      </w:r>
      <w:r>
        <w:rPr>
          <w:rFonts w:ascii="Arial"/>
          <w:spacing w:val="-41"/>
          <w:w w:val="110"/>
          <w:sz w:val="19"/>
        </w:rPr>
        <w:t xml:space="preserve"> </w:t>
      </w:r>
      <w:r>
        <w:rPr>
          <w:rFonts w:ascii="Arial"/>
          <w:w w:val="110"/>
          <w:sz w:val="19"/>
        </w:rPr>
        <w:t>facility</w:t>
      </w:r>
      <w:r>
        <w:rPr>
          <w:rFonts w:ascii="Arial"/>
          <w:spacing w:val="-40"/>
          <w:w w:val="110"/>
          <w:sz w:val="19"/>
        </w:rPr>
        <w:t xml:space="preserve"> </w:t>
      </w:r>
      <w:r>
        <w:rPr>
          <w:rFonts w:ascii="Arial"/>
          <w:w w:val="110"/>
          <w:sz w:val="19"/>
        </w:rPr>
        <w:t>based</w:t>
      </w:r>
      <w:r>
        <w:rPr>
          <w:rFonts w:ascii="Arial"/>
          <w:spacing w:val="-42"/>
          <w:w w:val="110"/>
          <w:sz w:val="19"/>
        </w:rPr>
        <w:t xml:space="preserve"> </w:t>
      </w:r>
      <w:r>
        <w:rPr>
          <w:rFonts w:ascii="Arial"/>
          <w:w w:val="110"/>
          <w:sz w:val="19"/>
        </w:rPr>
        <w:t>purely</w:t>
      </w:r>
      <w:r>
        <w:rPr>
          <w:rFonts w:ascii="Arial"/>
          <w:spacing w:val="-41"/>
          <w:w w:val="110"/>
          <w:sz w:val="19"/>
        </w:rPr>
        <w:t xml:space="preserve"> </w:t>
      </w:r>
      <w:r>
        <w:rPr>
          <w:rFonts w:ascii="Arial"/>
          <w:w w:val="110"/>
          <w:sz w:val="19"/>
        </w:rPr>
        <w:t>on the</w:t>
      </w:r>
      <w:r>
        <w:rPr>
          <w:rFonts w:ascii="Arial"/>
          <w:spacing w:val="-30"/>
          <w:w w:val="110"/>
          <w:sz w:val="19"/>
        </w:rPr>
        <w:t xml:space="preserve"> </w:t>
      </w:r>
      <w:r>
        <w:rPr>
          <w:rFonts w:ascii="Arial"/>
          <w:w w:val="110"/>
          <w:sz w:val="19"/>
        </w:rPr>
        <w:t>regulatory</w:t>
      </w:r>
      <w:r>
        <w:rPr>
          <w:rFonts w:ascii="Arial"/>
          <w:spacing w:val="-29"/>
          <w:w w:val="110"/>
          <w:sz w:val="19"/>
        </w:rPr>
        <w:t xml:space="preserve"> </w:t>
      </w:r>
      <w:r>
        <w:rPr>
          <w:rFonts w:ascii="Arial"/>
          <w:w w:val="110"/>
          <w:sz w:val="19"/>
        </w:rPr>
        <w:t>changes,</w:t>
      </w:r>
      <w:r>
        <w:rPr>
          <w:rFonts w:ascii="Arial"/>
          <w:spacing w:val="-28"/>
          <w:w w:val="110"/>
          <w:sz w:val="19"/>
        </w:rPr>
        <w:t xml:space="preserve"> </w:t>
      </w:r>
      <w:r>
        <w:rPr>
          <w:rFonts w:ascii="Arial"/>
          <w:w w:val="110"/>
          <w:sz w:val="19"/>
        </w:rPr>
        <w:t>but</w:t>
      </w:r>
      <w:r>
        <w:rPr>
          <w:rFonts w:ascii="Arial"/>
          <w:spacing w:val="-29"/>
          <w:w w:val="110"/>
          <w:sz w:val="19"/>
        </w:rPr>
        <w:t xml:space="preserve"> </w:t>
      </w:r>
      <w:r>
        <w:rPr>
          <w:rFonts w:ascii="Arial"/>
          <w:w w:val="110"/>
          <w:sz w:val="19"/>
        </w:rPr>
        <w:t>that</w:t>
      </w:r>
      <w:r>
        <w:rPr>
          <w:rFonts w:ascii="Arial"/>
          <w:spacing w:val="-29"/>
          <w:w w:val="110"/>
          <w:sz w:val="19"/>
        </w:rPr>
        <w:t xml:space="preserve"> </w:t>
      </w:r>
      <w:r>
        <w:rPr>
          <w:rFonts w:ascii="Arial"/>
          <w:w w:val="110"/>
          <w:sz w:val="19"/>
        </w:rPr>
        <w:t>if</w:t>
      </w:r>
      <w:r>
        <w:rPr>
          <w:rFonts w:ascii="Arial"/>
          <w:spacing w:val="-29"/>
          <w:w w:val="110"/>
          <w:sz w:val="19"/>
        </w:rPr>
        <w:t xml:space="preserve"> </w:t>
      </w:r>
      <w:r>
        <w:rPr>
          <w:rFonts w:ascii="Arial"/>
          <w:w w:val="110"/>
          <w:sz w:val="19"/>
        </w:rPr>
        <w:t>they</w:t>
      </w:r>
      <w:r>
        <w:rPr>
          <w:rFonts w:ascii="Arial"/>
          <w:spacing w:val="-30"/>
          <w:w w:val="110"/>
          <w:sz w:val="19"/>
        </w:rPr>
        <w:t xml:space="preserve"> </w:t>
      </w:r>
      <w:r>
        <w:rPr>
          <w:rFonts w:ascii="Arial"/>
          <w:w w:val="110"/>
          <w:sz w:val="19"/>
        </w:rPr>
        <w:t>were</w:t>
      </w:r>
      <w:r>
        <w:rPr>
          <w:rFonts w:ascii="Arial"/>
          <w:spacing w:val="-28"/>
          <w:w w:val="110"/>
          <w:sz w:val="19"/>
        </w:rPr>
        <w:t xml:space="preserve"> </w:t>
      </w:r>
      <w:r>
        <w:rPr>
          <w:rFonts w:ascii="Arial"/>
          <w:w w:val="110"/>
          <w:sz w:val="19"/>
        </w:rPr>
        <w:t>to</w:t>
      </w:r>
      <w:r>
        <w:rPr>
          <w:rFonts w:ascii="Arial"/>
          <w:spacing w:val="-30"/>
          <w:w w:val="110"/>
          <w:sz w:val="19"/>
        </w:rPr>
        <w:t xml:space="preserve"> </w:t>
      </w:r>
      <w:r>
        <w:rPr>
          <w:rFonts w:ascii="Arial"/>
          <w:w w:val="110"/>
          <w:sz w:val="19"/>
        </w:rPr>
        <w:t>go</w:t>
      </w:r>
      <w:r>
        <w:rPr>
          <w:rFonts w:ascii="Arial"/>
          <w:spacing w:val="-28"/>
          <w:w w:val="110"/>
          <w:sz w:val="19"/>
        </w:rPr>
        <w:t xml:space="preserve"> </w:t>
      </w:r>
      <w:r>
        <w:rPr>
          <w:rFonts w:ascii="Arial"/>
          <w:w w:val="110"/>
          <w:sz w:val="19"/>
        </w:rPr>
        <w:t>down</w:t>
      </w:r>
      <w:r>
        <w:rPr>
          <w:rFonts w:ascii="Arial"/>
          <w:spacing w:val="-29"/>
          <w:w w:val="110"/>
          <w:sz w:val="19"/>
        </w:rPr>
        <w:t xml:space="preserve"> </w:t>
      </w:r>
      <w:r>
        <w:rPr>
          <w:rFonts w:ascii="Arial"/>
          <w:w w:val="110"/>
          <w:sz w:val="19"/>
        </w:rPr>
        <w:t>that</w:t>
      </w:r>
      <w:r>
        <w:rPr>
          <w:rFonts w:ascii="Arial"/>
          <w:spacing w:val="-30"/>
          <w:w w:val="110"/>
          <w:sz w:val="19"/>
        </w:rPr>
        <w:t xml:space="preserve"> </w:t>
      </w:r>
      <w:r>
        <w:rPr>
          <w:rFonts w:ascii="Arial"/>
          <w:w w:val="110"/>
          <w:sz w:val="19"/>
        </w:rPr>
        <w:t>pathway</w:t>
      </w:r>
      <w:r>
        <w:rPr>
          <w:rFonts w:ascii="Arial"/>
          <w:spacing w:val="-28"/>
          <w:w w:val="110"/>
          <w:sz w:val="19"/>
        </w:rPr>
        <w:t xml:space="preserve"> </w:t>
      </w:r>
      <w:r>
        <w:rPr>
          <w:rFonts w:ascii="Arial"/>
          <w:w w:val="110"/>
          <w:sz w:val="19"/>
        </w:rPr>
        <w:t>it</w:t>
      </w:r>
      <w:r>
        <w:rPr>
          <w:rFonts w:ascii="Arial"/>
          <w:spacing w:val="-28"/>
          <w:w w:val="110"/>
          <w:sz w:val="19"/>
        </w:rPr>
        <w:t xml:space="preserve"> </w:t>
      </w:r>
      <w:r>
        <w:rPr>
          <w:rFonts w:ascii="Arial"/>
          <w:w w:val="110"/>
          <w:sz w:val="19"/>
        </w:rPr>
        <w:t>would</w:t>
      </w:r>
      <w:r>
        <w:rPr>
          <w:rFonts w:ascii="Arial"/>
          <w:spacing w:val="-29"/>
          <w:w w:val="110"/>
          <w:sz w:val="19"/>
        </w:rPr>
        <w:t xml:space="preserve"> </w:t>
      </w:r>
      <w:r>
        <w:rPr>
          <w:rFonts w:ascii="Arial"/>
          <w:w w:val="110"/>
          <w:sz w:val="19"/>
        </w:rPr>
        <w:t>be</w:t>
      </w:r>
      <w:r>
        <w:rPr>
          <w:rFonts w:ascii="Arial"/>
          <w:spacing w:val="-28"/>
          <w:w w:val="110"/>
          <w:sz w:val="19"/>
        </w:rPr>
        <w:t xml:space="preserve"> </w:t>
      </w:r>
      <w:r>
        <w:rPr>
          <w:rFonts w:ascii="Arial"/>
          <w:w w:val="110"/>
          <w:sz w:val="19"/>
        </w:rPr>
        <w:t>a</w:t>
      </w:r>
      <w:r>
        <w:rPr>
          <w:rFonts w:ascii="Arial"/>
          <w:spacing w:val="-29"/>
          <w:w w:val="110"/>
          <w:sz w:val="19"/>
        </w:rPr>
        <w:t xml:space="preserve"> </w:t>
      </w:r>
      <w:r>
        <w:rPr>
          <w:rFonts w:ascii="Arial"/>
          <w:w w:val="110"/>
          <w:sz w:val="19"/>
        </w:rPr>
        <w:t xml:space="preserve">business </w:t>
      </w:r>
      <w:r>
        <w:rPr>
          <w:rFonts w:ascii="Arial"/>
          <w:w w:val="105"/>
          <w:sz w:val="19"/>
        </w:rPr>
        <w:t>decision</w:t>
      </w:r>
      <w:r>
        <w:rPr>
          <w:rFonts w:ascii="Arial"/>
          <w:spacing w:val="-25"/>
          <w:w w:val="105"/>
          <w:sz w:val="19"/>
        </w:rPr>
        <w:t xml:space="preserve"> </w:t>
      </w:r>
      <w:r>
        <w:rPr>
          <w:rFonts w:ascii="Arial"/>
          <w:w w:val="105"/>
          <w:sz w:val="19"/>
        </w:rPr>
        <w:t>to</w:t>
      </w:r>
      <w:r>
        <w:rPr>
          <w:rFonts w:ascii="Arial"/>
          <w:spacing w:val="-25"/>
          <w:w w:val="105"/>
          <w:sz w:val="19"/>
        </w:rPr>
        <w:t xml:space="preserve"> </w:t>
      </w:r>
      <w:r>
        <w:rPr>
          <w:rFonts w:ascii="Arial"/>
          <w:w w:val="105"/>
          <w:sz w:val="19"/>
        </w:rPr>
        <w:t>do</w:t>
      </w:r>
      <w:r>
        <w:rPr>
          <w:rFonts w:ascii="Arial"/>
          <w:spacing w:val="-26"/>
          <w:w w:val="105"/>
          <w:sz w:val="19"/>
        </w:rPr>
        <w:t xml:space="preserve"> </w:t>
      </w:r>
      <w:r>
        <w:rPr>
          <w:rFonts w:ascii="Arial"/>
          <w:w w:val="105"/>
          <w:sz w:val="19"/>
        </w:rPr>
        <w:t>so.</w:t>
      </w:r>
      <w:r>
        <w:rPr>
          <w:rFonts w:ascii="Arial"/>
          <w:spacing w:val="-27"/>
          <w:w w:val="105"/>
          <w:sz w:val="19"/>
        </w:rPr>
        <w:t xml:space="preserve"> </w:t>
      </w:r>
      <w:r>
        <w:rPr>
          <w:rFonts w:ascii="Arial"/>
          <w:w w:val="105"/>
          <w:sz w:val="19"/>
        </w:rPr>
        <w:t>It</w:t>
      </w:r>
      <w:r>
        <w:rPr>
          <w:rFonts w:ascii="Arial"/>
          <w:spacing w:val="-25"/>
          <w:w w:val="105"/>
          <w:sz w:val="19"/>
        </w:rPr>
        <w:t xml:space="preserve"> </w:t>
      </w:r>
      <w:r>
        <w:rPr>
          <w:rFonts w:ascii="Arial"/>
          <w:w w:val="105"/>
          <w:sz w:val="19"/>
        </w:rPr>
        <w:t>is</w:t>
      </w:r>
      <w:r>
        <w:rPr>
          <w:rFonts w:ascii="Arial"/>
          <w:spacing w:val="-27"/>
          <w:w w:val="105"/>
          <w:sz w:val="19"/>
        </w:rPr>
        <w:t xml:space="preserve"> </w:t>
      </w:r>
      <w:r>
        <w:rPr>
          <w:rFonts w:ascii="Arial"/>
          <w:w w:val="105"/>
          <w:sz w:val="19"/>
        </w:rPr>
        <w:t>possible</w:t>
      </w:r>
      <w:r>
        <w:rPr>
          <w:rFonts w:ascii="Arial"/>
          <w:spacing w:val="-24"/>
          <w:w w:val="105"/>
          <w:sz w:val="19"/>
        </w:rPr>
        <w:t xml:space="preserve"> </w:t>
      </w:r>
      <w:r>
        <w:rPr>
          <w:rFonts w:ascii="Arial"/>
          <w:w w:val="105"/>
          <w:sz w:val="19"/>
        </w:rPr>
        <w:t>that</w:t>
      </w:r>
      <w:r>
        <w:rPr>
          <w:rFonts w:ascii="Arial"/>
          <w:spacing w:val="-25"/>
          <w:w w:val="105"/>
          <w:sz w:val="19"/>
        </w:rPr>
        <w:t xml:space="preserve"> </w:t>
      </w:r>
      <w:r>
        <w:rPr>
          <w:rFonts w:ascii="Arial"/>
          <w:w w:val="105"/>
          <w:sz w:val="19"/>
        </w:rPr>
        <w:t>additional</w:t>
      </w:r>
      <w:r>
        <w:rPr>
          <w:rFonts w:ascii="Arial"/>
          <w:spacing w:val="-27"/>
          <w:w w:val="105"/>
          <w:sz w:val="19"/>
        </w:rPr>
        <w:t xml:space="preserve"> </w:t>
      </w:r>
      <w:r>
        <w:rPr>
          <w:rFonts w:ascii="Arial"/>
          <w:w w:val="105"/>
          <w:sz w:val="19"/>
        </w:rPr>
        <w:t>demand</w:t>
      </w:r>
      <w:r>
        <w:rPr>
          <w:rFonts w:ascii="Arial"/>
          <w:spacing w:val="-26"/>
          <w:w w:val="105"/>
          <w:sz w:val="19"/>
        </w:rPr>
        <w:t xml:space="preserve"> </w:t>
      </w:r>
      <w:r>
        <w:rPr>
          <w:rFonts w:ascii="Arial"/>
          <w:w w:val="105"/>
          <w:sz w:val="19"/>
        </w:rPr>
        <w:t>for</w:t>
      </w:r>
      <w:r>
        <w:rPr>
          <w:rFonts w:ascii="Arial"/>
          <w:spacing w:val="-25"/>
          <w:w w:val="105"/>
          <w:sz w:val="19"/>
        </w:rPr>
        <w:t xml:space="preserve"> </w:t>
      </w:r>
      <w:r>
        <w:rPr>
          <w:rFonts w:ascii="Arial"/>
          <w:w w:val="105"/>
          <w:sz w:val="19"/>
        </w:rPr>
        <w:t>TGA</w:t>
      </w:r>
      <w:r>
        <w:rPr>
          <w:rFonts w:ascii="Arial"/>
          <w:spacing w:val="-25"/>
          <w:w w:val="105"/>
          <w:sz w:val="19"/>
        </w:rPr>
        <w:t xml:space="preserve"> </w:t>
      </w:r>
      <w:proofErr w:type="spellStart"/>
      <w:r>
        <w:rPr>
          <w:rFonts w:ascii="Arial"/>
          <w:w w:val="105"/>
          <w:sz w:val="19"/>
        </w:rPr>
        <w:t>licenced</w:t>
      </w:r>
      <w:proofErr w:type="spellEnd"/>
      <w:r>
        <w:rPr>
          <w:rFonts w:ascii="Arial"/>
          <w:spacing w:val="-26"/>
          <w:w w:val="105"/>
          <w:sz w:val="19"/>
        </w:rPr>
        <w:t xml:space="preserve"> </w:t>
      </w:r>
      <w:r>
        <w:rPr>
          <w:rFonts w:ascii="Arial"/>
          <w:w w:val="105"/>
          <w:sz w:val="19"/>
        </w:rPr>
        <w:t>manufacturing</w:t>
      </w:r>
      <w:r>
        <w:rPr>
          <w:rFonts w:ascii="Arial"/>
          <w:spacing w:val="-25"/>
          <w:w w:val="105"/>
          <w:sz w:val="19"/>
        </w:rPr>
        <w:t xml:space="preserve"> </w:t>
      </w:r>
      <w:r>
        <w:rPr>
          <w:rFonts w:ascii="Arial"/>
          <w:w w:val="105"/>
          <w:sz w:val="19"/>
        </w:rPr>
        <w:t>facilities</w:t>
      </w:r>
      <w:r>
        <w:rPr>
          <w:rFonts w:ascii="Arial"/>
          <w:spacing w:val="-25"/>
          <w:w w:val="105"/>
          <w:sz w:val="19"/>
        </w:rPr>
        <w:t xml:space="preserve"> </w:t>
      </w:r>
      <w:r>
        <w:rPr>
          <w:rFonts w:ascii="Arial"/>
          <w:w w:val="105"/>
          <w:sz w:val="19"/>
        </w:rPr>
        <w:t xml:space="preserve">may </w:t>
      </w:r>
      <w:r>
        <w:rPr>
          <w:rFonts w:ascii="Arial"/>
          <w:w w:val="110"/>
          <w:sz w:val="19"/>
        </w:rPr>
        <w:t>create</w:t>
      </w:r>
      <w:r>
        <w:rPr>
          <w:rFonts w:ascii="Arial"/>
          <w:spacing w:val="-39"/>
          <w:w w:val="110"/>
          <w:sz w:val="19"/>
        </w:rPr>
        <w:t xml:space="preserve"> </w:t>
      </w:r>
      <w:proofErr w:type="spellStart"/>
      <w:r>
        <w:rPr>
          <w:rFonts w:ascii="Arial"/>
          <w:w w:val="110"/>
          <w:sz w:val="19"/>
        </w:rPr>
        <w:t>favourable</w:t>
      </w:r>
      <w:proofErr w:type="spellEnd"/>
      <w:r>
        <w:rPr>
          <w:rFonts w:ascii="Arial"/>
          <w:spacing w:val="-37"/>
          <w:w w:val="110"/>
          <w:sz w:val="19"/>
        </w:rPr>
        <w:t xml:space="preserve"> </w:t>
      </w:r>
      <w:r>
        <w:rPr>
          <w:rFonts w:ascii="Arial"/>
          <w:w w:val="110"/>
          <w:sz w:val="19"/>
        </w:rPr>
        <w:t>business</w:t>
      </w:r>
      <w:r>
        <w:rPr>
          <w:rFonts w:ascii="Arial"/>
          <w:spacing w:val="-37"/>
          <w:w w:val="110"/>
          <w:sz w:val="19"/>
        </w:rPr>
        <w:t xml:space="preserve"> </w:t>
      </w:r>
      <w:r>
        <w:rPr>
          <w:rFonts w:ascii="Arial"/>
          <w:w w:val="110"/>
          <w:sz w:val="19"/>
        </w:rPr>
        <w:t>conditions/opportunities</w:t>
      </w:r>
      <w:r>
        <w:rPr>
          <w:rFonts w:ascii="Arial"/>
          <w:spacing w:val="-38"/>
          <w:w w:val="110"/>
          <w:sz w:val="19"/>
        </w:rPr>
        <w:t xml:space="preserve"> </w:t>
      </w:r>
      <w:r>
        <w:rPr>
          <w:rFonts w:ascii="Arial"/>
          <w:w w:val="110"/>
          <w:sz w:val="19"/>
        </w:rPr>
        <w:t>for</w:t>
      </w:r>
      <w:r>
        <w:rPr>
          <w:rFonts w:ascii="Arial"/>
          <w:spacing w:val="-39"/>
          <w:w w:val="110"/>
          <w:sz w:val="19"/>
        </w:rPr>
        <w:t xml:space="preserve"> </w:t>
      </w:r>
      <w:r>
        <w:rPr>
          <w:rFonts w:ascii="Arial"/>
          <w:w w:val="110"/>
          <w:sz w:val="19"/>
        </w:rPr>
        <w:t>new</w:t>
      </w:r>
      <w:r>
        <w:rPr>
          <w:rFonts w:ascii="Arial"/>
          <w:spacing w:val="-38"/>
          <w:w w:val="110"/>
          <w:sz w:val="19"/>
        </w:rPr>
        <w:t xml:space="preserve"> </w:t>
      </w:r>
      <w:r>
        <w:rPr>
          <w:rFonts w:ascii="Arial"/>
          <w:w w:val="110"/>
          <w:sz w:val="19"/>
        </w:rPr>
        <w:t>entrants,</w:t>
      </w:r>
      <w:r>
        <w:rPr>
          <w:rFonts w:ascii="Arial"/>
          <w:spacing w:val="-39"/>
          <w:w w:val="110"/>
          <w:sz w:val="19"/>
        </w:rPr>
        <w:t xml:space="preserve"> </w:t>
      </w:r>
      <w:r>
        <w:rPr>
          <w:rFonts w:ascii="Arial"/>
          <w:w w:val="110"/>
          <w:sz w:val="19"/>
        </w:rPr>
        <w:t>but</w:t>
      </w:r>
      <w:r>
        <w:rPr>
          <w:rFonts w:ascii="Arial"/>
          <w:spacing w:val="-38"/>
          <w:w w:val="110"/>
          <w:sz w:val="19"/>
        </w:rPr>
        <w:t xml:space="preserve"> </w:t>
      </w:r>
      <w:r>
        <w:rPr>
          <w:rFonts w:ascii="Arial"/>
          <w:w w:val="110"/>
          <w:sz w:val="19"/>
        </w:rPr>
        <w:t>to</w:t>
      </w:r>
      <w:r>
        <w:rPr>
          <w:rFonts w:ascii="Arial"/>
          <w:spacing w:val="-38"/>
          <w:w w:val="110"/>
          <w:sz w:val="19"/>
        </w:rPr>
        <w:t xml:space="preserve"> </w:t>
      </w:r>
      <w:r>
        <w:rPr>
          <w:rFonts w:ascii="Arial"/>
          <w:w w:val="110"/>
          <w:sz w:val="19"/>
        </w:rPr>
        <w:t>proceed</w:t>
      </w:r>
      <w:r>
        <w:rPr>
          <w:rFonts w:ascii="Arial"/>
          <w:spacing w:val="-38"/>
          <w:w w:val="110"/>
          <w:sz w:val="19"/>
        </w:rPr>
        <w:t xml:space="preserve"> </w:t>
      </w:r>
      <w:r>
        <w:rPr>
          <w:rFonts w:ascii="Arial"/>
          <w:w w:val="110"/>
          <w:sz w:val="19"/>
        </w:rPr>
        <w:t>down</w:t>
      </w:r>
      <w:r>
        <w:rPr>
          <w:rFonts w:ascii="Arial"/>
          <w:spacing w:val="-36"/>
          <w:w w:val="110"/>
          <w:sz w:val="19"/>
        </w:rPr>
        <w:t xml:space="preserve"> </w:t>
      </w:r>
      <w:r>
        <w:rPr>
          <w:rFonts w:ascii="Arial"/>
          <w:w w:val="110"/>
          <w:sz w:val="19"/>
        </w:rPr>
        <w:t xml:space="preserve">this </w:t>
      </w:r>
      <w:r>
        <w:rPr>
          <w:rFonts w:ascii="Arial"/>
          <w:w w:val="105"/>
          <w:sz w:val="19"/>
        </w:rPr>
        <w:t>pathway</w:t>
      </w:r>
      <w:r>
        <w:rPr>
          <w:rFonts w:ascii="Arial"/>
          <w:spacing w:val="-25"/>
          <w:w w:val="105"/>
          <w:sz w:val="19"/>
        </w:rPr>
        <w:t xml:space="preserve"> </w:t>
      </w:r>
      <w:r>
        <w:rPr>
          <w:rFonts w:ascii="Arial"/>
          <w:w w:val="105"/>
          <w:sz w:val="19"/>
        </w:rPr>
        <w:t>would</w:t>
      </w:r>
      <w:r>
        <w:rPr>
          <w:rFonts w:ascii="Arial"/>
          <w:spacing w:val="-23"/>
          <w:w w:val="105"/>
          <w:sz w:val="19"/>
        </w:rPr>
        <w:t xml:space="preserve"> </w:t>
      </w:r>
      <w:r>
        <w:rPr>
          <w:rFonts w:ascii="Arial"/>
          <w:w w:val="105"/>
          <w:sz w:val="19"/>
        </w:rPr>
        <w:t>also</w:t>
      </w:r>
      <w:r>
        <w:rPr>
          <w:rFonts w:ascii="Arial"/>
          <w:spacing w:val="-23"/>
          <w:w w:val="105"/>
          <w:sz w:val="19"/>
        </w:rPr>
        <w:t xml:space="preserve"> </w:t>
      </w:r>
      <w:r>
        <w:rPr>
          <w:rFonts w:ascii="Arial"/>
          <w:w w:val="105"/>
          <w:sz w:val="19"/>
        </w:rPr>
        <w:t>be</w:t>
      </w:r>
      <w:r>
        <w:rPr>
          <w:rFonts w:ascii="Arial"/>
          <w:spacing w:val="-25"/>
          <w:w w:val="105"/>
          <w:sz w:val="19"/>
        </w:rPr>
        <w:t xml:space="preserve"> </w:t>
      </w:r>
      <w:r>
        <w:rPr>
          <w:rFonts w:ascii="Arial"/>
          <w:w w:val="105"/>
          <w:sz w:val="19"/>
        </w:rPr>
        <w:t>a</w:t>
      </w:r>
      <w:r>
        <w:rPr>
          <w:rFonts w:ascii="Arial"/>
          <w:spacing w:val="-22"/>
          <w:w w:val="105"/>
          <w:sz w:val="19"/>
        </w:rPr>
        <w:t xml:space="preserve"> </w:t>
      </w:r>
      <w:r>
        <w:rPr>
          <w:rFonts w:ascii="Arial"/>
          <w:w w:val="105"/>
          <w:sz w:val="19"/>
        </w:rPr>
        <w:t>business</w:t>
      </w:r>
      <w:r>
        <w:rPr>
          <w:rFonts w:ascii="Arial"/>
          <w:spacing w:val="-24"/>
          <w:w w:val="105"/>
          <w:sz w:val="19"/>
        </w:rPr>
        <w:t xml:space="preserve"> </w:t>
      </w:r>
      <w:r>
        <w:rPr>
          <w:rFonts w:ascii="Arial"/>
          <w:w w:val="105"/>
          <w:sz w:val="19"/>
        </w:rPr>
        <w:t>decision.</w:t>
      </w:r>
      <w:r>
        <w:rPr>
          <w:rFonts w:ascii="Arial"/>
          <w:spacing w:val="10"/>
          <w:w w:val="105"/>
          <w:sz w:val="19"/>
        </w:rPr>
        <w:t xml:space="preserve"> </w:t>
      </w:r>
      <w:r>
        <w:rPr>
          <w:rFonts w:ascii="Arial"/>
          <w:w w:val="105"/>
          <w:sz w:val="19"/>
        </w:rPr>
        <w:t>Such</w:t>
      </w:r>
      <w:r>
        <w:rPr>
          <w:rFonts w:ascii="Arial"/>
          <w:spacing w:val="-25"/>
          <w:w w:val="105"/>
          <w:sz w:val="19"/>
        </w:rPr>
        <w:t xml:space="preserve"> </w:t>
      </w:r>
      <w:r>
        <w:rPr>
          <w:rFonts w:ascii="Arial"/>
          <w:w w:val="105"/>
          <w:sz w:val="19"/>
        </w:rPr>
        <w:t>a</w:t>
      </w:r>
      <w:r>
        <w:rPr>
          <w:rFonts w:ascii="Arial"/>
          <w:spacing w:val="-22"/>
          <w:w w:val="105"/>
          <w:sz w:val="19"/>
        </w:rPr>
        <w:t xml:space="preserve"> </w:t>
      </w:r>
      <w:r>
        <w:rPr>
          <w:rFonts w:ascii="Arial"/>
          <w:w w:val="105"/>
          <w:sz w:val="19"/>
        </w:rPr>
        <w:t>decision</w:t>
      </w:r>
      <w:r>
        <w:rPr>
          <w:rFonts w:ascii="Arial"/>
          <w:spacing w:val="-21"/>
          <w:w w:val="105"/>
          <w:sz w:val="19"/>
        </w:rPr>
        <w:t xml:space="preserve"> </w:t>
      </w:r>
      <w:r>
        <w:rPr>
          <w:rFonts w:ascii="Arial"/>
          <w:w w:val="105"/>
          <w:sz w:val="19"/>
        </w:rPr>
        <w:t>is</w:t>
      </w:r>
      <w:r>
        <w:rPr>
          <w:rFonts w:ascii="Arial"/>
          <w:spacing w:val="-24"/>
          <w:w w:val="105"/>
          <w:sz w:val="19"/>
        </w:rPr>
        <w:t xml:space="preserve"> </w:t>
      </w:r>
      <w:r>
        <w:rPr>
          <w:rFonts w:ascii="Arial"/>
          <w:w w:val="105"/>
          <w:sz w:val="19"/>
        </w:rPr>
        <w:t>not</w:t>
      </w:r>
      <w:r>
        <w:rPr>
          <w:rFonts w:ascii="Arial"/>
          <w:spacing w:val="-24"/>
          <w:w w:val="105"/>
          <w:sz w:val="19"/>
        </w:rPr>
        <w:t xml:space="preserve"> </w:t>
      </w:r>
      <w:r>
        <w:rPr>
          <w:rFonts w:ascii="Arial"/>
          <w:w w:val="105"/>
          <w:sz w:val="19"/>
        </w:rPr>
        <w:t>directly</w:t>
      </w:r>
      <w:r>
        <w:rPr>
          <w:rFonts w:ascii="Arial"/>
          <w:spacing w:val="-25"/>
          <w:w w:val="105"/>
          <w:sz w:val="19"/>
        </w:rPr>
        <w:t xml:space="preserve"> </w:t>
      </w:r>
      <w:r>
        <w:rPr>
          <w:rFonts w:ascii="Arial"/>
          <w:w w:val="105"/>
          <w:sz w:val="19"/>
        </w:rPr>
        <w:t>related</w:t>
      </w:r>
      <w:r>
        <w:rPr>
          <w:rFonts w:ascii="Arial"/>
          <w:spacing w:val="-25"/>
          <w:w w:val="105"/>
          <w:sz w:val="19"/>
        </w:rPr>
        <w:t xml:space="preserve"> </w:t>
      </w:r>
      <w:r>
        <w:rPr>
          <w:rFonts w:ascii="Arial"/>
          <w:w w:val="105"/>
          <w:sz w:val="19"/>
        </w:rPr>
        <w:t>to</w:t>
      </w:r>
      <w:r>
        <w:rPr>
          <w:rFonts w:ascii="Arial"/>
          <w:spacing w:val="-24"/>
          <w:w w:val="105"/>
          <w:sz w:val="19"/>
        </w:rPr>
        <w:t xml:space="preserve"> </w:t>
      </w:r>
      <w:r>
        <w:rPr>
          <w:rFonts w:ascii="Arial"/>
          <w:w w:val="105"/>
          <w:sz w:val="19"/>
        </w:rPr>
        <w:t>this</w:t>
      </w:r>
      <w:r>
        <w:rPr>
          <w:rFonts w:ascii="Arial"/>
          <w:spacing w:val="-23"/>
          <w:w w:val="105"/>
          <w:sz w:val="19"/>
        </w:rPr>
        <w:t xml:space="preserve"> </w:t>
      </w:r>
      <w:r>
        <w:rPr>
          <w:rFonts w:ascii="Arial"/>
          <w:w w:val="105"/>
          <w:sz w:val="19"/>
        </w:rPr>
        <w:t>regulatory clarification,</w:t>
      </w:r>
      <w:r>
        <w:rPr>
          <w:rFonts w:ascii="Arial"/>
          <w:spacing w:val="-25"/>
          <w:w w:val="105"/>
          <w:sz w:val="19"/>
        </w:rPr>
        <w:t xml:space="preserve"> </w:t>
      </w:r>
      <w:r>
        <w:rPr>
          <w:rFonts w:ascii="Arial"/>
          <w:w w:val="105"/>
          <w:sz w:val="19"/>
        </w:rPr>
        <w:t>as</w:t>
      </w:r>
      <w:r>
        <w:rPr>
          <w:rFonts w:ascii="Arial"/>
          <w:spacing w:val="-24"/>
          <w:w w:val="105"/>
          <w:sz w:val="19"/>
        </w:rPr>
        <w:t xml:space="preserve"> </w:t>
      </w:r>
      <w:r>
        <w:rPr>
          <w:rFonts w:ascii="Arial"/>
          <w:w w:val="105"/>
          <w:sz w:val="19"/>
        </w:rPr>
        <w:t>a</w:t>
      </w:r>
      <w:r>
        <w:rPr>
          <w:rFonts w:ascii="Arial"/>
          <w:spacing w:val="-21"/>
          <w:w w:val="105"/>
          <w:sz w:val="19"/>
        </w:rPr>
        <w:t xml:space="preserve"> </w:t>
      </w:r>
      <w:r>
        <w:rPr>
          <w:rFonts w:ascii="Arial"/>
          <w:w w:val="105"/>
          <w:sz w:val="19"/>
        </w:rPr>
        <w:t>TGA</w:t>
      </w:r>
      <w:r>
        <w:rPr>
          <w:rFonts w:ascii="Arial"/>
          <w:spacing w:val="-22"/>
          <w:w w:val="105"/>
          <w:sz w:val="19"/>
        </w:rPr>
        <w:t xml:space="preserve"> </w:t>
      </w:r>
      <w:proofErr w:type="spellStart"/>
      <w:r>
        <w:rPr>
          <w:rFonts w:ascii="Arial"/>
          <w:w w:val="105"/>
          <w:sz w:val="19"/>
        </w:rPr>
        <w:t>licenced</w:t>
      </w:r>
      <w:proofErr w:type="spellEnd"/>
      <w:r>
        <w:rPr>
          <w:rFonts w:ascii="Arial"/>
          <w:spacing w:val="-24"/>
          <w:w w:val="105"/>
          <w:sz w:val="19"/>
        </w:rPr>
        <w:t xml:space="preserve"> </w:t>
      </w:r>
      <w:r>
        <w:rPr>
          <w:rFonts w:ascii="Arial"/>
          <w:w w:val="105"/>
          <w:sz w:val="19"/>
        </w:rPr>
        <w:t>contract</w:t>
      </w:r>
      <w:r>
        <w:rPr>
          <w:rFonts w:ascii="Arial"/>
          <w:spacing w:val="-22"/>
          <w:w w:val="105"/>
          <w:sz w:val="19"/>
        </w:rPr>
        <w:t xml:space="preserve"> </w:t>
      </w:r>
      <w:r>
        <w:rPr>
          <w:rFonts w:ascii="Arial"/>
          <w:w w:val="105"/>
          <w:sz w:val="19"/>
        </w:rPr>
        <w:t>manufacturer</w:t>
      </w:r>
      <w:r>
        <w:rPr>
          <w:rFonts w:ascii="Arial"/>
          <w:spacing w:val="-23"/>
          <w:w w:val="105"/>
          <w:sz w:val="19"/>
        </w:rPr>
        <w:t xml:space="preserve"> </w:t>
      </w:r>
      <w:r>
        <w:rPr>
          <w:rFonts w:ascii="Arial"/>
          <w:w w:val="105"/>
          <w:sz w:val="19"/>
        </w:rPr>
        <w:t>would</w:t>
      </w:r>
      <w:r>
        <w:rPr>
          <w:rFonts w:ascii="Arial"/>
          <w:spacing w:val="-23"/>
          <w:w w:val="105"/>
          <w:sz w:val="19"/>
        </w:rPr>
        <w:t xml:space="preserve"> </w:t>
      </w:r>
      <w:r>
        <w:rPr>
          <w:rFonts w:ascii="Arial"/>
          <w:w w:val="105"/>
          <w:sz w:val="19"/>
        </w:rPr>
        <w:t>most</w:t>
      </w:r>
      <w:r>
        <w:rPr>
          <w:rFonts w:ascii="Arial"/>
          <w:spacing w:val="-22"/>
          <w:w w:val="105"/>
          <w:sz w:val="19"/>
        </w:rPr>
        <w:t xml:space="preserve"> </w:t>
      </w:r>
      <w:r>
        <w:rPr>
          <w:rFonts w:ascii="Arial"/>
          <w:w w:val="105"/>
          <w:sz w:val="19"/>
        </w:rPr>
        <w:t>likely</w:t>
      </w:r>
      <w:r>
        <w:rPr>
          <w:rFonts w:ascii="Arial"/>
          <w:spacing w:val="-23"/>
          <w:w w:val="105"/>
          <w:sz w:val="19"/>
        </w:rPr>
        <w:t xml:space="preserve"> </w:t>
      </w:r>
      <w:r>
        <w:rPr>
          <w:rFonts w:ascii="Arial"/>
          <w:w w:val="105"/>
          <w:sz w:val="19"/>
        </w:rPr>
        <w:t>be</w:t>
      </w:r>
      <w:r>
        <w:rPr>
          <w:rFonts w:ascii="Arial"/>
          <w:spacing w:val="-23"/>
          <w:w w:val="105"/>
          <w:sz w:val="19"/>
        </w:rPr>
        <w:t xml:space="preserve"> </w:t>
      </w:r>
      <w:r>
        <w:rPr>
          <w:rFonts w:ascii="Arial"/>
          <w:w w:val="105"/>
          <w:sz w:val="19"/>
        </w:rPr>
        <w:t>able</w:t>
      </w:r>
      <w:r>
        <w:rPr>
          <w:rFonts w:ascii="Arial"/>
          <w:spacing w:val="-23"/>
          <w:w w:val="105"/>
          <w:sz w:val="19"/>
        </w:rPr>
        <w:t xml:space="preserve"> </w:t>
      </w:r>
      <w:r>
        <w:rPr>
          <w:rFonts w:ascii="Arial"/>
          <w:w w:val="105"/>
          <w:sz w:val="19"/>
        </w:rPr>
        <w:t>to</w:t>
      </w:r>
      <w:r>
        <w:rPr>
          <w:rFonts w:ascii="Arial"/>
          <w:spacing w:val="-23"/>
          <w:w w:val="105"/>
          <w:sz w:val="19"/>
        </w:rPr>
        <w:t xml:space="preserve"> </w:t>
      </w:r>
      <w:r>
        <w:rPr>
          <w:rFonts w:ascii="Arial"/>
          <w:w w:val="105"/>
          <w:sz w:val="19"/>
        </w:rPr>
        <w:t>produce</w:t>
      </w:r>
      <w:r>
        <w:rPr>
          <w:rFonts w:ascii="Arial"/>
          <w:spacing w:val="-22"/>
          <w:w w:val="105"/>
          <w:sz w:val="19"/>
        </w:rPr>
        <w:t xml:space="preserve"> </w:t>
      </w:r>
      <w:r>
        <w:rPr>
          <w:rFonts w:ascii="Arial"/>
          <w:w w:val="105"/>
          <w:sz w:val="19"/>
        </w:rPr>
        <w:t>a</w:t>
      </w:r>
      <w:r>
        <w:rPr>
          <w:rFonts w:ascii="Arial"/>
          <w:spacing w:val="-23"/>
          <w:w w:val="105"/>
          <w:sz w:val="19"/>
        </w:rPr>
        <w:t xml:space="preserve"> </w:t>
      </w:r>
      <w:r>
        <w:rPr>
          <w:rFonts w:ascii="Arial"/>
          <w:w w:val="105"/>
          <w:sz w:val="19"/>
        </w:rPr>
        <w:t>wider range</w:t>
      </w:r>
      <w:r>
        <w:rPr>
          <w:rFonts w:ascii="Arial"/>
          <w:spacing w:val="-24"/>
          <w:w w:val="105"/>
          <w:sz w:val="19"/>
        </w:rPr>
        <w:t xml:space="preserve"> </w:t>
      </w:r>
      <w:r>
        <w:rPr>
          <w:rFonts w:ascii="Arial"/>
          <w:w w:val="105"/>
          <w:sz w:val="19"/>
        </w:rPr>
        <w:t>of</w:t>
      </w:r>
      <w:r>
        <w:rPr>
          <w:rFonts w:ascii="Arial"/>
          <w:spacing w:val="-26"/>
          <w:w w:val="105"/>
          <w:sz w:val="19"/>
        </w:rPr>
        <w:t xml:space="preserve"> </w:t>
      </w:r>
      <w:r>
        <w:rPr>
          <w:rFonts w:ascii="Arial"/>
          <w:w w:val="105"/>
          <w:sz w:val="19"/>
        </w:rPr>
        <w:t>products,</w:t>
      </w:r>
      <w:r>
        <w:rPr>
          <w:rFonts w:ascii="Arial"/>
          <w:spacing w:val="-27"/>
          <w:w w:val="105"/>
          <w:sz w:val="19"/>
        </w:rPr>
        <w:t xml:space="preserve"> </w:t>
      </w:r>
      <w:r>
        <w:rPr>
          <w:rFonts w:ascii="Arial"/>
          <w:w w:val="105"/>
          <w:sz w:val="19"/>
        </w:rPr>
        <w:t>including</w:t>
      </w:r>
      <w:r>
        <w:rPr>
          <w:rFonts w:ascii="Arial"/>
          <w:spacing w:val="-27"/>
          <w:w w:val="105"/>
          <w:sz w:val="19"/>
        </w:rPr>
        <w:t xml:space="preserve"> </w:t>
      </w:r>
      <w:r>
        <w:rPr>
          <w:rFonts w:ascii="Arial"/>
          <w:w w:val="105"/>
          <w:sz w:val="19"/>
        </w:rPr>
        <w:t>existing</w:t>
      </w:r>
      <w:r>
        <w:rPr>
          <w:rFonts w:ascii="Arial"/>
          <w:spacing w:val="-26"/>
          <w:w w:val="105"/>
          <w:sz w:val="19"/>
        </w:rPr>
        <w:t xml:space="preserve"> </w:t>
      </w:r>
      <w:r>
        <w:rPr>
          <w:rFonts w:ascii="Arial"/>
          <w:w w:val="105"/>
          <w:sz w:val="19"/>
        </w:rPr>
        <w:t>complementary</w:t>
      </w:r>
      <w:r>
        <w:rPr>
          <w:rFonts w:ascii="Arial"/>
          <w:spacing w:val="-25"/>
          <w:w w:val="105"/>
          <w:sz w:val="19"/>
        </w:rPr>
        <w:t xml:space="preserve"> </w:t>
      </w:r>
      <w:r>
        <w:rPr>
          <w:rFonts w:ascii="Arial"/>
          <w:w w:val="105"/>
          <w:sz w:val="19"/>
        </w:rPr>
        <w:t>medicines</w:t>
      </w:r>
      <w:r>
        <w:rPr>
          <w:rFonts w:ascii="Arial"/>
          <w:spacing w:val="-25"/>
          <w:w w:val="105"/>
          <w:sz w:val="19"/>
        </w:rPr>
        <w:t xml:space="preserve"> </w:t>
      </w:r>
      <w:r>
        <w:rPr>
          <w:rFonts w:ascii="Arial"/>
          <w:w w:val="105"/>
          <w:sz w:val="19"/>
        </w:rPr>
        <w:t>(such</w:t>
      </w:r>
      <w:r>
        <w:rPr>
          <w:rFonts w:ascii="Arial"/>
          <w:spacing w:val="-26"/>
          <w:w w:val="105"/>
          <w:sz w:val="19"/>
        </w:rPr>
        <w:t xml:space="preserve"> </w:t>
      </w:r>
      <w:r>
        <w:rPr>
          <w:rFonts w:ascii="Arial"/>
          <w:w w:val="105"/>
          <w:sz w:val="19"/>
        </w:rPr>
        <w:t>as</w:t>
      </w:r>
      <w:r>
        <w:rPr>
          <w:rFonts w:ascii="Arial"/>
          <w:spacing w:val="-25"/>
          <w:w w:val="105"/>
          <w:sz w:val="19"/>
        </w:rPr>
        <w:t xml:space="preserve"> </w:t>
      </w:r>
      <w:r>
        <w:rPr>
          <w:rFonts w:ascii="Arial"/>
          <w:w w:val="105"/>
          <w:sz w:val="19"/>
        </w:rPr>
        <w:t>vitamin,</w:t>
      </w:r>
      <w:r>
        <w:rPr>
          <w:rFonts w:ascii="Arial"/>
          <w:spacing w:val="-27"/>
          <w:w w:val="105"/>
          <w:sz w:val="19"/>
        </w:rPr>
        <w:t xml:space="preserve"> </w:t>
      </w:r>
      <w:r>
        <w:rPr>
          <w:rFonts w:ascii="Arial"/>
          <w:w w:val="105"/>
          <w:sz w:val="19"/>
        </w:rPr>
        <w:t>mineral,</w:t>
      </w:r>
      <w:r>
        <w:rPr>
          <w:rFonts w:ascii="Arial"/>
          <w:spacing w:val="-26"/>
          <w:w w:val="105"/>
          <w:sz w:val="19"/>
        </w:rPr>
        <w:t xml:space="preserve"> </w:t>
      </w:r>
      <w:r>
        <w:rPr>
          <w:rFonts w:ascii="Arial"/>
          <w:w w:val="105"/>
          <w:sz w:val="19"/>
        </w:rPr>
        <w:t xml:space="preserve">herbal, </w:t>
      </w:r>
      <w:r>
        <w:rPr>
          <w:rFonts w:ascii="Arial"/>
          <w:w w:val="110"/>
          <w:sz w:val="19"/>
        </w:rPr>
        <w:t>aromatherapy</w:t>
      </w:r>
      <w:r>
        <w:rPr>
          <w:rFonts w:ascii="Arial"/>
          <w:spacing w:val="-31"/>
          <w:w w:val="110"/>
          <w:sz w:val="19"/>
        </w:rPr>
        <w:t xml:space="preserve"> </w:t>
      </w:r>
      <w:r>
        <w:rPr>
          <w:rFonts w:ascii="Arial"/>
          <w:w w:val="110"/>
          <w:sz w:val="19"/>
        </w:rPr>
        <w:t>and</w:t>
      </w:r>
      <w:r>
        <w:rPr>
          <w:rFonts w:ascii="Arial"/>
          <w:spacing w:val="-30"/>
          <w:w w:val="110"/>
          <w:sz w:val="19"/>
        </w:rPr>
        <w:t xml:space="preserve"> </w:t>
      </w:r>
      <w:r>
        <w:rPr>
          <w:rFonts w:ascii="Arial"/>
          <w:w w:val="110"/>
          <w:sz w:val="19"/>
        </w:rPr>
        <w:t>homeopathic</w:t>
      </w:r>
      <w:r>
        <w:rPr>
          <w:rFonts w:ascii="Arial"/>
          <w:spacing w:val="-30"/>
          <w:w w:val="110"/>
          <w:sz w:val="19"/>
        </w:rPr>
        <w:t xml:space="preserve"> </w:t>
      </w:r>
      <w:r>
        <w:rPr>
          <w:rFonts w:ascii="Arial"/>
          <w:w w:val="110"/>
          <w:sz w:val="19"/>
        </w:rPr>
        <w:t>products),</w:t>
      </w:r>
      <w:r>
        <w:rPr>
          <w:rFonts w:ascii="Arial"/>
          <w:spacing w:val="-29"/>
          <w:w w:val="110"/>
          <w:sz w:val="19"/>
        </w:rPr>
        <w:t xml:space="preserve"> </w:t>
      </w:r>
      <w:r>
        <w:rPr>
          <w:rFonts w:ascii="Arial"/>
          <w:w w:val="110"/>
          <w:sz w:val="19"/>
        </w:rPr>
        <w:t>and</w:t>
      </w:r>
      <w:r>
        <w:rPr>
          <w:rFonts w:ascii="Arial"/>
          <w:spacing w:val="-30"/>
          <w:w w:val="110"/>
          <w:sz w:val="19"/>
        </w:rPr>
        <w:t xml:space="preserve"> </w:t>
      </w:r>
      <w:r>
        <w:rPr>
          <w:rFonts w:ascii="Arial"/>
          <w:w w:val="110"/>
          <w:sz w:val="19"/>
        </w:rPr>
        <w:t>not</w:t>
      </w:r>
      <w:r>
        <w:rPr>
          <w:rFonts w:ascii="Arial"/>
          <w:spacing w:val="-29"/>
          <w:w w:val="110"/>
          <w:sz w:val="19"/>
        </w:rPr>
        <w:t xml:space="preserve"> </w:t>
      </w:r>
      <w:r>
        <w:rPr>
          <w:rFonts w:ascii="Arial"/>
          <w:w w:val="110"/>
          <w:sz w:val="19"/>
        </w:rPr>
        <w:t>purely</w:t>
      </w:r>
      <w:r>
        <w:rPr>
          <w:rFonts w:ascii="Arial"/>
          <w:spacing w:val="-30"/>
          <w:w w:val="110"/>
          <w:sz w:val="19"/>
        </w:rPr>
        <w:t xml:space="preserve"> </w:t>
      </w:r>
      <w:r>
        <w:rPr>
          <w:rFonts w:ascii="Arial"/>
          <w:w w:val="110"/>
          <w:sz w:val="19"/>
        </w:rPr>
        <w:t>sport</w:t>
      </w:r>
      <w:r>
        <w:rPr>
          <w:rFonts w:ascii="Arial"/>
          <w:spacing w:val="-27"/>
          <w:w w:val="110"/>
          <w:sz w:val="19"/>
        </w:rPr>
        <w:t xml:space="preserve"> </w:t>
      </w:r>
      <w:r>
        <w:rPr>
          <w:rFonts w:ascii="Arial"/>
          <w:w w:val="110"/>
          <w:sz w:val="19"/>
        </w:rPr>
        <w:t>supplements</w:t>
      </w:r>
      <w:r>
        <w:rPr>
          <w:rFonts w:ascii="Arial"/>
          <w:spacing w:val="-26"/>
          <w:w w:val="110"/>
          <w:sz w:val="19"/>
        </w:rPr>
        <w:t xml:space="preserve"> </w:t>
      </w:r>
      <w:r>
        <w:rPr>
          <w:rFonts w:ascii="Arial"/>
          <w:w w:val="110"/>
          <w:sz w:val="19"/>
        </w:rPr>
        <w:t>products.</w:t>
      </w:r>
    </w:p>
    <w:p w:rsidR="007D76BB" w:rsidRDefault="00D70D28">
      <w:pPr>
        <w:spacing w:before="75"/>
        <w:ind w:left="482"/>
        <w:rPr>
          <w:rFonts w:ascii="Arial"/>
          <w:i/>
          <w:sz w:val="20"/>
        </w:rPr>
      </w:pPr>
      <w:r>
        <w:rPr>
          <w:rFonts w:ascii="Arial"/>
          <w:i/>
          <w:sz w:val="20"/>
        </w:rPr>
        <w:t>Future population considerations</w:t>
      </w:r>
    </w:p>
    <w:p w:rsidR="007D76BB" w:rsidRDefault="00D70D28">
      <w:pPr>
        <w:spacing w:before="200" w:line="264" w:lineRule="auto"/>
        <w:ind w:left="482" w:right="1081"/>
        <w:rPr>
          <w:rFonts w:ascii="Arial"/>
          <w:sz w:val="19"/>
        </w:rPr>
      </w:pPr>
      <w:r>
        <w:rPr>
          <w:rFonts w:ascii="Arial"/>
          <w:w w:val="105"/>
          <w:sz w:val="19"/>
        </w:rPr>
        <w:t>It</w:t>
      </w:r>
      <w:r>
        <w:rPr>
          <w:rFonts w:ascii="Arial"/>
          <w:spacing w:val="-25"/>
          <w:w w:val="105"/>
          <w:sz w:val="19"/>
        </w:rPr>
        <w:t xml:space="preserve"> </w:t>
      </w:r>
      <w:r>
        <w:rPr>
          <w:rFonts w:ascii="Arial"/>
          <w:w w:val="105"/>
          <w:sz w:val="19"/>
        </w:rPr>
        <w:t>has</w:t>
      </w:r>
      <w:r>
        <w:rPr>
          <w:rFonts w:ascii="Arial"/>
          <w:spacing w:val="-25"/>
          <w:w w:val="105"/>
          <w:sz w:val="19"/>
        </w:rPr>
        <w:t xml:space="preserve"> </w:t>
      </w:r>
      <w:r>
        <w:rPr>
          <w:rFonts w:ascii="Arial"/>
          <w:w w:val="105"/>
          <w:sz w:val="19"/>
        </w:rPr>
        <w:t>been</w:t>
      </w:r>
      <w:r>
        <w:rPr>
          <w:rFonts w:ascii="Arial"/>
          <w:spacing w:val="-26"/>
          <w:w w:val="105"/>
          <w:sz w:val="19"/>
        </w:rPr>
        <w:t xml:space="preserve"> </w:t>
      </w:r>
      <w:r>
        <w:rPr>
          <w:rFonts w:ascii="Arial"/>
          <w:w w:val="105"/>
          <w:sz w:val="19"/>
        </w:rPr>
        <w:t>assessed</w:t>
      </w:r>
      <w:r>
        <w:rPr>
          <w:rFonts w:ascii="Arial"/>
          <w:spacing w:val="-25"/>
          <w:w w:val="105"/>
          <w:sz w:val="19"/>
        </w:rPr>
        <w:t xml:space="preserve"> </w:t>
      </w:r>
      <w:r>
        <w:rPr>
          <w:rFonts w:ascii="Arial"/>
          <w:w w:val="105"/>
          <w:sz w:val="19"/>
        </w:rPr>
        <w:t>that</w:t>
      </w:r>
      <w:r>
        <w:rPr>
          <w:rFonts w:ascii="Arial"/>
          <w:spacing w:val="-26"/>
          <w:w w:val="105"/>
          <w:sz w:val="19"/>
        </w:rPr>
        <w:t xml:space="preserve"> </w:t>
      </w:r>
      <w:r>
        <w:rPr>
          <w:rFonts w:ascii="Arial"/>
          <w:w w:val="105"/>
          <w:sz w:val="19"/>
        </w:rPr>
        <w:t>the</w:t>
      </w:r>
      <w:r>
        <w:rPr>
          <w:rFonts w:ascii="Arial"/>
          <w:spacing w:val="-24"/>
          <w:w w:val="105"/>
          <w:sz w:val="19"/>
        </w:rPr>
        <w:t xml:space="preserve"> </w:t>
      </w:r>
      <w:r>
        <w:rPr>
          <w:rFonts w:ascii="Arial"/>
          <w:w w:val="105"/>
          <w:sz w:val="19"/>
        </w:rPr>
        <w:t>factors</w:t>
      </w:r>
      <w:r>
        <w:rPr>
          <w:rFonts w:ascii="Arial"/>
          <w:spacing w:val="-25"/>
          <w:w w:val="105"/>
          <w:sz w:val="19"/>
        </w:rPr>
        <w:t xml:space="preserve"> </w:t>
      </w:r>
      <w:r>
        <w:rPr>
          <w:rFonts w:ascii="Arial"/>
          <w:w w:val="105"/>
          <w:sz w:val="19"/>
        </w:rPr>
        <w:t>detailed</w:t>
      </w:r>
      <w:r>
        <w:rPr>
          <w:rFonts w:ascii="Arial"/>
          <w:spacing w:val="-26"/>
          <w:w w:val="105"/>
          <w:sz w:val="19"/>
        </w:rPr>
        <w:t xml:space="preserve"> </w:t>
      </w:r>
      <w:r>
        <w:rPr>
          <w:rFonts w:ascii="Arial"/>
          <w:w w:val="105"/>
          <w:sz w:val="19"/>
        </w:rPr>
        <w:t>above</w:t>
      </w:r>
      <w:r>
        <w:rPr>
          <w:rFonts w:ascii="Arial"/>
          <w:spacing w:val="-24"/>
          <w:w w:val="105"/>
          <w:sz w:val="19"/>
        </w:rPr>
        <w:t xml:space="preserve"> </w:t>
      </w:r>
      <w:r>
        <w:rPr>
          <w:rFonts w:ascii="Arial"/>
          <w:w w:val="105"/>
          <w:sz w:val="19"/>
        </w:rPr>
        <w:t>(that</w:t>
      </w:r>
      <w:r>
        <w:rPr>
          <w:rFonts w:ascii="Arial"/>
          <w:spacing w:val="-25"/>
          <w:w w:val="105"/>
          <w:sz w:val="19"/>
        </w:rPr>
        <w:t xml:space="preserve"> </w:t>
      </w:r>
      <w:r>
        <w:rPr>
          <w:rFonts w:ascii="Arial"/>
          <w:w w:val="105"/>
          <w:sz w:val="19"/>
        </w:rPr>
        <w:t>is,</w:t>
      </w:r>
      <w:r>
        <w:rPr>
          <w:rFonts w:ascii="Arial"/>
          <w:spacing w:val="-26"/>
          <w:w w:val="105"/>
          <w:sz w:val="19"/>
        </w:rPr>
        <w:t xml:space="preserve"> </w:t>
      </w:r>
      <w:r>
        <w:rPr>
          <w:rFonts w:ascii="Arial"/>
          <w:w w:val="105"/>
          <w:sz w:val="19"/>
        </w:rPr>
        <w:t>no</w:t>
      </w:r>
      <w:r>
        <w:rPr>
          <w:rFonts w:ascii="Arial"/>
          <w:spacing w:val="-25"/>
          <w:w w:val="105"/>
          <w:sz w:val="19"/>
        </w:rPr>
        <w:t xml:space="preserve"> </w:t>
      </w:r>
      <w:r>
        <w:rPr>
          <w:rFonts w:ascii="Arial"/>
          <w:w w:val="105"/>
          <w:sz w:val="19"/>
        </w:rPr>
        <w:t>new</w:t>
      </w:r>
      <w:r>
        <w:rPr>
          <w:rFonts w:ascii="Arial"/>
          <w:spacing w:val="-24"/>
          <w:w w:val="105"/>
          <w:sz w:val="19"/>
        </w:rPr>
        <w:t xml:space="preserve"> </w:t>
      </w:r>
      <w:r>
        <w:rPr>
          <w:rFonts w:ascii="Arial"/>
          <w:w w:val="105"/>
          <w:sz w:val="19"/>
        </w:rPr>
        <w:t>TGA</w:t>
      </w:r>
      <w:r>
        <w:rPr>
          <w:rFonts w:ascii="Arial"/>
          <w:spacing w:val="-25"/>
          <w:w w:val="105"/>
          <w:sz w:val="19"/>
        </w:rPr>
        <w:t xml:space="preserve"> </w:t>
      </w:r>
      <w:r>
        <w:rPr>
          <w:rFonts w:ascii="Arial"/>
          <w:w w:val="105"/>
          <w:sz w:val="19"/>
        </w:rPr>
        <w:t>manufacturer</w:t>
      </w:r>
      <w:r>
        <w:rPr>
          <w:rFonts w:ascii="Arial"/>
          <w:spacing w:val="-24"/>
          <w:w w:val="105"/>
          <w:sz w:val="19"/>
        </w:rPr>
        <w:t xml:space="preserve"> </w:t>
      </w:r>
      <w:proofErr w:type="spellStart"/>
      <w:r>
        <w:rPr>
          <w:rFonts w:ascii="Arial"/>
          <w:w w:val="105"/>
          <w:sz w:val="19"/>
        </w:rPr>
        <w:t>licences</w:t>
      </w:r>
      <w:proofErr w:type="spellEnd"/>
      <w:r>
        <w:rPr>
          <w:rFonts w:ascii="Arial"/>
          <w:w w:val="105"/>
          <w:sz w:val="19"/>
        </w:rPr>
        <w:t xml:space="preserve"> sought</w:t>
      </w:r>
      <w:r>
        <w:rPr>
          <w:rFonts w:ascii="Arial"/>
          <w:spacing w:val="-18"/>
          <w:w w:val="105"/>
          <w:sz w:val="19"/>
        </w:rPr>
        <w:t xml:space="preserve"> </w:t>
      </w:r>
      <w:r>
        <w:rPr>
          <w:rFonts w:ascii="Arial"/>
          <w:w w:val="105"/>
          <w:sz w:val="19"/>
        </w:rPr>
        <w:t>that</w:t>
      </w:r>
      <w:r>
        <w:rPr>
          <w:rFonts w:ascii="Arial"/>
          <w:spacing w:val="-17"/>
          <w:w w:val="105"/>
          <w:sz w:val="19"/>
        </w:rPr>
        <w:t xml:space="preserve"> </w:t>
      </w:r>
      <w:r>
        <w:rPr>
          <w:rFonts w:ascii="Arial"/>
          <w:w w:val="105"/>
          <w:sz w:val="19"/>
        </w:rPr>
        <w:t>directly</w:t>
      </w:r>
      <w:r>
        <w:rPr>
          <w:rFonts w:ascii="Arial"/>
          <w:spacing w:val="-18"/>
          <w:w w:val="105"/>
          <w:sz w:val="19"/>
        </w:rPr>
        <w:t xml:space="preserve"> </w:t>
      </w:r>
      <w:r>
        <w:rPr>
          <w:rFonts w:ascii="Arial"/>
          <w:w w:val="105"/>
          <w:sz w:val="19"/>
        </w:rPr>
        <w:t>arise</w:t>
      </w:r>
      <w:r>
        <w:rPr>
          <w:rFonts w:ascii="Arial"/>
          <w:spacing w:val="-15"/>
          <w:w w:val="105"/>
          <w:sz w:val="19"/>
        </w:rPr>
        <w:t xml:space="preserve"> </w:t>
      </w:r>
      <w:r>
        <w:rPr>
          <w:rFonts w:ascii="Arial"/>
          <w:w w:val="105"/>
          <w:sz w:val="19"/>
        </w:rPr>
        <w:t>from</w:t>
      </w:r>
      <w:r>
        <w:rPr>
          <w:rFonts w:ascii="Arial"/>
          <w:spacing w:val="-16"/>
          <w:w w:val="105"/>
          <w:sz w:val="19"/>
        </w:rPr>
        <w:t xml:space="preserve"> </w:t>
      </w:r>
      <w:r>
        <w:rPr>
          <w:rFonts w:ascii="Arial"/>
          <w:w w:val="105"/>
          <w:sz w:val="19"/>
        </w:rPr>
        <w:t>the</w:t>
      </w:r>
      <w:r>
        <w:rPr>
          <w:rFonts w:ascii="Arial"/>
          <w:spacing w:val="-15"/>
          <w:w w:val="105"/>
          <w:sz w:val="19"/>
        </w:rPr>
        <w:t xml:space="preserve"> </w:t>
      </w:r>
      <w:r>
        <w:rPr>
          <w:rFonts w:ascii="Arial"/>
          <w:w w:val="105"/>
          <w:sz w:val="19"/>
        </w:rPr>
        <w:t>proposed</w:t>
      </w:r>
      <w:r>
        <w:rPr>
          <w:rFonts w:ascii="Arial"/>
          <w:spacing w:val="-17"/>
          <w:w w:val="105"/>
          <w:sz w:val="19"/>
        </w:rPr>
        <w:t xml:space="preserve"> </w:t>
      </w:r>
      <w:r>
        <w:rPr>
          <w:rFonts w:ascii="Arial"/>
          <w:w w:val="105"/>
          <w:sz w:val="19"/>
        </w:rPr>
        <w:t>regulatory</w:t>
      </w:r>
      <w:r>
        <w:rPr>
          <w:rFonts w:ascii="Arial"/>
          <w:spacing w:val="-18"/>
          <w:w w:val="105"/>
          <w:sz w:val="19"/>
        </w:rPr>
        <w:t xml:space="preserve"> </w:t>
      </w:r>
      <w:r>
        <w:rPr>
          <w:rFonts w:ascii="Arial"/>
          <w:w w:val="105"/>
          <w:sz w:val="19"/>
        </w:rPr>
        <w:t>clarification)</w:t>
      </w:r>
      <w:r>
        <w:rPr>
          <w:rFonts w:ascii="Arial"/>
          <w:spacing w:val="-18"/>
          <w:w w:val="105"/>
          <w:sz w:val="19"/>
        </w:rPr>
        <w:t xml:space="preserve"> </w:t>
      </w:r>
      <w:r>
        <w:rPr>
          <w:rFonts w:ascii="Arial"/>
          <w:w w:val="105"/>
          <w:sz w:val="19"/>
        </w:rPr>
        <w:t>are</w:t>
      </w:r>
      <w:r>
        <w:rPr>
          <w:rFonts w:ascii="Arial"/>
          <w:spacing w:val="-17"/>
          <w:w w:val="105"/>
          <w:sz w:val="19"/>
        </w:rPr>
        <w:t xml:space="preserve"> </w:t>
      </w:r>
      <w:r>
        <w:rPr>
          <w:rFonts w:ascii="Arial"/>
          <w:w w:val="105"/>
          <w:sz w:val="19"/>
        </w:rPr>
        <w:t>constant</w:t>
      </w:r>
      <w:r>
        <w:rPr>
          <w:rFonts w:ascii="Arial"/>
          <w:spacing w:val="-15"/>
          <w:w w:val="105"/>
          <w:sz w:val="19"/>
        </w:rPr>
        <w:t xml:space="preserve"> </w:t>
      </w:r>
      <w:r>
        <w:rPr>
          <w:rFonts w:ascii="Arial"/>
          <w:w w:val="105"/>
          <w:sz w:val="19"/>
        </w:rPr>
        <w:t>over</w:t>
      </w:r>
      <w:r>
        <w:rPr>
          <w:rFonts w:ascii="Arial"/>
          <w:spacing w:val="-16"/>
          <w:w w:val="105"/>
          <w:sz w:val="19"/>
        </w:rPr>
        <w:t xml:space="preserve"> </w:t>
      </w:r>
      <w:r>
        <w:rPr>
          <w:rFonts w:ascii="Arial"/>
          <w:w w:val="105"/>
          <w:sz w:val="19"/>
        </w:rPr>
        <w:t>the</w:t>
      </w:r>
      <w:r>
        <w:rPr>
          <w:rFonts w:ascii="Arial"/>
          <w:spacing w:val="-15"/>
          <w:w w:val="105"/>
          <w:sz w:val="19"/>
        </w:rPr>
        <w:t xml:space="preserve"> </w:t>
      </w:r>
      <w:r>
        <w:rPr>
          <w:rFonts w:ascii="Arial"/>
          <w:w w:val="105"/>
          <w:sz w:val="19"/>
        </w:rPr>
        <w:t>default ten-year</w:t>
      </w:r>
      <w:r>
        <w:rPr>
          <w:rFonts w:ascii="Arial"/>
          <w:spacing w:val="-21"/>
          <w:w w:val="105"/>
          <w:sz w:val="19"/>
        </w:rPr>
        <w:t xml:space="preserve"> </w:t>
      </w:r>
      <w:r>
        <w:rPr>
          <w:rFonts w:ascii="Arial"/>
          <w:w w:val="105"/>
          <w:sz w:val="19"/>
        </w:rPr>
        <w:t>period</w:t>
      </w:r>
      <w:r>
        <w:rPr>
          <w:rFonts w:ascii="Arial"/>
          <w:spacing w:val="-22"/>
          <w:w w:val="105"/>
          <w:sz w:val="19"/>
        </w:rPr>
        <w:t xml:space="preserve"> </w:t>
      </w:r>
      <w:r>
        <w:rPr>
          <w:rFonts w:ascii="Arial"/>
          <w:w w:val="105"/>
          <w:sz w:val="19"/>
        </w:rPr>
        <w:t>for</w:t>
      </w:r>
      <w:r>
        <w:rPr>
          <w:rFonts w:ascii="Arial"/>
          <w:spacing w:val="-20"/>
          <w:w w:val="105"/>
          <w:sz w:val="19"/>
        </w:rPr>
        <w:t xml:space="preserve"> </w:t>
      </w:r>
      <w:r>
        <w:rPr>
          <w:rFonts w:ascii="Arial"/>
          <w:w w:val="105"/>
          <w:sz w:val="19"/>
        </w:rPr>
        <w:t>the</w:t>
      </w:r>
      <w:r>
        <w:rPr>
          <w:rFonts w:ascii="Arial"/>
          <w:spacing w:val="-21"/>
          <w:w w:val="105"/>
          <w:sz w:val="19"/>
        </w:rPr>
        <w:t xml:space="preserve"> </w:t>
      </w:r>
      <w:r>
        <w:rPr>
          <w:rFonts w:ascii="Arial"/>
          <w:w w:val="105"/>
          <w:sz w:val="19"/>
        </w:rPr>
        <w:t>regulatory</w:t>
      </w:r>
      <w:r>
        <w:rPr>
          <w:rFonts w:ascii="Arial"/>
          <w:spacing w:val="-22"/>
          <w:w w:val="105"/>
          <w:sz w:val="19"/>
        </w:rPr>
        <w:t xml:space="preserve"> </w:t>
      </w:r>
      <w:r>
        <w:rPr>
          <w:rFonts w:ascii="Arial"/>
          <w:w w:val="105"/>
          <w:sz w:val="19"/>
        </w:rPr>
        <w:t>costing.</w:t>
      </w:r>
      <w:r>
        <w:rPr>
          <w:rFonts w:ascii="Arial"/>
          <w:spacing w:val="-20"/>
          <w:w w:val="105"/>
          <w:sz w:val="19"/>
        </w:rPr>
        <w:t xml:space="preserve"> </w:t>
      </w:r>
      <w:r>
        <w:rPr>
          <w:rFonts w:ascii="Arial"/>
          <w:w w:val="105"/>
          <w:sz w:val="19"/>
        </w:rPr>
        <w:t>Likewise,</w:t>
      </w:r>
      <w:r>
        <w:rPr>
          <w:rFonts w:ascii="Arial"/>
          <w:spacing w:val="-18"/>
          <w:w w:val="105"/>
          <w:sz w:val="19"/>
        </w:rPr>
        <w:t xml:space="preserve"> </w:t>
      </w:r>
      <w:r>
        <w:rPr>
          <w:rFonts w:ascii="Arial"/>
          <w:w w:val="105"/>
          <w:sz w:val="19"/>
        </w:rPr>
        <w:t>it</w:t>
      </w:r>
      <w:r>
        <w:rPr>
          <w:rFonts w:ascii="Arial"/>
          <w:spacing w:val="-22"/>
          <w:w w:val="105"/>
          <w:sz w:val="19"/>
        </w:rPr>
        <w:t xml:space="preserve"> </w:t>
      </w:r>
      <w:r>
        <w:rPr>
          <w:rFonts w:ascii="Arial"/>
          <w:w w:val="105"/>
          <w:sz w:val="19"/>
        </w:rPr>
        <w:t>is</w:t>
      </w:r>
      <w:r>
        <w:rPr>
          <w:rFonts w:ascii="Arial"/>
          <w:spacing w:val="-23"/>
          <w:w w:val="105"/>
          <w:sz w:val="19"/>
        </w:rPr>
        <w:t xml:space="preserve"> </w:t>
      </w:r>
      <w:r>
        <w:rPr>
          <w:rFonts w:ascii="Arial"/>
          <w:w w:val="105"/>
          <w:sz w:val="19"/>
        </w:rPr>
        <w:t>assessed</w:t>
      </w:r>
      <w:r>
        <w:rPr>
          <w:rFonts w:ascii="Arial"/>
          <w:spacing w:val="-22"/>
          <w:w w:val="105"/>
          <w:sz w:val="19"/>
        </w:rPr>
        <w:t xml:space="preserve"> </w:t>
      </w:r>
      <w:r>
        <w:rPr>
          <w:rFonts w:ascii="Arial"/>
          <w:w w:val="105"/>
          <w:sz w:val="19"/>
        </w:rPr>
        <w:t>that</w:t>
      </w:r>
      <w:r>
        <w:rPr>
          <w:rFonts w:ascii="Arial"/>
          <w:spacing w:val="-21"/>
          <w:w w:val="105"/>
          <w:sz w:val="19"/>
        </w:rPr>
        <w:t xml:space="preserve"> </w:t>
      </w:r>
      <w:r>
        <w:rPr>
          <w:rFonts w:ascii="Arial"/>
          <w:w w:val="105"/>
          <w:sz w:val="19"/>
        </w:rPr>
        <w:t>no</w:t>
      </w:r>
      <w:r>
        <w:rPr>
          <w:rFonts w:ascii="Arial"/>
          <w:spacing w:val="-22"/>
          <w:w w:val="105"/>
          <w:sz w:val="19"/>
        </w:rPr>
        <w:t xml:space="preserve"> </w:t>
      </w:r>
      <w:r>
        <w:rPr>
          <w:rFonts w:ascii="Arial"/>
          <w:w w:val="105"/>
          <w:sz w:val="19"/>
        </w:rPr>
        <w:t>new</w:t>
      </w:r>
      <w:r>
        <w:rPr>
          <w:rFonts w:ascii="Arial"/>
          <w:spacing w:val="-22"/>
          <w:w w:val="105"/>
          <w:sz w:val="19"/>
        </w:rPr>
        <w:t xml:space="preserve"> </w:t>
      </w:r>
      <w:r>
        <w:rPr>
          <w:rFonts w:ascii="Arial"/>
          <w:w w:val="105"/>
          <w:sz w:val="19"/>
        </w:rPr>
        <w:t>GMP</w:t>
      </w:r>
      <w:r>
        <w:rPr>
          <w:rFonts w:ascii="Arial"/>
          <w:spacing w:val="-20"/>
          <w:w w:val="105"/>
          <w:sz w:val="19"/>
        </w:rPr>
        <w:t xml:space="preserve"> </w:t>
      </w:r>
      <w:r>
        <w:rPr>
          <w:rFonts w:ascii="Arial"/>
          <w:w w:val="105"/>
          <w:sz w:val="19"/>
        </w:rPr>
        <w:t>facilities</w:t>
      </w:r>
      <w:r>
        <w:rPr>
          <w:rFonts w:ascii="Arial"/>
          <w:spacing w:val="-23"/>
          <w:w w:val="105"/>
          <w:sz w:val="19"/>
        </w:rPr>
        <w:t xml:space="preserve"> </w:t>
      </w:r>
      <w:r>
        <w:rPr>
          <w:rFonts w:ascii="Arial"/>
          <w:w w:val="105"/>
          <w:sz w:val="19"/>
        </w:rPr>
        <w:t>will likely</w:t>
      </w:r>
      <w:r>
        <w:rPr>
          <w:rFonts w:ascii="Arial"/>
          <w:spacing w:val="-18"/>
          <w:w w:val="105"/>
          <w:sz w:val="19"/>
        </w:rPr>
        <w:t xml:space="preserve"> </w:t>
      </w:r>
      <w:r>
        <w:rPr>
          <w:rFonts w:ascii="Arial"/>
          <w:w w:val="105"/>
          <w:sz w:val="19"/>
        </w:rPr>
        <w:t>be</w:t>
      </w:r>
      <w:r>
        <w:rPr>
          <w:rFonts w:ascii="Arial"/>
          <w:spacing w:val="-20"/>
          <w:w w:val="105"/>
          <w:sz w:val="19"/>
        </w:rPr>
        <w:t xml:space="preserve"> </w:t>
      </w:r>
      <w:r>
        <w:rPr>
          <w:rFonts w:ascii="Arial"/>
          <w:w w:val="105"/>
          <w:sz w:val="19"/>
        </w:rPr>
        <w:t>added</w:t>
      </w:r>
      <w:r>
        <w:rPr>
          <w:rFonts w:ascii="Arial"/>
          <w:spacing w:val="-20"/>
          <w:w w:val="105"/>
          <w:sz w:val="19"/>
        </w:rPr>
        <w:t xml:space="preserve"> </w:t>
      </w:r>
      <w:r>
        <w:rPr>
          <w:rFonts w:ascii="Arial"/>
          <w:w w:val="105"/>
          <w:sz w:val="19"/>
        </w:rPr>
        <w:t>as</w:t>
      </w:r>
      <w:r>
        <w:rPr>
          <w:rFonts w:ascii="Arial"/>
          <w:spacing w:val="-18"/>
          <w:w w:val="105"/>
          <w:sz w:val="19"/>
        </w:rPr>
        <w:t xml:space="preserve"> </w:t>
      </w:r>
      <w:r>
        <w:rPr>
          <w:rFonts w:ascii="Arial"/>
          <w:w w:val="105"/>
          <w:sz w:val="19"/>
        </w:rPr>
        <w:t>a</w:t>
      </w:r>
      <w:r>
        <w:rPr>
          <w:rFonts w:ascii="Arial"/>
          <w:spacing w:val="-20"/>
          <w:w w:val="105"/>
          <w:sz w:val="19"/>
        </w:rPr>
        <w:t xml:space="preserve"> </w:t>
      </w:r>
      <w:r>
        <w:rPr>
          <w:rFonts w:ascii="Arial"/>
          <w:w w:val="105"/>
          <w:sz w:val="19"/>
        </w:rPr>
        <w:t>direct</w:t>
      </w:r>
      <w:r>
        <w:rPr>
          <w:rFonts w:ascii="Arial"/>
          <w:spacing w:val="-20"/>
          <w:w w:val="105"/>
          <w:sz w:val="19"/>
        </w:rPr>
        <w:t xml:space="preserve"> </w:t>
      </w:r>
      <w:r>
        <w:rPr>
          <w:rFonts w:ascii="Arial"/>
          <w:w w:val="105"/>
          <w:sz w:val="19"/>
        </w:rPr>
        <w:t>result</w:t>
      </w:r>
      <w:r>
        <w:rPr>
          <w:rFonts w:ascii="Arial"/>
          <w:spacing w:val="-18"/>
          <w:w w:val="105"/>
          <w:sz w:val="19"/>
        </w:rPr>
        <w:t xml:space="preserve"> </w:t>
      </w:r>
      <w:r>
        <w:rPr>
          <w:rFonts w:ascii="Arial"/>
          <w:w w:val="105"/>
          <w:sz w:val="19"/>
        </w:rPr>
        <w:t>of</w:t>
      </w:r>
      <w:r>
        <w:rPr>
          <w:rFonts w:ascii="Arial"/>
          <w:spacing w:val="-21"/>
          <w:w w:val="105"/>
          <w:sz w:val="19"/>
        </w:rPr>
        <w:t xml:space="preserve"> </w:t>
      </w:r>
      <w:r>
        <w:rPr>
          <w:rFonts w:ascii="Arial"/>
          <w:w w:val="105"/>
          <w:sz w:val="19"/>
        </w:rPr>
        <w:t>the</w:t>
      </w:r>
      <w:r>
        <w:rPr>
          <w:rFonts w:ascii="Arial"/>
          <w:spacing w:val="-19"/>
          <w:w w:val="105"/>
          <w:sz w:val="19"/>
        </w:rPr>
        <w:t xml:space="preserve"> </w:t>
      </w:r>
      <w:r>
        <w:rPr>
          <w:rFonts w:ascii="Arial"/>
          <w:w w:val="105"/>
          <w:sz w:val="19"/>
        </w:rPr>
        <w:t>proposed</w:t>
      </w:r>
      <w:r>
        <w:rPr>
          <w:rFonts w:ascii="Arial"/>
          <w:spacing w:val="-20"/>
          <w:w w:val="105"/>
          <w:sz w:val="19"/>
        </w:rPr>
        <w:t xml:space="preserve"> </w:t>
      </w:r>
      <w:r>
        <w:rPr>
          <w:rFonts w:ascii="Arial"/>
          <w:w w:val="105"/>
          <w:sz w:val="19"/>
        </w:rPr>
        <w:t>regulatory</w:t>
      </w:r>
      <w:r>
        <w:rPr>
          <w:rFonts w:ascii="Arial"/>
          <w:spacing w:val="-18"/>
          <w:w w:val="105"/>
          <w:sz w:val="19"/>
        </w:rPr>
        <w:t xml:space="preserve"> </w:t>
      </w:r>
      <w:r>
        <w:rPr>
          <w:rFonts w:ascii="Arial"/>
          <w:w w:val="105"/>
          <w:sz w:val="19"/>
        </w:rPr>
        <w:t>clarification,</w:t>
      </w:r>
      <w:r>
        <w:rPr>
          <w:rFonts w:ascii="Arial"/>
          <w:spacing w:val="-18"/>
          <w:w w:val="105"/>
          <w:sz w:val="19"/>
        </w:rPr>
        <w:t xml:space="preserve"> </w:t>
      </w:r>
      <w:r>
        <w:rPr>
          <w:rFonts w:ascii="Arial"/>
          <w:w w:val="105"/>
          <w:sz w:val="19"/>
        </w:rPr>
        <w:t>regulatory</w:t>
      </w:r>
      <w:r>
        <w:rPr>
          <w:rFonts w:ascii="Arial"/>
          <w:spacing w:val="-19"/>
          <w:w w:val="105"/>
          <w:sz w:val="19"/>
        </w:rPr>
        <w:t xml:space="preserve"> </w:t>
      </w:r>
      <w:r>
        <w:rPr>
          <w:rFonts w:ascii="Arial"/>
          <w:w w:val="105"/>
          <w:sz w:val="19"/>
        </w:rPr>
        <w:t>costs</w:t>
      </w:r>
      <w:r>
        <w:rPr>
          <w:rFonts w:ascii="Arial"/>
          <w:spacing w:val="-18"/>
          <w:w w:val="105"/>
          <w:sz w:val="19"/>
        </w:rPr>
        <w:t xml:space="preserve"> </w:t>
      </w:r>
      <w:r>
        <w:rPr>
          <w:rFonts w:ascii="Arial"/>
          <w:w w:val="105"/>
          <w:sz w:val="19"/>
        </w:rPr>
        <w:lastRenderedPageBreak/>
        <w:t>arising from</w:t>
      </w:r>
      <w:r>
        <w:rPr>
          <w:rFonts w:ascii="Arial"/>
          <w:spacing w:val="-22"/>
          <w:w w:val="105"/>
          <w:sz w:val="19"/>
        </w:rPr>
        <w:t xml:space="preserve"> </w:t>
      </w:r>
      <w:r>
        <w:rPr>
          <w:rFonts w:ascii="Arial"/>
          <w:w w:val="105"/>
          <w:sz w:val="19"/>
        </w:rPr>
        <w:t>TGA</w:t>
      </w:r>
      <w:r>
        <w:rPr>
          <w:rFonts w:ascii="Arial"/>
          <w:spacing w:val="-21"/>
          <w:w w:val="105"/>
          <w:sz w:val="19"/>
        </w:rPr>
        <w:t xml:space="preserve"> </w:t>
      </w:r>
      <w:r>
        <w:rPr>
          <w:rFonts w:ascii="Arial"/>
          <w:w w:val="105"/>
          <w:sz w:val="19"/>
        </w:rPr>
        <w:t>inspections</w:t>
      </w:r>
      <w:r>
        <w:rPr>
          <w:rFonts w:ascii="Arial"/>
          <w:spacing w:val="-21"/>
          <w:w w:val="105"/>
          <w:sz w:val="19"/>
        </w:rPr>
        <w:t xml:space="preserve"> </w:t>
      </w:r>
      <w:r>
        <w:rPr>
          <w:rFonts w:ascii="Arial"/>
          <w:w w:val="105"/>
          <w:sz w:val="19"/>
        </w:rPr>
        <w:t>of</w:t>
      </w:r>
      <w:r>
        <w:rPr>
          <w:rFonts w:ascii="Arial"/>
          <w:spacing w:val="-24"/>
          <w:w w:val="105"/>
          <w:sz w:val="19"/>
        </w:rPr>
        <w:t xml:space="preserve"> </w:t>
      </w:r>
      <w:r>
        <w:rPr>
          <w:rFonts w:ascii="Arial"/>
          <w:w w:val="105"/>
          <w:sz w:val="19"/>
        </w:rPr>
        <w:t>existing</w:t>
      </w:r>
      <w:r>
        <w:rPr>
          <w:rFonts w:ascii="Arial"/>
          <w:spacing w:val="-22"/>
          <w:w w:val="105"/>
          <w:sz w:val="19"/>
        </w:rPr>
        <w:t xml:space="preserve"> </w:t>
      </w:r>
      <w:r>
        <w:rPr>
          <w:rFonts w:ascii="Arial"/>
          <w:w w:val="105"/>
          <w:sz w:val="19"/>
        </w:rPr>
        <w:t>and</w:t>
      </w:r>
      <w:r>
        <w:rPr>
          <w:rFonts w:ascii="Arial"/>
          <w:spacing w:val="-23"/>
          <w:w w:val="105"/>
          <w:sz w:val="19"/>
        </w:rPr>
        <w:t xml:space="preserve"> </w:t>
      </w:r>
      <w:r>
        <w:rPr>
          <w:rFonts w:ascii="Arial"/>
          <w:w w:val="105"/>
          <w:sz w:val="19"/>
        </w:rPr>
        <w:t>future</w:t>
      </w:r>
      <w:r>
        <w:rPr>
          <w:rFonts w:ascii="Arial"/>
          <w:spacing w:val="-21"/>
          <w:w w:val="105"/>
          <w:sz w:val="19"/>
        </w:rPr>
        <w:t xml:space="preserve"> </w:t>
      </w:r>
      <w:r>
        <w:rPr>
          <w:rFonts w:ascii="Arial"/>
          <w:w w:val="105"/>
          <w:sz w:val="19"/>
        </w:rPr>
        <w:t>GMP</w:t>
      </w:r>
      <w:r>
        <w:rPr>
          <w:rFonts w:ascii="Arial"/>
          <w:spacing w:val="-20"/>
          <w:w w:val="105"/>
          <w:sz w:val="19"/>
        </w:rPr>
        <w:t xml:space="preserve"> </w:t>
      </w:r>
      <w:r>
        <w:rPr>
          <w:rFonts w:ascii="Arial"/>
          <w:w w:val="105"/>
          <w:sz w:val="19"/>
        </w:rPr>
        <w:t>facilities</w:t>
      </w:r>
      <w:r>
        <w:rPr>
          <w:rFonts w:ascii="Arial"/>
          <w:spacing w:val="-22"/>
          <w:w w:val="105"/>
          <w:sz w:val="19"/>
        </w:rPr>
        <w:t xml:space="preserve"> </w:t>
      </w:r>
      <w:r>
        <w:rPr>
          <w:rFonts w:ascii="Arial"/>
          <w:w w:val="105"/>
          <w:sz w:val="19"/>
        </w:rPr>
        <w:t>are</w:t>
      </w:r>
      <w:r>
        <w:rPr>
          <w:rFonts w:ascii="Arial"/>
          <w:spacing w:val="-22"/>
          <w:w w:val="105"/>
          <w:sz w:val="19"/>
        </w:rPr>
        <w:t xml:space="preserve"> </w:t>
      </w:r>
      <w:r>
        <w:rPr>
          <w:rFonts w:ascii="Arial"/>
          <w:w w:val="105"/>
          <w:sz w:val="19"/>
        </w:rPr>
        <w:t>also</w:t>
      </w:r>
      <w:r>
        <w:rPr>
          <w:rFonts w:ascii="Arial"/>
          <w:spacing w:val="-23"/>
          <w:w w:val="105"/>
          <w:sz w:val="19"/>
        </w:rPr>
        <w:t xml:space="preserve"> </w:t>
      </w:r>
      <w:r>
        <w:rPr>
          <w:rFonts w:ascii="Arial"/>
          <w:w w:val="105"/>
          <w:sz w:val="19"/>
        </w:rPr>
        <w:t>excluded</w:t>
      </w:r>
      <w:r>
        <w:rPr>
          <w:rFonts w:ascii="Arial"/>
          <w:spacing w:val="-22"/>
          <w:w w:val="105"/>
          <w:sz w:val="19"/>
        </w:rPr>
        <w:t xml:space="preserve"> </w:t>
      </w:r>
      <w:r>
        <w:rPr>
          <w:rFonts w:ascii="Arial"/>
          <w:w w:val="105"/>
          <w:sz w:val="19"/>
        </w:rPr>
        <w:t>from</w:t>
      </w:r>
      <w:r>
        <w:rPr>
          <w:rFonts w:ascii="Arial"/>
          <w:spacing w:val="-22"/>
          <w:w w:val="105"/>
          <w:sz w:val="19"/>
        </w:rPr>
        <w:t xml:space="preserve"> </w:t>
      </w:r>
      <w:r>
        <w:rPr>
          <w:rFonts w:ascii="Arial"/>
          <w:w w:val="105"/>
          <w:sz w:val="19"/>
        </w:rPr>
        <w:t>the</w:t>
      </w:r>
      <w:r>
        <w:rPr>
          <w:rFonts w:ascii="Arial"/>
          <w:spacing w:val="-22"/>
          <w:w w:val="105"/>
          <w:sz w:val="19"/>
        </w:rPr>
        <w:t xml:space="preserve"> </w:t>
      </w:r>
      <w:r>
        <w:rPr>
          <w:rFonts w:ascii="Arial"/>
          <w:w w:val="105"/>
          <w:sz w:val="19"/>
        </w:rPr>
        <w:t>regulatory costing.</w:t>
      </w:r>
    </w:p>
    <w:p w:rsidR="007D76BB" w:rsidRDefault="00D70D28">
      <w:pPr>
        <w:spacing w:before="72"/>
        <w:ind w:left="482"/>
        <w:rPr>
          <w:rFonts w:ascii="Arial"/>
          <w:i/>
          <w:sz w:val="20"/>
        </w:rPr>
      </w:pPr>
      <w:r>
        <w:rPr>
          <w:rFonts w:ascii="Arial"/>
          <w:i/>
          <w:sz w:val="20"/>
        </w:rPr>
        <w:t>Regulatory costing</w:t>
      </w:r>
    </w:p>
    <w:p w:rsidR="007D76BB" w:rsidRDefault="00D70D28">
      <w:pPr>
        <w:spacing w:before="200" w:line="264" w:lineRule="auto"/>
        <w:ind w:left="482" w:right="1079"/>
        <w:rPr>
          <w:rFonts w:ascii="Arial"/>
          <w:sz w:val="19"/>
        </w:rPr>
      </w:pPr>
      <w:r>
        <w:rPr>
          <w:rFonts w:ascii="Arial"/>
          <w:w w:val="105"/>
          <w:sz w:val="19"/>
        </w:rPr>
        <w:t>Nil</w:t>
      </w:r>
      <w:r>
        <w:rPr>
          <w:rFonts w:ascii="Arial"/>
          <w:spacing w:val="-15"/>
          <w:w w:val="105"/>
          <w:sz w:val="19"/>
        </w:rPr>
        <w:t xml:space="preserve"> </w:t>
      </w:r>
      <w:r>
        <w:rPr>
          <w:rFonts w:ascii="Arial"/>
          <w:w w:val="105"/>
          <w:sz w:val="19"/>
        </w:rPr>
        <w:t>additional</w:t>
      </w:r>
      <w:r>
        <w:rPr>
          <w:rFonts w:ascii="Arial"/>
          <w:spacing w:val="-15"/>
          <w:w w:val="105"/>
          <w:sz w:val="19"/>
        </w:rPr>
        <w:t xml:space="preserve"> </w:t>
      </w:r>
      <w:r>
        <w:rPr>
          <w:rFonts w:ascii="Arial"/>
          <w:w w:val="105"/>
          <w:sz w:val="19"/>
        </w:rPr>
        <w:t>regulatory</w:t>
      </w:r>
      <w:r>
        <w:rPr>
          <w:rFonts w:ascii="Arial"/>
          <w:spacing w:val="-16"/>
          <w:w w:val="105"/>
          <w:sz w:val="19"/>
        </w:rPr>
        <w:t xml:space="preserve"> </w:t>
      </w:r>
      <w:r>
        <w:rPr>
          <w:rFonts w:ascii="Arial"/>
          <w:w w:val="105"/>
          <w:sz w:val="19"/>
        </w:rPr>
        <w:t>costs</w:t>
      </w:r>
      <w:r>
        <w:rPr>
          <w:rFonts w:ascii="Arial"/>
          <w:spacing w:val="-15"/>
          <w:w w:val="105"/>
          <w:sz w:val="19"/>
        </w:rPr>
        <w:t xml:space="preserve"> </w:t>
      </w:r>
      <w:r>
        <w:rPr>
          <w:rFonts w:ascii="Arial"/>
          <w:w w:val="105"/>
          <w:sz w:val="19"/>
        </w:rPr>
        <w:t>incurred</w:t>
      </w:r>
      <w:r>
        <w:rPr>
          <w:rFonts w:ascii="Arial"/>
          <w:spacing w:val="-17"/>
          <w:w w:val="105"/>
          <w:sz w:val="19"/>
        </w:rPr>
        <w:t xml:space="preserve"> </w:t>
      </w:r>
      <w:r>
        <w:rPr>
          <w:rFonts w:ascii="Arial"/>
          <w:w w:val="105"/>
          <w:sz w:val="19"/>
        </w:rPr>
        <w:t>in</w:t>
      </w:r>
      <w:r>
        <w:rPr>
          <w:rFonts w:ascii="Arial"/>
          <w:spacing w:val="-14"/>
          <w:w w:val="105"/>
          <w:sz w:val="19"/>
        </w:rPr>
        <w:t xml:space="preserve"> </w:t>
      </w:r>
      <w:r>
        <w:rPr>
          <w:rFonts w:ascii="Arial"/>
          <w:w w:val="105"/>
          <w:sz w:val="19"/>
        </w:rPr>
        <w:t>relation</w:t>
      </w:r>
      <w:r>
        <w:rPr>
          <w:rFonts w:ascii="Arial"/>
          <w:spacing w:val="-17"/>
          <w:w w:val="105"/>
          <w:sz w:val="19"/>
        </w:rPr>
        <w:t xml:space="preserve"> </w:t>
      </w:r>
      <w:r>
        <w:rPr>
          <w:rFonts w:ascii="Arial"/>
          <w:w w:val="105"/>
          <w:sz w:val="19"/>
        </w:rPr>
        <w:t>to</w:t>
      </w:r>
      <w:r>
        <w:rPr>
          <w:rFonts w:ascii="Arial"/>
          <w:spacing w:val="-15"/>
          <w:w w:val="105"/>
          <w:sz w:val="19"/>
        </w:rPr>
        <w:t xml:space="preserve"> </w:t>
      </w:r>
      <w:r>
        <w:rPr>
          <w:rFonts w:ascii="Arial"/>
          <w:w w:val="105"/>
          <w:sz w:val="19"/>
        </w:rPr>
        <w:t>the</w:t>
      </w:r>
      <w:r>
        <w:rPr>
          <w:rFonts w:ascii="Arial"/>
          <w:spacing w:val="-18"/>
          <w:w w:val="105"/>
          <w:sz w:val="19"/>
        </w:rPr>
        <w:t xml:space="preserve"> </w:t>
      </w:r>
      <w:r>
        <w:rPr>
          <w:rFonts w:ascii="Arial"/>
          <w:w w:val="105"/>
          <w:sz w:val="19"/>
        </w:rPr>
        <w:t>requirements</w:t>
      </w:r>
      <w:r>
        <w:rPr>
          <w:rFonts w:ascii="Arial"/>
          <w:spacing w:val="-16"/>
          <w:w w:val="105"/>
          <w:sz w:val="19"/>
        </w:rPr>
        <w:t xml:space="preserve"> </w:t>
      </w:r>
      <w:r>
        <w:rPr>
          <w:rFonts w:ascii="Arial"/>
          <w:w w:val="105"/>
          <w:sz w:val="19"/>
        </w:rPr>
        <w:t>for</w:t>
      </w:r>
      <w:r>
        <w:rPr>
          <w:rFonts w:ascii="Arial"/>
          <w:spacing w:val="-17"/>
          <w:w w:val="105"/>
          <w:sz w:val="19"/>
        </w:rPr>
        <w:t xml:space="preserve"> </w:t>
      </w:r>
      <w:r>
        <w:rPr>
          <w:rFonts w:ascii="Arial"/>
          <w:w w:val="105"/>
          <w:sz w:val="19"/>
        </w:rPr>
        <w:t>therapeutic</w:t>
      </w:r>
      <w:r>
        <w:rPr>
          <w:rFonts w:ascii="Arial"/>
          <w:spacing w:val="-14"/>
          <w:w w:val="105"/>
          <w:sz w:val="19"/>
        </w:rPr>
        <w:t xml:space="preserve"> </w:t>
      </w:r>
      <w:r>
        <w:rPr>
          <w:rFonts w:ascii="Arial"/>
          <w:w w:val="105"/>
          <w:sz w:val="19"/>
        </w:rPr>
        <w:t>products</w:t>
      </w:r>
      <w:r>
        <w:rPr>
          <w:rFonts w:ascii="Arial"/>
          <w:spacing w:val="-18"/>
          <w:w w:val="105"/>
          <w:sz w:val="19"/>
        </w:rPr>
        <w:t xml:space="preserve"> </w:t>
      </w:r>
      <w:r>
        <w:rPr>
          <w:rFonts w:ascii="Arial"/>
          <w:w w:val="105"/>
          <w:sz w:val="19"/>
        </w:rPr>
        <w:t xml:space="preserve">to be manufactured in a TGA </w:t>
      </w:r>
      <w:proofErr w:type="spellStart"/>
      <w:r>
        <w:rPr>
          <w:rFonts w:ascii="Arial"/>
          <w:w w:val="105"/>
          <w:sz w:val="19"/>
        </w:rPr>
        <w:t>licenced</w:t>
      </w:r>
      <w:proofErr w:type="spellEnd"/>
      <w:r>
        <w:rPr>
          <w:rFonts w:ascii="Arial"/>
          <w:w w:val="105"/>
          <w:sz w:val="19"/>
        </w:rPr>
        <w:t xml:space="preserve"> manufacturing facility arise from the proposed regulatory clarification.</w:t>
      </w:r>
    </w:p>
    <w:p w:rsidR="007D76BB" w:rsidRDefault="007D76BB">
      <w:pPr>
        <w:pStyle w:val="BodyText"/>
        <w:rPr>
          <w:rFonts w:ascii="Arial"/>
          <w:sz w:val="20"/>
        </w:rPr>
      </w:pPr>
    </w:p>
    <w:p w:rsidR="007D76BB" w:rsidRDefault="00D70D28">
      <w:pPr>
        <w:pStyle w:val="BodyText"/>
        <w:spacing w:before="1"/>
        <w:rPr>
          <w:rFonts w:ascii="Arial"/>
          <w:sz w:val="23"/>
        </w:rPr>
      </w:pPr>
      <w:r>
        <w:rPr>
          <w:noProof/>
          <w:lang w:val="en-AU" w:eastAsia="en-AU"/>
        </w:rPr>
        <mc:AlternateContent>
          <mc:Choice Requires="wps">
            <w:drawing>
              <wp:anchor distT="0" distB="0" distL="0" distR="0" simplePos="0" relativeHeight="251704320" behindDoc="1" locked="0" layoutInCell="1" allowOverlap="1">
                <wp:simplePos x="0" y="0"/>
                <wp:positionH relativeFrom="page">
                  <wp:posOffset>1080770</wp:posOffset>
                </wp:positionH>
                <wp:positionV relativeFrom="paragraph">
                  <wp:posOffset>199390</wp:posOffset>
                </wp:positionV>
                <wp:extent cx="1829435" cy="1270"/>
                <wp:effectExtent l="0" t="0" r="0" b="0"/>
                <wp:wrapTopAndBottom/>
                <wp:docPr id="359"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3809D" id="Freeform 215" o:spid="_x0000_s1026" style="position:absolute;margin-left:85.1pt;margin-top:15.7pt;width:144.0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" path="m,l2880,e" filled="f" strokeweight=".84pt">
                <v:path arrowok="t" o:connecttype="custom" o:connectlocs="0,0;1828800,0" o:connectangles="0,0"/>
                <w10:wrap type="topAndBottom" anchorx="page"/>
              </v:shape>
            </w:pict>
          </mc:Fallback>
        </mc:AlternateContent>
      </w:r>
    </w:p>
    <w:p w:rsidR="007D76BB" w:rsidRDefault="00D70D28">
      <w:pPr>
        <w:spacing w:before="132" w:line="268" w:lineRule="auto"/>
        <w:ind w:left="594" w:right="903" w:hanging="113"/>
        <w:rPr>
          <w:rFonts w:ascii="Arial" w:hAnsi="Arial"/>
          <w:sz w:val="14"/>
        </w:rPr>
      </w:pPr>
      <w:r>
        <w:rPr>
          <w:rFonts w:ascii="Arial" w:hAnsi="Arial"/>
          <w:color w:val="5B6761"/>
          <w:w w:val="105"/>
          <w:position w:val="5"/>
          <w:sz w:val="8"/>
        </w:rPr>
        <w:t>27</w:t>
      </w:r>
      <w:r>
        <w:rPr>
          <w:rFonts w:ascii="Arial" w:hAnsi="Arial"/>
          <w:color w:val="5B6761"/>
          <w:spacing w:val="-1"/>
          <w:w w:val="105"/>
          <w:position w:val="5"/>
          <w:sz w:val="8"/>
        </w:rPr>
        <w:t xml:space="preserve"> </w:t>
      </w:r>
      <w:r>
        <w:rPr>
          <w:rFonts w:ascii="Arial" w:hAnsi="Arial"/>
          <w:color w:val="5B6761"/>
          <w:w w:val="105"/>
          <w:sz w:val="14"/>
        </w:rPr>
        <w:t>Noetic</w:t>
      </w:r>
      <w:r>
        <w:rPr>
          <w:rFonts w:ascii="Arial" w:hAnsi="Arial"/>
          <w:color w:val="5B6761"/>
          <w:spacing w:val="-18"/>
          <w:w w:val="105"/>
          <w:sz w:val="14"/>
        </w:rPr>
        <w:t xml:space="preserve"> </w:t>
      </w:r>
      <w:r>
        <w:rPr>
          <w:rFonts w:ascii="Arial" w:hAnsi="Arial"/>
          <w:color w:val="5B6761"/>
          <w:w w:val="105"/>
          <w:sz w:val="14"/>
        </w:rPr>
        <w:t>notes</w:t>
      </w:r>
      <w:r>
        <w:rPr>
          <w:rFonts w:ascii="Arial" w:hAnsi="Arial"/>
          <w:color w:val="5B6761"/>
          <w:spacing w:val="-16"/>
          <w:w w:val="105"/>
          <w:sz w:val="14"/>
        </w:rPr>
        <w:t xml:space="preserve"> </w:t>
      </w:r>
      <w:r>
        <w:rPr>
          <w:rFonts w:ascii="Arial" w:hAnsi="Arial"/>
          <w:color w:val="5B6761"/>
          <w:w w:val="105"/>
          <w:sz w:val="14"/>
        </w:rPr>
        <w:t>from</w:t>
      </w:r>
      <w:r>
        <w:rPr>
          <w:rFonts w:ascii="Arial" w:hAnsi="Arial"/>
          <w:color w:val="5B6761"/>
          <w:spacing w:val="-17"/>
          <w:w w:val="105"/>
          <w:sz w:val="14"/>
        </w:rPr>
        <w:t xml:space="preserve"> </w:t>
      </w:r>
      <w:r>
        <w:rPr>
          <w:rFonts w:ascii="Arial" w:hAnsi="Arial"/>
          <w:color w:val="5B6761"/>
          <w:w w:val="105"/>
          <w:sz w:val="14"/>
        </w:rPr>
        <w:t>site</w:t>
      </w:r>
      <w:r>
        <w:rPr>
          <w:rFonts w:ascii="Arial" w:hAnsi="Arial"/>
          <w:color w:val="5B6761"/>
          <w:spacing w:val="-19"/>
          <w:w w:val="105"/>
          <w:sz w:val="14"/>
        </w:rPr>
        <w:t xml:space="preserve"> </w:t>
      </w:r>
      <w:r>
        <w:rPr>
          <w:rFonts w:ascii="Arial" w:hAnsi="Arial"/>
          <w:color w:val="5B6761"/>
          <w:w w:val="105"/>
          <w:sz w:val="14"/>
        </w:rPr>
        <w:t>visits</w:t>
      </w:r>
      <w:r>
        <w:rPr>
          <w:rFonts w:ascii="Arial" w:hAnsi="Arial"/>
          <w:color w:val="5B6761"/>
          <w:spacing w:val="-17"/>
          <w:w w:val="105"/>
          <w:sz w:val="14"/>
        </w:rPr>
        <w:t xml:space="preserve"> </w:t>
      </w:r>
      <w:r>
        <w:rPr>
          <w:rFonts w:ascii="Arial" w:hAnsi="Arial"/>
          <w:color w:val="5B6761"/>
          <w:w w:val="105"/>
          <w:sz w:val="14"/>
        </w:rPr>
        <w:t>to</w:t>
      </w:r>
      <w:r>
        <w:rPr>
          <w:rFonts w:ascii="Arial" w:hAnsi="Arial"/>
          <w:color w:val="5B6761"/>
          <w:spacing w:val="-19"/>
          <w:w w:val="105"/>
          <w:sz w:val="14"/>
        </w:rPr>
        <w:t xml:space="preserve"> </w:t>
      </w:r>
      <w:r>
        <w:rPr>
          <w:rFonts w:ascii="Arial" w:hAnsi="Arial"/>
          <w:color w:val="5B6761"/>
          <w:w w:val="105"/>
          <w:sz w:val="14"/>
        </w:rPr>
        <w:t>supplement</w:t>
      </w:r>
      <w:r>
        <w:rPr>
          <w:rFonts w:ascii="Arial" w:hAnsi="Arial"/>
          <w:color w:val="5B6761"/>
          <w:spacing w:val="-16"/>
          <w:w w:val="105"/>
          <w:sz w:val="14"/>
        </w:rPr>
        <w:t xml:space="preserve"> </w:t>
      </w:r>
      <w:r>
        <w:rPr>
          <w:rFonts w:ascii="Arial" w:hAnsi="Arial"/>
          <w:color w:val="5B6761"/>
          <w:w w:val="105"/>
          <w:sz w:val="14"/>
        </w:rPr>
        <w:t>retailers</w:t>
      </w:r>
      <w:r>
        <w:rPr>
          <w:rFonts w:ascii="Arial" w:hAnsi="Arial"/>
          <w:color w:val="5B6761"/>
          <w:spacing w:val="-18"/>
          <w:w w:val="105"/>
          <w:sz w:val="14"/>
        </w:rPr>
        <w:t xml:space="preserve"> </w:t>
      </w:r>
      <w:r>
        <w:rPr>
          <w:rFonts w:ascii="Arial" w:hAnsi="Arial"/>
          <w:color w:val="5B6761"/>
          <w:w w:val="105"/>
          <w:sz w:val="14"/>
        </w:rPr>
        <w:t>and</w:t>
      </w:r>
      <w:r>
        <w:rPr>
          <w:rFonts w:ascii="Arial" w:hAnsi="Arial"/>
          <w:color w:val="5B6761"/>
          <w:spacing w:val="-17"/>
          <w:w w:val="105"/>
          <w:sz w:val="14"/>
        </w:rPr>
        <w:t xml:space="preserve"> </w:t>
      </w:r>
      <w:r>
        <w:rPr>
          <w:rFonts w:ascii="Arial" w:hAnsi="Arial"/>
          <w:color w:val="5B6761"/>
          <w:w w:val="105"/>
          <w:sz w:val="14"/>
        </w:rPr>
        <w:t>pharmacies</w:t>
      </w:r>
      <w:r>
        <w:rPr>
          <w:rFonts w:ascii="Arial" w:hAnsi="Arial"/>
          <w:color w:val="5B6761"/>
          <w:spacing w:val="-18"/>
          <w:w w:val="105"/>
          <w:sz w:val="14"/>
        </w:rPr>
        <w:t xml:space="preserve"> </w:t>
      </w:r>
      <w:r>
        <w:rPr>
          <w:rFonts w:ascii="Arial" w:hAnsi="Arial"/>
          <w:color w:val="5B6761"/>
          <w:w w:val="105"/>
          <w:sz w:val="14"/>
        </w:rPr>
        <w:t>(as</w:t>
      </w:r>
      <w:r>
        <w:rPr>
          <w:rFonts w:ascii="Arial" w:hAnsi="Arial"/>
          <w:color w:val="5B6761"/>
          <w:spacing w:val="-17"/>
          <w:w w:val="105"/>
          <w:sz w:val="14"/>
        </w:rPr>
        <w:t xml:space="preserve"> </w:t>
      </w:r>
      <w:r>
        <w:rPr>
          <w:rFonts w:ascii="Arial" w:hAnsi="Arial"/>
          <w:color w:val="5B6761"/>
          <w:w w:val="105"/>
          <w:sz w:val="14"/>
        </w:rPr>
        <w:t>well</w:t>
      </w:r>
      <w:r>
        <w:rPr>
          <w:rFonts w:ascii="Arial" w:hAnsi="Arial"/>
          <w:color w:val="5B6761"/>
          <w:spacing w:val="-18"/>
          <w:w w:val="105"/>
          <w:sz w:val="14"/>
        </w:rPr>
        <w:t xml:space="preserve"> </w:t>
      </w:r>
      <w:r>
        <w:rPr>
          <w:rFonts w:ascii="Arial" w:hAnsi="Arial"/>
          <w:color w:val="5B6761"/>
          <w:w w:val="105"/>
          <w:sz w:val="14"/>
        </w:rPr>
        <w:t>as</w:t>
      </w:r>
      <w:r>
        <w:rPr>
          <w:rFonts w:ascii="Arial" w:hAnsi="Arial"/>
          <w:color w:val="5B6761"/>
          <w:spacing w:val="-17"/>
          <w:w w:val="105"/>
          <w:sz w:val="14"/>
        </w:rPr>
        <w:t xml:space="preserve"> </w:t>
      </w:r>
      <w:r>
        <w:rPr>
          <w:rFonts w:ascii="Arial" w:hAnsi="Arial"/>
          <w:color w:val="5B6761"/>
          <w:w w:val="105"/>
          <w:sz w:val="14"/>
        </w:rPr>
        <w:t>a</w:t>
      </w:r>
      <w:r>
        <w:rPr>
          <w:rFonts w:ascii="Arial" w:hAnsi="Arial"/>
          <w:color w:val="5B6761"/>
          <w:spacing w:val="-17"/>
          <w:w w:val="105"/>
          <w:sz w:val="14"/>
        </w:rPr>
        <w:t xml:space="preserve"> </w:t>
      </w:r>
      <w:r>
        <w:rPr>
          <w:rFonts w:ascii="Arial" w:hAnsi="Arial"/>
          <w:color w:val="5B6761"/>
          <w:w w:val="105"/>
          <w:sz w:val="14"/>
        </w:rPr>
        <w:t>review</w:t>
      </w:r>
      <w:r>
        <w:rPr>
          <w:rFonts w:ascii="Arial" w:hAnsi="Arial"/>
          <w:color w:val="5B6761"/>
          <w:spacing w:val="-17"/>
          <w:w w:val="105"/>
          <w:sz w:val="14"/>
        </w:rPr>
        <w:t xml:space="preserve"> </w:t>
      </w:r>
      <w:r>
        <w:rPr>
          <w:rFonts w:ascii="Arial" w:hAnsi="Arial"/>
          <w:color w:val="5B6761"/>
          <w:w w:val="105"/>
          <w:sz w:val="14"/>
        </w:rPr>
        <w:t>of</w:t>
      </w:r>
      <w:r>
        <w:rPr>
          <w:rFonts w:ascii="Arial" w:hAnsi="Arial"/>
          <w:color w:val="5B6761"/>
          <w:spacing w:val="-18"/>
          <w:w w:val="105"/>
          <w:sz w:val="14"/>
        </w:rPr>
        <w:t xml:space="preserve"> </w:t>
      </w:r>
      <w:r>
        <w:rPr>
          <w:rFonts w:ascii="Arial" w:hAnsi="Arial"/>
          <w:color w:val="5B6761"/>
          <w:w w:val="105"/>
          <w:sz w:val="14"/>
        </w:rPr>
        <w:t>listed</w:t>
      </w:r>
      <w:r>
        <w:rPr>
          <w:rFonts w:ascii="Arial" w:hAnsi="Arial"/>
          <w:color w:val="5B6761"/>
          <w:spacing w:val="-17"/>
          <w:w w:val="105"/>
          <w:sz w:val="14"/>
        </w:rPr>
        <w:t xml:space="preserve"> </w:t>
      </w:r>
      <w:r>
        <w:rPr>
          <w:rFonts w:ascii="Arial" w:hAnsi="Arial"/>
          <w:color w:val="5B6761"/>
          <w:w w:val="105"/>
          <w:sz w:val="14"/>
        </w:rPr>
        <w:t>medicines</w:t>
      </w:r>
      <w:r>
        <w:rPr>
          <w:rFonts w:ascii="Arial" w:hAnsi="Arial"/>
          <w:color w:val="5B6761"/>
          <w:spacing w:val="-18"/>
          <w:w w:val="105"/>
          <w:sz w:val="14"/>
        </w:rPr>
        <w:t xml:space="preserve"> </w:t>
      </w:r>
      <w:r>
        <w:rPr>
          <w:rFonts w:ascii="Arial" w:hAnsi="Arial"/>
          <w:color w:val="5B6761"/>
          <w:w w:val="105"/>
          <w:sz w:val="14"/>
        </w:rPr>
        <w:t>on</w:t>
      </w:r>
      <w:r>
        <w:rPr>
          <w:rFonts w:ascii="Arial" w:hAnsi="Arial"/>
          <w:color w:val="5B6761"/>
          <w:spacing w:val="-17"/>
          <w:w w:val="105"/>
          <w:sz w:val="14"/>
        </w:rPr>
        <w:t xml:space="preserve"> </w:t>
      </w:r>
      <w:r>
        <w:rPr>
          <w:rFonts w:ascii="Arial" w:hAnsi="Arial"/>
          <w:color w:val="5B6761"/>
          <w:w w:val="105"/>
          <w:sz w:val="14"/>
        </w:rPr>
        <w:t>the</w:t>
      </w:r>
      <w:r>
        <w:rPr>
          <w:rFonts w:ascii="Arial" w:hAnsi="Arial"/>
          <w:color w:val="5B6761"/>
          <w:spacing w:val="-18"/>
          <w:w w:val="105"/>
          <w:sz w:val="14"/>
        </w:rPr>
        <w:t xml:space="preserve"> </w:t>
      </w:r>
      <w:r>
        <w:rPr>
          <w:rFonts w:ascii="Arial" w:hAnsi="Arial"/>
          <w:color w:val="5B6761"/>
          <w:w w:val="105"/>
          <w:sz w:val="14"/>
        </w:rPr>
        <w:t>ARTG)</w:t>
      </w:r>
      <w:r>
        <w:rPr>
          <w:rFonts w:ascii="Arial" w:hAnsi="Arial"/>
          <w:color w:val="5B6761"/>
          <w:spacing w:val="-18"/>
          <w:w w:val="105"/>
          <w:sz w:val="14"/>
        </w:rPr>
        <w:t xml:space="preserve"> </w:t>
      </w:r>
      <w:r>
        <w:rPr>
          <w:rFonts w:ascii="Arial" w:hAnsi="Arial"/>
          <w:color w:val="5B6761"/>
          <w:w w:val="105"/>
          <w:sz w:val="14"/>
        </w:rPr>
        <w:t>that</w:t>
      </w:r>
      <w:r>
        <w:rPr>
          <w:rFonts w:ascii="Arial" w:hAnsi="Arial"/>
          <w:color w:val="5B6761"/>
          <w:spacing w:val="-16"/>
          <w:w w:val="105"/>
          <w:sz w:val="14"/>
        </w:rPr>
        <w:t xml:space="preserve"> </w:t>
      </w:r>
      <w:r>
        <w:rPr>
          <w:rFonts w:ascii="Arial" w:hAnsi="Arial"/>
          <w:color w:val="5B6761"/>
          <w:w w:val="105"/>
          <w:sz w:val="14"/>
        </w:rPr>
        <w:t>some sports</w:t>
      </w:r>
      <w:r>
        <w:rPr>
          <w:rFonts w:ascii="Arial" w:hAnsi="Arial"/>
          <w:color w:val="5B6761"/>
          <w:spacing w:val="-22"/>
          <w:w w:val="105"/>
          <w:sz w:val="14"/>
        </w:rPr>
        <w:t xml:space="preserve"> </w:t>
      </w:r>
      <w:r>
        <w:rPr>
          <w:rFonts w:ascii="Arial" w:hAnsi="Arial"/>
          <w:color w:val="5B6761"/>
          <w:w w:val="105"/>
          <w:sz w:val="14"/>
        </w:rPr>
        <w:t>supplements</w:t>
      </w:r>
      <w:r>
        <w:rPr>
          <w:rFonts w:ascii="Arial" w:hAnsi="Arial"/>
          <w:color w:val="5B6761"/>
          <w:spacing w:val="-21"/>
          <w:w w:val="105"/>
          <w:sz w:val="14"/>
        </w:rPr>
        <w:t xml:space="preserve"> </w:t>
      </w:r>
      <w:r>
        <w:rPr>
          <w:rFonts w:ascii="Arial" w:hAnsi="Arial"/>
          <w:color w:val="5B6761"/>
          <w:w w:val="105"/>
          <w:sz w:val="14"/>
        </w:rPr>
        <w:t>are</w:t>
      </w:r>
      <w:r>
        <w:rPr>
          <w:rFonts w:ascii="Arial" w:hAnsi="Arial"/>
          <w:color w:val="5B6761"/>
          <w:spacing w:val="-22"/>
          <w:w w:val="105"/>
          <w:sz w:val="14"/>
        </w:rPr>
        <w:t xml:space="preserve"> </w:t>
      </w:r>
      <w:r>
        <w:rPr>
          <w:rFonts w:ascii="Arial" w:hAnsi="Arial"/>
          <w:color w:val="5B6761"/>
          <w:w w:val="105"/>
          <w:sz w:val="14"/>
        </w:rPr>
        <w:t>already</w:t>
      </w:r>
      <w:r>
        <w:rPr>
          <w:rFonts w:ascii="Arial" w:hAnsi="Arial"/>
          <w:color w:val="5B6761"/>
          <w:spacing w:val="-22"/>
          <w:w w:val="105"/>
          <w:sz w:val="14"/>
        </w:rPr>
        <w:t xml:space="preserve"> </w:t>
      </w:r>
      <w:r>
        <w:rPr>
          <w:rFonts w:ascii="Arial" w:hAnsi="Arial"/>
          <w:color w:val="5B6761"/>
          <w:w w:val="105"/>
          <w:sz w:val="14"/>
        </w:rPr>
        <w:t>AUST</w:t>
      </w:r>
      <w:r>
        <w:rPr>
          <w:rFonts w:ascii="Arial" w:hAnsi="Arial"/>
          <w:color w:val="5B6761"/>
          <w:spacing w:val="-21"/>
          <w:w w:val="105"/>
          <w:sz w:val="14"/>
        </w:rPr>
        <w:t xml:space="preserve"> </w:t>
      </w:r>
      <w:r>
        <w:rPr>
          <w:rFonts w:ascii="Arial" w:hAnsi="Arial"/>
          <w:color w:val="5B6761"/>
          <w:w w:val="105"/>
          <w:sz w:val="14"/>
        </w:rPr>
        <w:t>L.</w:t>
      </w:r>
      <w:r>
        <w:rPr>
          <w:rFonts w:ascii="Arial" w:hAnsi="Arial"/>
          <w:color w:val="5B6761"/>
          <w:spacing w:val="-22"/>
          <w:w w:val="105"/>
          <w:sz w:val="14"/>
        </w:rPr>
        <w:t xml:space="preserve"> </w:t>
      </w:r>
      <w:proofErr w:type="spellStart"/>
      <w:r>
        <w:rPr>
          <w:rFonts w:ascii="Arial" w:hAnsi="Arial"/>
          <w:color w:val="5B6761"/>
          <w:w w:val="105"/>
          <w:sz w:val="14"/>
        </w:rPr>
        <w:t>Noetic’s</w:t>
      </w:r>
      <w:proofErr w:type="spellEnd"/>
      <w:r>
        <w:rPr>
          <w:rFonts w:ascii="Arial" w:hAnsi="Arial"/>
          <w:color w:val="5B6761"/>
          <w:spacing w:val="-22"/>
          <w:w w:val="105"/>
          <w:sz w:val="14"/>
        </w:rPr>
        <w:t xml:space="preserve"> </w:t>
      </w:r>
      <w:r>
        <w:rPr>
          <w:rFonts w:ascii="Arial" w:hAnsi="Arial"/>
          <w:color w:val="5B6761"/>
          <w:w w:val="105"/>
          <w:sz w:val="14"/>
        </w:rPr>
        <w:t>understanding</w:t>
      </w:r>
      <w:r>
        <w:rPr>
          <w:rFonts w:ascii="Arial" w:hAnsi="Arial"/>
          <w:color w:val="5B6761"/>
          <w:spacing w:val="-21"/>
          <w:w w:val="105"/>
          <w:sz w:val="14"/>
        </w:rPr>
        <w:t xml:space="preserve"> </w:t>
      </w:r>
      <w:r>
        <w:rPr>
          <w:rFonts w:ascii="Arial" w:hAnsi="Arial"/>
          <w:color w:val="5B6761"/>
          <w:w w:val="105"/>
          <w:sz w:val="14"/>
        </w:rPr>
        <w:t>is</w:t>
      </w:r>
      <w:r>
        <w:rPr>
          <w:rFonts w:ascii="Arial" w:hAnsi="Arial"/>
          <w:color w:val="5B6761"/>
          <w:spacing w:val="-19"/>
          <w:w w:val="105"/>
          <w:sz w:val="14"/>
        </w:rPr>
        <w:t xml:space="preserve"> </w:t>
      </w:r>
      <w:r>
        <w:rPr>
          <w:rFonts w:ascii="Arial" w:hAnsi="Arial"/>
          <w:color w:val="5B6761"/>
          <w:w w:val="105"/>
          <w:sz w:val="14"/>
        </w:rPr>
        <w:t>that</w:t>
      </w:r>
      <w:r>
        <w:rPr>
          <w:rFonts w:ascii="Arial" w:hAnsi="Arial"/>
          <w:color w:val="5B6761"/>
          <w:spacing w:val="-22"/>
          <w:w w:val="105"/>
          <w:sz w:val="14"/>
        </w:rPr>
        <w:t xml:space="preserve"> </w:t>
      </w:r>
      <w:r>
        <w:rPr>
          <w:rFonts w:ascii="Arial" w:hAnsi="Arial"/>
          <w:color w:val="5B6761"/>
          <w:w w:val="105"/>
          <w:sz w:val="14"/>
        </w:rPr>
        <w:t>these</w:t>
      </w:r>
      <w:r>
        <w:rPr>
          <w:rFonts w:ascii="Arial" w:hAnsi="Arial"/>
          <w:color w:val="5B6761"/>
          <w:spacing w:val="-22"/>
          <w:w w:val="105"/>
          <w:sz w:val="14"/>
        </w:rPr>
        <w:t xml:space="preserve"> </w:t>
      </w:r>
      <w:r>
        <w:rPr>
          <w:rFonts w:ascii="Arial" w:hAnsi="Arial"/>
          <w:color w:val="5B6761"/>
          <w:w w:val="105"/>
          <w:sz w:val="14"/>
        </w:rPr>
        <w:t>products</w:t>
      </w:r>
      <w:r>
        <w:rPr>
          <w:rFonts w:ascii="Arial" w:hAnsi="Arial"/>
          <w:color w:val="5B6761"/>
          <w:spacing w:val="-22"/>
          <w:w w:val="105"/>
          <w:sz w:val="14"/>
        </w:rPr>
        <w:t xml:space="preserve"> </w:t>
      </w:r>
      <w:r>
        <w:rPr>
          <w:rFonts w:ascii="Arial" w:hAnsi="Arial"/>
          <w:color w:val="5B6761"/>
          <w:w w:val="105"/>
          <w:sz w:val="14"/>
        </w:rPr>
        <w:t>have</w:t>
      </w:r>
      <w:r>
        <w:rPr>
          <w:rFonts w:ascii="Arial" w:hAnsi="Arial"/>
          <w:color w:val="5B6761"/>
          <w:spacing w:val="-22"/>
          <w:w w:val="105"/>
          <w:sz w:val="14"/>
        </w:rPr>
        <w:t xml:space="preserve"> </w:t>
      </w:r>
      <w:r>
        <w:rPr>
          <w:rFonts w:ascii="Arial" w:hAnsi="Arial"/>
          <w:color w:val="5B6761"/>
          <w:w w:val="105"/>
          <w:sz w:val="14"/>
        </w:rPr>
        <w:t>been</w:t>
      </w:r>
      <w:r>
        <w:rPr>
          <w:rFonts w:ascii="Arial" w:hAnsi="Arial"/>
          <w:color w:val="5B6761"/>
          <w:spacing w:val="-21"/>
          <w:w w:val="105"/>
          <w:sz w:val="14"/>
        </w:rPr>
        <w:t xml:space="preserve"> </w:t>
      </w:r>
      <w:r>
        <w:rPr>
          <w:rFonts w:ascii="Arial" w:hAnsi="Arial"/>
          <w:color w:val="5B6761"/>
          <w:w w:val="105"/>
          <w:sz w:val="14"/>
        </w:rPr>
        <w:t>listed</w:t>
      </w:r>
      <w:r>
        <w:rPr>
          <w:rFonts w:ascii="Arial" w:hAnsi="Arial"/>
          <w:color w:val="5B6761"/>
          <w:spacing w:val="-21"/>
          <w:w w:val="105"/>
          <w:sz w:val="14"/>
        </w:rPr>
        <w:t xml:space="preserve"> </w:t>
      </w:r>
      <w:r>
        <w:rPr>
          <w:rFonts w:ascii="Arial" w:hAnsi="Arial"/>
          <w:color w:val="5B6761"/>
          <w:w w:val="105"/>
          <w:sz w:val="14"/>
        </w:rPr>
        <w:t>on</w:t>
      </w:r>
      <w:r>
        <w:rPr>
          <w:rFonts w:ascii="Arial" w:hAnsi="Arial"/>
          <w:color w:val="5B6761"/>
          <w:spacing w:val="-21"/>
          <w:w w:val="105"/>
          <w:sz w:val="14"/>
        </w:rPr>
        <w:t xml:space="preserve"> </w:t>
      </w:r>
      <w:r>
        <w:rPr>
          <w:rFonts w:ascii="Arial" w:hAnsi="Arial"/>
          <w:color w:val="5B6761"/>
          <w:w w:val="105"/>
          <w:sz w:val="14"/>
        </w:rPr>
        <w:t>the</w:t>
      </w:r>
      <w:r>
        <w:rPr>
          <w:rFonts w:ascii="Arial" w:hAnsi="Arial"/>
          <w:color w:val="5B6761"/>
          <w:spacing w:val="-22"/>
          <w:w w:val="105"/>
          <w:sz w:val="14"/>
        </w:rPr>
        <w:t xml:space="preserve"> </w:t>
      </w:r>
      <w:r>
        <w:rPr>
          <w:rFonts w:ascii="Arial" w:hAnsi="Arial"/>
          <w:color w:val="5B6761"/>
          <w:w w:val="105"/>
          <w:sz w:val="14"/>
        </w:rPr>
        <w:t>ARTG</w:t>
      </w:r>
      <w:r>
        <w:rPr>
          <w:rFonts w:ascii="Arial" w:hAnsi="Arial"/>
          <w:color w:val="5B6761"/>
          <w:spacing w:val="-21"/>
          <w:w w:val="105"/>
          <w:sz w:val="14"/>
        </w:rPr>
        <w:t xml:space="preserve"> </w:t>
      </w:r>
      <w:r>
        <w:rPr>
          <w:rFonts w:ascii="Arial" w:hAnsi="Arial"/>
          <w:color w:val="5B6761"/>
          <w:w w:val="105"/>
          <w:sz w:val="14"/>
        </w:rPr>
        <w:t>due</w:t>
      </w:r>
      <w:r>
        <w:rPr>
          <w:rFonts w:ascii="Arial" w:hAnsi="Arial"/>
          <w:color w:val="5B6761"/>
          <w:spacing w:val="-22"/>
          <w:w w:val="105"/>
          <w:sz w:val="14"/>
        </w:rPr>
        <w:t xml:space="preserve"> </w:t>
      </w:r>
      <w:r>
        <w:rPr>
          <w:rFonts w:ascii="Arial" w:hAnsi="Arial"/>
          <w:color w:val="5B6761"/>
          <w:w w:val="105"/>
          <w:sz w:val="14"/>
        </w:rPr>
        <w:t>to</w:t>
      </w:r>
      <w:r>
        <w:rPr>
          <w:rFonts w:ascii="Arial" w:hAnsi="Arial"/>
          <w:color w:val="5B6761"/>
          <w:spacing w:val="-22"/>
          <w:w w:val="105"/>
          <w:sz w:val="14"/>
        </w:rPr>
        <w:t xml:space="preserve"> </w:t>
      </w:r>
      <w:r>
        <w:rPr>
          <w:rFonts w:ascii="Arial" w:hAnsi="Arial"/>
          <w:color w:val="5B6761"/>
          <w:w w:val="105"/>
          <w:sz w:val="14"/>
        </w:rPr>
        <w:t>the</w:t>
      </w:r>
      <w:r>
        <w:rPr>
          <w:rFonts w:ascii="Arial" w:hAnsi="Arial"/>
          <w:color w:val="5B6761"/>
          <w:spacing w:val="-22"/>
          <w:w w:val="105"/>
          <w:sz w:val="14"/>
        </w:rPr>
        <w:t xml:space="preserve"> </w:t>
      </w:r>
      <w:r>
        <w:rPr>
          <w:rFonts w:ascii="Arial" w:hAnsi="Arial"/>
          <w:color w:val="5B6761"/>
          <w:w w:val="105"/>
          <w:sz w:val="14"/>
        </w:rPr>
        <w:t>nature of</w:t>
      </w:r>
      <w:r>
        <w:rPr>
          <w:rFonts w:ascii="Arial" w:hAnsi="Arial"/>
          <w:color w:val="5B6761"/>
          <w:spacing w:val="-14"/>
          <w:w w:val="105"/>
          <w:sz w:val="14"/>
        </w:rPr>
        <w:t xml:space="preserve"> </w:t>
      </w:r>
      <w:r>
        <w:rPr>
          <w:rFonts w:ascii="Arial" w:hAnsi="Arial"/>
          <w:color w:val="5B6761"/>
          <w:w w:val="105"/>
          <w:sz w:val="14"/>
        </w:rPr>
        <w:t>the</w:t>
      </w:r>
      <w:r>
        <w:rPr>
          <w:rFonts w:ascii="Arial" w:hAnsi="Arial"/>
          <w:color w:val="5B6761"/>
          <w:spacing w:val="-14"/>
          <w:w w:val="105"/>
          <w:sz w:val="14"/>
        </w:rPr>
        <w:t xml:space="preserve"> </w:t>
      </w:r>
      <w:r>
        <w:rPr>
          <w:rFonts w:ascii="Arial" w:hAnsi="Arial"/>
          <w:color w:val="5B6761"/>
          <w:w w:val="105"/>
          <w:sz w:val="14"/>
        </w:rPr>
        <w:t>therapeutic</w:t>
      </w:r>
      <w:r>
        <w:rPr>
          <w:rFonts w:ascii="Arial" w:hAnsi="Arial"/>
          <w:color w:val="5B6761"/>
          <w:spacing w:val="-13"/>
          <w:w w:val="105"/>
          <w:sz w:val="14"/>
        </w:rPr>
        <w:t xml:space="preserve"> </w:t>
      </w:r>
      <w:r>
        <w:rPr>
          <w:rFonts w:ascii="Arial" w:hAnsi="Arial"/>
          <w:color w:val="5B6761"/>
          <w:w w:val="105"/>
          <w:sz w:val="14"/>
        </w:rPr>
        <w:t>claims</w:t>
      </w:r>
      <w:r>
        <w:rPr>
          <w:rFonts w:ascii="Arial" w:hAnsi="Arial"/>
          <w:color w:val="5B6761"/>
          <w:spacing w:val="-13"/>
          <w:w w:val="105"/>
          <w:sz w:val="14"/>
        </w:rPr>
        <w:t xml:space="preserve"> </w:t>
      </w:r>
      <w:r>
        <w:rPr>
          <w:rFonts w:ascii="Arial" w:hAnsi="Arial"/>
          <w:color w:val="5B6761"/>
          <w:w w:val="105"/>
          <w:sz w:val="14"/>
        </w:rPr>
        <w:t>that</w:t>
      </w:r>
      <w:r>
        <w:rPr>
          <w:rFonts w:ascii="Arial" w:hAnsi="Arial"/>
          <w:color w:val="5B6761"/>
          <w:spacing w:val="-12"/>
          <w:w w:val="105"/>
          <w:sz w:val="14"/>
        </w:rPr>
        <w:t xml:space="preserve"> </w:t>
      </w:r>
      <w:r>
        <w:rPr>
          <w:rFonts w:ascii="Arial" w:hAnsi="Arial"/>
          <w:color w:val="5B6761"/>
          <w:w w:val="105"/>
          <w:sz w:val="14"/>
        </w:rPr>
        <w:t>can</w:t>
      </w:r>
      <w:r>
        <w:rPr>
          <w:rFonts w:ascii="Arial" w:hAnsi="Arial"/>
          <w:color w:val="5B6761"/>
          <w:spacing w:val="-12"/>
          <w:w w:val="105"/>
          <w:sz w:val="14"/>
        </w:rPr>
        <w:t xml:space="preserve"> </w:t>
      </w:r>
      <w:r>
        <w:rPr>
          <w:rFonts w:ascii="Arial" w:hAnsi="Arial"/>
          <w:color w:val="5B6761"/>
          <w:w w:val="105"/>
          <w:sz w:val="14"/>
        </w:rPr>
        <w:t>be</w:t>
      </w:r>
      <w:r>
        <w:rPr>
          <w:rFonts w:ascii="Arial" w:hAnsi="Arial"/>
          <w:color w:val="5B6761"/>
          <w:spacing w:val="-14"/>
          <w:w w:val="105"/>
          <w:sz w:val="14"/>
        </w:rPr>
        <w:t xml:space="preserve"> </w:t>
      </w:r>
      <w:r>
        <w:rPr>
          <w:rFonts w:ascii="Arial" w:hAnsi="Arial"/>
          <w:color w:val="5B6761"/>
          <w:w w:val="105"/>
          <w:sz w:val="14"/>
        </w:rPr>
        <w:t>made,</w:t>
      </w:r>
      <w:r>
        <w:rPr>
          <w:rFonts w:ascii="Arial" w:hAnsi="Arial"/>
          <w:color w:val="5B6761"/>
          <w:spacing w:val="-13"/>
          <w:w w:val="105"/>
          <w:sz w:val="14"/>
        </w:rPr>
        <w:t xml:space="preserve"> </w:t>
      </w:r>
      <w:r>
        <w:rPr>
          <w:rFonts w:ascii="Arial" w:hAnsi="Arial"/>
          <w:color w:val="5B6761"/>
          <w:w w:val="105"/>
          <w:sz w:val="14"/>
        </w:rPr>
        <w:t>which</w:t>
      </w:r>
      <w:r>
        <w:rPr>
          <w:rFonts w:ascii="Arial" w:hAnsi="Arial"/>
          <w:color w:val="5B6761"/>
          <w:spacing w:val="-14"/>
          <w:w w:val="105"/>
          <w:sz w:val="14"/>
        </w:rPr>
        <w:t xml:space="preserve"> </w:t>
      </w:r>
      <w:r>
        <w:rPr>
          <w:rFonts w:ascii="Arial" w:hAnsi="Arial"/>
          <w:color w:val="5B6761"/>
          <w:w w:val="105"/>
          <w:sz w:val="14"/>
        </w:rPr>
        <w:t>are</w:t>
      </w:r>
      <w:r>
        <w:rPr>
          <w:rFonts w:ascii="Arial" w:hAnsi="Arial"/>
          <w:color w:val="5B6761"/>
          <w:spacing w:val="-8"/>
          <w:w w:val="105"/>
          <w:sz w:val="14"/>
        </w:rPr>
        <w:t xml:space="preserve"> </w:t>
      </w:r>
      <w:r>
        <w:rPr>
          <w:rFonts w:ascii="Arial" w:hAnsi="Arial"/>
          <w:color w:val="5B6761"/>
          <w:w w:val="105"/>
          <w:sz w:val="14"/>
        </w:rPr>
        <w:t>more</w:t>
      </w:r>
      <w:r>
        <w:rPr>
          <w:rFonts w:ascii="Arial" w:hAnsi="Arial"/>
          <w:color w:val="5B6761"/>
          <w:spacing w:val="-13"/>
          <w:w w:val="105"/>
          <w:sz w:val="14"/>
        </w:rPr>
        <w:t xml:space="preserve"> </w:t>
      </w:r>
      <w:r>
        <w:rPr>
          <w:rFonts w:ascii="Arial" w:hAnsi="Arial"/>
          <w:color w:val="5B6761"/>
          <w:w w:val="105"/>
          <w:sz w:val="14"/>
        </w:rPr>
        <w:t>precise</w:t>
      </w:r>
      <w:r>
        <w:rPr>
          <w:rFonts w:ascii="Arial" w:hAnsi="Arial"/>
          <w:color w:val="5B6761"/>
          <w:spacing w:val="-14"/>
          <w:w w:val="105"/>
          <w:sz w:val="14"/>
        </w:rPr>
        <w:t xml:space="preserve"> </w:t>
      </w:r>
      <w:r>
        <w:rPr>
          <w:rFonts w:ascii="Arial" w:hAnsi="Arial"/>
          <w:color w:val="5B6761"/>
          <w:w w:val="105"/>
          <w:sz w:val="14"/>
        </w:rPr>
        <w:t>in</w:t>
      </w:r>
      <w:r>
        <w:rPr>
          <w:rFonts w:ascii="Arial" w:hAnsi="Arial"/>
          <w:color w:val="5B6761"/>
          <w:spacing w:val="-12"/>
          <w:w w:val="105"/>
          <w:sz w:val="14"/>
        </w:rPr>
        <w:t xml:space="preserve"> </w:t>
      </w:r>
      <w:r>
        <w:rPr>
          <w:rFonts w:ascii="Arial" w:hAnsi="Arial"/>
          <w:color w:val="5B6761"/>
          <w:w w:val="105"/>
          <w:sz w:val="14"/>
        </w:rPr>
        <w:t>their</w:t>
      </w:r>
      <w:r>
        <w:rPr>
          <w:rFonts w:ascii="Arial" w:hAnsi="Arial"/>
          <w:color w:val="5B6761"/>
          <w:spacing w:val="-12"/>
          <w:w w:val="105"/>
          <w:sz w:val="14"/>
        </w:rPr>
        <w:t xml:space="preserve"> </w:t>
      </w:r>
      <w:r>
        <w:rPr>
          <w:rFonts w:ascii="Arial" w:hAnsi="Arial"/>
          <w:color w:val="5B6761"/>
          <w:w w:val="105"/>
          <w:sz w:val="14"/>
        </w:rPr>
        <w:t>therapeutic</w:t>
      </w:r>
      <w:r>
        <w:rPr>
          <w:rFonts w:ascii="Arial" w:hAnsi="Arial"/>
          <w:color w:val="5B6761"/>
          <w:spacing w:val="-13"/>
          <w:w w:val="105"/>
          <w:sz w:val="14"/>
        </w:rPr>
        <w:t xml:space="preserve"> </w:t>
      </w:r>
      <w:r>
        <w:rPr>
          <w:rFonts w:ascii="Arial" w:hAnsi="Arial"/>
          <w:color w:val="5B6761"/>
          <w:w w:val="105"/>
          <w:sz w:val="14"/>
        </w:rPr>
        <w:t>nature</w:t>
      </w:r>
      <w:r>
        <w:rPr>
          <w:rFonts w:ascii="Arial" w:hAnsi="Arial"/>
          <w:color w:val="5B6761"/>
          <w:spacing w:val="-13"/>
          <w:w w:val="105"/>
          <w:sz w:val="14"/>
        </w:rPr>
        <w:t xml:space="preserve"> </w:t>
      </w:r>
      <w:r>
        <w:rPr>
          <w:rFonts w:ascii="Arial" w:hAnsi="Arial"/>
          <w:color w:val="5B6761"/>
          <w:w w:val="105"/>
          <w:sz w:val="14"/>
        </w:rPr>
        <w:t>than</w:t>
      </w:r>
      <w:r>
        <w:rPr>
          <w:rFonts w:ascii="Arial" w:hAnsi="Arial"/>
          <w:color w:val="5B6761"/>
          <w:spacing w:val="-12"/>
          <w:w w:val="105"/>
          <w:sz w:val="14"/>
        </w:rPr>
        <w:t xml:space="preserve"> </w:t>
      </w:r>
      <w:r>
        <w:rPr>
          <w:rFonts w:ascii="Arial" w:hAnsi="Arial"/>
          <w:color w:val="5B6761"/>
          <w:w w:val="105"/>
          <w:sz w:val="14"/>
        </w:rPr>
        <w:t>the</w:t>
      </w:r>
      <w:r>
        <w:rPr>
          <w:rFonts w:ascii="Arial" w:hAnsi="Arial"/>
          <w:color w:val="5B6761"/>
          <w:spacing w:val="-16"/>
          <w:w w:val="105"/>
          <w:sz w:val="14"/>
        </w:rPr>
        <w:t xml:space="preserve"> </w:t>
      </w:r>
      <w:r>
        <w:rPr>
          <w:rFonts w:ascii="Arial" w:hAnsi="Arial"/>
          <w:color w:val="5B6761"/>
          <w:w w:val="105"/>
          <w:sz w:val="14"/>
        </w:rPr>
        <w:t>nutrition</w:t>
      </w:r>
      <w:r>
        <w:rPr>
          <w:rFonts w:ascii="Arial" w:hAnsi="Arial"/>
          <w:color w:val="5B6761"/>
          <w:spacing w:val="-12"/>
          <w:w w:val="105"/>
          <w:sz w:val="14"/>
        </w:rPr>
        <w:t xml:space="preserve"> </w:t>
      </w:r>
      <w:r>
        <w:rPr>
          <w:rFonts w:ascii="Arial" w:hAnsi="Arial"/>
          <w:color w:val="5B6761"/>
          <w:w w:val="105"/>
          <w:sz w:val="14"/>
        </w:rPr>
        <w:t>and</w:t>
      </w:r>
      <w:r>
        <w:rPr>
          <w:rFonts w:ascii="Arial" w:hAnsi="Arial"/>
          <w:color w:val="5B6761"/>
          <w:spacing w:val="-16"/>
          <w:w w:val="105"/>
          <w:sz w:val="14"/>
        </w:rPr>
        <w:t xml:space="preserve"> </w:t>
      </w:r>
      <w:r>
        <w:rPr>
          <w:rFonts w:ascii="Arial" w:hAnsi="Arial"/>
          <w:color w:val="5B6761"/>
          <w:w w:val="105"/>
          <w:sz w:val="14"/>
        </w:rPr>
        <w:t>health</w:t>
      </w:r>
      <w:r>
        <w:rPr>
          <w:rFonts w:ascii="Arial" w:hAnsi="Arial"/>
          <w:color w:val="5B6761"/>
          <w:spacing w:val="-12"/>
          <w:w w:val="105"/>
          <w:sz w:val="14"/>
        </w:rPr>
        <w:t xml:space="preserve"> </w:t>
      </w:r>
      <w:r>
        <w:rPr>
          <w:rFonts w:ascii="Arial" w:hAnsi="Arial"/>
          <w:color w:val="5B6761"/>
          <w:w w:val="105"/>
          <w:sz w:val="14"/>
        </w:rPr>
        <w:t>claims that</w:t>
      </w:r>
      <w:r>
        <w:rPr>
          <w:rFonts w:ascii="Arial" w:hAnsi="Arial"/>
          <w:color w:val="5B6761"/>
          <w:spacing w:val="-21"/>
          <w:w w:val="105"/>
          <w:sz w:val="14"/>
        </w:rPr>
        <w:t xml:space="preserve"> </w:t>
      </w:r>
      <w:r>
        <w:rPr>
          <w:rFonts w:ascii="Arial" w:hAnsi="Arial"/>
          <w:color w:val="5B6761"/>
          <w:w w:val="105"/>
          <w:sz w:val="14"/>
        </w:rPr>
        <w:t>can</w:t>
      </w:r>
      <w:r>
        <w:rPr>
          <w:rFonts w:ascii="Arial" w:hAnsi="Arial"/>
          <w:color w:val="5B6761"/>
          <w:spacing w:val="-22"/>
          <w:w w:val="105"/>
          <w:sz w:val="14"/>
        </w:rPr>
        <w:t xml:space="preserve"> </w:t>
      </w:r>
      <w:r>
        <w:rPr>
          <w:rFonts w:ascii="Arial" w:hAnsi="Arial"/>
          <w:color w:val="5B6761"/>
          <w:w w:val="105"/>
          <w:sz w:val="14"/>
        </w:rPr>
        <w:t>be</w:t>
      </w:r>
      <w:r>
        <w:rPr>
          <w:rFonts w:ascii="Arial" w:hAnsi="Arial"/>
          <w:color w:val="5B6761"/>
          <w:spacing w:val="-21"/>
          <w:w w:val="105"/>
          <w:sz w:val="14"/>
        </w:rPr>
        <w:t xml:space="preserve"> </w:t>
      </w:r>
      <w:r>
        <w:rPr>
          <w:rFonts w:ascii="Arial" w:hAnsi="Arial"/>
          <w:color w:val="5B6761"/>
          <w:w w:val="105"/>
          <w:sz w:val="14"/>
        </w:rPr>
        <w:t>made</w:t>
      </w:r>
      <w:r>
        <w:rPr>
          <w:rFonts w:ascii="Arial" w:hAnsi="Arial"/>
          <w:color w:val="5B6761"/>
          <w:spacing w:val="-22"/>
          <w:w w:val="105"/>
          <w:sz w:val="14"/>
        </w:rPr>
        <w:t xml:space="preserve"> </w:t>
      </w:r>
      <w:r>
        <w:rPr>
          <w:rFonts w:ascii="Arial" w:hAnsi="Arial"/>
          <w:color w:val="5B6761"/>
          <w:w w:val="105"/>
          <w:sz w:val="14"/>
        </w:rPr>
        <w:t>under</w:t>
      </w:r>
      <w:r>
        <w:rPr>
          <w:rFonts w:ascii="Arial" w:hAnsi="Arial"/>
          <w:color w:val="5B6761"/>
          <w:spacing w:val="-21"/>
          <w:w w:val="105"/>
          <w:sz w:val="14"/>
        </w:rPr>
        <w:t xml:space="preserve"> </w:t>
      </w:r>
      <w:r>
        <w:rPr>
          <w:rFonts w:ascii="Arial" w:hAnsi="Arial"/>
          <w:color w:val="5B6761"/>
          <w:w w:val="105"/>
          <w:sz w:val="14"/>
        </w:rPr>
        <w:t>Australia</w:t>
      </w:r>
      <w:r>
        <w:rPr>
          <w:rFonts w:ascii="Arial" w:hAnsi="Arial"/>
          <w:color w:val="5B6761"/>
          <w:spacing w:val="-21"/>
          <w:w w:val="105"/>
          <w:sz w:val="14"/>
        </w:rPr>
        <w:t xml:space="preserve"> </w:t>
      </w:r>
      <w:r>
        <w:rPr>
          <w:rFonts w:ascii="Arial" w:hAnsi="Arial"/>
          <w:color w:val="5B6761"/>
          <w:w w:val="105"/>
          <w:sz w:val="14"/>
        </w:rPr>
        <w:t>New</w:t>
      </w:r>
      <w:r>
        <w:rPr>
          <w:rFonts w:ascii="Arial" w:hAnsi="Arial"/>
          <w:color w:val="5B6761"/>
          <w:spacing w:val="-21"/>
          <w:w w:val="105"/>
          <w:sz w:val="14"/>
        </w:rPr>
        <w:t xml:space="preserve"> </w:t>
      </w:r>
      <w:r>
        <w:rPr>
          <w:rFonts w:ascii="Arial" w:hAnsi="Arial"/>
          <w:color w:val="5B6761"/>
          <w:w w:val="105"/>
          <w:sz w:val="14"/>
        </w:rPr>
        <w:t>Zealand</w:t>
      </w:r>
      <w:r>
        <w:rPr>
          <w:rFonts w:ascii="Arial" w:hAnsi="Arial"/>
          <w:color w:val="5B6761"/>
          <w:spacing w:val="-20"/>
          <w:w w:val="105"/>
          <w:sz w:val="14"/>
        </w:rPr>
        <w:t xml:space="preserve"> </w:t>
      </w:r>
      <w:r>
        <w:rPr>
          <w:rFonts w:ascii="Arial" w:hAnsi="Arial"/>
          <w:color w:val="5B6761"/>
          <w:w w:val="105"/>
          <w:sz w:val="14"/>
        </w:rPr>
        <w:t>Food</w:t>
      </w:r>
      <w:r>
        <w:rPr>
          <w:rFonts w:ascii="Arial" w:hAnsi="Arial"/>
          <w:color w:val="5B6761"/>
          <w:spacing w:val="-21"/>
          <w:w w:val="105"/>
          <w:sz w:val="14"/>
        </w:rPr>
        <w:t xml:space="preserve"> </w:t>
      </w:r>
      <w:r>
        <w:rPr>
          <w:rFonts w:ascii="Arial" w:hAnsi="Arial"/>
          <w:color w:val="5B6761"/>
          <w:w w:val="105"/>
          <w:sz w:val="14"/>
        </w:rPr>
        <w:t>Standards</w:t>
      </w:r>
      <w:r>
        <w:rPr>
          <w:rFonts w:ascii="Arial" w:hAnsi="Arial"/>
          <w:color w:val="5B6761"/>
          <w:spacing w:val="-20"/>
          <w:w w:val="105"/>
          <w:sz w:val="14"/>
        </w:rPr>
        <w:t xml:space="preserve"> </w:t>
      </w:r>
      <w:r>
        <w:rPr>
          <w:rFonts w:ascii="Arial" w:hAnsi="Arial"/>
          <w:color w:val="5B6761"/>
          <w:w w:val="105"/>
          <w:sz w:val="14"/>
        </w:rPr>
        <w:t>Code</w:t>
      </w:r>
      <w:r>
        <w:rPr>
          <w:rFonts w:ascii="Arial" w:hAnsi="Arial"/>
          <w:color w:val="5B6761"/>
          <w:spacing w:val="-21"/>
          <w:w w:val="105"/>
          <w:sz w:val="14"/>
        </w:rPr>
        <w:t xml:space="preserve"> </w:t>
      </w:r>
      <w:r>
        <w:rPr>
          <w:rFonts w:ascii="Arial" w:hAnsi="Arial"/>
          <w:color w:val="5B6761"/>
          <w:w w:val="105"/>
          <w:sz w:val="14"/>
        </w:rPr>
        <w:t>–</w:t>
      </w:r>
      <w:r>
        <w:rPr>
          <w:rFonts w:ascii="Arial" w:hAnsi="Arial"/>
          <w:color w:val="5B6761"/>
          <w:spacing w:val="-20"/>
          <w:w w:val="105"/>
          <w:sz w:val="14"/>
        </w:rPr>
        <w:t xml:space="preserve"> </w:t>
      </w:r>
      <w:r>
        <w:rPr>
          <w:rFonts w:ascii="Arial" w:hAnsi="Arial"/>
          <w:color w:val="5B6761"/>
          <w:w w:val="105"/>
          <w:sz w:val="14"/>
        </w:rPr>
        <w:t>Standard</w:t>
      </w:r>
      <w:r>
        <w:rPr>
          <w:rFonts w:ascii="Arial" w:hAnsi="Arial"/>
          <w:color w:val="5B6761"/>
          <w:spacing w:val="-20"/>
          <w:w w:val="105"/>
          <w:sz w:val="14"/>
        </w:rPr>
        <w:t xml:space="preserve"> </w:t>
      </w:r>
      <w:r>
        <w:rPr>
          <w:rFonts w:ascii="Arial" w:hAnsi="Arial"/>
          <w:color w:val="5B6761"/>
          <w:w w:val="105"/>
          <w:sz w:val="14"/>
        </w:rPr>
        <w:t>1.2.7</w:t>
      </w:r>
      <w:r>
        <w:rPr>
          <w:rFonts w:ascii="Arial" w:hAnsi="Arial"/>
          <w:color w:val="5B6761"/>
          <w:spacing w:val="-21"/>
          <w:w w:val="105"/>
          <w:sz w:val="14"/>
        </w:rPr>
        <w:t xml:space="preserve"> </w:t>
      </w:r>
      <w:r>
        <w:rPr>
          <w:rFonts w:ascii="Arial" w:hAnsi="Arial"/>
          <w:color w:val="5B6761"/>
          <w:w w:val="105"/>
          <w:sz w:val="14"/>
        </w:rPr>
        <w:t>–</w:t>
      </w:r>
      <w:r>
        <w:rPr>
          <w:rFonts w:ascii="Arial" w:hAnsi="Arial"/>
          <w:color w:val="5B6761"/>
          <w:spacing w:val="-20"/>
          <w:w w:val="105"/>
          <w:sz w:val="14"/>
        </w:rPr>
        <w:t xml:space="preserve"> </w:t>
      </w:r>
      <w:r>
        <w:rPr>
          <w:rFonts w:ascii="Arial" w:hAnsi="Arial"/>
          <w:color w:val="5B6761"/>
          <w:w w:val="105"/>
          <w:sz w:val="14"/>
        </w:rPr>
        <w:t>Nutrition,</w:t>
      </w:r>
      <w:r>
        <w:rPr>
          <w:rFonts w:ascii="Arial" w:hAnsi="Arial"/>
          <w:color w:val="5B6761"/>
          <w:spacing w:val="-21"/>
          <w:w w:val="105"/>
          <w:sz w:val="14"/>
        </w:rPr>
        <w:t xml:space="preserve"> </w:t>
      </w:r>
      <w:r>
        <w:rPr>
          <w:rFonts w:ascii="Arial" w:hAnsi="Arial"/>
          <w:color w:val="5B6761"/>
          <w:w w:val="105"/>
          <w:sz w:val="14"/>
        </w:rPr>
        <w:t>health</w:t>
      </w:r>
      <w:r>
        <w:rPr>
          <w:rFonts w:ascii="Arial" w:hAnsi="Arial"/>
          <w:color w:val="5B6761"/>
          <w:spacing w:val="-20"/>
          <w:w w:val="105"/>
          <w:sz w:val="14"/>
        </w:rPr>
        <w:t xml:space="preserve"> </w:t>
      </w:r>
      <w:r>
        <w:rPr>
          <w:rFonts w:ascii="Arial" w:hAnsi="Arial"/>
          <w:color w:val="5B6761"/>
          <w:w w:val="105"/>
          <w:sz w:val="14"/>
        </w:rPr>
        <w:t>and</w:t>
      </w:r>
      <w:r>
        <w:rPr>
          <w:rFonts w:ascii="Arial" w:hAnsi="Arial"/>
          <w:color w:val="5B6761"/>
          <w:spacing w:val="-20"/>
          <w:w w:val="105"/>
          <w:sz w:val="14"/>
        </w:rPr>
        <w:t xml:space="preserve"> </w:t>
      </w:r>
      <w:r>
        <w:rPr>
          <w:rFonts w:ascii="Arial" w:hAnsi="Arial"/>
          <w:color w:val="5B6761"/>
          <w:w w:val="105"/>
          <w:sz w:val="14"/>
        </w:rPr>
        <w:t>related</w:t>
      </w:r>
      <w:r>
        <w:rPr>
          <w:rFonts w:ascii="Arial" w:hAnsi="Arial"/>
          <w:color w:val="5B6761"/>
          <w:spacing w:val="-22"/>
          <w:w w:val="105"/>
          <w:sz w:val="14"/>
        </w:rPr>
        <w:t xml:space="preserve"> </w:t>
      </w:r>
      <w:r>
        <w:rPr>
          <w:rFonts w:ascii="Arial" w:hAnsi="Arial"/>
          <w:color w:val="5B6761"/>
          <w:w w:val="105"/>
          <w:sz w:val="14"/>
        </w:rPr>
        <w:t>claims.</w:t>
      </w:r>
      <w:r>
        <w:rPr>
          <w:rFonts w:ascii="Arial" w:hAnsi="Arial"/>
          <w:color w:val="5B6761"/>
          <w:spacing w:val="-21"/>
          <w:w w:val="105"/>
          <w:sz w:val="14"/>
        </w:rPr>
        <w:t xml:space="preserve"> </w:t>
      </w:r>
      <w:r>
        <w:rPr>
          <w:rFonts w:ascii="Arial" w:hAnsi="Arial"/>
          <w:color w:val="5B6761"/>
          <w:w w:val="105"/>
          <w:sz w:val="14"/>
        </w:rPr>
        <w:t>Noetic further notes that under this standard there are 13 pre-approved food-health relationships that underpin high level health claims detailed</w:t>
      </w:r>
      <w:r>
        <w:rPr>
          <w:rFonts w:ascii="Arial" w:hAnsi="Arial"/>
          <w:color w:val="5B6761"/>
          <w:spacing w:val="-23"/>
          <w:w w:val="105"/>
          <w:sz w:val="14"/>
        </w:rPr>
        <w:t xml:space="preserve"> </w:t>
      </w:r>
      <w:r>
        <w:rPr>
          <w:rFonts w:ascii="Arial" w:hAnsi="Arial"/>
          <w:color w:val="5B6761"/>
          <w:w w:val="105"/>
          <w:sz w:val="14"/>
        </w:rPr>
        <w:t>in</w:t>
      </w:r>
      <w:r>
        <w:rPr>
          <w:rFonts w:ascii="Arial" w:hAnsi="Arial"/>
          <w:color w:val="5B6761"/>
          <w:spacing w:val="-22"/>
          <w:w w:val="105"/>
          <w:sz w:val="14"/>
        </w:rPr>
        <w:t xml:space="preserve"> </w:t>
      </w:r>
      <w:r>
        <w:rPr>
          <w:rFonts w:ascii="Arial" w:hAnsi="Arial"/>
          <w:color w:val="5B6761"/>
          <w:w w:val="105"/>
          <w:sz w:val="14"/>
        </w:rPr>
        <w:t>Australia</w:t>
      </w:r>
      <w:r>
        <w:rPr>
          <w:rFonts w:ascii="Arial" w:hAnsi="Arial"/>
          <w:color w:val="5B6761"/>
          <w:spacing w:val="-23"/>
          <w:w w:val="105"/>
          <w:sz w:val="14"/>
        </w:rPr>
        <w:t xml:space="preserve"> </w:t>
      </w:r>
      <w:r>
        <w:rPr>
          <w:rFonts w:ascii="Arial" w:hAnsi="Arial"/>
          <w:color w:val="5B6761"/>
          <w:w w:val="105"/>
          <w:sz w:val="14"/>
        </w:rPr>
        <w:t>New</w:t>
      </w:r>
      <w:r>
        <w:rPr>
          <w:rFonts w:ascii="Arial" w:hAnsi="Arial"/>
          <w:color w:val="5B6761"/>
          <w:spacing w:val="-22"/>
          <w:w w:val="105"/>
          <w:sz w:val="14"/>
        </w:rPr>
        <w:t xml:space="preserve"> </w:t>
      </w:r>
      <w:r>
        <w:rPr>
          <w:rFonts w:ascii="Arial" w:hAnsi="Arial"/>
          <w:color w:val="5B6761"/>
          <w:w w:val="105"/>
          <w:sz w:val="14"/>
        </w:rPr>
        <w:t>Zealand</w:t>
      </w:r>
      <w:r>
        <w:rPr>
          <w:rFonts w:ascii="Arial" w:hAnsi="Arial"/>
          <w:color w:val="5B6761"/>
          <w:spacing w:val="-23"/>
          <w:w w:val="105"/>
          <w:sz w:val="14"/>
        </w:rPr>
        <w:t xml:space="preserve"> </w:t>
      </w:r>
      <w:r>
        <w:rPr>
          <w:rFonts w:ascii="Arial" w:hAnsi="Arial"/>
          <w:color w:val="5B6761"/>
          <w:w w:val="105"/>
          <w:sz w:val="14"/>
        </w:rPr>
        <w:t>Food</w:t>
      </w:r>
      <w:r>
        <w:rPr>
          <w:rFonts w:ascii="Arial" w:hAnsi="Arial"/>
          <w:color w:val="5B6761"/>
          <w:spacing w:val="-22"/>
          <w:w w:val="105"/>
          <w:sz w:val="14"/>
        </w:rPr>
        <w:t xml:space="preserve"> </w:t>
      </w:r>
      <w:r>
        <w:rPr>
          <w:rFonts w:ascii="Arial" w:hAnsi="Arial"/>
          <w:color w:val="5B6761"/>
          <w:w w:val="105"/>
          <w:sz w:val="14"/>
        </w:rPr>
        <w:t>Standards</w:t>
      </w:r>
      <w:r>
        <w:rPr>
          <w:rFonts w:ascii="Arial" w:hAnsi="Arial"/>
          <w:color w:val="5B6761"/>
          <w:spacing w:val="-23"/>
          <w:w w:val="105"/>
          <w:sz w:val="14"/>
        </w:rPr>
        <w:t xml:space="preserve"> </w:t>
      </w:r>
      <w:r>
        <w:rPr>
          <w:rFonts w:ascii="Arial" w:hAnsi="Arial"/>
          <w:color w:val="5B6761"/>
          <w:w w:val="105"/>
          <w:sz w:val="14"/>
        </w:rPr>
        <w:t>Code</w:t>
      </w:r>
      <w:r>
        <w:rPr>
          <w:rFonts w:ascii="Arial" w:hAnsi="Arial"/>
          <w:color w:val="5B6761"/>
          <w:spacing w:val="-21"/>
          <w:w w:val="105"/>
          <w:sz w:val="14"/>
        </w:rPr>
        <w:t xml:space="preserve"> </w:t>
      </w:r>
      <w:r>
        <w:rPr>
          <w:rFonts w:ascii="Arial" w:hAnsi="Arial"/>
          <w:color w:val="5B6761"/>
          <w:w w:val="105"/>
          <w:sz w:val="14"/>
        </w:rPr>
        <w:t>–</w:t>
      </w:r>
      <w:r>
        <w:rPr>
          <w:rFonts w:ascii="Arial" w:hAnsi="Arial"/>
          <w:color w:val="5B6761"/>
          <w:spacing w:val="-22"/>
          <w:w w:val="105"/>
          <w:sz w:val="14"/>
        </w:rPr>
        <w:t xml:space="preserve"> </w:t>
      </w:r>
      <w:r>
        <w:rPr>
          <w:rFonts w:ascii="Arial" w:hAnsi="Arial"/>
          <w:color w:val="5B6761"/>
          <w:w w:val="105"/>
          <w:sz w:val="14"/>
        </w:rPr>
        <w:t>Schedule</w:t>
      </w:r>
      <w:r>
        <w:rPr>
          <w:rFonts w:ascii="Arial" w:hAnsi="Arial"/>
          <w:color w:val="5B6761"/>
          <w:spacing w:val="-24"/>
          <w:w w:val="105"/>
          <w:sz w:val="14"/>
        </w:rPr>
        <w:t xml:space="preserve"> </w:t>
      </w:r>
      <w:r>
        <w:rPr>
          <w:rFonts w:ascii="Arial" w:hAnsi="Arial"/>
          <w:color w:val="5B6761"/>
          <w:w w:val="105"/>
          <w:sz w:val="14"/>
        </w:rPr>
        <w:t>4</w:t>
      </w:r>
      <w:r>
        <w:rPr>
          <w:rFonts w:ascii="Arial" w:hAnsi="Arial"/>
          <w:color w:val="5B6761"/>
          <w:spacing w:val="-22"/>
          <w:w w:val="105"/>
          <w:sz w:val="14"/>
        </w:rPr>
        <w:t xml:space="preserve"> </w:t>
      </w:r>
      <w:r>
        <w:rPr>
          <w:rFonts w:ascii="Arial" w:hAnsi="Arial"/>
          <w:color w:val="5B6761"/>
          <w:w w:val="105"/>
          <w:sz w:val="14"/>
        </w:rPr>
        <w:t>–</w:t>
      </w:r>
      <w:r>
        <w:rPr>
          <w:rFonts w:ascii="Arial" w:hAnsi="Arial"/>
          <w:color w:val="5B6761"/>
          <w:spacing w:val="-24"/>
          <w:w w:val="105"/>
          <w:sz w:val="14"/>
        </w:rPr>
        <w:t xml:space="preserve"> </w:t>
      </w:r>
      <w:r>
        <w:rPr>
          <w:rFonts w:ascii="Arial" w:hAnsi="Arial"/>
          <w:color w:val="5B6761"/>
          <w:w w:val="105"/>
          <w:sz w:val="14"/>
        </w:rPr>
        <w:t>Nutrition,</w:t>
      </w:r>
      <w:r>
        <w:rPr>
          <w:rFonts w:ascii="Arial" w:hAnsi="Arial"/>
          <w:color w:val="5B6761"/>
          <w:spacing w:val="-23"/>
          <w:w w:val="105"/>
          <w:sz w:val="14"/>
        </w:rPr>
        <w:t xml:space="preserve"> </w:t>
      </w:r>
      <w:r>
        <w:rPr>
          <w:rFonts w:ascii="Arial" w:hAnsi="Arial"/>
          <w:color w:val="5B6761"/>
          <w:w w:val="105"/>
          <w:sz w:val="14"/>
        </w:rPr>
        <w:t>health</w:t>
      </w:r>
      <w:r>
        <w:rPr>
          <w:rFonts w:ascii="Arial" w:hAnsi="Arial"/>
          <w:color w:val="5B6761"/>
          <w:spacing w:val="-22"/>
          <w:w w:val="105"/>
          <w:sz w:val="14"/>
        </w:rPr>
        <w:t xml:space="preserve"> </w:t>
      </w:r>
      <w:r>
        <w:rPr>
          <w:rFonts w:ascii="Arial" w:hAnsi="Arial"/>
          <w:color w:val="5B6761"/>
          <w:w w:val="105"/>
          <w:sz w:val="14"/>
        </w:rPr>
        <w:t>and</w:t>
      </w:r>
      <w:r>
        <w:rPr>
          <w:rFonts w:ascii="Arial" w:hAnsi="Arial"/>
          <w:color w:val="5B6761"/>
          <w:spacing w:val="-23"/>
          <w:w w:val="105"/>
          <w:sz w:val="14"/>
        </w:rPr>
        <w:t xml:space="preserve"> </w:t>
      </w:r>
      <w:r>
        <w:rPr>
          <w:rFonts w:ascii="Arial" w:hAnsi="Arial"/>
          <w:color w:val="5B6761"/>
          <w:w w:val="105"/>
          <w:sz w:val="14"/>
        </w:rPr>
        <w:t>related</w:t>
      </w:r>
      <w:r>
        <w:rPr>
          <w:rFonts w:ascii="Arial" w:hAnsi="Arial"/>
          <w:color w:val="5B6761"/>
          <w:spacing w:val="-22"/>
          <w:w w:val="105"/>
          <w:sz w:val="14"/>
        </w:rPr>
        <w:t xml:space="preserve"> </w:t>
      </w:r>
      <w:r>
        <w:rPr>
          <w:rFonts w:ascii="Arial" w:hAnsi="Arial"/>
          <w:color w:val="5B6761"/>
          <w:w w:val="105"/>
          <w:sz w:val="14"/>
        </w:rPr>
        <w:t>claims</w:t>
      </w:r>
      <w:r>
        <w:rPr>
          <w:rFonts w:ascii="Arial" w:hAnsi="Arial"/>
          <w:color w:val="5B6761"/>
          <w:spacing w:val="-24"/>
          <w:w w:val="105"/>
          <w:sz w:val="14"/>
        </w:rPr>
        <w:t xml:space="preserve"> </w:t>
      </w:r>
      <w:r>
        <w:rPr>
          <w:rFonts w:ascii="Arial" w:hAnsi="Arial"/>
          <w:color w:val="5B6761"/>
          <w:w w:val="105"/>
          <w:sz w:val="14"/>
        </w:rPr>
        <w:t>(e.g.</w:t>
      </w:r>
      <w:r>
        <w:rPr>
          <w:rFonts w:ascii="Arial" w:hAnsi="Arial"/>
          <w:color w:val="5B6761"/>
          <w:spacing w:val="-23"/>
          <w:w w:val="105"/>
          <w:sz w:val="14"/>
        </w:rPr>
        <w:t xml:space="preserve"> </w:t>
      </w:r>
      <w:r>
        <w:rPr>
          <w:rFonts w:ascii="Arial" w:hAnsi="Arial"/>
          <w:color w:val="5B6761"/>
          <w:w w:val="105"/>
          <w:sz w:val="14"/>
        </w:rPr>
        <w:t>beta-</w:t>
      </w:r>
      <w:proofErr w:type="spellStart"/>
      <w:r>
        <w:rPr>
          <w:rFonts w:ascii="Arial" w:hAnsi="Arial"/>
          <w:color w:val="5B6761"/>
          <w:w w:val="105"/>
          <w:sz w:val="14"/>
        </w:rPr>
        <w:t>glucan</w:t>
      </w:r>
      <w:proofErr w:type="spellEnd"/>
      <w:r>
        <w:rPr>
          <w:rFonts w:ascii="Arial" w:hAnsi="Arial"/>
          <w:color w:val="5B6761"/>
          <w:spacing w:val="-22"/>
          <w:w w:val="105"/>
          <w:sz w:val="14"/>
        </w:rPr>
        <w:t xml:space="preserve"> </w:t>
      </w:r>
      <w:r>
        <w:rPr>
          <w:rFonts w:ascii="Arial" w:hAnsi="Arial"/>
          <w:color w:val="5B6761"/>
          <w:w w:val="105"/>
          <w:sz w:val="14"/>
        </w:rPr>
        <w:t>products can claim a specific health effect of ‘reduced blood cholesterol’ and folic acid (but not folate) can claim a specific health effect for women</w:t>
      </w:r>
      <w:r>
        <w:rPr>
          <w:rFonts w:ascii="Arial" w:hAnsi="Arial"/>
          <w:color w:val="5B6761"/>
          <w:spacing w:val="-9"/>
          <w:w w:val="105"/>
          <w:sz w:val="14"/>
        </w:rPr>
        <w:t xml:space="preserve"> </w:t>
      </w:r>
      <w:r>
        <w:rPr>
          <w:rFonts w:ascii="Arial" w:hAnsi="Arial"/>
          <w:color w:val="5B6761"/>
          <w:w w:val="105"/>
          <w:sz w:val="14"/>
        </w:rPr>
        <w:t>of</w:t>
      </w:r>
      <w:r>
        <w:rPr>
          <w:rFonts w:ascii="Arial" w:hAnsi="Arial"/>
          <w:color w:val="5B6761"/>
          <w:spacing w:val="-10"/>
          <w:w w:val="105"/>
          <w:sz w:val="14"/>
        </w:rPr>
        <w:t xml:space="preserve"> </w:t>
      </w:r>
      <w:r>
        <w:rPr>
          <w:rFonts w:ascii="Arial" w:hAnsi="Arial"/>
          <w:color w:val="5B6761"/>
          <w:w w:val="105"/>
          <w:sz w:val="14"/>
        </w:rPr>
        <w:t>child-bearing</w:t>
      </w:r>
      <w:r>
        <w:rPr>
          <w:rFonts w:ascii="Arial" w:hAnsi="Arial"/>
          <w:color w:val="5B6761"/>
          <w:spacing w:val="-8"/>
          <w:w w:val="105"/>
          <w:sz w:val="14"/>
        </w:rPr>
        <w:t xml:space="preserve"> </w:t>
      </w:r>
      <w:r>
        <w:rPr>
          <w:rFonts w:ascii="Arial" w:hAnsi="Arial"/>
          <w:color w:val="5B6761"/>
          <w:w w:val="105"/>
          <w:sz w:val="14"/>
        </w:rPr>
        <w:t>age</w:t>
      </w:r>
      <w:r>
        <w:rPr>
          <w:rFonts w:ascii="Arial" w:hAnsi="Arial"/>
          <w:color w:val="5B6761"/>
          <w:spacing w:val="-10"/>
          <w:w w:val="105"/>
          <w:sz w:val="14"/>
        </w:rPr>
        <w:t xml:space="preserve"> </w:t>
      </w:r>
      <w:r>
        <w:rPr>
          <w:rFonts w:ascii="Arial" w:hAnsi="Arial"/>
          <w:color w:val="5B6761"/>
          <w:w w:val="105"/>
          <w:sz w:val="14"/>
        </w:rPr>
        <w:t>of</w:t>
      </w:r>
      <w:r>
        <w:rPr>
          <w:rFonts w:ascii="Arial" w:hAnsi="Arial"/>
          <w:color w:val="5B6761"/>
          <w:spacing w:val="-10"/>
          <w:w w:val="105"/>
          <w:sz w:val="14"/>
        </w:rPr>
        <w:t xml:space="preserve"> </w:t>
      </w:r>
      <w:r>
        <w:rPr>
          <w:rFonts w:ascii="Arial" w:hAnsi="Arial"/>
          <w:color w:val="5B6761"/>
          <w:w w:val="105"/>
          <w:sz w:val="14"/>
        </w:rPr>
        <w:t>‘reduces</w:t>
      </w:r>
      <w:r>
        <w:rPr>
          <w:rFonts w:ascii="Arial" w:hAnsi="Arial"/>
          <w:color w:val="5B6761"/>
          <w:spacing w:val="-9"/>
          <w:w w:val="105"/>
          <w:sz w:val="14"/>
        </w:rPr>
        <w:t xml:space="preserve"> </w:t>
      </w:r>
      <w:r>
        <w:rPr>
          <w:rFonts w:ascii="Arial" w:hAnsi="Arial"/>
          <w:color w:val="5B6761"/>
          <w:w w:val="105"/>
          <w:sz w:val="14"/>
        </w:rPr>
        <w:t>risk</w:t>
      </w:r>
      <w:r>
        <w:rPr>
          <w:rFonts w:ascii="Arial" w:hAnsi="Arial"/>
          <w:color w:val="5B6761"/>
          <w:spacing w:val="-9"/>
          <w:w w:val="105"/>
          <w:sz w:val="14"/>
        </w:rPr>
        <w:t xml:space="preserve"> </w:t>
      </w:r>
      <w:r>
        <w:rPr>
          <w:rFonts w:ascii="Arial" w:hAnsi="Arial"/>
          <w:color w:val="5B6761"/>
          <w:w w:val="105"/>
          <w:sz w:val="14"/>
        </w:rPr>
        <w:t>of</w:t>
      </w:r>
      <w:r>
        <w:rPr>
          <w:rFonts w:ascii="Arial" w:hAnsi="Arial"/>
          <w:color w:val="5B6761"/>
          <w:spacing w:val="-10"/>
          <w:w w:val="105"/>
          <w:sz w:val="14"/>
        </w:rPr>
        <w:t xml:space="preserve"> </w:t>
      </w:r>
      <w:proofErr w:type="spellStart"/>
      <w:r>
        <w:rPr>
          <w:rFonts w:ascii="Arial" w:hAnsi="Arial"/>
          <w:color w:val="5B6761"/>
          <w:w w:val="105"/>
          <w:sz w:val="14"/>
        </w:rPr>
        <w:t>foetal</w:t>
      </w:r>
      <w:proofErr w:type="spellEnd"/>
      <w:r>
        <w:rPr>
          <w:rFonts w:ascii="Arial" w:hAnsi="Arial"/>
          <w:color w:val="5B6761"/>
          <w:spacing w:val="-9"/>
          <w:w w:val="105"/>
          <w:sz w:val="14"/>
        </w:rPr>
        <w:t xml:space="preserve"> </w:t>
      </w:r>
      <w:r>
        <w:rPr>
          <w:rFonts w:ascii="Arial" w:hAnsi="Arial"/>
          <w:color w:val="5B6761"/>
          <w:w w:val="105"/>
          <w:sz w:val="14"/>
        </w:rPr>
        <w:t>neural</w:t>
      </w:r>
      <w:r>
        <w:rPr>
          <w:rFonts w:ascii="Arial" w:hAnsi="Arial"/>
          <w:color w:val="5B6761"/>
          <w:spacing w:val="-9"/>
          <w:w w:val="105"/>
          <w:sz w:val="14"/>
        </w:rPr>
        <w:t xml:space="preserve"> </w:t>
      </w:r>
      <w:r>
        <w:rPr>
          <w:rFonts w:ascii="Arial" w:hAnsi="Arial"/>
          <w:color w:val="5B6761"/>
          <w:w w:val="105"/>
          <w:sz w:val="14"/>
        </w:rPr>
        <w:t>tube</w:t>
      </w:r>
      <w:r>
        <w:rPr>
          <w:rFonts w:ascii="Arial" w:hAnsi="Arial"/>
          <w:color w:val="5B6761"/>
          <w:spacing w:val="-10"/>
          <w:w w:val="105"/>
          <w:sz w:val="14"/>
        </w:rPr>
        <w:t xml:space="preserve"> </w:t>
      </w:r>
      <w:r>
        <w:rPr>
          <w:rFonts w:ascii="Arial" w:hAnsi="Arial"/>
          <w:color w:val="5B6761"/>
          <w:w w:val="105"/>
          <w:sz w:val="14"/>
        </w:rPr>
        <w:t>defects’).</w:t>
      </w:r>
    </w:p>
    <w:p w:rsidR="007D76BB" w:rsidRDefault="007D76BB">
      <w:pPr>
        <w:spacing w:line="268" w:lineRule="auto"/>
        <w:rPr>
          <w:rFonts w:ascii="Arial" w:hAnsi="Arial"/>
          <w:sz w:val="14"/>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spacing w:before="3"/>
        <w:rPr>
          <w:rFonts w:ascii="Arial"/>
          <w:sz w:val="28"/>
        </w:rPr>
      </w:pPr>
    </w:p>
    <w:p w:rsidR="007D76BB" w:rsidRDefault="00D70D28">
      <w:pPr>
        <w:pStyle w:val="Heading6"/>
        <w:spacing w:before="103"/>
        <w:rPr>
          <w:rFonts w:ascii="Lucida Sans"/>
          <w:b/>
        </w:rPr>
      </w:pPr>
      <w:r>
        <w:rPr>
          <w:rFonts w:ascii="Lucida Sans"/>
          <w:b/>
        </w:rPr>
        <w:t>Impact analysis common across options 2A and 2B</w:t>
      </w:r>
    </w:p>
    <w:p w:rsidR="007D76BB" w:rsidRDefault="00D70D28">
      <w:pPr>
        <w:spacing w:before="262" w:line="266" w:lineRule="auto"/>
        <w:ind w:left="482" w:right="688"/>
        <w:rPr>
          <w:rFonts w:ascii="Arial"/>
          <w:sz w:val="19"/>
        </w:rPr>
      </w:pPr>
      <w:r>
        <w:rPr>
          <w:rFonts w:ascii="Arial"/>
          <w:w w:val="105"/>
          <w:sz w:val="19"/>
        </w:rPr>
        <w:t>It</w:t>
      </w:r>
      <w:r>
        <w:rPr>
          <w:rFonts w:ascii="Arial"/>
          <w:spacing w:val="-19"/>
          <w:w w:val="105"/>
          <w:sz w:val="19"/>
        </w:rPr>
        <w:t xml:space="preserve"> </w:t>
      </w:r>
      <w:r>
        <w:rPr>
          <w:rFonts w:ascii="Arial"/>
          <w:w w:val="105"/>
          <w:sz w:val="19"/>
        </w:rPr>
        <w:t>is</w:t>
      </w:r>
      <w:r>
        <w:rPr>
          <w:rFonts w:ascii="Arial"/>
          <w:spacing w:val="-21"/>
          <w:w w:val="105"/>
          <w:sz w:val="19"/>
        </w:rPr>
        <w:t xml:space="preserve"> </w:t>
      </w:r>
      <w:r>
        <w:rPr>
          <w:rFonts w:ascii="Arial"/>
          <w:w w:val="105"/>
          <w:sz w:val="19"/>
        </w:rPr>
        <w:t>noted</w:t>
      </w:r>
      <w:r>
        <w:rPr>
          <w:rFonts w:ascii="Arial"/>
          <w:spacing w:val="-21"/>
          <w:w w:val="105"/>
          <w:sz w:val="19"/>
        </w:rPr>
        <w:t xml:space="preserve"> </w:t>
      </w:r>
      <w:r>
        <w:rPr>
          <w:rFonts w:ascii="Arial"/>
          <w:w w:val="105"/>
          <w:sz w:val="19"/>
        </w:rPr>
        <w:t>that</w:t>
      </w:r>
      <w:r>
        <w:rPr>
          <w:rFonts w:ascii="Arial"/>
          <w:spacing w:val="-18"/>
          <w:w w:val="105"/>
          <w:sz w:val="19"/>
        </w:rPr>
        <w:t xml:space="preserve"> </w:t>
      </w:r>
      <w:r>
        <w:rPr>
          <w:rFonts w:ascii="Arial"/>
          <w:w w:val="105"/>
          <w:sz w:val="19"/>
        </w:rPr>
        <w:t>although</w:t>
      </w:r>
      <w:r>
        <w:rPr>
          <w:rFonts w:ascii="Arial"/>
          <w:spacing w:val="-19"/>
          <w:w w:val="105"/>
          <w:sz w:val="19"/>
        </w:rPr>
        <w:t xml:space="preserve"> </w:t>
      </w:r>
      <w:r>
        <w:rPr>
          <w:rFonts w:ascii="Arial"/>
          <w:w w:val="105"/>
          <w:sz w:val="19"/>
        </w:rPr>
        <w:t>the</w:t>
      </w:r>
      <w:r>
        <w:rPr>
          <w:rFonts w:ascii="Arial"/>
          <w:spacing w:val="-21"/>
          <w:w w:val="105"/>
          <w:sz w:val="19"/>
        </w:rPr>
        <w:t xml:space="preserve"> </w:t>
      </w:r>
      <w:r>
        <w:rPr>
          <w:rFonts w:ascii="Arial"/>
          <w:w w:val="105"/>
          <w:sz w:val="19"/>
        </w:rPr>
        <w:t>costings</w:t>
      </w:r>
      <w:r>
        <w:rPr>
          <w:rFonts w:ascii="Arial"/>
          <w:spacing w:val="-21"/>
          <w:w w:val="105"/>
          <w:sz w:val="19"/>
        </w:rPr>
        <w:t xml:space="preserve"> </w:t>
      </w:r>
      <w:r>
        <w:rPr>
          <w:rFonts w:ascii="Arial"/>
          <w:w w:val="105"/>
          <w:sz w:val="19"/>
        </w:rPr>
        <w:t>outlined</w:t>
      </w:r>
      <w:r>
        <w:rPr>
          <w:rFonts w:ascii="Arial"/>
          <w:spacing w:val="-20"/>
          <w:w w:val="105"/>
          <w:sz w:val="19"/>
        </w:rPr>
        <w:t xml:space="preserve"> </w:t>
      </w:r>
      <w:r>
        <w:rPr>
          <w:rFonts w:ascii="Arial"/>
          <w:w w:val="105"/>
          <w:sz w:val="19"/>
        </w:rPr>
        <w:t>in</w:t>
      </w:r>
      <w:r>
        <w:rPr>
          <w:rFonts w:ascii="Arial"/>
          <w:spacing w:val="-20"/>
          <w:w w:val="105"/>
          <w:sz w:val="19"/>
        </w:rPr>
        <w:t xml:space="preserve"> </w:t>
      </w:r>
      <w:r>
        <w:rPr>
          <w:rFonts w:ascii="Arial"/>
          <w:w w:val="105"/>
          <w:sz w:val="19"/>
        </w:rPr>
        <w:t>this</w:t>
      </w:r>
      <w:r>
        <w:rPr>
          <w:rFonts w:ascii="Arial"/>
          <w:spacing w:val="-19"/>
          <w:w w:val="105"/>
          <w:sz w:val="19"/>
        </w:rPr>
        <w:t xml:space="preserve"> </w:t>
      </w:r>
      <w:r>
        <w:rPr>
          <w:rFonts w:ascii="Arial"/>
          <w:w w:val="105"/>
          <w:sz w:val="19"/>
        </w:rPr>
        <w:t>section</w:t>
      </w:r>
      <w:r>
        <w:rPr>
          <w:rFonts w:ascii="Arial"/>
          <w:spacing w:val="-19"/>
          <w:w w:val="105"/>
          <w:sz w:val="19"/>
        </w:rPr>
        <w:t xml:space="preserve"> </w:t>
      </w:r>
      <w:r>
        <w:rPr>
          <w:rFonts w:ascii="Arial"/>
          <w:w w:val="105"/>
          <w:sz w:val="19"/>
        </w:rPr>
        <w:t>are</w:t>
      </w:r>
      <w:r>
        <w:rPr>
          <w:rFonts w:ascii="Arial"/>
          <w:spacing w:val="-18"/>
          <w:w w:val="105"/>
          <w:sz w:val="19"/>
        </w:rPr>
        <w:t xml:space="preserve"> </w:t>
      </w:r>
      <w:r>
        <w:rPr>
          <w:rFonts w:ascii="Arial"/>
          <w:w w:val="105"/>
          <w:sz w:val="19"/>
        </w:rPr>
        <w:t>common</w:t>
      </w:r>
      <w:r>
        <w:rPr>
          <w:rFonts w:ascii="Arial"/>
          <w:spacing w:val="-20"/>
          <w:w w:val="105"/>
          <w:sz w:val="19"/>
        </w:rPr>
        <w:t xml:space="preserve"> </w:t>
      </w:r>
      <w:r>
        <w:rPr>
          <w:rFonts w:ascii="Arial"/>
          <w:w w:val="105"/>
          <w:sz w:val="19"/>
        </w:rPr>
        <w:t>across</w:t>
      </w:r>
      <w:r>
        <w:rPr>
          <w:rFonts w:ascii="Arial"/>
          <w:spacing w:val="-16"/>
          <w:w w:val="105"/>
          <w:sz w:val="19"/>
        </w:rPr>
        <w:t xml:space="preserve"> </w:t>
      </w:r>
      <w:r>
        <w:rPr>
          <w:rFonts w:ascii="Arial"/>
          <w:w w:val="105"/>
          <w:sz w:val="19"/>
        </w:rPr>
        <w:t>options</w:t>
      </w:r>
      <w:r>
        <w:rPr>
          <w:rFonts w:ascii="Arial"/>
          <w:spacing w:val="-18"/>
          <w:w w:val="105"/>
          <w:sz w:val="19"/>
        </w:rPr>
        <w:t xml:space="preserve"> </w:t>
      </w:r>
      <w:r>
        <w:rPr>
          <w:rFonts w:ascii="Arial"/>
          <w:w w:val="105"/>
          <w:sz w:val="19"/>
        </w:rPr>
        <w:t>2A</w:t>
      </w:r>
      <w:r>
        <w:rPr>
          <w:rFonts w:ascii="Arial"/>
          <w:spacing w:val="-19"/>
          <w:w w:val="105"/>
          <w:sz w:val="19"/>
        </w:rPr>
        <w:t xml:space="preserve"> </w:t>
      </w:r>
      <w:r>
        <w:rPr>
          <w:rFonts w:ascii="Arial"/>
          <w:w w:val="105"/>
          <w:sz w:val="19"/>
        </w:rPr>
        <w:t>and</w:t>
      </w:r>
      <w:r>
        <w:rPr>
          <w:rFonts w:ascii="Arial"/>
          <w:spacing w:val="-20"/>
          <w:w w:val="105"/>
          <w:sz w:val="19"/>
        </w:rPr>
        <w:t xml:space="preserve"> </w:t>
      </w:r>
      <w:r>
        <w:rPr>
          <w:rFonts w:ascii="Arial"/>
          <w:w w:val="105"/>
          <w:sz w:val="19"/>
        </w:rPr>
        <w:t>2B only,</w:t>
      </w:r>
      <w:r>
        <w:rPr>
          <w:rFonts w:ascii="Arial"/>
          <w:spacing w:val="-23"/>
          <w:w w:val="105"/>
          <w:sz w:val="19"/>
        </w:rPr>
        <w:t xml:space="preserve"> </w:t>
      </w:r>
      <w:r>
        <w:rPr>
          <w:rFonts w:ascii="Arial"/>
          <w:w w:val="105"/>
          <w:sz w:val="19"/>
        </w:rPr>
        <w:t>the</w:t>
      </w:r>
      <w:r>
        <w:rPr>
          <w:rFonts w:ascii="Arial"/>
          <w:spacing w:val="-21"/>
          <w:w w:val="105"/>
          <w:sz w:val="19"/>
        </w:rPr>
        <w:t xml:space="preserve"> </w:t>
      </w:r>
      <w:r>
        <w:rPr>
          <w:rFonts w:ascii="Arial"/>
          <w:w w:val="105"/>
          <w:sz w:val="19"/>
        </w:rPr>
        <w:t>majority</w:t>
      </w:r>
      <w:r>
        <w:rPr>
          <w:rFonts w:ascii="Arial"/>
          <w:spacing w:val="-23"/>
          <w:w w:val="105"/>
          <w:sz w:val="19"/>
        </w:rPr>
        <w:t xml:space="preserve"> </w:t>
      </w:r>
      <w:r>
        <w:rPr>
          <w:rFonts w:ascii="Arial"/>
          <w:w w:val="105"/>
          <w:sz w:val="19"/>
        </w:rPr>
        <w:t>of</w:t>
      </w:r>
      <w:r>
        <w:rPr>
          <w:rFonts w:ascii="Arial"/>
          <w:spacing w:val="-21"/>
          <w:w w:val="105"/>
          <w:sz w:val="19"/>
        </w:rPr>
        <w:t xml:space="preserve"> </w:t>
      </w:r>
      <w:r>
        <w:rPr>
          <w:rFonts w:ascii="Arial"/>
          <w:w w:val="105"/>
          <w:sz w:val="19"/>
        </w:rPr>
        <w:t>the</w:t>
      </w:r>
      <w:r>
        <w:rPr>
          <w:rFonts w:ascii="Arial"/>
          <w:spacing w:val="-19"/>
          <w:w w:val="105"/>
          <w:sz w:val="19"/>
        </w:rPr>
        <w:t xml:space="preserve"> </w:t>
      </w:r>
      <w:r>
        <w:rPr>
          <w:rFonts w:ascii="Arial"/>
          <w:w w:val="105"/>
          <w:sz w:val="19"/>
        </w:rPr>
        <w:t>impacts</w:t>
      </w:r>
      <w:r>
        <w:rPr>
          <w:rFonts w:ascii="Arial"/>
          <w:spacing w:val="-21"/>
          <w:w w:val="105"/>
          <w:sz w:val="19"/>
        </w:rPr>
        <w:t xml:space="preserve"> </w:t>
      </w:r>
      <w:r>
        <w:rPr>
          <w:rFonts w:ascii="Arial"/>
          <w:w w:val="105"/>
          <w:sz w:val="19"/>
        </w:rPr>
        <w:t>outlined</w:t>
      </w:r>
      <w:r>
        <w:rPr>
          <w:rFonts w:ascii="Arial"/>
          <w:spacing w:val="-21"/>
          <w:w w:val="105"/>
          <w:sz w:val="19"/>
        </w:rPr>
        <w:t xml:space="preserve"> </w:t>
      </w:r>
      <w:r>
        <w:rPr>
          <w:rFonts w:ascii="Arial"/>
          <w:w w:val="105"/>
          <w:sz w:val="19"/>
        </w:rPr>
        <w:t>(timings</w:t>
      </w:r>
      <w:r>
        <w:rPr>
          <w:rFonts w:ascii="Arial"/>
          <w:spacing w:val="-21"/>
          <w:w w:val="105"/>
          <w:sz w:val="19"/>
        </w:rPr>
        <w:t xml:space="preserve"> </w:t>
      </w:r>
      <w:r>
        <w:rPr>
          <w:rFonts w:ascii="Arial"/>
          <w:w w:val="105"/>
          <w:sz w:val="19"/>
        </w:rPr>
        <w:t>and</w:t>
      </w:r>
      <w:r>
        <w:rPr>
          <w:rFonts w:ascii="Arial"/>
          <w:spacing w:val="-22"/>
          <w:w w:val="105"/>
          <w:sz w:val="19"/>
        </w:rPr>
        <w:t xml:space="preserve"> </w:t>
      </w:r>
      <w:r>
        <w:rPr>
          <w:rFonts w:ascii="Arial"/>
          <w:w w:val="105"/>
          <w:sz w:val="19"/>
        </w:rPr>
        <w:t>requirements)</w:t>
      </w:r>
      <w:r>
        <w:rPr>
          <w:rFonts w:ascii="Arial"/>
          <w:spacing w:val="-18"/>
          <w:w w:val="105"/>
          <w:sz w:val="19"/>
        </w:rPr>
        <w:t xml:space="preserve"> </w:t>
      </w:r>
      <w:r>
        <w:rPr>
          <w:rFonts w:ascii="Arial"/>
          <w:w w:val="105"/>
          <w:sz w:val="19"/>
        </w:rPr>
        <w:t>are</w:t>
      </w:r>
      <w:r>
        <w:rPr>
          <w:rFonts w:ascii="Arial"/>
          <w:spacing w:val="-19"/>
          <w:w w:val="105"/>
          <w:sz w:val="19"/>
        </w:rPr>
        <w:t xml:space="preserve"> </w:t>
      </w:r>
      <w:r>
        <w:rPr>
          <w:rFonts w:ascii="Arial"/>
          <w:w w:val="105"/>
          <w:sz w:val="19"/>
        </w:rPr>
        <w:t>also</w:t>
      </w:r>
      <w:r>
        <w:rPr>
          <w:rFonts w:ascii="Arial"/>
          <w:spacing w:val="-21"/>
          <w:w w:val="105"/>
          <w:sz w:val="19"/>
        </w:rPr>
        <w:t xml:space="preserve"> </w:t>
      </w:r>
      <w:r>
        <w:rPr>
          <w:rFonts w:ascii="Arial"/>
          <w:w w:val="105"/>
          <w:sz w:val="19"/>
        </w:rPr>
        <w:t>common</w:t>
      </w:r>
      <w:r>
        <w:rPr>
          <w:rFonts w:ascii="Arial"/>
          <w:spacing w:val="-18"/>
          <w:w w:val="105"/>
          <w:sz w:val="19"/>
        </w:rPr>
        <w:t xml:space="preserve"> </w:t>
      </w:r>
      <w:r>
        <w:rPr>
          <w:rFonts w:ascii="Arial"/>
          <w:w w:val="105"/>
          <w:sz w:val="19"/>
        </w:rPr>
        <w:t>for</w:t>
      </w:r>
      <w:r>
        <w:rPr>
          <w:rFonts w:ascii="Arial"/>
          <w:spacing w:val="-20"/>
          <w:w w:val="105"/>
          <w:sz w:val="19"/>
        </w:rPr>
        <w:t xml:space="preserve"> </w:t>
      </w:r>
      <w:r>
        <w:rPr>
          <w:rFonts w:ascii="Arial"/>
          <w:w w:val="105"/>
          <w:sz w:val="19"/>
        </w:rPr>
        <w:t>Option</w:t>
      </w:r>
      <w:r>
        <w:rPr>
          <w:rFonts w:ascii="Arial"/>
          <w:spacing w:val="-22"/>
          <w:w w:val="105"/>
          <w:sz w:val="19"/>
        </w:rPr>
        <w:t xml:space="preserve"> </w:t>
      </w:r>
      <w:r>
        <w:rPr>
          <w:rFonts w:ascii="Arial"/>
          <w:w w:val="105"/>
          <w:sz w:val="19"/>
        </w:rPr>
        <w:t>3.</w:t>
      </w:r>
    </w:p>
    <w:p w:rsidR="007D76BB" w:rsidRDefault="007D76BB">
      <w:pPr>
        <w:pStyle w:val="BodyText"/>
        <w:spacing w:before="2"/>
        <w:rPr>
          <w:rFonts w:ascii="Arial"/>
          <w:sz w:val="20"/>
        </w:rPr>
      </w:pPr>
    </w:p>
    <w:p w:rsidR="007D76BB" w:rsidRDefault="00D70D28">
      <w:pPr>
        <w:pStyle w:val="BodyText"/>
        <w:spacing w:before="1"/>
        <w:ind w:left="482"/>
        <w:rPr>
          <w:rFonts w:ascii="Lucida Sans"/>
          <w:b/>
        </w:rPr>
      </w:pPr>
      <w:r>
        <w:rPr>
          <w:rFonts w:ascii="Lucida Sans"/>
          <w:b/>
          <w:color w:val="608FB5"/>
        </w:rPr>
        <w:t>Products</w:t>
      </w:r>
    </w:p>
    <w:p w:rsidR="007D76BB" w:rsidRDefault="00D70D28">
      <w:pPr>
        <w:spacing w:before="203" w:line="264" w:lineRule="auto"/>
        <w:ind w:left="482" w:right="1143"/>
        <w:rPr>
          <w:rFonts w:ascii="Arial" w:hAnsi="Arial"/>
          <w:sz w:val="19"/>
        </w:rPr>
      </w:pPr>
      <w:r>
        <w:rPr>
          <w:rFonts w:ascii="Arial" w:hAnsi="Arial"/>
          <w:w w:val="110"/>
          <w:sz w:val="19"/>
        </w:rPr>
        <w:t>Noetic</w:t>
      </w:r>
      <w:r>
        <w:rPr>
          <w:rFonts w:ascii="Arial" w:hAnsi="Arial"/>
          <w:spacing w:val="-42"/>
          <w:w w:val="110"/>
          <w:sz w:val="19"/>
        </w:rPr>
        <w:t xml:space="preserve"> </w:t>
      </w:r>
      <w:r>
        <w:rPr>
          <w:rFonts w:ascii="Arial" w:hAnsi="Arial"/>
          <w:w w:val="110"/>
          <w:sz w:val="19"/>
        </w:rPr>
        <w:t>notes</w:t>
      </w:r>
      <w:r>
        <w:rPr>
          <w:rFonts w:ascii="Arial" w:hAnsi="Arial"/>
          <w:spacing w:val="-42"/>
          <w:w w:val="110"/>
          <w:sz w:val="19"/>
        </w:rPr>
        <w:t xml:space="preserve"> </w:t>
      </w:r>
      <w:r>
        <w:rPr>
          <w:rFonts w:ascii="Arial" w:hAnsi="Arial"/>
          <w:w w:val="110"/>
          <w:sz w:val="19"/>
        </w:rPr>
        <w:t>that</w:t>
      </w:r>
      <w:r>
        <w:rPr>
          <w:rFonts w:ascii="Arial" w:hAnsi="Arial"/>
          <w:spacing w:val="-41"/>
          <w:w w:val="110"/>
          <w:sz w:val="19"/>
        </w:rPr>
        <w:t xml:space="preserve"> </w:t>
      </w:r>
      <w:r>
        <w:rPr>
          <w:rFonts w:ascii="Arial" w:hAnsi="Arial"/>
          <w:w w:val="110"/>
          <w:sz w:val="19"/>
        </w:rPr>
        <w:t>there</w:t>
      </w:r>
      <w:r>
        <w:rPr>
          <w:rFonts w:ascii="Arial" w:hAnsi="Arial"/>
          <w:spacing w:val="-41"/>
          <w:w w:val="110"/>
          <w:sz w:val="19"/>
        </w:rPr>
        <w:t xml:space="preserve"> </w:t>
      </w:r>
      <w:r>
        <w:rPr>
          <w:rFonts w:ascii="Arial" w:hAnsi="Arial"/>
          <w:w w:val="110"/>
          <w:sz w:val="19"/>
        </w:rPr>
        <w:t>are</w:t>
      </w:r>
      <w:r>
        <w:rPr>
          <w:rFonts w:ascii="Arial" w:hAnsi="Arial"/>
          <w:spacing w:val="-42"/>
          <w:w w:val="110"/>
          <w:sz w:val="19"/>
        </w:rPr>
        <w:t xml:space="preserve"> </w:t>
      </w:r>
      <w:r>
        <w:rPr>
          <w:rFonts w:ascii="Arial" w:hAnsi="Arial"/>
          <w:w w:val="110"/>
          <w:sz w:val="19"/>
        </w:rPr>
        <w:t>currently</w:t>
      </w:r>
      <w:r>
        <w:rPr>
          <w:rFonts w:ascii="Arial" w:hAnsi="Arial"/>
          <w:spacing w:val="-42"/>
          <w:w w:val="110"/>
          <w:sz w:val="19"/>
        </w:rPr>
        <w:t xml:space="preserve"> </w:t>
      </w:r>
      <w:r>
        <w:rPr>
          <w:rFonts w:ascii="Arial" w:hAnsi="Arial"/>
          <w:w w:val="110"/>
          <w:sz w:val="19"/>
        </w:rPr>
        <w:t>a</w:t>
      </w:r>
      <w:r>
        <w:rPr>
          <w:rFonts w:ascii="Arial" w:hAnsi="Arial"/>
          <w:spacing w:val="-41"/>
          <w:w w:val="110"/>
          <w:sz w:val="19"/>
        </w:rPr>
        <w:t xml:space="preserve"> </w:t>
      </w:r>
      <w:r>
        <w:rPr>
          <w:rFonts w:ascii="Arial" w:hAnsi="Arial"/>
          <w:w w:val="110"/>
          <w:sz w:val="19"/>
        </w:rPr>
        <w:t>number</w:t>
      </w:r>
      <w:r>
        <w:rPr>
          <w:rFonts w:ascii="Arial" w:hAnsi="Arial"/>
          <w:spacing w:val="-41"/>
          <w:w w:val="110"/>
          <w:sz w:val="19"/>
        </w:rPr>
        <w:t xml:space="preserve"> </w:t>
      </w:r>
      <w:r>
        <w:rPr>
          <w:rFonts w:ascii="Arial" w:hAnsi="Arial"/>
          <w:w w:val="110"/>
          <w:sz w:val="19"/>
        </w:rPr>
        <w:t>of</w:t>
      </w:r>
      <w:r>
        <w:rPr>
          <w:rFonts w:ascii="Arial" w:hAnsi="Arial"/>
          <w:spacing w:val="-42"/>
          <w:w w:val="110"/>
          <w:sz w:val="19"/>
        </w:rPr>
        <w:t xml:space="preserve"> </w:t>
      </w:r>
      <w:r>
        <w:rPr>
          <w:rFonts w:ascii="Arial" w:hAnsi="Arial"/>
          <w:w w:val="110"/>
          <w:sz w:val="19"/>
        </w:rPr>
        <w:t>sport</w:t>
      </w:r>
      <w:r>
        <w:rPr>
          <w:rFonts w:ascii="Arial" w:hAnsi="Arial"/>
          <w:spacing w:val="-41"/>
          <w:w w:val="110"/>
          <w:sz w:val="19"/>
        </w:rPr>
        <w:t xml:space="preserve"> </w:t>
      </w:r>
      <w:r>
        <w:rPr>
          <w:rFonts w:ascii="Arial" w:hAnsi="Arial"/>
          <w:w w:val="110"/>
          <w:sz w:val="19"/>
        </w:rPr>
        <w:t>supplements</w:t>
      </w:r>
      <w:r>
        <w:rPr>
          <w:rFonts w:ascii="Arial" w:hAnsi="Arial"/>
          <w:spacing w:val="-42"/>
          <w:w w:val="110"/>
          <w:sz w:val="19"/>
        </w:rPr>
        <w:t xml:space="preserve"> </w:t>
      </w:r>
      <w:r>
        <w:rPr>
          <w:rFonts w:ascii="Arial" w:hAnsi="Arial"/>
          <w:w w:val="110"/>
          <w:sz w:val="19"/>
        </w:rPr>
        <w:t>that</w:t>
      </w:r>
      <w:r>
        <w:rPr>
          <w:rFonts w:ascii="Arial" w:hAnsi="Arial"/>
          <w:spacing w:val="-41"/>
          <w:w w:val="110"/>
          <w:sz w:val="19"/>
        </w:rPr>
        <w:t xml:space="preserve"> </w:t>
      </w:r>
      <w:r>
        <w:rPr>
          <w:rFonts w:ascii="Arial" w:hAnsi="Arial"/>
          <w:w w:val="110"/>
          <w:sz w:val="19"/>
        </w:rPr>
        <w:t>are</w:t>
      </w:r>
      <w:r>
        <w:rPr>
          <w:rFonts w:ascii="Arial" w:hAnsi="Arial"/>
          <w:spacing w:val="-42"/>
          <w:w w:val="110"/>
          <w:sz w:val="19"/>
        </w:rPr>
        <w:t xml:space="preserve"> </w:t>
      </w:r>
      <w:r>
        <w:rPr>
          <w:rFonts w:ascii="Arial" w:hAnsi="Arial"/>
          <w:w w:val="110"/>
          <w:sz w:val="19"/>
        </w:rPr>
        <w:t>already</w:t>
      </w:r>
      <w:r>
        <w:rPr>
          <w:rFonts w:ascii="Arial" w:hAnsi="Arial"/>
          <w:spacing w:val="-41"/>
          <w:w w:val="110"/>
          <w:sz w:val="19"/>
        </w:rPr>
        <w:t xml:space="preserve"> </w:t>
      </w:r>
      <w:r>
        <w:rPr>
          <w:rFonts w:ascii="Arial" w:hAnsi="Arial"/>
          <w:w w:val="110"/>
          <w:sz w:val="19"/>
        </w:rPr>
        <w:t>listed</w:t>
      </w:r>
      <w:r>
        <w:rPr>
          <w:rFonts w:ascii="Arial" w:hAnsi="Arial"/>
          <w:spacing w:val="-40"/>
          <w:w w:val="110"/>
          <w:sz w:val="19"/>
        </w:rPr>
        <w:t xml:space="preserve"> </w:t>
      </w:r>
      <w:r>
        <w:rPr>
          <w:rFonts w:ascii="Arial" w:hAnsi="Arial"/>
          <w:w w:val="110"/>
          <w:sz w:val="19"/>
        </w:rPr>
        <w:t>in</w:t>
      </w:r>
      <w:r>
        <w:rPr>
          <w:rFonts w:ascii="Arial" w:hAnsi="Arial"/>
          <w:spacing w:val="-42"/>
          <w:w w:val="110"/>
          <w:sz w:val="19"/>
        </w:rPr>
        <w:t xml:space="preserve"> </w:t>
      </w:r>
      <w:r>
        <w:rPr>
          <w:rFonts w:ascii="Arial" w:hAnsi="Arial"/>
          <w:w w:val="110"/>
          <w:sz w:val="19"/>
        </w:rPr>
        <w:t>the ARTG</w:t>
      </w:r>
      <w:r>
        <w:rPr>
          <w:rFonts w:ascii="Arial" w:hAnsi="Arial"/>
          <w:w w:val="110"/>
          <w:position w:val="7"/>
          <w:sz w:val="11"/>
        </w:rPr>
        <w:t>28</w:t>
      </w:r>
      <w:r>
        <w:rPr>
          <w:rFonts w:ascii="Arial" w:hAnsi="Arial"/>
          <w:w w:val="110"/>
          <w:sz w:val="19"/>
        </w:rPr>
        <w:t>,</w:t>
      </w:r>
      <w:r>
        <w:rPr>
          <w:rFonts w:ascii="Arial" w:hAnsi="Arial"/>
          <w:spacing w:val="-38"/>
          <w:w w:val="110"/>
          <w:sz w:val="19"/>
        </w:rPr>
        <w:t xml:space="preserve"> </w:t>
      </w:r>
      <w:r>
        <w:rPr>
          <w:rFonts w:ascii="Arial" w:hAnsi="Arial"/>
          <w:w w:val="110"/>
          <w:sz w:val="19"/>
        </w:rPr>
        <w:t>though</w:t>
      </w:r>
      <w:r>
        <w:rPr>
          <w:rFonts w:ascii="Arial" w:hAnsi="Arial"/>
          <w:spacing w:val="-39"/>
          <w:w w:val="110"/>
          <w:sz w:val="19"/>
        </w:rPr>
        <w:t xml:space="preserve"> </w:t>
      </w:r>
      <w:r>
        <w:rPr>
          <w:rFonts w:ascii="Arial" w:hAnsi="Arial"/>
          <w:w w:val="110"/>
          <w:sz w:val="19"/>
        </w:rPr>
        <w:t>these</w:t>
      </w:r>
      <w:r>
        <w:rPr>
          <w:rFonts w:ascii="Arial" w:hAnsi="Arial"/>
          <w:spacing w:val="-39"/>
          <w:w w:val="110"/>
          <w:sz w:val="19"/>
        </w:rPr>
        <w:t xml:space="preserve"> </w:t>
      </w:r>
      <w:r>
        <w:rPr>
          <w:rFonts w:ascii="Arial" w:hAnsi="Arial"/>
          <w:w w:val="110"/>
          <w:sz w:val="19"/>
        </w:rPr>
        <w:t>tend</w:t>
      </w:r>
      <w:r>
        <w:rPr>
          <w:rFonts w:ascii="Arial" w:hAnsi="Arial"/>
          <w:spacing w:val="-39"/>
          <w:w w:val="110"/>
          <w:sz w:val="19"/>
        </w:rPr>
        <w:t xml:space="preserve"> </w:t>
      </w:r>
      <w:r>
        <w:rPr>
          <w:rFonts w:ascii="Arial" w:hAnsi="Arial"/>
          <w:w w:val="110"/>
          <w:sz w:val="19"/>
        </w:rPr>
        <w:t>to</w:t>
      </w:r>
      <w:r>
        <w:rPr>
          <w:rFonts w:ascii="Arial" w:hAnsi="Arial"/>
          <w:spacing w:val="-39"/>
          <w:w w:val="110"/>
          <w:sz w:val="19"/>
        </w:rPr>
        <w:t xml:space="preserve"> </w:t>
      </w:r>
      <w:r>
        <w:rPr>
          <w:rFonts w:ascii="Arial" w:hAnsi="Arial"/>
          <w:w w:val="110"/>
          <w:sz w:val="19"/>
        </w:rPr>
        <w:t>be</w:t>
      </w:r>
      <w:r>
        <w:rPr>
          <w:rFonts w:ascii="Arial" w:hAnsi="Arial"/>
          <w:spacing w:val="-38"/>
          <w:w w:val="110"/>
          <w:sz w:val="19"/>
        </w:rPr>
        <w:t xml:space="preserve"> </w:t>
      </w:r>
      <w:r>
        <w:rPr>
          <w:rFonts w:ascii="Arial" w:hAnsi="Arial"/>
          <w:w w:val="110"/>
          <w:sz w:val="19"/>
        </w:rPr>
        <w:t>more</w:t>
      </w:r>
      <w:r>
        <w:rPr>
          <w:rFonts w:ascii="Arial" w:hAnsi="Arial"/>
          <w:spacing w:val="-37"/>
          <w:w w:val="110"/>
          <w:sz w:val="19"/>
        </w:rPr>
        <w:t xml:space="preserve"> </w:t>
      </w:r>
      <w:r>
        <w:rPr>
          <w:rFonts w:ascii="Arial" w:hAnsi="Arial"/>
          <w:w w:val="110"/>
          <w:sz w:val="19"/>
        </w:rPr>
        <w:t>in</w:t>
      </w:r>
      <w:r>
        <w:rPr>
          <w:rFonts w:ascii="Arial" w:hAnsi="Arial"/>
          <w:spacing w:val="-39"/>
          <w:w w:val="110"/>
          <w:sz w:val="19"/>
        </w:rPr>
        <w:t xml:space="preserve"> </w:t>
      </w:r>
      <w:r>
        <w:rPr>
          <w:rFonts w:ascii="Arial" w:hAnsi="Arial"/>
          <w:w w:val="110"/>
          <w:sz w:val="19"/>
        </w:rPr>
        <w:t>the</w:t>
      </w:r>
      <w:r>
        <w:rPr>
          <w:rFonts w:ascii="Arial" w:hAnsi="Arial"/>
          <w:spacing w:val="-39"/>
          <w:w w:val="110"/>
          <w:sz w:val="19"/>
        </w:rPr>
        <w:t xml:space="preserve"> </w:t>
      </w:r>
      <w:r>
        <w:rPr>
          <w:rFonts w:ascii="Arial" w:hAnsi="Arial"/>
          <w:w w:val="110"/>
          <w:sz w:val="19"/>
        </w:rPr>
        <w:t>‘fat</w:t>
      </w:r>
      <w:r>
        <w:rPr>
          <w:rFonts w:ascii="Arial" w:hAnsi="Arial"/>
          <w:spacing w:val="-38"/>
          <w:w w:val="110"/>
          <w:sz w:val="19"/>
        </w:rPr>
        <w:t xml:space="preserve"> </w:t>
      </w:r>
      <w:r>
        <w:rPr>
          <w:rFonts w:ascii="Arial" w:hAnsi="Arial"/>
          <w:w w:val="110"/>
          <w:sz w:val="19"/>
        </w:rPr>
        <w:t>burner’</w:t>
      </w:r>
      <w:r>
        <w:rPr>
          <w:rFonts w:ascii="Arial" w:hAnsi="Arial"/>
          <w:spacing w:val="-38"/>
          <w:w w:val="110"/>
          <w:sz w:val="19"/>
        </w:rPr>
        <w:t xml:space="preserve"> </w:t>
      </w:r>
      <w:r>
        <w:rPr>
          <w:rFonts w:ascii="Arial" w:hAnsi="Arial"/>
          <w:w w:val="110"/>
          <w:sz w:val="19"/>
        </w:rPr>
        <w:t>rather</w:t>
      </w:r>
      <w:r>
        <w:rPr>
          <w:rFonts w:ascii="Arial" w:hAnsi="Arial"/>
          <w:spacing w:val="-38"/>
          <w:w w:val="110"/>
          <w:sz w:val="19"/>
        </w:rPr>
        <w:t xml:space="preserve"> </w:t>
      </w:r>
      <w:r>
        <w:rPr>
          <w:rFonts w:ascii="Arial" w:hAnsi="Arial"/>
          <w:w w:val="110"/>
          <w:sz w:val="19"/>
        </w:rPr>
        <w:t>than</w:t>
      </w:r>
      <w:r>
        <w:rPr>
          <w:rFonts w:ascii="Arial" w:hAnsi="Arial"/>
          <w:spacing w:val="-39"/>
          <w:w w:val="110"/>
          <w:sz w:val="19"/>
        </w:rPr>
        <w:t xml:space="preserve"> </w:t>
      </w:r>
      <w:r>
        <w:rPr>
          <w:rFonts w:ascii="Arial" w:hAnsi="Arial"/>
          <w:w w:val="110"/>
          <w:sz w:val="19"/>
        </w:rPr>
        <w:t>‘pre/post-workout’</w:t>
      </w:r>
      <w:r>
        <w:rPr>
          <w:rFonts w:ascii="Arial" w:hAnsi="Arial"/>
          <w:spacing w:val="-39"/>
          <w:w w:val="110"/>
          <w:sz w:val="19"/>
        </w:rPr>
        <w:t xml:space="preserve"> </w:t>
      </w:r>
      <w:r>
        <w:rPr>
          <w:rFonts w:ascii="Arial" w:hAnsi="Arial"/>
          <w:w w:val="110"/>
          <w:sz w:val="19"/>
        </w:rPr>
        <w:t>product categories.</w:t>
      </w:r>
      <w:r>
        <w:rPr>
          <w:rFonts w:ascii="Arial" w:hAnsi="Arial"/>
          <w:spacing w:val="-36"/>
          <w:w w:val="110"/>
          <w:sz w:val="19"/>
        </w:rPr>
        <w:t xml:space="preserve"> </w:t>
      </w:r>
      <w:r>
        <w:rPr>
          <w:rFonts w:ascii="Arial" w:hAnsi="Arial"/>
          <w:w w:val="110"/>
          <w:sz w:val="19"/>
        </w:rPr>
        <w:t>For</w:t>
      </w:r>
      <w:r>
        <w:rPr>
          <w:rFonts w:ascii="Arial" w:hAnsi="Arial"/>
          <w:spacing w:val="-34"/>
          <w:w w:val="110"/>
          <w:sz w:val="19"/>
        </w:rPr>
        <w:t xml:space="preserve"> </w:t>
      </w:r>
      <w:r>
        <w:rPr>
          <w:rFonts w:ascii="Arial" w:hAnsi="Arial"/>
          <w:w w:val="110"/>
          <w:sz w:val="19"/>
        </w:rPr>
        <w:t>such</w:t>
      </w:r>
      <w:r>
        <w:rPr>
          <w:rFonts w:ascii="Arial" w:hAnsi="Arial"/>
          <w:spacing w:val="-35"/>
          <w:w w:val="110"/>
          <w:sz w:val="19"/>
        </w:rPr>
        <w:t xml:space="preserve"> </w:t>
      </w:r>
      <w:r>
        <w:rPr>
          <w:rFonts w:ascii="Arial" w:hAnsi="Arial"/>
          <w:w w:val="110"/>
          <w:sz w:val="19"/>
        </w:rPr>
        <w:t>products</w:t>
      </w:r>
      <w:r>
        <w:rPr>
          <w:rFonts w:ascii="Arial" w:hAnsi="Arial"/>
          <w:spacing w:val="-35"/>
          <w:w w:val="110"/>
          <w:sz w:val="19"/>
        </w:rPr>
        <w:t xml:space="preserve"> </w:t>
      </w:r>
      <w:r>
        <w:rPr>
          <w:rFonts w:ascii="Arial" w:hAnsi="Arial"/>
          <w:w w:val="110"/>
          <w:sz w:val="19"/>
        </w:rPr>
        <w:t>there</w:t>
      </w:r>
      <w:r>
        <w:rPr>
          <w:rFonts w:ascii="Arial" w:hAnsi="Arial"/>
          <w:spacing w:val="-36"/>
          <w:w w:val="110"/>
          <w:sz w:val="19"/>
        </w:rPr>
        <w:t xml:space="preserve"> </w:t>
      </w:r>
      <w:r>
        <w:rPr>
          <w:rFonts w:ascii="Arial" w:hAnsi="Arial"/>
          <w:w w:val="110"/>
          <w:sz w:val="19"/>
        </w:rPr>
        <w:t>will</w:t>
      </w:r>
      <w:r>
        <w:rPr>
          <w:rFonts w:ascii="Arial" w:hAnsi="Arial"/>
          <w:spacing w:val="-35"/>
          <w:w w:val="110"/>
          <w:sz w:val="19"/>
        </w:rPr>
        <w:t xml:space="preserve"> </w:t>
      </w:r>
      <w:r>
        <w:rPr>
          <w:rFonts w:ascii="Arial" w:hAnsi="Arial"/>
          <w:w w:val="110"/>
          <w:sz w:val="19"/>
        </w:rPr>
        <w:t>be</w:t>
      </w:r>
      <w:r>
        <w:rPr>
          <w:rFonts w:ascii="Arial" w:hAnsi="Arial"/>
          <w:spacing w:val="-34"/>
          <w:w w:val="110"/>
          <w:sz w:val="19"/>
        </w:rPr>
        <w:t xml:space="preserve"> </w:t>
      </w:r>
      <w:r>
        <w:rPr>
          <w:rFonts w:ascii="Arial" w:hAnsi="Arial"/>
          <w:w w:val="110"/>
          <w:sz w:val="19"/>
        </w:rPr>
        <w:t>no</w:t>
      </w:r>
      <w:r>
        <w:rPr>
          <w:rFonts w:ascii="Arial" w:hAnsi="Arial"/>
          <w:spacing w:val="-36"/>
          <w:w w:val="110"/>
          <w:sz w:val="19"/>
        </w:rPr>
        <w:t xml:space="preserve"> </w:t>
      </w:r>
      <w:r>
        <w:rPr>
          <w:rFonts w:ascii="Arial" w:hAnsi="Arial"/>
          <w:w w:val="110"/>
          <w:sz w:val="19"/>
        </w:rPr>
        <w:t>increase</w:t>
      </w:r>
      <w:r>
        <w:rPr>
          <w:rFonts w:ascii="Arial" w:hAnsi="Arial"/>
          <w:spacing w:val="-35"/>
          <w:w w:val="110"/>
          <w:sz w:val="19"/>
        </w:rPr>
        <w:t xml:space="preserve"> </w:t>
      </w:r>
      <w:r>
        <w:rPr>
          <w:rFonts w:ascii="Arial" w:hAnsi="Arial"/>
          <w:w w:val="110"/>
          <w:sz w:val="19"/>
        </w:rPr>
        <w:t>in</w:t>
      </w:r>
      <w:r>
        <w:rPr>
          <w:rFonts w:ascii="Arial" w:hAnsi="Arial"/>
          <w:spacing w:val="-36"/>
          <w:w w:val="110"/>
          <w:sz w:val="19"/>
        </w:rPr>
        <w:t xml:space="preserve"> </w:t>
      </w:r>
      <w:r>
        <w:rPr>
          <w:rFonts w:ascii="Arial" w:hAnsi="Arial"/>
          <w:w w:val="110"/>
          <w:sz w:val="19"/>
        </w:rPr>
        <w:t>regulatory</w:t>
      </w:r>
      <w:r>
        <w:rPr>
          <w:rFonts w:ascii="Arial" w:hAnsi="Arial"/>
          <w:spacing w:val="-35"/>
          <w:w w:val="110"/>
          <w:sz w:val="19"/>
        </w:rPr>
        <w:t xml:space="preserve"> </w:t>
      </w:r>
      <w:r>
        <w:rPr>
          <w:rFonts w:ascii="Arial" w:hAnsi="Arial"/>
          <w:w w:val="110"/>
          <w:sz w:val="19"/>
        </w:rPr>
        <w:t>burden</w:t>
      </w:r>
      <w:r>
        <w:rPr>
          <w:rFonts w:ascii="Arial" w:hAnsi="Arial"/>
          <w:spacing w:val="-35"/>
          <w:w w:val="110"/>
          <w:sz w:val="19"/>
        </w:rPr>
        <w:t xml:space="preserve"> </w:t>
      </w:r>
      <w:r>
        <w:rPr>
          <w:rFonts w:ascii="Arial" w:hAnsi="Arial"/>
          <w:w w:val="110"/>
          <w:sz w:val="19"/>
        </w:rPr>
        <w:t>arising</w:t>
      </w:r>
      <w:r>
        <w:rPr>
          <w:rFonts w:ascii="Arial" w:hAnsi="Arial"/>
          <w:spacing w:val="-34"/>
          <w:w w:val="110"/>
          <w:sz w:val="19"/>
        </w:rPr>
        <w:t xml:space="preserve"> </w:t>
      </w:r>
      <w:r>
        <w:rPr>
          <w:rFonts w:ascii="Arial" w:hAnsi="Arial"/>
          <w:w w:val="110"/>
          <w:sz w:val="19"/>
        </w:rPr>
        <w:t>from</w:t>
      </w:r>
      <w:r>
        <w:rPr>
          <w:rFonts w:ascii="Arial" w:hAnsi="Arial"/>
          <w:spacing w:val="-35"/>
          <w:w w:val="110"/>
          <w:sz w:val="19"/>
        </w:rPr>
        <w:t xml:space="preserve"> </w:t>
      </w:r>
      <w:r>
        <w:rPr>
          <w:rFonts w:ascii="Arial" w:hAnsi="Arial"/>
          <w:w w:val="110"/>
          <w:sz w:val="19"/>
        </w:rPr>
        <w:t>the proposed</w:t>
      </w:r>
      <w:r>
        <w:rPr>
          <w:rFonts w:ascii="Arial" w:hAnsi="Arial"/>
          <w:spacing w:val="-36"/>
          <w:w w:val="110"/>
          <w:sz w:val="19"/>
        </w:rPr>
        <w:t xml:space="preserve"> </w:t>
      </w:r>
      <w:r>
        <w:rPr>
          <w:rFonts w:ascii="Arial" w:hAnsi="Arial"/>
          <w:w w:val="110"/>
          <w:sz w:val="19"/>
        </w:rPr>
        <w:t>regulatory</w:t>
      </w:r>
      <w:r>
        <w:rPr>
          <w:rFonts w:ascii="Arial" w:hAnsi="Arial"/>
          <w:spacing w:val="-35"/>
          <w:w w:val="110"/>
          <w:sz w:val="19"/>
        </w:rPr>
        <w:t xml:space="preserve"> </w:t>
      </w:r>
      <w:r>
        <w:rPr>
          <w:rFonts w:ascii="Arial" w:hAnsi="Arial"/>
          <w:w w:val="110"/>
          <w:sz w:val="19"/>
        </w:rPr>
        <w:t>clarification.</w:t>
      </w:r>
      <w:r>
        <w:rPr>
          <w:rFonts w:ascii="Arial" w:hAnsi="Arial"/>
          <w:spacing w:val="-35"/>
          <w:w w:val="110"/>
          <w:sz w:val="19"/>
        </w:rPr>
        <w:t xml:space="preserve"> </w:t>
      </w:r>
      <w:r>
        <w:rPr>
          <w:rFonts w:ascii="Arial" w:hAnsi="Arial"/>
          <w:w w:val="110"/>
          <w:sz w:val="19"/>
        </w:rPr>
        <w:t>For</w:t>
      </w:r>
      <w:r>
        <w:rPr>
          <w:rFonts w:ascii="Arial" w:hAnsi="Arial"/>
          <w:spacing w:val="-34"/>
          <w:w w:val="110"/>
          <w:sz w:val="19"/>
        </w:rPr>
        <w:t xml:space="preserve"> </w:t>
      </w:r>
      <w:r>
        <w:rPr>
          <w:rFonts w:ascii="Arial" w:hAnsi="Arial"/>
          <w:w w:val="110"/>
          <w:sz w:val="19"/>
        </w:rPr>
        <w:t>other</w:t>
      </w:r>
      <w:r>
        <w:rPr>
          <w:rFonts w:ascii="Arial" w:hAnsi="Arial"/>
          <w:spacing w:val="-35"/>
          <w:w w:val="110"/>
          <w:sz w:val="19"/>
        </w:rPr>
        <w:t xml:space="preserve"> </w:t>
      </w:r>
      <w:r>
        <w:rPr>
          <w:rFonts w:ascii="Arial" w:hAnsi="Arial"/>
          <w:w w:val="110"/>
          <w:sz w:val="19"/>
        </w:rPr>
        <w:t>products,</w:t>
      </w:r>
      <w:r>
        <w:rPr>
          <w:rFonts w:ascii="Arial" w:hAnsi="Arial"/>
          <w:spacing w:val="-36"/>
          <w:w w:val="110"/>
          <w:sz w:val="19"/>
        </w:rPr>
        <w:t xml:space="preserve"> </w:t>
      </w:r>
      <w:r>
        <w:rPr>
          <w:rFonts w:ascii="Arial" w:hAnsi="Arial"/>
          <w:w w:val="110"/>
          <w:sz w:val="19"/>
        </w:rPr>
        <w:t>they</w:t>
      </w:r>
      <w:r>
        <w:rPr>
          <w:rFonts w:ascii="Arial" w:hAnsi="Arial"/>
          <w:spacing w:val="-34"/>
          <w:w w:val="110"/>
          <w:sz w:val="19"/>
        </w:rPr>
        <w:t xml:space="preserve"> </w:t>
      </w:r>
      <w:r>
        <w:rPr>
          <w:rFonts w:ascii="Arial" w:hAnsi="Arial"/>
          <w:w w:val="110"/>
          <w:sz w:val="19"/>
        </w:rPr>
        <w:t>will</w:t>
      </w:r>
      <w:r>
        <w:rPr>
          <w:rFonts w:ascii="Arial" w:hAnsi="Arial"/>
          <w:spacing w:val="-36"/>
          <w:w w:val="110"/>
          <w:sz w:val="19"/>
        </w:rPr>
        <w:t xml:space="preserve"> </w:t>
      </w:r>
      <w:r>
        <w:rPr>
          <w:rFonts w:ascii="Arial" w:hAnsi="Arial"/>
          <w:w w:val="110"/>
          <w:sz w:val="19"/>
        </w:rPr>
        <w:t>be</w:t>
      </w:r>
      <w:r>
        <w:rPr>
          <w:rFonts w:ascii="Arial" w:hAnsi="Arial"/>
          <w:spacing w:val="-34"/>
          <w:w w:val="110"/>
          <w:sz w:val="19"/>
        </w:rPr>
        <w:t xml:space="preserve"> </w:t>
      </w:r>
      <w:r>
        <w:rPr>
          <w:rFonts w:ascii="Arial" w:hAnsi="Arial"/>
          <w:w w:val="110"/>
          <w:sz w:val="19"/>
        </w:rPr>
        <w:t>impacted</w:t>
      </w:r>
      <w:r>
        <w:rPr>
          <w:rFonts w:ascii="Arial" w:hAnsi="Arial"/>
          <w:spacing w:val="-34"/>
          <w:w w:val="110"/>
          <w:sz w:val="19"/>
        </w:rPr>
        <w:t xml:space="preserve"> </w:t>
      </w:r>
      <w:r>
        <w:rPr>
          <w:rFonts w:ascii="Arial" w:hAnsi="Arial"/>
          <w:w w:val="110"/>
          <w:sz w:val="19"/>
        </w:rPr>
        <w:t>by</w:t>
      </w:r>
      <w:r>
        <w:rPr>
          <w:rFonts w:ascii="Arial" w:hAnsi="Arial"/>
          <w:spacing w:val="-35"/>
          <w:w w:val="110"/>
          <w:sz w:val="19"/>
        </w:rPr>
        <w:t xml:space="preserve"> </w:t>
      </w:r>
      <w:r>
        <w:rPr>
          <w:rFonts w:ascii="Arial" w:hAnsi="Arial"/>
          <w:w w:val="110"/>
          <w:sz w:val="19"/>
        </w:rPr>
        <w:t>the</w:t>
      </w:r>
      <w:r>
        <w:rPr>
          <w:rFonts w:ascii="Arial" w:hAnsi="Arial"/>
          <w:spacing w:val="-35"/>
          <w:w w:val="110"/>
          <w:sz w:val="19"/>
        </w:rPr>
        <w:t xml:space="preserve"> </w:t>
      </w:r>
      <w:r>
        <w:rPr>
          <w:rFonts w:ascii="Arial" w:hAnsi="Arial"/>
          <w:w w:val="110"/>
          <w:sz w:val="19"/>
        </w:rPr>
        <w:t>proposed regulatory</w:t>
      </w:r>
      <w:r>
        <w:rPr>
          <w:rFonts w:ascii="Arial" w:hAnsi="Arial"/>
          <w:spacing w:val="-32"/>
          <w:w w:val="110"/>
          <w:sz w:val="19"/>
        </w:rPr>
        <w:t xml:space="preserve"> </w:t>
      </w:r>
      <w:r>
        <w:rPr>
          <w:rFonts w:ascii="Arial" w:hAnsi="Arial"/>
          <w:w w:val="110"/>
          <w:sz w:val="19"/>
        </w:rPr>
        <w:t>clarification</w:t>
      </w:r>
      <w:r>
        <w:rPr>
          <w:rFonts w:ascii="Arial" w:hAnsi="Arial"/>
          <w:spacing w:val="-31"/>
          <w:w w:val="110"/>
          <w:sz w:val="19"/>
        </w:rPr>
        <w:t xml:space="preserve"> </w:t>
      </w:r>
      <w:r>
        <w:rPr>
          <w:rFonts w:ascii="Arial" w:hAnsi="Arial"/>
          <w:w w:val="110"/>
          <w:sz w:val="19"/>
        </w:rPr>
        <w:t>if</w:t>
      </w:r>
      <w:r>
        <w:rPr>
          <w:rFonts w:ascii="Arial" w:hAnsi="Arial"/>
          <w:spacing w:val="-33"/>
          <w:w w:val="110"/>
          <w:sz w:val="19"/>
        </w:rPr>
        <w:t xml:space="preserve"> </w:t>
      </w:r>
      <w:r>
        <w:rPr>
          <w:rFonts w:ascii="Arial" w:hAnsi="Arial"/>
          <w:w w:val="110"/>
          <w:sz w:val="19"/>
        </w:rPr>
        <w:t>they</w:t>
      </w:r>
      <w:r>
        <w:rPr>
          <w:rFonts w:ascii="Arial" w:hAnsi="Arial"/>
          <w:spacing w:val="-31"/>
          <w:w w:val="110"/>
          <w:sz w:val="19"/>
        </w:rPr>
        <w:t xml:space="preserve"> </w:t>
      </w:r>
      <w:r>
        <w:rPr>
          <w:rFonts w:ascii="Arial" w:hAnsi="Arial"/>
          <w:w w:val="110"/>
          <w:sz w:val="19"/>
        </w:rPr>
        <w:t>make</w:t>
      </w:r>
      <w:r>
        <w:rPr>
          <w:rFonts w:ascii="Arial" w:hAnsi="Arial"/>
          <w:spacing w:val="-32"/>
          <w:w w:val="110"/>
          <w:sz w:val="19"/>
        </w:rPr>
        <w:t xml:space="preserve"> </w:t>
      </w:r>
      <w:r>
        <w:rPr>
          <w:rFonts w:ascii="Arial" w:hAnsi="Arial"/>
          <w:w w:val="110"/>
          <w:sz w:val="19"/>
        </w:rPr>
        <w:t>a</w:t>
      </w:r>
      <w:r>
        <w:rPr>
          <w:rFonts w:ascii="Arial" w:hAnsi="Arial"/>
          <w:spacing w:val="-32"/>
          <w:w w:val="110"/>
          <w:sz w:val="19"/>
        </w:rPr>
        <w:t xml:space="preserve"> </w:t>
      </w:r>
      <w:r>
        <w:rPr>
          <w:rFonts w:ascii="Arial" w:hAnsi="Arial"/>
          <w:w w:val="110"/>
          <w:sz w:val="19"/>
        </w:rPr>
        <w:t>therapeutic</w:t>
      </w:r>
      <w:r>
        <w:rPr>
          <w:rFonts w:ascii="Arial" w:hAnsi="Arial"/>
          <w:spacing w:val="-33"/>
          <w:w w:val="110"/>
          <w:sz w:val="19"/>
        </w:rPr>
        <w:t xml:space="preserve"> </w:t>
      </w:r>
      <w:r>
        <w:rPr>
          <w:rFonts w:ascii="Arial" w:hAnsi="Arial"/>
          <w:w w:val="110"/>
          <w:sz w:val="19"/>
        </w:rPr>
        <w:t>claim</w:t>
      </w:r>
      <w:r>
        <w:rPr>
          <w:rFonts w:ascii="Arial" w:hAnsi="Arial"/>
          <w:spacing w:val="-33"/>
          <w:w w:val="110"/>
          <w:sz w:val="19"/>
        </w:rPr>
        <w:t xml:space="preserve"> </w:t>
      </w:r>
      <w:r>
        <w:rPr>
          <w:rFonts w:ascii="Arial" w:hAnsi="Arial"/>
          <w:w w:val="110"/>
          <w:sz w:val="19"/>
        </w:rPr>
        <w:t>relating</w:t>
      </w:r>
      <w:r>
        <w:rPr>
          <w:rFonts w:ascii="Arial" w:hAnsi="Arial"/>
          <w:spacing w:val="-32"/>
          <w:w w:val="110"/>
          <w:sz w:val="19"/>
        </w:rPr>
        <w:t xml:space="preserve"> </w:t>
      </w:r>
      <w:r>
        <w:rPr>
          <w:rFonts w:ascii="Arial" w:hAnsi="Arial"/>
          <w:w w:val="110"/>
          <w:sz w:val="19"/>
        </w:rPr>
        <w:t>to</w:t>
      </w:r>
      <w:r>
        <w:rPr>
          <w:rFonts w:ascii="Arial" w:hAnsi="Arial"/>
          <w:spacing w:val="-32"/>
          <w:w w:val="110"/>
          <w:sz w:val="19"/>
        </w:rPr>
        <w:t xml:space="preserve"> </w:t>
      </w:r>
      <w:r>
        <w:rPr>
          <w:rFonts w:ascii="Arial" w:hAnsi="Arial"/>
          <w:w w:val="110"/>
          <w:sz w:val="19"/>
        </w:rPr>
        <w:t>improving</w:t>
      </w:r>
      <w:r>
        <w:rPr>
          <w:rFonts w:ascii="Arial" w:hAnsi="Arial"/>
          <w:spacing w:val="-31"/>
          <w:w w:val="110"/>
          <w:sz w:val="19"/>
        </w:rPr>
        <w:t xml:space="preserve"> </w:t>
      </w:r>
      <w:r>
        <w:rPr>
          <w:rFonts w:ascii="Arial" w:hAnsi="Arial"/>
          <w:w w:val="110"/>
          <w:sz w:val="19"/>
        </w:rPr>
        <w:t>or</w:t>
      </w:r>
      <w:r>
        <w:rPr>
          <w:rFonts w:ascii="Arial" w:hAnsi="Arial"/>
          <w:spacing w:val="-31"/>
          <w:w w:val="110"/>
          <w:sz w:val="19"/>
        </w:rPr>
        <w:t xml:space="preserve"> </w:t>
      </w:r>
      <w:r>
        <w:rPr>
          <w:rFonts w:ascii="Arial" w:hAnsi="Arial"/>
          <w:w w:val="110"/>
          <w:sz w:val="19"/>
        </w:rPr>
        <w:t>maintaining physical</w:t>
      </w:r>
      <w:r>
        <w:rPr>
          <w:rFonts w:ascii="Arial" w:hAnsi="Arial"/>
          <w:spacing w:val="-35"/>
          <w:w w:val="110"/>
          <w:sz w:val="19"/>
        </w:rPr>
        <w:t xml:space="preserve"> </w:t>
      </w:r>
      <w:r>
        <w:rPr>
          <w:rFonts w:ascii="Arial" w:hAnsi="Arial"/>
          <w:w w:val="110"/>
          <w:sz w:val="19"/>
        </w:rPr>
        <w:t>or</w:t>
      </w:r>
      <w:r>
        <w:rPr>
          <w:rFonts w:ascii="Arial" w:hAnsi="Arial"/>
          <w:spacing w:val="-35"/>
          <w:w w:val="110"/>
          <w:sz w:val="19"/>
        </w:rPr>
        <w:t xml:space="preserve"> </w:t>
      </w:r>
      <w:r>
        <w:rPr>
          <w:rFonts w:ascii="Arial" w:hAnsi="Arial"/>
          <w:w w:val="110"/>
          <w:sz w:val="19"/>
        </w:rPr>
        <w:t>mental</w:t>
      </w:r>
      <w:r>
        <w:rPr>
          <w:rFonts w:ascii="Arial" w:hAnsi="Arial"/>
          <w:spacing w:val="-36"/>
          <w:w w:val="110"/>
          <w:sz w:val="19"/>
        </w:rPr>
        <w:t xml:space="preserve"> </w:t>
      </w:r>
      <w:r>
        <w:rPr>
          <w:rFonts w:ascii="Arial" w:hAnsi="Arial"/>
          <w:w w:val="110"/>
          <w:sz w:val="19"/>
        </w:rPr>
        <w:t>performance</w:t>
      </w:r>
      <w:r>
        <w:rPr>
          <w:rFonts w:ascii="Arial" w:hAnsi="Arial"/>
          <w:spacing w:val="-36"/>
          <w:w w:val="110"/>
          <w:sz w:val="19"/>
        </w:rPr>
        <w:t xml:space="preserve"> </w:t>
      </w:r>
      <w:r>
        <w:rPr>
          <w:rFonts w:ascii="Arial" w:hAnsi="Arial"/>
          <w:w w:val="110"/>
          <w:sz w:val="19"/>
        </w:rPr>
        <w:t>in</w:t>
      </w:r>
      <w:r>
        <w:rPr>
          <w:rFonts w:ascii="Arial" w:hAnsi="Arial"/>
          <w:spacing w:val="-34"/>
          <w:w w:val="110"/>
          <w:sz w:val="19"/>
        </w:rPr>
        <w:t xml:space="preserve"> </w:t>
      </w:r>
      <w:r>
        <w:rPr>
          <w:rFonts w:ascii="Arial" w:hAnsi="Arial"/>
          <w:w w:val="110"/>
          <w:sz w:val="19"/>
        </w:rPr>
        <w:t>sport,</w:t>
      </w:r>
      <w:r>
        <w:rPr>
          <w:rFonts w:ascii="Arial" w:hAnsi="Arial"/>
          <w:spacing w:val="-37"/>
          <w:w w:val="110"/>
          <w:sz w:val="19"/>
        </w:rPr>
        <w:t xml:space="preserve"> </w:t>
      </w:r>
      <w:r>
        <w:rPr>
          <w:rFonts w:ascii="Arial" w:hAnsi="Arial"/>
          <w:w w:val="110"/>
          <w:sz w:val="19"/>
        </w:rPr>
        <w:t>exercise</w:t>
      </w:r>
      <w:r>
        <w:rPr>
          <w:rFonts w:ascii="Arial" w:hAnsi="Arial"/>
          <w:spacing w:val="-35"/>
          <w:w w:val="110"/>
          <w:sz w:val="19"/>
        </w:rPr>
        <w:t xml:space="preserve"> </w:t>
      </w:r>
      <w:r>
        <w:rPr>
          <w:rFonts w:ascii="Arial" w:hAnsi="Arial"/>
          <w:w w:val="110"/>
          <w:sz w:val="19"/>
        </w:rPr>
        <w:t>or</w:t>
      </w:r>
      <w:r>
        <w:rPr>
          <w:rFonts w:ascii="Arial" w:hAnsi="Arial"/>
          <w:spacing w:val="-35"/>
          <w:w w:val="110"/>
          <w:sz w:val="19"/>
        </w:rPr>
        <w:t xml:space="preserve"> </w:t>
      </w:r>
      <w:r>
        <w:rPr>
          <w:rFonts w:ascii="Arial" w:hAnsi="Arial"/>
          <w:w w:val="110"/>
          <w:sz w:val="19"/>
        </w:rPr>
        <w:t>other</w:t>
      </w:r>
      <w:r>
        <w:rPr>
          <w:rFonts w:ascii="Arial" w:hAnsi="Arial"/>
          <w:spacing w:val="-35"/>
          <w:w w:val="110"/>
          <w:sz w:val="19"/>
        </w:rPr>
        <w:t xml:space="preserve"> </w:t>
      </w:r>
      <w:r>
        <w:rPr>
          <w:rFonts w:ascii="Arial" w:hAnsi="Arial"/>
          <w:w w:val="110"/>
          <w:sz w:val="19"/>
        </w:rPr>
        <w:t>recreational</w:t>
      </w:r>
      <w:r>
        <w:rPr>
          <w:rFonts w:ascii="Arial" w:hAnsi="Arial"/>
          <w:spacing w:val="-35"/>
          <w:w w:val="110"/>
          <w:sz w:val="19"/>
        </w:rPr>
        <w:t xml:space="preserve"> </w:t>
      </w:r>
      <w:r>
        <w:rPr>
          <w:rFonts w:ascii="Arial" w:hAnsi="Arial"/>
          <w:w w:val="110"/>
          <w:sz w:val="19"/>
        </w:rPr>
        <w:t>activity</w:t>
      </w:r>
      <w:r>
        <w:rPr>
          <w:rFonts w:ascii="Arial" w:hAnsi="Arial"/>
          <w:spacing w:val="-33"/>
          <w:w w:val="110"/>
          <w:sz w:val="19"/>
        </w:rPr>
        <w:t xml:space="preserve"> </w:t>
      </w:r>
      <w:r>
        <w:rPr>
          <w:rFonts w:ascii="Arial" w:hAnsi="Arial"/>
          <w:w w:val="110"/>
          <w:sz w:val="19"/>
        </w:rPr>
        <w:t>AND</w:t>
      </w:r>
      <w:r>
        <w:rPr>
          <w:rFonts w:ascii="Arial" w:hAnsi="Arial"/>
          <w:spacing w:val="-35"/>
          <w:w w:val="110"/>
          <w:sz w:val="19"/>
        </w:rPr>
        <w:t xml:space="preserve"> </w:t>
      </w:r>
      <w:r>
        <w:rPr>
          <w:rFonts w:ascii="Arial" w:hAnsi="Arial"/>
          <w:w w:val="110"/>
          <w:sz w:val="19"/>
        </w:rPr>
        <w:t>contain substances</w:t>
      </w:r>
      <w:r>
        <w:rPr>
          <w:rFonts w:ascii="Arial" w:hAnsi="Arial"/>
          <w:spacing w:val="-34"/>
          <w:w w:val="110"/>
          <w:sz w:val="19"/>
        </w:rPr>
        <w:t xml:space="preserve"> </w:t>
      </w:r>
      <w:r>
        <w:rPr>
          <w:rFonts w:ascii="Arial" w:hAnsi="Arial"/>
          <w:w w:val="110"/>
          <w:sz w:val="19"/>
        </w:rPr>
        <w:t>that</w:t>
      </w:r>
      <w:r>
        <w:rPr>
          <w:rFonts w:ascii="Arial" w:hAnsi="Arial"/>
          <w:spacing w:val="-34"/>
          <w:w w:val="110"/>
          <w:sz w:val="19"/>
        </w:rPr>
        <w:t xml:space="preserve"> </w:t>
      </w:r>
      <w:r>
        <w:rPr>
          <w:rFonts w:ascii="Arial" w:hAnsi="Arial"/>
          <w:w w:val="110"/>
          <w:sz w:val="19"/>
        </w:rPr>
        <w:t>are</w:t>
      </w:r>
      <w:r>
        <w:rPr>
          <w:rFonts w:ascii="Arial" w:hAnsi="Arial"/>
          <w:spacing w:val="-33"/>
          <w:w w:val="110"/>
          <w:sz w:val="19"/>
        </w:rPr>
        <w:t xml:space="preserve"> </w:t>
      </w:r>
      <w:r>
        <w:rPr>
          <w:rFonts w:ascii="Arial" w:hAnsi="Arial"/>
          <w:w w:val="110"/>
          <w:sz w:val="19"/>
        </w:rPr>
        <w:t>not</w:t>
      </w:r>
      <w:r>
        <w:rPr>
          <w:rFonts w:ascii="Arial" w:hAnsi="Arial"/>
          <w:spacing w:val="-34"/>
          <w:w w:val="110"/>
          <w:sz w:val="19"/>
        </w:rPr>
        <w:t xml:space="preserve"> </w:t>
      </w:r>
      <w:r>
        <w:rPr>
          <w:rFonts w:ascii="Arial" w:hAnsi="Arial"/>
          <w:w w:val="110"/>
          <w:sz w:val="19"/>
        </w:rPr>
        <w:t>appropriate</w:t>
      </w:r>
      <w:r>
        <w:rPr>
          <w:rFonts w:ascii="Arial" w:hAnsi="Arial"/>
          <w:spacing w:val="-34"/>
          <w:w w:val="110"/>
          <w:sz w:val="19"/>
        </w:rPr>
        <w:t xml:space="preserve"> </w:t>
      </w:r>
      <w:r>
        <w:rPr>
          <w:rFonts w:ascii="Arial" w:hAnsi="Arial"/>
          <w:w w:val="110"/>
          <w:sz w:val="19"/>
        </w:rPr>
        <w:t>for</w:t>
      </w:r>
      <w:r>
        <w:rPr>
          <w:rFonts w:ascii="Arial" w:hAnsi="Arial"/>
          <w:spacing w:val="-33"/>
          <w:w w:val="110"/>
          <w:sz w:val="19"/>
        </w:rPr>
        <w:t xml:space="preserve"> </w:t>
      </w:r>
      <w:r>
        <w:rPr>
          <w:rFonts w:ascii="Arial" w:hAnsi="Arial"/>
          <w:w w:val="110"/>
          <w:sz w:val="19"/>
        </w:rPr>
        <w:t>foods</w:t>
      </w:r>
      <w:r>
        <w:rPr>
          <w:rFonts w:ascii="Arial" w:hAnsi="Arial"/>
          <w:w w:val="110"/>
          <w:position w:val="7"/>
          <w:sz w:val="11"/>
        </w:rPr>
        <w:t>29</w:t>
      </w:r>
      <w:r>
        <w:rPr>
          <w:rFonts w:ascii="Arial" w:hAnsi="Arial"/>
          <w:spacing w:val="-8"/>
          <w:w w:val="110"/>
          <w:position w:val="7"/>
          <w:sz w:val="11"/>
        </w:rPr>
        <w:t xml:space="preserve"> </w:t>
      </w:r>
      <w:r>
        <w:rPr>
          <w:rFonts w:ascii="Arial" w:hAnsi="Arial"/>
          <w:w w:val="110"/>
          <w:sz w:val="19"/>
        </w:rPr>
        <w:t>OR</w:t>
      </w:r>
      <w:r>
        <w:rPr>
          <w:rFonts w:ascii="Arial" w:hAnsi="Arial"/>
          <w:spacing w:val="-33"/>
          <w:w w:val="110"/>
          <w:sz w:val="19"/>
        </w:rPr>
        <w:t xml:space="preserve"> </w:t>
      </w:r>
      <w:r>
        <w:rPr>
          <w:rFonts w:ascii="Arial" w:hAnsi="Arial"/>
          <w:w w:val="110"/>
          <w:sz w:val="19"/>
        </w:rPr>
        <w:t>are</w:t>
      </w:r>
      <w:r>
        <w:rPr>
          <w:rFonts w:ascii="Arial" w:hAnsi="Arial"/>
          <w:spacing w:val="-32"/>
          <w:w w:val="110"/>
          <w:sz w:val="19"/>
        </w:rPr>
        <w:t xml:space="preserve"> </w:t>
      </w:r>
      <w:r>
        <w:rPr>
          <w:rFonts w:ascii="Arial" w:hAnsi="Arial"/>
          <w:w w:val="110"/>
          <w:sz w:val="19"/>
        </w:rPr>
        <w:t>presented</w:t>
      </w:r>
      <w:r>
        <w:rPr>
          <w:rFonts w:ascii="Arial" w:hAnsi="Arial"/>
          <w:spacing w:val="-34"/>
          <w:w w:val="110"/>
          <w:sz w:val="19"/>
        </w:rPr>
        <w:t xml:space="preserve"> </w:t>
      </w:r>
      <w:r>
        <w:rPr>
          <w:rFonts w:ascii="Arial" w:hAnsi="Arial"/>
          <w:w w:val="110"/>
          <w:sz w:val="19"/>
        </w:rPr>
        <w:t>in</w:t>
      </w:r>
      <w:r>
        <w:rPr>
          <w:rFonts w:ascii="Arial" w:hAnsi="Arial"/>
          <w:spacing w:val="-32"/>
          <w:w w:val="110"/>
          <w:sz w:val="19"/>
        </w:rPr>
        <w:t xml:space="preserve"> </w:t>
      </w:r>
      <w:r>
        <w:rPr>
          <w:rFonts w:ascii="Arial" w:hAnsi="Arial"/>
          <w:w w:val="110"/>
          <w:sz w:val="19"/>
        </w:rPr>
        <w:t>a</w:t>
      </w:r>
      <w:r>
        <w:rPr>
          <w:rFonts w:ascii="Arial" w:hAnsi="Arial"/>
          <w:spacing w:val="-34"/>
          <w:w w:val="110"/>
          <w:sz w:val="19"/>
        </w:rPr>
        <w:t xml:space="preserve"> </w:t>
      </w:r>
      <w:r>
        <w:rPr>
          <w:rFonts w:ascii="Arial" w:hAnsi="Arial"/>
          <w:w w:val="110"/>
          <w:sz w:val="19"/>
        </w:rPr>
        <w:t>form</w:t>
      </w:r>
      <w:r>
        <w:rPr>
          <w:rFonts w:ascii="Arial" w:hAnsi="Arial"/>
          <w:spacing w:val="-33"/>
          <w:w w:val="110"/>
          <w:sz w:val="19"/>
        </w:rPr>
        <w:t xml:space="preserve"> </w:t>
      </w:r>
      <w:r>
        <w:rPr>
          <w:rFonts w:ascii="Arial" w:hAnsi="Arial"/>
          <w:w w:val="110"/>
          <w:sz w:val="19"/>
        </w:rPr>
        <w:t>associated</w:t>
      </w:r>
      <w:r>
        <w:rPr>
          <w:rFonts w:ascii="Arial" w:hAnsi="Arial"/>
          <w:spacing w:val="-35"/>
          <w:w w:val="110"/>
          <w:sz w:val="19"/>
        </w:rPr>
        <w:t xml:space="preserve"> </w:t>
      </w:r>
      <w:r>
        <w:rPr>
          <w:rFonts w:ascii="Arial" w:hAnsi="Arial"/>
          <w:w w:val="110"/>
          <w:sz w:val="19"/>
        </w:rPr>
        <w:t>with medicines</w:t>
      </w:r>
      <w:r>
        <w:rPr>
          <w:rFonts w:ascii="Arial" w:hAnsi="Arial"/>
          <w:spacing w:val="-18"/>
          <w:w w:val="110"/>
          <w:sz w:val="19"/>
        </w:rPr>
        <w:t xml:space="preserve"> </w:t>
      </w:r>
      <w:r>
        <w:rPr>
          <w:rFonts w:ascii="Arial" w:hAnsi="Arial"/>
          <w:w w:val="110"/>
          <w:sz w:val="19"/>
        </w:rPr>
        <w:t>rather</w:t>
      </w:r>
      <w:r>
        <w:rPr>
          <w:rFonts w:ascii="Arial" w:hAnsi="Arial"/>
          <w:spacing w:val="-18"/>
          <w:w w:val="110"/>
          <w:sz w:val="19"/>
        </w:rPr>
        <w:t xml:space="preserve"> </w:t>
      </w:r>
      <w:r>
        <w:rPr>
          <w:rFonts w:ascii="Arial" w:hAnsi="Arial"/>
          <w:w w:val="110"/>
          <w:sz w:val="19"/>
        </w:rPr>
        <w:t>than</w:t>
      </w:r>
      <w:r>
        <w:rPr>
          <w:rFonts w:ascii="Arial" w:hAnsi="Arial"/>
          <w:spacing w:val="-19"/>
          <w:w w:val="110"/>
          <w:sz w:val="19"/>
        </w:rPr>
        <w:t xml:space="preserve"> </w:t>
      </w:r>
      <w:r>
        <w:rPr>
          <w:rFonts w:ascii="Arial" w:hAnsi="Arial"/>
          <w:w w:val="110"/>
          <w:sz w:val="19"/>
        </w:rPr>
        <w:t>foods</w:t>
      </w:r>
      <w:r>
        <w:rPr>
          <w:rFonts w:ascii="Arial" w:hAnsi="Arial"/>
          <w:spacing w:val="-17"/>
          <w:w w:val="110"/>
          <w:sz w:val="19"/>
        </w:rPr>
        <w:t xml:space="preserve"> </w:t>
      </w:r>
      <w:r>
        <w:rPr>
          <w:rFonts w:ascii="Arial" w:hAnsi="Arial"/>
          <w:w w:val="110"/>
          <w:sz w:val="19"/>
        </w:rPr>
        <w:t>(i.e.</w:t>
      </w:r>
      <w:r>
        <w:rPr>
          <w:rFonts w:ascii="Arial" w:hAnsi="Arial"/>
          <w:spacing w:val="-17"/>
          <w:w w:val="110"/>
          <w:sz w:val="19"/>
        </w:rPr>
        <w:t xml:space="preserve"> </w:t>
      </w:r>
      <w:r>
        <w:rPr>
          <w:rFonts w:ascii="Arial" w:hAnsi="Arial"/>
          <w:w w:val="110"/>
          <w:sz w:val="19"/>
        </w:rPr>
        <w:t>a</w:t>
      </w:r>
      <w:r>
        <w:rPr>
          <w:rFonts w:ascii="Arial" w:hAnsi="Arial"/>
          <w:spacing w:val="-18"/>
          <w:w w:val="110"/>
          <w:sz w:val="19"/>
        </w:rPr>
        <w:t xml:space="preserve"> </w:t>
      </w:r>
      <w:r>
        <w:rPr>
          <w:rFonts w:ascii="Arial" w:hAnsi="Arial"/>
          <w:w w:val="110"/>
          <w:sz w:val="19"/>
        </w:rPr>
        <w:t>tablet,</w:t>
      </w:r>
      <w:r>
        <w:rPr>
          <w:rFonts w:ascii="Arial" w:hAnsi="Arial"/>
          <w:spacing w:val="-20"/>
          <w:w w:val="110"/>
          <w:sz w:val="19"/>
        </w:rPr>
        <w:t xml:space="preserve"> </w:t>
      </w:r>
      <w:r>
        <w:rPr>
          <w:rFonts w:ascii="Arial" w:hAnsi="Arial"/>
          <w:w w:val="110"/>
          <w:sz w:val="19"/>
        </w:rPr>
        <w:t>capsule</w:t>
      </w:r>
      <w:r>
        <w:rPr>
          <w:rFonts w:ascii="Arial" w:hAnsi="Arial"/>
          <w:spacing w:val="-16"/>
          <w:w w:val="110"/>
          <w:sz w:val="19"/>
        </w:rPr>
        <w:t xml:space="preserve"> </w:t>
      </w:r>
      <w:r>
        <w:rPr>
          <w:rFonts w:ascii="Arial" w:hAnsi="Arial"/>
          <w:w w:val="110"/>
          <w:sz w:val="19"/>
        </w:rPr>
        <w:t>or</w:t>
      </w:r>
      <w:r>
        <w:rPr>
          <w:rFonts w:ascii="Arial" w:hAnsi="Arial"/>
          <w:spacing w:val="-20"/>
          <w:w w:val="110"/>
          <w:sz w:val="19"/>
        </w:rPr>
        <w:t xml:space="preserve"> </w:t>
      </w:r>
      <w:r>
        <w:rPr>
          <w:rFonts w:ascii="Arial" w:hAnsi="Arial"/>
          <w:w w:val="110"/>
          <w:sz w:val="19"/>
        </w:rPr>
        <w:t>pill).</w:t>
      </w:r>
    </w:p>
    <w:p w:rsidR="007D76BB" w:rsidRDefault="00D70D28">
      <w:pPr>
        <w:spacing w:before="183" w:line="266" w:lineRule="auto"/>
        <w:ind w:left="482" w:right="1181"/>
        <w:rPr>
          <w:rFonts w:ascii="Arial"/>
          <w:sz w:val="19"/>
        </w:rPr>
      </w:pPr>
      <w:r>
        <w:rPr>
          <w:rFonts w:ascii="Arial"/>
          <w:w w:val="105"/>
          <w:sz w:val="19"/>
        </w:rPr>
        <w:t>Manufacturers/retailers</w:t>
      </w:r>
      <w:r>
        <w:rPr>
          <w:rFonts w:ascii="Arial"/>
          <w:spacing w:val="-23"/>
          <w:w w:val="105"/>
          <w:sz w:val="19"/>
        </w:rPr>
        <w:t xml:space="preserve"> </w:t>
      </w:r>
      <w:r>
        <w:rPr>
          <w:rFonts w:ascii="Arial"/>
          <w:w w:val="105"/>
          <w:sz w:val="19"/>
        </w:rPr>
        <w:t>of</w:t>
      </w:r>
      <w:r>
        <w:rPr>
          <w:rFonts w:ascii="Arial"/>
          <w:spacing w:val="-22"/>
          <w:w w:val="105"/>
          <w:sz w:val="19"/>
        </w:rPr>
        <w:t xml:space="preserve"> </w:t>
      </w:r>
      <w:r>
        <w:rPr>
          <w:rFonts w:ascii="Arial"/>
          <w:w w:val="105"/>
          <w:sz w:val="19"/>
        </w:rPr>
        <w:t>sports</w:t>
      </w:r>
      <w:r>
        <w:rPr>
          <w:rFonts w:ascii="Arial"/>
          <w:spacing w:val="-22"/>
          <w:w w:val="105"/>
          <w:sz w:val="19"/>
        </w:rPr>
        <w:t xml:space="preserve"> </w:t>
      </w:r>
      <w:r>
        <w:rPr>
          <w:rFonts w:ascii="Arial"/>
          <w:w w:val="105"/>
          <w:sz w:val="19"/>
        </w:rPr>
        <w:t>supplements</w:t>
      </w:r>
      <w:r>
        <w:rPr>
          <w:rFonts w:ascii="Arial"/>
          <w:spacing w:val="-24"/>
          <w:w w:val="105"/>
          <w:sz w:val="19"/>
        </w:rPr>
        <w:t xml:space="preserve"> </w:t>
      </w:r>
      <w:r>
        <w:rPr>
          <w:rFonts w:ascii="Arial"/>
          <w:w w:val="105"/>
          <w:sz w:val="19"/>
        </w:rPr>
        <w:t>captured</w:t>
      </w:r>
      <w:r>
        <w:rPr>
          <w:rFonts w:ascii="Arial"/>
          <w:spacing w:val="-24"/>
          <w:w w:val="105"/>
          <w:sz w:val="19"/>
        </w:rPr>
        <w:t xml:space="preserve"> </w:t>
      </w:r>
      <w:r>
        <w:rPr>
          <w:rFonts w:ascii="Arial"/>
          <w:w w:val="105"/>
          <w:sz w:val="19"/>
        </w:rPr>
        <w:t>by</w:t>
      </w:r>
      <w:r>
        <w:rPr>
          <w:rFonts w:ascii="Arial"/>
          <w:spacing w:val="-22"/>
          <w:w w:val="105"/>
          <w:sz w:val="19"/>
        </w:rPr>
        <w:t xml:space="preserve"> </w:t>
      </w:r>
      <w:r>
        <w:rPr>
          <w:rFonts w:ascii="Arial"/>
          <w:w w:val="105"/>
          <w:sz w:val="19"/>
        </w:rPr>
        <w:t>the</w:t>
      </w:r>
      <w:r>
        <w:rPr>
          <w:rFonts w:ascii="Arial"/>
          <w:spacing w:val="-23"/>
          <w:w w:val="105"/>
          <w:sz w:val="19"/>
        </w:rPr>
        <w:t xml:space="preserve"> </w:t>
      </w:r>
      <w:r>
        <w:rPr>
          <w:rFonts w:ascii="Arial"/>
          <w:w w:val="105"/>
          <w:sz w:val="19"/>
        </w:rPr>
        <w:t>proposed</w:t>
      </w:r>
      <w:r>
        <w:rPr>
          <w:rFonts w:ascii="Arial"/>
          <w:spacing w:val="-23"/>
          <w:w w:val="105"/>
          <w:sz w:val="19"/>
        </w:rPr>
        <w:t xml:space="preserve"> </w:t>
      </w:r>
      <w:r>
        <w:rPr>
          <w:rFonts w:ascii="Arial"/>
          <w:w w:val="105"/>
          <w:sz w:val="19"/>
        </w:rPr>
        <w:t>regulatory</w:t>
      </w:r>
      <w:r>
        <w:rPr>
          <w:rFonts w:ascii="Arial"/>
          <w:spacing w:val="-22"/>
          <w:w w:val="105"/>
          <w:sz w:val="19"/>
        </w:rPr>
        <w:t xml:space="preserve"> </w:t>
      </w:r>
      <w:r>
        <w:rPr>
          <w:rFonts w:ascii="Arial"/>
          <w:w w:val="105"/>
          <w:sz w:val="19"/>
        </w:rPr>
        <w:t>clarification are</w:t>
      </w:r>
      <w:r>
        <w:rPr>
          <w:rFonts w:ascii="Arial"/>
          <w:spacing w:val="-15"/>
          <w:w w:val="105"/>
          <w:sz w:val="19"/>
        </w:rPr>
        <w:t xml:space="preserve"> </w:t>
      </w:r>
      <w:r>
        <w:rPr>
          <w:rFonts w:ascii="Arial"/>
          <w:w w:val="105"/>
          <w:sz w:val="19"/>
        </w:rPr>
        <w:t>presented</w:t>
      </w:r>
      <w:r>
        <w:rPr>
          <w:rFonts w:ascii="Arial"/>
          <w:spacing w:val="-15"/>
          <w:w w:val="105"/>
          <w:sz w:val="19"/>
        </w:rPr>
        <w:t xml:space="preserve"> </w:t>
      </w:r>
      <w:r>
        <w:rPr>
          <w:rFonts w:ascii="Arial"/>
          <w:w w:val="105"/>
          <w:sz w:val="19"/>
        </w:rPr>
        <w:t>with</w:t>
      </w:r>
      <w:r>
        <w:rPr>
          <w:rFonts w:ascii="Arial"/>
          <w:spacing w:val="-15"/>
          <w:w w:val="105"/>
          <w:sz w:val="19"/>
        </w:rPr>
        <w:t xml:space="preserve"> </w:t>
      </w:r>
      <w:r>
        <w:rPr>
          <w:rFonts w:ascii="Arial"/>
          <w:w w:val="105"/>
          <w:sz w:val="19"/>
        </w:rPr>
        <w:t>three</w:t>
      </w:r>
      <w:r>
        <w:rPr>
          <w:rFonts w:ascii="Arial"/>
          <w:spacing w:val="-13"/>
          <w:w w:val="105"/>
          <w:sz w:val="19"/>
        </w:rPr>
        <w:t xml:space="preserve"> </w:t>
      </w:r>
      <w:r>
        <w:rPr>
          <w:rFonts w:ascii="Arial"/>
          <w:w w:val="105"/>
          <w:sz w:val="19"/>
        </w:rPr>
        <w:t>broad</w:t>
      </w:r>
      <w:r>
        <w:rPr>
          <w:rFonts w:ascii="Arial"/>
          <w:spacing w:val="-11"/>
          <w:w w:val="105"/>
          <w:sz w:val="19"/>
        </w:rPr>
        <w:t xml:space="preserve"> </w:t>
      </w:r>
      <w:r>
        <w:rPr>
          <w:rFonts w:ascii="Arial"/>
          <w:w w:val="105"/>
          <w:sz w:val="19"/>
        </w:rPr>
        <w:t>response</w:t>
      </w:r>
      <w:r>
        <w:rPr>
          <w:rFonts w:ascii="Arial"/>
          <w:spacing w:val="-12"/>
          <w:w w:val="105"/>
          <w:sz w:val="19"/>
        </w:rPr>
        <w:t xml:space="preserve"> </w:t>
      </w:r>
      <w:r>
        <w:rPr>
          <w:rFonts w:ascii="Arial"/>
          <w:w w:val="105"/>
          <w:sz w:val="19"/>
        </w:rPr>
        <w:t>options</w:t>
      </w:r>
      <w:r>
        <w:rPr>
          <w:rFonts w:ascii="Arial"/>
          <w:spacing w:val="-12"/>
          <w:w w:val="105"/>
          <w:sz w:val="19"/>
        </w:rPr>
        <w:t xml:space="preserve"> </w:t>
      </w:r>
      <w:r>
        <w:rPr>
          <w:rFonts w:ascii="Arial"/>
          <w:w w:val="105"/>
          <w:sz w:val="19"/>
        </w:rPr>
        <w:t>(see</w:t>
      </w:r>
      <w:r>
        <w:rPr>
          <w:rFonts w:ascii="Arial"/>
          <w:spacing w:val="-15"/>
          <w:w w:val="105"/>
          <w:sz w:val="19"/>
        </w:rPr>
        <w:t xml:space="preserve"> </w:t>
      </w:r>
      <w:r>
        <w:rPr>
          <w:rFonts w:ascii="Arial"/>
          <w:w w:val="105"/>
          <w:sz w:val="19"/>
        </w:rPr>
        <w:t>the</w:t>
      </w:r>
      <w:r>
        <w:rPr>
          <w:rFonts w:ascii="Arial"/>
          <w:spacing w:val="-15"/>
          <w:w w:val="105"/>
          <w:sz w:val="19"/>
        </w:rPr>
        <w:t xml:space="preserve"> </w:t>
      </w:r>
      <w:r>
        <w:rPr>
          <w:rFonts w:ascii="Arial"/>
          <w:w w:val="105"/>
          <w:sz w:val="19"/>
        </w:rPr>
        <w:t>figure</w:t>
      </w:r>
      <w:r>
        <w:rPr>
          <w:rFonts w:ascii="Arial"/>
          <w:spacing w:val="-14"/>
          <w:w w:val="105"/>
          <w:sz w:val="19"/>
        </w:rPr>
        <w:t xml:space="preserve"> </w:t>
      </w:r>
      <w:r>
        <w:rPr>
          <w:rFonts w:ascii="Arial"/>
          <w:w w:val="105"/>
          <w:sz w:val="19"/>
        </w:rPr>
        <w:t>below).</w:t>
      </w:r>
    </w:p>
    <w:p w:rsidR="007D76BB" w:rsidRDefault="007D76BB">
      <w:pPr>
        <w:pStyle w:val="BodyText"/>
        <w:spacing w:before="5"/>
        <w:rPr>
          <w:rFonts w:ascii="Arial"/>
          <w:sz w:val="20"/>
        </w:rPr>
      </w:pPr>
    </w:p>
    <w:p w:rsidR="007D76BB" w:rsidRDefault="00D70D28">
      <w:pPr>
        <w:ind w:left="482"/>
        <w:rPr>
          <w:rFonts w:ascii="Arial"/>
          <w:sz w:val="19"/>
        </w:rPr>
      </w:pPr>
      <w:r>
        <w:rPr>
          <w:rFonts w:ascii="Arial"/>
          <w:color w:val="005386"/>
          <w:w w:val="105"/>
          <w:sz w:val="19"/>
        </w:rPr>
        <w:t>Figure 3. Broad responses to regulatory clarification</w:t>
      </w:r>
    </w:p>
    <w:p w:rsidR="007D76BB" w:rsidRDefault="00D70D28">
      <w:pPr>
        <w:pStyle w:val="BodyText"/>
        <w:spacing w:before="10"/>
        <w:rPr>
          <w:rFonts w:ascii="Arial"/>
          <w:sz w:val="12"/>
        </w:rPr>
      </w:pPr>
      <w:r>
        <w:rPr>
          <w:noProof/>
          <w:lang w:val="en-AU" w:eastAsia="en-AU"/>
        </w:rPr>
        <w:drawing>
          <wp:anchor distT="0" distB="0" distL="0" distR="0" simplePos="0" relativeHeight="46" behindDoc="0" locked="0" layoutInCell="1" allowOverlap="1">
            <wp:simplePos x="0" y="0"/>
            <wp:positionH relativeFrom="page">
              <wp:posOffset>1168126</wp:posOffset>
            </wp:positionH>
            <wp:positionV relativeFrom="paragraph">
              <wp:posOffset>119362</wp:posOffset>
            </wp:positionV>
            <wp:extent cx="5554517" cy="1177289"/>
            <wp:effectExtent l="0" t="0" r="0" b="0"/>
            <wp:wrapTopAndBottom/>
            <wp:docPr id="1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0.png"/>
                    <pic:cNvPicPr/>
                  </pic:nvPicPr>
                  <pic:blipFill>
                    <a:blip r:embed="rId197" cstate="print"/>
                    <a:stretch>
                      <a:fillRect/>
                    </a:stretch>
                  </pic:blipFill>
                  <pic:spPr>
                    <a:xfrm>
                      <a:off x="0" y="0"/>
                      <a:ext cx="5554517" cy="1177289"/>
                    </a:xfrm>
                    <a:prstGeom prst="rect">
                      <a:avLst/>
                    </a:prstGeom>
                  </pic:spPr>
                </pic:pic>
              </a:graphicData>
            </a:graphic>
          </wp:anchor>
        </w:drawing>
      </w:r>
    </w:p>
    <w:p w:rsidR="007D76BB" w:rsidRDefault="007D76BB">
      <w:pPr>
        <w:pStyle w:val="BodyText"/>
        <w:spacing w:before="4"/>
        <w:rPr>
          <w:rFonts w:ascii="Arial"/>
          <w:sz w:val="27"/>
        </w:rPr>
      </w:pPr>
    </w:p>
    <w:p w:rsidR="007D76BB" w:rsidRDefault="00D70D28">
      <w:pPr>
        <w:spacing w:before="1" w:line="266" w:lineRule="auto"/>
        <w:ind w:left="482" w:right="1181"/>
        <w:rPr>
          <w:rFonts w:ascii="Arial"/>
          <w:sz w:val="19"/>
        </w:rPr>
      </w:pPr>
      <w:r>
        <w:rPr>
          <w:rFonts w:ascii="Arial"/>
          <w:w w:val="105"/>
          <w:sz w:val="19"/>
        </w:rPr>
        <w:t>In</w:t>
      </w:r>
      <w:r>
        <w:rPr>
          <w:rFonts w:ascii="Arial"/>
          <w:spacing w:val="-20"/>
          <w:w w:val="105"/>
          <w:sz w:val="19"/>
        </w:rPr>
        <w:t xml:space="preserve"> </w:t>
      </w:r>
      <w:r>
        <w:rPr>
          <w:rFonts w:ascii="Arial"/>
          <w:w w:val="105"/>
          <w:sz w:val="19"/>
        </w:rPr>
        <w:t>relation</w:t>
      </w:r>
      <w:r>
        <w:rPr>
          <w:rFonts w:ascii="Arial"/>
          <w:spacing w:val="-21"/>
          <w:w w:val="105"/>
          <w:sz w:val="19"/>
        </w:rPr>
        <w:t xml:space="preserve"> </w:t>
      </w:r>
      <w:r>
        <w:rPr>
          <w:rFonts w:ascii="Arial"/>
          <w:w w:val="105"/>
          <w:sz w:val="19"/>
        </w:rPr>
        <w:t>to</w:t>
      </w:r>
      <w:r>
        <w:rPr>
          <w:rFonts w:ascii="Arial"/>
          <w:spacing w:val="-20"/>
          <w:w w:val="105"/>
          <w:sz w:val="19"/>
        </w:rPr>
        <w:t xml:space="preserve"> </w:t>
      </w:r>
      <w:r>
        <w:rPr>
          <w:rFonts w:ascii="Arial"/>
          <w:w w:val="105"/>
          <w:sz w:val="19"/>
        </w:rPr>
        <w:t>modifying</w:t>
      </w:r>
      <w:r>
        <w:rPr>
          <w:rFonts w:ascii="Arial"/>
          <w:spacing w:val="-19"/>
          <w:w w:val="105"/>
          <w:sz w:val="19"/>
        </w:rPr>
        <w:t xml:space="preserve"> </w:t>
      </w:r>
      <w:r>
        <w:rPr>
          <w:rFonts w:ascii="Arial"/>
          <w:w w:val="105"/>
          <w:sz w:val="19"/>
        </w:rPr>
        <w:t>the</w:t>
      </w:r>
      <w:r>
        <w:rPr>
          <w:rFonts w:ascii="Arial"/>
          <w:spacing w:val="-21"/>
          <w:w w:val="105"/>
          <w:sz w:val="19"/>
        </w:rPr>
        <w:t xml:space="preserve"> </w:t>
      </w:r>
      <w:r>
        <w:rPr>
          <w:rFonts w:ascii="Arial"/>
          <w:w w:val="105"/>
          <w:sz w:val="19"/>
        </w:rPr>
        <w:t>product</w:t>
      </w:r>
      <w:r>
        <w:rPr>
          <w:rFonts w:ascii="Arial"/>
          <w:spacing w:val="-20"/>
          <w:w w:val="105"/>
          <w:sz w:val="19"/>
        </w:rPr>
        <w:t xml:space="preserve"> </w:t>
      </w:r>
      <w:r>
        <w:rPr>
          <w:rFonts w:ascii="Arial"/>
          <w:w w:val="105"/>
          <w:sz w:val="19"/>
        </w:rPr>
        <w:t>to</w:t>
      </w:r>
      <w:r>
        <w:rPr>
          <w:rFonts w:ascii="Arial"/>
          <w:spacing w:val="-20"/>
          <w:w w:val="105"/>
          <w:sz w:val="19"/>
        </w:rPr>
        <w:t xml:space="preserve"> </w:t>
      </w:r>
      <w:r>
        <w:rPr>
          <w:rFonts w:ascii="Arial"/>
          <w:w w:val="105"/>
          <w:sz w:val="19"/>
        </w:rPr>
        <w:t>avoid</w:t>
      </w:r>
      <w:r>
        <w:rPr>
          <w:rFonts w:ascii="Arial"/>
          <w:spacing w:val="-18"/>
          <w:w w:val="105"/>
          <w:sz w:val="19"/>
        </w:rPr>
        <w:t xml:space="preserve"> </w:t>
      </w:r>
      <w:r>
        <w:rPr>
          <w:rFonts w:ascii="Arial"/>
          <w:w w:val="105"/>
          <w:sz w:val="19"/>
        </w:rPr>
        <w:t>being</w:t>
      </w:r>
      <w:r>
        <w:rPr>
          <w:rFonts w:ascii="Arial"/>
          <w:spacing w:val="-19"/>
          <w:w w:val="105"/>
          <w:sz w:val="19"/>
        </w:rPr>
        <w:t xml:space="preserve"> </w:t>
      </w:r>
      <w:r>
        <w:rPr>
          <w:rFonts w:ascii="Arial"/>
          <w:w w:val="105"/>
          <w:sz w:val="19"/>
        </w:rPr>
        <w:t>regulated</w:t>
      </w:r>
      <w:r>
        <w:rPr>
          <w:rFonts w:ascii="Arial"/>
          <w:spacing w:val="-21"/>
          <w:w w:val="105"/>
          <w:sz w:val="19"/>
        </w:rPr>
        <w:t xml:space="preserve"> </w:t>
      </w:r>
      <w:r>
        <w:rPr>
          <w:rFonts w:ascii="Arial"/>
          <w:w w:val="105"/>
          <w:sz w:val="19"/>
        </w:rPr>
        <w:t>as</w:t>
      </w:r>
      <w:r>
        <w:rPr>
          <w:rFonts w:ascii="Arial"/>
          <w:spacing w:val="-20"/>
          <w:w w:val="105"/>
          <w:sz w:val="19"/>
        </w:rPr>
        <w:t xml:space="preserve"> </w:t>
      </w:r>
      <w:r>
        <w:rPr>
          <w:rFonts w:ascii="Arial"/>
          <w:w w:val="105"/>
          <w:sz w:val="19"/>
        </w:rPr>
        <w:t>a</w:t>
      </w:r>
      <w:r>
        <w:rPr>
          <w:rFonts w:ascii="Arial"/>
          <w:spacing w:val="-21"/>
          <w:w w:val="105"/>
          <w:sz w:val="19"/>
        </w:rPr>
        <w:t xml:space="preserve"> </w:t>
      </w:r>
      <w:r>
        <w:rPr>
          <w:rFonts w:ascii="Arial"/>
          <w:w w:val="105"/>
          <w:sz w:val="19"/>
        </w:rPr>
        <w:t>therapeutic</w:t>
      </w:r>
      <w:r>
        <w:rPr>
          <w:rFonts w:ascii="Arial"/>
          <w:spacing w:val="-21"/>
          <w:w w:val="105"/>
          <w:sz w:val="19"/>
        </w:rPr>
        <w:t xml:space="preserve"> </w:t>
      </w:r>
      <w:r>
        <w:rPr>
          <w:rFonts w:ascii="Arial"/>
          <w:w w:val="105"/>
          <w:sz w:val="19"/>
        </w:rPr>
        <w:t>good,</w:t>
      </w:r>
      <w:r>
        <w:rPr>
          <w:rFonts w:ascii="Arial"/>
          <w:spacing w:val="-19"/>
          <w:w w:val="105"/>
          <w:sz w:val="19"/>
        </w:rPr>
        <w:t xml:space="preserve"> </w:t>
      </w:r>
      <w:r>
        <w:rPr>
          <w:rFonts w:ascii="Arial"/>
          <w:w w:val="105"/>
          <w:sz w:val="19"/>
        </w:rPr>
        <w:t>industry</w:t>
      </w:r>
      <w:r>
        <w:rPr>
          <w:rFonts w:ascii="Arial"/>
          <w:spacing w:val="-22"/>
          <w:w w:val="105"/>
          <w:sz w:val="19"/>
        </w:rPr>
        <w:t xml:space="preserve"> </w:t>
      </w:r>
      <w:r>
        <w:rPr>
          <w:rFonts w:ascii="Arial"/>
          <w:w w:val="105"/>
          <w:sz w:val="19"/>
        </w:rPr>
        <w:t>also has</w:t>
      </w:r>
      <w:r>
        <w:rPr>
          <w:rFonts w:ascii="Arial"/>
          <w:spacing w:val="-12"/>
          <w:w w:val="105"/>
          <w:sz w:val="19"/>
        </w:rPr>
        <w:t xml:space="preserve"> </w:t>
      </w:r>
      <w:r>
        <w:rPr>
          <w:rFonts w:ascii="Arial"/>
          <w:w w:val="105"/>
          <w:sz w:val="19"/>
        </w:rPr>
        <w:t>three</w:t>
      </w:r>
      <w:r>
        <w:rPr>
          <w:rFonts w:ascii="Arial"/>
          <w:spacing w:val="-11"/>
          <w:w w:val="105"/>
          <w:sz w:val="19"/>
        </w:rPr>
        <w:t xml:space="preserve"> </w:t>
      </w:r>
      <w:r>
        <w:rPr>
          <w:rFonts w:ascii="Arial"/>
          <w:w w:val="105"/>
          <w:sz w:val="19"/>
        </w:rPr>
        <w:t>broad</w:t>
      </w:r>
      <w:r>
        <w:rPr>
          <w:rFonts w:ascii="Arial"/>
          <w:spacing w:val="-13"/>
          <w:w w:val="105"/>
          <w:sz w:val="19"/>
        </w:rPr>
        <w:t xml:space="preserve"> </w:t>
      </w:r>
      <w:r>
        <w:rPr>
          <w:rFonts w:ascii="Arial"/>
          <w:w w:val="105"/>
          <w:sz w:val="19"/>
        </w:rPr>
        <w:t>options</w:t>
      </w:r>
      <w:r>
        <w:rPr>
          <w:rFonts w:ascii="Arial"/>
          <w:spacing w:val="-12"/>
          <w:w w:val="105"/>
          <w:sz w:val="19"/>
        </w:rPr>
        <w:t xml:space="preserve"> </w:t>
      </w:r>
      <w:r>
        <w:rPr>
          <w:rFonts w:ascii="Arial"/>
          <w:w w:val="105"/>
          <w:sz w:val="19"/>
        </w:rPr>
        <w:t>(see</w:t>
      </w:r>
      <w:r>
        <w:rPr>
          <w:rFonts w:ascii="Arial"/>
          <w:spacing w:val="-12"/>
          <w:w w:val="105"/>
          <w:sz w:val="19"/>
        </w:rPr>
        <w:t xml:space="preserve"> </w:t>
      </w:r>
      <w:r>
        <w:rPr>
          <w:rFonts w:ascii="Arial"/>
          <w:w w:val="105"/>
          <w:sz w:val="19"/>
        </w:rPr>
        <w:t>figure</w:t>
      </w:r>
      <w:r>
        <w:rPr>
          <w:rFonts w:ascii="Arial"/>
          <w:spacing w:val="-13"/>
          <w:w w:val="105"/>
          <w:sz w:val="19"/>
        </w:rPr>
        <w:t xml:space="preserve"> </w:t>
      </w:r>
      <w:r>
        <w:rPr>
          <w:rFonts w:ascii="Arial"/>
          <w:w w:val="105"/>
          <w:sz w:val="19"/>
        </w:rPr>
        <w:t>below).</w:t>
      </w: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D70D28">
      <w:pPr>
        <w:pStyle w:val="BodyText"/>
        <w:spacing w:before="3"/>
        <w:rPr>
          <w:rFonts w:ascii="Arial"/>
          <w:sz w:val="26"/>
        </w:rPr>
      </w:pPr>
      <w:r>
        <w:rPr>
          <w:noProof/>
          <w:lang w:val="en-AU" w:eastAsia="en-AU"/>
        </w:rPr>
        <mc:AlternateContent>
          <mc:Choice Requires="wps">
            <w:drawing>
              <wp:anchor distT="0" distB="0" distL="0" distR="0" simplePos="0" relativeHeight="251706368" behindDoc="1" locked="0" layoutInCell="1" allowOverlap="1">
                <wp:simplePos x="0" y="0"/>
                <wp:positionH relativeFrom="page">
                  <wp:posOffset>1080770</wp:posOffset>
                </wp:positionH>
                <wp:positionV relativeFrom="paragraph">
                  <wp:posOffset>222250</wp:posOffset>
                </wp:positionV>
                <wp:extent cx="1829435" cy="1270"/>
                <wp:effectExtent l="0" t="0" r="0" b="0"/>
                <wp:wrapTopAndBottom/>
                <wp:docPr id="358"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E6094" id="Freeform 214" o:spid="_x0000_s1026" style="position:absolute;margin-left:85.1pt;margin-top:17.5pt;width:144.0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" path="m,l2880,e" filled="f" strokeweight=".84pt">
                <v:path arrowok="t" o:connecttype="custom" o:connectlocs="0,0;1828800,0" o:connectangles="0,0"/>
                <w10:wrap type="topAndBottom" anchorx="page"/>
              </v:shape>
            </w:pict>
          </mc:Fallback>
        </mc:AlternateContent>
      </w:r>
    </w:p>
    <w:p w:rsidR="007D76BB" w:rsidRDefault="00D70D28">
      <w:pPr>
        <w:spacing w:before="132" w:line="268" w:lineRule="auto"/>
        <w:ind w:left="594" w:right="879" w:hanging="113"/>
        <w:rPr>
          <w:rFonts w:ascii="Arial" w:hAnsi="Arial"/>
          <w:sz w:val="14"/>
        </w:rPr>
      </w:pPr>
      <w:r>
        <w:rPr>
          <w:rFonts w:ascii="Arial" w:hAnsi="Arial"/>
          <w:color w:val="5B6761"/>
          <w:w w:val="105"/>
          <w:position w:val="5"/>
          <w:sz w:val="8"/>
        </w:rPr>
        <w:t>28</w:t>
      </w:r>
      <w:r>
        <w:rPr>
          <w:rFonts w:ascii="Arial" w:hAnsi="Arial"/>
          <w:color w:val="5B6761"/>
          <w:spacing w:val="-5"/>
          <w:w w:val="105"/>
          <w:position w:val="5"/>
          <w:sz w:val="8"/>
        </w:rPr>
        <w:t xml:space="preserve"> </w:t>
      </w:r>
      <w:r>
        <w:rPr>
          <w:rFonts w:ascii="Arial" w:hAnsi="Arial"/>
          <w:color w:val="5B6761"/>
          <w:w w:val="105"/>
          <w:sz w:val="14"/>
        </w:rPr>
        <w:t>For</w:t>
      </w:r>
      <w:r>
        <w:rPr>
          <w:rFonts w:ascii="Arial" w:hAnsi="Arial"/>
          <w:color w:val="5B6761"/>
          <w:spacing w:val="-22"/>
          <w:w w:val="105"/>
          <w:sz w:val="14"/>
        </w:rPr>
        <w:t xml:space="preserve"> </w:t>
      </w:r>
      <w:r>
        <w:rPr>
          <w:rFonts w:ascii="Arial" w:hAnsi="Arial"/>
          <w:color w:val="5B6761"/>
          <w:w w:val="105"/>
          <w:sz w:val="14"/>
        </w:rPr>
        <w:t>example,</w:t>
      </w:r>
      <w:r>
        <w:rPr>
          <w:rFonts w:ascii="Arial" w:hAnsi="Arial"/>
          <w:color w:val="5B6761"/>
          <w:spacing w:val="-21"/>
          <w:w w:val="105"/>
          <w:sz w:val="14"/>
        </w:rPr>
        <w:t xml:space="preserve"> </w:t>
      </w:r>
      <w:r>
        <w:rPr>
          <w:rFonts w:ascii="Arial" w:hAnsi="Arial"/>
          <w:color w:val="5B6761"/>
          <w:w w:val="105"/>
          <w:sz w:val="14"/>
        </w:rPr>
        <w:t>ARTG</w:t>
      </w:r>
      <w:r>
        <w:rPr>
          <w:rFonts w:ascii="Arial" w:hAnsi="Arial"/>
          <w:color w:val="5B6761"/>
          <w:spacing w:val="-22"/>
          <w:w w:val="105"/>
          <w:sz w:val="14"/>
        </w:rPr>
        <w:t xml:space="preserve"> </w:t>
      </w:r>
      <w:r>
        <w:rPr>
          <w:rFonts w:ascii="Arial" w:hAnsi="Arial"/>
          <w:color w:val="5B6761"/>
          <w:w w:val="105"/>
          <w:sz w:val="14"/>
        </w:rPr>
        <w:t>ID</w:t>
      </w:r>
      <w:r>
        <w:rPr>
          <w:rFonts w:ascii="Arial" w:hAnsi="Arial"/>
          <w:color w:val="5B6761"/>
          <w:spacing w:val="-22"/>
          <w:w w:val="105"/>
          <w:sz w:val="14"/>
        </w:rPr>
        <w:t xml:space="preserve"> </w:t>
      </w:r>
      <w:r>
        <w:rPr>
          <w:rFonts w:ascii="Arial" w:hAnsi="Arial"/>
          <w:color w:val="5B6761"/>
          <w:w w:val="105"/>
          <w:sz w:val="14"/>
        </w:rPr>
        <w:t>321750</w:t>
      </w:r>
      <w:r>
        <w:rPr>
          <w:rFonts w:ascii="Arial" w:hAnsi="Arial"/>
          <w:color w:val="5B6761"/>
          <w:spacing w:val="-21"/>
          <w:w w:val="105"/>
          <w:sz w:val="14"/>
        </w:rPr>
        <w:t xml:space="preserve"> </w:t>
      </w:r>
      <w:r>
        <w:rPr>
          <w:rFonts w:ascii="Arial" w:hAnsi="Arial"/>
          <w:color w:val="5B6761"/>
          <w:w w:val="105"/>
          <w:sz w:val="14"/>
        </w:rPr>
        <w:t>is</w:t>
      </w:r>
      <w:r>
        <w:rPr>
          <w:rFonts w:ascii="Arial" w:hAnsi="Arial"/>
          <w:color w:val="5B6761"/>
          <w:spacing w:val="-22"/>
          <w:w w:val="105"/>
          <w:sz w:val="14"/>
        </w:rPr>
        <w:t xml:space="preserve"> </w:t>
      </w:r>
      <w:r>
        <w:rPr>
          <w:rFonts w:ascii="Arial" w:hAnsi="Arial"/>
          <w:color w:val="5B6761"/>
          <w:w w:val="105"/>
          <w:sz w:val="14"/>
        </w:rPr>
        <w:t>for</w:t>
      </w:r>
      <w:r>
        <w:rPr>
          <w:rFonts w:ascii="Arial" w:hAnsi="Arial"/>
          <w:color w:val="5B6761"/>
          <w:spacing w:val="-21"/>
          <w:w w:val="105"/>
          <w:sz w:val="14"/>
        </w:rPr>
        <w:t xml:space="preserve"> </w:t>
      </w:r>
      <w:proofErr w:type="spellStart"/>
      <w:r>
        <w:rPr>
          <w:rFonts w:ascii="Arial" w:hAnsi="Arial"/>
          <w:color w:val="5B6761"/>
          <w:w w:val="105"/>
          <w:sz w:val="14"/>
        </w:rPr>
        <w:t>Hydroxycut</w:t>
      </w:r>
      <w:proofErr w:type="spellEnd"/>
      <w:r>
        <w:rPr>
          <w:rFonts w:ascii="Arial" w:hAnsi="Arial"/>
          <w:color w:val="5B6761"/>
          <w:spacing w:val="-22"/>
          <w:w w:val="105"/>
          <w:sz w:val="14"/>
        </w:rPr>
        <w:t xml:space="preserve"> </w:t>
      </w:r>
      <w:r>
        <w:rPr>
          <w:rFonts w:ascii="Arial" w:hAnsi="Arial"/>
          <w:color w:val="5B6761"/>
          <w:w w:val="105"/>
          <w:sz w:val="14"/>
        </w:rPr>
        <w:t>Hardcore</w:t>
      </w:r>
      <w:r>
        <w:rPr>
          <w:rFonts w:ascii="Arial" w:hAnsi="Arial"/>
          <w:color w:val="5B6761"/>
          <w:spacing w:val="-22"/>
          <w:w w:val="105"/>
          <w:sz w:val="14"/>
        </w:rPr>
        <w:t xml:space="preserve"> </w:t>
      </w:r>
      <w:r>
        <w:rPr>
          <w:rFonts w:ascii="Arial" w:hAnsi="Arial"/>
          <w:color w:val="5B6761"/>
          <w:w w:val="105"/>
          <w:sz w:val="14"/>
        </w:rPr>
        <w:t>(a</w:t>
      </w:r>
      <w:r>
        <w:rPr>
          <w:rFonts w:ascii="Arial" w:hAnsi="Arial"/>
          <w:color w:val="5B6761"/>
          <w:spacing w:val="-23"/>
          <w:w w:val="105"/>
          <w:sz w:val="14"/>
        </w:rPr>
        <w:t xml:space="preserve"> </w:t>
      </w:r>
      <w:r>
        <w:rPr>
          <w:rFonts w:ascii="Arial" w:hAnsi="Arial"/>
          <w:color w:val="5B6761"/>
          <w:w w:val="105"/>
          <w:sz w:val="14"/>
        </w:rPr>
        <w:t>listed</w:t>
      </w:r>
      <w:r>
        <w:rPr>
          <w:rFonts w:ascii="Arial" w:hAnsi="Arial"/>
          <w:color w:val="5B6761"/>
          <w:spacing w:val="-21"/>
          <w:w w:val="105"/>
          <w:sz w:val="14"/>
        </w:rPr>
        <w:t xml:space="preserve"> </w:t>
      </w:r>
      <w:r>
        <w:rPr>
          <w:rFonts w:ascii="Arial" w:hAnsi="Arial"/>
          <w:color w:val="5B6761"/>
          <w:w w:val="105"/>
          <w:sz w:val="14"/>
        </w:rPr>
        <w:t>medicine),</w:t>
      </w:r>
      <w:r>
        <w:rPr>
          <w:rFonts w:ascii="Arial" w:hAnsi="Arial"/>
          <w:color w:val="5B6761"/>
          <w:spacing w:val="-22"/>
          <w:w w:val="105"/>
          <w:sz w:val="14"/>
        </w:rPr>
        <w:t xml:space="preserve"> </w:t>
      </w:r>
      <w:r>
        <w:rPr>
          <w:rFonts w:ascii="Arial" w:hAnsi="Arial"/>
          <w:color w:val="5B6761"/>
          <w:w w:val="105"/>
          <w:sz w:val="14"/>
        </w:rPr>
        <w:t>with</w:t>
      </w:r>
      <w:r>
        <w:rPr>
          <w:rFonts w:ascii="Arial" w:hAnsi="Arial"/>
          <w:color w:val="5B6761"/>
          <w:spacing w:val="-17"/>
          <w:w w:val="105"/>
          <w:sz w:val="14"/>
        </w:rPr>
        <w:t xml:space="preserve"> </w:t>
      </w:r>
      <w:r>
        <w:rPr>
          <w:rFonts w:ascii="Arial" w:hAnsi="Arial"/>
          <w:color w:val="5B6761"/>
          <w:w w:val="105"/>
          <w:sz w:val="14"/>
        </w:rPr>
        <w:t>the</w:t>
      </w:r>
      <w:r>
        <w:rPr>
          <w:rFonts w:ascii="Arial" w:hAnsi="Arial"/>
          <w:color w:val="5B6761"/>
          <w:spacing w:val="-22"/>
          <w:w w:val="105"/>
          <w:sz w:val="14"/>
        </w:rPr>
        <w:t xml:space="preserve"> </w:t>
      </w:r>
      <w:r>
        <w:rPr>
          <w:rFonts w:ascii="Arial" w:hAnsi="Arial"/>
          <w:color w:val="5B6761"/>
          <w:w w:val="105"/>
          <w:sz w:val="14"/>
        </w:rPr>
        <w:t>sponsor</w:t>
      </w:r>
      <w:r>
        <w:rPr>
          <w:rFonts w:ascii="Arial" w:hAnsi="Arial"/>
          <w:color w:val="5B6761"/>
          <w:spacing w:val="-22"/>
          <w:w w:val="105"/>
          <w:sz w:val="14"/>
        </w:rPr>
        <w:t xml:space="preserve"> </w:t>
      </w:r>
      <w:r>
        <w:rPr>
          <w:rFonts w:ascii="Arial" w:hAnsi="Arial"/>
          <w:color w:val="5B6761"/>
          <w:w w:val="105"/>
          <w:sz w:val="14"/>
        </w:rPr>
        <w:t>of</w:t>
      </w:r>
      <w:r>
        <w:rPr>
          <w:rFonts w:ascii="Arial" w:hAnsi="Arial"/>
          <w:color w:val="5B6761"/>
          <w:spacing w:val="-22"/>
          <w:w w:val="105"/>
          <w:sz w:val="14"/>
        </w:rPr>
        <w:t xml:space="preserve"> </w:t>
      </w:r>
      <w:proofErr w:type="spellStart"/>
      <w:r>
        <w:rPr>
          <w:rFonts w:ascii="Arial" w:hAnsi="Arial"/>
          <w:color w:val="5B6761"/>
          <w:w w:val="105"/>
          <w:sz w:val="14"/>
        </w:rPr>
        <w:t>Iovate</w:t>
      </w:r>
      <w:proofErr w:type="spellEnd"/>
      <w:r>
        <w:rPr>
          <w:rFonts w:ascii="Arial" w:hAnsi="Arial"/>
          <w:color w:val="5B6761"/>
          <w:spacing w:val="-23"/>
          <w:w w:val="105"/>
          <w:sz w:val="14"/>
        </w:rPr>
        <w:t xml:space="preserve"> </w:t>
      </w:r>
      <w:r>
        <w:rPr>
          <w:rFonts w:ascii="Arial" w:hAnsi="Arial"/>
          <w:color w:val="5B6761"/>
          <w:w w:val="105"/>
          <w:sz w:val="14"/>
        </w:rPr>
        <w:t>Health</w:t>
      </w:r>
      <w:r>
        <w:rPr>
          <w:rFonts w:ascii="Arial" w:hAnsi="Arial"/>
          <w:color w:val="5B6761"/>
          <w:spacing w:val="-21"/>
          <w:w w:val="105"/>
          <w:sz w:val="14"/>
        </w:rPr>
        <w:t xml:space="preserve"> </w:t>
      </w:r>
      <w:r>
        <w:rPr>
          <w:rFonts w:ascii="Arial" w:hAnsi="Arial"/>
          <w:color w:val="5B6761"/>
          <w:w w:val="105"/>
          <w:sz w:val="14"/>
        </w:rPr>
        <w:t>Sciences</w:t>
      </w:r>
      <w:r>
        <w:rPr>
          <w:rFonts w:ascii="Arial" w:hAnsi="Arial"/>
          <w:color w:val="5B6761"/>
          <w:spacing w:val="-22"/>
          <w:w w:val="105"/>
          <w:sz w:val="14"/>
        </w:rPr>
        <w:t xml:space="preserve"> </w:t>
      </w:r>
      <w:r>
        <w:rPr>
          <w:rFonts w:ascii="Arial" w:hAnsi="Arial"/>
          <w:color w:val="5B6761"/>
          <w:w w:val="105"/>
          <w:sz w:val="14"/>
        </w:rPr>
        <w:t>Australia</w:t>
      </w:r>
      <w:r>
        <w:rPr>
          <w:rFonts w:ascii="Arial" w:hAnsi="Arial"/>
          <w:color w:val="5B6761"/>
          <w:spacing w:val="-21"/>
          <w:w w:val="105"/>
          <w:sz w:val="14"/>
        </w:rPr>
        <w:t xml:space="preserve"> </w:t>
      </w:r>
      <w:r>
        <w:rPr>
          <w:rFonts w:ascii="Arial" w:hAnsi="Arial"/>
          <w:color w:val="5B6761"/>
          <w:w w:val="105"/>
          <w:sz w:val="14"/>
        </w:rPr>
        <w:t>Pty Ltd</w:t>
      </w:r>
      <w:r>
        <w:rPr>
          <w:rFonts w:ascii="Arial" w:hAnsi="Arial"/>
          <w:color w:val="5B6761"/>
          <w:spacing w:val="-21"/>
          <w:w w:val="105"/>
          <w:sz w:val="14"/>
        </w:rPr>
        <w:t xml:space="preserve"> </w:t>
      </w:r>
      <w:r>
        <w:rPr>
          <w:rFonts w:ascii="Arial" w:hAnsi="Arial"/>
          <w:color w:val="5B6761"/>
          <w:w w:val="105"/>
          <w:sz w:val="14"/>
        </w:rPr>
        <w:t>with</w:t>
      </w:r>
      <w:r>
        <w:rPr>
          <w:rFonts w:ascii="Arial" w:hAnsi="Arial"/>
          <w:color w:val="5B6761"/>
          <w:spacing w:val="-21"/>
          <w:w w:val="105"/>
          <w:sz w:val="14"/>
        </w:rPr>
        <w:t xml:space="preserve"> </w:t>
      </w:r>
      <w:r>
        <w:rPr>
          <w:rFonts w:ascii="Arial" w:hAnsi="Arial"/>
          <w:color w:val="5B6761"/>
          <w:w w:val="105"/>
          <w:sz w:val="14"/>
        </w:rPr>
        <w:t>permitted</w:t>
      </w:r>
      <w:r>
        <w:rPr>
          <w:rFonts w:ascii="Arial" w:hAnsi="Arial"/>
          <w:color w:val="5B6761"/>
          <w:spacing w:val="-21"/>
          <w:w w:val="105"/>
          <w:sz w:val="14"/>
        </w:rPr>
        <w:t xml:space="preserve"> </w:t>
      </w:r>
      <w:r>
        <w:rPr>
          <w:rFonts w:ascii="Arial" w:hAnsi="Arial"/>
          <w:color w:val="5B6761"/>
          <w:w w:val="105"/>
          <w:sz w:val="14"/>
        </w:rPr>
        <w:t>indications</w:t>
      </w:r>
      <w:r>
        <w:rPr>
          <w:rFonts w:ascii="Arial" w:hAnsi="Arial"/>
          <w:color w:val="5B6761"/>
          <w:spacing w:val="-22"/>
          <w:w w:val="105"/>
          <w:sz w:val="14"/>
        </w:rPr>
        <w:t xml:space="preserve"> </w:t>
      </w:r>
      <w:r>
        <w:rPr>
          <w:rFonts w:ascii="Arial" w:hAnsi="Arial"/>
          <w:color w:val="5B6761"/>
          <w:w w:val="105"/>
          <w:sz w:val="14"/>
        </w:rPr>
        <w:t>of</w:t>
      </w:r>
      <w:r>
        <w:rPr>
          <w:rFonts w:ascii="Arial" w:hAnsi="Arial"/>
          <w:color w:val="5B6761"/>
          <w:spacing w:val="-21"/>
          <w:w w:val="105"/>
          <w:sz w:val="14"/>
        </w:rPr>
        <w:t xml:space="preserve"> </w:t>
      </w:r>
      <w:r>
        <w:rPr>
          <w:rFonts w:ascii="Arial" w:hAnsi="Arial"/>
          <w:color w:val="5B6761"/>
          <w:w w:val="105"/>
          <w:sz w:val="14"/>
        </w:rPr>
        <w:t>‘enhance/promote</w:t>
      </w:r>
      <w:r>
        <w:rPr>
          <w:rFonts w:ascii="Arial" w:hAnsi="Arial"/>
          <w:color w:val="5B6761"/>
          <w:spacing w:val="-22"/>
          <w:w w:val="105"/>
          <w:sz w:val="14"/>
        </w:rPr>
        <w:t xml:space="preserve"> </w:t>
      </w:r>
      <w:r>
        <w:rPr>
          <w:rFonts w:ascii="Arial" w:hAnsi="Arial"/>
          <w:color w:val="5B6761"/>
          <w:w w:val="105"/>
          <w:sz w:val="14"/>
        </w:rPr>
        <w:t>energy</w:t>
      </w:r>
      <w:r>
        <w:rPr>
          <w:rFonts w:ascii="Arial" w:hAnsi="Arial"/>
          <w:color w:val="5B6761"/>
          <w:spacing w:val="-21"/>
          <w:w w:val="105"/>
          <w:sz w:val="14"/>
        </w:rPr>
        <w:t xml:space="preserve"> </w:t>
      </w:r>
      <w:r>
        <w:rPr>
          <w:rFonts w:ascii="Arial" w:hAnsi="Arial"/>
          <w:color w:val="5B6761"/>
          <w:w w:val="105"/>
          <w:sz w:val="14"/>
        </w:rPr>
        <w:t>levels’</w:t>
      </w:r>
      <w:r>
        <w:rPr>
          <w:rFonts w:ascii="Arial" w:hAnsi="Arial"/>
          <w:color w:val="5B6761"/>
          <w:spacing w:val="-21"/>
          <w:w w:val="105"/>
          <w:sz w:val="14"/>
        </w:rPr>
        <w:t xml:space="preserve"> </w:t>
      </w:r>
      <w:r>
        <w:rPr>
          <w:rFonts w:ascii="Arial" w:hAnsi="Arial"/>
          <w:color w:val="5B6761"/>
          <w:w w:val="105"/>
          <w:sz w:val="14"/>
        </w:rPr>
        <w:t>and</w:t>
      </w:r>
      <w:r>
        <w:rPr>
          <w:rFonts w:ascii="Arial" w:hAnsi="Arial"/>
          <w:color w:val="5B6761"/>
          <w:spacing w:val="-21"/>
          <w:w w:val="105"/>
          <w:sz w:val="14"/>
        </w:rPr>
        <w:t xml:space="preserve"> </w:t>
      </w:r>
      <w:r>
        <w:rPr>
          <w:rFonts w:ascii="Arial" w:hAnsi="Arial"/>
          <w:color w:val="5B6761"/>
          <w:w w:val="105"/>
          <w:sz w:val="14"/>
        </w:rPr>
        <w:t>‘helps</w:t>
      </w:r>
      <w:r>
        <w:rPr>
          <w:rFonts w:ascii="Arial" w:hAnsi="Arial"/>
          <w:color w:val="5B6761"/>
          <w:spacing w:val="-20"/>
          <w:w w:val="105"/>
          <w:sz w:val="14"/>
        </w:rPr>
        <w:t xml:space="preserve"> </w:t>
      </w:r>
      <w:r>
        <w:rPr>
          <w:rFonts w:ascii="Arial" w:hAnsi="Arial"/>
          <w:color w:val="5B6761"/>
          <w:w w:val="105"/>
          <w:sz w:val="14"/>
        </w:rPr>
        <w:t>enhance/promote</w:t>
      </w:r>
      <w:r>
        <w:rPr>
          <w:rFonts w:ascii="Arial" w:hAnsi="Arial"/>
          <w:color w:val="5B6761"/>
          <w:spacing w:val="-22"/>
          <w:w w:val="105"/>
          <w:sz w:val="14"/>
        </w:rPr>
        <w:t xml:space="preserve"> </w:t>
      </w:r>
      <w:r>
        <w:rPr>
          <w:rFonts w:ascii="Arial" w:hAnsi="Arial"/>
          <w:color w:val="5B6761"/>
          <w:w w:val="105"/>
          <w:sz w:val="14"/>
        </w:rPr>
        <w:t>calorie</w:t>
      </w:r>
      <w:r>
        <w:rPr>
          <w:rFonts w:ascii="Arial" w:hAnsi="Arial"/>
          <w:color w:val="5B6761"/>
          <w:spacing w:val="-21"/>
          <w:w w:val="105"/>
          <w:sz w:val="14"/>
        </w:rPr>
        <w:t xml:space="preserve"> </w:t>
      </w:r>
      <w:r>
        <w:rPr>
          <w:rFonts w:ascii="Arial" w:hAnsi="Arial"/>
          <w:color w:val="5B6761"/>
          <w:w w:val="105"/>
          <w:sz w:val="14"/>
        </w:rPr>
        <w:t>burning’;</w:t>
      </w:r>
      <w:r>
        <w:rPr>
          <w:rFonts w:ascii="Arial" w:hAnsi="Arial"/>
          <w:color w:val="5B6761"/>
          <w:spacing w:val="-22"/>
          <w:w w:val="105"/>
          <w:sz w:val="14"/>
        </w:rPr>
        <w:t xml:space="preserve"> </w:t>
      </w:r>
      <w:r>
        <w:rPr>
          <w:rFonts w:ascii="Arial" w:hAnsi="Arial"/>
          <w:color w:val="5B6761"/>
          <w:w w:val="105"/>
          <w:sz w:val="14"/>
        </w:rPr>
        <w:t>and</w:t>
      </w:r>
      <w:r>
        <w:rPr>
          <w:rFonts w:ascii="Arial" w:hAnsi="Arial"/>
          <w:color w:val="5B6761"/>
          <w:spacing w:val="-21"/>
          <w:w w:val="105"/>
          <w:sz w:val="14"/>
        </w:rPr>
        <w:t xml:space="preserve"> </w:t>
      </w:r>
      <w:r>
        <w:rPr>
          <w:rFonts w:ascii="Arial" w:hAnsi="Arial"/>
          <w:color w:val="5B6761"/>
          <w:w w:val="105"/>
          <w:sz w:val="14"/>
        </w:rPr>
        <w:t>ARTG</w:t>
      </w:r>
      <w:r>
        <w:rPr>
          <w:rFonts w:ascii="Arial" w:hAnsi="Arial"/>
          <w:color w:val="5B6761"/>
          <w:spacing w:val="-21"/>
          <w:w w:val="105"/>
          <w:sz w:val="14"/>
        </w:rPr>
        <w:t xml:space="preserve"> </w:t>
      </w:r>
      <w:r>
        <w:rPr>
          <w:rFonts w:ascii="Arial" w:hAnsi="Arial"/>
          <w:color w:val="5B6761"/>
          <w:w w:val="105"/>
          <w:sz w:val="14"/>
        </w:rPr>
        <w:t>ID</w:t>
      </w:r>
      <w:r>
        <w:rPr>
          <w:rFonts w:ascii="Arial" w:hAnsi="Arial"/>
          <w:color w:val="5B6761"/>
          <w:spacing w:val="-21"/>
          <w:w w:val="105"/>
          <w:sz w:val="14"/>
        </w:rPr>
        <w:t xml:space="preserve"> </w:t>
      </w:r>
      <w:r>
        <w:rPr>
          <w:rFonts w:ascii="Arial" w:hAnsi="Arial"/>
          <w:color w:val="5B6761"/>
          <w:w w:val="105"/>
          <w:sz w:val="14"/>
        </w:rPr>
        <w:t xml:space="preserve">227714 </w:t>
      </w:r>
      <w:r>
        <w:rPr>
          <w:rFonts w:ascii="Arial" w:hAnsi="Arial"/>
          <w:color w:val="5B6761"/>
          <w:w w:val="110"/>
          <w:sz w:val="14"/>
        </w:rPr>
        <w:t>is</w:t>
      </w:r>
      <w:r>
        <w:rPr>
          <w:rFonts w:ascii="Arial" w:hAnsi="Arial"/>
          <w:color w:val="5B6761"/>
          <w:spacing w:val="-27"/>
          <w:w w:val="110"/>
          <w:sz w:val="14"/>
        </w:rPr>
        <w:t xml:space="preserve"> </w:t>
      </w:r>
      <w:r>
        <w:rPr>
          <w:rFonts w:ascii="Arial" w:hAnsi="Arial"/>
          <w:color w:val="5B6761"/>
          <w:w w:val="110"/>
          <w:sz w:val="14"/>
        </w:rPr>
        <w:t>for</w:t>
      </w:r>
      <w:r>
        <w:rPr>
          <w:rFonts w:ascii="Arial" w:hAnsi="Arial"/>
          <w:color w:val="5B6761"/>
          <w:spacing w:val="-26"/>
          <w:w w:val="110"/>
          <w:sz w:val="14"/>
        </w:rPr>
        <w:t xml:space="preserve"> </w:t>
      </w:r>
      <w:proofErr w:type="spellStart"/>
      <w:r>
        <w:rPr>
          <w:rFonts w:ascii="Arial" w:hAnsi="Arial"/>
          <w:color w:val="5B6761"/>
          <w:w w:val="110"/>
          <w:sz w:val="14"/>
        </w:rPr>
        <w:t>FatBlaster</w:t>
      </w:r>
      <w:proofErr w:type="spellEnd"/>
      <w:r>
        <w:rPr>
          <w:rFonts w:ascii="Arial" w:hAnsi="Arial"/>
          <w:color w:val="5B6761"/>
          <w:spacing w:val="-26"/>
          <w:w w:val="110"/>
          <w:sz w:val="14"/>
        </w:rPr>
        <w:t xml:space="preserve"> </w:t>
      </w:r>
      <w:r>
        <w:rPr>
          <w:rFonts w:ascii="Arial" w:hAnsi="Arial"/>
          <w:color w:val="5B6761"/>
          <w:w w:val="110"/>
          <w:sz w:val="14"/>
        </w:rPr>
        <w:t>Max</w:t>
      </w:r>
      <w:r>
        <w:rPr>
          <w:rFonts w:ascii="Arial" w:hAnsi="Arial"/>
          <w:color w:val="5B6761"/>
          <w:spacing w:val="-27"/>
          <w:w w:val="110"/>
          <w:sz w:val="14"/>
        </w:rPr>
        <w:t xml:space="preserve"> </w:t>
      </w:r>
      <w:r>
        <w:rPr>
          <w:rFonts w:ascii="Arial" w:hAnsi="Arial"/>
          <w:color w:val="5B6761"/>
          <w:w w:val="110"/>
          <w:sz w:val="14"/>
        </w:rPr>
        <w:t>(a</w:t>
      </w:r>
      <w:r>
        <w:rPr>
          <w:rFonts w:ascii="Arial" w:hAnsi="Arial"/>
          <w:color w:val="5B6761"/>
          <w:spacing w:val="-27"/>
          <w:w w:val="110"/>
          <w:sz w:val="14"/>
        </w:rPr>
        <w:t xml:space="preserve"> </w:t>
      </w:r>
      <w:r>
        <w:rPr>
          <w:rFonts w:ascii="Arial" w:hAnsi="Arial"/>
          <w:color w:val="5B6761"/>
          <w:w w:val="110"/>
          <w:sz w:val="14"/>
        </w:rPr>
        <w:t>listed</w:t>
      </w:r>
      <w:r>
        <w:rPr>
          <w:rFonts w:ascii="Arial" w:hAnsi="Arial"/>
          <w:color w:val="5B6761"/>
          <w:spacing w:val="-26"/>
          <w:w w:val="110"/>
          <w:sz w:val="14"/>
        </w:rPr>
        <w:t xml:space="preserve"> </w:t>
      </w:r>
      <w:r>
        <w:rPr>
          <w:rFonts w:ascii="Arial" w:hAnsi="Arial"/>
          <w:color w:val="5B6761"/>
          <w:w w:val="110"/>
          <w:sz w:val="14"/>
        </w:rPr>
        <w:t>medicine),</w:t>
      </w:r>
      <w:r>
        <w:rPr>
          <w:rFonts w:ascii="Arial" w:hAnsi="Arial"/>
          <w:color w:val="5B6761"/>
          <w:spacing w:val="-27"/>
          <w:w w:val="110"/>
          <w:sz w:val="14"/>
        </w:rPr>
        <w:t xml:space="preserve"> </w:t>
      </w:r>
      <w:r>
        <w:rPr>
          <w:rFonts w:ascii="Arial" w:hAnsi="Arial"/>
          <w:color w:val="5B6761"/>
          <w:w w:val="110"/>
          <w:sz w:val="14"/>
        </w:rPr>
        <w:t>with</w:t>
      </w:r>
      <w:r>
        <w:rPr>
          <w:rFonts w:ascii="Arial" w:hAnsi="Arial"/>
          <w:color w:val="5B6761"/>
          <w:spacing w:val="-26"/>
          <w:w w:val="110"/>
          <w:sz w:val="14"/>
        </w:rPr>
        <w:t xml:space="preserve"> </w:t>
      </w:r>
      <w:r>
        <w:rPr>
          <w:rFonts w:ascii="Arial" w:hAnsi="Arial"/>
          <w:color w:val="5B6761"/>
          <w:w w:val="110"/>
          <w:sz w:val="14"/>
        </w:rPr>
        <w:t>the</w:t>
      </w:r>
      <w:r>
        <w:rPr>
          <w:rFonts w:ascii="Arial" w:hAnsi="Arial"/>
          <w:color w:val="5B6761"/>
          <w:spacing w:val="-27"/>
          <w:w w:val="110"/>
          <w:sz w:val="14"/>
        </w:rPr>
        <w:t xml:space="preserve"> </w:t>
      </w:r>
      <w:r>
        <w:rPr>
          <w:rFonts w:ascii="Arial" w:hAnsi="Arial"/>
          <w:color w:val="5B6761"/>
          <w:w w:val="110"/>
          <w:sz w:val="14"/>
        </w:rPr>
        <w:t>sponsor</w:t>
      </w:r>
      <w:r>
        <w:rPr>
          <w:rFonts w:ascii="Arial" w:hAnsi="Arial"/>
          <w:color w:val="5B6761"/>
          <w:spacing w:val="-27"/>
          <w:w w:val="110"/>
          <w:sz w:val="14"/>
        </w:rPr>
        <w:t xml:space="preserve"> </w:t>
      </w:r>
      <w:r>
        <w:rPr>
          <w:rFonts w:ascii="Arial" w:hAnsi="Arial"/>
          <w:color w:val="5B6761"/>
          <w:w w:val="110"/>
          <w:sz w:val="14"/>
        </w:rPr>
        <w:t>of</w:t>
      </w:r>
      <w:r>
        <w:rPr>
          <w:rFonts w:ascii="Arial" w:hAnsi="Arial"/>
          <w:color w:val="5B6761"/>
          <w:spacing w:val="-27"/>
          <w:w w:val="110"/>
          <w:sz w:val="14"/>
        </w:rPr>
        <w:t xml:space="preserve"> </w:t>
      </w:r>
      <w:r>
        <w:rPr>
          <w:rFonts w:ascii="Arial" w:hAnsi="Arial"/>
          <w:color w:val="5B6761"/>
          <w:w w:val="110"/>
          <w:sz w:val="14"/>
        </w:rPr>
        <w:t>Cat</w:t>
      </w:r>
      <w:r>
        <w:rPr>
          <w:rFonts w:ascii="Arial" w:hAnsi="Arial"/>
          <w:color w:val="5B6761"/>
          <w:spacing w:val="-26"/>
          <w:w w:val="110"/>
          <w:sz w:val="14"/>
        </w:rPr>
        <w:t xml:space="preserve"> </w:t>
      </w:r>
      <w:r>
        <w:rPr>
          <w:rFonts w:ascii="Arial" w:hAnsi="Arial"/>
          <w:color w:val="5B6761"/>
          <w:w w:val="110"/>
          <w:sz w:val="14"/>
        </w:rPr>
        <w:t>Media</w:t>
      </w:r>
      <w:r>
        <w:rPr>
          <w:rFonts w:ascii="Arial" w:hAnsi="Arial"/>
          <w:color w:val="5B6761"/>
          <w:spacing w:val="-26"/>
          <w:w w:val="110"/>
          <w:sz w:val="14"/>
        </w:rPr>
        <w:t xml:space="preserve"> </w:t>
      </w:r>
      <w:r>
        <w:rPr>
          <w:rFonts w:ascii="Arial" w:hAnsi="Arial"/>
          <w:color w:val="5B6761"/>
          <w:spacing w:val="2"/>
          <w:w w:val="110"/>
          <w:sz w:val="14"/>
        </w:rPr>
        <w:t>Pty</w:t>
      </w:r>
      <w:r>
        <w:rPr>
          <w:rFonts w:ascii="Arial" w:hAnsi="Arial"/>
          <w:color w:val="5B6761"/>
          <w:spacing w:val="-27"/>
          <w:w w:val="110"/>
          <w:sz w:val="14"/>
        </w:rPr>
        <w:t xml:space="preserve"> </w:t>
      </w:r>
      <w:r>
        <w:rPr>
          <w:rFonts w:ascii="Arial" w:hAnsi="Arial"/>
          <w:color w:val="5B6761"/>
          <w:w w:val="110"/>
          <w:sz w:val="14"/>
        </w:rPr>
        <w:t>Ltd</w:t>
      </w:r>
      <w:r>
        <w:rPr>
          <w:rFonts w:ascii="Arial" w:hAnsi="Arial"/>
          <w:color w:val="5B6761"/>
          <w:spacing w:val="-26"/>
          <w:w w:val="110"/>
          <w:sz w:val="14"/>
        </w:rPr>
        <w:t xml:space="preserve"> </w:t>
      </w:r>
      <w:r>
        <w:rPr>
          <w:rFonts w:ascii="Arial" w:hAnsi="Arial"/>
          <w:color w:val="5B6761"/>
          <w:w w:val="110"/>
          <w:sz w:val="14"/>
        </w:rPr>
        <w:lastRenderedPageBreak/>
        <w:t>and</w:t>
      </w:r>
      <w:r>
        <w:rPr>
          <w:rFonts w:ascii="Arial" w:hAnsi="Arial"/>
          <w:color w:val="5B6761"/>
          <w:spacing w:val="-27"/>
          <w:w w:val="110"/>
          <w:sz w:val="14"/>
        </w:rPr>
        <w:t xml:space="preserve"> </w:t>
      </w:r>
      <w:r>
        <w:rPr>
          <w:rFonts w:ascii="Arial" w:hAnsi="Arial"/>
          <w:color w:val="5B6761"/>
          <w:w w:val="110"/>
          <w:sz w:val="14"/>
        </w:rPr>
        <w:t>permitted</w:t>
      </w:r>
      <w:r>
        <w:rPr>
          <w:rFonts w:ascii="Arial" w:hAnsi="Arial"/>
          <w:color w:val="5B6761"/>
          <w:spacing w:val="-26"/>
          <w:w w:val="110"/>
          <w:sz w:val="14"/>
        </w:rPr>
        <w:t xml:space="preserve"> </w:t>
      </w:r>
      <w:r>
        <w:rPr>
          <w:rFonts w:ascii="Arial" w:hAnsi="Arial"/>
          <w:color w:val="5B6761"/>
          <w:w w:val="110"/>
          <w:sz w:val="14"/>
        </w:rPr>
        <w:t>indications</w:t>
      </w:r>
      <w:r>
        <w:rPr>
          <w:rFonts w:ascii="Arial" w:hAnsi="Arial"/>
          <w:color w:val="5B6761"/>
          <w:spacing w:val="-27"/>
          <w:w w:val="110"/>
          <w:sz w:val="14"/>
        </w:rPr>
        <w:t xml:space="preserve"> </w:t>
      </w:r>
      <w:r>
        <w:rPr>
          <w:rFonts w:ascii="Arial" w:hAnsi="Arial"/>
          <w:color w:val="5B6761"/>
          <w:w w:val="110"/>
          <w:sz w:val="14"/>
        </w:rPr>
        <w:t>(among</w:t>
      </w:r>
      <w:r>
        <w:rPr>
          <w:rFonts w:ascii="Arial" w:hAnsi="Arial"/>
          <w:color w:val="5B6761"/>
          <w:spacing w:val="-26"/>
          <w:w w:val="110"/>
          <w:sz w:val="14"/>
        </w:rPr>
        <w:t xml:space="preserve"> </w:t>
      </w:r>
      <w:r>
        <w:rPr>
          <w:rFonts w:ascii="Arial" w:hAnsi="Arial"/>
          <w:color w:val="5B6761"/>
          <w:w w:val="110"/>
          <w:sz w:val="14"/>
        </w:rPr>
        <w:t>others)</w:t>
      </w:r>
      <w:r>
        <w:rPr>
          <w:rFonts w:ascii="Arial" w:hAnsi="Arial"/>
          <w:color w:val="5B6761"/>
          <w:spacing w:val="-27"/>
          <w:w w:val="110"/>
          <w:sz w:val="14"/>
        </w:rPr>
        <w:t xml:space="preserve"> </w:t>
      </w:r>
      <w:r>
        <w:rPr>
          <w:rFonts w:ascii="Arial" w:hAnsi="Arial"/>
          <w:color w:val="5B6761"/>
          <w:w w:val="110"/>
          <w:sz w:val="14"/>
        </w:rPr>
        <w:t>of</w:t>
      </w:r>
      <w:r>
        <w:rPr>
          <w:rFonts w:ascii="Arial" w:hAnsi="Arial"/>
          <w:color w:val="5B6761"/>
          <w:spacing w:val="-27"/>
          <w:w w:val="110"/>
          <w:sz w:val="14"/>
        </w:rPr>
        <w:t xml:space="preserve"> </w:t>
      </w:r>
      <w:r>
        <w:rPr>
          <w:rFonts w:ascii="Arial" w:hAnsi="Arial"/>
          <w:color w:val="5B6761"/>
          <w:w w:val="110"/>
          <w:sz w:val="14"/>
        </w:rPr>
        <w:t xml:space="preserve">help </w:t>
      </w:r>
      <w:r>
        <w:rPr>
          <w:rFonts w:ascii="Arial" w:hAnsi="Arial"/>
          <w:color w:val="5B6761"/>
          <w:w w:val="113"/>
          <w:sz w:val="14"/>
        </w:rPr>
        <w:t>i</w:t>
      </w:r>
      <w:r>
        <w:rPr>
          <w:rFonts w:ascii="Arial" w:hAnsi="Arial"/>
          <w:color w:val="5B6761"/>
          <w:sz w:val="14"/>
        </w:rPr>
        <w:t>mp</w:t>
      </w:r>
      <w:r>
        <w:rPr>
          <w:rFonts w:ascii="Arial" w:hAnsi="Arial"/>
          <w:color w:val="5B6761"/>
          <w:w w:val="116"/>
          <w:sz w:val="14"/>
        </w:rPr>
        <w:t>r</w:t>
      </w:r>
      <w:r>
        <w:rPr>
          <w:rFonts w:ascii="Arial" w:hAnsi="Arial"/>
          <w:color w:val="5B6761"/>
          <w:spacing w:val="-1"/>
          <w:w w:val="99"/>
          <w:sz w:val="14"/>
        </w:rPr>
        <w:t>o</w:t>
      </w:r>
      <w:r>
        <w:rPr>
          <w:rFonts w:ascii="Arial" w:hAnsi="Arial"/>
          <w:color w:val="5B6761"/>
          <w:w w:val="101"/>
          <w:sz w:val="14"/>
        </w:rPr>
        <w:t>v</w:t>
      </w:r>
      <w:r>
        <w:rPr>
          <w:rFonts w:ascii="Arial" w:hAnsi="Arial"/>
          <w:color w:val="5B6761"/>
          <w:spacing w:val="-1"/>
          <w:w w:val="96"/>
          <w:sz w:val="14"/>
        </w:rPr>
        <w:t>e</w:t>
      </w:r>
      <w:r>
        <w:rPr>
          <w:rFonts w:ascii="Arial" w:hAnsi="Arial"/>
          <w:color w:val="5B6761"/>
          <w:spacing w:val="-1"/>
          <w:w w:val="175"/>
          <w:sz w:val="14"/>
        </w:rPr>
        <w:t>/</w:t>
      </w:r>
      <w:r>
        <w:rPr>
          <w:rFonts w:ascii="Arial" w:hAnsi="Arial"/>
          <w:color w:val="5B6761"/>
          <w:sz w:val="14"/>
        </w:rPr>
        <w:t>p</w:t>
      </w:r>
      <w:r>
        <w:rPr>
          <w:rFonts w:ascii="Arial" w:hAnsi="Arial"/>
          <w:color w:val="5B6761"/>
          <w:w w:val="116"/>
          <w:sz w:val="14"/>
        </w:rPr>
        <w:t>r</w:t>
      </w:r>
      <w:r>
        <w:rPr>
          <w:rFonts w:ascii="Arial" w:hAnsi="Arial"/>
          <w:color w:val="5B6761"/>
          <w:spacing w:val="1"/>
          <w:w w:val="99"/>
          <w:sz w:val="14"/>
        </w:rPr>
        <w:t>o</w:t>
      </w:r>
      <w:r>
        <w:rPr>
          <w:rFonts w:ascii="Arial" w:hAnsi="Arial"/>
          <w:color w:val="5B6761"/>
          <w:sz w:val="14"/>
        </w:rPr>
        <w:t>m</w:t>
      </w:r>
      <w:r>
        <w:rPr>
          <w:rFonts w:ascii="Arial" w:hAnsi="Arial"/>
          <w:color w:val="5B6761"/>
          <w:spacing w:val="-1"/>
          <w:sz w:val="14"/>
        </w:rPr>
        <w:t>o</w:t>
      </w:r>
      <w:r>
        <w:rPr>
          <w:rFonts w:ascii="Arial" w:hAnsi="Arial"/>
          <w:color w:val="5B6761"/>
          <w:w w:val="133"/>
          <w:sz w:val="14"/>
        </w:rPr>
        <w:t>t</w:t>
      </w:r>
      <w:r>
        <w:rPr>
          <w:rFonts w:ascii="Arial" w:hAnsi="Arial"/>
          <w:color w:val="5B6761"/>
          <w:w w:val="96"/>
          <w:sz w:val="14"/>
        </w:rPr>
        <w:t>e</w:t>
      </w:r>
      <w:r>
        <w:rPr>
          <w:rFonts w:ascii="Arial" w:hAnsi="Arial"/>
          <w:color w:val="5B6761"/>
          <w:spacing w:val="-7"/>
          <w:sz w:val="14"/>
        </w:rPr>
        <w:t xml:space="preserve"> </w:t>
      </w:r>
      <w:r>
        <w:rPr>
          <w:rFonts w:ascii="Arial" w:hAnsi="Arial"/>
          <w:color w:val="5B6761"/>
          <w:sz w:val="14"/>
        </w:rPr>
        <w:t>b</w:t>
      </w:r>
      <w:r>
        <w:rPr>
          <w:rFonts w:ascii="Arial" w:hAnsi="Arial"/>
          <w:color w:val="5B6761"/>
          <w:spacing w:val="-1"/>
          <w:w w:val="99"/>
          <w:sz w:val="14"/>
        </w:rPr>
        <w:t>o</w:t>
      </w:r>
      <w:r>
        <w:rPr>
          <w:rFonts w:ascii="Arial" w:hAnsi="Arial"/>
          <w:color w:val="5B6761"/>
          <w:sz w:val="14"/>
        </w:rPr>
        <w:t>d</w:t>
      </w:r>
      <w:r>
        <w:rPr>
          <w:rFonts w:ascii="Arial" w:hAnsi="Arial"/>
          <w:color w:val="5B6761"/>
          <w:w w:val="105"/>
          <w:sz w:val="14"/>
        </w:rPr>
        <w:t>y</w:t>
      </w:r>
      <w:r>
        <w:rPr>
          <w:rFonts w:ascii="Arial" w:hAnsi="Arial"/>
          <w:color w:val="5B6761"/>
          <w:spacing w:val="-6"/>
          <w:sz w:val="14"/>
        </w:rPr>
        <w:t xml:space="preserve"> </w:t>
      </w:r>
      <w:r>
        <w:rPr>
          <w:rFonts w:ascii="Arial" w:hAnsi="Arial"/>
          <w:color w:val="5B6761"/>
          <w:spacing w:val="2"/>
          <w:sz w:val="14"/>
        </w:rPr>
        <w:t>m</w:t>
      </w:r>
      <w:r>
        <w:rPr>
          <w:rFonts w:ascii="Arial" w:hAnsi="Arial"/>
          <w:color w:val="5B6761"/>
          <w:spacing w:val="-1"/>
          <w:w w:val="96"/>
          <w:sz w:val="14"/>
        </w:rPr>
        <w:t>e</w:t>
      </w:r>
      <w:r>
        <w:rPr>
          <w:rFonts w:ascii="Arial" w:hAnsi="Arial"/>
          <w:color w:val="5B6761"/>
          <w:w w:val="133"/>
          <w:sz w:val="14"/>
        </w:rPr>
        <w:t>t</w:t>
      </w:r>
      <w:r>
        <w:rPr>
          <w:rFonts w:ascii="Arial" w:hAnsi="Arial"/>
          <w:color w:val="5B6761"/>
          <w:w w:val="94"/>
          <w:sz w:val="14"/>
        </w:rPr>
        <w:t>a</w:t>
      </w:r>
      <w:r>
        <w:rPr>
          <w:rFonts w:ascii="Arial" w:hAnsi="Arial"/>
          <w:color w:val="5B6761"/>
          <w:sz w:val="14"/>
        </w:rPr>
        <w:t>b</w:t>
      </w:r>
      <w:r>
        <w:rPr>
          <w:rFonts w:ascii="Arial" w:hAnsi="Arial"/>
          <w:color w:val="5B6761"/>
          <w:spacing w:val="-1"/>
          <w:w w:val="99"/>
          <w:sz w:val="14"/>
        </w:rPr>
        <w:t>o</w:t>
      </w:r>
      <w:r>
        <w:rPr>
          <w:rFonts w:ascii="Arial" w:hAnsi="Arial"/>
          <w:color w:val="5B6761"/>
          <w:spacing w:val="-1"/>
          <w:w w:val="117"/>
          <w:sz w:val="14"/>
        </w:rPr>
        <w:t>l</w:t>
      </w:r>
      <w:r>
        <w:rPr>
          <w:rFonts w:ascii="Arial" w:hAnsi="Arial"/>
          <w:color w:val="5B6761"/>
          <w:w w:val="113"/>
          <w:sz w:val="14"/>
        </w:rPr>
        <w:t>i</w:t>
      </w:r>
      <w:r>
        <w:rPr>
          <w:rFonts w:ascii="Arial" w:hAnsi="Arial"/>
          <w:color w:val="5B6761"/>
          <w:spacing w:val="-1"/>
          <w:w w:val="93"/>
          <w:sz w:val="14"/>
        </w:rPr>
        <w:t>s</w:t>
      </w:r>
      <w:r>
        <w:rPr>
          <w:rFonts w:ascii="Arial" w:hAnsi="Arial"/>
          <w:color w:val="5B6761"/>
          <w:spacing w:val="2"/>
          <w:sz w:val="14"/>
        </w:rPr>
        <w:t>m</w:t>
      </w:r>
      <w:r>
        <w:rPr>
          <w:rFonts w:ascii="Arial" w:hAnsi="Arial"/>
          <w:color w:val="5B6761"/>
          <w:spacing w:val="-1"/>
          <w:w w:val="175"/>
          <w:sz w:val="14"/>
        </w:rPr>
        <w:t>/</w:t>
      </w:r>
      <w:r>
        <w:rPr>
          <w:rFonts w:ascii="Arial" w:hAnsi="Arial"/>
          <w:color w:val="5B6761"/>
          <w:spacing w:val="2"/>
          <w:sz w:val="14"/>
        </w:rPr>
        <w:t>m</w:t>
      </w:r>
      <w:r>
        <w:rPr>
          <w:rFonts w:ascii="Arial" w:hAnsi="Arial"/>
          <w:color w:val="5B6761"/>
          <w:spacing w:val="-1"/>
          <w:w w:val="96"/>
          <w:sz w:val="14"/>
        </w:rPr>
        <w:t>e</w:t>
      </w:r>
      <w:r>
        <w:rPr>
          <w:rFonts w:ascii="Arial" w:hAnsi="Arial"/>
          <w:color w:val="5B6761"/>
          <w:w w:val="133"/>
          <w:sz w:val="14"/>
        </w:rPr>
        <w:t>t</w:t>
      </w:r>
      <w:r>
        <w:rPr>
          <w:rFonts w:ascii="Arial" w:hAnsi="Arial"/>
          <w:color w:val="5B6761"/>
          <w:w w:val="94"/>
          <w:sz w:val="14"/>
        </w:rPr>
        <w:t>a</w:t>
      </w:r>
      <w:r>
        <w:rPr>
          <w:rFonts w:ascii="Arial" w:hAnsi="Arial"/>
          <w:color w:val="5B6761"/>
          <w:sz w:val="14"/>
        </w:rPr>
        <w:t>b</w:t>
      </w:r>
      <w:r>
        <w:rPr>
          <w:rFonts w:ascii="Arial" w:hAnsi="Arial"/>
          <w:color w:val="5B6761"/>
          <w:spacing w:val="-1"/>
          <w:w w:val="99"/>
          <w:sz w:val="14"/>
        </w:rPr>
        <w:t>o</w:t>
      </w:r>
      <w:r>
        <w:rPr>
          <w:rFonts w:ascii="Arial" w:hAnsi="Arial"/>
          <w:color w:val="5B6761"/>
          <w:spacing w:val="-1"/>
          <w:w w:val="117"/>
          <w:sz w:val="14"/>
        </w:rPr>
        <w:t>l</w:t>
      </w:r>
      <w:r>
        <w:rPr>
          <w:rFonts w:ascii="Arial" w:hAnsi="Arial"/>
          <w:color w:val="5B6761"/>
          <w:w w:val="113"/>
          <w:sz w:val="14"/>
        </w:rPr>
        <w:t>i</w:t>
      </w:r>
      <w:r>
        <w:rPr>
          <w:rFonts w:ascii="Arial" w:hAnsi="Arial"/>
          <w:color w:val="5B6761"/>
          <w:w w:val="99"/>
          <w:sz w:val="14"/>
        </w:rPr>
        <w:t>c</w:t>
      </w:r>
      <w:r>
        <w:rPr>
          <w:rFonts w:ascii="Arial" w:hAnsi="Arial"/>
          <w:color w:val="5B6761"/>
          <w:spacing w:val="-2"/>
          <w:sz w:val="14"/>
        </w:rPr>
        <w:t xml:space="preserve"> </w:t>
      </w:r>
      <w:r>
        <w:rPr>
          <w:rFonts w:ascii="Arial" w:hAnsi="Arial"/>
          <w:color w:val="5B6761"/>
          <w:w w:val="116"/>
          <w:sz w:val="14"/>
        </w:rPr>
        <w:t>r</w:t>
      </w:r>
      <w:r>
        <w:rPr>
          <w:rFonts w:ascii="Arial" w:hAnsi="Arial"/>
          <w:color w:val="5B6761"/>
          <w:w w:val="94"/>
          <w:sz w:val="14"/>
        </w:rPr>
        <w:t>a</w:t>
      </w:r>
      <w:r>
        <w:rPr>
          <w:rFonts w:ascii="Arial" w:hAnsi="Arial"/>
          <w:color w:val="5B6761"/>
          <w:w w:val="133"/>
          <w:sz w:val="14"/>
        </w:rPr>
        <w:t>t</w:t>
      </w:r>
      <w:r>
        <w:rPr>
          <w:rFonts w:ascii="Arial" w:hAnsi="Arial"/>
          <w:color w:val="5B6761"/>
          <w:w w:val="96"/>
          <w:sz w:val="14"/>
        </w:rPr>
        <w:t>e</w:t>
      </w:r>
      <w:r>
        <w:rPr>
          <w:rFonts w:ascii="Arial" w:hAnsi="Arial"/>
          <w:color w:val="5B6761"/>
          <w:spacing w:val="-7"/>
          <w:sz w:val="14"/>
        </w:rPr>
        <w:t xml:space="preserve"> </w:t>
      </w:r>
      <w:r>
        <w:rPr>
          <w:rFonts w:ascii="Arial" w:hAnsi="Arial"/>
          <w:color w:val="5B6761"/>
          <w:w w:val="94"/>
          <w:sz w:val="14"/>
        </w:rPr>
        <w:t>a</w:t>
      </w:r>
      <w:r>
        <w:rPr>
          <w:rFonts w:ascii="Arial" w:hAnsi="Arial"/>
          <w:color w:val="5B6761"/>
          <w:sz w:val="14"/>
        </w:rPr>
        <w:t>nd</w:t>
      </w:r>
      <w:r>
        <w:rPr>
          <w:rFonts w:ascii="Arial" w:hAnsi="Arial"/>
          <w:color w:val="5B6761"/>
          <w:spacing w:val="-5"/>
          <w:sz w:val="14"/>
        </w:rPr>
        <w:t xml:space="preserve"> </w:t>
      </w:r>
      <w:r>
        <w:rPr>
          <w:rFonts w:ascii="Arial" w:hAnsi="Arial"/>
          <w:color w:val="5B6761"/>
          <w:spacing w:val="-1"/>
          <w:w w:val="96"/>
          <w:sz w:val="14"/>
        </w:rPr>
        <w:t>e</w:t>
      </w:r>
      <w:r>
        <w:rPr>
          <w:rFonts w:ascii="Arial" w:hAnsi="Arial"/>
          <w:color w:val="5B6761"/>
          <w:sz w:val="14"/>
        </w:rPr>
        <w:t>n</w:t>
      </w:r>
      <w:r>
        <w:rPr>
          <w:rFonts w:ascii="Arial" w:hAnsi="Arial"/>
          <w:color w:val="5B6761"/>
          <w:spacing w:val="-2"/>
          <w:sz w:val="14"/>
        </w:rPr>
        <w:t>h</w:t>
      </w:r>
      <w:r>
        <w:rPr>
          <w:rFonts w:ascii="Arial" w:hAnsi="Arial"/>
          <w:color w:val="5B6761"/>
          <w:w w:val="94"/>
          <w:sz w:val="14"/>
        </w:rPr>
        <w:t>a</w:t>
      </w:r>
      <w:r>
        <w:rPr>
          <w:rFonts w:ascii="Arial" w:hAnsi="Arial"/>
          <w:color w:val="5B6761"/>
          <w:sz w:val="14"/>
        </w:rPr>
        <w:t>n</w:t>
      </w:r>
      <w:r>
        <w:rPr>
          <w:rFonts w:ascii="Arial" w:hAnsi="Arial"/>
          <w:color w:val="5B6761"/>
          <w:w w:val="97"/>
          <w:sz w:val="14"/>
        </w:rPr>
        <w:t>c</w:t>
      </w:r>
      <w:r>
        <w:rPr>
          <w:rFonts w:ascii="Arial" w:hAnsi="Arial"/>
          <w:color w:val="5B6761"/>
          <w:spacing w:val="-1"/>
          <w:w w:val="97"/>
          <w:sz w:val="14"/>
        </w:rPr>
        <w:t>e</w:t>
      </w:r>
      <w:r>
        <w:rPr>
          <w:rFonts w:ascii="Arial" w:hAnsi="Arial"/>
          <w:color w:val="5B6761"/>
          <w:spacing w:val="-1"/>
          <w:w w:val="175"/>
          <w:sz w:val="14"/>
        </w:rPr>
        <w:t>/</w:t>
      </w:r>
      <w:r>
        <w:rPr>
          <w:rFonts w:ascii="Arial" w:hAnsi="Arial"/>
          <w:color w:val="5B6761"/>
          <w:w w:val="113"/>
          <w:sz w:val="14"/>
        </w:rPr>
        <w:t>i</w:t>
      </w:r>
      <w:r>
        <w:rPr>
          <w:rFonts w:ascii="Arial" w:hAnsi="Arial"/>
          <w:color w:val="5B6761"/>
          <w:sz w:val="14"/>
        </w:rPr>
        <w:t>mp</w:t>
      </w:r>
      <w:r>
        <w:rPr>
          <w:rFonts w:ascii="Arial" w:hAnsi="Arial"/>
          <w:color w:val="5B6761"/>
          <w:w w:val="116"/>
          <w:sz w:val="14"/>
        </w:rPr>
        <w:t>r</w:t>
      </w:r>
      <w:r>
        <w:rPr>
          <w:rFonts w:ascii="Arial" w:hAnsi="Arial"/>
          <w:color w:val="5B6761"/>
          <w:spacing w:val="-1"/>
          <w:w w:val="99"/>
          <w:sz w:val="14"/>
        </w:rPr>
        <w:t>o</w:t>
      </w:r>
      <w:r>
        <w:rPr>
          <w:rFonts w:ascii="Arial" w:hAnsi="Arial"/>
          <w:color w:val="5B6761"/>
          <w:w w:val="101"/>
          <w:sz w:val="14"/>
        </w:rPr>
        <w:t>v</w:t>
      </w:r>
      <w:r>
        <w:rPr>
          <w:rFonts w:ascii="Arial" w:hAnsi="Arial"/>
          <w:color w:val="5B6761"/>
          <w:spacing w:val="-1"/>
          <w:w w:val="96"/>
          <w:sz w:val="14"/>
        </w:rPr>
        <w:t>e</w:t>
      </w:r>
      <w:r>
        <w:rPr>
          <w:rFonts w:ascii="Arial" w:hAnsi="Arial"/>
          <w:color w:val="5B6761"/>
          <w:spacing w:val="-1"/>
          <w:w w:val="175"/>
          <w:sz w:val="14"/>
        </w:rPr>
        <w:t>/</w:t>
      </w:r>
      <w:r>
        <w:rPr>
          <w:rFonts w:ascii="Arial" w:hAnsi="Arial"/>
          <w:color w:val="5B6761"/>
          <w:sz w:val="14"/>
        </w:rPr>
        <w:t>p</w:t>
      </w:r>
      <w:r>
        <w:rPr>
          <w:rFonts w:ascii="Arial" w:hAnsi="Arial"/>
          <w:color w:val="5B6761"/>
          <w:spacing w:val="3"/>
          <w:w w:val="116"/>
          <w:sz w:val="14"/>
        </w:rPr>
        <w:t>r</w:t>
      </w:r>
      <w:r>
        <w:rPr>
          <w:rFonts w:ascii="Arial" w:hAnsi="Arial"/>
          <w:color w:val="5B6761"/>
          <w:spacing w:val="-1"/>
          <w:w w:val="99"/>
          <w:sz w:val="14"/>
        </w:rPr>
        <w:t>o</w:t>
      </w:r>
      <w:r>
        <w:rPr>
          <w:rFonts w:ascii="Arial" w:hAnsi="Arial"/>
          <w:color w:val="5B6761"/>
          <w:sz w:val="14"/>
        </w:rPr>
        <w:t>m</w:t>
      </w:r>
      <w:r>
        <w:rPr>
          <w:rFonts w:ascii="Arial" w:hAnsi="Arial"/>
          <w:color w:val="5B6761"/>
          <w:spacing w:val="-1"/>
          <w:sz w:val="14"/>
        </w:rPr>
        <w:t>o</w:t>
      </w:r>
      <w:r>
        <w:rPr>
          <w:rFonts w:ascii="Arial" w:hAnsi="Arial"/>
          <w:color w:val="5B6761"/>
          <w:spacing w:val="3"/>
          <w:w w:val="133"/>
          <w:sz w:val="14"/>
        </w:rPr>
        <w:t>t</w:t>
      </w:r>
      <w:r>
        <w:rPr>
          <w:rFonts w:ascii="Arial" w:hAnsi="Arial"/>
          <w:color w:val="5B6761"/>
          <w:spacing w:val="-1"/>
          <w:w w:val="96"/>
          <w:sz w:val="14"/>
        </w:rPr>
        <w:t>e</w:t>
      </w:r>
      <w:r>
        <w:rPr>
          <w:rFonts w:ascii="Arial" w:hAnsi="Arial"/>
          <w:color w:val="5B6761"/>
          <w:spacing w:val="-1"/>
          <w:w w:val="175"/>
          <w:sz w:val="14"/>
        </w:rPr>
        <w:t>/</w:t>
      </w:r>
      <w:r>
        <w:rPr>
          <w:rFonts w:ascii="Arial" w:hAnsi="Arial"/>
          <w:color w:val="5B6761"/>
          <w:w w:val="113"/>
          <w:sz w:val="14"/>
        </w:rPr>
        <w:t>i</w:t>
      </w:r>
      <w:r>
        <w:rPr>
          <w:rFonts w:ascii="Arial" w:hAnsi="Arial"/>
          <w:color w:val="5B6761"/>
          <w:sz w:val="14"/>
        </w:rPr>
        <w:t>n</w:t>
      </w:r>
      <w:r>
        <w:rPr>
          <w:rFonts w:ascii="Arial" w:hAnsi="Arial"/>
          <w:color w:val="5B6761"/>
          <w:w w:val="106"/>
          <w:sz w:val="14"/>
        </w:rPr>
        <w:t>c</w:t>
      </w:r>
      <w:r>
        <w:rPr>
          <w:rFonts w:ascii="Arial" w:hAnsi="Arial"/>
          <w:color w:val="5B6761"/>
          <w:spacing w:val="4"/>
          <w:w w:val="106"/>
          <w:sz w:val="14"/>
        </w:rPr>
        <w:t>r</w:t>
      </w:r>
      <w:r>
        <w:rPr>
          <w:rFonts w:ascii="Arial" w:hAnsi="Arial"/>
          <w:color w:val="5B6761"/>
          <w:spacing w:val="-1"/>
          <w:w w:val="96"/>
          <w:sz w:val="14"/>
        </w:rPr>
        <w:t>e</w:t>
      </w:r>
      <w:r>
        <w:rPr>
          <w:rFonts w:ascii="Arial" w:hAnsi="Arial"/>
          <w:color w:val="5B6761"/>
          <w:w w:val="94"/>
          <w:sz w:val="14"/>
        </w:rPr>
        <w:t>a</w:t>
      </w:r>
      <w:r>
        <w:rPr>
          <w:rFonts w:ascii="Arial" w:hAnsi="Arial"/>
          <w:color w:val="5B6761"/>
          <w:spacing w:val="1"/>
          <w:w w:val="93"/>
          <w:sz w:val="14"/>
        </w:rPr>
        <w:t>s</w:t>
      </w:r>
      <w:r>
        <w:rPr>
          <w:rFonts w:ascii="Arial" w:hAnsi="Arial"/>
          <w:color w:val="5B6761"/>
          <w:w w:val="96"/>
          <w:sz w:val="14"/>
        </w:rPr>
        <w:t>e</w:t>
      </w:r>
      <w:r>
        <w:rPr>
          <w:rFonts w:ascii="Arial" w:hAnsi="Arial"/>
          <w:color w:val="5B6761"/>
          <w:spacing w:val="-7"/>
          <w:sz w:val="14"/>
        </w:rPr>
        <w:t xml:space="preserve"> </w:t>
      </w:r>
      <w:r>
        <w:rPr>
          <w:rFonts w:ascii="Arial" w:hAnsi="Arial"/>
          <w:color w:val="5B6761"/>
          <w:w w:val="99"/>
          <w:sz w:val="14"/>
        </w:rPr>
        <w:t>m</w:t>
      </w:r>
      <w:r>
        <w:rPr>
          <w:rFonts w:ascii="Arial" w:hAnsi="Arial"/>
          <w:color w:val="5B6761"/>
          <w:spacing w:val="-1"/>
          <w:w w:val="99"/>
          <w:sz w:val="14"/>
        </w:rPr>
        <w:t>e</w:t>
      </w:r>
      <w:r>
        <w:rPr>
          <w:rFonts w:ascii="Arial" w:hAnsi="Arial"/>
          <w:color w:val="5B6761"/>
          <w:sz w:val="14"/>
        </w:rPr>
        <w:t>n</w:t>
      </w:r>
      <w:r>
        <w:rPr>
          <w:rFonts w:ascii="Arial" w:hAnsi="Arial"/>
          <w:color w:val="5B6761"/>
          <w:w w:val="133"/>
          <w:sz w:val="14"/>
        </w:rPr>
        <w:t>t</w:t>
      </w:r>
      <w:r>
        <w:rPr>
          <w:rFonts w:ascii="Arial" w:hAnsi="Arial"/>
          <w:color w:val="5B6761"/>
          <w:w w:val="94"/>
          <w:sz w:val="14"/>
        </w:rPr>
        <w:t>a</w:t>
      </w:r>
      <w:r>
        <w:rPr>
          <w:rFonts w:ascii="Arial" w:hAnsi="Arial"/>
          <w:color w:val="5B6761"/>
          <w:w w:val="117"/>
          <w:sz w:val="14"/>
        </w:rPr>
        <w:t>l</w:t>
      </w:r>
      <w:r>
        <w:rPr>
          <w:rFonts w:ascii="Arial" w:hAnsi="Arial"/>
          <w:color w:val="5B6761"/>
          <w:spacing w:val="-6"/>
          <w:sz w:val="14"/>
        </w:rPr>
        <w:t xml:space="preserve"> </w:t>
      </w:r>
      <w:r>
        <w:rPr>
          <w:rFonts w:ascii="Arial" w:hAnsi="Arial"/>
          <w:color w:val="5B6761"/>
          <w:spacing w:val="-1"/>
          <w:w w:val="96"/>
          <w:sz w:val="14"/>
        </w:rPr>
        <w:t>e</w:t>
      </w:r>
      <w:r>
        <w:rPr>
          <w:rFonts w:ascii="Arial" w:hAnsi="Arial"/>
          <w:color w:val="5B6761"/>
          <w:sz w:val="14"/>
        </w:rPr>
        <w:t>ndu</w:t>
      </w:r>
      <w:r>
        <w:rPr>
          <w:rFonts w:ascii="Arial" w:hAnsi="Arial"/>
          <w:color w:val="5B6761"/>
          <w:w w:val="116"/>
          <w:sz w:val="14"/>
        </w:rPr>
        <w:t>r</w:t>
      </w:r>
      <w:r>
        <w:rPr>
          <w:rFonts w:ascii="Arial" w:hAnsi="Arial"/>
          <w:color w:val="5B6761"/>
          <w:w w:val="94"/>
          <w:sz w:val="14"/>
        </w:rPr>
        <w:t>a</w:t>
      </w:r>
      <w:r>
        <w:rPr>
          <w:rFonts w:ascii="Arial" w:hAnsi="Arial"/>
          <w:color w:val="5B6761"/>
          <w:sz w:val="14"/>
        </w:rPr>
        <w:t>n</w:t>
      </w:r>
      <w:r>
        <w:rPr>
          <w:rFonts w:ascii="Arial" w:hAnsi="Arial"/>
          <w:color w:val="5B6761"/>
          <w:w w:val="97"/>
          <w:sz w:val="14"/>
        </w:rPr>
        <w:t>c</w:t>
      </w:r>
      <w:r>
        <w:rPr>
          <w:rFonts w:ascii="Arial" w:hAnsi="Arial"/>
          <w:color w:val="5B6761"/>
          <w:spacing w:val="-1"/>
          <w:w w:val="97"/>
          <w:sz w:val="14"/>
        </w:rPr>
        <w:t>e</w:t>
      </w:r>
      <w:r>
        <w:rPr>
          <w:rFonts w:ascii="Arial" w:hAnsi="Arial"/>
          <w:color w:val="5B6761"/>
          <w:spacing w:val="-1"/>
          <w:w w:val="175"/>
          <w:sz w:val="14"/>
        </w:rPr>
        <w:t>/</w:t>
      </w:r>
      <w:r>
        <w:rPr>
          <w:rFonts w:ascii="Arial" w:hAnsi="Arial"/>
          <w:color w:val="5B6761"/>
          <w:spacing w:val="-1"/>
          <w:w w:val="93"/>
          <w:sz w:val="14"/>
        </w:rPr>
        <w:t>s</w:t>
      </w:r>
      <w:r>
        <w:rPr>
          <w:rFonts w:ascii="Arial" w:hAnsi="Arial"/>
          <w:color w:val="5B6761"/>
          <w:w w:val="133"/>
          <w:sz w:val="14"/>
        </w:rPr>
        <w:t>t</w:t>
      </w:r>
      <w:r>
        <w:rPr>
          <w:rFonts w:ascii="Arial" w:hAnsi="Arial"/>
          <w:color w:val="5B6761"/>
          <w:w w:val="94"/>
          <w:sz w:val="14"/>
        </w:rPr>
        <w:t>a</w:t>
      </w:r>
      <w:r>
        <w:rPr>
          <w:rFonts w:ascii="Arial" w:hAnsi="Arial"/>
          <w:color w:val="5B6761"/>
          <w:w w:val="103"/>
          <w:sz w:val="14"/>
        </w:rPr>
        <w:t>mi</w:t>
      </w:r>
      <w:r>
        <w:rPr>
          <w:rFonts w:ascii="Arial" w:hAnsi="Arial"/>
          <w:color w:val="5B6761"/>
          <w:sz w:val="14"/>
        </w:rPr>
        <w:t>n</w:t>
      </w:r>
      <w:r>
        <w:rPr>
          <w:rFonts w:ascii="Arial" w:hAnsi="Arial"/>
          <w:color w:val="5B6761"/>
          <w:w w:val="94"/>
          <w:sz w:val="14"/>
        </w:rPr>
        <w:t>a</w:t>
      </w:r>
      <w:r>
        <w:rPr>
          <w:rFonts w:ascii="Arial" w:hAnsi="Arial"/>
          <w:color w:val="5B6761"/>
          <w:w w:val="80"/>
          <w:sz w:val="14"/>
        </w:rPr>
        <w:t>.</w:t>
      </w:r>
    </w:p>
    <w:p w:rsidR="007D76BB" w:rsidRDefault="00D70D28">
      <w:pPr>
        <w:spacing w:before="58" w:line="268" w:lineRule="auto"/>
        <w:ind w:left="594" w:right="778" w:hanging="113"/>
        <w:rPr>
          <w:rFonts w:ascii="Arial"/>
          <w:i/>
          <w:sz w:val="14"/>
        </w:rPr>
      </w:pPr>
      <w:r>
        <w:rPr>
          <w:rFonts w:ascii="Arial"/>
          <w:color w:val="5B6761"/>
          <w:w w:val="105"/>
          <w:position w:val="5"/>
          <w:sz w:val="8"/>
        </w:rPr>
        <w:t>29</w:t>
      </w:r>
      <w:r>
        <w:rPr>
          <w:rFonts w:ascii="Arial"/>
          <w:color w:val="5B6761"/>
          <w:spacing w:val="-3"/>
          <w:w w:val="105"/>
          <w:position w:val="5"/>
          <w:sz w:val="8"/>
        </w:rPr>
        <w:t xml:space="preserve"> </w:t>
      </w:r>
      <w:r>
        <w:rPr>
          <w:rFonts w:ascii="Arial"/>
          <w:color w:val="5B6761"/>
          <w:w w:val="105"/>
          <w:sz w:val="14"/>
        </w:rPr>
        <w:t>That</w:t>
      </w:r>
      <w:r>
        <w:rPr>
          <w:rFonts w:ascii="Arial"/>
          <w:color w:val="5B6761"/>
          <w:spacing w:val="-21"/>
          <w:w w:val="105"/>
          <w:sz w:val="14"/>
        </w:rPr>
        <w:t xml:space="preserve"> </w:t>
      </w:r>
      <w:r>
        <w:rPr>
          <w:rFonts w:ascii="Arial"/>
          <w:color w:val="5B6761"/>
          <w:w w:val="105"/>
          <w:sz w:val="14"/>
        </w:rPr>
        <w:t>is,</w:t>
      </w:r>
      <w:r>
        <w:rPr>
          <w:rFonts w:ascii="Arial"/>
          <w:color w:val="5B6761"/>
          <w:spacing w:val="-22"/>
          <w:w w:val="105"/>
          <w:sz w:val="14"/>
        </w:rPr>
        <w:t xml:space="preserve"> </w:t>
      </w:r>
      <w:r>
        <w:rPr>
          <w:rFonts w:ascii="Arial"/>
          <w:color w:val="5B6761"/>
          <w:w w:val="105"/>
          <w:sz w:val="14"/>
        </w:rPr>
        <w:t>a</w:t>
      </w:r>
      <w:r>
        <w:rPr>
          <w:rFonts w:ascii="Arial"/>
          <w:color w:val="5B6761"/>
          <w:spacing w:val="-20"/>
          <w:w w:val="105"/>
          <w:sz w:val="14"/>
        </w:rPr>
        <w:t xml:space="preserve"> </w:t>
      </w:r>
      <w:r>
        <w:rPr>
          <w:rFonts w:ascii="Arial"/>
          <w:color w:val="5B6761"/>
          <w:w w:val="105"/>
          <w:sz w:val="14"/>
        </w:rPr>
        <w:t>substance</w:t>
      </w:r>
      <w:r>
        <w:rPr>
          <w:rFonts w:ascii="Arial"/>
          <w:color w:val="5B6761"/>
          <w:spacing w:val="-21"/>
          <w:w w:val="105"/>
          <w:sz w:val="14"/>
        </w:rPr>
        <w:t xml:space="preserve"> </w:t>
      </w:r>
      <w:r>
        <w:rPr>
          <w:rFonts w:ascii="Arial"/>
          <w:color w:val="5B6761"/>
          <w:w w:val="105"/>
          <w:sz w:val="14"/>
        </w:rPr>
        <w:t>above</w:t>
      </w:r>
      <w:r>
        <w:rPr>
          <w:rFonts w:ascii="Arial"/>
          <w:color w:val="5B6761"/>
          <w:spacing w:val="-22"/>
          <w:w w:val="105"/>
          <w:sz w:val="14"/>
        </w:rPr>
        <w:t xml:space="preserve"> </w:t>
      </w:r>
      <w:r>
        <w:rPr>
          <w:rFonts w:ascii="Arial"/>
          <w:color w:val="5B6761"/>
          <w:w w:val="105"/>
          <w:sz w:val="14"/>
        </w:rPr>
        <w:t>the</w:t>
      </w:r>
      <w:r>
        <w:rPr>
          <w:rFonts w:ascii="Arial"/>
          <w:color w:val="5B6761"/>
          <w:spacing w:val="-21"/>
          <w:w w:val="105"/>
          <w:sz w:val="14"/>
        </w:rPr>
        <w:t xml:space="preserve"> </w:t>
      </w:r>
      <w:r>
        <w:rPr>
          <w:rFonts w:ascii="Arial"/>
          <w:color w:val="5B6761"/>
          <w:w w:val="105"/>
          <w:sz w:val="14"/>
        </w:rPr>
        <w:t>restrictions</w:t>
      </w:r>
      <w:r>
        <w:rPr>
          <w:rFonts w:ascii="Arial"/>
          <w:color w:val="5B6761"/>
          <w:spacing w:val="-21"/>
          <w:w w:val="105"/>
          <w:sz w:val="14"/>
        </w:rPr>
        <w:t xml:space="preserve"> </w:t>
      </w:r>
      <w:r>
        <w:rPr>
          <w:rFonts w:ascii="Arial"/>
          <w:color w:val="5B6761"/>
          <w:w w:val="105"/>
          <w:sz w:val="14"/>
        </w:rPr>
        <w:t>provided</w:t>
      </w:r>
      <w:r>
        <w:rPr>
          <w:rFonts w:ascii="Arial"/>
          <w:color w:val="5B6761"/>
          <w:spacing w:val="-20"/>
          <w:w w:val="105"/>
          <w:sz w:val="14"/>
        </w:rPr>
        <w:t xml:space="preserve"> </w:t>
      </w:r>
      <w:r>
        <w:rPr>
          <w:rFonts w:ascii="Arial"/>
          <w:color w:val="5B6761"/>
          <w:w w:val="105"/>
          <w:sz w:val="14"/>
        </w:rPr>
        <w:t>in</w:t>
      </w:r>
      <w:r>
        <w:rPr>
          <w:rFonts w:ascii="Arial"/>
          <w:color w:val="5B6761"/>
          <w:spacing w:val="-20"/>
          <w:w w:val="105"/>
          <w:sz w:val="14"/>
        </w:rPr>
        <w:t xml:space="preserve"> </w:t>
      </w:r>
      <w:r>
        <w:rPr>
          <w:rFonts w:ascii="Arial"/>
          <w:color w:val="5B6761"/>
          <w:w w:val="105"/>
          <w:sz w:val="14"/>
        </w:rPr>
        <w:t>a</w:t>
      </w:r>
      <w:r>
        <w:rPr>
          <w:rFonts w:ascii="Arial"/>
          <w:color w:val="5B6761"/>
          <w:spacing w:val="-20"/>
          <w:w w:val="105"/>
          <w:sz w:val="14"/>
        </w:rPr>
        <w:t xml:space="preserve"> </w:t>
      </w:r>
      <w:r>
        <w:rPr>
          <w:rFonts w:ascii="Arial"/>
          <w:color w:val="5B6761"/>
          <w:w w:val="105"/>
          <w:sz w:val="14"/>
        </w:rPr>
        <w:t>schedule</w:t>
      </w:r>
      <w:r>
        <w:rPr>
          <w:rFonts w:ascii="Arial"/>
          <w:color w:val="5B6761"/>
          <w:spacing w:val="-22"/>
          <w:w w:val="105"/>
          <w:sz w:val="14"/>
        </w:rPr>
        <w:t xml:space="preserve"> </w:t>
      </w:r>
      <w:r>
        <w:rPr>
          <w:rFonts w:ascii="Arial"/>
          <w:color w:val="5B6761"/>
          <w:w w:val="105"/>
          <w:sz w:val="14"/>
        </w:rPr>
        <w:t>to</w:t>
      </w:r>
      <w:r>
        <w:rPr>
          <w:rFonts w:ascii="Arial"/>
          <w:color w:val="5B6761"/>
          <w:spacing w:val="-21"/>
          <w:w w:val="105"/>
          <w:sz w:val="14"/>
        </w:rPr>
        <w:t xml:space="preserve"> </w:t>
      </w:r>
      <w:r>
        <w:rPr>
          <w:rFonts w:ascii="Arial"/>
          <w:color w:val="5B6761"/>
          <w:w w:val="105"/>
          <w:sz w:val="14"/>
        </w:rPr>
        <w:t>the</w:t>
      </w:r>
      <w:r>
        <w:rPr>
          <w:rFonts w:ascii="Arial"/>
          <w:color w:val="5B6761"/>
          <w:spacing w:val="-21"/>
          <w:w w:val="105"/>
          <w:sz w:val="14"/>
        </w:rPr>
        <w:t xml:space="preserve"> </w:t>
      </w:r>
      <w:r>
        <w:rPr>
          <w:rFonts w:ascii="Arial"/>
          <w:color w:val="5B6761"/>
          <w:w w:val="105"/>
          <w:sz w:val="14"/>
        </w:rPr>
        <w:t>Poisons</w:t>
      </w:r>
      <w:r>
        <w:rPr>
          <w:rFonts w:ascii="Arial"/>
          <w:color w:val="5B6761"/>
          <w:spacing w:val="-21"/>
          <w:w w:val="105"/>
          <w:sz w:val="14"/>
        </w:rPr>
        <w:t xml:space="preserve"> </w:t>
      </w:r>
      <w:r>
        <w:rPr>
          <w:rFonts w:ascii="Arial"/>
          <w:color w:val="5B6761"/>
          <w:w w:val="105"/>
          <w:sz w:val="14"/>
        </w:rPr>
        <w:t>Standard,</w:t>
      </w:r>
      <w:r>
        <w:rPr>
          <w:rFonts w:ascii="Arial"/>
          <w:color w:val="5B6761"/>
          <w:spacing w:val="-21"/>
          <w:w w:val="105"/>
          <w:sz w:val="14"/>
        </w:rPr>
        <w:t xml:space="preserve"> </w:t>
      </w:r>
      <w:r>
        <w:rPr>
          <w:rFonts w:ascii="Arial"/>
          <w:color w:val="5B6761"/>
          <w:w w:val="105"/>
          <w:sz w:val="14"/>
        </w:rPr>
        <w:t>ingredient</w:t>
      </w:r>
      <w:r>
        <w:rPr>
          <w:rFonts w:ascii="Arial"/>
          <w:color w:val="5B6761"/>
          <w:spacing w:val="-20"/>
          <w:w w:val="105"/>
          <w:sz w:val="14"/>
        </w:rPr>
        <w:t xml:space="preserve"> </w:t>
      </w:r>
      <w:r>
        <w:rPr>
          <w:rFonts w:ascii="Arial"/>
          <w:color w:val="5B6761"/>
          <w:w w:val="105"/>
          <w:sz w:val="14"/>
        </w:rPr>
        <w:t>that</w:t>
      </w:r>
      <w:r>
        <w:rPr>
          <w:rFonts w:ascii="Arial"/>
          <w:color w:val="5B6761"/>
          <w:spacing w:val="-20"/>
          <w:w w:val="105"/>
          <w:sz w:val="14"/>
        </w:rPr>
        <w:t xml:space="preserve"> </w:t>
      </w:r>
      <w:r>
        <w:rPr>
          <w:rFonts w:ascii="Arial"/>
          <w:color w:val="5B6761"/>
          <w:w w:val="105"/>
          <w:sz w:val="14"/>
        </w:rPr>
        <w:t>is</w:t>
      </w:r>
      <w:r>
        <w:rPr>
          <w:rFonts w:ascii="Arial"/>
          <w:color w:val="5B6761"/>
          <w:spacing w:val="-23"/>
          <w:w w:val="105"/>
          <w:sz w:val="14"/>
        </w:rPr>
        <w:t xml:space="preserve"> </w:t>
      </w:r>
      <w:r>
        <w:rPr>
          <w:rFonts w:ascii="Arial"/>
          <w:color w:val="5B6761"/>
          <w:w w:val="105"/>
          <w:sz w:val="14"/>
        </w:rPr>
        <w:t>banned</w:t>
      </w:r>
      <w:r>
        <w:rPr>
          <w:rFonts w:ascii="Arial"/>
          <w:color w:val="5B6761"/>
          <w:spacing w:val="-21"/>
          <w:w w:val="105"/>
          <w:sz w:val="14"/>
        </w:rPr>
        <w:t xml:space="preserve"> </w:t>
      </w:r>
      <w:r>
        <w:rPr>
          <w:rFonts w:ascii="Arial"/>
          <w:color w:val="5B6761"/>
          <w:w w:val="105"/>
          <w:sz w:val="14"/>
        </w:rPr>
        <w:t>by</w:t>
      </w:r>
      <w:r>
        <w:rPr>
          <w:rFonts w:ascii="Arial"/>
          <w:color w:val="5B6761"/>
          <w:spacing w:val="-21"/>
          <w:w w:val="105"/>
          <w:sz w:val="14"/>
        </w:rPr>
        <w:t xml:space="preserve"> </w:t>
      </w:r>
      <w:r>
        <w:rPr>
          <w:rFonts w:ascii="Arial"/>
          <w:color w:val="5B6761"/>
          <w:w w:val="105"/>
          <w:sz w:val="14"/>
        </w:rPr>
        <w:t>the</w:t>
      </w:r>
      <w:r>
        <w:rPr>
          <w:rFonts w:ascii="Arial"/>
          <w:color w:val="5B6761"/>
          <w:spacing w:val="-19"/>
          <w:w w:val="105"/>
          <w:sz w:val="14"/>
        </w:rPr>
        <w:t xml:space="preserve"> </w:t>
      </w:r>
      <w:r>
        <w:rPr>
          <w:rFonts w:ascii="Arial"/>
          <w:color w:val="5B6761"/>
          <w:w w:val="105"/>
          <w:sz w:val="14"/>
        </w:rPr>
        <w:t>WADC (Option</w:t>
      </w:r>
      <w:r>
        <w:rPr>
          <w:rFonts w:ascii="Arial"/>
          <w:color w:val="5B6761"/>
          <w:spacing w:val="-11"/>
          <w:w w:val="105"/>
          <w:sz w:val="14"/>
        </w:rPr>
        <w:t xml:space="preserve"> </w:t>
      </w:r>
      <w:r>
        <w:rPr>
          <w:rFonts w:ascii="Arial"/>
          <w:color w:val="5B6761"/>
          <w:w w:val="105"/>
          <w:sz w:val="14"/>
        </w:rPr>
        <w:t>2A</w:t>
      </w:r>
      <w:r>
        <w:rPr>
          <w:rFonts w:ascii="Arial"/>
          <w:color w:val="5B6761"/>
          <w:spacing w:val="-11"/>
          <w:w w:val="105"/>
          <w:sz w:val="14"/>
        </w:rPr>
        <w:t xml:space="preserve"> </w:t>
      </w:r>
      <w:r>
        <w:rPr>
          <w:rFonts w:ascii="Arial"/>
          <w:color w:val="5B6761"/>
          <w:w w:val="105"/>
          <w:sz w:val="14"/>
        </w:rPr>
        <w:t>and</w:t>
      </w:r>
      <w:r>
        <w:rPr>
          <w:rFonts w:ascii="Arial"/>
          <w:color w:val="5B6761"/>
          <w:spacing w:val="-11"/>
          <w:w w:val="105"/>
          <w:sz w:val="14"/>
        </w:rPr>
        <w:t xml:space="preserve"> </w:t>
      </w:r>
      <w:r>
        <w:rPr>
          <w:rFonts w:ascii="Arial"/>
          <w:color w:val="5B6761"/>
          <w:w w:val="105"/>
          <w:sz w:val="14"/>
        </w:rPr>
        <w:t>3</w:t>
      </w:r>
      <w:r>
        <w:rPr>
          <w:rFonts w:ascii="Arial"/>
          <w:color w:val="5B6761"/>
          <w:spacing w:val="-10"/>
          <w:w w:val="105"/>
          <w:sz w:val="14"/>
        </w:rPr>
        <w:t xml:space="preserve"> </w:t>
      </w:r>
      <w:r>
        <w:rPr>
          <w:rFonts w:ascii="Arial"/>
          <w:color w:val="5B6761"/>
          <w:w w:val="105"/>
          <w:sz w:val="14"/>
        </w:rPr>
        <w:t>only)</w:t>
      </w:r>
      <w:r>
        <w:rPr>
          <w:rFonts w:ascii="Arial"/>
          <w:color w:val="5B6761"/>
          <w:spacing w:val="-12"/>
          <w:w w:val="105"/>
          <w:sz w:val="14"/>
        </w:rPr>
        <w:t xml:space="preserve"> </w:t>
      </w:r>
      <w:r>
        <w:rPr>
          <w:rFonts w:ascii="Arial"/>
          <w:color w:val="5B6761"/>
          <w:w w:val="105"/>
          <w:sz w:val="14"/>
        </w:rPr>
        <w:t>or</w:t>
      </w:r>
      <w:r>
        <w:rPr>
          <w:rFonts w:ascii="Arial"/>
          <w:color w:val="5B6761"/>
          <w:spacing w:val="-10"/>
          <w:w w:val="105"/>
          <w:sz w:val="14"/>
        </w:rPr>
        <w:t xml:space="preserve"> </w:t>
      </w:r>
      <w:r>
        <w:rPr>
          <w:rFonts w:ascii="Arial"/>
          <w:color w:val="5B6761"/>
          <w:w w:val="105"/>
          <w:sz w:val="14"/>
        </w:rPr>
        <w:t>a</w:t>
      </w:r>
      <w:r>
        <w:rPr>
          <w:rFonts w:ascii="Arial"/>
          <w:color w:val="5B6761"/>
          <w:spacing w:val="-11"/>
          <w:w w:val="105"/>
          <w:sz w:val="14"/>
        </w:rPr>
        <w:t xml:space="preserve"> </w:t>
      </w:r>
      <w:r>
        <w:rPr>
          <w:rFonts w:ascii="Arial"/>
          <w:color w:val="5B6761"/>
          <w:w w:val="105"/>
          <w:sz w:val="14"/>
        </w:rPr>
        <w:t>substance</w:t>
      </w:r>
      <w:r>
        <w:rPr>
          <w:rFonts w:ascii="Arial"/>
          <w:color w:val="5B6761"/>
          <w:spacing w:val="-9"/>
          <w:w w:val="105"/>
          <w:sz w:val="14"/>
        </w:rPr>
        <w:t xml:space="preserve"> </w:t>
      </w:r>
      <w:r>
        <w:rPr>
          <w:rFonts w:ascii="Arial"/>
          <w:color w:val="5B6761"/>
          <w:w w:val="105"/>
          <w:sz w:val="14"/>
        </w:rPr>
        <w:t>listed</w:t>
      </w:r>
      <w:r>
        <w:rPr>
          <w:rFonts w:ascii="Arial"/>
          <w:color w:val="5B6761"/>
          <w:spacing w:val="-11"/>
          <w:w w:val="105"/>
          <w:sz w:val="14"/>
        </w:rPr>
        <w:t xml:space="preserve"> </w:t>
      </w:r>
      <w:r>
        <w:rPr>
          <w:rFonts w:ascii="Arial"/>
          <w:color w:val="5B6761"/>
          <w:w w:val="105"/>
          <w:sz w:val="14"/>
        </w:rPr>
        <w:t>on</w:t>
      </w:r>
      <w:r>
        <w:rPr>
          <w:rFonts w:ascii="Arial"/>
          <w:color w:val="5B6761"/>
          <w:spacing w:val="-10"/>
          <w:w w:val="105"/>
          <w:sz w:val="14"/>
        </w:rPr>
        <w:t xml:space="preserve"> </w:t>
      </w:r>
      <w:r>
        <w:rPr>
          <w:rFonts w:ascii="Arial"/>
          <w:color w:val="5B6761"/>
          <w:w w:val="105"/>
          <w:sz w:val="14"/>
        </w:rPr>
        <w:t>the</w:t>
      </w:r>
      <w:r>
        <w:rPr>
          <w:rFonts w:ascii="Arial"/>
          <w:color w:val="5B6761"/>
          <w:spacing w:val="-13"/>
          <w:w w:val="105"/>
          <w:sz w:val="14"/>
        </w:rPr>
        <w:t xml:space="preserve"> </w:t>
      </w:r>
      <w:r>
        <w:rPr>
          <w:rFonts w:ascii="Arial"/>
          <w:color w:val="5B6761"/>
          <w:w w:val="105"/>
          <w:sz w:val="14"/>
        </w:rPr>
        <w:t>Relevant</w:t>
      </w:r>
      <w:r>
        <w:rPr>
          <w:rFonts w:ascii="Arial"/>
          <w:color w:val="5B6761"/>
          <w:spacing w:val="-10"/>
          <w:w w:val="105"/>
          <w:sz w:val="14"/>
        </w:rPr>
        <w:t xml:space="preserve"> </w:t>
      </w:r>
      <w:r>
        <w:rPr>
          <w:rFonts w:ascii="Arial"/>
          <w:color w:val="5B6761"/>
          <w:w w:val="105"/>
          <w:sz w:val="14"/>
        </w:rPr>
        <w:t>substance</w:t>
      </w:r>
      <w:r>
        <w:rPr>
          <w:rFonts w:ascii="Arial"/>
          <w:color w:val="5B6761"/>
          <w:spacing w:val="-13"/>
          <w:w w:val="105"/>
          <w:sz w:val="14"/>
        </w:rPr>
        <w:t xml:space="preserve"> </w:t>
      </w:r>
      <w:r>
        <w:rPr>
          <w:rFonts w:ascii="Arial"/>
          <w:color w:val="5B6761"/>
          <w:w w:val="105"/>
          <w:sz w:val="14"/>
        </w:rPr>
        <w:t>list</w:t>
      </w:r>
      <w:r>
        <w:rPr>
          <w:rFonts w:ascii="Arial"/>
          <w:color w:val="5B6761"/>
          <w:spacing w:val="-8"/>
          <w:w w:val="105"/>
          <w:sz w:val="14"/>
        </w:rPr>
        <w:t xml:space="preserve"> </w:t>
      </w:r>
      <w:r>
        <w:rPr>
          <w:rFonts w:ascii="Arial"/>
          <w:color w:val="5B6761"/>
          <w:w w:val="105"/>
          <w:sz w:val="14"/>
        </w:rPr>
        <w:t>(as</w:t>
      </w:r>
      <w:r>
        <w:rPr>
          <w:rFonts w:ascii="Arial"/>
          <w:color w:val="5B6761"/>
          <w:spacing w:val="-14"/>
          <w:w w:val="105"/>
          <w:sz w:val="14"/>
        </w:rPr>
        <w:t xml:space="preserve"> </w:t>
      </w:r>
      <w:r>
        <w:rPr>
          <w:rFonts w:ascii="Arial"/>
          <w:color w:val="5B6761"/>
          <w:w w:val="105"/>
          <w:sz w:val="14"/>
        </w:rPr>
        <w:t>declared</w:t>
      </w:r>
      <w:r>
        <w:rPr>
          <w:rFonts w:ascii="Arial"/>
          <w:color w:val="5B6761"/>
          <w:spacing w:val="-11"/>
          <w:w w:val="105"/>
          <w:sz w:val="14"/>
        </w:rPr>
        <w:t xml:space="preserve"> </w:t>
      </w:r>
      <w:r>
        <w:rPr>
          <w:rFonts w:ascii="Arial"/>
          <w:color w:val="5B6761"/>
          <w:w w:val="105"/>
          <w:sz w:val="14"/>
        </w:rPr>
        <w:t>by</w:t>
      </w:r>
      <w:r>
        <w:rPr>
          <w:rFonts w:ascii="Arial"/>
          <w:color w:val="5B6761"/>
          <w:spacing w:val="-9"/>
          <w:w w:val="105"/>
          <w:sz w:val="14"/>
        </w:rPr>
        <w:t xml:space="preserve"> </w:t>
      </w:r>
      <w:r>
        <w:rPr>
          <w:rFonts w:ascii="Arial"/>
          <w:color w:val="5B6761"/>
          <w:w w:val="105"/>
          <w:sz w:val="14"/>
        </w:rPr>
        <w:t>the</w:t>
      </w:r>
      <w:r>
        <w:rPr>
          <w:rFonts w:ascii="Arial"/>
          <w:color w:val="5B6761"/>
          <w:spacing w:val="-13"/>
          <w:w w:val="105"/>
          <w:sz w:val="14"/>
        </w:rPr>
        <w:t xml:space="preserve"> </w:t>
      </w:r>
      <w:r>
        <w:rPr>
          <w:rFonts w:ascii="Arial"/>
          <w:color w:val="5B6761"/>
          <w:w w:val="105"/>
          <w:sz w:val="14"/>
        </w:rPr>
        <w:t>Secretary)</w:t>
      </w:r>
      <w:r>
        <w:rPr>
          <w:rFonts w:ascii="Arial"/>
          <w:i/>
          <w:color w:val="5B6761"/>
          <w:w w:val="105"/>
          <w:sz w:val="14"/>
        </w:rPr>
        <w:t>.</w:t>
      </w:r>
    </w:p>
    <w:p w:rsidR="007D76BB" w:rsidRDefault="007D76BB">
      <w:pPr>
        <w:spacing w:line="268" w:lineRule="auto"/>
        <w:rPr>
          <w:rFonts w:ascii="Arial"/>
          <w:sz w:val="14"/>
        </w:rPr>
        <w:sectPr w:rsidR="007D76BB">
          <w:pgSz w:w="11910" w:h="16850"/>
          <w:pgMar w:top="820" w:right="820" w:bottom="740" w:left="1220" w:header="459" w:footer="546" w:gutter="0"/>
          <w:cols w:space="720"/>
        </w:sectPr>
      </w:pPr>
    </w:p>
    <w:p w:rsidR="007D76BB" w:rsidRDefault="007D76BB">
      <w:pPr>
        <w:pStyle w:val="BodyText"/>
        <w:rPr>
          <w:rFonts w:ascii="Arial"/>
          <w:i/>
          <w:sz w:val="20"/>
        </w:rPr>
      </w:pPr>
    </w:p>
    <w:p w:rsidR="007D76BB" w:rsidRDefault="007D76BB">
      <w:pPr>
        <w:pStyle w:val="BodyText"/>
        <w:rPr>
          <w:rFonts w:ascii="Arial"/>
          <w:i/>
          <w:sz w:val="20"/>
        </w:rPr>
      </w:pPr>
    </w:p>
    <w:p w:rsidR="007D76BB" w:rsidRDefault="007D76BB">
      <w:pPr>
        <w:pStyle w:val="BodyText"/>
        <w:rPr>
          <w:rFonts w:ascii="Arial"/>
          <w:i/>
          <w:sz w:val="28"/>
        </w:rPr>
      </w:pPr>
    </w:p>
    <w:p w:rsidR="007D76BB" w:rsidRDefault="00D70D28">
      <w:pPr>
        <w:spacing w:before="108"/>
        <w:ind w:left="482"/>
        <w:rPr>
          <w:rFonts w:ascii="Arial"/>
          <w:sz w:val="19"/>
        </w:rPr>
      </w:pPr>
      <w:r>
        <w:rPr>
          <w:rFonts w:ascii="Arial"/>
          <w:color w:val="005386"/>
          <w:w w:val="105"/>
          <w:sz w:val="19"/>
        </w:rPr>
        <w:t>Figure 4. Broad options for modifying the product to avoid regulatory capture</w:t>
      </w:r>
    </w:p>
    <w:p w:rsidR="007D76BB" w:rsidRDefault="007D76BB">
      <w:pPr>
        <w:pStyle w:val="BodyText"/>
        <w:spacing w:before="8"/>
        <w:rPr>
          <w:rFonts w:ascii="Arial"/>
          <w:sz w:val="26"/>
        </w:rPr>
      </w:pPr>
    </w:p>
    <w:p w:rsidR="007D76BB" w:rsidRDefault="00D70D28">
      <w:pPr>
        <w:pStyle w:val="Heading6"/>
        <w:spacing w:before="0" w:line="249" w:lineRule="auto"/>
        <w:ind w:left="4547" w:right="2933"/>
      </w:pPr>
      <w:r>
        <w:rPr>
          <w:noProof/>
          <w:lang w:val="en-AU" w:eastAsia="en-AU"/>
        </w:rPr>
        <mc:AlternateContent>
          <mc:Choice Requires="wps">
            <w:drawing>
              <wp:anchor distT="0" distB="0" distL="0" distR="0" simplePos="0" relativeHeight="251707392" behindDoc="1" locked="0" layoutInCell="1" allowOverlap="1">
                <wp:simplePos x="0" y="0"/>
                <wp:positionH relativeFrom="page">
                  <wp:posOffset>2393315</wp:posOffset>
                </wp:positionH>
                <wp:positionV relativeFrom="paragraph">
                  <wp:posOffset>603250</wp:posOffset>
                </wp:positionV>
                <wp:extent cx="440690" cy="464185"/>
                <wp:effectExtent l="0" t="0" r="0" b="0"/>
                <wp:wrapTopAndBottom/>
                <wp:docPr id="357"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690" cy="464185"/>
                        </a:xfrm>
                        <a:custGeom>
                          <a:avLst/>
                          <a:gdLst>
                            <a:gd name="T0" fmla="+- 0 3783 3769"/>
                            <a:gd name="T1" fmla="*/ T0 w 694"/>
                            <a:gd name="T2" fmla="+- 0 1680 950"/>
                            <a:gd name="T3" fmla="*/ 1680 h 731"/>
                            <a:gd name="T4" fmla="+- 0 3802 3769"/>
                            <a:gd name="T5" fmla="*/ T4 w 694"/>
                            <a:gd name="T6" fmla="+- 0 1670 950"/>
                            <a:gd name="T7" fmla="*/ 1670 h 731"/>
                            <a:gd name="T8" fmla="+- 0 3802 3769"/>
                            <a:gd name="T9" fmla="*/ T8 w 694"/>
                            <a:gd name="T10" fmla="+- 0 1659 950"/>
                            <a:gd name="T11" fmla="*/ 1659 h 731"/>
                            <a:gd name="T12" fmla="+- 0 3773 3769"/>
                            <a:gd name="T13" fmla="*/ T12 w 694"/>
                            <a:gd name="T14" fmla="+- 0 1407 950"/>
                            <a:gd name="T15" fmla="*/ 1407 h 731"/>
                            <a:gd name="T16" fmla="+- 0 3794 3769"/>
                            <a:gd name="T17" fmla="*/ T16 w 694"/>
                            <a:gd name="T18" fmla="+- 0 1399 950"/>
                            <a:gd name="T19" fmla="*/ 1399 h 731"/>
                            <a:gd name="T20" fmla="+- 0 3802 3769"/>
                            <a:gd name="T21" fmla="*/ T20 w 694"/>
                            <a:gd name="T22" fmla="+- 0 1659 950"/>
                            <a:gd name="T23" fmla="*/ 1659 h 731"/>
                            <a:gd name="T24" fmla="+- 0 3802 3769"/>
                            <a:gd name="T25" fmla="*/ T24 w 694"/>
                            <a:gd name="T26" fmla="+- 0 1670 950"/>
                            <a:gd name="T27" fmla="*/ 1670 h 731"/>
                            <a:gd name="T28" fmla="+- 0 4038 3769"/>
                            <a:gd name="T29" fmla="*/ T28 w 694"/>
                            <a:gd name="T30" fmla="+- 0 1649 950"/>
                            <a:gd name="T31" fmla="*/ 1649 h 731"/>
                            <a:gd name="T32" fmla="+- 0 3802 3769"/>
                            <a:gd name="T33" fmla="*/ T32 w 694"/>
                            <a:gd name="T34" fmla="+- 0 1670 950"/>
                            <a:gd name="T35" fmla="*/ 1670 h 731"/>
                            <a:gd name="T36" fmla="+- 0 4087 3769"/>
                            <a:gd name="T37" fmla="*/ T36 w 694"/>
                            <a:gd name="T38" fmla="+- 0 1667 950"/>
                            <a:gd name="T39" fmla="*/ 1667 h 731"/>
                            <a:gd name="T40" fmla="+- 0 4056 3769"/>
                            <a:gd name="T41" fmla="*/ T40 w 694"/>
                            <a:gd name="T42" fmla="+- 0 1665 950"/>
                            <a:gd name="T43" fmla="*/ 1665 h 731"/>
                            <a:gd name="T44" fmla="+- 0 4062 3769"/>
                            <a:gd name="T45" fmla="*/ T44 w 694"/>
                            <a:gd name="T46" fmla="+- 0 1648 950"/>
                            <a:gd name="T47" fmla="*/ 1648 h 731"/>
                            <a:gd name="T48" fmla="+- 0 4056 3769"/>
                            <a:gd name="T49" fmla="*/ T48 w 694"/>
                            <a:gd name="T50" fmla="+- 0 1665 950"/>
                            <a:gd name="T51" fmla="*/ 1665 h 731"/>
                            <a:gd name="T52" fmla="+- 0 4067 3769"/>
                            <a:gd name="T53" fmla="*/ T52 w 694"/>
                            <a:gd name="T54" fmla="+- 0 1648 950"/>
                            <a:gd name="T55" fmla="*/ 1648 h 731"/>
                            <a:gd name="T56" fmla="+- 0 4056 3769"/>
                            <a:gd name="T57" fmla="*/ T56 w 694"/>
                            <a:gd name="T58" fmla="+- 0 1665 950"/>
                            <a:gd name="T59" fmla="*/ 1665 h 731"/>
                            <a:gd name="T60" fmla="+- 0 4067 3769"/>
                            <a:gd name="T61" fmla="*/ T60 w 694"/>
                            <a:gd name="T62" fmla="+- 0 1648 950"/>
                            <a:gd name="T63" fmla="*/ 1648 h 731"/>
                            <a:gd name="T64" fmla="+- 0 3978 3769"/>
                            <a:gd name="T65" fmla="*/ T64 w 694"/>
                            <a:gd name="T66" fmla="+- 0 1594 950"/>
                            <a:gd name="T67" fmla="*/ 1594 h 731"/>
                            <a:gd name="T68" fmla="+- 0 4062 3769"/>
                            <a:gd name="T69" fmla="*/ T68 w 694"/>
                            <a:gd name="T70" fmla="+- 0 1648 950"/>
                            <a:gd name="T71" fmla="*/ 1648 h 731"/>
                            <a:gd name="T72" fmla="+- 0 4014 3769"/>
                            <a:gd name="T73" fmla="*/ T72 w 694"/>
                            <a:gd name="T74" fmla="+- 0 1600 950"/>
                            <a:gd name="T75" fmla="*/ 1600 h 731"/>
                            <a:gd name="T76" fmla="+- 0 3999 3769"/>
                            <a:gd name="T77" fmla="*/ T76 w 694"/>
                            <a:gd name="T78" fmla="+- 0 1586 950"/>
                            <a:gd name="T79" fmla="*/ 1586 h 731"/>
                            <a:gd name="T80" fmla="+- 0 4456 3769"/>
                            <a:gd name="T81" fmla="*/ T80 w 694"/>
                            <a:gd name="T82" fmla="+- 0 1100 950"/>
                            <a:gd name="T83" fmla="*/ 1100 h 731"/>
                            <a:gd name="T84" fmla="+- 0 4435 3769"/>
                            <a:gd name="T85" fmla="*/ T84 w 694"/>
                            <a:gd name="T86" fmla="+- 0 1094 950"/>
                            <a:gd name="T87" fmla="*/ 1094 h 731"/>
                            <a:gd name="T88" fmla="+- 0 3999 3769"/>
                            <a:gd name="T89" fmla="*/ T88 w 694"/>
                            <a:gd name="T90" fmla="+- 0 1600 950"/>
                            <a:gd name="T91" fmla="*/ 1600 h 731"/>
                            <a:gd name="T92" fmla="+- 0 3999 3769"/>
                            <a:gd name="T93" fmla="*/ T92 w 694"/>
                            <a:gd name="T94" fmla="+- 0 1586 950"/>
                            <a:gd name="T95" fmla="*/ 1586 h 731"/>
                            <a:gd name="T96" fmla="+- 0 3999 3769"/>
                            <a:gd name="T97" fmla="*/ T96 w 694"/>
                            <a:gd name="T98" fmla="+- 0 1600 950"/>
                            <a:gd name="T99" fmla="*/ 1600 h 731"/>
                            <a:gd name="T100" fmla="+- 0 4006 3769"/>
                            <a:gd name="T101" fmla="*/ T100 w 694"/>
                            <a:gd name="T102" fmla="+- 0 1593 950"/>
                            <a:gd name="T103" fmla="*/ 1593 h 731"/>
                            <a:gd name="T104" fmla="+- 0 3999 3769"/>
                            <a:gd name="T105" fmla="*/ T104 w 694"/>
                            <a:gd name="T106" fmla="+- 0 1586 950"/>
                            <a:gd name="T107" fmla="*/ 1586 h 731"/>
                            <a:gd name="T108" fmla="+- 0 4012 3769"/>
                            <a:gd name="T109" fmla="*/ T108 w 694"/>
                            <a:gd name="T110" fmla="+- 0 1586 950"/>
                            <a:gd name="T111" fmla="*/ 1586 h 731"/>
                            <a:gd name="T112" fmla="+- 0 3790 3769"/>
                            <a:gd name="T113" fmla="*/ T112 w 694"/>
                            <a:gd name="T114" fmla="+- 0 1399 950"/>
                            <a:gd name="T115" fmla="*/ 1399 h 731"/>
                            <a:gd name="T116" fmla="+- 0 3852 3769"/>
                            <a:gd name="T117" fmla="*/ T116 w 694"/>
                            <a:gd name="T118" fmla="+- 0 1478 950"/>
                            <a:gd name="T119" fmla="*/ 1478 h 731"/>
                            <a:gd name="T120" fmla="+- 0 3844 3769"/>
                            <a:gd name="T121" fmla="*/ T120 w 694"/>
                            <a:gd name="T122" fmla="+- 0 1457 950"/>
                            <a:gd name="T123" fmla="*/ 1457 h 731"/>
                            <a:gd name="T124" fmla="+- 0 3794 3769"/>
                            <a:gd name="T125" fmla="*/ T124 w 694"/>
                            <a:gd name="T126" fmla="+- 0 1399 950"/>
                            <a:gd name="T127" fmla="*/ 1399 h 731"/>
                            <a:gd name="T128" fmla="+- 0 3844 3769"/>
                            <a:gd name="T129" fmla="*/ T128 w 694"/>
                            <a:gd name="T130" fmla="+- 0 1457 950"/>
                            <a:gd name="T131" fmla="*/ 1457 h 731"/>
                            <a:gd name="T132" fmla="+- 0 3850 3769"/>
                            <a:gd name="T133" fmla="*/ T132 w 694"/>
                            <a:gd name="T134" fmla="+- 0 1450 950"/>
                            <a:gd name="T135" fmla="*/ 1450 h 731"/>
                            <a:gd name="T136" fmla="+- 0 3850 3769"/>
                            <a:gd name="T137" fmla="*/ T136 w 694"/>
                            <a:gd name="T138" fmla="+- 0 1450 950"/>
                            <a:gd name="T139" fmla="*/ 1450 h 731"/>
                            <a:gd name="T140" fmla="+- 0 3844 3769"/>
                            <a:gd name="T141" fmla="*/ T140 w 694"/>
                            <a:gd name="T142" fmla="+- 0 1457 950"/>
                            <a:gd name="T143" fmla="*/ 1457 h 731"/>
                            <a:gd name="T144" fmla="+- 0 4308 3769"/>
                            <a:gd name="T145" fmla="*/ T144 w 694"/>
                            <a:gd name="T146" fmla="+- 0 978 950"/>
                            <a:gd name="T147" fmla="*/ 978 h 731"/>
                            <a:gd name="T148" fmla="+- 0 4315 3769"/>
                            <a:gd name="T149" fmla="*/ T148 w 694"/>
                            <a:gd name="T150" fmla="+- 0 971 950"/>
                            <a:gd name="T151" fmla="*/ 971 h 731"/>
                            <a:gd name="T152" fmla="+- 0 4307 3769"/>
                            <a:gd name="T153" fmla="*/ T152 w 694"/>
                            <a:gd name="T154" fmla="+- 0 950 950"/>
                            <a:gd name="T155" fmla="*/ 950 h 731"/>
                            <a:gd name="T156" fmla="+- 0 3773 3769"/>
                            <a:gd name="T157" fmla="*/ T156 w 694"/>
                            <a:gd name="T158" fmla="+- 0 1407 950"/>
                            <a:gd name="T159" fmla="*/ 1407 h 731"/>
                            <a:gd name="T160" fmla="+- 0 3790 3769"/>
                            <a:gd name="T161" fmla="*/ T160 w 694"/>
                            <a:gd name="T162" fmla="+- 0 1399 950"/>
                            <a:gd name="T163" fmla="*/ 1399 h 731"/>
                            <a:gd name="T164" fmla="+- 0 4435 3769"/>
                            <a:gd name="T165" fmla="*/ T164 w 694"/>
                            <a:gd name="T166" fmla="+- 0 1094 950"/>
                            <a:gd name="T167" fmla="*/ 1094 h 731"/>
                            <a:gd name="T168" fmla="+- 0 4442 3769"/>
                            <a:gd name="T169" fmla="*/ T168 w 694"/>
                            <a:gd name="T170" fmla="+- 0 1086 950"/>
                            <a:gd name="T171" fmla="*/ 1086 h 731"/>
                            <a:gd name="T172" fmla="+- 0 4442 3769"/>
                            <a:gd name="T173" fmla="*/ T172 w 694"/>
                            <a:gd name="T174" fmla="+- 0 1086 950"/>
                            <a:gd name="T175" fmla="*/ 1086 h 731"/>
                            <a:gd name="T176" fmla="+- 0 4456 3769"/>
                            <a:gd name="T177" fmla="*/ T176 w 694"/>
                            <a:gd name="T178" fmla="+- 0 1100 950"/>
                            <a:gd name="T179" fmla="*/ 1100 h 731"/>
                            <a:gd name="T180" fmla="+- 0 4456 3769"/>
                            <a:gd name="T181" fmla="*/ T180 w 694"/>
                            <a:gd name="T182" fmla="+- 0 1086 950"/>
                            <a:gd name="T183" fmla="*/ 1086 h 731"/>
                            <a:gd name="T184" fmla="+- 0 4315 3769"/>
                            <a:gd name="T185" fmla="*/ T184 w 694"/>
                            <a:gd name="T186" fmla="+- 0 971 950"/>
                            <a:gd name="T187" fmla="*/ 971 h 731"/>
                            <a:gd name="T188" fmla="+- 0 4435 3769"/>
                            <a:gd name="T189" fmla="*/ T188 w 694"/>
                            <a:gd name="T190" fmla="+- 0 1094 950"/>
                            <a:gd name="T191" fmla="*/ 1094 h 731"/>
                            <a:gd name="T192" fmla="+- 0 4456 3769"/>
                            <a:gd name="T193" fmla="*/ T192 w 694"/>
                            <a:gd name="T194" fmla="+- 0 1086 950"/>
                            <a:gd name="T195" fmla="*/ 1086 h 731"/>
                            <a:gd name="T196" fmla="+- 0 4315 3769"/>
                            <a:gd name="T197" fmla="*/ T196 w 694"/>
                            <a:gd name="T198" fmla="+- 0 971 950"/>
                            <a:gd name="T199" fmla="*/ 971 h 731"/>
                            <a:gd name="T200" fmla="+- 0 4308 3769"/>
                            <a:gd name="T201" fmla="*/ T200 w 694"/>
                            <a:gd name="T202" fmla="+- 0 978 950"/>
                            <a:gd name="T203" fmla="*/ 978 h 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94" h="731">
                              <a:moveTo>
                                <a:pt x="0" y="426"/>
                              </a:moveTo>
                              <a:lnTo>
                                <a:pt x="14" y="730"/>
                              </a:lnTo>
                              <a:lnTo>
                                <a:pt x="253" y="720"/>
                              </a:lnTo>
                              <a:lnTo>
                                <a:pt x="33" y="720"/>
                              </a:lnTo>
                              <a:lnTo>
                                <a:pt x="23" y="710"/>
                              </a:lnTo>
                              <a:lnTo>
                                <a:pt x="33" y="709"/>
                              </a:lnTo>
                              <a:lnTo>
                                <a:pt x="22" y="473"/>
                              </a:lnTo>
                              <a:lnTo>
                                <a:pt x="4" y="457"/>
                              </a:lnTo>
                              <a:lnTo>
                                <a:pt x="21" y="449"/>
                              </a:lnTo>
                              <a:lnTo>
                                <a:pt x="25" y="449"/>
                              </a:lnTo>
                              <a:lnTo>
                                <a:pt x="0" y="426"/>
                              </a:lnTo>
                              <a:close/>
                              <a:moveTo>
                                <a:pt x="33" y="709"/>
                              </a:moveTo>
                              <a:lnTo>
                                <a:pt x="23" y="710"/>
                              </a:lnTo>
                              <a:lnTo>
                                <a:pt x="33" y="720"/>
                              </a:lnTo>
                              <a:lnTo>
                                <a:pt x="33" y="709"/>
                              </a:lnTo>
                              <a:close/>
                              <a:moveTo>
                                <a:pt x="269" y="699"/>
                              </a:moveTo>
                              <a:lnTo>
                                <a:pt x="33" y="709"/>
                              </a:lnTo>
                              <a:lnTo>
                                <a:pt x="33" y="720"/>
                              </a:lnTo>
                              <a:lnTo>
                                <a:pt x="253" y="720"/>
                              </a:lnTo>
                              <a:lnTo>
                                <a:pt x="318" y="717"/>
                              </a:lnTo>
                              <a:lnTo>
                                <a:pt x="317" y="715"/>
                              </a:lnTo>
                              <a:lnTo>
                                <a:pt x="287" y="715"/>
                              </a:lnTo>
                              <a:lnTo>
                                <a:pt x="269" y="699"/>
                              </a:lnTo>
                              <a:close/>
                              <a:moveTo>
                                <a:pt x="293" y="698"/>
                              </a:moveTo>
                              <a:lnTo>
                                <a:pt x="269" y="699"/>
                              </a:lnTo>
                              <a:lnTo>
                                <a:pt x="287" y="715"/>
                              </a:lnTo>
                              <a:lnTo>
                                <a:pt x="293" y="698"/>
                              </a:lnTo>
                              <a:close/>
                              <a:moveTo>
                                <a:pt x="298" y="698"/>
                              </a:moveTo>
                              <a:lnTo>
                                <a:pt x="293" y="698"/>
                              </a:lnTo>
                              <a:lnTo>
                                <a:pt x="287" y="715"/>
                              </a:lnTo>
                              <a:lnTo>
                                <a:pt x="317" y="715"/>
                              </a:lnTo>
                              <a:lnTo>
                                <a:pt x="298" y="698"/>
                              </a:lnTo>
                              <a:close/>
                              <a:moveTo>
                                <a:pt x="666" y="144"/>
                              </a:moveTo>
                              <a:lnTo>
                                <a:pt x="209" y="644"/>
                              </a:lnTo>
                              <a:lnTo>
                                <a:pt x="269" y="699"/>
                              </a:lnTo>
                              <a:lnTo>
                                <a:pt x="293" y="698"/>
                              </a:lnTo>
                              <a:lnTo>
                                <a:pt x="298" y="698"/>
                              </a:lnTo>
                              <a:lnTo>
                                <a:pt x="245" y="650"/>
                              </a:lnTo>
                              <a:lnTo>
                                <a:pt x="230" y="650"/>
                              </a:lnTo>
                              <a:lnTo>
                                <a:pt x="230" y="636"/>
                              </a:lnTo>
                              <a:lnTo>
                                <a:pt x="243" y="636"/>
                              </a:lnTo>
                              <a:lnTo>
                                <a:pt x="687" y="150"/>
                              </a:lnTo>
                              <a:lnTo>
                                <a:pt x="673" y="150"/>
                              </a:lnTo>
                              <a:lnTo>
                                <a:pt x="666" y="144"/>
                              </a:lnTo>
                              <a:close/>
                              <a:moveTo>
                                <a:pt x="230" y="636"/>
                              </a:moveTo>
                              <a:lnTo>
                                <a:pt x="230" y="650"/>
                              </a:lnTo>
                              <a:lnTo>
                                <a:pt x="237" y="643"/>
                              </a:lnTo>
                              <a:lnTo>
                                <a:pt x="230" y="636"/>
                              </a:lnTo>
                              <a:close/>
                              <a:moveTo>
                                <a:pt x="237" y="643"/>
                              </a:moveTo>
                              <a:lnTo>
                                <a:pt x="230" y="650"/>
                              </a:lnTo>
                              <a:lnTo>
                                <a:pt x="245" y="650"/>
                              </a:lnTo>
                              <a:lnTo>
                                <a:pt x="237" y="643"/>
                              </a:lnTo>
                              <a:close/>
                              <a:moveTo>
                                <a:pt x="243" y="636"/>
                              </a:moveTo>
                              <a:lnTo>
                                <a:pt x="230" y="636"/>
                              </a:lnTo>
                              <a:lnTo>
                                <a:pt x="237" y="643"/>
                              </a:lnTo>
                              <a:lnTo>
                                <a:pt x="243" y="636"/>
                              </a:lnTo>
                              <a:close/>
                              <a:moveTo>
                                <a:pt x="25" y="449"/>
                              </a:moveTo>
                              <a:lnTo>
                                <a:pt x="21" y="449"/>
                              </a:lnTo>
                              <a:lnTo>
                                <a:pt x="22" y="473"/>
                              </a:lnTo>
                              <a:lnTo>
                                <a:pt x="83" y="528"/>
                              </a:lnTo>
                              <a:lnTo>
                                <a:pt x="101" y="507"/>
                              </a:lnTo>
                              <a:lnTo>
                                <a:pt x="75" y="507"/>
                              </a:lnTo>
                              <a:lnTo>
                                <a:pt x="81" y="500"/>
                              </a:lnTo>
                              <a:lnTo>
                                <a:pt x="25" y="449"/>
                              </a:lnTo>
                              <a:close/>
                              <a:moveTo>
                                <a:pt x="81" y="500"/>
                              </a:moveTo>
                              <a:lnTo>
                                <a:pt x="75" y="507"/>
                              </a:lnTo>
                              <a:lnTo>
                                <a:pt x="89" y="507"/>
                              </a:lnTo>
                              <a:lnTo>
                                <a:pt x="81" y="500"/>
                              </a:lnTo>
                              <a:close/>
                              <a:moveTo>
                                <a:pt x="538" y="0"/>
                              </a:moveTo>
                              <a:lnTo>
                                <a:pt x="81" y="500"/>
                              </a:lnTo>
                              <a:lnTo>
                                <a:pt x="89" y="507"/>
                              </a:lnTo>
                              <a:lnTo>
                                <a:pt x="75" y="507"/>
                              </a:lnTo>
                              <a:lnTo>
                                <a:pt x="101" y="507"/>
                              </a:lnTo>
                              <a:lnTo>
                                <a:pt x="539" y="28"/>
                              </a:lnTo>
                              <a:lnTo>
                                <a:pt x="532" y="21"/>
                              </a:lnTo>
                              <a:lnTo>
                                <a:pt x="546" y="21"/>
                              </a:lnTo>
                              <a:lnTo>
                                <a:pt x="561" y="21"/>
                              </a:lnTo>
                              <a:lnTo>
                                <a:pt x="538" y="0"/>
                              </a:lnTo>
                              <a:close/>
                              <a:moveTo>
                                <a:pt x="21" y="449"/>
                              </a:moveTo>
                              <a:lnTo>
                                <a:pt x="4" y="457"/>
                              </a:lnTo>
                              <a:lnTo>
                                <a:pt x="22" y="473"/>
                              </a:lnTo>
                              <a:lnTo>
                                <a:pt x="21" y="449"/>
                              </a:lnTo>
                              <a:close/>
                              <a:moveTo>
                                <a:pt x="673" y="136"/>
                              </a:moveTo>
                              <a:lnTo>
                                <a:pt x="666" y="144"/>
                              </a:lnTo>
                              <a:lnTo>
                                <a:pt x="673" y="150"/>
                              </a:lnTo>
                              <a:lnTo>
                                <a:pt x="673" y="136"/>
                              </a:lnTo>
                              <a:close/>
                              <a:moveTo>
                                <a:pt x="687" y="136"/>
                              </a:moveTo>
                              <a:lnTo>
                                <a:pt x="673" y="136"/>
                              </a:lnTo>
                              <a:lnTo>
                                <a:pt x="673" y="150"/>
                              </a:lnTo>
                              <a:lnTo>
                                <a:pt x="687" y="150"/>
                              </a:lnTo>
                              <a:lnTo>
                                <a:pt x="694" y="142"/>
                              </a:lnTo>
                              <a:lnTo>
                                <a:pt x="687" y="136"/>
                              </a:lnTo>
                              <a:close/>
                              <a:moveTo>
                                <a:pt x="561" y="21"/>
                              </a:moveTo>
                              <a:lnTo>
                                <a:pt x="546" y="21"/>
                              </a:lnTo>
                              <a:lnTo>
                                <a:pt x="539" y="28"/>
                              </a:lnTo>
                              <a:lnTo>
                                <a:pt x="666" y="144"/>
                              </a:lnTo>
                              <a:lnTo>
                                <a:pt x="673" y="136"/>
                              </a:lnTo>
                              <a:lnTo>
                                <a:pt x="687" y="136"/>
                              </a:lnTo>
                              <a:lnTo>
                                <a:pt x="561" y="21"/>
                              </a:lnTo>
                              <a:close/>
                              <a:moveTo>
                                <a:pt x="546" y="21"/>
                              </a:moveTo>
                              <a:lnTo>
                                <a:pt x="532" y="21"/>
                              </a:lnTo>
                              <a:lnTo>
                                <a:pt x="539" y="28"/>
                              </a:lnTo>
                              <a:lnTo>
                                <a:pt x="546" y="21"/>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C7E61" id="AutoShape 213" o:spid="_x0000_s1026" style="position:absolute;margin-left:188.45pt;margin-top:47.5pt;width:34.7pt;height:36.5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" path="m,426l14,730,253,720r-220,l23,710r10,-1l22,473,4,457r17,-8l25,449,,426xm33,709r-10,1l33,720r,-11xm269,699l33,709r,11l253,720r65,-3l317,715r-30,l269,699xm293,698r-24,1l287,715r6,-17xm298,698r-5,l287,715r30,l298,698xm666,144l209,644r60,55l293,698r5,l245,650r-15,l230,636r13,l687,150r-14,l666,144xm230,636r,14l237,643r-7,-7xm237,643r-7,7l245,650r-8,-7xm243,636r-13,l237,643r6,-7xm25,449r-4,l22,473r61,55l101,507r-26,l81,500,25,449xm81,500r-6,7l89,507r-8,-7xm538,l81,500r8,7l75,507r26,l539,28r-7,-7l546,21r15,l538,xm21,449l4,457r18,16l21,449xm673,136r-7,8l673,150r,-14xm687,136r-14,l673,150r14,l694,142r-7,-6xm561,21r-15,l539,28,666,144r7,-8l687,136,561,21xm546,21r-14,l539,28r7,-7xe" fillcolor="#001f5f" stroked="f">
                <v:path arrowok="t" o:connecttype="custom" o:connectlocs="8890,1066800;20955,1060450;20955,1053465;2540,893445;15875,888365;20955,1053465;20955,1060450;170815,1047115;20955,1060450;201930,1058545;182245,1057275;186055,1046480;182245,1057275;189230,1046480;182245,1057275;189230,1046480;132715,1012190;186055,1046480;155575,1016000;146050,1007110;436245,698500;422910,694690;146050,1016000;146050,1007110;146050,1016000;150495,1011555;146050,1007110;154305,1007110;13335,888365;52705,938530;47625,925195;15875,888365;47625,925195;51435,920750;51435,920750;47625,925195;342265,621030;346710,616585;341630,603250;2540,893445;13335,888365;422910,694690;427355,689610;427355,689610;436245,698500;436245,689610;346710,616585;422910,694690;436245,689610;346710,616585;342265,621030" o:connectangles="0,0,0,0,0,0,0,0,0,0,0,0,0,0,0,0,0,0,0,0,0,0,0,0,0,0,0,0,0,0,0,0,0,0,0,0,0,0,0,0,0,0,0,0,0,0,0,0,0,0,0"/>
                <w10:wrap type="topAndBottom" anchorx="page"/>
              </v:shape>
            </w:pict>
          </mc:Fallback>
        </mc:AlternateContent>
      </w:r>
      <w:r>
        <w:rPr>
          <w:noProof/>
          <w:lang w:val="en-AU" w:eastAsia="en-AU"/>
        </w:rPr>
        <mc:AlternateContent>
          <mc:Choice Requires="wps">
            <w:drawing>
              <wp:anchor distT="0" distB="0" distL="0" distR="0" simplePos="0" relativeHeight="251708416" behindDoc="1" locked="0" layoutInCell="1" allowOverlap="1">
                <wp:simplePos x="0" y="0"/>
                <wp:positionH relativeFrom="page">
                  <wp:posOffset>3362325</wp:posOffset>
                </wp:positionH>
                <wp:positionV relativeFrom="paragraph">
                  <wp:posOffset>768350</wp:posOffset>
                </wp:positionV>
                <wp:extent cx="243840" cy="555625"/>
                <wp:effectExtent l="0" t="0" r="0" b="0"/>
                <wp:wrapTopAndBottom/>
                <wp:docPr id="356"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840" cy="555625"/>
                        </a:xfrm>
                        <a:custGeom>
                          <a:avLst/>
                          <a:gdLst>
                            <a:gd name="T0" fmla="+- 0 5295 5295"/>
                            <a:gd name="T1" fmla="*/ T0 w 384"/>
                            <a:gd name="T2" fmla="+- 0 1893 1210"/>
                            <a:gd name="T3" fmla="*/ 1893 h 875"/>
                            <a:gd name="T4" fmla="+- 0 5391 5295"/>
                            <a:gd name="T5" fmla="*/ T4 w 384"/>
                            <a:gd name="T6" fmla="+- 0 1893 1210"/>
                            <a:gd name="T7" fmla="*/ 1893 h 875"/>
                            <a:gd name="T8" fmla="+- 0 5391 5295"/>
                            <a:gd name="T9" fmla="*/ T8 w 384"/>
                            <a:gd name="T10" fmla="+- 0 1210 1210"/>
                            <a:gd name="T11" fmla="*/ 1210 h 875"/>
                            <a:gd name="T12" fmla="+- 0 5583 5295"/>
                            <a:gd name="T13" fmla="*/ T12 w 384"/>
                            <a:gd name="T14" fmla="+- 0 1210 1210"/>
                            <a:gd name="T15" fmla="*/ 1210 h 875"/>
                            <a:gd name="T16" fmla="+- 0 5583 5295"/>
                            <a:gd name="T17" fmla="*/ T16 w 384"/>
                            <a:gd name="T18" fmla="+- 0 1893 1210"/>
                            <a:gd name="T19" fmla="*/ 1893 h 875"/>
                            <a:gd name="T20" fmla="+- 0 5679 5295"/>
                            <a:gd name="T21" fmla="*/ T20 w 384"/>
                            <a:gd name="T22" fmla="+- 0 1893 1210"/>
                            <a:gd name="T23" fmla="*/ 1893 h 875"/>
                            <a:gd name="T24" fmla="+- 0 5487 5295"/>
                            <a:gd name="T25" fmla="*/ T24 w 384"/>
                            <a:gd name="T26" fmla="+- 0 2085 1210"/>
                            <a:gd name="T27" fmla="*/ 2085 h 875"/>
                            <a:gd name="T28" fmla="+- 0 5295 5295"/>
                            <a:gd name="T29" fmla="*/ T28 w 384"/>
                            <a:gd name="T30" fmla="+- 0 1893 1210"/>
                            <a:gd name="T31" fmla="*/ 1893 h 8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875">
                              <a:moveTo>
                                <a:pt x="0" y="683"/>
                              </a:moveTo>
                              <a:lnTo>
                                <a:pt x="96" y="683"/>
                              </a:lnTo>
                              <a:lnTo>
                                <a:pt x="96" y="0"/>
                              </a:lnTo>
                              <a:lnTo>
                                <a:pt x="288" y="0"/>
                              </a:lnTo>
                              <a:lnTo>
                                <a:pt x="288" y="683"/>
                              </a:lnTo>
                              <a:lnTo>
                                <a:pt x="384" y="683"/>
                              </a:lnTo>
                              <a:lnTo>
                                <a:pt x="192" y="875"/>
                              </a:lnTo>
                              <a:lnTo>
                                <a:pt x="0" y="683"/>
                              </a:lnTo>
                              <a:close/>
                            </a:path>
                          </a:pathLst>
                        </a:custGeom>
                        <a:noFill/>
                        <a:ln w="12679">
                          <a:solidFill>
                            <a:srgbClr val="001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C0E28" id="Freeform 212" o:spid="_x0000_s1026" style="position:absolute;margin-left:264.75pt;margin-top:60.5pt;width:19.2pt;height:43.7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" path="m,683r96,l96,,288,r,683l384,683,192,875,,683xe" filled="f" strokecolor="#001f5f" strokeweight=".35219mm">
                <v:path arrowok="t" o:connecttype="custom" o:connectlocs="0,1202055;60960,1202055;60960,768350;182880,768350;182880,1202055;243840,1202055;121920,1323975;0,1202055" o:connectangles="0,0,0,0,0,0,0,0"/>
                <w10:wrap type="topAndBottom" anchorx="page"/>
              </v:shape>
            </w:pict>
          </mc:Fallback>
        </mc:AlternateContent>
      </w:r>
      <w:r>
        <w:rPr>
          <w:noProof/>
          <w:lang w:val="en-AU" w:eastAsia="en-AU"/>
        </w:rPr>
        <mc:AlternateContent>
          <mc:Choice Requires="wps">
            <w:drawing>
              <wp:anchor distT="0" distB="0" distL="0" distR="0" simplePos="0" relativeHeight="251709440" behindDoc="1" locked="0" layoutInCell="1" allowOverlap="1">
                <wp:simplePos x="0" y="0"/>
                <wp:positionH relativeFrom="page">
                  <wp:posOffset>4143375</wp:posOffset>
                </wp:positionH>
                <wp:positionV relativeFrom="paragraph">
                  <wp:posOffset>628015</wp:posOffset>
                </wp:positionV>
                <wp:extent cx="453390" cy="422275"/>
                <wp:effectExtent l="0" t="0" r="0" b="0"/>
                <wp:wrapTopAndBottom/>
                <wp:docPr id="355"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390" cy="422275"/>
                        </a:xfrm>
                        <a:custGeom>
                          <a:avLst/>
                          <a:gdLst>
                            <a:gd name="T0" fmla="+- 0 6968 6525"/>
                            <a:gd name="T1" fmla="*/ T0 w 714"/>
                            <a:gd name="T2" fmla="+- 0 1654 989"/>
                            <a:gd name="T3" fmla="*/ 1654 h 665"/>
                            <a:gd name="T4" fmla="+- 0 7031 6525"/>
                            <a:gd name="T5" fmla="*/ T4 w 714"/>
                            <a:gd name="T6" fmla="+- 0 1582 989"/>
                            <a:gd name="T7" fmla="*/ 1582 h 665"/>
                            <a:gd name="T8" fmla="+- 0 6525 6525"/>
                            <a:gd name="T9" fmla="*/ T8 w 714"/>
                            <a:gd name="T10" fmla="+- 0 1132 989"/>
                            <a:gd name="T11" fmla="*/ 1132 h 665"/>
                            <a:gd name="T12" fmla="+- 0 6652 6525"/>
                            <a:gd name="T13" fmla="*/ T12 w 714"/>
                            <a:gd name="T14" fmla="+- 0 989 989"/>
                            <a:gd name="T15" fmla="*/ 989 h 665"/>
                            <a:gd name="T16" fmla="+- 0 7158 6525"/>
                            <a:gd name="T17" fmla="*/ T16 w 714"/>
                            <a:gd name="T18" fmla="+- 0 1439 989"/>
                            <a:gd name="T19" fmla="*/ 1439 h 665"/>
                            <a:gd name="T20" fmla="+- 0 7222 6525"/>
                            <a:gd name="T21" fmla="*/ T20 w 714"/>
                            <a:gd name="T22" fmla="+- 0 1368 989"/>
                            <a:gd name="T23" fmla="*/ 1368 h 665"/>
                            <a:gd name="T24" fmla="+- 0 7238 6525"/>
                            <a:gd name="T25" fmla="*/ T24 w 714"/>
                            <a:gd name="T26" fmla="+- 0 1638 989"/>
                            <a:gd name="T27" fmla="*/ 1638 h 665"/>
                            <a:gd name="T28" fmla="+- 0 6968 6525"/>
                            <a:gd name="T29" fmla="*/ T28 w 714"/>
                            <a:gd name="T30" fmla="+- 0 1654 989"/>
                            <a:gd name="T31" fmla="*/ 1654 h 6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4" h="665">
                              <a:moveTo>
                                <a:pt x="443" y="665"/>
                              </a:moveTo>
                              <a:lnTo>
                                <a:pt x="506" y="593"/>
                              </a:lnTo>
                              <a:lnTo>
                                <a:pt x="0" y="143"/>
                              </a:lnTo>
                              <a:lnTo>
                                <a:pt x="127" y="0"/>
                              </a:lnTo>
                              <a:lnTo>
                                <a:pt x="633" y="450"/>
                              </a:lnTo>
                              <a:lnTo>
                                <a:pt x="697" y="379"/>
                              </a:lnTo>
                              <a:lnTo>
                                <a:pt x="713" y="649"/>
                              </a:lnTo>
                              <a:lnTo>
                                <a:pt x="443" y="665"/>
                              </a:lnTo>
                              <a:close/>
                            </a:path>
                          </a:pathLst>
                        </a:custGeom>
                        <a:noFill/>
                        <a:ln w="12679">
                          <a:solidFill>
                            <a:srgbClr val="001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8A8DF" id="Freeform 211" o:spid="_x0000_s1026" style="position:absolute;margin-left:326.25pt;margin-top:49.45pt;width:35.7pt;height:33.2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1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" path="m443,665r63,-72l,143,127,,633,450r64,-71l713,649,443,665xe" filled="f" strokecolor="#001f5f" strokeweight=".35219mm">
                <v:path arrowok="t" o:connecttype="custom" o:connectlocs="281305,1050290;321310,1004570;0,718820;80645,628015;401955,913765;442595,868680;452755,1040130;281305,1050290" o:connectangles="0,0,0,0,0,0,0,0"/>
                <w10:wrap type="topAndBottom" anchorx="page"/>
              </v:shape>
            </w:pict>
          </mc:Fallback>
        </mc:AlternateContent>
      </w:r>
      <w:r>
        <w:rPr>
          <w:noProof/>
          <w:lang w:val="en-AU" w:eastAsia="en-AU"/>
        </w:rPr>
        <mc:AlternateContent>
          <mc:Choice Requires="wpg">
            <w:drawing>
              <wp:anchor distT="0" distB="0" distL="0" distR="0" simplePos="0" relativeHeight="251710464" behindDoc="1" locked="0" layoutInCell="1" allowOverlap="1">
                <wp:simplePos x="0" y="0"/>
                <wp:positionH relativeFrom="page">
                  <wp:posOffset>1536700</wp:posOffset>
                </wp:positionH>
                <wp:positionV relativeFrom="paragraph">
                  <wp:posOffset>1513840</wp:posOffset>
                </wp:positionV>
                <wp:extent cx="615950" cy="715010"/>
                <wp:effectExtent l="0" t="0" r="0" b="0"/>
                <wp:wrapTopAndBottom/>
                <wp:docPr id="342"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715010"/>
                          <a:chOff x="2420" y="2384"/>
                          <a:chExt cx="970" cy="1126"/>
                        </a:xfrm>
                      </wpg:grpSpPr>
                      <wps:wsp>
                        <wps:cNvPr id="343" name="Line 210"/>
                        <wps:cNvCnPr>
                          <a:cxnSpLocks noChangeShapeType="1"/>
                        </wps:cNvCnPr>
                        <wps:spPr bwMode="auto">
                          <a:xfrm>
                            <a:off x="2433" y="3322"/>
                            <a:ext cx="0" cy="188"/>
                          </a:xfrm>
                          <a:prstGeom prst="line">
                            <a:avLst/>
                          </a:prstGeom>
                          <a:noFill/>
                          <a:ln w="16192">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344" name="Line 209"/>
                        <wps:cNvCnPr>
                          <a:cxnSpLocks noChangeShapeType="1"/>
                        </wps:cNvCnPr>
                        <wps:spPr bwMode="auto">
                          <a:xfrm>
                            <a:off x="2420" y="3309"/>
                            <a:ext cx="335" cy="0"/>
                          </a:xfrm>
                          <a:prstGeom prst="line">
                            <a:avLst/>
                          </a:prstGeom>
                          <a:noFill/>
                          <a:ln w="1651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345" name="Line 208"/>
                        <wps:cNvCnPr>
                          <a:cxnSpLocks noChangeShapeType="1"/>
                        </wps:cNvCnPr>
                        <wps:spPr bwMode="auto">
                          <a:xfrm>
                            <a:off x="2742" y="3322"/>
                            <a:ext cx="0" cy="188"/>
                          </a:xfrm>
                          <a:prstGeom prst="line">
                            <a:avLst/>
                          </a:prstGeom>
                          <a:noFill/>
                          <a:ln w="16192">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346" name="Line 207"/>
                        <wps:cNvCnPr>
                          <a:cxnSpLocks noChangeShapeType="1"/>
                        </wps:cNvCnPr>
                        <wps:spPr bwMode="auto">
                          <a:xfrm>
                            <a:off x="2745" y="3250"/>
                            <a:ext cx="0" cy="260"/>
                          </a:xfrm>
                          <a:prstGeom prst="line">
                            <a:avLst/>
                          </a:prstGeom>
                          <a:noFill/>
                          <a:ln w="16826">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347" name="Line 206"/>
                        <wps:cNvCnPr>
                          <a:cxnSpLocks noChangeShapeType="1"/>
                        </wps:cNvCnPr>
                        <wps:spPr bwMode="auto">
                          <a:xfrm>
                            <a:off x="2731" y="3237"/>
                            <a:ext cx="347" cy="0"/>
                          </a:xfrm>
                          <a:prstGeom prst="line">
                            <a:avLst/>
                          </a:prstGeom>
                          <a:noFill/>
                          <a:ln w="1651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348" name="Rectangle 205"/>
                        <wps:cNvSpPr>
                          <a:spLocks noChangeArrowheads="1"/>
                        </wps:cNvSpPr>
                        <wps:spPr bwMode="auto">
                          <a:xfrm>
                            <a:off x="3054" y="3381"/>
                            <a:ext cx="26" cy="128"/>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Line 204"/>
                        <wps:cNvCnPr>
                          <a:cxnSpLocks noChangeShapeType="1"/>
                        </wps:cNvCnPr>
                        <wps:spPr bwMode="auto">
                          <a:xfrm>
                            <a:off x="3055" y="3369"/>
                            <a:ext cx="335" cy="0"/>
                          </a:xfrm>
                          <a:prstGeom prst="line">
                            <a:avLst/>
                          </a:prstGeom>
                          <a:noFill/>
                          <a:ln w="1651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350" name="Rectangle 203"/>
                        <wps:cNvSpPr>
                          <a:spLocks noChangeArrowheads="1"/>
                        </wps:cNvSpPr>
                        <wps:spPr bwMode="auto">
                          <a:xfrm>
                            <a:off x="3363" y="3381"/>
                            <a:ext cx="27" cy="129"/>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Line 202"/>
                        <wps:cNvCnPr>
                          <a:cxnSpLocks noChangeShapeType="1"/>
                        </wps:cNvCnPr>
                        <wps:spPr bwMode="auto">
                          <a:xfrm>
                            <a:off x="3065" y="3249"/>
                            <a:ext cx="0" cy="261"/>
                          </a:xfrm>
                          <a:prstGeom prst="line">
                            <a:avLst/>
                          </a:prstGeom>
                          <a:noFill/>
                          <a:ln w="16826">
                            <a:solidFill>
                              <a:srgbClr val="001F5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2" name="Picture 20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2815" y="2384"/>
                            <a:ext cx="1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3" name="AutoShape 200"/>
                        <wps:cNvSpPr>
                          <a:spLocks/>
                        </wps:cNvSpPr>
                        <wps:spPr bwMode="auto">
                          <a:xfrm>
                            <a:off x="2575" y="2506"/>
                            <a:ext cx="671" cy="729"/>
                          </a:xfrm>
                          <a:custGeom>
                            <a:avLst/>
                            <a:gdLst>
                              <a:gd name="T0" fmla="+- 0 2611 2576"/>
                              <a:gd name="T1" fmla="*/ T0 w 671"/>
                              <a:gd name="T2" fmla="+- 0 2508 2506"/>
                              <a:gd name="T3" fmla="*/ 2508 h 729"/>
                              <a:gd name="T4" fmla="+- 0 2589 2576"/>
                              <a:gd name="T5" fmla="*/ T4 w 671"/>
                              <a:gd name="T6" fmla="+- 0 2520 2506"/>
                              <a:gd name="T7" fmla="*/ 2520 h 729"/>
                              <a:gd name="T8" fmla="+- 0 2577 2576"/>
                              <a:gd name="T9" fmla="*/ T8 w 671"/>
                              <a:gd name="T10" fmla="+- 0 2541 2506"/>
                              <a:gd name="T11" fmla="*/ 2541 h 729"/>
                              <a:gd name="T12" fmla="+- 0 2577 2576"/>
                              <a:gd name="T13" fmla="*/ T12 w 671"/>
                              <a:gd name="T14" fmla="+- 0 2564 2506"/>
                              <a:gd name="T15" fmla="*/ 2564 h 729"/>
                              <a:gd name="T16" fmla="+- 0 2587 2576"/>
                              <a:gd name="T17" fmla="*/ T16 w 671"/>
                              <a:gd name="T18" fmla="+- 0 2584 2506"/>
                              <a:gd name="T19" fmla="*/ 2584 h 729"/>
                              <a:gd name="T20" fmla="+- 0 2806 2576"/>
                              <a:gd name="T21" fmla="*/ T20 w 671"/>
                              <a:gd name="T22" fmla="+- 0 2734 2506"/>
                              <a:gd name="T23" fmla="*/ 2734 h 729"/>
                              <a:gd name="T24" fmla="+- 0 2832 2576"/>
                              <a:gd name="T25" fmla="*/ T24 w 671"/>
                              <a:gd name="T26" fmla="+- 0 3235 2506"/>
                              <a:gd name="T27" fmla="*/ 3235 h 729"/>
                              <a:gd name="T28" fmla="+- 0 2611 2576"/>
                              <a:gd name="T29" fmla="*/ T28 w 671"/>
                              <a:gd name="T30" fmla="+- 0 2570 2506"/>
                              <a:gd name="T31" fmla="*/ 2570 h 729"/>
                              <a:gd name="T32" fmla="+- 0 2602 2576"/>
                              <a:gd name="T33" fmla="*/ T32 w 671"/>
                              <a:gd name="T34" fmla="+- 0 2560 2506"/>
                              <a:gd name="T35" fmla="*/ 2560 h 729"/>
                              <a:gd name="T36" fmla="+- 0 2606 2576"/>
                              <a:gd name="T37" fmla="*/ T36 w 671"/>
                              <a:gd name="T38" fmla="+- 0 2539 2506"/>
                              <a:gd name="T39" fmla="*/ 2539 h 729"/>
                              <a:gd name="T40" fmla="+- 0 2618 2576"/>
                              <a:gd name="T41" fmla="*/ T40 w 671"/>
                              <a:gd name="T42" fmla="+- 0 2531 2506"/>
                              <a:gd name="T43" fmla="*/ 2531 h 729"/>
                              <a:gd name="T44" fmla="+- 0 2646 2576"/>
                              <a:gd name="T45" fmla="*/ T44 w 671"/>
                              <a:gd name="T46" fmla="+- 0 2513 2506"/>
                              <a:gd name="T47" fmla="*/ 2513 h 729"/>
                              <a:gd name="T48" fmla="+- 0 2623 2576"/>
                              <a:gd name="T49" fmla="*/ T48 w 671"/>
                              <a:gd name="T50" fmla="+- 0 2506 2506"/>
                              <a:gd name="T51" fmla="*/ 2506 h 729"/>
                              <a:gd name="T52" fmla="+- 0 3203 2576"/>
                              <a:gd name="T53" fmla="*/ T52 w 671"/>
                              <a:gd name="T54" fmla="+- 0 2531 2506"/>
                              <a:gd name="T55" fmla="*/ 2531 h 729"/>
                              <a:gd name="T56" fmla="+- 0 3216 2576"/>
                              <a:gd name="T57" fmla="*/ T56 w 671"/>
                              <a:gd name="T58" fmla="+- 0 2539 2506"/>
                              <a:gd name="T59" fmla="*/ 2539 h 729"/>
                              <a:gd name="T60" fmla="+- 0 3219 2576"/>
                              <a:gd name="T61" fmla="*/ T60 w 671"/>
                              <a:gd name="T62" fmla="+- 0 2560 2506"/>
                              <a:gd name="T63" fmla="*/ 2560 h 729"/>
                              <a:gd name="T64" fmla="+- 0 3211 2576"/>
                              <a:gd name="T65" fmla="*/ T64 w 671"/>
                              <a:gd name="T66" fmla="+- 0 2570 2506"/>
                              <a:gd name="T67" fmla="*/ 2570 h 729"/>
                              <a:gd name="T68" fmla="+- 0 2989 2576"/>
                              <a:gd name="T69" fmla="*/ T68 w 671"/>
                              <a:gd name="T70" fmla="+- 0 3235 2506"/>
                              <a:gd name="T71" fmla="*/ 3235 h 729"/>
                              <a:gd name="T72" fmla="+- 0 3015 2576"/>
                              <a:gd name="T73" fmla="*/ T72 w 671"/>
                              <a:gd name="T74" fmla="+- 0 2734 2506"/>
                              <a:gd name="T75" fmla="*/ 2734 h 729"/>
                              <a:gd name="T76" fmla="+- 0 3234 2576"/>
                              <a:gd name="T77" fmla="*/ T76 w 671"/>
                              <a:gd name="T78" fmla="+- 0 2584 2506"/>
                              <a:gd name="T79" fmla="*/ 2584 h 729"/>
                              <a:gd name="T80" fmla="+- 0 3244 2576"/>
                              <a:gd name="T81" fmla="*/ T80 w 671"/>
                              <a:gd name="T82" fmla="+- 0 2564 2506"/>
                              <a:gd name="T83" fmla="*/ 2564 h 729"/>
                              <a:gd name="T84" fmla="+- 0 3244 2576"/>
                              <a:gd name="T85" fmla="*/ T84 w 671"/>
                              <a:gd name="T86" fmla="+- 0 2541 2506"/>
                              <a:gd name="T87" fmla="*/ 2541 h 729"/>
                              <a:gd name="T88" fmla="+- 0 2679 2576"/>
                              <a:gd name="T89" fmla="*/ T88 w 671"/>
                              <a:gd name="T90" fmla="+- 0 2531 2506"/>
                              <a:gd name="T91" fmla="*/ 2531 h 729"/>
                              <a:gd name="T92" fmla="+- 0 2634 2576"/>
                              <a:gd name="T93" fmla="*/ T92 w 671"/>
                              <a:gd name="T94" fmla="+- 0 2535 2506"/>
                              <a:gd name="T95" fmla="*/ 2535 h 729"/>
                              <a:gd name="T96" fmla="+- 0 3006 2576"/>
                              <a:gd name="T97" fmla="*/ T96 w 671"/>
                              <a:gd name="T98" fmla="+- 0 2638 2506"/>
                              <a:gd name="T99" fmla="*/ 2638 h 729"/>
                              <a:gd name="T100" fmla="+- 0 2822 2576"/>
                              <a:gd name="T101" fmla="*/ T100 w 671"/>
                              <a:gd name="T102" fmla="+- 0 2612 2506"/>
                              <a:gd name="T103" fmla="*/ 2612 h 729"/>
                              <a:gd name="T104" fmla="+- 0 3199 2576"/>
                              <a:gd name="T105" fmla="*/ T104 w 671"/>
                              <a:gd name="T106" fmla="+- 0 2506 2506"/>
                              <a:gd name="T107" fmla="*/ 2506 h 729"/>
                              <a:gd name="T108" fmla="+- 0 3175 2576"/>
                              <a:gd name="T109" fmla="*/ T108 w 671"/>
                              <a:gd name="T110" fmla="+- 0 2513 2506"/>
                              <a:gd name="T111" fmla="*/ 2513 h 729"/>
                              <a:gd name="T112" fmla="+- 0 3052 2576"/>
                              <a:gd name="T113" fmla="*/ T112 w 671"/>
                              <a:gd name="T114" fmla="+- 0 2612 2506"/>
                              <a:gd name="T115" fmla="*/ 2612 h 729"/>
                              <a:gd name="T116" fmla="+- 0 3195 2576"/>
                              <a:gd name="T117" fmla="*/ T116 w 671"/>
                              <a:gd name="T118" fmla="+- 0 2531 2506"/>
                              <a:gd name="T119" fmla="*/ 2531 h 729"/>
                              <a:gd name="T120" fmla="+- 0 3240 2576"/>
                              <a:gd name="T121" fmla="*/ T120 w 671"/>
                              <a:gd name="T122" fmla="+- 0 2530 2506"/>
                              <a:gd name="T123" fmla="*/ 2530 h 729"/>
                              <a:gd name="T124" fmla="+- 0 3223 2576"/>
                              <a:gd name="T125" fmla="*/ T124 w 671"/>
                              <a:gd name="T126" fmla="+- 0 2513 2506"/>
                              <a:gd name="T127" fmla="*/ 2513 h 729"/>
                              <a:gd name="T128" fmla="+- 0 3199 2576"/>
                              <a:gd name="T129" fmla="*/ T128 w 671"/>
                              <a:gd name="T130" fmla="+- 0 2506 2506"/>
                              <a:gd name="T131" fmla="*/ 2506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71" h="729">
                                <a:moveTo>
                                  <a:pt x="47" y="0"/>
                                </a:moveTo>
                                <a:lnTo>
                                  <a:pt x="35" y="2"/>
                                </a:lnTo>
                                <a:lnTo>
                                  <a:pt x="23" y="7"/>
                                </a:lnTo>
                                <a:lnTo>
                                  <a:pt x="13" y="14"/>
                                </a:lnTo>
                                <a:lnTo>
                                  <a:pt x="6" y="24"/>
                                </a:lnTo>
                                <a:lnTo>
                                  <a:pt x="1" y="35"/>
                                </a:lnTo>
                                <a:lnTo>
                                  <a:pt x="0" y="47"/>
                                </a:lnTo>
                                <a:lnTo>
                                  <a:pt x="1" y="58"/>
                                </a:lnTo>
                                <a:lnTo>
                                  <a:pt x="5" y="69"/>
                                </a:lnTo>
                                <a:lnTo>
                                  <a:pt x="11" y="78"/>
                                </a:lnTo>
                                <a:lnTo>
                                  <a:pt x="20" y="86"/>
                                </a:lnTo>
                                <a:lnTo>
                                  <a:pt x="230" y="228"/>
                                </a:lnTo>
                                <a:lnTo>
                                  <a:pt x="230" y="729"/>
                                </a:lnTo>
                                <a:lnTo>
                                  <a:pt x="256" y="729"/>
                                </a:lnTo>
                                <a:lnTo>
                                  <a:pt x="256" y="214"/>
                                </a:lnTo>
                                <a:lnTo>
                                  <a:pt x="35" y="64"/>
                                </a:lnTo>
                                <a:lnTo>
                                  <a:pt x="29" y="60"/>
                                </a:lnTo>
                                <a:lnTo>
                                  <a:pt x="26" y="54"/>
                                </a:lnTo>
                                <a:lnTo>
                                  <a:pt x="26" y="39"/>
                                </a:lnTo>
                                <a:lnTo>
                                  <a:pt x="30" y="33"/>
                                </a:lnTo>
                                <a:lnTo>
                                  <a:pt x="37" y="29"/>
                                </a:lnTo>
                                <a:lnTo>
                                  <a:pt x="42" y="25"/>
                                </a:lnTo>
                                <a:lnTo>
                                  <a:pt x="103" y="25"/>
                                </a:lnTo>
                                <a:lnTo>
                                  <a:pt x="70" y="7"/>
                                </a:lnTo>
                                <a:lnTo>
                                  <a:pt x="59" y="2"/>
                                </a:lnTo>
                                <a:lnTo>
                                  <a:pt x="47" y="0"/>
                                </a:lnTo>
                                <a:close/>
                                <a:moveTo>
                                  <a:pt x="665" y="25"/>
                                </a:moveTo>
                                <a:lnTo>
                                  <a:pt x="627" y="25"/>
                                </a:lnTo>
                                <a:lnTo>
                                  <a:pt x="633" y="29"/>
                                </a:lnTo>
                                <a:lnTo>
                                  <a:pt x="640" y="33"/>
                                </a:lnTo>
                                <a:lnTo>
                                  <a:pt x="643" y="39"/>
                                </a:lnTo>
                                <a:lnTo>
                                  <a:pt x="643" y="54"/>
                                </a:lnTo>
                                <a:lnTo>
                                  <a:pt x="640" y="60"/>
                                </a:lnTo>
                                <a:lnTo>
                                  <a:pt x="635" y="64"/>
                                </a:lnTo>
                                <a:lnTo>
                                  <a:pt x="413" y="214"/>
                                </a:lnTo>
                                <a:lnTo>
                                  <a:pt x="413" y="729"/>
                                </a:lnTo>
                                <a:lnTo>
                                  <a:pt x="439" y="729"/>
                                </a:lnTo>
                                <a:lnTo>
                                  <a:pt x="439" y="228"/>
                                </a:lnTo>
                                <a:lnTo>
                                  <a:pt x="649" y="86"/>
                                </a:lnTo>
                                <a:lnTo>
                                  <a:pt x="658" y="78"/>
                                </a:lnTo>
                                <a:lnTo>
                                  <a:pt x="664" y="69"/>
                                </a:lnTo>
                                <a:lnTo>
                                  <a:pt x="668" y="58"/>
                                </a:lnTo>
                                <a:lnTo>
                                  <a:pt x="670" y="47"/>
                                </a:lnTo>
                                <a:lnTo>
                                  <a:pt x="668" y="35"/>
                                </a:lnTo>
                                <a:lnTo>
                                  <a:pt x="665" y="25"/>
                                </a:lnTo>
                                <a:close/>
                                <a:moveTo>
                                  <a:pt x="103" y="25"/>
                                </a:moveTo>
                                <a:lnTo>
                                  <a:pt x="51" y="25"/>
                                </a:lnTo>
                                <a:lnTo>
                                  <a:pt x="58" y="29"/>
                                </a:lnTo>
                                <a:lnTo>
                                  <a:pt x="239" y="132"/>
                                </a:lnTo>
                                <a:lnTo>
                                  <a:pt x="430" y="132"/>
                                </a:lnTo>
                                <a:lnTo>
                                  <a:pt x="476" y="106"/>
                                </a:lnTo>
                                <a:lnTo>
                                  <a:pt x="246" y="106"/>
                                </a:lnTo>
                                <a:lnTo>
                                  <a:pt x="103" y="25"/>
                                </a:lnTo>
                                <a:close/>
                                <a:moveTo>
                                  <a:pt x="623" y="0"/>
                                </a:moveTo>
                                <a:lnTo>
                                  <a:pt x="610" y="2"/>
                                </a:lnTo>
                                <a:lnTo>
                                  <a:pt x="599" y="7"/>
                                </a:lnTo>
                                <a:lnTo>
                                  <a:pt x="423" y="106"/>
                                </a:lnTo>
                                <a:lnTo>
                                  <a:pt x="476" y="106"/>
                                </a:lnTo>
                                <a:lnTo>
                                  <a:pt x="612" y="29"/>
                                </a:lnTo>
                                <a:lnTo>
                                  <a:pt x="619" y="25"/>
                                </a:lnTo>
                                <a:lnTo>
                                  <a:pt x="665" y="25"/>
                                </a:lnTo>
                                <a:lnTo>
                                  <a:pt x="664" y="24"/>
                                </a:lnTo>
                                <a:lnTo>
                                  <a:pt x="656" y="14"/>
                                </a:lnTo>
                                <a:lnTo>
                                  <a:pt x="647" y="7"/>
                                </a:lnTo>
                                <a:lnTo>
                                  <a:pt x="635" y="2"/>
                                </a:lnTo>
                                <a:lnTo>
                                  <a:pt x="623"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Line 199"/>
                        <wps:cNvCnPr>
                          <a:cxnSpLocks noChangeShapeType="1"/>
                        </wps:cNvCnPr>
                        <wps:spPr bwMode="auto">
                          <a:xfrm>
                            <a:off x="2911" y="2888"/>
                            <a:ext cx="0" cy="347"/>
                          </a:xfrm>
                          <a:prstGeom prst="line">
                            <a:avLst/>
                          </a:prstGeom>
                          <a:noFill/>
                          <a:ln w="14892">
                            <a:solidFill>
                              <a:srgbClr val="001F5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9C3C91" id="Group 198" o:spid="_x0000_s1026" style="position:absolute;margin-left:121pt;margin-top:119.2pt;width:48.5pt;height:56.3pt;z-index:-251606016;mso-wrap-distance-left:0;mso-wrap-distance-right:0;mso-position-horizontal-relative:page" coordorigin="2420,2384" coordsize="970,1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">
                <v:line id="Line 210" o:spid="_x0000_s1027" style="position:absolute;visibility:visible;mso-wrap-style:square" from="2433,3322" to="2433,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" strokecolor="#001f5f" strokeweight=".44978mm"/>
                <v:line id="Line 209" o:spid="_x0000_s1028" style="position:absolute;visibility:visible;mso-wrap-style:square" from="2420,3309" to="2755,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" strokecolor="#001f5f" strokeweight="1.3pt"/>
                <v:line id="Line 208" o:spid="_x0000_s1029" style="position:absolute;visibility:visible;mso-wrap-style:square" from="2742,3322" to="2742,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" strokecolor="#001f5f" strokeweight=".44978mm"/>
                <v:line id="Line 207" o:spid="_x0000_s1030" style="position:absolute;visibility:visible;mso-wrap-style:square" from="2745,3250" to="2745,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" strokecolor="#001f5f" strokeweight=".46739mm"/>
                <v:line id="Line 206" o:spid="_x0000_s1031" style="position:absolute;visibility:visible;mso-wrap-style:square" from="2731,3237" to="307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" strokecolor="#001f5f" strokeweight="1.3pt"/>
                <v:rect id="Rectangle 205" o:spid="_x0000_s1032" style="position:absolute;left:3054;top:3381;width:26;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" fillcolor="#001f5f" stroked="f"/>
                <v:line id="Line 204" o:spid="_x0000_s1033" style="position:absolute;visibility:visible;mso-wrap-style:square" from="3055,3369" to="3390,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" strokecolor="#001f5f" strokeweight="1.3pt"/>
                <v:rect id="Rectangle 203" o:spid="_x0000_s1034" style="position:absolute;left:3363;top:3381;width:27;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" fillcolor="#001f5f" stroked="f"/>
                <v:line id="Line 202" o:spid="_x0000_s1035" style="position:absolute;visibility:visible;mso-wrap-style:square" from="3065,3249" to="3065,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" strokecolor="#001f5f" strokeweight=".46739mm"/>
                <v:shape id="Picture 201" o:spid="_x0000_s1036" type="#_x0000_t75" style="position:absolute;left:2815;top:2384;width:192;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">
                  <v:imagedata r:id="rId199" o:title=""/>
                </v:shape>
                <v:shape id="AutoShape 200" o:spid="_x0000_s1037" style="position:absolute;left:2575;top:2506;width:671;height:729;visibility:visible;mso-wrap-style:square;v-text-anchor:top" coordsize="67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" path="m47,l35,2,23,7,13,14,6,24,1,35,,47,1,58,5,69r6,9l20,86,230,228r,501l256,729r,-515l35,64,29,60,26,54r,-15l30,33r7,-4l42,25r61,l70,7,59,2,47,xm665,25r-38,l633,29r7,4l643,39r,15l640,60r-5,4l413,214r,515l439,729r,-501l649,86r9,-8l664,69r4,-11l670,47,668,35,665,25xm103,25r-52,l58,29,239,132r191,l476,106r-230,l103,25xm623,l610,2,599,7,423,106r53,l612,29r7,-4l665,25r-1,-1l656,14,647,7,635,2,623,xe" fillcolor="#001f5f" stroked="f">
                  <v:path arrowok="t" o:connecttype="custom" o:connectlocs="35,2508;13,2520;1,2541;1,2564;11,2584;230,2734;256,3235;35,2570;26,2560;30,2539;42,2531;70,2513;47,2506;627,2531;640,2539;643,2560;635,2570;413,3235;439,2734;658,2584;668,2564;668,2541;103,2531;58,2535;430,2638;246,2612;623,2506;599,2513;476,2612;619,2531;664,2530;647,2513;623,2506" o:connectangles="0,0,0,0,0,0,0,0,0,0,0,0,0,0,0,0,0,0,0,0,0,0,0,0,0,0,0,0,0,0,0,0,0"/>
                </v:shape>
                <v:line id="Line 199" o:spid="_x0000_s1038" style="position:absolute;visibility:visible;mso-wrap-style:square" from="2911,2888" to="2911,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" strokecolor="#001f5f" strokeweight=".41367mm"/>
                <w10:wrap type="topAndBottom" anchorx="page"/>
              </v:group>
            </w:pict>
          </mc:Fallback>
        </mc:AlternateContent>
      </w:r>
      <w:r>
        <w:rPr>
          <w:noProof/>
          <w:lang w:val="en-AU" w:eastAsia="en-AU"/>
        </w:rPr>
        <mc:AlternateContent>
          <mc:Choice Requires="wps">
            <w:drawing>
              <wp:anchor distT="0" distB="0" distL="0" distR="0" simplePos="0" relativeHeight="251711488" behindDoc="1" locked="0" layoutInCell="1" allowOverlap="1">
                <wp:simplePos x="0" y="0"/>
                <wp:positionH relativeFrom="page">
                  <wp:posOffset>3153410</wp:posOffset>
                </wp:positionH>
                <wp:positionV relativeFrom="paragraph">
                  <wp:posOffset>1637665</wp:posOffset>
                </wp:positionV>
                <wp:extent cx="692785" cy="679450"/>
                <wp:effectExtent l="0" t="0" r="0" b="0"/>
                <wp:wrapTopAndBottom/>
                <wp:docPr id="341"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785" cy="679450"/>
                        </a:xfrm>
                        <a:custGeom>
                          <a:avLst/>
                          <a:gdLst>
                            <a:gd name="T0" fmla="+- 0 5436 4966"/>
                            <a:gd name="T1" fmla="*/ T0 w 1091"/>
                            <a:gd name="T2" fmla="+- 0 3648 2579"/>
                            <a:gd name="T3" fmla="*/ 3648 h 1070"/>
                            <a:gd name="T4" fmla="+- 0 5466 4966"/>
                            <a:gd name="T5" fmla="*/ T4 w 1091"/>
                            <a:gd name="T6" fmla="+- 0 3612 2579"/>
                            <a:gd name="T7" fmla="*/ 3612 h 1070"/>
                            <a:gd name="T8" fmla="+- 0 5466 4966"/>
                            <a:gd name="T9" fmla="*/ T8 w 1091"/>
                            <a:gd name="T10" fmla="+- 0 3576 2579"/>
                            <a:gd name="T11" fmla="*/ 3576 h 1070"/>
                            <a:gd name="T12" fmla="+- 0 5440 4966"/>
                            <a:gd name="T13" fmla="*/ T12 w 1091"/>
                            <a:gd name="T14" fmla="+- 0 3054 2579"/>
                            <a:gd name="T15" fmla="*/ 3054 h 1070"/>
                            <a:gd name="T16" fmla="+- 0 5466 4966"/>
                            <a:gd name="T17" fmla="*/ T16 w 1091"/>
                            <a:gd name="T18" fmla="+- 0 3576 2579"/>
                            <a:gd name="T19" fmla="*/ 3576 h 1070"/>
                            <a:gd name="T20" fmla="+- 0 5466 4966"/>
                            <a:gd name="T21" fmla="*/ T20 w 1091"/>
                            <a:gd name="T22" fmla="+- 0 3612 2579"/>
                            <a:gd name="T23" fmla="*/ 3612 h 1070"/>
                            <a:gd name="T24" fmla="+- 0 5556 4966"/>
                            <a:gd name="T25" fmla="*/ T24 w 1091"/>
                            <a:gd name="T26" fmla="+- 0 3486 2579"/>
                            <a:gd name="T27" fmla="*/ 3486 h 1070"/>
                            <a:gd name="T28" fmla="+- 0 5466 4966"/>
                            <a:gd name="T29" fmla="*/ T28 w 1091"/>
                            <a:gd name="T30" fmla="+- 0 3612 2579"/>
                            <a:gd name="T31" fmla="*/ 3612 h 1070"/>
                            <a:gd name="T32" fmla="+- 0 5586 4966"/>
                            <a:gd name="T33" fmla="*/ T32 w 1091"/>
                            <a:gd name="T34" fmla="+- 0 3499 2579"/>
                            <a:gd name="T35" fmla="*/ 3499 h 1070"/>
                            <a:gd name="T36" fmla="+- 0 5556 4966"/>
                            <a:gd name="T37" fmla="*/ T36 w 1091"/>
                            <a:gd name="T38" fmla="+- 0 3492 2579"/>
                            <a:gd name="T39" fmla="*/ 3492 h 1070"/>
                            <a:gd name="T40" fmla="+- 0 5560 4966"/>
                            <a:gd name="T41" fmla="*/ T40 w 1091"/>
                            <a:gd name="T42" fmla="+- 0 3482 2579"/>
                            <a:gd name="T43" fmla="*/ 3482 h 1070"/>
                            <a:gd name="T44" fmla="+- 0 5556 4966"/>
                            <a:gd name="T45" fmla="*/ T44 w 1091"/>
                            <a:gd name="T46" fmla="+- 0 3492 2579"/>
                            <a:gd name="T47" fmla="*/ 3492 h 1070"/>
                            <a:gd name="T48" fmla="+- 0 5586 4966"/>
                            <a:gd name="T49" fmla="*/ T48 w 1091"/>
                            <a:gd name="T50" fmla="+- 0 3482 2579"/>
                            <a:gd name="T51" fmla="*/ 3482 h 1070"/>
                            <a:gd name="T52" fmla="+- 0 5556 4966"/>
                            <a:gd name="T53" fmla="*/ T52 w 1091"/>
                            <a:gd name="T54" fmla="+- 0 3492 2579"/>
                            <a:gd name="T55" fmla="*/ 3492 h 1070"/>
                            <a:gd name="T56" fmla="+- 0 5586 4966"/>
                            <a:gd name="T57" fmla="*/ T56 w 1091"/>
                            <a:gd name="T58" fmla="+- 0 3482 2579"/>
                            <a:gd name="T59" fmla="*/ 3482 h 1070"/>
                            <a:gd name="T60" fmla="+- 0 5556 4966"/>
                            <a:gd name="T61" fmla="*/ T60 w 1091"/>
                            <a:gd name="T62" fmla="+- 0 3037 2579"/>
                            <a:gd name="T63" fmla="*/ 3037 h 1070"/>
                            <a:gd name="T64" fmla="+- 0 5560 4966"/>
                            <a:gd name="T65" fmla="*/ T64 w 1091"/>
                            <a:gd name="T66" fmla="+- 0 3482 2579"/>
                            <a:gd name="T67" fmla="*/ 3482 h 1070"/>
                            <a:gd name="T68" fmla="+- 0 5586 4966"/>
                            <a:gd name="T69" fmla="*/ T68 w 1091"/>
                            <a:gd name="T70" fmla="+- 0 3054 2579"/>
                            <a:gd name="T71" fmla="*/ 3054 h 1070"/>
                            <a:gd name="T72" fmla="+- 0 5586 4966"/>
                            <a:gd name="T73" fmla="*/ T72 w 1091"/>
                            <a:gd name="T74" fmla="+- 0 3043 2579"/>
                            <a:gd name="T75" fmla="*/ 3043 h 1070"/>
                            <a:gd name="T76" fmla="+- 0 6026 4966"/>
                            <a:gd name="T77" fmla="*/ T76 w 1091"/>
                            <a:gd name="T78" fmla="+- 0 2609 2579"/>
                            <a:gd name="T79" fmla="*/ 2609 h 1070"/>
                            <a:gd name="T80" fmla="+- 0 6010 4966"/>
                            <a:gd name="T81" fmla="*/ T80 w 1091"/>
                            <a:gd name="T82" fmla="+- 0 2583 2579"/>
                            <a:gd name="T83" fmla="*/ 2583 h 1070"/>
                            <a:gd name="T84" fmla="+- 0 5436 4966"/>
                            <a:gd name="T85" fmla="*/ T84 w 1091"/>
                            <a:gd name="T86" fmla="+- 0 3049 2579"/>
                            <a:gd name="T87" fmla="*/ 3049 h 1070"/>
                            <a:gd name="T88" fmla="+- 0 5436 4966"/>
                            <a:gd name="T89" fmla="*/ T88 w 1091"/>
                            <a:gd name="T90" fmla="+- 0 3043 2579"/>
                            <a:gd name="T91" fmla="*/ 3043 h 1070"/>
                            <a:gd name="T92" fmla="+- 0 5436 4966"/>
                            <a:gd name="T93" fmla="*/ T92 w 1091"/>
                            <a:gd name="T94" fmla="+- 0 3043 2579"/>
                            <a:gd name="T95" fmla="*/ 3043 h 1070"/>
                            <a:gd name="T96" fmla="+- 0 5466 4966"/>
                            <a:gd name="T97" fmla="*/ T96 w 1091"/>
                            <a:gd name="T98" fmla="+- 0 3054 2579"/>
                            <a:gd name="T99" fmla="*/ 3054 h 1070"/>
                            <a:gd name="T100" fmla="+- 0 5586 4966"/>
                            <a:gd name="T101" fmla="*/ T100 w 1091"/>
                            <a:gd name="T102" fmla="+- 0 3043 2579"/>
                            <a:gd name="T103" fmla="*/ 3043 h 1070"/>
                            <a:gd name="T104" fmla="+- 0 5586 4966"/>
                            <a:gd name="T105" fmla="*/ T104 w 1091"/>
                            <a:gd name="T106" fmla="+- 0 3049 2579"/>
                            <a:gd name="T107" fmla="*/ 3049 h 1070"/>
                            <a:gd name="T108" fmla="+- 0 5586 4966"/>
                            <a:gd name="T109" fmla="*/ T108 w 1091"/>
                            <a:gd name="T110" fmla="+- 0 3049 2579"/>
                            <a:gd name="T111" fmla="*/ 3049 h 1070"/>
                            <a:gd name="T112" fmla="+- 0 5586 4966"/>
                            <a:gd name="T113" fmla="*/ T112 w 1091"/>
                            <a:gd name="T114" fmla="+- 0 3054 2579"/>
                            <a:gd name="T115" fmla="*/ 3054 h 1070"/>
                            <a:gd name="T116" fmla="+- 0 5592 4966"/>
                            <a:gd name="T117" fmla="*/ T116 w 1091"/>
                            <a:gd name="T118" fmla="+- 0 3043 2579"/>
                            <a:gd name="T119" fmla="*/ 3043 h 1070"/>
                            <a:gd name="T120" fmla="+- 0 5586 4966"/>
                            <a:gd name="T121" fmla="*/ T120 w 1091"/>
                            <a:gd name="T122" fmla="+- 0 3049 2579"/>
                            <a:gd name="T123" fmla="*/ 3049 h 1070"/>
                            <a:gd name="T124" fmla="+- 0 6056 4966"/>
                            <a:gd name="T125" fmla="*/ T124 w 1091"/>
                            <a:gd name="T126" fmla="+- 0 2579 2579"/>
                            <a:gd name="T127" fmla="*/ 2579 h 1070"/>
                            <a:gd name="T128" fmla="+- 0 5436 4966"/>
                            <a:gd name="T129" fmla="*/ T128 w 1091"/>
                            <a:gd name="T130" fmla="+- 0 3049 2579"/>
                            <a:gd name="T131" fmla="*/ 3049 h 1070"/>
                            <a:gd name="T132" fmla="+- 0 5466 4966"/>
                            <a:gd name="T133" fmla="*/ T132 w 1091"/>
                            <a:gd name="T134" fmla="+- 0 3043 2579"/>
                            <a:gd name="T135" fmla="*/ 3043 h 1070"/>
                            <a:gd name="T136" fmla="+- 0 5038 4966"/>
                            <a:gd name="T137" fmla="*/ T136 w 1091"/>
                            <a:gd name="T138" fmla="+- 0 2609 2579"/>
                            <a:gd name="T139" fmla="*/ 2609 h 1070"/>
                            <a:gd name="T140" fmla="+- 0 5012 4966"/>
                            <a:gd name="T141" fmla="*/ T140 w 1091"/>
                            <a:gd name="T142" fmla="+- 0 2583 2579"/>
                            <a:gd name="T143" fmla="*/ 2583 h 1070"/>
                            <a:gd name="T144" fmla="+- 0 6056 4966"/>
                            <a:gd name="T145" fmla="*/ T144 w 1091"/>
                            <a:gd name="T146" fmla="+- 0 2579 2579"/>
                            <a:gd name="T147" fmla="*/ 2579 h 1070"/>
                            <a:gd name="T148" fmla="+- 0 5002 4966"/>
                            <a:gd name="T149" fmla="*/ T148 w 1091"/>
                            <a:gd name="T150" fmla="+- 0 2609 2579"/>
                            <a:gd name="T151" fmla="*/ 2609 h 1070"/>
                            <a:gd name="T152" fmla="+- 0 5012 4966"/>
                            <a:gd name="T153" fmla="*/ T152 w 1091"/>
                            <a:gd name="T154" fmla="+- 0 2583 2579"/>
                            <a:gd name="T155" fmla="*/ 2583 h 1070"/>
                            <a:gd name="T156" fmla="+- 0 5012 4966"/>
                            <a:gd name="T157" fmla="*/ T156 w 1091"/>
                            <a:gd name="T158" fmla="+- 0 2583 2579"/>
                            <a:gd name="T159" fmla="*/ 2583 h 1070"/>
                            <a:gd name="T160" fmla="+- 0 5984 4966"/>
                            <a:gd name="T161" fmla="*/ T160 w 1091"/>
                            <a:gd name="T162" fmla="+- 0 2609 2579"/>
                            <a:gd name="T163" fmla="*/ 2609 h 1070"/>
                            <a:gd name="T164" fmla="+- 0 6052 4966"/>
                            <a:gd name="T165" fmla="*/ T164 w 1091"/>
                            <a:gd name="T166" fmla="+- 0 2583 2579"/>
                            <a:gd name="T167" fmla="*/ 2583 h 1070"/>
                            <a:gd name="T168" fmla="+- 0 6020 4966"/>
                            <a:gd name="T169" fmla="*/ T168 w 1091"/>
                            <a:gd name="T170" fmla="+- 0 2609 2579"/>
                            <a:gd name="T171" fmla="*/ 2609 h 1070"/>
                            <a:gd name="T172" fmla="+- 0 6052 4966"/>
                            <a:gd name="T173" fmla="*/ T172 w 1091"/>
                            <a:gd name="T174" fmla="+- 0 2583 2579"/>
                            <a:gd name="T175" fmla="*/ 2583 h 1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1" h="1070">
                              <a:moveTo>
                                <a:pt x="470" y="470"/>
                              </a:moveTo>
                              <a:lnTo>
                                <a:pt x="470" y="1069"/>
                              </a:lnTo>
                              <a:lnTo>
                                <a:pt x="506" y="1033"/>
                              </a:lnTo>
                              <a:lnTo>
                                <a:pt x="500" y="1033"/>
                              </a:lnTo>
                              <a:lnTo>
                                <a:pt x="474" y="1023"/>
                              </a:lnTo>
                              <a:lnTo>
                                <a:pt x="500" y="997"/>
                              </a:lnTo>
                              <a:lnTo>
                                <a:pt x="500" y="475"/>
                              </a:lnTo>
                              <a:lnTo>
                                <a:pt x="474" y="475"/>
                              </a:lnTo>
                              <a:lnTo>
                                <a:pt x="470" y="470"/>
                              </a:lnTo>
                              <a:close/>
                              <a:moveTo>
                                <a:pt x="500" y="997"/>
                              </a:moveTo>
                              <a:lnTo>
                                <a:pt x="474" y="1023"/>
                              </a:lnTo>
                              <a:lnTo>
                                <a:pt x="500" y="1033"/>
                              </a:lnTo>
                              <a:lnTo>
                                <a:pt x="500" y="997"/>
                              </a:lnTo>
                              <a:close/>
                              <a:moveTo>
                                <a:pt x="590" y="907"/>
                              </a:moveTo>
                              <a:lnTo>
                                <a:pt x="500" y="997"/>
                              </a:lnTo>
                              <a:lnTo>
                                <a:pt x="500" y="1033"/>
                              </a:lnTo>
                              <a:lnTo>
                                <a:pt x="506" y="1033"/>
                              </a:lnTo>
                              <a:lnTo>
                                <a:pt x="620" y="920"/>
                              </a:lnTo>
                              <a:lnTo>
                                <a:pt x="620" y="913"/>
                              </a:lnTo>
                              <a:lnTo>
                                <a:pt x="590" y="913"/>
                              </a:lnTo>
                              <a:lnTo>
                                <a:pt x="590" y="907"/>
                              </a:lnTo>
                              <a:close/>
                              <a:moveTo>
                                <a:pt x="594" y="903"/>
                              </a:moveTo>
                              <a:lnTo>
                                <a:pt x="590" y="907"/>
                              </a:lnTo>
                              <a:lnTo>
                                <a:pt x="590" y="913"/>
                              </a:lnTo>
                              <a:lnTo>
                                <a:pt x="594" y="903"/>
                              </a:lnTo>
                              <a:close/>
                              <a:moveTo>
                                <a:pt x="620" y="903"/>
                              </a:moveTo>
                              <a:lnTo>
                                <a:pt x="594" y="903"/>
                              </a:lnTo>
                              <a:lnTo>
                                <a:pt x="590" y="913"/>
                              </a:lnTo>
                              <a:lnTo>
                                <a:pt x="620" y="913"/>
                              </a:lnTo>
                              <a:lnTo>
                                <a:pt x="620" y="903"/>
                              </a:lnTo>
                              <a:close/>
                              <a:moveTo>
                                <a:pt x="1044" y="4"/>
                              </a:moveTo>
                              <a:lnTo>
                                <a:pt x="590" y="458"/>
                              </a:lnTo>
                              <a:lnTo>
                                <a:pt x="590" y="907"/>
                              </a:lnTo>
                              <a:lnTo>
                                <a:pt x="594" y="903"/>
                              </a:lnTo>
                              <a:lnTo>
                                <a:pt x="620" y="903"/>
                              </a:lnTo>
                              <a:lnTo>
                                <a:pt x="620" y="475"/>
                              </a:lnTo>
                              <a:lnTo>
                                <a:pt x="615" y="475"/>
                              </a:lnTo>
                              <a:lnTo>
                                <a:pt x="620" y="464"/>
                              </a:lnTo>
                              <a:lnTo>
                                <a:pt x="626" y="464"/>
                              </a:lnTo>
                              <a:lnTo>
                                <a:pt x="1060" y="30"/>
                              </a:lnTo>
                              <a:lnTo>
                                <a:pt x="1054" y="30"/>
                              </a:lnTo>
                              <a:lnTo>
                                <a:pt x="1044" y="4"/>
                              </a:lnTo>
                              <a:close/>
                              <a:moveTo>
                                <a:pt x="470" y="464"/>
                              </a:moveTo>
                              <a:lnTo>
                                <a:pt x="470" y="470"/>
                              </a:lnTo>
                              <a:lnTo>
                                <a:pt x="474" y="475"/>
                              </a:lnTo>
                              <a:lnTo>
                                <a:pt x="470" y="464"/>
                              </a:lnTo>
                              <a:close/>
                              <a:moveTo>
                                <a:pt x="500" y="464"/>
                              </a:moveTo>
                              <a:lnTo>
                                <a:pt x="470" y="464"/>
                              </a:lnTo>
                              <a:lnTo>
                                <a:pt x="474" y="475"/>
                              </a:lnTo>
                              <a:lnTo>
                                <a:pt x="500" y="475"/>
                              </a:lnTo>
                              <a:lnTo>
                                <a:pt x="500" y="464"/>
                              </a:lnTo>
                              <a:close/>
                              <a:moveTo>
                                <a:pt x="620" y="464"/>
                              </a:moveTo>
                              <a:lnTo>
                                <a:pt x="615" y="475"/>
                              </a:lnTo>
                              <a:lnTo>
                                <a:pt x="620" y="470"/>
                              </a:lnTo>
                              <a:lnTo>
                                <a:pt x="620" y="464"/>
                              </a:lnTo>
                              <a:close/>
                              <a:moveTo>
                                <a:pt x="620" y="470"/>
                              </a:moveTo>
                              <a:lnTo>
                                <a:pt x="615" y="475"/>
                              </a:lnTo>
                              <a:lnTo>
                                <a:pt x="620" y="475"/>
                              </a:lnTo>
                              <a:lnTo>
                                <a:pt x="620" y="470"/>
                              </a:lnTo>
                              <a:close/>
                              <a:moveTo>
                                <a:pt x="626" y="464"/>
                              </a:moveTo>
                              <a:lnTo>
                                <a:pt x="620" y="464"/>
                              </a:lnTo>
                              <a:lnTo>
                                <a:pt x="620" y="470"/>
                              </a:lnTo>
                              <a:lnTo>
                                <a:pt x="626" y="464"/>
                              </a:lnTo>
                              <a:close/>
                              <a:moveTo>
                                <a:pt x="1090" y="0"/>
                              </a:moveTo>
                              <a:lnTo>
                                <a:pt x="0" y="0"/>
                              </a:lnTo>
                              <a:lnTo>
                                <a:pt x="470" y="470"/>
                              </a:lnTo>
                              <a:lnTo>
                                <a:pt x="470" y="464"/>
                              </a:lnTo>
                              <a:lnTo>
                                <a:pt x="500" y="464"/>
                              </a:lnTo>
                              <a:lnTo>
                                <a:pt x="500" y="458"/>
                              </a:lnTo>
                              <a:lnTo>
                                <a:pt x="72" y="30"/>
                              </a:lnTo>
                              <a:lnTo>
                                <a:pt x="36" y="30"/>
                              </a:lnTo>
                              <a:lnTo>
                                <a:pt x="46" y="4"/>
                              </a:lnTo>
                              <a:lnTo>
                                <a:pt x="1086" y="4"/>
                              </a:lnTo>
                              <a:lnTo>
                                <a:pt x="1090" y="0"/>
                              </a:lnTo>
                              <a:close/>
                              <a:moveTo>
                                <a:pt x="46" y="4"/>
                              </a:moveTo>
                              <a:lnTo>
                                <a:pt x="36" y="30"/>
                              </a:lnTo>
                              <a:lnTo>
                                <a:pt x="72" y="30"/>
                              </a:lnTo>
                              <a:lnTo>
                                <a:pt x="46" y="4"/>
                              </a:lnTo>
                              <a:close/>
                              <a:moveTo>
                                <a:pt x="1044" y="4"/>
                              </a:moveTo>
                              <a:lnTo>
                                <a:pt x="46" y="4"/>
                              </a:lnTo>
                              <a:lnTo>
                                <a:pt x="72" y="30"/>
                              </a:lnTo>
                              <a:lnTo>
                                <a:pt x="1018" y="30"/>
                              </a:lnTo>
                              <a:lnTo>
                                <a:pt x="1044" y="4"/>
                              </a:lnTo>
                              <a:close/>
                              <a:moveTo>
                                <a:pt x="1086" y="4"/>
                              </a:moveTo>
                              <a:lnTo>
                                <a:pt x="1044" y="4"/>
                              </a:lnTo>
                              <a:lnTo>
                                <a:pt x="1054" y="30"/>
                              </a:lnTo>
                              <a:lnTo>
                                <a:pt x="1060" y="30"/>
                              </a:lnTo>
                              <a:lnTo>
                                <a:pt x="1086" y="4"/>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30A91" id="AutoShape 197" o:spid="_x0000_s1026" style="position:absolute;margin-left:248.3pt;margin-top:128.95pt;width:54.55pt;height:53.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91,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" path="m470,470r,599l506,1033r-6,l474,1023r26,-26l500,475r-26,l470,470xm500,997r-26,26l500,1033r,-36xm590,907r-90,90l500,1033r6,l620,920r,-7l590,913r,-6xm594,903r-4,4l590,913r4,-10xm620,903r-26,l590,913r30,l620,903xm1044,4l590,458r,449l594,903r26,l620,475r-5,l620,464r6,l1060,30r-6,l1044,4xm470,464r,6l474,475r-4,-11xm500,464r-30,l474,475r26,l500,464xm620,464r-5,11l620,470r,-6xm620,470r-5,5l620,475r,-5xm626,464r-6,l620,470r6,-6xm1090,l,,470,470r,-6l500,464r,-6l72,30r-36,l46,4r1040,l1090,xm46,4l36,30r36,l46,4xm1044,4l46,4,72,30r946,l1044,4xm1086,4r-42,l1054,30r6,l1086,4xe" fillcolor="#001f5f" stroked="f">
                <v:path arrowok="t" o:connecttype="custom" o:connectlocs="298450,2316480;317500,2293620;317500,2270760;300990,1939290;317500,2270760;317500,2293620;374650,2213610;317500,2293620;393700,2221865;374650,2217420;377190,2211070;374650,2217420;393700,2211070;374650,2217420;393700,2211070;374650,1928495;377190,2211070;393700,1939290;393700,1932305;673100,1656715;662940,1640205;298450,1936115;298450,1932305;298450,1932305;317500,1939290;393700,1932305;393700,1936115;393700,1936115;393700,1939290;397510,1932305;393700,1936115;692150,1637665;298450,1936115;317500,1932305;45720,1656715;29210,1640205;692150,1637665;22860,1656715;29210,1640205;29210,1640205;646430,1656715;689610,1640205;669290,1656715;689610,1640205" o:connectangles="0,0,0,0,0,0,0,0,0,0,0,0,0,0,0,0,0,0,0,0,0,0,0,0,0,0,0,0,0,0,0,0,0,0,0,0,0,0,0,0,0,0,0,0"/>
                <w10:wrap type="topAndBottom" anchorx="page"/>
              </v:shape>
            </w:pict>
          </mc:Fallback>
        </mc:AlternateContent>
      </w:r>
      <w:r>
        <w:rPr>
          <w:noProof/>
          <w:lang w:val="en-AU" w:eastAsia="en-AU"/>
        </w:rPr>
        <w:drawing>
          <wp:anchor distT="0" distB="0" distL="0" distR="0" simplePos="0" relativeHeight="53" behindDoc="0" locked="0" layoutInCell="1" allowOverlap="1">
            <wp:simplePos x="0" y="0"/>
            <wp:positionH relativeFrom="page">
              <wp:posOffset>5136963</wp:posOffset>
            </wp:positionH>
            <wp:positionV relativeFrom="paragraph">
              <wp:posOffset>1508450</wp:posOffset>
            </wp:positionV>
            <wp:extent cx="552460" cy="781050"/>
            <wp:effectExtent l="0" t="0" r="0" b="0"/>
            <wp:wrapTopAndBottom/>
            <wp:docPr id="1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2.png"/>
                    <pic:cNvPicPr/>
                  </pic:nvPicPr>
                  <pic:blipFill>
                    <a:blip r:embed="rId200" cstate="print"/>
                    <a:stretch>
                      <a:fillRect/>
                    </a:stretch>
                  </pic:blipFill>
                  <pic:spPr>
                    <a:xfrm>
                      <a:off x="0" y="0"/>
                      <a:ext cx="552460" cy="781050"/>
                    </a:xfrm>
                    <a:prstGeom prst="rect">
                      <a:avLst/>
                    </a:prstGeom>
                  </pic:spPr>
                </pic:pic>
              </a:graphicData>
            </a:graphic>
          </wp:anchor>
        </w:drawing>
      </w:r>
      <w:r>
        <w:rPr>
          <w:noProof/>
          <w:lang w:val="en-AU" w:eastAsia="en-AU"/>
        </w:rPr>
        <mc:AlternateContent>
          <mc:Choice Requires="wpg">
            <w:drawing>
              <wp:anchor distT="0" distB="0" distL="114300" distR="114300" simplePos="0" relativeHeight="251714560" behindDoc="0" locked="0" layoutInCell="1" allowOverlap="1">
                <wp:simplePos x="0" y="0"/>
                <wp:positionH relativeFrom="page">
                  <wp:posOffset>3050540</wp:posOffset>
                </wp:positionH>
                <wp:positionV relativeFrom="paragraph">
                  <wp:posOffset>-68580</wp:posOffset>
                </wp:positionV>
                <wp:extent cx="521970" cy="601345"/>
                <wp:effectExtent l="0" t="0" r="0" b="0"/>
                <wp:wrapNone/>
                <wp:docPr id="334"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601345"/>
                          <a:chOff x="4804" y="-108"/>
                          <a:chExt cx="822" cy="947"/>
                        </a:xfrm>
                      </wpg:grpSpPr>
                      <pic:pic xmlns:pic="http://schemas.openxmlformats.org/drawingml/2006/picture">
                        <pic:nvPicPr>
                          <pic:cNvPr id="335" name="Picture 19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4839" y="240"/>
                            <a:ext cx="587"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AutoShape 195"/>
                        <wps:cNvSpPr>
                          <a:spLocks/>
                        </wps:cNvSpPr>
                        <wps:spPr bwMode="auto">
                          <a:xfrm>
                            <a:off x="5079" y="161"/>
                            <a:ext cx="462" cy="641"/>
                          </a:xfrm>
                          <a:custGeom>
                            <a:avLst/>
                            <a:gdLst>
                              <a:gd name="T0" fmla="+- 0 5098 5080"/>
                              <a:gd name="T1" fmla="*/ T0 w 462"/>
                              <a:gd name="T2" fmla="+- 0 767 162"/>
                              <a:gd name="T3" fmla="*/ 767 h 641"/>
                              <a:gd name="T4" fmla="+- 0 5096 5080"/>
                              <a:gd name="T5" fmla="*/ T4 w 462"/>
                              <a:gd name="T6" fmla="+- 0 803 162"/>
                              <a:gd name="T7" fmla="*/ 803 h 641"/>
                              <a:gd name="T8" fmla="+- 0 5151 5080"/>
                              <a:gd name="T9" fmla="*/ T8 w 462"/>
                              <a:gd name="T10" fmla="+- 0 748 162"/>
                              <a:gd name="T11" fmla="*/ 748 h 641"/>
                              <a:gd name="T12" fmla="+- 0 5104 5080"/>
                              <a:gd name="T13" fmla="*/ T12 w 462"/>
                              <a:gd name="T14" fmla="+- 0 750 162"/>
                              <a:gd name="T15" fmla="*/ 750 h 641"/>
                              <a:gd name="T16" fmla="+- 0 5151 5080"/>
                              <a:gd name="T17" fmla="*/ T16 w 462"/>
                              <a:gd name="T18" fmla="+- 0 748 162"/>
                              <a:gd name="T19" fmla="*/ 748 h 641"/>
                              <a:gd name="T20" fmla="+- 0 5536 5080"/>
                              <a:gd name="T21" fmla="*/ T20 w 462"/>
                              <a:gd name="T22" fmla="+- 0 410 162"/>
                              <a:gd name="T23" fmla="*/ 410 h 641"/>
                              <a:gd name="T24" fmla="+- 0 5524 5080"/>
                              <a:gd name="T25" fmla="*/ T24 w 462"/>
                              <a:gd name="T26" fmla="+- 0 391 162"/>
                              <a:gd name="T27" fmla="*/ 391 h 641"/>
                              <a:gd name="T28" fmla="+- 0 5506 5080"/>
                              <a:gd name="T29" fmla="*/ T28 w 462"/>
                              <a:gd name="T30" fmla="+- 0 378 162"/>
                              <a:gd name="T31" fmla="*/ 378 h 641"/>
                              <a:gd name="T32" fmla="+- 0 5487 5080"/>
                              <a:gd name="T33" fmla="*/ T32 w 462"/>
                              <a:gd name="T34" fmla="+- 0 374 162"/>
                              <a:gd name="T35" fmla="*/ 374 h 641"/>
                              <a:gd name="T36" fmla="+- 0 5489 5080"/>
                              <a:gd name="T37" fmla="*/ T36 w 462"/>
                              <a:gd name="T38" fmla="+- 0 341 162"/>
                              <a:gd name="T39" fmla="*/ 341 h 641"/>
                              <a:gd name="T40" fmla="+- 0 5479 5080"/>
                              <a:gd name="T41" fmla="*/ T40 w 462"/>
                              <a:gd name="T42" fmla="+- 0 320 162"/>
                              <a:gd name="T43" fmla="*/ 320 h 641"/>
                              <a:gd name="T44" fmla="+- 0 5464 5080"/>
                              <a:gd name="T45" fmla="*/ T44 w 462"/>
                              <a:gd name="T46" fmla="+- 0 304 162"/>
                              <a:gd name="T47" fmla="*/ 304 h 641"/>
                              <a:gd name="T48" fmla="+- 0 5445 5080"/>
                              <a:gd name="T49" fmla="*/ T48 w 462"/>
                              <a:gd name="T50" fmla="+- 0 296 162"/>
                              <a:gd name="T51" fmla="*/ 296 h 641"/>
                              <a:gd name="T52" fmla="+- 0 5437 5080"/>
                              <a:gd name="T53" fmla="*/ T52 w 462"/>
                              <a:gd name="T54" fmla="+- 0 280 162"/>
                              <a:gd name="T55" fmla="*/ 280 h 641"/>
                              <a:gd name="T56" fmla="+- 0 5429 5080"/>
                              <a:gd name="T57" fmla="*/ T56 w 462"/>
                              <a:gd name="T58" fmla="+- 0 249 162"/>
                              <a:gd name="T59" fmla="*/ 249 h 641"/>
                              <a:gd name="T60" fmla="+- 0 5419 5080"/>
                              <a:gd name="T61" fmla="*/ T60 w 462"/>
                              <a:gd name="T62" fmla="+- 0 236 162"/>
                              <a:gd name="T63" fmla="*/ 236 h 641"/>
                              <a:gd name="T64" fmla="+- 0 5393 5080"/>
                              <a:gd name="T65" fmla="*/ T64 w 462"/>
                              <a:gd name="T66" fmla="+- 0 221 162"/>
                              <a:gd name="T67" fmla="*/ 221 h 641"/>
                              <a:gd name="T68" fmla="+- 0 5379 5080"/>
                              <a:gd name="T69" fmla="*/ T68 w 462"/>
                              <a:gd name="T70" fmla="+- 0 219 162"/>
                              <a:gd name="T71" fmla="*/ 219 h 641"/>
                              <a:gd name="T72" fmla="+- 0 5363 5080"/>
                              <a:gd name="T73" fmla="*/ T72 w 462"/>
                              <a:gd name="T74" fmla="+- 0 210 162"/>
                              <a:gd name="T75" fmla="*/ 210 h 641"/>
                              <a:gd name="T76" fmla="+- 0 5355 5080"/>
                              <a:gd name="T77" fmla="*/ T76 w 462"/>
                              <a:gd name="T78" fmla="+- 0 189 162"/>
                              <a:gd name="T79" fmla="*/ 189 h 641"/>
                              <a:gd name="T80" fmla="+- 0 5347 5080"/>
                              <a:gd name="T81" fmla="*/ T80 w 462"/>
                              <a:gd name="T82" fmla="+- 0 179 162"/>
                              <a:gd name="T83" fmla="*/ 179 h 641"/>
                              <a:gd name="T84" fmla="+- 0 5306 5080"/>
                              <a:gd name="T85" fmla="*/ T84 w 462"/>
                              <a:gd name="T86" fmla="+- 0 162 162"/>
                              <a:gd name="T87" fmla="*/ 162 h 641"/>
                              <a:gd name="T88" fmla="+- 0 5266 5080"/>
                              <a:gd name="T89" fmla="*/ T88 w 462"/>
                              <a:gd name="T90" fmla="+- 0 179 162"/>
                              <a:gd name="T91" fmla="*/ 179 h 641"/>
                              <a:gd name="T92" fmla="+- 0 5121 5080"/>
                              <a:gd name="T93" fmla="*/ T92 w 462"/>
                              <a:gd name="T94" fmla="+- 0 361 162"/>
                              <a:gd name="T95" fmla="*/ 361 h 641"/>
                              <a:gd name="T96" fmla="+- 0 5294 5080"/>
                              <a:gd name="T97" fmla="*/ T96 w 462"/>
                              <a:gd name="T98" fmla="+- 0 190 162"/>
                              <a:gd name="T99" fmla="*/ 190 h 641"/>
                              <a:gd name="T100" fmla="+- 0 5319 5080"/>
                              <a:gd name="T101" fmla="*/ T100 w 462"/>
                              <a:gd name="T102" fmla="+- 0 190 162"/>
                              <a:gd name="T103" fmla="*/ 190 h 641"/>
                              <a:gd name="T104" fmla="+- 0 5337 5080"/>
                              <a:gd name="T105" fmla="*/ T104 w 462"/>
                              <a:gd name="T106" fmla="+- 0 209 162"/>
                              <a:gd name="T107" fmla="*/ 209 h 641"/>
                              <a:gd name="T108" fmla="+- 0 5337 5080"/>
                              <a:gd name="T109" fmla="*/ T108 w 462"/>
                              <a:gd name="T110" fmla="+- 0 234 162"/>
                              <a:gd name="T111" fmla="*/ 234 h 641"/>
                              <a:gd name="T112" fmla="+- 0 5324 5080"/>
                              <a:gd name="T113" fmla="*/ T112 w 462"/>
                              <a:gd name="T114" fmla="+- 0 250 162"/>
                              <a:gd name="T115" fmla="*/ 250 h 641"/>
                              <a:gd name="T116" fmla="+- 0 5321 5080"/>
                              <a:gd name="T117" fmla="*/ T116 w 462"/>
                              <a:gd name="T118" fmla="+- 0 255 162"/>
                              <a:gd name="T119" fmla="*/ 255 h 641"/>
                              <a:gd name="T120" fmla="+- 0 5321 5080"/>
                              <a:gd name="T121" fmla="*/ T120 w 462"/>
                              <a:gd name="T122" fmla="+- 0 266 162"/>
                              <a:gd name="T123" fmla="*/ 266 h 641"/>
                              <a:gd name="T124" fmla="+- 0 5329 5080"/>
                              <a:gd name="T125" fmla="*/ T124 w 462"/>
                              <a:gd name="T126" fmla="+- 0 273 162"/>
                              <a:gd name="T127" fmla="*/ 273 h 641"/>
                              <a:gd name="T128" fmla="+- 0 5342 5080"/>
                              <a:gd name="T129" fmla="*/ T128 w 462"/>
                              <a:gd name="T130" fmla="+- 0 268 162"/>
                              <a:gd name="T131" fmla="*/ 268 h 641"/>
                              <a:gd name="T132" fmla="+- 0 5356 5080"/>
                              <a:gd name="T133" fmla="*/ T132 w 462"/>
                              <a:gd name="T134" fmla="+- 0 254 162"/>
                              <a:gd name="T135" fmla="*/ 254 h 641"/>
                              <a:gd name="T136" fmla="+- 0 5379 5080"/>
                              <a:gd name="T137" fmla="*/ T136 w 462"/>
                              <a:gd name="T138" fmla="+- 0 245 162"/>
                              <a:gd name="T139" fmla="*/ 245 h 641"/>
                              <a:gd name="T140" fmla="+- 0 5402 5080"/>
                              <a:gd name="T141" fmla="*/ T140 w 462"/>
                              <a:gd name="T142" fmla="+- 0 255 162"/>
                              <a:gd name="T143" fmla="*/ 255 h 641"/>
                              <a:gd name="T144" fmla="+- 0 5411 5080"/>
                              <a:gd name="T145" fmla="*/ T144 w 462"/>
                              <a:gd name="T146" fmla="+- 0 278 162"/>
                              <a:gd name="T147" fmla="*/ 278 h 641"/>
                              <a:gd name="T148" fmla="+- 0 5402 5080"/>
                              <a:gd name="T149" fmla="*/ T148 w 462"/>
                              <a:gd name="T150" fmla="+- 0 302 162"/>
                              <a:gd name="T151" fmla="*/ 302 h 641"/>
                              <a:gd name="T152" fmla="+- 0 5375 5080"/>
                              <a:gd name="T153" fmla="*/ T152 w 462"/>
                              <a:gd name="T154" fmla="+- 0 328 162"/>
                              <a:gd name="T155" fmla="*/ 328 h 641"/>
                              <a:gd name="T156" fmla="+- 0 5374 5080"/>
                              <a:gd name="T157" fmla="*/ T156 w 462"/>
                              <a:gd name="T158" fmla="+- 0 338 162"/>
                              <a:gd name="T159" fmla="*/ 338 h 641"/>
                              <a:gd name="T160" fmla="+- 0 5377 5080"/>
                              <a:gd name="T161" fmla="*/ T160 w 462"/>
                              <a:gd name="T162" fmla="+- 0 344 162"/>
                              <a:gd name="T163" fmla="*/ 344 h 641"/>
                              <a:gd name="T164" fmla="+- 0 5391 5080"/>
                              <a:gd name="T165" fmla="*/ T164 w 462"/>
                              <a:gd name="T166" fmla="+- 0 349 162"/>
                              <a:gd name="T167" fmla="*/ 349 h 641"/>
                              <a:gd name="T168" fmla="+- 0 5409 5080"/>
                              <a:gd name="T169" fmla="*/ T168 w 462"/>
                              <a:gd name="T170" fmla="+- 0 330 162"/>
                              <a:gd name="T171" fmla="*/ 330 h 641"/>
                              <a:gd name="T172" fmla="+- 0 5432 5080"/>
                              <a:gd name="T173" fmla="*/ T172 w 462"/>
                              <a:gd name="T174" fmla="+- 0 320 162"/>
                              <a:gd name="T175" fmla="*/ 320 h 641"/>
                              <a:gd name="T176" fmla="+- 0 5456 5080"/>
                              <a:gd name="T177" fmla="*/ T176 w 462"/>
                              <a:gd name="T178" fmla="+- 0 330 162"/>
                              <a:gd name="T179" fmla="*/ 330 h 641"/>
                              <a:gd name="T180" fmla="+- 0 5465 5080"/>
                              <a:gd name="T181" fmla="*/ T180 w 462"/>
                              <a:gd name="T182" fmla="+- 0 354 162"/>
                              <a:gd name="T183" fmla="*/ 354 h 641"/>
                              <a:gd name="T184" fmla="+- 0 5456 5080"/>
                              <a:gd name="T185" fmla="*/ T184 w 462"/>
                              <a:gd name="T186" fmla="+- 0 377 162"/>
                              <a:gd name="T187" fmla="*/ 377 h 641"/>
                              <a:gd name="T188" fmla="+- 0 5443 5080"/>
                              <a:gd name="T189" fmla="*/ T188 w 462"/>
                              <a:gd name="T190" fmla="+- 0 391 162"/>
                              <a:gd name="T191" fmla="*/ 391 h 641"/>
                              <a:gd name="T192" fmla="+- 0 5423 5080"/>
                              <a:gd name="T193" fmla="*/ T192 w 462"/>
                              <a:gd name="T194" fmla="+- 0 410 162"/>
                              <a:gd name="T195" fmla="*/ 410 h 641"/>
                              <a:gd name="T196" fmla="+- 0 5428 5080"/>
                              <a:gd name="T197" fmla="*/ T196 w 462"/>
                              <a:gd name="T198" fmla="+- 0 423 162"/>
                              <a:gd name="T199" fmla="*/ 423 h 641"/>
                              <a:gd name="T200" fmla="+- 0 5441 5080"/>
                              <a:gd name="T201" fmla="*/ T200 w 462"/>
                              <a:gd name="T202" fmla="+- 0 428 162"/>
                              <a:gd name="T203" fmla="*/ 428 h 641"/>
                              <a:gd name="T204" fmla="+- 0 5461 5080"/>
                              <a:gd name="T205" fmla="*/ T204 w 462"/>
                              <a:gd name="T206" fmla="+- 0 408 162"/>
                              <a:gd name="T207" fmla="*/ 408 h 641"/>
                              <a:gd name="T208" fmla="+- 0 5483 5080"/>
                              <a:gd name="T209" fmla="*/ T208 w 462"/>
                              <a:gd name="T210" fmla="+- 0 399 162"/>
                              <a:gd name="T211" fmla="*/ 399 h 641"/>
                              <a:gd name="T212" fmla="+- 0 5506 5080"/>
                              <a:gd name="T213" fmla="*/ T212 w 462"/>
                              <a:gd name="T214" fmla="+- 0 410 162"/>
                              <a:gd name="T215" fmla="*/ 410 h 641"/>
                              <a:gd name="T216" fmla="+- 0 5516 5080"/>
                              <a:gd name="T217" fmla="*/ T216 w 462"/>
                              <a:gd name="T218" fmla="+- 0 432 162"/>
                              <a:gd name="T219" fmla="*/ 432 h 641"/>
                              <a:gd name="T220" fmla="+- 0 5506 5080"/>
                              <a:gd name="T221" fmla="*/ T220 w 462"/>
                              <a:gd name="T222" fmla="+- 0 456 162"/>
                              <a:gd name="T223" fmla="*/ 456 h 641"/>
                              <a:gd name="T224" fmla="+- 0 5424 5080"/>
                              <a:gd name="T225" fmla="*/ T224 w 462"/>
                              <a:gd name="T226" fmla="+- 0 575 162"/>
                              <a:gd name="T227" fmla="*/ 575 h 641"/>
                              <a:gd name="T228" fmla="+- 0 5537 5080"/>
                              <a:gd name="T229" fmla="*/ T228 w 462"/>
                              <a:gd name="T230" fmla="+- 0 454 162"/>
                              <a:gd name="T231" fmla="*/ 454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62" h="641">
                                <a:moveTo>
                                  <a:pt x="35" y="622"/>
                                </a:moveTo>
                                <a:lnTo>
                                  <a:pt x="18" y="605"/>
                                </a:lnTo>
                                <a:lnTo>
                                  <a:pt x="0" y="624"/>
                                </a:lnTo>
                                <a:lnTo>
                                  <a:pt x="16" y="641"/>
                                </a:lnTo>
                                <a:lnTo>
                                  <a:pt x="35" y="622"/>
                                </a:lnTo>
                                <a:moveTo>
                                  <a:pt x="71" y="586"/>
                                </a:moveTo>
                                <a:lnTo>
                                  <a:pt x="48" y="569"/>
                                </a:lnTo>
                                <a:lnTo>
                                  <a:pt x="24" y="588"/>
                                </a:lnTo>
                                <a:lnTo>
                                  <a:pt x="46" y="605"/>
                                </a:lnTo>
                                <a:lnTo>
                                  <a:pt x="71" y="586"/>
                                </a:lnTo>
                                <a:moveTo>
                                  <a:pt x="461" y="270"/>
                                </a:moveTo>
                                <a:lnTo>
                                  <a:pt x="456" y="248"/>
                                </a:lnTo>
                                <a:lnTo>
                                  <a:pt x="449" y="237"/>
                                </a:lnTo>
                                <a:lnTo>
                                  <a:pt x="444" y="229"/>
                                </a:lnTo>
                                <a:lnTo>
                                  <a:pt x="435" y="221"/>
                                </a:lnTo>
                                <a:lnTo>
                                  <a:pt x="426" y="216"/>
                                </a:lnTo>
                                <a:lnTo>
                                  <a:pt x="417" y="213"/>
                                </a:lnTo>
                                <a:lnTo>
                                  <a:pt x="407" y="212"/>
                                </a:lnTo>
                                <a:lnTo>
                                  <a:pt x="410" y="196"/>
                                </a:lnTo>
                                <a:lnTo>
                                  <a:pt x="409" y="179"/>
                                </a:lnTo>
                                <a:lnTo>
                                  <a:pt x="403" y="164"/>
                                </a:lnTo>
                                <a:lnTo>
                                  <a:pt x="399" y="158"/>
                                </a:lnTo>
                                <a:lnTo>
                                  <a:pt x="393" y="150"/>
                                </a:lnTo>
                                <a:lnTo>
                                  <a:pt x="384" y="142"/>
                                </a:lnTo>
                                <a:lnTo>
                                  <a:pt x="375" y="137"/>
                                </a:lnTo>
                                <a:lnTo>
                                  <a:pt x="365" y="134"/>
                                </a:lnTo>
                                <a:lnTo>
                                  <a:pt x="354" y="133"/>
                                </a:lnTo>
                                <a:lnTo>
                                  <a:pt x="357" y="118"/>
                                </a:lnTo>
                                <a:lnTo>
                                  <a:pt x="355" y="102"/>
                                </a:lnTo>
                                <a:lnTo>
                                  <a:pt x="349" y="87"/>
                                </a:lnTo>
                                <a:lnTo>
                                  <a:pt x="345" y="83"/>
                                </a:lnTo>
                                <a:lnTo>
                                  <a:pt x="339" y="74"/>
                                </a:lnTo>
                                <a:lnTo>
                                  <a:pt x="327" y="65"/>
                                </a:lnTo>
                                <a:lnTo>
                                  <a:pt x="313" y="59"/>
                                </a:lnTo>
                                <a:lnTo>
                                  <a:pt x="310" y="59"/>
                                </a:lnTo>
                                <a:lnTo>
                                  <a:pt x="299" y="57"/>
                                </a:lnTo>
                                <a:lnTo>
                                  <a:pt x="284" y="59"/>
                                </a:lnTo>
                                <a:lnTo>
                                  <a:pt x="283" y="48"/>
                                </a:lnTo>
                                <a:lnTo>
                                  <a:pt x="280" y="37"/>
                                </a:lnTo>
                                <a:lnTo>
                                  <a:pt x="275" y="27"/>
                                </a:lnTo>
                                <a:lnTo>
                                  <a:pt x="274" y="26"/>
                                </a:lnTo>
                                <a:lnTo>
                                  <a:pt x="267" y="17"/>
                                </a:lnTo>
                                <a:lnTo>
                                  <a:pt x="248" y="4"/>
                                </a:lnTo>
                                <a:lnTo>
                                  <a:pt x="226" y="0"/>
                                </a:lnTo>
                                <a:lnTo>
                                  <a:pt x="204" y="4"/>
                                </a:lnTo>
                                <a:lnTo>
                                  <a:pt x="186" y="17"/>
                                </a:lnTo>
                                <a:lnTo>
                                  <a:pt x="24" y="182"/>
                                </a:lnTo>
                                <a:lnTo>
                                  <a:pt x="41" y="199"/>
                                </a:lnTo>
                                <a:lnTo>
                                  <a:pt x="204" y="35"/>
                                </a:lnTo>
                                <a:lnTo>
                                  <a:pt x="214" y="28"/>
                                </a:lnTo>
                                <a:lnTo>
                                  <a:pt x="227" y="26"/>
                                </a:lnTo>
                                <a:lnTo>
                                  <a:pt x="239" y="28"/>
                                </a:lnTo>
                                <a:lnTo>
                                  <a:pt x="250" y="36"/>
                                </a:lnTo>
                                <a:lnTo>
                                  <a:pt x="257" y="47"/>
                                </a:lnTo>
                                <a:lnTo>
                                  <a:pt x="260" y="59"/>
                                </a:lnTo>
                                <a:lnTo>
                                  <a:pt x="257" y="72"/>
                                </a:lnTo>
                                <a:lnTo>
                                  <a:pt x="250" y="83"/>
                                </a:lnTo>
                                <a:lnTo>
                                  <a:pt x="244" y="88"/>
                                </a:lnTo>
                                <a:lnTo>
                                  <a:pt x="241" y="91"/>
                                </a:lnTo>
                                <a:lnTo>
                                  <a:pt x="241" y="93"/>
                                </a:lnTo>
                                <a:lnTo>
                                  <a:pt x="241" y="100"/>
                                </a:lnTo>
                                <a:lnTo>
                                  <a:pt x="241" y="104"/>
                                </a:lnTo>
                                <a:lnTo>
                                  <a:pt x="244" y="106"/>
                                </a:lnTo>
                                <a:lnTo>
                                  <a:pt x="249" y="111"/>
                                </a:lnTo>
                                <a:lnTo>
                                  <a:pt x="257" y="111"/>
                                </a:lnTo>
                                <a:lnTo>
                                  <a:pt x="262" y="106"/>
                                </a:lnTo>
                                <a:lnTo>
                                  <a:pt x="268" y="100"/>
                                </a:lnTo>
                                <a:lnTo>
                                  <a:pt x="276" y="92"/>
                                </a:lnTo>
                                <a:lnTo>
                                  <a:pt x="286" y="85"/>
                                </a:lnTo>
                                <a:lnTo>
                                  <a:pt x="299" y="83"/>
                                </a:lnTo>
                                <a:lnTo>
                                  <a:pt x="311" y="85"/>
                                </a:lnTo>
                                <a:lnTo>
                                  <a:pt x="322" y="93"/>
                                </a:lnTo>
                                <a:lnTo>
                                  <a:pt x="329" y="104"/>
                                </a:lnTo>
                                <a:lnTo>
                                  <a:pt x="331" y="116"/>
                                </a:lnTo>
                                <a:lnTo>
                                  <a:pt x="329" y="129"/>
                                </a:lnTo>
                                <a:lnTo>
                                  <a:pt x="322" y="140"/>
                                </a:lnTo>
                                <a:lnTo>
                                  <a:pt x="297" y="164"/>
                                </a:lnTo>
                                <a:lnTo>
                                  <a:pt x="295" y="166"/>
                                </a:lnTo>
                                <a:lnTo>
                                  <a:pt x="294" y="169"/>
                                </a:lnTo>
                                <a:lnTo>
                                  <a:pt x="294" y="176"/>
                                </a:lnTo>
                                <a:lnTo>
                                  <a:pt x="295" y="180"/>
                                </a:lnTo>
                                <a:lnTo>
                                  <a:pt x="297" y="182"/>
                                </a:lnTo>
                                <a:lnTo>
                                  <a:pt x="302" y="187"/>
                                </a:lnTo>
                                <a:lnTo>
                                  <a:pt x="311" y="187"/>
                                </a:lnTo>
                                <a:lnTo>
                                  <a:pt x="315" y="182"/>
                                </a:lnTo>
                                <a:lnTo>
                                  <a:pt x="329" y="168"/>
                                </a:lnTo>
                                <a:lnTo>
                                  <a:pt x="340" y="161"/>
                                </a:lnTo>
                                <a:lnTo>
                                  <a:pt x="352" y="158"/>
                                </a:lnTo>
                                <a:lnTo>
                                  <a:pt x="365" y="161"/>
                                </a:lnTo>
                                <a:lnTo>
                                  <a:pt x="376" y="168"/>
                                </a:lnTo>
                                <a:lnTo>
                                  <a:pt x="383" y="179"/>
                                </a:lnTo>
                                <a:lnTo>
                                  <a:pt x="385" y="192"/>
                                </a:lnTo>
                                <a:lnTo>
                                  <a:pt x="383" y="204"/>
                                </a:lnTo>
                                <a:lnTo>
                                  <a:pt x="376" y="215"/>
                                </a:lnTo>
                                <a:lnTo>
                                  <a:pt x="363" y="227"/>
                                </a:lnTo>
                                <a:lnTo>
                                  <a:pt x="363" y="229"/>
                                </a:lnTo>
                                <a:lnTo>
                                  <a:pt x="348" y="242"/>
                                </a:lnTo>
                                <a:lnTo>
                                  <a:pt x="343" y="248"/>
                                </a:lnTo>
                                <a:lnTo>
                                  <a:pt x="343" y="256"/>
                                </a:lnTo>
                                <a:lnTo>
                                  <a:pt x="348" y="261"/>
                                </a:lnTo>
                                <a:lnTo>
                                  <a:pt x="353" y="266"/>
                                </a:lnTo>
                                <a:lnTo>
                                  <a:pt x="361" y="266"/>
                                </a:lnTo>
                                <a:lnTo>
                                  <a:pt x="366" y="261"/>
                                </a:lnTo>
                                <a:lnTo>
                                  <a:pt x="381" y="246"/>
                                </a:lnTo>
                                <a:lnTo>
                                  <a:pt x="391" y="240"/>
                                </a:lnTo>
                                <a:lnTo>
                                  <a:pt x="403" y="237"/>
                                </a:lnTo>
                                <a:lnTo>
                                  <a:pt x="415" y="240"/>
                                </a:lnTo>
                                <a:lnTo>
                                  <a:pt x="426" y="248"/>
                                </a:lnTo>
                                <a:lnTo>
                                  <a:pt x="434" y="258"/>
                                </a:lnTo>
                                <a:lnTo>
                                  <a:pt x="436" y="270"/>
                                </a:lnTo>
                                <a:lnTo>
                                  <a:pt x="434" y="283"/>
                                </a:lnTo>
                                <a:lnTo>
                                  <a:pt x="426" y="294"/>
                                </a:lnTo>
                                <a:lnTo>
                                  <a:pt x="326" y="395"/>
                                </a:lnTo>
                                <a:lnTo>
                                  <a:pt x="344" y="413"/>
                                </a:lnTo>
                                <a:lnTo>
                                  <a:pt x="444" y="311"/>
                                </a:lnTo>
                                <a:lnTo>
                                  <a:pt x="457" y="292"/>
                                </a:lnTo>
                                <a:lnTo>
                                  <a:pt x="461" y="270"/>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7" name="Picture 19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5391" y="479"/>
                            <a:ext cx="235"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8" name="AutoShape 193"/>
                        <wps:cNvSpPr>
                          <a:spLocks/>
                        </wps:cNvSpPr>
                        <wps:spPr bwMode="auto">
                          <a:xfrm>
                            <a:off x="4803" y="-109"/>
                            <a:ext cx="443" cy="444"/>
                          </a:xfrm>
                          <a:custGeom>
                            <a:avLst/>
                            <a:gdLst>
                              <a:gd name="T0" fmla="+- 0 5045 4804"/>
                              <a:gd name="T1" fmla="*/ T0 w 443"/>
                              <a:gd name="T2" fmla="+- 0 252 -108"/>
                              <a:gd name="T3" fmla="*/ 252 h 444"/>
                              <a:gd name="T4" fmla="+- 0 5066 4804"/>
                              <a:gd name="T5" fmla="*/ T4 w 443"/>
                              <a:gd name="T6" fmla="+- 0 262 -108"/>
                              <a:gd name="T7" fmla="*/ 262 h 444"/>
                              <a:gd name="T8" fmla="+- 0 5157 4804"/>
                              <a:gd name="T9" fmla="*/ T8 w 443"/>
                              <a:gd name="T10" fmla="+- 0 317 -108"/>
                              <a:gd name="T11" fmla="*/ 317 h 444"/>
                              <a:gd name="T12" fmla="+- 0 4838 4804"/>
                              <a:gd name="T13" fmla="*/ T12 w 443"/>
                              <a:gd name="T14" fmla="+- 0 6 -108"/>
                              <a:gd name="T15" fmla="*/ 6 h 444"/>
                              <a:gd name="T16" fmla="+- 0 4809 4804"/>
                              <a:gd name="T17" fmla="*/ T16 w 443"/>
                              <a:gd name="T18" fmla="+- 0 54 -108"/>
                              <a:gd name="T19" fmla="*/ 54 h 444"/>
                              <a:gd name="T20" fmla="+- 0 4813 4804"/>
                              <a:gd name="T21" fmla="*/ T20 w 443"/>
                              <a:gd name="T22" fmla="+- 0 135 -108"/>
                              <a:gd name="T23" fmla="*/ 135 h 444"/>
                              <a:gd name="T24" fmla="+- 0 4903 4804"/>
                              <a:gd name="T25" fmla="*/ T24 w 443"/>
                              <a:gd name="T26" fmla="+- 0 235 -108"/>
                              <a:gd name="T27" fmla="*/ 235 h 444"/>
                              <a:gd name="T28" fmla="+- 0 4965 4804"/>
                              <a:gd name="T29" fmla="*/ T28 w 443"/>
                              <a:gd name="T30" fmla="+- 0 267 -108"/>
                              <a:gd name="T31" fmla="*/ 267 h 444"/>
                              <a:gd name="T32" fmla="+- 0 5034 4804"/>
                              <a:gd name="T33" fmla="*/ T32 w 443"/>
                              <a:gd name="T34" fmla="+- 0 257 -108"/>
                              <a:gd name="T35" fmla="*/ 257 h 444"/>
                              <a:gd name="T36" fmla="+- 0 5091 4804"/>
                              <a:gd name="T37" fmla="*/ T36 w 443"/>
                              <a:gd name="T38" fmla="+- 0 252 -108"/>
                              <a:gd name="T39" fmla="*/ 252 h 444"/>
                              <a:gd name="T40" fmla="+- 0 5082 4804"/>
                              <a:gd name="T41" fmla="*/ T40 w 443"/>
                              <a:gd name="T42" fmla="+- 0 243 -108"/>
                              <a:gd name="T43" fmla="*/ 243 h 444"/>
                              <a:gd name="T44" fmla="+- 0 4969 4804"/>
                              <a:gd name="T45" fmla="*/ T44 w 443"/>
                              <a:gd name="T46" fmla="+- 0 243 -108"/>
                              <a:gd name="T47" fmla="*/ 243 h 444"/>
                              <a:gd name="T48" fmla="+- 0 4920 4804"/>
                              <a:gd name="T49" fmla="*/ T48 w 443"/>
                              <a:gd name="T50" fmla="+- 0 218 -108"/>
                              <a:gd name="T51" fmla="*/ 218 h 444"/>
                              <a:gd name="T52" fmla="+- 0 4838 4804"/>
                              <a:gd name="T53" fmla="*/ T52 w 443"/>
                              <a:gd name="T54" fmla="+- 0 128 -108"/>
                              <a:gd name="T55" fmla="*/ 128 h 444"/>
                              <a:gd name="T56" fmla="+- 0 4831 4804"/>
                              <a:gd name="T57" fmla="*/ T56 w 443"/>
                              <a:gd name="T58" fmla="+- 0 72 -108"/>
                              <a:gd name="T59" fmla="*/ 72 h 444"/>
                              <a:gd name="T60" fmla="+- 0 4876 4804"/>
                              <a:gd name="T61" fmla="*/ T60 w 443"/>
                              <a:gd name="T62" fmla="+- 0 44 -108"/>
                              <a:gd name="T63" fmla="*/ 44 h 444"/>
                              <a:gd name="T64" fmla="+- 0 5071 4804"/>
                              <a:gd name="T65" fmla="*/ T64 w 443"/>
                              <a:gd name="T66" fmla="+- 0 -83 -108"/>
                              <a:gd name="T67" fmla="*/ -83 h 444"/>
                              <a:gd name="T68" fmla="+- 0 5039 4804"/>
                              <a:gd name="T69" fmla="*/ T68 w 443"/>
                              <a:gd name="T70" fmla="+- 0 -75 -108"/>
                              <a:gd name="T71" fmla="*/ -75 h 444"/>
                              <a:gd name="T72" fmla="+- 0 5130 4804"/>
                              <a:gd name="T73" fmla="*/ T72 w 443"/>
                              <a:gd name="T74" fmla="+- 0 8 -108"/>
                              <a:gd name="T75" fmla="*/ 8 h 444"/>
                              <a:gd name="T76" fmla="+- 0 5155 4804"/>
                              <a:gd name="T77" fmla="*/ T76 w 443"/>
                              <a:gd name="T78" fmla="+- 0 57 -108"/>
                              <a:gd name="T79" fmla="*/ 57 h 444"/>
                              <a:gd name="T80" fmla="+- 0 5147 4804"/>
                              <a:gd name="T81" fmla="*/ T80 w 443"/>
                              <a:gd name="T82" fmla="+- 0 111 -108"/>
                              <a:gd name="T83" fmla="*/ 111 h 444"/>
                              <a:gd name="T84" fmla="+- 0 5142 4804"/>
                              <a:gd name="T85" fmla="*/ T84 w 443"/>
                              <a:gd name="T86" fmla="+- 0 144 -108"/>
                              <a:gd name="T87" fmla="*/ 144 h 444"/>
                              <a:gd name="T88" fmla="+- 0 5156 4804"/>
                              <a:gd name="T89" fmla="*/ T88 w 443"/>
                              <a:gd name="T90" fmla="+- 0 172 -108"/>
                              <a:gd name="T91" fmla="*/ 172 h 444"/>
                              <a:gd name="T92" fmla="+- 0 5247 4804"/>
                              <a:gd name="T93" fmla="*/ T92 w 443"/>
                              <a:gd name="T94" fmla="+- 0 228 -108"/>
                              <a:gd name="T95" fmla="*/ 228 h 444"/>
                              <a:gd name="T96" fmla="+- 0 5165 4804"/>
                              <a:gd name="T97" fmla="*/ T96 w 443"/>
                              <a:gd name="T98" fmla="+- 0 147 -108"/>
                              <a:gd name="T99" fmla="*/ 147 h 444"/>
                              <a:gd name="T100" fmla="+- 0 5169 4804"/>
                              <a:gd name="T101" fmla="*/ T100 w 443"/>
                              <a:gd name="T102" fmla="+- 0 123 -108"/>
                              <a:gd name="T103" fmla="*/ 123 h 444"/>
                              <a:gd name="T104" fmla="+- 0 5180 4804"/>
                              <a:gd name="T105" fmla="*/ T104 w 443"/>
                              <a:gd name="T106" fmla="+- 0 53 -108"/>
                              <a:gd name="T107" fmla="*/ 53 h 444"/>
                              <a:gd name="T108" fmla="+- 0 5148 4804"/>
                              <a:gd name="T109" fmla="*/ T108 w 443"/>
                              <a:gd name="T110" fmla="+- 0 -10 -108"/>
                              <a:gd name="T111" fmla="*/ -10 h 444"/>
                              <a:gd name="T112" fmla="+- 0 5071 4804"/>
                              <a:gd name="T113" fmla="*/ T112 w 443"/>
                              <a:gd name="T114" fmla="+- 0 -83 -108"/>
                              <a:gd name="T115" fmla="*/ -83 h 444"/>
                              <a:gd name="T116" fmla="+- 0 5023 4804"/>
                              <a:gd name="T117" fmla="*/ T116 w 443"/>
                              <a:gd name="T118" fmla="+- 0 234 -108"/>
                              <a:gd name="T119" fmla="*/ 234 h 444"/>
                              <a:gd name="T120" fmla="+- 0 5082 4804"/>
                              <a:gd name="T121" fmla="*/ T120 w 443"/>
                              <a:gd name="T122" fmla="+- 0 243 -108"/>
                              <a:gd name="T123" fmla="*/ 243 h 444"/>
                              <a:gd name="T124" fmla="+- 0 5055 4804"/>
                              <a:gd name="T125" fmla="*/ T124 w 443"/>
                              <a:gd name="T126" fmla="+- 0 230 -108"/>
                              <a:gd name="T127" fmla="*/ 230 h 444"/>
                              <a:gd name="T128" fmla="+- 0 4876 4804"/>
                              <a:gd name="T129" fmla="*/ T128 w 443"/>
                              <a:gd name="T130" fmla="+- 0 44 -108"/>
                              <a:gd name="T131" fmla="*/ 44 h 444"/>
                              <a:gd name="T132" fmla="+- 0 4930 4804"/>
                              <a:gd name="T133" fmla="*/ T132 w 443"/>
                              <a:gd name="T134" fmla="+- 0 133 -108"/>
                              <a:gd name="T135" fmla="*/ 133 h 444"/>
                              <a:gd name="T136" fmla="+- 0 4961 4804"/>
                              <a:gd name="T137" fmla="*/ T136 w 443"/>
                              <a:gd name="T138" fmla="+- 0 146 -108"/>
                              <a:gd name="T139" fmla="*/ 146 h 444"/>
                              <a:gd name="T140" fmla="+- 0 4993 4804"/>
                              <a:gd name="T141" fmla="*/ T140 w 443"/>
                              <a:gd name="T142" fmla="+- 0 133 -108"/>
                              <a:gd name="T143" fmla="*/ 133 h 444"/>
                              <a:gd name="T144" fmla="+- 0 4955 4804"/>
                              <a:gd name="T145" fmla="*/ T144 w 443"/>
                              <a:gd name="T146" fmla="+- 0 122 -108"/>
                              <a:gd name="T147" fmla="*/ 122 h 444"/>
                              <a:gd name="T148" fmla="+- 0 5004 4804"/>
                              <a:gd name="T149" fmla="*/ T148 w 443"/>
                              <a:gd name="T150" fmla="+- 0 -108 -108"/>
                              <a:gd name="T151" fmla="*/ -108 h 444"/>
                              <a:gd name="T152" fmla="+- 0 4924 4804"/>
                              <a:gd name="T153" fmla="*/ T152 w 443"/>
                              <a:gd name="T154" fmla="+- 0 -78 -108"/>
                              <a:gd name="T155" fmla="*/ -78 h 444"/>
                              <a:gd name="T156" fmla="+- 0 5023 4804"/>
                              <a:gd name="T157" fmla="*/ T156 w 443"/>
                              <a:gd name="T158" fmla="+- 0 40 -108"/>
                              <a:gd name="T159" fmla="*/ 40 h 444"/>
                              <a:gd name="T160" fmla="+- 0 5029 4804"/>
                              <a:gd name="T161" fmla="*/ T160 w 443"/>
                              <a:gd name="T162" fmla="+- 0 48 -108"/>
                              <a:gd name="T163" fmla="*/ 48 h 444"/>
                              <a:gd name="T164" fmla="+- 0 5027 4804"/>
                              <a:gd name="T165" fmla="*/ T164 w 443"/>
                              <a:gd name="T166" fmla="+- 0 63 -108"/>
                              <a:gd name="T167" fmla="*/ 63 h 444"/>
                              <a:gd name="T168" fmla="+- 0 4976 4804"/>
                              <a:gd name="T169" fmla="*/ T168 w 443"/>
                              <a:gd name="T170" fmla="+- 0 115 -108"/>
                              <a:gd name="T171" fmla="*/ 115 h 444"/>
                              <a:gd name="T172" fmla="+- 0 5004 4804"/>
                              <a:gd name="T173" fmla="*/ T172 w 443"/>
                              <a:gd name="T174" fmla="+- 0 122 -108"/>
                              <a:gd name="T175" fmla="*/ 122 h 444"/>
                              <a:gd name="T176" fmla="+- 0 5050 4804"/>
                              <a:gd name="T177" fmla="*/ T176 w 443"/>
                              <a:gd name="T178" fmla="+- 0 77 -108"/>
                              <a:gd name="T179" fmla="*/ 77 h 444"/>
                              <a:gd name="T180" fmla="+- 0 5054 4804"/>
                              <a:gd name="T181" fmla="*/ T180 w 443"/>
                              <a:gd name="T182" fmla="+- 0 41 -108"/>
                              <a:gd name="T183" fmla="*/ 41 h 444"/>
                              <a:gd name="T184" fmla="+- 0 4952 4804"/>
                              <a:gd name="T185" fmla="*/ T184 w 443"/>
                              <a:gd name="T186" fmla="+- 0 -68 -108"/>
                              <a:gd name="T187" fmla="*/ -68 h 444"/>
                              <a:gd name="T188" fmla="+- 0 5010 4804"/>
                              <a:gd name="T189" fmla="*/ T188 w 443"/>
                              <a:gd name="T190" fmla="+- 0 -83 -108"/>
                              <a:gd name="T191" fmla="*/ -83 h 444"/>
                              <a:gd name="T192" fmla="+- 0 5046 4804"/>
                              <a:gd name="T193" fmla="*/ T192 w 443"/>
                              <a:gd name="T194" fmla="+- 0 -100 -108"/>
                              <a:gd name="T195" fmla="*/ -100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43" h="444">
                                <a:moveTo>
                                  <a:pt x="287" y="360"/>
                                </a:moveTo>
                                <a:lnTo>
                                  <a:pt x="241" y="360"/>
                                </a:lnTo>
                                <a:lnTo>
                                  <a:pt x="254" y="362"/>
                                </a:lnTo>
                                <a:lnTo>
                                  <a:pt x="262" y="370"/>
                                </a:lnTo>
                                <a:lnTo>
                                  <a:pt x="335" y="443"/>
                                </a:lnTo>
                                <a:lnTo>
                                  <a:pt x="353" y="425"/>
                                </a:lnTo>
                                <a:lnTo>
                                  <a:pt x="287" y="360"/>
                                </a:lnTo>
                                <a:close/>
                                <a:moveTo>
                                  <a:pt x="34" y="114"/>
                                </a:moveTo>
                                <a:lnTo>
                                  <a:pt x="26" y="125"/>
                                </a:lnTo>
                                <a:lnTo>
                                  <a:pt x="5" y="162"/>
                                </a:lnTo>
                                <a:lnTo>
                                  <a:pt x="0" y="203"/>
                                </a:lnTo>
                                <a:lnTo>
                                  <a:pt x="9" y="243"/>
                                </a:lnTo>
                                <a:lnTo>
                                  <a:pt x="33" y="278"/>
                                </a:lnTo>
                                <a:lnTo>
                                  <a:pt x="99" y="343"/>
                                </a:lnTo>
                                <a:lnTo>
                                  <a:pt x="128" y="365"/>
                                </a:lnTo>
                                <a:lnTo>
                                  <a:pt x="161" y="375"/>
                                </a:lnTo>
                                <a:lnTo>
                                  <a:pt x="196" y="376"/>
                                </a:lnTo>
                                <a:lnTo>
                                  <a:pt x="230" y="365"/>
                                </a:lnTo>
                                <a:lnTo>
                                  <a:pt x="241" y="360"/>
                                </a:lnTo>
                                <a:lnTo>
                                  <a:pt x="287" y="360"/>
                                </a:lnTo>
                                <a:lnTo>
                                  <a:pt x="280" y="352"/>
                                </a:lnTo>
                                <a:lnTo>
                                  <a:pt x="278" y="351"/>
                                </a:lnTo>
                                <a:lnTo>
                                  <a:pt x="192" y="351"/>
                                </a:lnTo>
                                <a:lnTo>
                                  <a:pt x="165" y="351"/>
                                </a:lnTo>
                                <a:lnTo>
                                  <a:pt x="139" y="342"/>
                                </a:lnTo>
                                <a:lnTo>
                                  <a:pt x="116" y="326"/>
                                </a:lnTo>
                                <a:lnTo>
                                  <a:pt x="51" y="260"/>
                                </a:lnTo>
                                <a:lnTo>
                                  <a:pt x="34" y="236"/>
                                </a:lnTo>
                                <a:lnTo>
                                  <a:pt x="26" y="208"/>
                                </a:lnTo>
                                <a:lnTo>
                                  <a:pt x="27" y="180"/>
                                </a:lnTo>
                                <a:lnTo>
                                  <a:pt x="37" y="152"/>
                                </a:lnTo>
                                <a:lnTo>
                                  <a:pt x="72" y="152"/>
                                </a:lnTo>
                                <a:lnTo>
                                  <a:pt x="34" y="114"/>
                                </a:lnTo>
                                <a:close/>
                                <a:moveTo>
                                  <a:pt x="267" y="25"/>
                                </a:moveTo>
                                <a:lnTo>
                                  <a:pt x="206" y="25"/>
                                </a:lnTo>
                                <a:lnTo>
                                  <a:pt x="235" y="33"/>
                                </a:lnTo>
                                <a:lnTo>
                                  <a:pt x="261" y="51"/>
                                </a:lnTo>
                                <a:lnTo>
                                  <a:pt x="326" y="116"/>
                                </a:lnTo>
                                <a:lnTo>
                                  <a:pt x="343" y="139"/>
                                </a:lnTo>
                                <a:lnTo>
                                  <a:pt x="351" y="165"/>
                                </a:lnTo>
                                <a:lnTo>
                                  <a:pt x="351" y="193"/>
                                </a:lnTo>
                                <a:lnTo>
                                  <a:pt x="343" y="219"/>
                                </a:lnTo>
                                <a:lnTo>
                                  <a:pt x="338" y="235"/>
                                </a:lnTo>
                                <a:lnTo>
                                  <a:pt x="338" y="252"/>
                                </a:lnTo>
                                <a:lnTo>
                                  <a:pt x="343" y="267"/>
                                </a:lnTo>
                                <a:lnTo>
                                  <a:pt x="352" y="280"/>
                                </a:lnTo>
                                <a:lnTo>
                                  <a:pt x="425" y="354"/>
                                </a:lnTo>
                                <a:lnTo>
                                  <a:pt x="443" y="336"/>
                                </a:lnTo>
                                <a:lnTo>
                                  <a:pt x="370" y="263"/>
                                </a:lnTo>
                                <a:lnTo>
                                  <a:pt x="361" y="255"/>
                                </a:lnTo>
                                <a:lnTo>
                                  <a:pt x="360" y="241"/>
                                </a:lnTo>
                                <a:lnTo>
                                  <a:pt x="365" y="231"/>
                                </a:lnTo>
                                <a:lnTo>
                                  <a:pt x="376" y="197"/>
                                </a:lnTo>
                                <a:lnTo>
                                  <a:pt x="376" y="161"/>
                                </a:lnTo>
                                <a:lnTo>
                                  <a:pt x="365" y="128"/>
                                </a:lnTo>
                                <a:lnTo>
                                  <a:pt x="344" y="98"/>
                                </a:lnTo>
                                <a:lnTo>
                                  <a:pt x="279" y="33"/>
                                </a:lnTo>
                                <a:lnTo>
                                  <a:pt x="267" y="25"/>
                                </a:lnTo>
                                <a:close/>
                                <a:moveTo>
                                  <a:pt x="235" y="338"/>
                                </a:moveTo>
                                <a:lnTo>
                                  <a:pt x="219" y="342"/>
                                </a:lnTo>
                                <a:lnTo>
                                  <a:pt x="192" y="351"/>
                                </a:lnTo>
                                <a:lnTo>
                                  <a:pt x="278" y="351"/>
                                </a:lnTo>
                                <a:lnTo>
                                  <a:pt x="267" y="343"/>
                                </a:lnTo>
                                <a:lnTo>
                                  <a:pt x="251" y="338"/>
                                </a:lnTo>
                                <a:lnTo>
                                  <a:pt x="235" y="338"/>
                                </a:lnTo>
                                <a:close/>
                                <a:moveTo>
                                  <a:pt x="72" y="152"/>
                                </a:moveTo>
                                <a:lnTo>
                                  <a:pt x="37" y="152"/>
                                </a:lnTo>
                                <a:lnTo>
                                  <a:pt x="126" y="241"/>
                                </a:lnTo>
                                <a:lnTo>
                                  <a:pt x="141" y="251"/>
                                </a:lnTo>
                                <a:lnTo>
                                  <a:pt x="157" y="254"/>
                                </a:lnTo>
                                <a:lnTo>
                                  <a:pt x="174" y="251"/>
                                </a:lnTo>
                                <a:lnTo>
                                  <a:pt x="189" y="241"/>
                                </a:lnTo>
                                <a:lnTo>
                                  <a:pt x="200" y="230"/>
                                </a:lnTo>
                                <a:lnTo>
                                  <a:pt x="151" y="230"/>
                                </a:lnTo>
                                <a:lnTo>
                                  <a:pt x="72" y="152"/>
                                </a:lnTo>
                                <a:close/>
                                <a:moveTo>
                                  <a:pt x="200" y="0"/>
                                </a:moveTo>
                                <a:lnTo>
                                  <a:pt x="158" y="7"/>
                                </a:lnTo>
                                <a:lnTo>
                                  <a:pt x="120" y="30"/>
                                </a:lnTo>
                                <a:lnTo>
                                  <a:pt x="110" y="39"/>
                                </a:lnTo>
                                <a:lnTo>
                                  <a:pt x="219" y="148"/>
                                </a:lnTo>
                                <a:lnTo>
                                  <a:pt x="223" y="151"/>
                                </a:lnTo>
                                <a:lnTo>
                                  <a:pt x="225" y="156"/>
                                </a:lnTo>
                                <a:lnTo>
                                  <a:pt x="225" y="166"/>
                                </a:lnTo>
                                <a:lnTo>
                                  <a:pt x="223" y="171"/>
                                </a:lnTo>
                                <a:lnTo>
                                  <a:pt x="219" y="175"/>
                                </a:lnTo>
                                <a:lnTo>
                                  <a:pt x="172" y="223"/>
                                </a:lnTo>
                                <a:lnTo>
                                  <a:pt x="164" y="230"/>
                                </a:lnTo>
                                <a:lnTo>
                                  <a:pt x="200" y="230"/>
                                </a:lnTo>
                                <a:lnTo>
                                  <a:pt x="237" y="192"/>
                                </a:lnTo>
                                <a:lnTo>
                                  <a:pt x="246" y="185"/>
                                </a:lnTo>
                                <a:lnTo>
                                  <a:pt x="250" y="173"/>
                                </a:lnTo>
                                <a:lnTo>
                                  <a:pt x="250" y="149"/>
                                </a:lnTo>
                                <a:lnTo>
                                  <a:pt x="246" y="138"/>
                                </a:lnTo>
                                <a:lnTo>
                                  <a:pt x="148" y="40"/>
                                </a:lnTo>
                                <a:lnTo>
                                  <a:pt x="176" y="27"/>
                                </a:lnTo>
                                <a:lnTo>
                                  <a:pt x="206" y="25"/>
                                </a:lnTo>
                                <a:lnTo>
                                  <a:pt x="267" y="25"/>
                                </a:lnTo>
                                <a:lnTo>
                                  <a:pt x="242" y="8"/>
                                </a:lnTo>
                                <a:lnTo>
                                  <a:pt x="200"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9" name="Picture 19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5438" y="527"/>
                            <a:ext cx="13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0" name="Freeform 191"/>
                        <wps:cNvSpPr>
                          <a:spLocks/>
                        </wps:cNvSpPr>
                        <wps:spPr bwMode="auto">
                          <a:xfrm>
                            <a:off x="5091" y="180"/>
                            <a:ext cx="108" cy="108"/>
                          </a:xfrm>
                          <a:custGeom>
                            <a:avLst/>
                            <a:gdLst>
                              <a:gd name="T0" fmla="+- 0 5109 5092"/>
                              <a:gd name="T1" fmla="*/ T0 w 108"/>
                              <a:gd name="T2" fmla="+- 0 180 180"/>
                              <a:gd name="T3" fmla="*/ 180 h 108"/>
                              <a:gd name="T4" fmla="+- 0 5092 5092"/>
                              <a:gd name="T5" fmla="*/ T4 w 108"/>
                              <a:gd name="T6" fmla="+- 0 198 180"/>
                              <a:gd name="T7" fmla="*/ 198 h 108"/>
                              <a:gd name="T8" fmla="+- 0 5181 5092"/>
                              <a:gd name="T9" fmla="*/ T8 w 108"/>
                              <a:gd name="T10" fmla="+- 0 287 180"/>
                              <a:gd name="T11" fmla="*/ 287 h 108"/>
                              <a:gd name="T12" fmla="+- 0 5199 5092"/>
                              <a:gd name="T13" fmla="*/ T12 w 108"/>
                              <a:gd name="T14" fmla="+- 0 270 180"/>
                              <a:gd name="T15" fmla="*/ 270 h 108"/>
                              <a:gd name="T16" fmla="+- 0 5109 5092"/>
                              <a:gd name="T17" fmla="*/ T16 w 108"/>
                              <a:gd name="T18" fmla="+- 0 180 180"/>
                              <a:gd name="T19" fmla="*/ 180 h 108"/>
                            </a:gdLst>
                            <a:ahLst/>
                            <a:cxnLst>
                              <a:cxn ang="0">
                                <a:pos x="T1" y="T3"/>
                              </a:cxn>
                              <a:cxn ang="0">
                                <a:pos x="T5" y="T7"/>
                              </a:cxn>
                              <a:cxn ang="0">
                                <a:pos x="T9" y="T11"/>
                              </a:cxn>
                              <a:cxn ang="0">
                                <a:pos x="T13" y="T15"/>
                              </a:cxn>
                              <a:cxn ang="0">
                                <a:pos x="T17" y="T19"/>
                              </a:cxn>
                            </a:cxnLst>
                            <a:rect l="0" t="0" r="r" b="b"/>
                            <a:pathLst>
                              <a:path w="108" h="108">
                                <a:moveTo>
                                  <a:pt x="17" y="0"/>
                                </a:moveTo>
                                <a:lnTo>
                                  <a:pt x="0" y="18"/>
                                </a:lnTo>
                                <a:lnTo>
                                  <a:pt x="89" y="107"/>
                                </a:lnTo>
                                <a:lnTo>
                                  <a:pt x="107" y="90"/>
                                </a:lnTo>
                                <a:lnTo>
                                  <a:pt x="17"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989C4" id="Group 190" o:spid="_x0000_s1026" style="position:absolute;margin-left:240.2pt;margin-top:-5.4pt;width:41.1pt;height:47.35pt;z-index:251714560;mso-position-horizontal-relative:page" coordorigin="4804,-108" coordsize="822,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">
                <v:shape id="Picture 196" o:spid="_x0000_s1027" type="#_x0000_t75" style="position:absolute;left:4839;top:240;width:587;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">
                  <v:imagedata r:id="rId204" o:title=""/>
                </v:shape>
                <v:shape id="AutoShape 195" o:spid="_x0000_s1028" style="position:absolute;left:5079;top:161;width:462;height:641;visibility:visible;mso-wrap-style:square;v-text-anchor:top" coordsize="46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" path="m35,622l18,605,,624r16,17l35,622m71,586l48,569,24,588r22,17l71,586m461,270r-5,-22l449,237r-5,-8l435,221r-9,-5l417,213r-10,-1l410,196r-1,-17l403,164r-4,-6l393,150r-9,-8l375,137r-10,-3l354,133r3,-15l355,102,349,87r-4,-4l339,74,327,65,313,59r-3,l299,57r-15,2l283,48,280,37,275,27r-1,-1l267,17,248,4,226,,204,4,186,17,24,182r17,17l204,35r10,-7l227,26r12,2l250,36r7,11l260,59r-3,13l250,83r-6,5l241,91r,2l241,100r,4l244,106r5,5l257,111r5,-5l268,100r8,-8l286,85r13,-2l311,85r11,8l329,104r2,12l329,129r-7,11l297,164r-2,2l294,169r,7l295,180r2,2l302,187r9,l315,182r14,-14l340,161r12,-3l365,161r11,7l383,179r2,13l383,204r-7,11l363,227r,2l348,242r-5,6l343,256r5,5l353,266r8,l366,261r15,-15l391,240r12,-3l415,240r11,8l434,258r2,12l434,283r-8,11l326,395r18,18l444,311r13,-19l461,270e" fillcolor="#001f5f" stroked="f">
                  <v:path arrowok="t" o:connecttype="custom" o:connectlocs="18,767;16,803;71,748;24,750;71,748;456,410;444,391;426,378;407,374;409,341;399,320;384,304;365,296;357,280;349,249;339,236;313,221;299,219;283,210;275,189;267,179;226,162;186,179;41,361;214,190;239,190;257,209;257,234;244,250;241,255;241,266;249,273;262,268;276,254;299,245;322,255;331,278;322,302;295,328;294,338;297,344;311,349;329,330;352,320;376,330;385,354;376,377;363,391;343,410;348,423;361,428;381,408;403,399;426,410;436,432;426,456;344,575;457,454" o:connectangles="0,0,0,0,0,0,0,0,0,0,0,0,0,0,0,0,0,0,0,0,0,0,0,0,0,0,0,0,0,0,0,0,0,0,0,0,0,0,0,0,0,0,0,0,0,0,0,0,0,0,0,0,0,0,0,0,0,0"/>
                </v:shape>
                <v:shape id="Picture 194" o:spid="_x0000_s1029" type="#_x0000_t75" style="position:absolute;left:5391;top:479;width:23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">
                  <v:imagedata r:id="rId205" o:title=""/>
                </v:shape>
                <v:shape id="AutoShape 193" o:spid="_x0000_s1030" style="position:absolute;left:4803;top:-109;width:443;height:444;visibility:visible;mso-wrap-style:square;v-text-anchor:top" coordsize="44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" path="m287,360r-46,l254,362r8,8l335,443r18,-18l287,360xm34,114r-8,11l5,162,,203r9,40l33,278r66,65l128,365r33,10l196,376r34,-11l241,360r46,l280,352r-2,-1l192,351r-27,l139,342,116,326,51,260,34,236,26,208r1,-28l37,152r35,l34,114xm267,25r-61,l235,33r26,18l326,116r17,23l351,165r,28l343,219r-5,16l338,252r5,15l352,280r73,74l443,336,370,263r-9,-8l360,241r5,-10l376,197r,-36l365,128,344,98,279,33,267,25xm235,338r-16,4l192,351r86,l267,343r-16,-5l235,338xm72,152r-35,l126,241r15,10l157,254r17,-3l189,241r11,-11l151,230,72,152xm200,l158,7,120,30r-10,9l219,148r4,3l225,156r,10l223,171r-4,4l172,223r-8,7l200,230r37,-38l246,185r4,-12l250,149r-4,-11l148,40,176,27r30,-2l267,25,242,8,200,xe" fillcolor="#001f5f" stroked="f">
                  <v:path arrowok="t" o:connecttype="custom" o:connectlocs="241,252;262,262;353,317;34,6;5,54;9,135;99,235;161,267;230,257;287,252;278,243;165,243;116,218;34,128;27,72;72,44;267,-83;235,-75;326,8;351,57;343,111;338,144;352,172;443,228;361,147;365,123;376,53;344,-10;267,-83;219,234;278,243;251,230;72,44;126,133;157,146;189,133;151,122;200,-108;120,-78;219,40;225,48;223,63;172,115;200,122;246,77;250,41;148,-68;206,-83;242,-100" o:connectangles="0,0,0,0,0,0,0,0,0,0,0,0,0,0,0,0,0,0,0,0,0,0,0,0,0,0,0,0,0,0,0,0,0,0,0,0,0,0,0,0,0,0,0,0,0,0,0,0,0"/>
                </v:shape>
                <v:shape id="Picture 192" o:spid="_x0000_s1031" type="#_x0000_t75" style="position:absolute;left:5438;top:527;width:132;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">
                  <v:imagedata r:id="rId206" o:title=""/>
                </v:shape>
                <v:shape id="Freeform 191" o:spid="_x0000_s1032" style="position:absolute;left:5091;top:180;width:108;height:108;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" path="m17,l,18r89,89l107,90,17,xe" fillcolor="#001f5f" stroked="f">
                  <v:path arrowok="t" o:connecttype="custom" o:connectlocs="17,180;0,198;89,287;107,270;17,180" o:connectangles="0,0,0,0,0"/>
                </v:shape>
                <w10:wrap anchorx="page"/>
              </v:group>
            </w:pict>
          </mc:Fallback>
        </mc:AlternateContent>
      </w:r>
      <w:r>
        <w:rPr>
          <w:color w:val="001F5F"/>
          <w:w w:val="105"/>
        </w:rPr>
        <w:t xml:space="preserve">Modify </w:t>
      </w:r>
      <w:r>
        <w:rPr>
          <w:color w:val="001F5F"/>
          <w:spacing w:val="-4"/>
          <w:w w:val="105"/>
        </w:rPr>
        <w:t xml:space="preserve">to </w:t>
      </w:r>
      <w:r>
        <w:rPr>
          <w:color w:val="001F5F"/>
          <w:w w:val="105"/>
        </w:rPr>
        <w:t xml:space="preserve">avoid being regulated </w:t>
      </w:r>
      <w:r>
        <w:rPr>
          <w:color w:val="001F5F"/>
          <w:spacing w:val="2"/>
          <w:w w:val="105"/>
        </w:rPr>
        <w:t xml:space="preserve">as </w:t>
      </w:r>
      <w:r>
        <w:rPr>
          <w:color w:val="001F5F"/>
          <w:w w:val="105"/>
        </w:rPr>
        <w:t>a therapeuti</w:t>
      </w:r>
      <w:r>
        <w:rPr>
          <w:color w:val="001F5F"/>
          <w:w w:val="105"/>
        </w:rPr>
        <w:lastRenderedPageBreak/>
        <w:t xml:space="preserve">c </w:t>
      </w:r>
      <w:r>
        <w:rPr>
          <w:color w:val="001F5F"/>
          <w:spacing w:val="-3"/>
          <w:w w:val="105"/>
        </w:rPr>
        <w:t>good</w:t>
      </w:r>
    </w:p>
    <w:p w:rsidR="007D76BB" w:rsidRDefault="007D76BB">
      <w:pPr>
        <w:pStyle w:val="BodyText"/>
        <w:spacing w:before="5"/>
        <w:rPr>
          <w:rFonts w:ascii="Arial"/>
          <w:sz w:val="18"/>
        </w:rPr>
      </w:pPr>
    </w:p>
    <w:p w:rsidR="007D76BB" w:rsidRDefault="007D76BB">
      <w:pPr>
        <w:pStyle w:val="BodyText"/>
        <w:spacing w:before="1"/>
        <w:rPr>
          <w:rFonts w:ascii="Arial"/>
          <w:sz w:val="6"/>
        </w:rPr>
      </w:pPr>
    </w:p>
    <w:p w:rsidR="007D76BB" w:rsidRDefault="007D76BB">
      <w:pPr>
        <w:rPr>
          <w:rFonts w:ascii="Arial"/>
          <w:sz w:val="6"/>
        </w:rPr>
        <w:sectPr w:rsidR="007D76BB">
          <w:pgSz w:w="11910" w:h="16850"/>
          <w:pgMar w:top="820" w:right="820" w:bottom="740" w:left="1220" w:header="459" w:footer="546" w:gutter="0"/>
          <w:cols w:space="720"/>
        </w:sectPr>
      </w:pPr>
    </w:p>
    <w:p w:rsidR="007D76BB" w:rsidRDefault="00D70D28">
      <w:pPr>
        <w:spacing w:before="100"/>
        <w:ind w:left="635"/>
        <w:rPr>
          <w:rFonts w:ascii="Arial"/>
          <w:sz w:val="24"/>
        </w:rPr>
      </w:pPr>
      <w:r>
        <w:rPr>
          <w:rFonts w:ascii="Arial"/>
          <w:color w:val="001F5F"/>
          <w:w w:val="105"/>
          <w:sz w:val="24"/>
        </w:rPr>
        <w:t>Change</w:t>
      </w:r>
      <w:r>
        <w:rPr>
          <w:rFonts w:ascii="Arial"/>
          <w:color w:val="001F5F"/>
          <w:spacing w:val="-46"/>
          <w:w w:val="105"/>
          <w:sz w:val="24"/>
        </w:rPr>
        <w:t xml:space="preserve"> </w:t>
      </w:r>
      <w:r>
        <w:rPr>
          <w:rFonts w:ascii="Arial"/>
          <w:color w:val="001F5F"/>
          <w:spacing w:val="-4"/>
          <w:w w:val="105"/>
          <w:sz w:val="24"/>
        </w:rPr>
        <w:t>the</w:t>
      </w:r>
      <w:r>
        <w:rPr>
          <w:rFonts w:ascii="Arial"/>
          <w:color w:val="001F5F"/>
          <w:spacing w:val="-45"/>
          <w:w w:val="105"/>
          <w:sz w:val="24"/>
        </w:rPr>
        <w:t xml:space="preserve"> </w:t>
      </w:r>
      <w:r>
        <w:rPr>
          <w:rFonts w:ascii="Arial"/>
          <w:color w:val="001F5F"/>
          <w:spacing w:val="-4"/>
          <w:w w:val="105"/>
          <w:sz w:val="24"/>
        </w:rPr>
        <w:t>claims</w:t>
      </w:r>
    </w:p>
    <w:p w:rsidR="007D76BB" w:rsidRDefault="00D70D28">
      <w:pPr>
        <w:spacing w:before="100"/>
        <w:ind w:left="612"/>
        <w:rPr>
          <w:rFonts w:ascii="Arial"/>
          <w:sz w:val="24"/>
        </w:rPr>
      </w:pPr>
      <w:r>
        <w:br w:type="column"/>
      </w:r>
      <w:r>
        <w:rPr>
          <w:rFonts w:ascii="Arial"/>
          <w:color w:val="001F5F"/>
          <w:w w:val="105"/>
          <w:sz w:val="24"/>
        </w:rPr>
        <w:lastRenderedPageBreak/>
        <w:t>Change</w:t>
      </w:r>
      <w:r>
        <w:rPr>
          <w:rFonts w:ascii="Arial"/>
          <w:color w:val="001F5F"/>
          <w:spacing w:val="-40"/>
          <w:w w:val="105"/>
          <w:sz w:val="24"/>
        </w:rPr>
        <w:t xml:space="preserve"> </w:t>
      </w:r>
      <w:r>
        <w:rPr>
          <w:rFonts w:ascii="Arial"/>
          <w:color w:val="001F5F"/>
          <w:spacing w:val="-3"/>
          <w:w w:val="105"/>
          <w:sz w:val="24"/>
        </w:rPr>
        <w:t>the</w:t>
      </w:r>
      <w:r>
        <w:rPr>
          <w:rFonts w:ascii="Arial"/>
          <w:color w:val="001F5F"/>
          <w:spacing w:val="-40"/>
          <w:w w:val="105"/>
          <w:sz w:val="24"/>
        </w:rPr>
        <w:t xml:space="preserve"> </w:t>
      </w:r>
      <w:r>
        <w:rPr>
          <w:rFonts w:ascii="Arial"/>
          <w:color w:val="001F5F"/>
          <w:w w:val="105"/>
          <w:sz w:val="24"/>
        </w:rPr>
        <w:t>formulation</w:t>
      </w:r>
    </w:p>
    <w:p w:rsidR="007D76BB" w:rsidRDefault="00D70D28">
      <w:pPr>
        <w:spacing w:before="100"/>
        <w:ind w:left="232"/>
        <w:rPr>
          <w:rFonts w:ascii="Arial"/>
          <w:sz w:val="24"/>
        </w:rPr>
      </w:pPr>
      <w:r>
        <w:br w:type="column"/>
      </w:r>
      <w:r>
        <w:rPr>
          <w:rFonts w:ascii="Arial"/>
          <w:color w:val="001F5F"/>
          <w:w w:val="105"/>
          <w:sz w:val="24"/>
        </w:rPr>
        <w:lastRenderedPageBreak/>
        <w:t>Change the presentation</w:t>
      </w:r>
    </w:p>
    <w:p w:rsidR="007D76BB" w:rsidRDefault="007D76BB">
      <w:pPr>
        <w:rPr>
          <w:rFonts w:ascii="Arial"/>
          <w:sz w:val="24"/>
        </w:rPr>
        <w:sectPr w:rsidR="007D76BB">
          <w:type w:val="continuous"/>
          <w:pgSz w:w="11910" w:h="16850"/>
          <w:pgMar w:top="1220" w:right="820" w:bottom="280" w:left="1220" w:header="720" w:footer="720" w:gutter="0"/>
          <w:cols w:num="3" w:space="720" w:equalWidth="0">
            <w:col w:w="2604" w:space="40"/>
            <w:col w:w="3149" w:space="39"/>
            <w:col w:w="4038"/>
          </w:cols>
        </w:sectPr>
      </w:pPr>
    </w:p>
    <w:p w:rsidR="007D76BB" w:rsidRDefault="007D76BB">
      <w:pPr>
        <w:pStyle w:val="BodyText"/>
        <w:spacing w:before="10"/>
        <w:rPr>
          <w:rFonts w:ascii="Arial"/>
          <w:sz w:val="19"/>
        </w:rPr>
      </w:pPr>
    </w:p>
    <w:p w:rsidR="007D76BB" w:rsidRDefault="00D70D28">
      <w:pPr>
        <w:spacing w:before="108" w:line="264" w:lineRule="auto"/>
        <w:ind w:left="482" w:right="688"/>
        <w:rPr>
          <w:rFonts w:ascii="Arial" w:hAnsi="Arial"/>
          <w:sz w:val="19"/>
        </w:rPr>
      </w:pPr>
      <w:r>
        <w:rPr>
          <w:rFonts w:ascii="Arial" w:hAnsi="Arial"/>
          <w:w w:val="105"/>
          <w:sz w:val="19"/>
        </w:rPr>
        <w:t>Industry stakeholders have commented to Noetic that they are unlikely to seek to modify the product</w:t>
      </w:r>
      <w:r>
        <w:rPr>
          <w:rFonts w:ascii="Arial" w:hAnsi="Arial"/>
          <w:spacing w:val="-23"/>
          <w:w w:val="105"/>
          <w:sz w:val="19"/>
        </w:rPr>
        <w:t xml:space="preserve"> </w:t>
      </w:r>
      <w:r>
        <w:rPr>
          <w:rFonts w:ascii="Arial" w:hAnsi="Arial"/>
          <w:w w:val="105"/>
          <w:sz w:val="19"/>
        </w:rPr>
        <w:t>claims</w:t>
      </w:r>
      <w:r>
        <w:rPr>
          <w:rFonts w:ascii="Arial" w:hAnsi="Arial"/>
          <w:w w:val="105"/>
          <w:position w:val="7"/>
          <w:sz w:val="11"/>
        </w:rPr>
        <w:t>30</w:t>
      </w:r>
      <w:r>
        <w:rPr>
          <w:rFonts w:ascii="Arial" w:hAnsi="Arial"/>
          <w:w w:val="105"/>
          <w:sz w:val="19"/>
        </w:rPr>
        <w:t>,</w:t>
      </w:r>
      <w:r>
        <w:rPr>
          <w:rFonts w:ascii="Arial" w:hAnsi="Arial"/>
          <w:spacing w:val="-20"/>
          <w:w w:val="105"/>
          <w:sz w:val="19"/>
        </w:rPr>
        <w:t xml:space="preserve"> </w:t>
      </w:r>
      <w:r>
        <w:rPr>
          <w:rFonts w:ascii="Arial" w:hAnsi="Arial"/>
          <w:w w:val="105"/>
          <w:sz w:val="19"/>
        </w:rPr>
        <w:t>as</w:t>
      </w:r>
      <w:r>
        <w:rPr>
          <w:rFonts w:ascii="Arial" w:hAnsi="Arial"/>
          <w:spacing w:val="-23"/>
          <w:w w:val="105"/>
          <w:sz w:val="19"/>
        </w:rPr>
        <w:t xml:space="preserve"> </w:t>
      </w:r>
      <w:r>
        <w:rPr>
          <w:rFonts w:ascii="Arial" w:hAnsi="Arial"/>
          <w:w w:val="105"/>
          <w:sz w:val="19"/>
        </w:rPr>
        <w:t>these</w:t>
      </w:r>
      <w:r>
        <w:rPr>
          <w:rFonts w:ascii="Arial" w:hAnsi="Arial"/>
          <w:spacing w:val="-22"/>
          <w:w w:val="105"/>
          <w:sz w:val="19"/>
        </w:rPr>
        <w:t xml:space="preserve"> </w:t>
      </w:r>
      <w:r>
        <w:rPr>
          <w:rFonts w:ascii="Arial" w:hAnsi="Arial"/>
          <w:w w:val="105"/>
          <w:sz w:val="19"/>
        </w:rPr>
        <w:t>are</w:t>
      </w:r>
      <w:r>
        <w:rPr>
          <w:rFonts w:ascii="Arial" w:hAnsi="Arial"/>
          <w:spacing w:val="-23"/>
          <w:w w:val="105"/>
          <w:sz w:val="19"/>
        </w:rPr>
        <w:t xml:space="preserve"> </w:t>
      </w:r>
      <w:r>
        <w:rPr>
          <w:rFonts w:ascii="Arial" w:hAnsi="Arial"/>
          <w:w w:val="105"/>
          <w:sz w:val="19"/>
        </w:rPr>
        <w:t>integral</w:t>
      </w:r>
      <w:r>
        <w:rPr>
          <w:rFonts w:ascii="Arial" w:hAnsi="Arial"/>
          <w:spacing w:val="-23"/>
          <w:w w:val="105"/>
          <w:sz w:val="19"/>
        </w:rPr>
        <w:t xml:space="preserve"> </w:t>
      </w:r>
      <w:r>
        <w:rPr>
          <w:rFonts w:ascii="Arial" w:hAnsi="Arial"/>
          <w:w w:val="105"/>
          <w:sz w:val="19"/>
        </w:rPr>
        <w:t>to</w:t>
      </w:r>
      <w:r>
        <w:rPr>
          <w:rFonts w:ascii="Arial" w:hAnsi="Arial"/>
          <w:spacing w:val="-23"/>
          <w:w w:val="105"/>
          <w:sz w:val="19"/>
        </w:rPr>
        <w:t xml:space="preserve"> </w:t>
      </w:r>
      <w:r>
        <w:rPr>
          <w:rFonts w:ascii="Arial" w:hAnsi="Arial"/>
          <w:w w:val="105"/>
          <w:sz w:val="19"/>
        </w:rPr>
        <w:t>the</w:t>
      </w:r>
      <w:r>
        <w:rPr>
          <w:rFonts w:ascii="Arial" w:hAnsi="Arial"/>
          <w:spacing w:val="-20"/>
          <w:w w:val="105"/>
          <w:sz w:val="19"/>
        </w:rPr>
        <w:t xml:space="preserve"> </w:t>
      </w:r>
      <w:r>
        <w:rPr>
          <w:rFonts w:ascii="Arial" w:hAnsi="Arial"/>
          <w:w w:val="105"/>
          <w:sz w:val="19"/>
        </w:rPr>
        <w:t>product’s</w:t>
      </w:r>
      <w:r>
        <w:rPr>
          <w:rFonts w:ascii="Arial" w:hAnsi="Arial"/>
          <w:spacing w:val="-23"/>
          <w:w w:val="105"/>
          <w:sz w:val="19"/>
        </w:rPr>
        <w:t xml:space="preserve"> </w:t>
      </w:r>
      <w:r>
        <w:rPr>
          <w:rFonts w:ascii="Arial" w:hAnsi="Arial"/>
          <w:w w:val="105"/>
          <w:sz w:val="19"/>
        </w:rPr>
        <w:t>positioning</w:t>
      </w:r>
      <w:r>
        <w:rPr>
          <w:rFonts w:ascii="Arial" w:hAnsi="Arial"/>
          <w:spacing w:val="-22"/>
          <w:w w:val="105"/>
          <w:sz w:val="19"/>
        </w:rPr>
        <w:t xml:space="preserve"> </w:t>
      </w:r>
      <w:r>
        <w:rPr>
          <w:rFonts w:ascii="Arial" w:hAnsi="Arial"/>
          <w:w w:val="105"/>
          <w:sz w:val="19"/>
        </w:rPr>
        <w:t>in</w:t>
      </w:r>
      <w:r>
        <w:rPr>
          <w:rFonts w:ascii="Arial" w:hAnsi="Arial"/>
          <w:spacing w:val="-23"/>
          <w:w w:val="105"/>
          <w:sz w:val="19"/>
        </w:rPr>
        <w:t xml:space="preserve"> </w:t>
      </w:r>
      <w:r>
        <w:rPr>
          <w:rFonts w:ascii="Arial" w:hAnsi="Arial"/>
          <w:w w:val="105"/>
          <w:sz w:val="19"/>
        </w:rPr>
        <w:t>the</w:t>
      </w:r>
      <w:r>
        <w:rPr>
          <w:rFonts w:ascii="Arial" w:hAnsi="Arial"/>
          <w:spacing w:val="-20"/>
          <w:w w:val="105"/>
          <w:sz w:val="19"/>
        </w:rPr>
        <w:t xml:space="preserve"> </w:t>
      </w:r>
      <w:r>
        <w:rPr>
          <w:rFonts w:ascii="Arial" w:hAnsi="Arial"/>
          <w:w w:val="105"/>
          <w:sz w:val="19"/>
        </w:rPr>
        <w:t>marketplace.</w:t>
      </w:r>
      <w:r>
        <w:rPr>
          <w:rFonts w:ascii="Arial" w:hAnsi="Arial"/>
          <w:spacing w:val="-18"/>
          <w:w w:val="105"/>
          <w:sz w:val="19"/>
        </w:rPr>
        <w:t xml:space="preserve"> </w:t>
      </w:r>
      <w:r>
        <w:rPr>
          <w:rFonts w:ascii="Arial" w:hAnsi="Arial"/>
          <w:w w:val="105"/>
          <w:sz w:val="19"/>
        </w:rPr>
        <w:t>That</w:t>
      </w:r>
      <w:r>
        <w:rPr>
          <w:rFonts w:ascii="Arial" w:hAnsi="Arial"/>
          <w:spacing w:val="-22"/>
          <w:w w:val="105"/>
          <w:sz w:val="19"/>
        </w:rPr>
        <w:t xml:space="preserve"> </w:t>
      </w:r>
      <w:r>
        <w:rPr>
          <w:rFonts w:ascii="Arial" w:hAnsi="Arial"/>
          <w:w w:val="105"/>
          <w:sz w:val="19"/>
        </w:rPr>
        <w:t>is,</w:t>
      </w:r>
      <w:r>
        <w:rPr>
          <w:rFonts w:ascii="Arial" w:hAnsi="Arial"/>
          <w:spacing w:val="-21"/>
          <w:w w:val="105"/>
          <w:sz w:val="19"/>
        </w:rPr>
        <w:t xml:space="preserve"> </w:t>
      </w:r>
      <w:r>
        <w:rPr>
          <w:rFonts w:ascii="Arial" w:hAnsi="Arial"/>
          <w:w w:val="105"/>
          <w:sz w:val="19"/>
        </w:rPr>
        <w:t>the product category is clearly identified as ‘pre-workout’ or ‘fat burner’ (for example) and to claim otherwise</w:t>
      </w:r>
      <w:r>
        <w:rPr>
          <w:rFonts w:ascii="Arial" w:hAnsi="Arial"/>
          <w:spacing w:val="-24"/>
          <w:w w:val="105"/>
          <w:sz w:val="19"/>
        </w:rPr>
        <w:t xml:space="preserve"> </w:t>
      </w:r>
      <w:r>
        <w:rPr>
          <w:rFonts w:ascii="Arial" w:hAnsi="Arial"/>
          <w:w w:val="105"/>
          <w:sz w:val="19"/>
        </w:rPr>
        <w:t>would</w:t>
      </w:r>
      <w:r>
        <w:rPr>
          <w:rFonts w:ascii="Arial" w:hAnsi="Arial"/>
          <w:spacing w:val="-23"/>
          <w:w w:val="105"/>
          <w:sz w:val="19"/>
        </w:rPr>
        <w:t xml:space="preserve"> </w:t>
      </w:r>
      <w:r>
        <w:rPr>
          <w:rFonts w:ascii="Arial" w:hAnsi="Arial"/>
          <w:w w:val="105"/>
          <w:sz w:val="19"/>
        </w:rPr>
        <w:t>confuse</w:t>
      </w:r>
      <w:r>
        <w:rPr>
          <w:rFonts w:ascii="Arial" w:hAnsi="Arial"/>
          <w:spacing w:val="-23"/>
          <w:w w:val="105"/>
          <w:sz w:val="19"/>
        </w:rPr>
        <w:t xml:space="preserve"> </w:t>
      </w:r>
      <w:r>
        <w:rPr>
          <w:rFonts w:ascii="Arial" w:hAnsi="Arial"/>
          <w:w w:val="105"/>
          <w:sz w:val="19"/>
        </w:rPr>
        <w:t>consumers</w:t>
      </w:r>
      <w:r>
        <w:rPr>
          <w:rFonts w:ascii="Arial" w:hAnsi="Arial"/>
          <w:spacing w:val="-24"/>
          <w:w w:val="105"/>
          <w:sz w:val="19"/>
        </w:rPr>
        <w:t xml:space="preserve"> </w:t>
      </w:r>
      <w:r>
        <w:rPr>
          <w:rFonts w:ascii="Arial" w:hAnsi="Arial"/>
          <w:w w:val="105"/>
          <w:sz w:val="19"/>
        </w:rPr>
        <w:t>as</w:t>
      </w:r>
      <w:r>
        <w:rPr>
          <w:rFonts w:ascii="Arial" w:hAnsi="Arial"/>
          <w:spacing w:val="-23"/>
          <w:w w:val="105"/>
          <w:sz w:val="19"/>
        </w:rPr>
        <w:t xml:space="preserve"> </w:t>
      </w:r>
      <w:r>
        <w:rPr>
          <w:rFonts w:ascii="Arial" w:hAnsi="Arial"/>
          <w:w w:val="105"/>
          <w:sz w:val="19"/>
        </w:rPr>
        <w:t>to</w:t>
      </w:r>
      <w:r>
        <w:rPr>
          <w:rFonts w:ascii="Arial" w:hAnsi="Arial"/>
          <w:spacing w:val="-23"/>
          <w:w w:val="105"/>
          <w:sz w:val="19"/>
        </w:rPr>
        <w:t xml:space="preserve"> </w:t>
      </w:r>
      <w:r>
        <w:rPr>
          <w:rFonts w:ascii="Arial" w:hAnsi="Arial"/>
          <w:w w:val="105"/>
          <w:sz w:val="19"/>
        </w:rPr>
        <w:t>the</w:t>
      </w:r>
      <w:r>
        <w:rPr>
          <w:rFonts w:ascii="Arial" w:hAnsi="Arial"/>
          <w:spacing w:val="-22"/>
          <w:w w:val="105"/>
          <w:sz w:val="19"/>
        </w:rPr>
        <w:t xml:space="preserve"> </w:t>
      </w:r>
      <w:r>
        <w:rPr>
          <w:rFonts w:ascii="Arial" w:hAnsi="Arial"/>
          <w:w w:val="105"/>
          <w:sz w:val="19"/>
        </w:rPr>
        <w:t>product’s</w:t>
      </w:r>
      <w:r>
        <w:rPr>
          <w:rFonts w:ascii="Arial" w:hAnsi="Arial"/>
          <w:spacing w:val="-24"/>
          <w:w w:val="105"/>
          <w:sz w:val="19"/>
        </w:rPr>
        <w:t xml:space="preserve"> </w:t>
      </w:r>
      <w:r>
        <w:rPr>
          <w:rFonts w:ascii="Arial" w:hAnsi="Arial"/>
          <w:w w:val="105"/>
          <w:sz w:val="19"/>
        </w:rPr>
        <w:t>purpose.</w:t>
      </w:r>
      <w:r>
        <w:rPr>
          <w:rFonts w:ascii="Arial" w:hAnsi="Arial"/>
          <w:spacing w:val="-24"/>
          <w:w w:val="105"/>
          <w:sz w:val="19"/>
        </w:rPr>
        <w:t xml:space="preserve"> </w:t>
      </w:r>
      <w:r>
        <w:rPr>
          <w:rFonts w:ascii="Arial" w:hAnsi="Arial"/>
          <w:w w:val="105"/>
          <w:sz w:val="19"/>
        </w:rPr>
        <w:t>Therefore,</w:t>
      </w:r>
      <w:r>
        <w:rPr>
          <w:rFonts w:ascii="Arial" w:hAnsi="Arial"/>
          <w:spacing w:val="-24"/>
          <w:w w:val="105"/>
          <w:sz w:val="19"/>
        </w:rPr>
        <w:t xml:space="preserve"> </w:t>
      </w:r>
      <w:r>
        <w:rPr>
          <w:rFonts w:ascii="Arial" w:hAnsi="Arial"/>
          <w:w w:val="105"/>
          <w:sz w:val="19"/>
        </w:rPr>
        <w:t>if</w:t>
      </w:r>
      <w:r>
        <w:rPr>
          <w:rFonts w:ascii="Arial" w:hAnsi="Arial"/>
          <w:spacing w:val="-23"/>
          <w:w w:val="105"/>
          <w:sz w:val="19"/>
        </w:rPr>
        <w:t xml:space="preserve"> </w:t>
      </w:r>
      <w:r>
        <w:rPr>
          <w:rFonts w:ascii="Arial" w:hAnsi="Arial"/>
          <w:w w:val="105"/>
          <w:sz w:val="19"/>
        </w:rPr>
        <w:t>they</w:t>
      </w:r>
      <w:r>
        <w:rPr>
          <w:rFonts w:ascii="Arial" w:hAnsi="Arial"/>
          <w:spacing w:val="-23"/>
          <w:w w:val="105"/>
          <w:sz w:val="19"/>
        </w:rPr>
        <w:t xml:space="preserve"> </w:t>
      </w:r>
      <w:r>
        <w:rPr>
          <w:rFonts w:ascii="Arial" w:hAnsi="Arial"/>
          <w:w w:val="105"/>
          <w:sz w:val="19"/>
        </w:rPr>
        <w:t>seek</w:t>
      </w:r>
      <w:r>
        <w:rPr>
          <w:rFonts w:ascii="Arial" w:hAnsi="Arial"/>
          <w:spacing w:val="-22"/>
          <w:w w:val="105"/>
          <w:sz w:val="19"/>
        </w:rPr>
        <w:t xml:space="preserve"> </w:t>
      </w:r>
      <w:r>
        <w:rPr>
          <w:rFonts w:ascii="Arial" w:hAnsi="Arial"/>
          <w:w w:val="105"/>
          <w:sz w:val="19"/>
        </w:rPr>
        <w:t>for</w:t>
      </w:r>
      <w:r>
        <w:rPr>
          <w:rFonts w:ascii="Arial" w:hAnsi="Arial"/>
          <w:spacing w:val="-22"/>
          <w:w w:val="105"/>
          <w:sz w:val="19"/>
        </w:rPr>
        <w:t xml:space="preserve"> </w:t>
      </w:r>
      <w:r>
        <w:rPr>
          <w:rFonts w:ascii="Arial" w:hAnsi="Arial"/>
          <w:w w:val="105"/>
          <w:sz w:val="19"/>
        </w:rPr>
        <w:t>the product</w:t>
      </w:r>
      <w:r>
        <w:rPr>
          <w:rFonts w:ascii="Arial" w:hAnsi="Arial"/>
          <w:spacing w:val="-17"/>
          <w:w w:val="105"/>
          <w:sz w:val="19"/>
        </w:rPr>
        <w:t xml:space="preserve"> </w:t>
      </w:r>
      <w:r>
        <w:rPr>
          <w:rFonts w:ascii="Arial" w:hAnsi="Arial"/>
          <w:w w:val="105"/>
          <w:sz w:val="19"/>
        </w:rPr>
        <w:t>to</w:t>
      </w:r>
      <w:r>
        <w:rPr>
          <w:rFonts w:ascii="Arial" w:hAnsi="Arial"/>
          <w:spacing w:val="-17"/>
          <w:w w:val="105"/>
          <w:sz w:val="19"/>
        </w:rPr>
        <w:t xml:space="preserve"> </w:t>
      </w:r>
      <w:r>
        <w:rPr>
          <w:rFonts w:ascii="Arial" w:hAnsi="Arial"/>
          <w:w w:val="105"/>
          <w:sz w:val="19"/>
        </w:rPr>
        <w:t>remain</w:t>
      </w:r>
      <w:r>
        <w:rPr>
          <w:rFonts w:ascii="Arial" w:hAnsi="Arial"/>
          <w:spacing w:val="-16"/>
          <w:w w:val="105"/>
          <w:sz w:val="19"/>
        </w:rPr>
        <w:t xml:space="preserve"> </w:t>
      </w:r>
      <w:r>
        <w:rPr>
          <w:rFonts w:ascii="Arial" w:hAnsi="Arial"/>
          <w:w w:val="105"/>
          <w:sz w:val="19"/>
        </w:rPr>
        <w:t>regulated</w:t>
      </w:r>
      <w:r>
        <w:rPr>
          <w:rFonts w:ascii="Arial" w:hAnsi="Arial"/>
          <w:spacing w:val="-19"/>
          <w:w w:val="105"/>
          <w:sz w:val="19"/>
        </w:rPr>
        <w:t xml:space="preserve"> </w:t>
      </w:r>
      <w:r>
        <w:rPr>
          <w:rFonts w:ascii="Arial" w:hAnsi="Arial"/>
          <w:w w:val="105"/>
          <w:sz w:val="19"/>
        </w:rPr>
        <w:t>as</w:t>
      </w:r>
      <w:r>
        <w:rPr>
          <w:rFonts w:ascii="Arial" w:hAnsi="Arial"/>
          <w:spacing w:val="-16"/>
          <w:w w:val="105"/>
          <w:sz w:val="19"/>
        </w:rPr>
        <w:t xml:space="preserve"> </w:t>
      </w:r>
      <w:r>
        <w:rPr>
          <w:rFonts w:ascii="Arial" w:hAnsi="Arial"/>
          <w:w w:val="105"/>
          <w:sz w:val="19"/>
        </w:rPr>
        <w:t>a</w:t>
      </w:r>
      <w:r>
        <w:rPr>
          <w:rFonts w:ascii="Arial" w:hAnsi="Arial"/>
          <w:spacing w:val="-15"/>
          <w:w w:val="105"/>
          <w:sz w:val="19"/>
        </w:rPr>
        <w:t xml:space="preserve"> </w:t>
      </w:r>
      <w:r>
        <w:rPr>
          <w:rFonts w:ascii="Arial" w:hAnsi="Arial"/>
          <w:w w:val="105"/>
          <w:sz w:val="19"/>
        </w:rPr>
        <w:t>food,</w:t>
      </w:r>
      <w:r>
        <w:rPr>
          <w:rFonts w:ascii="Arial" w:hAnsi="Arial"/>
          <w:spacing w:val="-16"/>
          <w:w w:val="105"/>
          <w:sz w:val="19"/>
        </w:rPr>
        <w:t xml:space="preserve"> </w:t>
      </w:r>
      <w:r>
        <w:rPr>
          <w:rFonts w:ascii="Arial" w:hAnsi="Arial"/>
          <w:w w:val="105"/>
          <w:sz w:val="19"/>
        </w:rPr>
        <w:t>they</w:t>
      </w:r>
      <w:r>
        <w:rPr>
          <w:rFonts w:ascii="Arial" w:hAnsi="Arial"/>
          <w:spacing w:val="-17"/>
          <w:w w:val="105"/>
          <w:sz w:val="19"/>
        </w:rPr>
        <w:t xml:space="preserve"> </w:t>
      </w:r>
      <w:r>
        <w:rPr>
          <w:rFonts w:ascii="Arial" w:hAnsi="Arial"/>
          <w:w w:val="105"/>
          <w:sz w:val="19"/>
        </w:rPr>
        <w:t>either</w:t>
      </w:r>
      <w:r>
        <w:rPr>
          <w:rFonts w:ascii="Arial" w:hAnsi="Arial"/>
          <w:spacing w:val="-17"/>
          <w:w w:val="105"/>
          <w:sz w:val="19"/>
        </w:rPr>
        <w:t xml:space="preserve"> </w:t>
      </w:r>
      <w:r>
        <w:rPr>
          <w:rFonts w:ascii="Arial" w:hAnsi="Arial"/>
          <w:w w:val="105"/>
          <w:sz w:val="19"/>
        </w:rPr>
        <w:t>need</w:t>
      </w:r>
      <w:r>
        <w:rPr>
          <w:rFonts w:ascii="Arial" w:hAnsi="Arial"/>
          <w:spacing w:val="-17"/>
          <w:w w:val="105"/>
          <w:sz w:val="19"/>
        </w:rPr>
        <w:t xml:space="preserve"> </w:t>
      </w:r>
      <w:r>
        <w:rPr>
          <w:rFonts w:ascii="Arial" w:hAnsi="Arial"/>
          <w:w w:val="105"/>
          <w:sz w:val="19"/>
        </w:rPr>
        <w:t>to</w:t>
      </w:r>
      <w:r>
        <w:rPr>
          <w:rFonts w:ascii="Arial" w:hAnsi="Arial"/>
          <w:spacing w:val="-16"/>
          <w:w w:val="105"/>
          <w:sz w:val="19"/>
        </w:rPr>
        <w:t xml:space="preserve"> </w:t>
      </w:r>
      <w:r>
        <w:rPr>
          <w:rFonts w:ascii="Arial" w:hAnsi="Arial"/>
          <w:w w:val="105"/>
          <w:sz w:val="19"/>
        </w:rPr>
        <w:t>remove</w:t>
      </w:r>
      <w:r>
        <w:rPr>
          <w:rFonts w:ascii="Arial" w:hAnsi="Arial"/>
          <w:spacing w:val="-16"/>
          <w:w w:val="105"/>
          <w:sz w:val="19"/>
        </w:rPr>
        <w:t xml:space="preserve"> </w:t>
      </w:r>
      <w:r>
        <w:rPr>
          <w:rFonts w:ascii="Arial" w:hAnsi="Arial"/>
          <w:w w:val="105"/>
          <w:sz w:val="19"/>
        </w:rPr>
        <w:t>the</w:t>
      </w:r>
      <w:r>
        <w:rPr>
          <w:rFonts w:ascii="Arial" w:hAnsi="Arial"/>
          <w:spacing w:val="-17"/>
          <w:w w:val="105"/>
          <w:sz w:val="19"/>
        </w:rPr>
        <w:t xml:space="preserve"> </w:t>
      </w:r>
      <w:r>
        <w:rPr>
          <w:rFonts w:ascii="Arial" w:hAnsi="Arial"/>
          <w:w w:val="105"/>
          <w:sz w:val="19"/>
        </w:rPr>
        <w:t>ingredient(s)</w:t>
      </w:r>
      <w:r>
        <w:rPr>
          <w:rFonts w:ascii="Arial" w:hAnsi="Arial"/>
          <w:spacing w:val="-16"/>
          <w:w w:val="105"/>
          <w:sz w:val="19"/>
        </w:rPr>
        <w:t xml:space="preserve"> </w:t>
      </w:r>
      <w:r>
        <w:rPr>
          <w:rFonts w:ascii="Arial" w:hAnsi="Arial"/>
          <w:w w:val="105"/>
          <w:sz w:val="19"/>
        </w:rPr>
        <w:t>that</w:t>
      </w:r>
      <w:r>
        <w:rPr>
          <w:rFonts w:ascii="Arial" w:hAnsi="Arial"/>
          <w:spacing w:val="-17"/>
          <w:w w:val="105"/>
          <w:sz w:val="19"/>
        </w:rPr>
        <w:t xml:space="preserve"> </w:t>
      </w:r>
      <w:r>
        <w:rPr>
          <w:rFonts w:ascii="Arial" w:hAnsi="Arial"/>
          <w:w w:val="105"/>
          <w:sz w:val="19"/>
        </w:rPr>
        <w:t>‘trip</w:t>
      </w:r>
      <w:r>
        <w:rPr>
          <w:rFonts w:ascii="Arial" w:hAnsi="Arial"/>
          <w:spacing w:val="-15"/>
          <w:w w:val="105"/>
          <w:sz w:val="19"/>
        </w:rPr>
        <w:t xml:space="preserve"> </w:t>
      </w:r>
      <w:r>
        <w:rPr>
          <w:rFonts w:ascii="Arial" w:hAnsi="Arial"/>
          <w:w w:val="105"/>
          <w:sz w:val="19"/>
        </w:rPr>
        <w:t>the therapeutic</w:t>
      </w:r>
      <w:r>
        <w:rPr>
          <w:rFonts w:ascii="Arial" w:hAnsi="Arial"/>
          <w:spacing w:val="-12"/>
          <w:w w:val="105"/>
          <w:sz w:val="19"/>
        </w:rPr>
        <w:t xml:space="preserve"> </w:t>
      </w:r>
      <w:r>
        <w:rPr>
          <w:rFonts w:ascii="Arial" w:hAnsi="Arial"/>
          <w:w w:val="105"/>
          <w:sz w:val="19"/>
        </w:rPr>
        <w:t>goods</w:t>
      </w:r>
      <w:r>
        <w:rPr>
          <w:rFonts w:ascii="Arial" w:hAnsi="Arial"/>
          <w:spacing w:val="-13"/>
          <w:w w:val="105"/>
          <w:sz w:val="19"/>
        </w:rPr>
        <w:t xml:space="preserve"> </w:t>
      </w:r>
      <w:r>
        <w:rPr>
          <w:rFonts w:ascii="Arial" w:hAnsi="Arial"/>
          <w:w w:val="105"/>
          <w:sz w:val="19"/>
        </w:rPr>
        <w:t>wire’</w:t>
      </w:r>
      <w:r>
        <w:rPr>
          <w:rFonts w:ascii="Arial" w:hAnsi="Arial"/>
          <w:spacing w:val="-12"/>
          <w:w w:val="105"/>
          <w:sz w:val="19"/>
        </w:rPr>
        <w:t xml:space="preserve"> </w:t>
      </w:r>
      <w:r>
        <w:rPr>
          <w:rFonts w:ascii="Arial" w:hAnsi="Arial"/>
          <w:w w:val="105"/>
          <w:sz w:val="19"/>
        </w:rPr>
        <w:t>or</w:t>
      </w:r>
      <w:r>
        <w:rPr>
          <w:rFonts w:ascii="Arial" w:hAnsi="Arial"/>
          <w:spacing w:val="-15"/>
          <w:w w:val="105"/>
          <w:sz w:val="19"/>
        </w:rPr>
        <w:t xml:space="preserve"> </w:t>
      </w:r>
      <w:r>
        <w:rPr>
          <w:rFonts w:ascii="Arial" w:hAnsi="Arial"/>
          <w:w w:val="105"/>
          <w:sz w:val="19"/>
        </w:rPr>
        <w:t>change</w:t>
      </w:r>
      <w:r>
        <w:rPr>
          <w:rFonts w:ascii="Arial" w:hAnsi="Arial"/>
          <w:spacing w:val="-11"/>
          <w:w w:val="105"/>
          <w:sz w:val="19"/>
        </w:rPr>
        <w:t xml:space="preserve"> </w:t>
      </w:r>
      <w:r>
        <w:rPr>
          <w:rFonts w:ascii="Arial" w:hAnsi="Arial"/>
          <w:w w:val="105"/>
          <w:sz w:val="19"/>
        </w:rPr>
        <w:t>how</w:t>
      </w:r>
      <w:r>
        <w:rPr>
          <w:rFonts w:ascii="Arial" w:hAnsi="Arial"/>
          <w:spacing w:val="-13"/>
          <w:w w:val="105"/>
          <w:sz w:val="19"/>
        </w:rPr>
        <w:t xml:space="preserve"> </w:t>
      </w:r>
      <w:r>
        <w:rPr>
          <w:rFonts w:ascii="Arial" w:hAnsi="Arial"/>
          <w:w w:val="105"/>
          <w:sz w:val="19"/>
        </w:rPr>
        <w:t>the</w:t>
      </w:r>
      <w:r>
        <w:rPr>
          <w:rFonts w:ascii="Arial" w:hAnsi="Arial"/>
          <w:spacing w:val="-12"/>
          <w:w w:val="105"/>
          <w:sz w:val="19"/>
        </w:rPr>
        <w:t xml:space="preserve"> </w:t>
      </w:r>
      <w:r>
        <w:rPr>
          <w:rFonts w:ascii="Arial" w:hAnsi="Arial"/>
          <w:w w:val="105"/>
          <w:sz w:val="19"/>
        </w:rPr>
        <w:t>product</w:t>
      </w:r>
      <w:r>
        <w:rPr>
          <w:rFonts w:ascii="Arial" w:hAnsi="Arial"/>
          <w:spacing w:val="-14"/>
          <w:w w:val="105"/>
          <w:sz w:val="19"/>
        </w:rPr>
        <w:t xml:space="preserve"> </w:t>
      </w:r>
      <w:r>
        <w:rPr>
          <w:rFonts w:ascii="Arial" w:hAnsi="Arial"/>
          <w:w w:val="105"/>
          <w:sz w:val="19"/>
        </w:rPr>
        <w:t>is</w:t>
      </w:r>
      <w:r>
        <w:rPr>
          <w:rFonts w:ascii="Arial" w:hAnsi="Arial"/>
          <w:spacing w:val="-13"/>
          <w:w w:val="105"/>
          <w:sz w:val="19"/>
        </w:rPr>
        <w:t xml:space="preserve"> </w:t>
      </w:r>
      <w:r>
        <w:rPr>
          <w:rFonts w:ascii="Arial" w:hAnsi="Arial"/>
          <w:w w:val="105"/>
          <w:sz w:val="19"/>
        </w:rPr>
        <w:t>presented.</w:t>
      </w:r>
    </w:p>
    <w:p w:rsidR="007D76BB" w:rsidRDefault="00D70D28">
      <w:pPr>
        <w:spacing w:before="183" w:line="264" w:lineRule="auto"/>
        <w:ind w:left="482" w:right="844"/>
        <w:rPr>
          <w:rFonts w:ascii="Arial"/>
          <w:sz w:val="19"/>
        </w:rPr>
      </w:pPr>
      <w:r>
        <w:rPr>
          <w:rFonts w:ascii="Arial"/>
          <w:w w:val="105"/>
          <w:sz w:val="19"/>
        </w:rPr>
        <w:t>Industry</w:t>
      </w:r>
      <w:r>
        <w:rPr>
          <w:rFonts w:ascii="Arial"/>
          <w:spacing w:val="-23"/>
          <w:w w:val="105"/>
          <w:sz w:val="19"/>
        </w:rPr>
        <w:t xml:space="preserve"> </w:t>
      </w:r>
      <w:r>
        <w:rPr>
          <w:rFonts w:ascii="Arial"/>
          <w:w w:val="105"/>
          <w:sz w:val="19"/>
        </w:rPr>
        <w:t>advice</w:t>
      </w:r>
      <w:r>
        <w:rPr>
          <w:rFonts w:ascii="Arial"/>
          <w:spacing w:val="-20"/>
          <w:w w:val="105"/>
          <w:sz w:val="19"/>
        </w:rPr>
        <w:t xml:space="preserve"> </w:t>
      </w:r>
      <w:r>
        <w:rPr>
          <w:rFonts w:ascii="Arial"/>
          <w:w w:val="105"/>
          <w:sz w:val="19"/>
        </w:rPr>
        <w:t>to</w:t>
      </w:r>
      <w:r>
        <w:rPr>
          <w:rFonts w:ascii="Arial"/>
          <w:spacing w:val="-23"/>
          <w:w w:val="105"/>
          <w:sz w:val="19"/>
        </w:rPr>
        <w:t xml:space="preserve"> </w:t>
      </w:r>
      <w:r>
        <w:rPr>
          <w:rFonts w:ascii="Arial"/>
          <w:w w:val="105"/>
          <w:sz w:val="19"/>
        </w:rPr>
        <w:t>Noetic</w:t>
      </w:r>
      <w:r>
        <w:rPr>
          <w:rFonts w:ascii="Arial"/>
          <w:spacing w:val="-21"/>
          <w:w w:val="105"/>
          <w:sz w:val="19"/>
        </w:rPr>
        <w:t xml:space="preserve"> </w:t>
      </w:r>
      <w:r>
        <w:rPr>
          <w:rFonts w:ascii="Arial"/>
          <w:w w:val="105"/>
          <w:sz w:val="19"/>
        </w:rPr>
        <w:t>is</w:t>
      </w:r>
      <w:r>
        <w:rPr>
          <w:rFonts w:ascii="Arial"/>
          <w:spacing w:val="-19"/>
          <w:w w:val="105"/>
          <w:sz w:val="19"/>
        </w:rPr>
        <w:t xml:space="preserve"> </w:t>
      </w:r>
      <w:r>
        <w:rPr>
          <w:rFonts w:ascii="Arial"/>
          <w:w w:val="105"/>
          <w:sz w:val="19"/>
        </w:rPr>
        <w:t>that</w:t>
      </w:r>
      <w:r>
        <w:rPr>
          <w:rFonts w:ascii="Arial"/>
          <w:spacing w:val="-22"/>
          <w:w w:val="105"/>
          <w:sz w:val="19"/>
        </w:rPr>
        <w:t xml:space="preserve"> </w:t>
      </w:r>
      <w:r>
        <w:rPr>
          <w:rFonts w:ascii="Arial"/>
          <w:w w:val="105"/>
          <w:sz w:val="19"/>
        </w:rPr>
        <w:t>the</w:t>
      </w:r>
      <w:r>
        <w:rPr>
          <w:rFonts w:ascii="Arial"/>
          <w:spacing w:val="-21"/>
          <w:w w:val="105"/>
          <w:sz w:val="19"/>
        </w:rPr>
        <w:t xml:space="preserve"> </w:t>
      </w:r>
      <w:r>
        <w:rPr>
          <w:rFonts w:ascii="Arial"/>
          <w:w w:val="105"/>
          <w:sz w:val="19"/>
        </w:rPr>
        <w:t>approach</w:t>
      </w:r>
      <w:r>
        <w:rPr>
          <w:rFonts w:ascii="Arial"/>
          <w:spacing w:val="-21"/>
          <w:w w:val="105"/>
          <w:sz w:val="19"/>
        </w:rPr>
        <w:t xml:space="preserve"> </w:t>
      </w:r>
      <w:r>
        <w:rPr>
          <w:rFonts w:ascii="Arial"/>
          <w:w w:val="105"/>
          <w:sz w:val="19"/>
        </w:rPr>
        <w:t>to</w:t>
      </w:r>
      <w:r>
        <w:rPr>
          <w:rFonts w:ascii="Arial"/>
          <w:spacing w:val="-20"/>
          <w:w w:val="105"/>
          <w:sz w:val="19"/>
        </w:rPr>
        <w:t xml:space="preserve"> </w:t>
      </w:r>
      <w:r>
        <w:rPr>
          <w:rFonts w:ascii="Arial"/>
          <w:w w:val="105"/>
          <w:sz w:val="19"/>
        </w:rPr>
        <w:t>be</w:t>
      </w:r>
      <w:r>
        <w:rPr>
          <w:rFonts w:ascii="Arial"/>
          <w:spacing w:val="-22"/>
          <w:w w:val="105"/>
          <w:sz w:val="19"/>
        </w:rPr>
        <w:t xml:space="preserve"> </w:t>
      </w:r>
      <w:r>
        <w:rPr>
          <w:rFonts w:ascii="Arial"/>
          <w:w w:val="105"/>
          <w:sz w:val="19"/>
        </w:rPr>
        <w:t>taken</w:t>
      </w:r>
      <w:r>
        <w:rPr>
          <w:rFonts w:ascii="Arial"/>
          <w:spacing w:val="-21"/>
          <w:w w:val="105"/>
          <w:sz w:val="19"/>
        </w:rPr>
        <w:t xml:space="preserve"> </w:t>
      </w:r>
      <w:r>
        <w:rPr>
          <w:rFonts w:ascii="Arial"/>
          <w:w w:val="105"/>
          <w:sz w:val="19"/>
        </w:rPr>
        <w:t>very</w:t>
      </w:r>
      <w:r>
        <w:rPr>
          <w:rFonts w:ascii="Arial"/>
          <w:spacing w:val="-21"/>
          <w:w w:val="105"/>
          <w:sz w:val="19"/>
        </w:rPr>
        <w:t xml:space="preserve"> </w:t>
      </w:r>
      <w:r>
        <w:rPr>
          <w:rFonts w:ascii="Arial"/>
          <w:w w:val="105"/>
          <w:sz w:val="19"/>
        </w:rPr>
        <w:t>much</w:t>
      </w:r>
      <w:r>
        <w:rPr>
          <w:rFonts w:ascii="Arial"/>
          <w:spacing w:val="-22"/>
          <w:w w:val="105"/>
          <w:sz w:val="19"/>
        </w:rPr>
        <w:t xml:space="preserve"> </w:t>
      </w:r>
      <w:r>
        <w:rPr>
          <w:rFonts w:ascii="Arial"/>
          <w:w w:val="105"/>
          <w:sz w:val="19"/>
        </w:rPr>
        <w:t>depends</w:t>
      </w:r>
      <w:r>
        <w:rPr>
          <w:rFonts w:ascii="Arial"/>
          <w:spacing w:val="-21"/>
          <w:w w:val="105"/>
          <w:sz w:val="19"/>
        </w:rPr>
        <w:t xml:space="preserve"> </w:t>
      </w:r>
      <w:r>
        <w:rPr>
          <w:rFonts w:ascii="Arial"/>
          <w:w w:val="105"/>
          <w:sz w:val="19"/>
        </w:rPr>
        <w:t>on</w:t>
      </w:r>
      <w:r>
        <w:rPr>
          <w:rFonts w:ascii="Arial"/>
          <w:spacing w:val="-20"/>
          <w:w w:val="105"/>
          <w:sz w:val="19"/>
        </w:rPr>
        <w:t xml:space="preserve"> </w:t>
      </w:r>
      <w:r>
        <w:rPr>
          <w:rFonts w:ascii="Arial"/>
          <w:w w:val="105"/>
          <w:sz w:val="19"/>
        </w:rPr>
        <w:t>where</w:t>
      </w:r>
      <w:r>
        <w:rPr>
          <w:rFonts w:ascii="Arial"/>
          <w:spacing w:val="-20"/>
          <w:w w:val="105"/>
          <w:sz w:val="19"/>
        </w:rPr>
        <w:t xml:space="preserve"> </w:t>
      </w:r>
      <w:r>
        <w:rPr>
          <w:rFonts w:ascii="Arial"/>
          <w:w w:val="105"/>
          <w:sz w:val="19"/>
        </w:rPr>
        <w:t>the</w:t>
      </w:r>
      <w:r>
        <w:rPr>
          <w:rFonts w:ascii="Arial"/>
          <w:spacing w:val="-22"/>
          <w:w w:val="105"/>
          <w:sz w:val="19"/>
        </w:rPr>
        <w:t xml:space="preserve"> </w:t>
      </w:r>
      <w:r>
        <w:rPr>
          <w:rFonts w:ascii="Arial"/>
          <w:w w:val="105"/>
          <w:sz w:val="19"/>
        </w:rPr>
        <w:t>product sits</w:t>
      </w:r>
      <w:r>
        <w:rPr>
          <w:rFonts w:ascii="Arial"/>
          <w:spacing w:val="-20"/>
          <w:w w:val="105"/>
          <w:sz w:val="19"/>
        </w:rPr>
        <w:t xml:space="preserve"> </w:t>
      </w:r>
      <w:r>
        <w:rPr>
          <w:rFonts w:ascii="Arial"/>
          <w:w w:val="105"/>
          <w:sz w:val="19"/>
        </w:rPr>
        <w:t>along</w:t>
      </w:r>
      <w:r>
        <w:rPr>
          <w:rFonts w:ascii="Arial"/>
          <w:spacing w:val="-19"/>
          <w:w w:val="105"/>
          <w:sz w:val="19"/>
        </w:rPr>
        <w:t xml:space="preserve"> </w:t>
      </w:r>
      <w:r>
        <w:rPr>
          <w:rFonts w:ascii="Arial"/>
          <w:w w:val="105"/>
          <w:sz w:val="19"/>
        </w:rPr>
        <w:t>a</w:t>
      </w:r>
      <w:r>
        <w:rPr>
          <w:rFonts w:ascii="Arial"/>
          <w:spacing w:val="-21"/>
          <w:w w:val="105"/>
          <w:sz w:val="19"/>
        </w:rPr>
        <w:t xml:space="preserve"> </w:t>
      </w:r>
      <w:r>
        <w:rPr>
          <w:rFonts w:ascii="Arial"/>
          <w:w w:val="105"/>
          <w:sz w:val="19"/>
        </w:rPr>
        <w:t>continuum</w:t>
      </w:r>
      <w:r>
        <w:rPr>
          <w:rFonts w:ascii="Arial"/>
          <w:spacing w:val="-19"/>
          <w:w w:val="105"/>
          <w:sz w:val="19"/>
        </w:rPr>
        <w:t xml:space="preserve"> </w:t>
      </w:r>
      <w:r>
        <w:rPr>
          <w:rFonts w:ascii="Arial"/>
          <w:w w:val="105"/>
          <w:sz w:val="19"/>
        </w:rPr>
        <w:t>of</w:t>
      </w:r>
      <w:r>
        <w:rPr>
          <w:rFonts w:ascii="Arial"/>
          <w:spacing w:val="-21"/>
          <w:w w:val="105"/>
          <w:sz w:val="19"/>
        </w:rPr>
        <w:t xml:space="preserve"> </w:t>
      </w:r>
      <w:r>
        <w:rPr>
          <w:rFonts w:ascii="Arial"/>
          <w:w w:val="105"/>
          <w:sz w:val="19"/>
        </w:rPr>
        <w:t>product</w:t>
      </w:r>
      <w:r>
        <w:rPr>
          <w:rFonts w:ascii="Arial"/>
          <w:spacing w:val="-19"/>
          <w:w w:val="105"/>
          <w:sz w:val="19"/>
        </w:rPr>
        <w:t xml:space="preserve"> </w:t>
      </w:r>
      <w:r>
        <w:rPr>
          <w:rFonts w:ascii="Arial"/>
          <w:w w:val="105"/>
          <w:sz w:val="19"/>
        </w:rPr>
        <w:t>substitution.</w:t>
      </w:r>
      <w:r>
        <w:rPr>
          <w:rFonts w:ascii="Arial"/>
          <w:spacing w:val="-18"/>
          <w:w w:val="105"/>
          <w:sz w:val="19"/>
        </w:rPr>
        <w:t xml:space="preserve"> </w:t>
      </w:r>
      <w:r>
        <w:rPr>
          <w:rFonts w:ascii="Arial"/>
          <w:w w:val="105"/>
          <w:sz w:val="19"/>
        </w:rPr>
        <w:t>That</w:t>
      </w:r>
      <w:r>
        <w:rPr>
          <w:rFonts w:ascii="Arial"/>
          <w:spacing w:val="-19"/>
          <w:w w:val="105"/>
          <w:sz w:val="19"/>
        </w:rPr>
        <w:t xml:space="preserve"> </w:t>
      </w:r>
      <w:r>
        <w:rPr>
          <w:rFonts w:ascii="Arial"/>
          <w:w w:val="105"/>
          <w:sz w:val="19"/>
        </w:rPr>
        <w:t>is,</w:t>
      </w:r>
      <w:r>
        <w:rPr>
          <w:rFonts w:ascii="Arial"/>
          <w:spacing w:val="-21"/>
          <w:w w:val="105"/>
          <w:sz w:val="19"/>
        </w:rPr>
        <w:t xml:space="preserve"> </w:t>
      </w:r>
      <w:r>
        <w:rPr>
          <w:rFonts w:ascii="Arial"/>
          <w:w w:val="105"/>
          <w:sz w:val="19"/>
        </w:rPr>
        <w:t>non-premium</w:t>
      </w:r>
      <w:r>
        <w:rPr>
          <w:rFonts w:ascii="Arial"/>
          <w:spacing w:val="-22"/>
          <w:w w:val="105"/>
          <w:sz w:val="19"/>
        </w:rPr>
        <w:t xml:space="preserve"> </w:t>
      </w:r>
      <w:r>
        <w:rPr>
          <w:rFonts w:ascii="Arial"/>
          <w:w w:val="105"/>
          <w:sz w:val="19"/>
        </w:rPr>
        <w:t>products</w:t>
      </w:r>
      <w:r>
        <w:rPr>
          <w:rFonts w:ascii="Arial"/>
          <w:spacing w:val="-20"/>
          <w:w w:val="105"/>
          <w:sz w:val="19"/>
        </w:rPr>
        <w:t xml:space="preserve"> </w:t>
      </w:r>
      <w:r>
        <w:rPr>
          <w:rFonts w:ascii="Arial"/>
          <w:w w:val="105"/>
          <w:sz w:val="19"/>
        </w:rPr>
        <w:t>that</w:t>
      </w:r>
      <w:r>
        <w:rPr>
          <w:rFonts w:ascii="Arial"/>
          <w:spacing w:val="-20"/>
          <w:w w:val="105"/>
          <w:sz w:val="19"/>
        </w:rPr>
        <w:t xml:space="preserve"> </w:t>
      </w:r>
      <w:r>
        <w:rPr>
          <w:rFonts w:ascii="Arial"/>
          <w:w w:val="105"/>
          <w:sz w:val="19"/>
        </w:rPr>
        <w:t>generally</w:t>
      </w:r>
      <w:r>
        <w:rPr>
          <w:rFonts w:ascii="Arial"/>
          <w:spacing w:val="-22"/>
          <w:w w:val="105"/>
          <w:sz w:val="19"/>
        </w:rPr>
        <w:t xml:space="preserve"> </w:t>
      </w:r>
      <w:r>
        <w:rPr>
          <w:rFonts w:ascii="Arial"/>
          <w:w w:val="105"/>
          <w:sz w:val="19"/>
        </w:rPr>
        <w:t>have low</w:t>
      </w:r>
      <w:r>
        <w:rPr>
          <w:rFonts w:ascii="Arial"/>
          <w:spacing w:val="-22"/>
          <w:w w:val="105"/>
          <w:sz w:val="19"/>
        </w:rPr>
        <w:t xml:space="preserve"> </w:t>
      </w:r>
      <w:r>
        <w:rPr>
          <w:rFonts w:ascii="Arial"/>
          <w:w w:val="105"/>
          <w:sz w:val="19"/>
        </w:rPr>
        <w:t>profit</w:t>
      </w:r>
      <w:r>
        <w:rPr>
          <w:rFonts w:ascii="Arial"/>
          <w:spacing w:val="-22"/>
          <w:w w:val="105"/>
          <w:sz w:val="19"/>
        </w:rPr>
        <w:t xml:space="preserve"> </w:t>
      </w:r>
      <w:r>
        <w:rPr>
          <w:rFonts w:ascii="Arial"/>
          <w:w w:val="105"/>
          <w:sz w:val="19"/>
        </w:rPr>
        <w:t>margins</w:t>
      </w:r>
      <w:r>
        <w:rPr>
          <w:rFonts w:ascii="Arial"/>
          <w:spacing w:val="-23"/>
          <w:w w:val="105"/>
          <w:sz w:val="19"/>
        </w:rPr>
        <w:t xml:space="preserve"> </w:t>
      </w:r>
      <w:r>
        <w:rPr>
          <w:rFonts w:ascii="Arial"/>
          <w:w w:val="105"/>
          <w:sz w:val="19"/>
        </w:rPr>
        <w:t>and</w:t>
      </w:r>
      <w:r>
        <w:rPr>
          <w:rFonts w:ascii="Arial"/>
          <w:spacing w:val="-22"/>
          <w:w w:val="105"/>
          <w:sz w:val="19"/>
        </w:rPr>
        <w:t xml:space="preserve"> </w:t>
      </w:r>
      <w:r>
        <w:rPr>
          <w:rFonts w:ascii="Arial"/>
          <w:w w:val="105"/>
          <w:sz w:val="19"/>
        </w:rPr>
        <w:t>that</w:t>
      </w:r>
      <w:r>
        <w:rPr>
          <w:rFonts w:ascii="Arial"/>
          <w:spacing w:val="-22"/>
          <w:w w:val="105"/>
          <w:sz w:val="19"/>
        </w:rPr>
        <w:t xml:space="preserve"> </w:t>
      </w:r>
      <w:r>
        <w:rPr>
          <w:rFonts w:ascii="Arial"/>
          <w:w w:val="105"/>
          <w:sz w:val="19"/>
        </w:rPr>
        <w:t>are</w:t>
      </w:r>
      <w:r>
        <w:rPr>
          <w:rFonts w:ascii="Arial"/>
          <w:spacing w:val="-21"/>
          <w:w w:val="105"/>
          <w:sz w:val="19"/>
        </w:rPr>
        <w:t xml:space="preserve"> </w:t>
      </w:r>
      <w:r>
        <w:rPr>
          <w:rFonts w:ascii="Arial"/>
          <w:w w:val="105"/>
          <w:sz w:val="19"/>
        </w:rPr>
        <w:t>powders</w:t>
      </w:r>
      <w:r>
        <w:rPr>
          <w:rFonts w:ascii="Arial"/>
          <w:spacing w:val="-22"/>
          <w:w w:val="105"/>
          <w:sz w:val="19"/>
        </w:rPr>
        <w:t xml:space="preserve"> </w:t>
      </w:r>
      <w:r>
        <w:rPr>
          <w:rFonts w:ascii="Arial"/>
          <w:w w:val="105"/>
          <w:sz w:val="19"/>
        </w:rPr>
        <w:t>or</w:t>
      </w:r>
      <w:r>
        <w:rPr>
          <w:rFonts w:ascii="Arial"/>
          <w:spacing w:val="-21"/>
          <w:w w:val="105"/>
          <w:sz w:val="19"/>
        </w:rPr>
        <w:t xml:space="preserve"> </w:t>
      </w:r>
      <w:r>
        <w:rPr>
          <w:rFonts w:ascii="Arial"/>
          <w:w w:val="105"/>
          <w:sz w:val="19"/>
        </w:rPr>
        <w:t>other</w:t>
      </w:r>
      <w:r>
        <w:rPr>
          <w:rFonts w:ascii="Arial"/>
          <w:spacing w:val="-21"/>
          <w:w w:val="105"/>
          <w:sz w:val="19"/>
        </w:rPr>
        <w:t xml:space="preserve"> </w:t>
      </w:r>
      <w:r>
        <w:rPr>
          <w:rFonts w:ascii="Arial"/>
          <w:w w:val="105"/>
          <w:sz w:val="19"/>
        </w:rPr>
        <w:t>traditional</w:t>
      </w:r>
      <w:r>
        <w:rPr>
          <w:rFonts w:ascii="Arial"/>
          <w:spacing w:val="-21"/>
          <w:w w:val="105"/>
          <w:sz w:val="19"/>
        </w:rPr>
        <w:t xml:space="preserve"> </w:t>
      </w:r>
      <w:r>
        <w:rPr>
          <w:rFonts w:ascii="Arial"/>
          <w:w w:val="105"/>
          <w:sz w:val="19"/>
        </w:rPr>
        <w:t>food</w:t>
      </w:r>
      <w:r>
        <w:rPr>
          <w:rFonts w:ascii="Arial"/>
          <w:spacing w:val="-23"/>
          <w:w w:val="105"/>
          <w:sz w:val="19"/>
        </w:rPr>
        <w:t xml:space="preserve"> </w:t>
      </w:r>
      <w:r>
        <w:rPr>
          <w:rFonts w:ascii="Arial"/>
          <w:w w:val="105"/>
          <w:sz w:val="19"/>
        </w:rPr>
        <w:t>presentations</w:t>
      </w:r>
      <w:r>
        <w:rPr>
          <w:rFonts w:ascii="Arial"/>
          <w:spacing w:val="-22"/>
          <w:w w:val="105"/>
          <w:sz w:val="19"/>
        </w:rPr>
        <w:t xml:space="preserve"> </w:t>
      </w:r>
      <w:r>
        <w:rPr>
          <w:rFonts w:ascii="Arial"/>
          <w:w w:val="105"/>
          <w:sz w:val="19"/>
        </w:rPr>
        <w:t>(such</w:t>
      </w:r>
      <w:r>
        <w:rPr>
          <w:rFonts w:ascii="Arial"/>
          <w:spacing w:val="-23"/>
          <w:w w:val="105"/>
          <w:sz w:val="19"/>
        </w:rPr>
        <w:t xml:space="preserve"> </w:t>
      </w:r>
      <w:r>
        <w:rPr>
          <w:rFonts w:ascii="Arial"/>
          <w:w w:val="105"/>
          <w:sz w:val="19"/>
        </w:rPr>
        <w:t>as</w:t>
      </w:r>
      <w:r>
        <w:rPr>
          <w:rFonts w:ascii="Arial"/>
          <w:spacing w:val="-21"/>
          <w:w w:val="105"/>
          <w:sz w:val="19"/>
        </w:rPr>
        <w:t xml:space="preserve"> </w:t>
      </w:r>
      <w:r>
        <w:rPr>
          <w:rFonts w:ascii="Arial"/>
          <w:w w:val="105"/>
          <w:sz w:val="19"/>
        </w:rPr>
        <w:t>bars)</w:t>
      </w:r>
      <w:r>
        <w:rPr>
          <w:rFonts w:ascii="Arial"/>
          <w:spacing w:val="-22"/>
          <w:w w:val="105"/>
          <w:sz w:val="19"/>
        </w:rPr>
        <w:t xml:space="preserve"> </w:t>
      </w:r>
      <w:r>
        <w:rPr>
          <w:rFonts w:ascii="Arial"/>
          <w:w w:val="105"/>
          <w:sz w:val="19"/>
        </w:rPr>
        <w:t>would most likely seek to reformulate to remove the ingredients in question. The key driver of this response was the additional costs that would arise from GMP manufacturing relative to the high price</w:t>
      </w:r>
      <w:r>
        <w:rPr>
          <w:rFonts w:ascii="Arial"/>
          <w:spacing w:val="-25"/>
          <w:w w:val="105"/>
          <w:sz w:val="19"/>
        </w:rPr>
        <w:t xml:space="preserve"> </w:t>
      </w:r>
      <w:r>
        <w:rPr>
          <w:rFonts w:ascii="Arial"/>
          <w:w w:val="105"/>
          <w:sz w:val="19"/>
        </w:rPr>
        <w:t>elasticity</w:t>
      </w:r>
      <w:r>
        <w:rPr>
          <w:rFonts w:ascii="Arial"/>
          <w:spacing w:val="-23"/>
          <w:w w:val="105"/>
          <w:sz w:val="19"/>
        </w:rPr>
        <w:t xml:space="preserve"> </w:t>
      </w:r>
      <w:r>
        <w:rPr>
          <w:rFonts w:ascii="Arial"/>
          <w:w w:val="105"/>
          <w:sz w:val="19"/>
        </w:rPr>
        <w:t>of</w:t>
      </w:r>
      <w:r>
        <w:rPr>
          <w:rFonts w:ascii="Arial"/>
          <w:spacing w:val="-24"/>
          <w:w w:val="105"/>
          <w:sz w:val="19"/>
        </w:rPr>
        <w:t xml:space="preserve"> </w:t>
      </w:r>
      <w:r>
        <w:rPr>
          <w:rFonts w:ascii="Arial"/>
          <w:w w:val="105"/>
          <w:sz w:val="19"/>
        </w:rPr>
        <w:t>demand</w:t>
      </w:r>
      <w:r>
        <w:rPr>
          <w:rFonts w:ascii="Arial"/>
          <w:spacing w:val="-25"/>
          <w:w w:val="105"/>
          <w:sz w:val="19"/>
        </w:rPr>
        <w:t xml:space="preserve"> </w:t>
      </w:r>
      <w:r>
        <w:rPr>
          <w:rFonts w:ascii="Arial"/>
          <w:w w:val="105"/>
          <w:sz w:val="19"/>
        </w:rPr>
        <w:t>and</w:t>
      </w:r>
      <w:r>
        <w:rPr>
          <w:rFonts w:ascii="Arial"/>
          <w:spacing w:val="-24"/>
          <w:w w:val="105"/>
          <w:sz w:val="19"/>
        </w:rPr>
        <w:t xml:space="preserve"> </w:t>
      </w:r>
      <w:r>
        <w:rPr>
          <w:rFonts w:ascii="Arial"/>
          <w:w w:val="105"/>
          <w:sz w:val="19"/>
        </w:rPr>
        <w:t>existing</w:t>
      </w:r>
      <w:r>
        <w:rPr>
          <w:rFonts w:ascii="Arial"/>
          <w:spacing w:val="-24"/>
          <w:w w:val="105"/>
          <w:sz w:val="19"/>
        </w:rPr>
        <w:t xml:space="preserve"> </w:t>
      </w:r>
      <w:r>
        <w:rPr>
          <w:rFonts w:ascii="Arial"/>
          <w:w w:val="105"/>
          <w:sz w:val="19"/>
        </w:rPr>
        <w:t>low</w:t>
      </w:r>
      <w:r>
        <w:rPr>
          <w:rFonts w:ascii="Arial"/>
          <w:spacing w:val="-24"/>
          <w:w w:val="105"/>
          <w:sz w:val="19"/>
        </w:rPr>
        <w:t xml:space="preserve"> </w:t>
      </w:r>
      <w:r>
        <w:rPr>
          <w:rFonts w:ascii="Arial"/>
          <w:w w:val="105"/>
          <w:sz w:val="19"/>
        </w:rPr>
        <w:t>profit</w:t>
      </w:r>
      <w:r>
        <w:rPr>
          <w:rFonts w:ascii="Arial"/>
          <w:spacing w:val="-23"/>
          <w:w w:val="105"/>
          <w:sz w:val="19"/>
        </w:rPr>
        <w:t xml:space="preserve"> </w:t>
      </w:r>
      <w:r>
        <w:rPr>
          <w:rFonts w:ascii="Arial"/>
          <w:w w:val="105"/>
          <w:sz w:val="19"/>
        </w:rPr>
        <w:t>margins,</w:t>
      </w:r>
      <w:r>
        <w:rPr>
          <w:rFonts w:ascii="Arial"/>
          <w:spacing w:val="-25"/>
          <w:w w:val="105"/>
          <w:sz w:val="19"/>
        </w:rPr>
        <w:t xml:space="preserve"> </w:t>
      </w:r>
      <w:r>
        <w:rPr>
          <w:rFonts w:ascii="Arial"/>
          <w:w w:val="105"/>
          <w:sz w:val="19"/>
        </w:rPr>
        <w:t>meaning</w:t>
      </w:r>
      <w:r>
        <w:rPr>
          <w:rFonts w:ascii="Arial"/>
          <w:spacing w:val="-20"/>
          <w:w w:val="105"/>
          <w:sz w:val="19"/>
        </w:rPr>
        <w:t xml:space="preserve"> </w:t>
      </w:r>
      <w:r>
        <w:rPr>
          <w:rFonts w:ascii="Arial"/>
          <w:w w:val="105"/>
          <w:sz w:val="19"/>
        </w:rPr>
        <w:t>increases</w:t>
      </w:r>
      <w:r>
        <w:rPr>
          <w:rFonts w:ascii="Arial"/>
          <w:spacing w:val="-23"/>
          <w:w w:val="105"/>
          <w:sz w:val="19"/>
        </w:rPr>
        <w:t xml:space="preserve"> </w:t>
      </w:r>
      <w:r>
        <w:rPr>
          <w:rFonts w:ascii="Arial"/>
          <w:w w:val="105"/>
          <w:sz w:val="19"/>
        </w:rPr>
        <w:t>in</w:t>
      </w:r>
      <w:r>
        <w:rPr>
          <w:rFonts w:ascii="Arial"/>
          <w:spacing w:val="-25"/>
          <w:w w:val="105"/>
          <w:sz w:val="19"/>
        </w:rPr>
        <w:t xml:space="preserve"> </w:t>
      </w:r>
      <w:r>
        <w:rPr>
          <w:rFonts w:ascii="Arial"/>
          <w:w w:val="105"/>
          <w:sz w:val="19"/>
        </w:rPr>
        <w:t>the</w:t>
      </w:r>
      <w:r>
        <w:rPr>
          <w:rFonts w:ascii="Arial"/>
          <w:spacing w:val="-22"/>
          <w:w w:val="105"/>
          <w:sz w:val="19"/>
        </w:rPr>
        <w:t xml:space="preserve"> </w:t>
      </w:r>
      <w:r>
        <w:rPr>
          <w:rFonts w:ascii="Arial"/>
          <w:w w:val="105"/>
          <w:sz w:val="19"/>
        </w:rPr>
        <w:t>Costs</w:t>
      </w:r>
      <w:r>
        <w:rPr>
          <w:rFonts w:ascii="Arial"/>
          <w:spacing w:val="-24"/>
          <w:w w:val="105"/>
          <w:sz w:val="19"/>
        </w:rPr>
        <w:t xml:space="preserve"> </w:t>
      </w:r>
      <w:r>
        <w:rPr>
          <w:rFonts w:ascii="Arial"/>
          <w:w w:val="105"/>
          <w:sz w:val="19"/>
        </w:rPr>
        <w:t>of</w:t>
      </w:r>
      <w:r>
        <w:rPr>
          <w:rFonts w:ascii="Arial"/>
          <w:spacing w:val="-24"/>
          <w:w w:val="105"/>
          <w:sz w:val="19"/>
        </w:rPr>
        <w:t xml:space="preserve"> </w:t>
      </w:r>
      <w:r>
        <w:rPr>
          <w:rFonts w:ascii="Arial"/>
          <w:w w:val="105"/>
          <w:sz w:val="19"/>
        </w:rPr>
        <w:t>Good Sold</w:t>
      </w:r>
      <w:r>
        <w:rPr>
          <w:rFonts w:ascii="Arial"/>
          <w:spacing w:val="-14"/>
          <w:w w:val="105"/>
          <w:sz w:val="19"/>
        </w:rPr>
        <w:t xml:space="preserve"> </w:t>
      </w:r>
      <w:r>
        <w:rPr>
          <w:rFonts w:ascii="Arial"/>
          <w:w w:val="105"/>
          <w:sz w:val="19"/>
        </w:rPr>
        <w:t>(COGS)</w:t>
      </w:r>
      <w:r>
        <w:rPr>
          <w:rFonts w:ascii="Arial"/>
          <w:spacing w:val="-14"/>
          <w:w w:val="105"/>
          <w:sz w:val="19"/>
        </w:rPr>
        <w:t xml:space="preserve"> </w:t>
      </w:r>
      <w:r>
        <w:rPr>
          <w:rFonts w:ascii="Arial"/>
          <w:w w:val="105"/>
          <w:sz w:val="19"/>
        </w:rPr>
        <w:t>would</w:t>
      </w:r>
      <w:r>
        <w:rPr>
          <w:rFonts w:ascii="Arial"/>
          <w:spacing w:val="-14"/>
          <w:w w:val="105"/>
          <w:sz w:val="19"/>
        </w:rPr>
        <w:t xml:space="preserve"> </w:t>
      </w:r>
      <w:r>
        <w:rPr>
          <w:rFonts w:ascii="Arial"/>
          <w:w w:val="105"/>
          <w:sz w:val="19"/>
        </w:rPr>
        <w:t>need</w:t>
      </w:r>
      <w:r>
        <w:rPr>
          <w:rFonts w:ascii="Arial"/>
          <w:spacing w:val="-15"/>
          <w:w w:val="105"/>
          <w:sz w:val="19"/>
        </w:rPr>
        <w:t xml:space="preserve"> </w:t>
      </w:r>
      <w:r>
        <w:rPr>
          <w:rFonts w:ascii="Arial"/>
          <w:w w:val="105"/>
          <w:sz w:val="19"/>
        </w:rPr>
        <w:t>to</w:t>
      </w:r>
      <w:r>
        <w:rPr>
          <w:rFonts w:ascii="Arial"/>
          <w:spacing w:val="-13"/>
          <w:w w:val="105"/>
          <w:sz w:val="19"/>
        </w:rPr>
        <w:t xml:space="preserve"> </w:t>
      </w:r>
      <w:r>
        <w:rPr>
          <w:rFonts w:ascii="Arial"/>
          <w:w w:val="105"/>
          <w:sz w:val="19"/>
        </w:rPr>
        <w:t>be</w:t>
      </w:r>
      <w:r>
        <w:rPr>
          <w:rFonts w:ascii="Arial"/>
          <w:spacing w:val="-13"/>
          <w:w w:val="105"/>
          <w:sz w:val="19"/>
        </w:rPr>
        <w:t xml:space="preserve"> </w:t>
      </w:r>
      <w:r>
        <w:rPr>
          <w:rFonts w:ascii="Arial"/>
          <w:w w:val="105"/>
          <w:sz w:val="19"/>
        </w:rPr>
        <w:t>passed</w:t>
      </w:r>
      <w:r>
        <w:rPr>
          <w:rFonts w:ascii="Arial"/>
          <w:spacing w:val="-14"/>
          <w:w w:val="105"/>
          <w:sz w:val="19"/>
        </w:rPr>
        <w:t xml:space="preserve"> </w:t>
      </w:r>
      <w:r>
        <w:rPr>
          <w:rFonts w:ascii="Arial"/>
          <w:w w:val="105"/>
          <w:sz w:val="19"/>
        </w:rPr>
        <w:t>onto</w:t>
      </w:r>
      <w:r>
        <w:rPr>
          <w:rFonts w:ascii="Arial"/>
          <w:spacing w:val="-16"/>
          <w:w w:val="105"/>
          <w:sz w:val="19"/>
        </w:rPr>
        <w:t xml:space="preserve"> </w:t>
      </w:r>
      <w:r>
        <w:rPr>
          <w:rFonts w:ascii="Arial"/>
          <w:w w:val="105"/>
          <w:sz w:val="19"/>
        </w:rPr>
        <w:t>consumers.</w:t>
      </w:r>
    </w:p>
    <w:p w:rsidR="007D76BB" w:rsidRDefault="00D70D28">
      <w:pPr>
        <w:spacing w:before="180" w:line="264" w:lineRule="auto"/>
        <w:ind w:left="482" w:right="928"/>
        <w:rPr>
          <w:rFonts w:ascii="Arial" w:hAnsi="Arial"/>
          <w:sz w:val="19"/>
        </w:rPr>
      </w:pPr>
      <w:r>
        <w:rPr>
          <w:rFonts w:ascii="Arial" w:hAnsi="Arial"/>
          <w:w w:val="105"/>
          <w:sz w:val="19"/>
        </w:rPr>
        <w:t>There were some indications from industry that high profit, premium products may go down the ARTG</w:t>
      </w:r>
      <w:r>
        <w:rPr>
          <w:rFonts w:ascii="Arial" w:hAnsi="Arial"/>
          <w:spacing w:val="-22"/>
          <w:w w:val="105"/>
          <w:sz w:val="19"/>
        </w:rPr>
        <w:t xml:space="preserve"> </w:t>
      </w:r>
      <w:r>
        <w:rPr>
          <w:rFonts w:ascii="Arial" w:hAnsi="Arial"/>
          <w:w w:val="105"/>
          <w:sz w:val="19"/>
        </w:rPr>
        <w:t>listing</w:t>
      </w:r>
      <w:r>
        <w:rPr>
          <w:rFonts w:ascii="Arial" w:hAnsi="Arial"/>
          <w:spacing w:val="-20"/>
          <w:w w:val="105"/>
          <w:sz w:val="19"/>
        </w:rPr>
        <w:t xml:space="preserve"> </w:t>
      </w:r>
      <w:r>
        <w:rPr>
          <w:rFonts w:ascii="Arial" w:hAnsi="Arial"/>
          <w:w w:val="105"/>
          <w:sz w:val="19"/>
        </w:rPr>
        <w:t>pathway.</w:t>
      </w:r>
      <w:r>
        <w:rPr>
          <w:rFonts w:ascii="Arial" w:hAnsi="Arial"/>
          <w:spacing w:val="-23"/>
          <w:w w:val="105"/>
          <w:sz w:val="19"/>
        </w:rPr>
        <w:t xml:space="preserve"> </w:t>
      </w:r>
      <w:r>
        <w:rPr>
          <w:rFonts w:ascii="Arial" w:hAnsi="Arial"/>
          <w:w w:val="105"/>
          <w:sz w:val="19"/>
        </w:rPr>
        <w:t>It</w:t>
      </w:r>
      <w:r>
        <w:rPr>
          <w:rFonts w:ascii="Arial" w:hAnsi="Arial"/>
          <w:spacing w:val="-21"/>
          <w:w w:val="105"/>
          <w:sz w:val="19"/>
        </w:rPr>
        <w:t xml:space="preserve"> </w:t>
      </w:r>
      <w:r>
        <w:rPr>
          <w:rFonts w:ascii="Arial" w:hAnsi="Arial"/>
          <w:w w:val="105"/>
          <w:sz w:val="19"/>
        </w:rPr>
        <w:t>was</w:t>
      </w:r>
      <w:r>
        <w:rPr>
          <w:rFonts w:ascii="Arial" w:hAnsi="Arial"/>
          <w:spacing w:val="-23"/>
          <w:w w:val="105"/>
          <w:sz w:val="19"/>
        </w:rPr>
        <w:t xml:space="preserve"> </w:t>
      </w:r>
      <w:r>
        <w:rPr>
          <w:rFonts w:ascii="Arial" w:hAnsi="Arial"/>
          <w:w w:val="105"/>
          <w:sz w:val="19"/>
        </w:rPr>
        <w:t>commented</w:t>
      </w:r>
      <w:r>
        <w:rPr>
          <w:rFonts w:ascii="Arial" w:hAnsi="Arial"/>
          <w:spacing w:val="-19"/>
          <w:w w:val="105"/>
          <w:sz w:val="19"/>
        </w:rPr>
        <w:t xml:space="preserve"> </w:t>
      </w:r>
      <w:r>
        <w:rPr>
          <w:rFonts w:ascii="Arial" w:hAnsi="Arial"/>
          <w:w w:val="105"/>
          <w:sz w:val="19"/>
        </w:rPr>
        <w:t>that</w:t>
      </w:r>
      <w:r>
        <w:rPr>
          <w:rFonts w:ascii="Arial" w:hAnsi="Arial"/>
          <w:spacing w:val="-21"/>
          <w:w w:val="105"/>
          <w:sz w:val="19"/>
        </w:rPr>
        <w:t xml:space="preserve"> </w:t>
      </w:r>
      <w:r>
        <w:rPr>
          <w:rFonts w:ascii="Arial" w:hAnsi="Arial"/>
          <w:w w:val="105"/>
          <w:sz w:val="19"/>
        </w:rPr>
        <w:t>there</w:t>
      </w:r>
      <w:r>
        <w:rPr>
          <w:rFonts w:ascii="Arial" w:hAnsi="Arial"/>
          <w:spacing w:val="-20"/>
          <w:w w:val="105"/>
          <w:sz w:val="19"/>
        </w:rPr>
        <w:t xml:space="preserve"> </w:t>
      </w:r>
      <w:r>
        <w:rPr>
          <w:rFonts w:ascii="Arial" w:hAnsi="Arial"/>
          <w:w w:val="105"/>
          <w:sz w:val="19"/>
        </w:rPr>
        <w:t>is</w:t>
      </w:r>
      <w:r>
        <w:rPr>
          <w:rFonts w:ascii="Arial" w:hAnsi="Arial"/>
          <w:spacing w:val="-22"/>
          <w:w w:val="105"/>
          <w:sz w:val="19"/>
        </w:rPr>
        <w:t xml:space="preserve"> </w:t>
      </w:r>
      <w:r>
        <w:rPr>
          <w:rFonts w:ascii="Arial" w:hAnsi="Arial"/>
          <w:w w:val="105"/>
          <w:sz w:val="19"/>
        </w:rPr>
        <w:t>a</w:t>
      </w:r>
      <w:r>
        <w:rPr>
          <w:rFonts w:ascii="Arial" w:hAnsi="Arial"/>
          <w:spacing w:val="-20"/>
          <w:w w:val="105"/>
          <w:sz w:val="19"/>
        </w:rPr>
        <w:t xml:space="preserve"> </w:t>
      </w:r>
      <w:r>
        <w:rPr>
          <w:rFonts w:ascii="Arial" w:hAnsi="Arial"/>
          <w:w w:val="105"/>
          <w:sz w:val="19"/>
        </w:rPr>
        <w:t>high</w:t>
      </w:r>
      <w:r>
        <w:rPr>
          <w:rFonts w:ascii="Arial" w:hAnsi="Arial"/>
          <w:spacing w:val="-20"/>
          <w:w w:val="105"/>
          <w:sz w:val="19"/>
        </w:rPr>
        <w:t xml:space="preserve"> </w:t>
      </w:r>
      <w:r>
        <w:rPr>
          <w:rFonts w:ascii="Arial" w:hAnsi="Arial"/>
          <w:w w:val="105"/>
          <w:sz w:val="19"/>
        </w:rPr>
        <w:t>degree</w:t>
      </w:r>
      <w:r>
        <w:rPr>
          <w:rFonts w:ascii="Arial" w:hAnsi="Arial"/>
          <w:spacing w:val="-20"/>
          <w:w w:val="105"/>
          <w:sz w:val="19"/>
        </w:rPr>
        <w:t xml:space="preserve"> </w:t>
      </w:r>
      <w:r>
        <w:rPr>
          <w:rFonts w:ascii="Arial" w:hAnsi="Arial"/>
          <w:w w:val="105"/>
          <w:sz w:val="19"/>
        </w:rPr>
        <w:t>of</w:t>
      </w:r>
      <w:r>
        <w:rPr>
          <w:rFonts w:ascii="Arial" w:hAnsi="Arial"/>
          <w:spacing w:val="-22"/>
          <w:w w:val="105"/>
          <w:sz w:val="19"/>
        </w:rPr>
        <w:t xml:space="preserve"> </w:t>
      </w:r>
      <w:r>
        <w:rPr>
          <w:rFonts w:ascii="Arial" w:hAnsi="Arial"/>
          <w:w w:val="105"/>
          <w:sz w:val="19"/>
        </w:rPr>
        <w:t>uncertainty</w:t>
      </w:r>
      <w:r>
        <w:rPr>
          <w:rFonts w:ascii="Arial" w:hAnsi="Arial"/>
          <w:spacing w:val="-22"/>
          <w:w w:val="105"/>
          <w:sz w:val="19"/>
        </w:rPr>
        <w:t xml:space="preserve"> </w:t>
      </w:r>
      <w:r>
        <w:rPr>
          <w:rFonts w:ascii="Arial" w:hAnsi="Arial"/>
          <w:w w:val="105"/>
          <w:sz w:val="19"/>
        </w:rPr>
        <w:t>as</w:t>
      </w:r>
      <w:r>
        <w:rPr>
          <w:rFonts w:ascii="Arial" w:hAnsi="Arial"/>
          <w:spacing w:val="-23"/>
          <w:w w:val="105"/>
          <w:sz w:val="19"/>
        </w:rPr>
        <w:t xml:space="preserve"> </w:t>
      </w:r>
      <w:r>
        <w:rPr>
          <w:rFonts w:ascii="Arial" w:hAnsi="Arial"/>
          <w:w w:val="105"/>
          <w:sz w:val="19"/>
        </w:rPr>
        <w:t>to</w:t>
      </w:r>
      <w:r>
        <w:rPr>
          <w:rFonts w:ascii="Arial" w:hAnsi="Arial"/>
          <w:spacing w:val="-18"/>
          <w:w w:val="105"/>
          <w:sz w:val="19"/>
        </w:rPr>
        <w:t xml:space="preserve"> </w:t>
      </w:r>
      <w:r>
        <w:rPr>
          <w:rFonts w:ascii="Arial" w:hAnsi="Arial"/>
          <w:w w:val="105"/>
          <w:sz w:val="19"/>
        </w:rPr>
        <w:t>the</w:t>
      </w:r>
      <w:r>
        <w:rPr>
          <w:rFonts w:ascii="Arial" w:hAnsi="Arial"/>
          <w:spacing w:val="-22"/>
          <w:w w:val="105"/>
          <w:sz w:val="19"/>
        </w:rPr>
        <w:t xml:space="preserve"> </w:t>
      </w:r>
      <w:r>
        <w:rPr>
          <w:rFonts w:ascii="Arial" w:hAnsi="Arial"/>
          <w:w w:val="105"/>
          <w:sz w:val="19"/>
        </w:rPr>
        <w:t>extent of the need to add ingredients to the Permissible Ingredients Determination. Industry noted that there are a number of relatively common ingredients used in the manufacturing of sports supplements</w:t>
      </w:r>
      <w:r>
        <w:rPr>
          <w:rFonts w:ascii="Arial" w:hAnsi="Arial"/>
          <w:spacing w:val="-24"/>
          <w:w w:val="105"/>
          <w:sz w:val="19"/>
        </w:rPr>
        <w:t xml:space="preserve"> </w:t>
      </w:r>
      <w:r>
        <w:rPr>
          <w:rFonts w:ascii="Arial" w:hAnsi="Arial"/>
          <w:w w:val="105"/>
          <w:sz w:val="19"/>
        </w:rPr>
        <w:t>that</w:t>
      </w:r>
      <w:r>
        <w:rPr>
          <w:rFonts w:ascii="Arial" w:hAnsi="Arial"/>
          <w:spacing w:val="-22"/>
          <w:w w:val="105"/>
          <w:sz w:val="19"/>
        </w:rPr>
        <w:t xml:space="preserve"> </w:t>
      </w:r>
      <w:r>
        <w:rPr>
          <w:rFonts w:ascii="Arial" w:hAnsi="Arial"/>
          <w:w w:val="105"/>
          <w:sz w:val="19"/>
        </w:rPr>
        <w:t>are</w:t>
      </w:r>
      <w:r>
        <w:rPr>
          <w:rFonts w:ascii="Arial" w:hAnsi="Arial"/>
          <w:spacing w:val="-23"/>
          <w:w w:val="105"/>
          <w:sz w:val="19"/>
        </w:rPr>
        <w:t xml:space="preserve"> </w:t>
      </w:r>
      <w:r>
        <w:rPr>
          <w:rFonts w:ascii="Arial" w:hAnsi="Arial"/>
          <w:w w:val="105"/>
          <w:sz w:val="19"/>
        </w:rPr>
        <w:t>not</w:t>
      </w:r>
      <w:r>
        <w:rPr>
          <w:rFonts w:ascii="Arial" w:hAnsi="Arial"/>
          <w:spacing w:val="-23"/>
          <w:w w:val="105"/>
          <w:sz w:val="19"/>
        </w:rPr>
        <w:t xml:space="preserve"> </w:t>
      </w:r>
      <w:r>
        <w:rPr>
          <w:rFonts w:ascii="Arial" w:hAnsi="Arial"/>
          <w:w w:val="105"/>
          <w:sz w:val="19"/>
        </w:rPr>
        <w:t>present</w:t>
      </w:r>
      <w:r>
        <w:rPr>
          <w:rFonts w:ascii="Arial" w:hAnsi="Arial"/>
          <w:spacing w:val="-23"/>
          <w:w w:val="105"/>
          <w:sz w:val="19"/>
        </w:rPr>
        <w:t xml:space="preserve"> </w:t>
      </w:r>
      <w:r>
        <w:rPr>
          <w:rFonts w:ascii="Arial" w:hAnsi="Arial"/>
          <w:w w:val="105"/>
          <w:sz w:val="19"/>
        </w:rPr>
        <w:t>on</w:t>
      </w:r>
      <w:r>
        <w:rPr>
          <w:rFonts w:ascii="Arial" w:hAnsi="Arial"/>
          <w:spacing w:val="-24"/>
          <w:w w:val="105"/>
          <w:sz w:val="19"/>
        </w:rPr>
        <w:t xml:space="preserve"> </w:t>
      </w:r>
      <w:r>
        <w:rPr>
          <w:rFonts w:ascii="Arial" w:hAnsi="Arial"/>
          <w:w w:val="105"/>
          <w:sz w:val="19"/>
        </w:rPr>
        <w:t>the</w:t>
      </w:r>
      <w:r>
        <w:rPr>
          <w:rFonts w:ascii="Arial" w:hAnsi="Arial"/>
          <w:spacing w:val="-21"/>
          <w:w w:val="105"/>
          <w:sz w:val="19"/>
        </w:rPr>
        <w:t xml:space="preserve"> </w:t>
      </w:r>
      <w:r>
        <w:rPr>
          <w:rFonts w:ascii="Arial" w:hAnsi="Arial"/>
          <w:w w:val="105"/>
          <w:sz w:val="19"/>
        </w:rPr>
        <w:t>Permissible</w:t>
      </w:r>
      <w:r>
        <w:rPr>
          <w:rFonts w:ascii="Arial" w:hAnsi="Arial"/>
          <w:spacing w:val="-22"/>
          <w:w w:val="105"/>
          <w:sz w:val="19"/>
        </w:rPr>
        <w:t xml:space="preserve"> </w:t>
      </w:r>
      <w:r>
        <w:rPr>
          <w:rFonts w:ascii="Arial" w:hAnsi="Arial"/>
          <w:w w:val="105"/>
          <w:sz w:val="19"/>
        </w:rPr>
        <w:t>Ingredients</w:t>
      </w:r>
      <w:r>
        <w:rPr>
          <w:rFonts w:ascii="Arial" w:hAnsi="Arial"/>
          <w:spacing w:val="-24"/>
          <w:w w:val="105"/>
          <w:sz w:val="19"/>
        </w:rPr>
        <w:t xml:space="preserve"> </w:t>
      </w:r>
      <w:r>
        <w:rPr>
          <w:rFonts w:ascii="Arial" w:hAnsi="Arial"/>
          <w:w w:val="105"/>
          <w:sz w:val="19"/>
        </w:rPr>
        <w:t>Determination</w:t>
      </w:r>
      <w:r>
        <w:rPr>
          <w:rFonts w:ascii="Arial" w:hAnsi="Arial"/>
          <w:spacing w:val="-18"/>
          <w:w w:val="105"/>
          <w:sz w:val="19"/>
        </w:rPr>
        <w:t xml:space="preserve"> </w:t>
      </w:r>
      <w:r>
        <w:rPr>
          <w:rFonts w:ascii="Arial" w:hAnsi="Arial"/>
          <w:w w:val="105"/>
          <w:sz w:val="19"/>
        </w:rPr>
        <w:t>–</w:t>
      </w:r>
      <w:r>
        <w:rPr>
          <w:rFonts w:ascii="Arial" w:hAnsi="Arial"/>
          <w:spacing w:val="-22"/>
          <w:w w:val="105"/>
          <w:sz w:val="19"/>
        </w:rPr>
        <w:t xml:space="preserve"> </w:t>
      </w:r>
      <w:r>
        <w:rPr>
          <w:rFonts w:ascii="Arial" w:hAnsi="Arial"/>
          <w:w w:val="105"/>
          <w:sz w:val="19"/>
        </w:rPr>
        <w:t>as</w:t>
      </w:r>
      <w:r>
        <w:rPr>
          <w:rFonts w:ascii="Arial" w:hAnsi="Arial"/>
          <w:spacing w:val="-23"/>
          <w:w w:val="105"/>
          <w:sz w:val="19"/>
        </w:rPr>
        <w:t xml:space="preserve"> </w:t>
      </w:r>
      <w:r>
        <w:rPr>
          <w:rFonts w:ascii="Arial" w:hAnsi="Arial"/>
          <w:w w:val="105"/>
          <w:sz w:val="19"/>
        </w:rPr>
        <w:t>this</w:t>
      </w:r>
      <w:r>
        <w:rPr>
          <w:rFonts w:ascii="Arial" w:hAnsi="Arial"/>
          <w:spacing w:val="-23"/>
          <w:w w:val="105"/>
          <w:sz w:val="19"/>
        </w:rPr>
        <w:t xml:space="preserve"> </w:t>
      </w:r>
      <w:r>
        <w:rPr>
          <w:rFonts w:ascii="Arial" w:hAnsi="Arial"/>
          <w:w w:val="105"/>
          <w:sz w:val="19"/>
        </w:rPr>
        <w:t>list</w:t>
      </w:r>
      <w:r>
        <w:rPr>
          <w:rFonts w:ascii="Arial" w:hAnsi="Arial"/>
          <w:spacing w:val="-23"/>
          <w:w w:val="105"/>
          <w:sz w:val="19"/>
        </w:rPr>
        <w:t xml:space="preserve"> </w:t>
      </w:r>
      <w:r>
        <w:rPr>
          <w:rFonts w:ascii="Arial" w:hAnsi="Arial"/>
          <w:w w:val="105"/>
          <w:sz w:val="19"/>
        </w:rPr>
        <w:t>largely relates</w:t>
      </w:r>
      <w:r>
        <w:rPr>
          <w:rFonts w:ascii="Arial" w:hAnsi="Arial"/>
          <w:spacing w:val="-23"/>
          <w:w w:val="105"/>
          <w:sz w:val="19"/>
        </w:rPr>
        <w:t xml:space="preserve"> </w:t>
      </w:r>
      <w:r>
        <w:rPr>
          <w:rFonts w:ascii="Arial" w:hAnsi="Arial"/>
          <w:w w:val="105"/>
          <w:sz w:val="19"/>
        </w:rPr>
        <w:t>to</w:t>
      </w:r>
      <w:r>
        <w:rPr>
          <w:rFonts w:ascii="Arial" w:hAnsi="Arial"/>
          <w:spacing w:val="-21"/>
          <w:w w:val="105"/>
          <w:sz w:val="19"/>
        </w:rPr>
        <w:t xml:space="preserve"> </w:t>
      </w:r>
      <w:r>
        <w:rPr>
          <w:rFonts w:ascii="Arial" w:hAnsi="Arial"/>
          <w:w w:val="105"/>
          <w:sz w:val="19"/>
        </w:rPr>
        <w:t>the</w:t>
      </w:r>
      <w:r>
        <w:rPr>
          <w:rFonts w:ascii="Arial" w:hAnsi="Arial"/>
          <w:spacing w:val="-21"/>
          <w:w w:val="105"/>
          <w:sz w:val="19"/>
        </w:rPr>
        <w:t xml:space="preserve"> </w:t>
      </w:r>
      <w:r>
        <w:rPr>
          <w:rFonts w:ascii="Arial" w:hAnsi="Arial"/>
          <w:w w:val="105"/>
          <w:sz w:val="19"/>
        </w:rPr>
        <w:t>ingredients</w:t>
      </w:r>
      <w:r>
        <w:rPr>
          <w:rFonts w:ascii="Arial" w:hAnsi="Arial"/>
          <w:spacing w:val="-23"/>
          <w:w w:val="105"/>
          <w:sz w:val="19"/>
        </w:rPr>
        <w:t xml:space="preserve"> </w:t>
      </w:r>
      <w:r>
        <w:rPr>
          <w:rFonts w:ascii="Arial" w:hAnsi="Arial"/>
          <w:w w:val="105"/>
          <w:sz w:val="19"/>
        </w:rPr>
        <w:t>used</w:t>
      </w:r>
      <w:r>
        <w:rPr>
          <w:rFonts w:ascii="Arial" w:hAnsi="Arial"/>
          <w:spacing w:val="-22"/>
          <w:w w:val="105"/>
          <w:sz w:val="19"/>
        </w:rPr>
        <w:t xml:space="preserve"> </w:t>
      </w:r>
      <w:r>
        <w:rPr>
          <w:rFonts w:ascii="Arial" w:hAnsi="Arial"/>
          <w:w w:val="105"/>
          <w:sz w:val="19"/>
        </w:rPr>
        <w:t>in</w:t>
      </w:r>
      <w:r>
        <w:rPr>
          <w:rFonts w:ascii="Arial" w:hAnsi="Arial"/>
          <w:spacing w:val="-18"/>
          <w:w w:val="105"/>
          <w:sz w:val="19"/>
        </w:rPr>
        <w:t xml:space="preserve"> </w:t>
      </w:r>
      <w:r>
        <w:rPr>
          <w:rFonts w:ascii="Arial" w:hAnsi="Arial"/>
          <w:w w:val="105"/>
          <w:sz w:val="19"/>
        </w:rPr>
        <w:t>existing</w:t>
      </w:r>
      <w:r>
        <w:rPr>
          <w:rFonts w:ascii="Arial" w:hAnsi="Arial"/>
          <w:spacing w:val="-22"/>
          <w:w w:val="105"/>
          <w:sz w:val="19"/>
        </w:rPr>
        <w:t xml:space="preserve"> </w:t>
      </w:r>
      <w:r>
        <w:rPr>
          <w:rFonts w:ascii="Arial" w:hAnsi="Arial"/>
          <w:w w:val="105"/>
          <w:sz w:val="19"/>
        </w:rPr>
        <w:t>complementary</w:t>
      </w:r>
      <w:r>
        <w:rPr>
          <w:rFonts w:ascii="Arial" w:hAnsi="Arial"/>
          <w:spacing w:val="-21"/>
          <w:w w:val="105"/>
          <w:sz w:val="19"/>
        </w:rPr>
        <w:t xml:space="preserve"> </w:t>
      </w:r>
      <w:r>
        <w:rPr>
          <w:rFonts w:ascii="Arial" w:hAnsi="Arial"/>
          <w:w w:val="105"/>
          <w:sz w:val="19"/>
        </w:rPr>
        <w:t>medicine</w:t>
      </w:r>
      <w:r>
        <w:rPr>
          <w:rFonts w:ascii="Arial" w:hAnsi="Arial"/>
          <w:spacing w:val="-22"/>
          <w:w w:val="105"/>
          <w:sz w:val="19"/>
        </w:rPr>
        <w:t xml:space="preserve"> </w:t>
      </w:r>
      <w:r>
        <w:rPr>
          <w:rFonts w:ascii="Arial" w:hAnsi="Arial"/>
          <w:w w:val="105"/>
          <w:sz w:val="19"/>
        </w:rPr>
        <w:t>products,</w:t>
      </w:r>
      <w:r>
        <w:rPr>
          <w:rFonts w:ascii="Arial" w:hAnsi="Arial"/>
          <w:spacing w:val="-21"/>
          <w:w w:val="105"/>
          <w:sz w:val="19"/>
        </w:rPr>
        <w:t xml:space="preserve"> </w:t>
      </w:r>
      <w:r>
        <w:rPr>
          <w:rFonts w:ascii="Arial" w:hAnsi="Arial"/>
          <w:w w:val="105"/>
          <w:sz w:val="19"/>
        </w:rPr>
        <w:t>such</w:t>
      </w:r>
      <w:r>
        <w:rPr>
          <w:rFonts w:ascii="Arial" w:hAnsi="Arial"/>
          <w:spacing w:val="-21"/>
          <w:w w:val="105"/>
          <w:sz w:val="19"/>
        </w:rPr>
        <w:t xml:space="preserve"> </w:t>
      </w:r>
      <w:r>
        <w:rPr>
          <w:rFonts w:ascii="Arial" w:hAnsi="Arial"/>
          <w:w w:val="105"/>
          <w:sz w:val="19"/>
        </w:rPr>
        <w:t>as</w:t>
      </w:r>
      <w:r>
        <w:rPr>
          <w:rFonts w:ascii="Arial" w:hAnsi="Arial"/>
          <w:spacing w:val="-22"/>
          <w:w w:val="105"/>
          <w:sz w:val="19"/>
        </w:rPr>
        <w:t xml:space="preserve"> </w:t>
      </w:r>
      <w:r>
        <w:rPr>
          <w:rFonts w:ascii="Arial" w:hAnsi="Arial"/>
          <w:w w:val="105"/>
          <w:sz w:val="19"/>
        </w:rPr>
        <w:t>vitamins.</w:t>
      </w:r>
    </w:p>
    <w:p w:rsidR="007D76BB" w:rsidRDefault="00D70D28">
      <w:pPr>
        <w:spacing w:before="1" w:line="264" w:lineRule="auto"/>
        <w:ind w:left="482" w:right="688"/>
        <w:rPr>
          <w:rFonts w:ascii="Arial" w:hAnsi="Arial"/>
          <w:sz w:val="19"/>
        </w:rPr>
      </w:pPr>
      <w:r>
        <w:rPr>
          <w:rFonts w:ascii="Arial" w:hAnsi="Arial"/>
          <w:w w:val="105"/>
          <w:sz w:val="19"/>
        </w:rPr>
        <w:t>Additionally, some ingredients may be of a risk profile that is not suitable for inclusion on the Determination</w:t>
      </w:r>
      <w:r>
        <w:rPr>
          <w:rFonts w:ascii="Arial" w:hAnsi="Arial"/>
          <w:spacing w:val="-24"/>
          <w:w w:val="105"/>
          <w:sz w:val="19"/>
        </w:rPr>
        <w:t xml:space="preserve"> </w:t>
      </w:r>
      <w:r>
        <w:rPr>
          <w:rFonts w:ascii="Arial" w:hAnsi="Arial"/>
          <w:w w:val="105"/>
          <w:sz w:val="19"/>
        </w:rPr>
        <w:t>and</w:t>
      </w:r>
      <w:r>
        <w:rPr>
          <w:rFonts w:ascii="Arial" w:hAnsi="Arial"/>
          <w:spacing w:val="-23"/>
          <w:w w:val="105"/>
          <w:sz w:val="19"/>
        </w:rPr>
        <w:t xml:space="preserve"> </w:t>
      </w:r>
      <w:r>
        <w:rPr>
          <w:rFonts w:ascii="Arial" w:hAnsi="Arial"/>
          <w:w w:val="105"/>
          <w:sz w:val="19"/>
        </w:rPr>
        <w:t>rather</w:t>
      </w:r>
      <w:r>
        <w:rPr>
          <w:rFonts w:ascii="Arial" w:hAnsi="Arial"/>
          <w:spacing w:val="-23"/>
          <w:w w:val="105"/>
          <w:sz w:val="19"/>
        </w:rPr>
        <w:t xml:space="preserve"> </w:t>
      </w:r>
      <w:r>
        <w:rPr>
          <w:rFonts w:ascii="Arial" w:hAnsi="Arial"/>
          <w:w w:val="105"/>
          <w:sz w:val="19"/>
        </w:rPr>
        <w:t>would</w:t>
      </w:r>
      <w:r>
        <w:rPr>
          <w:rFonts w:ascii="Arial" w:hAnsi="Arial"/>
          <w:spacing w:val="-24"/>
          <w:w w:val="105"/>
          <w:sz w:val="19"/>
        </w:rPr>
        <w:t xml:space="preserve"> </w:t>
      </w:r>
      <w:r>
        <w:rPr>
          <w:rFonts w:ascii="Arial" w:hAnsi="Arial"/>
          <w:w w:val="105"/>
          <w:sz w:val="19"/>
        </w:rPr>
        <w:t>be</w:t>
      </w:r>
      <w:r>
        <w:rPr>
          <w:rFonts w:ascii="Arial" w:hAnsi="Arial"/>
          <w:spacing w:val="-24"/>
          <w:w w:val="105"/>
          <w:sz w:val="19"/>
        </w:rPr>
        <w:t xml:space="preserve"> </w:t>
      </w:r>
      <w:r>
        <w:rPr>
          <w:rFonts w:ascii="Arial" w:hAnsi="Arial"/>
          <w:w w:val="105"/>
          <w:sz w:val="19"/>
        </w:rPr>
        <w:t>present</w:t>
      </w:r>
      <w:r>
        <w:rPr>
          <w:rFonts w:ascii="Arial" w:hAnsi="Arial"/>
          <w:spacing w:val="-23"/>
          <w:w w:val="105"/>
          <w:sz w:val="19"/>
        </w:rPr>
        <w:t xml:space="preserve"> </w:t>
      </w:r>
      <w:r>
        <w:rPr>
          <w:rFonts w:ascii="Arial" w:hAnsi="Arial"/>
          <w:w w:val="105"/>
          <w:sz w:val="19"/>
        </w:rPr>
        <w:t>in</w:t>
      </w:r>
      <w:r>
        <w:rPr>
          <w:rFonts w:ascii="Arial" w:hAnsi="Arial"/>
          <w:spacing w:val="-21"/>
          <w:w w:val="105"/>
          <w:sz w:val="19"/>
        </w:rPr>
        <w:t xml:space="preserve"> </w:t>
      </w:r>
      <w:r>
        <w:rPr>
          <w:rFonts w:ascii="Arial" w:hAnsi="Arial"/>
          <w:w w:val="105"/>
          <w:sz w:val="19"/>
        </w:rPr>
        <w:t>Schedules</w:t>
      </w:r>
      <w:r>
        <w:rPr>
          <w:rFonts w:ascii="Arial" w:hAnsi="Arial"/>
          <w:spacing w:val="-27"/>
          <w:w w:val="105"/>
          <w:sz w:val="19"/>
        </w:rPr>
        <w:t xml:space="preserve"> </w:t>
      </w:r>
      <w:r>
        <w:rPr>
          <w:rFonts w:ascii="Arial" w:hAnsi="Arial"/>
          <w:w w:val="105"/>
          <w:sz w:val="19"/>
        </w:rPr>
        <w:t>3/4</w:t>
      </w:r>
      <w:r>
        <w:rPr>
          <w:rFonts w:ascii="Arial" w:hAnsi="Arial"/>
          <w:spacing w:val="-24"/>
          <w:w w:val="105"/>
          <w:sz w:val="19"/>
        </w:rPr>
        <w:t xml:space="preserve"> </w:t>
      </w:r>
      <w:r>
        <w:rPr>
          <w:rFonts w:ascii="Arial" w:hAnsi="Arial"/>
          <w:w w:val="105"/>
          <w:sz w:val="19"/>
        </w:rPr>
        <w:t>of</w:t>
      </w:r>
      <w:r>
        <w:rPr>
          <w:rFonts w:ascii="Arial" w:hAnsi="Arial"/>
          <w:spacing w:val="-25"/>
          <w:w w:val="105"/>
          <w:sz w:val="19"/>
        </w:rPr>
        <w:t xml:space="preserve"> </w:t>
      </w:r>
      <w:r>
        <w:rPr>
          <w:rFonts w:ascii="Arial" w:hAnsi="Arial"/>
          <w:w w:val="105"/>
          <w:sz w:val="19"/>
        </w:rPr>
        <w:t>the</w:t>
      </w:r>
      <w:r>
        <w:rPr>
          <w:rFonts w:ascii="Arial" w:hAnsi="Arial"/>
          <w:spacing w:val="-23"/>
          <w:w w:val="105"/>
          <w:sz w:val="19"/>
        </w:rPr>
        <w:t xml:space="preserve"> </w:t>
      </w:r>
      <w:r>
        <w:rPr>
          <w:rFonts w:ascii="Arial" w:hAnsi="Arial"/>
          <w:w w:val="105"/>
          <w:sz w:val="19"/>
        </w:rPr>
        <w:t>Poisons</w:t>
      </w:r>
      <w:r>
        <w:rPr>
          <w:rFonts w:ascii="Arial" w:hAnsi="Arial"/>
          <w:spacing w:val="-24"/>
          <w:w w:val="105"/>
          <w:sz w:val="19"/>
        </w:rPr>
        <w:t xml:space="preserve"> </w:t>
      </w:r>
      <w:r>
        <w:rPr>
          <w:rFonts w:ascii="Arial" w:hAnsi="Arial"/>
          <w:w w:val="105"/>
          <w:sz w:val="19"/>
        </w:rPr>
        <w:t>Standard</w:t>
      </w:r>
      <w:r>
        <w:rPr>
          <w:rFonts w:ascii="Arial" w:hAnsi="Arial"/>
          <w:spacing w:val="-25"/>
          <w:w w:val="105"/>
          <w:sz w:val="19"/>
        </w:rPr>
        <w:t xml:space="preserve"> </w:t>
      </w:r>
      <w:r>
        <w:rPr>
          <w:rFonts w:ascii="Arial" w:hAnsi="Arial"/>
          <w:w w:val="105"/>
          <w:sz w:val="19"/>
        </w:rPr>
        <w:t>and</w:t>
      </w:r>
      <w:r>
        <w:rPr>
          <w:rFonts w:ascii="Arial" w:hAnsi="Arial"/>
          <w:spacing w:val="-25"/>
          <w:w w:val="105"/>
          <w:sz w:val="19"/>
        </w:rPr>
        <w:t xml:space="preserve"> </w:t>
      </w:r>
      <w:r>
        <w:rPr>
          <w:rFonts w:ascii="Arial" w:hAnsi="Arial"/>
          <w:w w:val="105"/>
          <w:sz w:val="19"/>
        </w:rPr>
        <w:t>therefore can</w:t>
      </w:r>
      <w:r>
        <w:rPr>
          <w:rFonts w:ascii="Arial" w:hAnsi="Arial"/>
          <w:spacing w:val="-26"/>
          <w:w w:val="105"/>
          <w:sz w:val="19"/>
        </w:rPr>
        <w:t xml:space="preserve"> </w:t>
      </w:r>
      <w:r>
        <w:rPr>
          <w:rFonts w:ascii="Arial" w:hAnsi="Arial"/>
          <w:w w:val="105"/>
          <w:sz w:val="19"/>
        </w:rPr>
        <w:t>be</w:t>
      </w:r>
      <w:r>
        <w:rPr>
          <w:rFonts w:ascii="Arial" w:hAnsi="Arial"/>
          <w:spacing w:val="-25"/>
          <w:w w:val="105"/>
          <w:sz w:val="19"/>
        </w:rPr>
        <w:t xml:space="preserve"> </w:t>
      </w:r>
      <w:r>
        <w:rPr>
          <w:rFonts w:ascii="Arial" w:hAnsi="Arial"/>
          <w:w w:val="105"/>
          <w:sz w:val="19"/>
        </w:rPr>
        <w:t>sold</w:t>
      </w:r>
      <w:r>
        <w:rPr>
          <w:rFonts w:ascii="Arial" w:hAnsi="Arial"/>
          <w:spacing w:val="-26"/>
          <w:w w:val="105"/>
          <w:sz w:val="19"/>
        </w:rPr>
        <w:t xml:space="preserve"> </w:t>
      </w:r>
      <w:r>
        <w:rPr>
          <w:rFonts w:ascii="Arial" w:hAnsi="Arial"/>
          <w:w w:val="105"/>
          <w:sz w:val="19"/>
        </w:rPr>
        <w:t>only</w:t>
      </w:r>
      <w:r>
        <w:rPr>
          <w:rFonts w:ascii="Arial" w:hAnsi="Arial"/>
          <w:spacing w:val="-26"/>
          <w:w w:val="105"/>
          <w:sz w:val="19"/>
        </w:rPr>
        <w:t xml:space="preserve"> </w:t>
      </w:r>
      <w:r>
        <w:rPr>
          <w:rFonts w:ascii="Arial" w:hAnsi="Arial"/>
          <w:w w:val="105"/>
          <w:sz w:val="19"/>
        </w:rPr>
        <w:t>in</w:t>
      </w:r>
      <w:r>
        <w:rPr>
          <w:rFonts w:ascii="Arial" w:hAnsi="Arial"/>
          <w:spacing w:val="-26"/>
          <w:w w:val="105"/>
          <w:sz w:val="19"/>
        </w:rPr>
        <w:t xml:space="preserve"> </w:t>
      </w:r>
      <w:r>
        <w:rPr>
          <w:rFonts w:ascii="Arial" w:hAnsi="Arial"/>
          <w:w w:val="105"/>
          <w:sz w:val="19"/>
        </w:rPr>
        <w:t>pharmacies</w:t>
      </w:r>
      <w:r>
        <w:rPr>
          <w:rFonts w:ascii="Arial" w:hAnsi="Arial"/>
          <w:spacing w:val="-25"/>
          <w:w w:val="105"/>
          <w:sz w:val="19"/>
        </w:rPr>
        <w:t xml:space="preserve"> </w:t>
      </w:r>
      <w:r>
        <w:rPr>
          <w:rFonts w:ascii="Arial" w:hAnsi="Arial"/>
          <w:w w:val="105"/>
          <w:sz w:val="19"/>
        </w:rPr>
        <w:t>(Schedule</w:t>
      </w:r>
      <w:r>
        <w:rPr>
          <w:rFonts w:ascii="Arial" w:hAnsi="Arial"/>
          <w:spacing w:val="-26"/>
          <w:w w:val="105"/>
          <w:sz w:val="19"/>
        </w:rPr>
        <w:t xml:space="preserve"> </w:t>
      </w:r>
      <w:r>
        <w:rPr>
          <w:rFonts w:ascii="Arial" w:hAnsi="Arial"/>
          <w:w w:val="105"/>
          <w:sz w:val="19"/>
        </w:rPr>
        <w:t>3)</w:t>
      </w:r>
      <w:r>
        <w:rPr>
          <w:rFonts w:ascii="Arial" w:hAnsi="Arial"/>
          <w:spacing w:val="-25"/>
          <w:w w:val="105"/>
          <w:sz w:val="19"/>
        </w:rPr>
        <w:t xml:space="preserve"> </w:t>
      </w:r>
      <w:r>
        <w:rPr>
          <w:rFonts w:ascii="Arial" w:hAnsi="Arial"/>
          <w:w w:val="105"/>
          <w:sz w:val="19"/>
        </w:rPr>
        <w:t>or</w:t>
      </w:r>
      <w:r>
        <w:rPr>
          <w:rFonts w:ascii="Arial" w:hAnsi="Arial"/>
          <w:spacing w:val="-23"/>
          <w:w w:val="105"/>
          <w:sz w:val="19"/>
        </w:rPr>
        <w:t xml:space="preserve"> </w:t>
      </w:r>
      <w:r>
        <w:rPr>
          <w:rFonts w:ascii="Arial" w:hAnsi="Arial"/>
          <w:w w:val="105"/>
          <w:sz w:val="19"/>
        </w:rPr>
        <w:t>require</w:t>
      </w:r>
      <w:r>
        <w:rPr>
          <w:rFonts w:ascii="Arial" w:hAnsi="Arial"/>
          <w:spacing w:val="-26"/>
          <w:w w:val="105"/>
          <w:sz w:val="19"/>
        </w:rPr>
        <w:t xml:space="preserve"> </w:t>
      </w:r>
      <w:r>
        <w:rPr>
          <w:rFonts w:ascii="Arial" w:hAnsi="Arial"/>
          <w:w w:val="105"/>
          <w:sz w:val="19"/>
        </w:rPr>
        <w:t>a</w:t>
      </w:r>
      <w:r>
        <w:rPr>
          <w:rFonts w:ascii="Arial" w:hAnsi="Arial"/>
          <w:spacing w:val="-26"/>
          <w:w w:val="105"/>
          <w:sz w:val="19"/>
        </w:rPr>
        <w:t xml:space="preserve"> </w:t>
      </w:r>
      <w:r>
        <w:rPr>
          <w:rFonts w:ascii="Arial" w:hAnsi="Arial"/>
          <w:w w:val="105"/>
          <w:sz w:val="19"/>
        </w:rPr>
        <w:t>prescription</w:t>
      </w:r>
      <w:r>
        <w:rPr>
          <w:rFonts w:ascii="Arial" w:hAnsi="Arial"/>
          <w:spacing w:val="-26"/>
          <w:w w:val="105"/>
          <w:sz w:val="19"/>
        </w:rPr>
        <w:t xml:space="preserve"> </w:t>
      </w:r>
      <w:r>
        <w:rPr>
          <w:rFonts w:ascii="Arial" w:hAnsi="Arial"/>
          <w:w w:val="105"/>
          <w:sz w:val="19"/>
        </w:rPr>
        <w:t>(Schedule</w:t>
      </w:r>
      <w:r>
        <w:rPr>
          <w:rFonts w:ascii="Arial" w:hAnsi="Arial"/>
          <w:spacing w:val="-24"/>
          <w:w w:val="105"/>
          <w:sz w:val="19"/>
        </w:rPr>
        <w:t xml:space="preserve"> </w:t>
      </w:r>
      <w:r>
        <w:rPr>
          <w:rFonts w:ascii="Arial" w:hAnsi="Arial"/>
          <w:w w:val="105"/>
          <w:sz w:val="19"/>
        </w:rPr>
        <w:t>4)</w:t>
      </w:r>
      <w:r>
        <w:rPr>
          <w:rFonts w:ascii="Arial" w:hAnsi="Arial"/>
          <w:spacing w:val="-27"/>
          <w:w w:val="105"/>
          <w:sz w:val="19"/>
        </w:rPr>
        <w:t xml:space="preserve"> </w:t>
      </w:r>
      <w:r>
        <w:rPr>
          <w:rFonts w:ascii="Arial" w:hAnsi="Arial"/>
          <w:w w:val="105"/>
          <w:sz w:val="19"/>
        </w:rPr>
        <w:t>and</w:t>
      </w:r>
      <w:r>
        <w:rPr>
          <w:rFonts w:ascii="Arial" w:hAnsi="Arial"/>
          <w:spacing w:val="-26"/>
          <w:w w:val="105"/>
          <w:sz w:val="19"/>
        </w:rPr>
        <w:t xml:space="preserve"> </w:t>
      </w:r>
      <w:r>
        <w:rPr>
          <w:rFonts w:ascii="Arial" w:hAnsi="Arial"/>
          <w:w w:val="105"/>
          <w:sz w:val="19"/>
        </w:rPr>
        <w:t>not</w:t>
      </w:r>
      <w:r>
        <w:rPr>
          <w:rFonts w:ascii="Arial" w:hAnsi="Arial"/>
          <w:spacing w:val="-24"/>
          <w:w w:val="105"/>
          <w:sz w:val="19"/>
        </w:rPr>
        <w:t xml:space="preserve"> </w:t>
      </w:r>
      <w:r>
        <w:rPr>
          <w:rFonts w:ascii="Arial" w:hAnsi="Arial"/>
          <w:w w:val="105"/>
          <w:sz w:val="19"/>
        </w:rPr>
        <w:t>by</w:t>
      </w:r>
      <w:r>
        <w:rPr>
          <w:rFonts w:ascii="Arial" w:hAnsi="Arial"/>
          <w:spacing w:val="-22"/>
          <w:w w:val="105"/>
          <w:sz w:val="19"/>
        </w:rPr>
        <w:t xml:space="preserve"> </w:t>
      </w:r>
      <w:r>
        <w:rPr>
          <w:rFonts w:ascii="Arial" w:hAnsi="Arial"/>
          <w:w w:val="105"/>
          <w:sz w:val="19"/>
        </w:rPr>
        <w:t xml:space="preserve">sports supplement retailers. </w:t>
      </w:r>
      <w:proofErr w:type="spellStart"/>
      <w:r>
        <w:rPr>
          <w:rFonts w:ascii="Arial" w:hAnsi="Arial"/>
          <w:w w:val="105"/>
          <w:sz w:val="19"/>
        </w:rPr>
        <w:t>Noetic’s</w:t>
      </w:r>
      <w:proofErr w:type="spellEnd"/>
      <w:r>
        <w:rPr>
          <w:rFonts w:ascii="Arial" w:hAnsi="Arial"/>
          <w:w w:val="105"/>
          <w:sz w:val="19"/>
        </w:rPr>
        <w:t xml:space="preserve"> sense is that a minority of products will proceed down the ARTG listing pathway, with the likely industry reaction, if not feasible from a production or marketing perspective</w:t>
      </w:r>
      <w:r>
        <w:rPr>
          <w:rFonts w:ascii="Arial" w:hAnsi="Arial"/>
          <w:spacing w:val="-14"/>
          <w:w w:val="105"/>
          <w:sz w:val="19"/>
        </w:rPr>
        <w:t xml:space="preserve"> </w:t>
      </w:r>
      <w:r>
        <w:rPr>
          <w:rFonts w:ascii="Arial" w:hAnsi="Arial"/>
          <w:w w:val="105"/>
          <w:sz w:val="19"/>
        </w:rPr>
        <w:t>to</w:t>
      </w:r>
      <w:r>
        <w:rPr>
          <w:rFonts w:ascii="Arial" w:hAnsi="Arial"/>
          <w:spacing w:val="-12"/>
          <w:w w:val="105"/>
          <w:sz w:val="19"/>
        </w:rPr>
        <w:t xml:space="preserve"> </w:t>
      </w:r>
      <w:r>
        <w:rPr>
          <w:rFonts w:ascii="Arial" w:hAnsi="Arial"/>
          <w:w w:val="105"/>
          <w:sz w:val="19"/>
        </w:rPr>
        <w:t>reformulate,</w:t>
      </w:r>
      <w:r>
        <w:rPr>
          <w:rFonts w:ascii="Arial" w:hAnsi="Arial"/>
          <w:spacing w:val="-14"/>
          <w:w w:val="105"/>
          <w:sz w:val="19"/>
        </w:rPr>
        <w:t xml:space="preserve"> </w:t>
      </w:r>
      <w:r>
        <w:rPr>
          <w:rFonts w:ascii="Arial" w:hAnsi="Arial"/>
          <w:w w:val="105"/>
          <w:sz w:val="19"/>
        </w:rPr>
        <w:t>to</w:t>
      </w:r>
      <w:r>
        <w:rPr>
          <w:rFonts w:ascii="Arial" w:hAnsi="Arial"/>
          <w:spacing w:val="-12"/>
          <w:w w:val="105"/>
          <w:sz w:val="19"/>
        </w:rPr>
        <w:t xml:space="preserve"> </w:t>
      </w:r>
      <w:r>
        <w:rPr>
          <w:rFonts w:ascii="Arial" w:hAnsi="Arial"/>
          <w:w w:val="105"/>
          <w:sz w:val="19"/>
        </w:rPr>
        <w:t>no</w:t>
      </w:r>
      <w:r>
        <w:rPr>
          <w:rFonts w:ascii="Arial" w:hAnsi="Arial"/>
          <w:spacing w:val="-12"/>
          <w:w w:val="105"/>
          <w:sz w:val="19"/>
        </w:rPr>
        <w:t xml:space="preserve"> </w:t>
      </w:r>
      <w:r>
        <w:rPr>
          <w:rFonts w:ascii="Arial" w:hAnsi="Arial"/>
          <w:w w:val="105"/>
          <w:sz w:val="19"/>
        </w:rPr>
        <w:t>longer</w:t>
      </w:r>
      <w:r>
        <w:rPr>
          <w:rFonts w:ascii="Arial" w:hAnsi="Arial"/>
          <w:spacing w:val="-13"/>
          <w:w w:val="105"/>
          <w:sz w:val="19"/>
        </w:rPr>
        <w:t xml:space="preserve"> </w:t>
      </w:r>
      <w:r>
        <w:rPr>
          <w:rFonts w:ascii="Arial" w:hAnsi="Arial"/>
          <w:w w:val="105"/>
          <w:sz w:val="19"/>
        </w:rPr>
        <w:t>offer</w:t>
      </w:r>
      <w:r>
        <w:rPr>
          <w:rFonts w:ascii="Arial" w:hAnsi="Arial"/>
          <w:spacing w:val="-11"/>
          <w:w w:val="105"/>
          <w:sz w:val="19"/>
        </w:rPr>
        <w:t xml:space="preserve"> </w:t>
      </w:r>
      <w:r>
        <w:rPr>
          <w:rFonts w:ascii="Arial" w:hAnsi="Arial"/>
          <w:w w:val="105"/>
          <w:sz w:val="19"/>
        </w:rPr>
        <w:t>the</w:t>
      </w:r>
      <w:r>
        <w:rPr>
          <w:rFonts w:ascii="Arial" w:hAnsi="Arial"/>
          <w:spacing w:val="-13"/>
          <w:w w:val="105"/>
          <w:sz w:val="19"/>
        </w:rPr>
        <w:t xml:space="preserve"> </w:t>
      </w:r>
      <w:r>
        <w:rPr>
          <w:rFonts w:ascii="Arial" w:hAnsi="Arial"/>
          <w:w w:val="105"/>
          <w:sz w:val="19"/>
        </w:rPr>
        <w:t>product</w:t>
      </w:r>
      <w:r>
        <w:rPr>
          <w:rFonts w:ascii="Arial" w:hAnsi="Arial"/>
          <w:spacing w:val="-13"/>
          <w:w w:val="105"/>
          <w:sz w:val="19"/>
        </w:rPr>
        <w:t xml:space="preserve"> </w:t>
      </w:r>
      <w:r>
        <w:rPr>
          <w:rFonts w:ascii="Arial" w:hAnsi="Arial"/>
          <w:w w:val="105"/>
          <w:sz w:val="19"/>
        </w:rPr>
        <w:t>for</w:t>
      </w:r>
      <w:r>
        <w:rPr>
          <w:rFonts w:ascii="Arial" w:hAnsi="Arial"/>
          <w:spacing w:val="-11"/>
          <w:w w:val="105"/>
          <w:sz w:val="19"/>
        </w:rPr>
        <w:t xml:space="preserve"> </w:t>
      </w:r>
      <w:r>
        <w:rPr>
          <w:rFonts w:ascii="Arial" w:hAnsi="Arial"/>
          <w:w w:val="105"/>
          <w:sz w:val="19"/>
        </w:rPr>
        <w:t>sale</w:t>
      </w:r>
      <w:r>
        <w:rPr>
          <w:rFonts w:ascii="Arial" w:hAnsi="Arial"/>
          <w:spacing w:val="-13"/>
          <w:w w:val="105"/>
          <w:sz w:val="19"/>
        </w:rPr>
        <w:t xml:space="preserve"> </w:t>
      </w:r>
      <w:r>
        <w:rPr>
          <w:rFonts w:ascii="Arial" w:hAnsi="Arial"/>
          <w:w w:val="105"/>
          <w:sz w:val="19"/>
        </w:rPr>
        <w:t>in</w:t>
      </w:r>
      <w:r>
        <w:rPr>
          <w:rFonts w:ascii="Arial" w:hAnsi="Arial"/>
          <w:spacing w:val="-13"/>
          <w:w w:val="105"/>
          <w:sz w:val="19"/>
        </w:rPr>
        <w:t xml:space="preserve"> </w:t>
      </w:r>
      <w:r>
        <w:rPr>
          <w:rFonts w:ascii="Arial" w:hAnsi="Arial"/>
          <w:w w:val="105"/>
          <w:sz w:val="19"/>
        </w:rPr>
        <w:t>Australia.</w:t>
      </w:r>
    </w:p>
    <w:p w:rsidR="007D76BB" w:rsidRDefault="00D70D28">
      <w:pPr>
        <w:spacing w:before="183" w:line="264" w:lineRule="auto"/>
        <w:ind w:left="482" w:right="879"/>
        <w:rPr>
          <w:rFonts w:ascii="Arial" w:hAnsi="Arial"/>
          <w:sz w:val="19"/>
        </w:rPr>
      </w:pPr>
      <w:r>
        <w:rPr>
          <w:rFonts w:ascii="Arial" w:hAnsi="Arial"/>
          <w:w w:val="105"/>
          <w:sz w:val="19"/>
        </w:rPr>
        <w:t>For</w:t>
      </w:r>
      <w:r>
        <w:rPr>
          <w:rFonts w:ascii="Arial" w:hAnsi="Arial"/>
          <w:spacing w:val="-21"/>
          <w:w w:val="105"/>
          <w:sz w:val="19"/>
        </w:rPr>
        <w:t xml:space="preserve"> </w:t>
      </w:r>
      <w:r>
        <w:rPr>
          <w:rFonts w:ascii="Arial" w:hAnsi="Arial"/>
          <w:w w:val="105"/>
          <w:sz w:val="19"/>
        </w:rPr>
        <w:t>those</w:t>
      </w:r>
      <w:r>
        <w:rPr>
          <w:rFonts w:ascii="Arial" w:hAnsi="Arial"/>
          <w:spacing w:val="-21"/>
          <w:w w:val="105"/>
          <w:sz w:val="19"/>
        </w:rPr>
        <w:t xml:space="preserve"> </w:t>
      </w:r>
      <w:r>
        <w:rPr>
          <w:rFonts w:ascii="Arial" w:hAnsi="Arial"/>
          <w:w w:val="105"/>
          <w:sz w:val="19"/>
        </w:rPr>
        <w:t>products</w:t>
      </w:r>
      <w:r>
        <w:rPr>
          <w:rFonts w:ascii="Arial" w:hAnsi="Arial"/>
          <w:spacing w:val="-22"/>
          <w:w w:val="105"/>
          <w:sz w:val="19"/>
        </w:rPr>
        <w:t xml:space="preserve"> </w:t>
      </w:r>
      <w:r>
        <w:rPr>
          <w:rFonts w:ascii="Arial" w:hAnsi="Arial"/>
          <w:w w:val="105"/>
          <w:sz w:val="19"/>
        </w:rPr>
        <w:t>that</w:t>
      </w:r>
      <w:r>
        <w:rPr>
          <w:rFonts w:ascii="Arial" w:hAnsi="Arial"/>
          <w:spacing w:val="-20"/>
          <w:w w:val="105"/>
          <w:sz w:val="19"/>
        </w:rPr>
        <w:t xml:space="preserve"> </w:t>
      </w:r>
      <w:r>
        <w:rPr>
          <w:rFonts w:ascii="Arial" w:hAnsi="Arial"/>
          <w:w w:val="105"/>
          <w:sz w:val="19"/>
        </w:rPr>
        <w:t>are</w:t>
      </w:r>
      <w:r>
        <w:rPr>
          <w:rFonts w:ascii="Arial" w:hAnsi="Arial"/>
          <w:spacing w:val="-22"/>
          <w:w w:val="105"/>
          <w:sz w:val="19"/>
        </w:rPr>
        <w:t xml:space="preserve"> </w:t>
      </w:r>
      <w:r>
        <w:rPr>
          <w:rFonts w:ascii="Arial" w:hAnsi="Arial"/>
          <w:w w:val="105"/>
          <w:sz w:val="19"/>
        </w:rPr>
        <w:t>currently</w:t>
      </w:r>
      <w:r>
        <w:rPr>
          <w:rFonts w:ascii="Arial" w:hAnsi="Arial"/>
          <w:spacing w:val="-22"/>
          <w:w w:val="105"/>
          <w:sz w:val="19"/>
        </w:rPr>
        <w:t xml:space="preserve"> </w:t>
      </w:r>
      <w:r>
        <w:rPr>
          <w:rFonts w:ascii="Arial" w:hAnsi="Arial"/>
          <w:w w:val="105"/>
          <w:sz w:val="19"/>
        </w:rPr>
        <w:t>presented</w:t>
      </w:r>
      <w:r>
        <w:rPr>
          <w:rFonts w:ascii="Arial" w:hAnsi="Arial"/>
          <w:spacing w:val="-21"/>
          <w:w w:val="105"/>
          <w:sz w:val="19"/>
        </w:rPr>
        <w:t xml:space="preserve"> </w:t>
      </w:r>
      <w:r>
        <w:rPr>
          <w:rFonts w:ascii="Arial" w:hAnsi="Arial"/>
          <w:w w:val="105"/>
          <w:sz w:val="19"/>
        </w:rPr>
        <w:t>in</w:t>
      </w:r>
      <w:r>
        <w:rPr>
          <w:rFonts w:ascii="Arial" w:hAnsi="Arial"/>
          <w:spacing w:val="-22"/>
          <w:w w:val="105"/>
          <w:sz w:val="19"/>
        </w:rPr>
        <w:t xml:space="preserve"> </w:t>
      </w:r>
      <w:r>
        <w:rPr>
          <w:rFonts w:ascii="Arial" w:hAnsi="Arial"/>
          <w:w w:val="105"/>
          <w:sz w:val="19"/>
        </w:rPr>
        <w:t>a</w:t>
      </w:r>
      <w:r>
        <w:rPr>
          <w:rFonts w:ascii="Arial" w:hAnsi="Arial"/>
          <w:spacing w:val="-20"/>
          <w:w w:val="105"/>
          <w:sz w:val="19"/>
        </w:rPr>
        <w:t xml:space="preserve"> </w:t>
      </w:r>
      <w:r>
        <w:rPr>
          <w:rFonts w:ascii="Arial" w:hAnsi="Arial"/>
          <w:w w:val="105"/>
          <w:sz w:val="19"/>
        </w:rPr>
        <w:t>form</w:t>
      </w:r>
      <w:r>
        <w:rPr>
          <w:rFonts w:ascii="Arial" w:hAnsi="Arial"/>
          <w:spacing w:val="-20"/>
          <w:w w:val="105"/>
          <w:sz w:val="19"/>
        </w:rPr>
        <w:t xml:space="preserve"> </w:t>
      </w:r>
      <w:r>
        <w:rPr>
          <w:rFonts w:ascii="Arial" w:hAnsi="Arial"/>
          <w:w w:val="105"/>
          <w:sz w:val="19"/>
        </w:rPr>
        <w:t>such</w:t>
      </w:r>
      <w:r>
        <w:rPr>
          <w:rFonts w:ascii="Arial" w:hAnsi="Arial"/>
          <w:spacing w:val="-20"/>
          <w:w w:val="105"/>
          <w:sz w:val="19"/>
        </w:rPr>
        <w:t xml:space="preserve"> </w:t>
      </w:r>
      <w:r>
        <w:rPr>
          <w:rFonts w:ascii="Arial" w:hAnsi="Arial"/>
          <w:w w:val="105"/>
          <w:sz w:val="19"/>
        </w:rPr>
        <w:t>as</w:t>
      </w:r>
      <w:r>
        <w:rPr>
          <w:rFonts w:ascii="Arial" w:hAnsi="Arial"/>
          <w:spacing w:val="-22"/>
          <w:w w:val="105"/>
          <w:sz w:val="19"/>
        </w:rPr>
        <w:t xml:space="preserve"> </w:t>
      </w:r>
      <w:r>
        <w:rPr>
          <w:rFonts w:ascii="Arial" w:hAnsi="Arial"/>
          <w:w w:val="105"/>
          <w:sz w:val="19"/>
        </w:rPr>
        <w:t>a</w:t>
      </w:r>
      <w:r>
        <w:rPr>
          <w:rFonts w:ascii="Arial" w:hAnsi="Arial"/>
          <w:spacing w:val="-22"/>
          <w:w w:val="105"/>
          <w:sz w:val="19"/>
        </w:rPr>
        <w:t xml:space="preserve"> </w:t>
      </w:r>
      <w:r>
        <w:rPr>
          <w:rFonts w:ascii="Arial" w:hAnsi="Arial"/>
          <w:w w:val="105"/>
          <w:sz w:val="19"/>
        </w:rPr>
        <w:t>capsule,</w:t>
      </w:r>
      <w:r>
        <w:rPr>
          <w:rFonts w:ascii="Arial" w:hAnsi="Arial"/>
          <w:spacing w:val="-20"/>
          <w:w w:val="105"/>
          <w:sz w:val="19"/>
        </w:rPr>
        <w:t xml:space="preserve"> </w:t>
      </w:r>
      <w:r>
        <w:rPr>
          <w:rFonts w:ascii="Arial" w:hAnsi="Arial"/>
          <w:w w:val="105"/>
          <w:sz w:val="19"/>
        </w:rPr>
        <w:t>while</w:t>
      </w:r>
      <w:r>
        <w:rPr>
          <w:rFonts w:ascii="Arial" w:hAnsi="Arial"/>
          <w:spacing w:val="-21"/>
          <w:w w:val="105"/>
          <w:sz w:val="19"/>
        </w:rPr>
        <w:t xml:space="preserve"> </w:t>
      </w:r>
      <w:r>
        <w:rPr>
          <w:rFonts w:ascii="Arial" w:hAnsi="Arial"/>
          <w:w w:val="105"/>
          <w:sz w:val="19"/>
        </w:rPr>
        <w:t>it</w:t>
      </w:r>
      <w:r>
        <w:rPr>
          <w:rFonts w:ascii="Arial" w:hAnsi="Arial"/>
          <w:spacing w:val="-21"/>
          <w:w w:val="105"/>
          <w:sz w:val="19"/>
        </w:rPr>
        <w:t xml:space="preserve"> </w:t>
      </w:r>
      <w:r>
        <w:rPr>
          <w:rFonts w:ascii="Arial" w:hAnsi="Arial"/>
          <w:w w:val="105"/>
          <w:sz w:val="19"/>
        </w:rPr>
        <w:t>is</w:t>
      </w:r>
      <w:r>
        <w:rPr>
          <w:rFonts w:ascii="Arial" w:hAnsi="Arial"/>
          <w:spacing w:val="-21"/>
          <w:w w:val="105"/>
          <w:sz w:val="19"/>
        </w:rPr>
        <w:t xml:space="preserve"> </w:t>
      </w:r>
      <w:r>
        <w:rPr>
          <w:rFonts w:ascii="Arial" w:hAnsi="Arial"/>
          <w:w w:val="105"/>
          <w:sz w:val="19"/>
        </w:rPr>
        <w:t>possible</w:t>
      </w:r>
      <w:r>
        <w:rPr>
          <w:rFonts w:ascii="Arial" w:hAnsi="Arial"/>
          <w:spacing w:val="-20"/>
          <w:w w:val="105"/>
          <w:sz w:val="19"/>
        </w:rPr>
        <w:t xml:space="preserve"> </w:t>
      </w:r>
      <w:r>
        <w:rPr>
          <w:rFonts w:ascii="Arial" w:hAnsi="Arial"/>
          <w:w w:val="105"/>
          <w:sz w:val="19"/>
        </w:rPr>
        <w:t>for these products to be reformulated and presented as a powder or another traditional food form, industry</w:t>
      </w:r>
      <w:r>
        <w:rPr>
          <w:rFonts w:ascii="Arial" w:hAnsi="Arial"/>
          <w:spacing w:val="-20"/>
          <w:w w:val="105"/>
          <w:sz w:val="19"/>
        </w:rPr>
        <w:t xml:space="preserve"> </w:t>
      </w:r>
      <w:r>
        <w:rPr>
          <w:rFonts w:ascii="Arial" w:hAnsi="Arial"/>
          <w:w w:val="105"/>
          <w:sz w:val="19"/>
        </w:rPr>
        <w:t>advice</w:t>
      </w:r>
      <w:r>
        <w:rPr>
          <w:rFonts w:ascii="Arial" w:hAnsi="Arial"/>
          <w:spacing w:val="-18"/>
          <w:w w:val="105"/>
          <w:sz w:val="19"/>
        </w:rPr>
        <w:t xml:space="preserve"> </w:t>
      </w:r>
      <w:r>
        <w:rPr>
          <w:rFonts w:ascii="Arial" w:hAnsi="Arial"/>
          <w:w w:val="105"/>
          <w:sz w:val="19"/>
        </w:rPr>
        <w:t>is</w:t>
      </w:r>
      <w:r>
        <w:rPr>
          <w:rFonts w:ascii="Arial" w:hAnsi="Arial"/>
          <w:spacing w:val="-18"/>
          <w:w w:val="105"/>
          <w:sz w:val="19"/>
        </w:rPr>
        <w:t xml:space="preserve"> </w:t>
      </w:r>
      <w:r>
        <w:rPr>
          <w:rFonts w:ascii="Arial" w:hAnsi="Arial"/>
          <w:w w:val="105"/>
          <w:sz w:val="19"/>
        </w:rPr>
        <w:t>that</w:t>
      </w:r>
      <w:r>
        <w:rPr>
          <w:rFonts w:ascii="Arial" w:hAnsi="Arial"/>
          <w:spacing w:val="-19"/>
          <w:w w:val="105"/>
          <w:sz w:val="19"/>
        </w:rPr>
        <w:t xml:space="preserve"> </w:t>
      </w:r>
      <w:r>
        <w:rPr>
          <w:rFonts w:ascii="Arial" w:hAnsi="Arial"/>
          <w:w w:val="105"/>
          <w:sz w:val="19"/>
        </w:rPr>
        <w:t>they</w:t>
      </w:r>
      <w:r>
        <w:rPr>
          <w:rFonts w:ascii="Arial" w:hAnsi="Arial"/>
          <w:spacing w:val="-20"/>
          <w:w w:val="105"/>
          <w:sz w:val="19"/>
        </w:rPr>
        <w:t xml:space="preserve"> </w:t>
      </w:r>
      <w:r>
        <w:rPr>
          <w:rFonts w:ascii="Arial" w:hAnsi="Arial"/>
          <w:w w:val="105"/>
          <w:sz w:val="19"/>
        </w:rPr>
        <w:t>are</w:t>
      </w:r>
      <w:r>
        <w:rPr>
          <w:rFonts w:ascii="Arial" w:hAnsi="Arial"/>
          <w:spacing w:val="-18"/>
          <w:w w:val="105"/>
          <w:sz w:val="19"/>
        </w:rPr>
        <w:t xml:space="preserve"> </w:t>
      </w:r>
      <w:r>
        <w:rPr>
          <w:rFonts w:ascii="Arial" w:hAnsi="Arial"/>
          <w:w w:val="105"/>
          <w:sz w:val="19"/>
        </w:rPr>
        <w:t>unlikely</w:t>
      </w:r>
      <w:r>
        <w:rPr>
          <w:rFonts w:ascii="Arial" w:hAnsi="Arial"/>
          <w:spacing w:val="-18"/>
          <w:w w:val="105"/>
          <w:sz w:val="19"/>
        </w:rPr>
        <w:t xml:space="preserve"> </w:t>
      </w:r>
      <w:r>
        <w:rPr>
          <w:rFonts w:ascii="Arial" w:hAnsi="Arial"/>
          <w:w w:val="105"/>
          <w:sz w:val="19"/>
        </w:rPr>
        <w:t>to</w:t>
      </w:r>
      <w:r>
        <w:rPr>
          <w:rFonts w:ascii="Arial" w:hAnsi="Arial"/>
          <w:spacing w:val="-20"/>
          <w:w w:val="105"/>
          <w:sz w:val="19"/>
        </w:rPr>
        <w:t xml:space="preserve"> </w:t>
      </w:r>
      <w:r>
        <w:rPr>
          <w:rFonts w:ascii="Arial" w:hAnsi="Arial"/>
          <w:w w:val="105"/>
          <w:sz w:val="19"/>
        </w:rPr>
        <w:t>go</w:t>
      </w:r>
      <w:r>
        <w:rPr>
          <w:rFonts w:ascii="Arial" w:hAnsi="Arial"/>
          <w:spacing w:val="-18"/>
          <w:w w:val="105"/>
          <w:sz w:val="19"/>
        </w:rPr>
        <w:t xml:space="preserve"> </w:t>
      </w:r>
      <w:r>
        <w:rPr>
          <w:rFonts w:ascii="Arial" w:hAnsi="Arial"/>
          <w:w w:val="105"/>
          <w:sz w:val="19"/>
        </w:rPr>
        <w:t>down</w:t>
      </w:r>
      <w:r>
        <w:rPr>
          <w:rFonts w:ascii="Arial" w:hAnsi="Arial"/>
          <w:spacing w:val="-19"/>
          <w:w w:val="105"/>
          <w:sz w:val="19"/>
        </w:rPr>
        <w:t xml:space="preserve"> </w:t>
      </w:r>
      <w:r>
        <w:rPr>
          <w:rFonts w:ascii="Arial" w:hAnsi="Arial"/>
          <w:w w:val="105"/>
          <w:sz w:val="19"/>
        </w:rPr>
        <w:t>that</w:t>
      </w:r>
      <w:r>
        <w:rPr>
          <w:rFonts w:ascii="Arial" w:hAnsi="Arial"/>
          <w:spacing w:val="-20"/>
          <w:w w:val="105"/>
          <w:sz w:val="19"/>
        </w:rPr>
        <w:t xml:space="preserve"> </w:t>
      </w:r>
      <w:r>
        <w:rPr>
          <w:rFonts w:ascii="Arial" w:hAnsi="Arial"/>
          <w:w w:val="105"/>
          <w:sz w:val="19"/>
        </w:rPr>
        <w:t>pathway.</w:t>
      </w:r>
      <w:r>
        <w:rPr>
          <w:rFonts w:ascii="Arial" w:hAnsi="Arial"/>
          <w:spacing w:val="-19"/>
          <w:w w:val="105"/>
          <w:sz w:val="19"/>
        </w:rPr>
        <w:t xml:space="preserve"> </w:t>
      </w:r>
      <w:r>
        <w:rPr>
          <w:rFonts w:ascii="Arial" w:hAnsi="Arial"/>
          <w:w w:val="105"/>
          <w:sz w:val="19"/>
        </w:rPr>
        <w:t>This</w:t>
      </w:r>
      <w:r>
        <w:rPr>
          <w:rFonts w:ascii="Arial" w:hAnsi="Arial"/>
          <w:spacing w:val="-18"/>
          <w:w w:val="105"/>
          <w:sz w:val="19"/>
        </w:rPr>
        <w:t xml:space="preserve"> </w:t>
      </w:r>
      <w:r>
        <w:rPr>
          <w:rFonts w:ascii="Arial" w:hAnsi="Arial"/>
          <w:w w:val="105"/>
          <w:sz w:val="19"/>
        </w:rPr>
        <w:t>is</w:t>
      </w:r>
      <w:r>
        <w:rPr>
          <w:rFonts w:ascii="Arial" w:hAnsi="Arial"/>
          <w:spacing w:val="-15"/>
          <w:w w:val="105"/>
          <w:sz w:val="19"/>
        </w:rPr>
        <w:t xml:space="preserve"> </w:t>
      </w:r>
      <w:r>
        <w:rPr>
          <w:rFonts w:ascii="Arial" w:hAnsi="Arial"/>
          <w:w w:val="105"/>
          <w:sz w:val="19"/>
        </w:rPr>
        <w:t>principally</w:t>
      </w:r>
      <w:r>
        <w:rPr>
          <w:rFonts w:ascii="Arial" w:hAnsi="Arial"/>
          <w:spacing w:val="-17"/>
          <w:w w:val="105"/>
          <w:sz w:val="19"/>
        </w:rPr>
        <w:t xml:space="preserve"> </w:t>
      </w:r>
      <w:r>
        <w:rPr>
          <w:rFonts w:ascii="Arial" w:hAnsi="Arial"/>
          <w:w w:val="105"/>
          <w:sz w:val="19"/>
        </w:rPr>
        <w:t>because</w:t>
      </w:r>
      <w:r>
        <w:rPr>
          <w:rFonts w:ascii="Arial" w:hAnsi="Arial"/>
          <w:spacing w:val="-19"/>
          <w:w w:val="105"/>
          <w:sz w:val="19"/>
        </w:rPr>
        <w:t xml:space="preserve"> </w:t>
      </w:r>
      <w:r>
        <w:rPr>
          <w:rFonts w:ascii="Arial" w:hAnsi="Arial"/>
          <w:w w:val="105"/>
          <w:sz w:val="19"/>
        </w:rPr>
        <w:t>the product</w:t>
      </w:r>
      <w:r>
        <w:rPr>
          <w:rFonts w:ascii="Arial" w:hAnsi="Arial"/>
          <w:spacing w:val="-24"/>
          <w:w w:val="105"/>
          <w:sz w:val="19"/>
        </w:rPr>
        <w:t xml:space="preserve"> </w:t>
      </w:r>
      <w:r>
        <w:rPr>
          <w:rFonts w:ascii="Arial" w:hAnsi="Arial"/>
          <w:w w:val="105"/>
          <w:sz w:val="19"/>
        </w:rPr>
        <w:t>is</w:t>
      </w:r>
      <w:r>
        <w:rPr>
          <w:rFonts w:ascii="Arial" w:hAnsi="Arial"/>
          <w:spacing w:val="-23"/>
          <w:w w:val="105"/>
          <w:sz w:val="19"/>
        </w:rPr>
        <w:t xml:space="preserve"> </w:t>
      </w:r>
      <w:r>
        <w:rPr>
          <w:rFonts w:ascii="Arial" w:hAnsi="Arial"/>
          <w:w w:val="105"/>
          <w:sz w:val="19"/>
        </w:rPr>
        <w:t>sold</w:t>
      </w:r>
      <w:r>
        <w:rPr>
          <w:rFonts w:ascii="Arial" w:hAnsi="Arial"/>
          <w:spacing w:val="-24"/>
          <w:w w:val="105"/>
          <w:sz w:val="19"/>
        </w:rPr>
        <w:t xml:space="preserve"> </w:t>
      </w:r>
      <w:r>
        <w:rPr>
          <w:rFonts w:ascii="Arial" w:hAnsi="Arial"/>
          <w:w w:val="105"/>
          <w:sz w:val="19"/>
        </w:rPr>
        <w:t>as</w:t>
      </w:r>
      <w:r>
        <w:rPr>
          <w:rFonts w:ascii="Arial" w:hAnsi="Arial"/>
          <w:spacing w:val="-22"/>
          <w:w w:val="105"/>
          <w:sz w:val="19"/>
        </w:rPr>
        <w:t xml:space="preserve"> </w:t>
      </w:r>
      <w:r>
        <w:rPr>
          <w:rFonts w:ascii="Arial" w:hAnsi="Arial"/>
          <w:w w:val="105"/>
          <w:sz w:val="19"/>
        </w:rPr>
        <w:t>a</w:t>
      </w:r>
      <w:r>
        <w:rPr>
          <w:rFonts w:ascii="Arial" w:hAnsi="Arial"/>
          <w:spacing w:val="-24"/>
          <w:w w:val="105"/>
          <w:sz w:val="19"/>
        </w:rPr>
        <w:t xml:space="preserve"> </w:t>
      </w:r>
      <w:r>
        <w:rPr>
          <w:rFonts w:ascii="Arial" w:hAnsi="Arial"/>
          <w:w w:val="105"/>
          <w:sz w:val="19"/>
        </w:rPr>
        <w:t>pill/capsule</w:t>
      </w:r>
      <w:r>
        <w:rPr>
          <w:rFonts w:ascii="Arial" w:hAnsi="Arial"/>
          <w:spacing w:val="-22"/>
          <w:w w:val="105"/>
          <w:sz w:val="19"/>
        </w:rPr>
        <w:t xml:space="preserve"> </w:t>
      </w:r>
      <w:r>
        <w:rPr>
          <w:rFonts w:ascii="Arial" w:hAnsi="Arial"/>
          <w:w w:val="105"/>
          <w:sz w:val="19"/>
        </w:rPr>
        <w:t>due</w:t>
      </w:r>
      <w:r>
        <w:rPr>
          <w:rFonts w:ascii="Arial" w:hAnsi="Arial"/>
          <w:spacing w:val="-23"/>
          <w:w w:val="105"/>
          <w:sz w:val="19"/>
        </w:rPr>
        <w:t xml:space="preserve"> </w:t>
      </w:r>
      <w:r>
        <w:rPr>
          <w:rFonts w:ascii="Arial" w:hAnsi="Arial"/>
          <w:w w:val="105"/>
          <w:sz w:val="19"/>
        </w:rPr>
        <w:t>to</w:t>
      </w:r>
      <w:r>
        <w:rPr>
          <w:rFonts w:ascii="Arial" w:hAnsi="Arial"/>
          <w:spacing w:val="-23"/>
          <w:w w:val="105"/>
          <w:sz w:val="19"/>
        </w:rPr>
        <w:t xml:space="preserve"> </w:t>
      </w:r>
      <w:r>
        <w:rPr>
          <w:rFonts w:ascii="Arial" w:hAnsi="Arial"/>
          <w:w w:val="105"/>
          <w:sz w:val="19"/>
        </w:rPr>
        <w:t>consumer</w:t>
      </w:r>
      <w:r>
        <w:rPr>
          <w:rFonts w:ascii="Arial" w:hAnsi="Arial"/>
          <w:spacing w:val="-24"/>
          <w:w w:val="105"/>
          <w:sz w:val="19"/>
        </w:rPr>
        <w:t xml:space="preserve"> </w:t>
      </w:r>
      <w:r>
        <w:rPr>
          <w:rFonts w:ascii="Arial" w:hAnsi="Arial"/>
          <w:w w:val="105"/>
          <w:sz w:val="19"/>
        </w:rPr>
        <w:t>demand</w:t>
      </w:r>
      <w:r>
        <w:rPr>
          <w:rFonts w:ascii="Arial" w:hAnsi="Arial"/>
          <w:spacing w:val="-24"/>
          <w:w w:val="105"/>
          <w:sz w:val="19"/>
        </w:rPr>
        <w:t xml:space="preserve"> </w:t>
      </w:r>
      <w:r>
        <w:rPr>
          <w:rFonts w:ascii="Arial" w:hAnsi="Arial"/>
          <w:w w:val="105"/>
          <w:sz w:val="19"/>
        </w:rPr>
        <w:t>related</w:t>
      </w:r>
      <w:r>
        <w:rPr>
          <w:rFonts w:ascii="Arial" w:hAnsi="Arial"/>
          <w:spacing w:val="-25"/>
          <w:w w:val="105"/>
          <w:sz w:val="19"/>
        </w:rPr>
        <w:t xml:space="preserve"> </w:t>
      </w:r>
      <w:r>
        <w:rPr>
          <w:rFonts w:ascii="Arial" w:hAnsi="Arial"/>
          <w:w w:val="105"/>
          <w:sz w:val="19"/>
        </w:rPr>
        <w:t>to</w:t>
      </w:r>
      <w:r>
        <w:rPr>
          <w:rFonts w:ascii="Arial" w:hAnsi="Arial"/>
          <w:spacing w:val="-23"/>
          <w:w w:val="105"/>
          <w:sz w:val="19"/>
        </w:rPr>
        <w:t xml:space="preserve"> </w:t>
      </w:r>
      <w:r>
        <w:rPr>
          <w:rFonts w:ascii="Arial" w:hAnsi="Arial"/>
          <w:w w:val="105"/>
          <w:sz w:val="19"/>
        </w:rPr>
        <w:t>convenience</w:t>
      </w:r>
      <w:r>
        <w:rPr>
          <w:rFonts w:ascii="Arial" w:hAnsi="Arial"/>
          <w:spacing w:val="-23"/>
          <w:w w:val="105"/>
          <w:sz w:val="19"/>
        </w:rPr>
        <w:t xml:space="preserve"> </w:t>
      </w:r>
      <w:r>
        <w:rPr>
          <w:rFonts w:ascii="Arial" w:hAnsi="Arial"/>
          <w:w w:val="105"/>
          <w:sz w:val="19"/>
        </w:rPr>
        <w:t>of</w:t>
      </w:r>
      <w:r>
        <w:rPr>
          <w:rFonts w:ascii="Arial" w:hAnsi="Arial"/>
          <w:spacing w:val="-24"/>
          <w:w w:val="105"/>
          <w:sz w:val="19"/>
        </w:rPr>
        <w:t xml:space="preserve"> </w:t>
      </w:r>
      <w:r>
        <w:rPr>
          <w:rFonts w:ascii="Arial" w:hAnsi="Arial"/>
          <w:w w:val="105"/>
          <w:sz w:val="19"/>
        </w:rPr>
        <w:t>consumption (i.e.</w:t>
      </w:r>
      <w:r>
        <w:rPr>
          <w:rFonts w:ascii="Arial" w:hAnsi="Arial"/>
          <w:spacing w:val="-19"/>
          <w:w w:val="105"/>
          <w:sz w:val="19"/>
        </w:rPr>
        <w:t xml:space="preserve"> </w:t>
      </w:r>
      <w:r>
        <w:rPr>
          <w:rFonts w:ascii="Arial" w:hAnsi="Arial"/>
          <w:w w:val="105"/>
          <w:sz w:val="19"/>
        </w:rPr>
        <w:t>they</w:t>
      </w:r>
      <w:r>
        <w:rPr>
          <w:rFonts w:ascii="Arial" w:hAnsi="Arial"/>
          <w:spacing w:val="-20"/>
          <w:w w:val="105"/>
          <w:sz w:val="19"/>
        </w:rPr>
        <w:t xml:space="preserve"> </w:t>
      </w:r>
      <w:r>
        <w:rPr>
          <w:rFonts w:ascii="Arial" w:hAnsi="Arial"/>
          <w:w w:val="105"/>
          <w:sz w:val="19"/>
        </w:rPr>
        <w:t>do</w:t>
      </w:r>
      <w:r>
        <w:rPr>
          <w:rFonts w:ascii="Arial" w:hAnsi="Arial"/>
          <w:spacing w:val="-20"/>
          <w:w w:val="105"/>
          <w:sz w:val="19"/>
        </w:rPr>
        <w:t xml:space="preserve"> </w:t>
      </w:r>
      <w:r>
        <w:rPr>
          <w:rFonts w:ascii="Arial" w:hAnsi="Arial"/>
          <w:w w:val="105"/>
          <w:sz w:val="19"/>
        </w:rPr>
        <w:t>not</w:t>
      </w:r>
      <w:r>
        <w:rPr>
          <w:rFonts w:ascii="Arial" w:hAnsi="Arial"/>
          <w:spacing w:val="-20"/>
          <w:w w:val="105"/>
          <w:sz w:val="19"/>
        </w:rPr>
        <w:t xml:space="preserve"> </w:t>
      </w:r>
      <w:r>
        <w:rPr>
          <w:rFonts w:ascii="Arial" w:hAnsi="Arial"/>
          <w:w w:val="105"/>
          <w:sz w:val="19"/>
        </w:rPr>
        <w:t>need</w:t>
      </w:r>
      <w:r>
        <w:rPr>
          <w:rFonts w:ascii="Arial" w:hAnsi="Arial"/>
          <w:spacing w:val="-20"/>
          <w:w w:val="105"/>
          <w:sz w:val="19"/>
        </w:rPr>
        <w:t xml:space="preserve"> </w:t>
      </w:r>
      <w:r>
        <w:rPr>
          <w:rFonts w:ascii="Arial" w:hAnsi="Arial"/>
          <w:w w:val="105"/>
          <w:sz w:val="19"/>
        </w:rPr>
        <w:t>to</w:t>
      </w:r>
      <w:r>
        <w:rPr>
          <w:rFonts w:ascii="Arial" w:hAnsi="Arial"/>
          <w:spacing w:val="-20"/>
          <w:w w:val="105"/>
          <w:sz w:val="19"/>
        </w:rPr>
        <w:t xml:space="preserve"> </w:t>
      </w:r>
      <w:r>
        <w:rPr>
          <w:rFonts w:ascii="Arial" w:hAnsi="Arial"/>
          <w:w w:val="105"/>
          <w:sz w:val="19"/>
        </w:rPr>
        <w:t>mix</w:t>
      </w:r>
      <w:r>
        <w:rPr>
          <w:rFonts w:ascii="Arial" w:hAnsi="Arial"/>
          <w:spacing w:val="-23"/>
          <w:w w:val="105"/>
          <w:sz w:val="19"/>
        </w:rPr>
        <w:t xml:space="preserve"> </w:t>
      </w:r>
      <w:r>
        <w:rPr>
          <w:rFonts w:ascii="Arial" w:hAnsi="Arial"/>
          <w:w w:val="105"/>
          <w:sz w:val="19"/>
        </w:rPr>
        <w:t>the</w:t>
      </w:r>
      <w:r>
        <w:rPr>
          <w:rFonts w:ascii="Arial" w:hAnsi="Arial"/>
          <w:spacing w:val="-20"/>
          <w:w w:val="105"/>
          <w:sz w:val="19"/>
        </w:rPr>
        <w:t xml:space="preserve"> </w:t>
      </w:r>
      <w:r>
        <w:rPr>
          <w:rFonts w:ascii="Arial" w:hAnsi="Arial"/>
          <w:w w:val="105"/>
          <w:sz w:val="19"/>
        </w:rPr>
        <w:t>product</w:t>
      </w:r>
      <w:r>
        <w:rPr>
          <w:rFonts w:ascii="Arial" w:hAnsi="Arial"/>
          <w:spacing w:val="-20"/>
          <w:w w:val="105"/>
          <w:sz w:val="19"/>
        </w:rPr>
        <w:t xml:space="preserve"> </w:t>
      </w:r>
      <w:r>
        <w:rPr>
          <w:rFonts w:ascii="Arial" w:hAnsi="Arial"/>
          <w:w w:val="105"/>
          <w:sz w:val="19"/>
        </w:rPr>
        <w:t>with</w:t>
      </w:r>
      <w:r>
        <w:rPr>
          <w:rFonts w:ascii="Arial" w:hAnsi="Arial"/>
          <w:spacing w:val="-18"/>
          <w:w w:val="105"/>
          <w:sz w:val="19"/>
        </w:rPr>
        <w:t xml:space="preserve"> </w:t>
      </w:r>
      <w:r>
        <w:rPr>
          <w:rFonts w:ascii="Arial" w:hAnsi="Arial"/>
          <w:w w:val="105"/>
          <w:sz w:val="19"/>
        </w:rPr>
        <w:t>liquid</w:t>
      </w:r>
      <w:r>
        <w:rPr>
          <w:rFonts w:ascii="Arial" w:hAnsi="Arial"/>
          <w:spacing w:val="-20"/>
          <w:w w:val="105"/>
          <w:sz w:val="19"/>
        </w:rPr>
        <w:t xml:space="preserve"> </w:t>
      </w:r>
      <w:r>
        <w:rPr>
          <w:rFonts w:ascii="Arial" w:hAnsi="Arial"/>
          <w:w w:val="105"/>
          <w:sz w:val="19"/>
        </w:rPr>
        <w:t>for</w:t>
      </w:r>
      <w:r>
        <w:rPr>
          <w:rFonts w:ascii="Arial" w:hAnsi="Arial"/>
          <w:spacing w:val="-19"/>
          <w:w w:val="105"/>
          <w:sz w:val="19"/>
        </w:rPr>
        <w:t xml:space="preserve"> </w:t>
      </w:r>
      <w:r>
        <w:rPr>
          <w:rFonts w:ascii="Arial" w:hAnsi="Arial"/>
          <w:w w:val="105"/>
          <w:sz w:val="19"/>
        </w:rPr>
        <w:t>consumption</w:t>
      </w:r>
      <w:r>
        <w:rPr>
          <w:rFonts w:ascii="Arial" w:hAnsi="Arial"/>
          <w:spacing w:val="-16"/>
          <w:w w:val="105"/>
          <w:sz w:val="19"/>
        </w:rPr>
        <w:t xml:space="preserve"> </w:t>
      </w:r>
      <w:r>
        <w:rPr>
          <w:rFonts w:ascii="Arial" w:hAnsi="Arial"/>
          <w:w w:val="105"/>
          <w:sz w:val="19"/>
        </w:rPr>
        <w:t>–</w:t>
      </w:r>
      <w:r>
        <w:rPr>
          <w:rFonts w:ascii="Arial" w:hAnsi="Arial"/>
          <w:spacing w:val="-20"/>
          <w:w w:val="105"/>
          <w:sz w:val="19"/>
        </w:rPr>
        <w:t xml:space="preserve"> </w:t>
      </w:r>
      <w:r>
        <w:rPr>
          <w:rFonts w:ascii="Arial" w:hAnsi="Arial"/>
          <w:w w:val="105"/>
          <w:sz w:val="19"/>
        </w:rPr>
        <w:t>as</w:t>
      </w:r>
      <w:r>
        <w:rPr>
          <w:rFonts w:ascii="Arial" w:hAnsi="Arial"/>
          <w:spacing w:val="-21"/>
          <w:w w:val="105"/>
          <w:sz w:val="19"/>
        </w:rPr>
        <w:t xml:space="preserve"> </w:t>
      </w:r>
      <w:r>
        <w:rPr>
          <w:rFonts w:ascii="Arial" w:hAnsi="Arial"/>
          <w:w w:val="105"/>
          <w:sz w:val="19"/>
        </w:rPr>
        <w:t>is</w:t>
      </w:r>
      <w:r>
        <w:rPr>
          <w:rFonts w:ascii="Arial" w:hAnsi="Arial"/>
          <w:spacing w:val="-19"/>
          <w:w w:val="105"/>
          <w:sz w:val="19"/>
        </w:rPr>
        <w:t xml:space="preserve"> </w:t>
      </w:r>
      <w:r>
        <w:rPr>
          <w:rFonts w:ascii="Arial" w:hAnsi="Arial"/>
          <w:w w:val="105"/>
          <w:sz w:val="19"/>
        </w:rPr>
        <w:t>the</w:t>
      </w:r>
      <w:r>
        <w:rPr>
          <w:rFonts w:ascii="Arial" w:hAnsi="Arial"/>
          <w:spacing w:val="-20"/>
          <w:w w:val="105"/>
          <w:sz w:val="19"/>
        </w:rPr>
        <w:t xml:space="preserve"> </w:t>
      </w:r>
      <w:r>
        <w:rPr>
          <w:rFonts w:ascii="Arial" w:hAnsi="Arial"/>
          <w:w w:val="105"/>
          <w:sz w:val="19"/>
        </w:rPr>
        <w:t>case</w:t>
      </w:r>
      <w:r>
        <w:rPr>
          <w:rFonts w:ascii="Arial" w:hAnsi="Arial"/>
          <w:spacing w:val="-21"/>
          <w:w w:val="105"/>
          <w:sz w:val="19"/>
        </w:rPr>
        <w:t xml:space="preserve"> </w:t>
      </w:r>
      <w:r>
        <w:rPr>
          <w:rFonts w:ascii="Arial" w:hAnsi="Arial"/>
          <w:w w:val="105"/>
          <w:sz w:val="19"/>
        </w:rPr>
        <w:t>with</w:t>
      </w:r>
      <w:r>
        <w:rPr>
          <w:rFonts w:ascii="Arial" w:hAnsi="Arial"/>
          <w:spacing w:val="-20"/>
          <w:w w:val="105"/>
          <w:sz w:val="19"/>
        </w:rPr>
        <w:t xml:space="preserve"> </w:t>
      </w:r>
      <w:r>
        <w:rPr>
          <w:rFonts w:ascii="Arial" w:hAnsi="Arial"/>
          <w:w w:val="105"/>
          <w:sz w:val="19"/>
        </w:rPr>
        <w:t>a</w:t>
      </w:r>
      <w:r>
        <w:rPr>
          <w:rFonts w:ascii="Arial" w:hAnsi="Arial"/>
          <w:spacing w:val="-17"/>
          <w:w w:val="105"/>
          <w:sz w:val="19"/>
        </w:rPr>
        <w:t xml:space="preserve"> </w:t>
      </w:r>
      <w:r>
        <w:rPr>
          <w:rFonts w:ascii="Arial" w:hAnsi="Arial"/>
          <w:w w:val="105"/>
          <w:sz w:val="19"/>
        </w:rPr>
        <w:t>powder)</w:t>
      </w:r>
    </w:p>
    <w:p w:rsidR="007D76BB" w:rsidRDefault="00D70D28">
      <w:pPr>
        <w:pStyle w:val="BodyText"/>
        <w:spacing w:before="3"/>
        <w:rPr>
          <w:rFonts w:ascii="Arial"/>
          <w:sz w:val="10"/>
        </w:rPr>
      </w:pPr>
      <w:r>
        <w:rPr>
          <w:noProof/>
          <w:lang w:val="en-AU" w:eastAsia="en-AU"/>
        </w:rPr>
        <mc:AlternateContent>
          <mc:Choice Requires="wps">
            <w:drawing>
              <wp:anchor distT="0" distB="0" distL="0" distR="0" simplePos="0" relativeHeight="251713536" behindDoc="1" locked="0" layoutInCell="1" allowOverlap="1">
                <wp:simplePos x="0" y="0"/>
                <wp:positionH relativeFrom="page">
                  <wp:posOffset>1080770</wp:posOffset>
                </wp:positionH>
                <wp:positionV relativeFrom="paragraph">
                  <wp:posOffset>105410</wp:posOffset>
                </wp:positionV>
                <wp:extent cx="1829435" cy="1270"/>
                <wp:effectExtent l="0" t="0" r="0" b="0"/>
                <wp:wrapTopAndBottom/>
                <wp:docPr id="333"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38589" id="Freeform 189" o:spid="_x0000_s1026" style="position:absolute;margin-left:85.1pt;margin-top:8.3pt;width:144.05pt;height:.1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" path="m,l2880,e" filled="f" strokeweight=".84pt">
                <v:path arrowok="t" o:connecttype="custom" o:connectlocs="0,0;1828800,0" o:connectangles="0,0"/>
                <w10:wrap type="topAndBottom" anchorx="page"/>
              </v:shape>
            </w:pict>
          </mc:Fallback>
        </mc:AlternateContent>
      </w:r>
    </w:p>
    <w:p w:rsidR="007D76BB" w:rsidRDefault="00D70D28">
      <w:pPr>
        <w:spacing w:before="132" w:line="268" w:lineRule="auto"/>
        <w:ind w:left="594" w:right="688" w:hanging="113"/>
        <w:rPr>
          <w:rFonts w:ascii="Arial" w:hAnsi="Arial"/>
          <w:sz w:val="14"/>
        </w:rPr>
      </w:pPr>
      <w:r>
        <w:rPr>
          <w:rFonts w:ascii="Arial" w:hAnsi="Arial"/>
          <w:color w:val="5B6761"/>
          <w:w w:val="105"/>
          <w:position w:val="5"/>
          <w:sz w:val="8"/>
        </w:rPr>
        <w:t>30</w:t>
      </w:r>
      <w:r>
        <w:rPr>
          <w:rFonts w:ascii="Arial" w:hAnsi="Arial"/>
          <w:color w:val="5B6761"/>
          <w:spacing w:val="-2"/>
          <w:w w:val="105"/>
          <w:position w:val="5"/>
          <w:sz w:val="8"/>
        </w:rPr>
        <w:t xml:space="preserve"> </w:t>
      </w:r>
      <w:r>
        <w:rPr>
          <w:rFonts w:ascii="Arial" w:hAnsi="Arial"/>
          <w:color w:val="5B6761"/>
          <w:w w:val="105"/>
          <w:sz w:val="14"/>
        </w:rPr>
        <w:t>Noting</w:t>
      </w:r>
      <w:r>
        <w:rPr>
          <w:rFonts w:ascii="Arial" w:hAnsi="Arial"/>
          <w:color w:val="5B6761"/>
          <w:spacing w:val="-18"/>
          <w:w w:val="105"/>
          <w:sz w:val="14"/>
        </w:rPr>
        <w:t xml:space="preserve"> </w:t>
      </w:r>
      <w:r>
        <w:rPr>
          <w:rFonts w:ascii="Arial" w:hAnsi="Arial"/>
          <w:color w:val="5B6761"/>
          <w:w w:val="105"/>
          <w:sz w:val="14"/>
        </w:rPr>
        <w:t>that</w:t>
      </w:r>
      <w:r>
        <w:rPr>
          <w:rFonts w:ascii="Arial" w:hAnsi="Arial"/>
          <w:color w:val="5B6761"/>
          <w:spacing w:val="-20"/>
          <w:w w:val="105"/>
          <w:sz w:val="14"/>
        </w:rPr>
        <w:t xml:space="preserve"> </w:t>
      </w:r>
      <w:r>
        <w:rPr>
          <w:rFonts w:ascii="Arial" w:hAnsi="Arial"/>
          <w:color w:val="5B6761"/>
          <w:w w:val="105"/>
          <w:sz w:val="14"/>
        </w:rPr>
        <w:t>if</w:t>
      </w:r>
      <w:r>
        <w:rPr>
          <w:rFonts w:ascii="Arial" w:hAnsi="Arial"/>
          <w:color w:val="5B6761"/>
          <w:spacing w:val="-19"/>
          <w:w w:val="105"/>
          <w:sz w:val="14"/>
        </w:rPr>
        <w:t xml:space="preserve"> </w:t>
      </w:r>
      <w:r>
        <w:rPr>
          <w:rFonts w:ascii="Arial" w:hAnsi="Arial"/>
          <w:color w:val="5B6761"/>
          <w:w w:val="105"/>
          <w:sz w:val="14"/>
        </w:rPr>
        <w:t>the</w:t>
      </w:r>
      <w:r>
        <w:rPr>
          <w:rFonts w:ascii="Arial" w:hAnsi="Arial"/>
          <w:color w:val="5B6761"/>
          <w:spacing w:val="-19"/>
          <w:w w:val="105"/>
          <w:sz w:val="14"/>
        </w:rPr>
        <w:t xml:space="preserve"> </w:t>
      </w:r>
      <w:r>
        <w:rPr>
          <w:rFonts w:ascii="Arial" w:hAnsi="Arial"/>
          <w:color w:val="5B6761"/>
          <w:w w:val="105"/>
          <w:sz w:val="14"/>
        </w:rPr>
        <w:t>claims</w:t>
      </w:r>
      <w:r>
        <w:rPr>
          <w:rFonts w:ascii="Arial" w:hAnsi="Arial"/>
          <w:color w:val="5B6761"/>
          <w:spacing w:val="-19"/>
          <w:w w:val="105"/>
          <w:sz w:val="14"/>
        </w:rPr>
        <w:t xml:space="preserve"> </w:t>
      </w:r>
      <w:r>
        <w:rPr>
          <w:rFonts w:ascii="Arial" w:hAnsi="Arial"/>
          <w:color w:val="5B6761"/>
          <w:w w:val="105"/>
          <w:sz w:val="14"/>
        </w:rPr>
        <w:t>do</w:t>
      </w:r>
      <w:r>
        <w:rPr>
          <w:rFonts w:ascii="Arial" w:hAnsi="Arial"/>
          <w:color w:val="5B6761"/>
          <w:spacing w:val="-19"/>
          <w:w w:val="105"/>
          <w:sz w:val="14"/>
        </w:rPr>
        <w:t xml:space="preserve"> </w:t>
      </w:r>
      <w:r>
        <w:rPr>
          <w:rFonts w:ascii="Arial" w:hAnsi="Arial"/>
          <w:color w:val="5B6761"/>
          <w:w w:val="105"/>
          <w:sz w:val="14"/>
        </w:rPr>
        <w:t>not</w:t>
      </w:r>
      <w:r>
        <w:rPr>
          <w:rFonts w:ascii="Arial" w:hAnsi="Arial"/>
          <w:color w:val="5B6761"/>
          <w:spacing w:val="-18"/>
          <w:w w:val="105"/>
          <w:sz w:val="14"/>
        </w:rPr>
        <w:t xml:space="preserve"> </w:t>
      </w:r>
      <w:r>
        <w:rPr>
          <w:rFonts w:ascii="Arial" w:hAnsi="Arial"/>
          <w:color w:val="5B6761"/>
          <w:w w:val="105"/>
          <w:sz w:val="14"/>
        </w:rPr>
        <w:t>accord</w:t>
      </w:r>
      <w:r>
        <w:rPr>
          <w:rFonts w:ascii="Arial" w:hAnsi="Arial"/>
          <w:color w:val="5B6761"/>
          <w:spacing w:val="-19"/>
          <w:w w:val="105"/>
          <w:sz w:val="14"/>
        </w:rPr>
        <w:t xml:space="preserve"> </w:t>
      </w:r>
      <w:r>
        <w:rPr>
          <w:rFonts w:ascii="Arial" w:hAnsi="Arial"/>
          <w:color w:val="5B6761"/>
          <w:w w:val="105"/>
          <w:sz w:val="14"/>
        </w:rPr>
        <w:t>with</w:t>
      </w:r>
      <w:r>
        <w:rPr>
          <w:rFonts w:ascii="Arial" w:hAnsi="Arial"/>
          <w:color w:val="5B6761"/>
          <w:spacing w:val="-18"/>
          <w:w w:val="105"/>
          <w:sz w:val="14"/>
        </w:rPr>
        <w:t xml:space="preserve"> </w:t>
      </w:r>
      <w:r>
        <w:rPr>
          <w:rFonts w:ascii="Arial" w:hAnsi="Arial"/>
          <w:color w:val="5B6761"/>
          <w:w w:val="105"/>
          <w:sz w:val="14"/>
        </w:rPr>
        <w:t>Australia</w:t>
      </w:r>
      <w:r>
        <w:rPr>
          <w:rFonts w:ascii="Arial" w:hAnsi="Arial"/>
          <w:color w:val="5B6761"/>
          <w:spacing w:val="-20"/>
          <w:w w:val="105"/>
          <w:sz w:val="14"/>
        </w:rPr>
        <w:t xml:space="preserve"> </w:t>
      </w:r>
      <w:r>
        <w:rPr>
          <w:rFonts w:ascii="Arial" w:hAnsi="Arial"/>
          <w:color w:val="5B6761"/>
          <w:w w:val="105"/>
          <w:sz w:val="14"/>
        </w:rPr>
        <w:t>New</w:t>
      </w:r>
      <w:r>
        <w:rPr>
          <w:rFonts w:ascii="Arial" w:hAnsi="Arial"/>
          <w:color w:val="5B6761"/>
          <w:spacing w:val="-17"/>
          <w:w w:val="105"/>
          <w:sz w:val="14"/>
        </w:rPr>
        <w:t xml:space="preserve"> </w:t>
      </w:r>
      <w:r>
        <w:rPr>
          <w:rFonts w:ascii="Arial" w:hAnsi="Arial"/>
          <w:color w:val="5B6761"/>
          <w:w w:val="105"/>
          <w:sz w:val="14"/>
        </w:rPr>
        <w:t>Zealand</w:t>
      </w:r>
      <w:r>
        <w:rPr>
          <w:rFonts w:ascii="Arial" w:hAnsi="Arial"/>
          <w:color w:val="5B6761"/>
          <w:spacing w:val="-18"/>
          <w:w w:val="105"/>
          <w:sz w:val="14"/>
        </w:rPr>
        <w:t xml:space="preserve"> </w:t>
      </w:r>
      <w:r>
        <w:rPr>
          <w:rFonts w:ascii="Arial" w:hAnsi="Arial"/>
          <w:color w:val="5B6761"/>
          <w:w w:val="105"/>
          <w:sz w:val="14"/>
        </w:rPr>
        <w:t>Food</w:t>
      </w:r>
      <w:r>
        <w:rPr>
          <w:rFonts w:ascii="Arial" w:hAnsi="Arial"/>
          <w:color w:val="5B6761"/>
          <w:spacing w:val="-18"/>
          <w:w w:val="105"/>
          <w:sz w:val="14"/>
        </w:rPr>
        <w:t xml:space="preserve"> </w:t>
      </w:r>
      <w:r>
        <w:rPr>
          <w:rFonts w:ascii="Arial" w:hAnsi="Arial"/>
          <w:color w:val="5B6761"/>
          <w:w w:val="105"/>
          <w:sz w:val="14"/>
        </w:rPr>
        <w:t>Standards</w:t>
      </w:r>
      <w:r>
        <w:rPr>
          <w:rFonts w:ascii="Arial" w:hAnsi="Arial"/>
          <w:color w:val="5B6761"/>
          <w:spacing w:val="-19"/>
          <w:w w:val="105"/>
          <w:sz w:val="14"/>
        </w:rPr>
        <w:t xml:space="preserve"> </w:t>
      </w:r>
      <w:r>
        <w:rPr>
          <w:rFonts w:ascii="Arial" w:hAnsi="Arial"/>
          <w:color w:val="5B6761"/>
          <w:w w:val="105"/>
          <w:sz w:val="14"/>
        </w:rPr>
        <w:t>Code</w:t>
      </w:r>
      <w:r>
        <w:rPr>
          <w:rFonts w:ascii="Arial" w:hAnsi="Arial"/>
          <w:color w:val="5B6761"/>
          <w:spacing w:val="-12"/>
          <w:w w:val="105"/>
          <w:sz w:val="14"/>
        </w:rPr>
        <w:t xml:space="preserve"> </w:t>
      </w:r>
      <w:r>
        <w:rPr>
          <w:rFonts w:ascii="Arial" w:hAnsi="Arial"/>
          <w:color w:val="5B6761"/>
          <w:w w:val="105"/>
          <w:sz w:val="14"/>
        </w:rPr>
        <w:t>–</w:t>
      </w:r>
      <w:r>
        <w:rPr>
          <w:rFonts w:ascii="Arial" w:hAnsi="Arial"/>
          <w:color w:val="5B6761"/>
          <w:spacing w:val="-18"/>
          <w:w w:val="105"/>
          <w:sz w:val="14"/>
        </w:rPr>
        <w:t xml:space="preserve"> </w:t>
      </w:r>
      <w:r>
        <w:rPr>
          <w:rFonts w:ascii="Arial" w:hAnsi="Arial"/>
          <w:color w:val="5B6761"/>
          <w:w w:val="105"/>
          <w:sz w:val="14"/>
        </w:rPr>
        <w:t>Schedule</w:t>
      </w:r>
      <w:r>
        <w:rPr>
          <w:rFonts w:ascii="Arial" w:hAnsi="Arial"/>
          <w:color w:val="5B6761"/>
          <w:spacing w:val="-19"/>
          <w:w w:val="105"/>
          <w:sz w:val="14"/>
        </w:rPr>
        <w:t xml:space="preserve"> </w:t>
      </w:r>
      <w:r>
        <w:rPr>
          <w:rFonts w:ascii="Arial" w:hAnsi="Arial"/>
          <w:color w:val="5B6761"/>
          <w:w w:val="105"/>
          <w:sz w:val="14"/>
        </w:rPr>
        <w:t>4</w:t>
      </w:r>
      <w:r>
        <w:rPr>
          <w:rFonts w:ascii="Arial" w:hAnsi="Arial"/>
          <w:color w:val="5B6761"/>
          <w:spacing w:val="-18"/>
          <w:w w:val="105"/>
          <w:sz w:val="14"/>
        </w:rPr>
        <w:t xml:space="preserve"> </w:t>
      </w:r>
      <w:r>
        <w:rPr>
          <w:rFonts w:ascii="Arial" w:hAnsi="Arial"/>
          <w:color w:val="5B6761"/>
          <w:w w:val="105"/>
          <w:sz w:val="14"/>
        </w:rPr>
        <w:t>–</w:t>
      </w:r>
      <w:r>
        <w:rPr>
          <w:rFonts w:ascii="Arial" w:hAnsi="Arial"/>
          <w:color w:val="5B6761"/>
          <w:spacing w:val="-19"/>
          <w:w w:val="105"/>
          <w:sz w:val="14"/>
        </w:rPr>
        <w:t xml:space="preserve"> </w:t>
      </w:r>
      <w:r>
        <w:rPr>
          <w:rFonts w:ascii="Arial" w:hAnsi="Arial"/>
          <w:color w:val="5B6761"/>
          <w:w w:val="105"/>
          <w:sz w:val="14"/>
        </w:rPr>
        <w:t>Nutrition,</w:t>
      </w:r>
      <w:r>
        <w:rPr>
          <w:rFonts w:ascii="Arial" w:hAnsi="Arial"/>
          <w:color w:val="5B6761"/>
          <w:spacing w:val="-19"/>
          <w:w w:val="105"/>
          <w:sz w:val="14"/>
        </w:rPr>
        <w:t xml:space="preserve"> </w:t>
      </w:r>
      <w:r>
        <w:rPr>
          <w:rFonts w:ascii="Arial" w:hAnsi="Arial"/>
          <w:color w:val="5B6761"/>
          <w:w w:val="105"/>
          <w:sz w:val="14"/>
        </w:rPr>
        <w:t>health</w:t>
      </w:r>
      <w:r>
        <w:rPr>
          <w:rFonts w:ascii="Arial" w:hAnsi="Arial"/>
          <w:color w:val="5B6761"/>
          <w:spacing w:val="-18"/>
          <w:w w:val="105"/>
          <w:sz w:val="14"/>
        </w:rPr>
        <w:t xml:space="preserve"> </w:t>
      </w:r>
      <w:r>
        <w:rPr>
          <w:rFonts w:ascii="Arial" w:hAnsi="Arial"/>
          <w:color w:val="5B6761"/>
          <w:w w:val="105"/>
          <w:sz w:val="14"/>
        </w:rPr>
        <w:t>and</w:t>
      </w:r>
      <w:r>
        <w:rPr>
          <w:rFonts w:ascii="Arial" w:hAnsi="Arial"/>
          <w:color w:val="5B6761"/>
          <w:spacing w:val="-19"/>
          <w:w w:val="105"/>
          <w:sz w:val="14"/>
        </w:rPr>
        <w:t xml:space="preserve"> </w:t>
      </w:r>
      <w:r>
        <w:rPr>
          <w:rFonts w:ascii="Arial" w:hAnsi="Arial"/>
          <w:color w:val="5B6761"/>
          <w:w w:val="105"/>
          <w:sz w:val="14"/>
        </w:rPr>
        <w:t>related claims</w:t>
      </w:r>
      <w:r>
        <w:rPr>
          <w:rFonts w:ascii="Arial" w:hAnsi="Arial"/>
          <w:color w:val="5B6761"/>
          <w:spacing w:val="-12"/>
          <w:w w:val="105"/>
          <w:sz w:val="14"/>
        </w:rPr>
        <w:t xml:space="preserve"> </w:t>
      </w:r>
      <w:r>
        <w:rPr>
          <w:rFonts w:ascii="Arial" w:hAnsi="Arial"/>
          <w:color w:val="5B6761"/>
          <w:w w:val="105"/>
          <w:sz w:val="14"/>
        </w:rPr>
        <w:t>then</w:t>
      </w:r>
      <w:r>
        <w:rPr>
          <w:rFonts w:ascii="Arial" w:hAnsi="Arial"/>
          <w:color w:val="5B6761"/>
          <w:spacing w:val="-9"/>
          <w:w w:val="105"/>
          <w:sz w:val="14"/>
        </w:rPr>
        <w:t xml:space="preserve"> </w:t>
      </w:r>
      <w:r>
        <w:rPr>
          <w:rFonts w:ascii="Arial" w:hAnsi="Arial"/>
          <w:color w:val="5B6761"/>
          <w:w w:val="105"/>
          <w:sz w:val="14"/>
        </w:rPr>
        <w:t>it</w:t>
      </w:r>
      <w:r>
        <w:rPr>
          <w:rFonts w:ascii="Arial" w:hAnsi="Arial"/>
          <w:color w:val="5B6761"/>
          <w:spacing w:val="-9"/>
          <w:w w:val="105"/>
          <w:sz w:val="14"/>
        </w:rPr>
        <w:t xml:space="preserve"> </w:t>
      </w:r>
      <w:r>
        <w:rPr>
          <w:rFonts w:ascii="Arial" w:hAnsi="Arial"/>
          <w:color w:val="5B6761"/>
          <w:w w:val="105"/>
          <w:sz w:val="14"/>
        </w:rPr>
        <w:t>would</w:t>
      </w:r>
      <w:r>
        <w:rPr>
          <w:rFonts w:ascii="Arial" w:hAnsi="Arial"/>
          <w:color w:val="5B6761"/>
          <w:spacing w:val="-9"/>
          <w:w w:val="105"/>
          <w:sz w:val="14"/>
        </w:rPr>
        <w:t xml:space="preserve"> </w:t>
      </w:r>
      <w:r>
        <w:rPr>
          <w:rFonts w:ascii="Arial" w:hAnsi="Arial"/>
          <w:color w:val="5B6761"/>
          <w:w w:val="105"/>
          <w:sz w:val="14"/>
        </w:rPr>
        <w:t>be</w:t>
      </w:r>
      <w:r>
        <w:rPr>
          <w:rFonts w:ascii="Arial" w:hAnsi="Arial"/>
          <w:color w:val="5B6761"/>
          <w:spacing w:val="-11"/>
          <w:w w:val="105"/>
          <w:sz w:val="14"/>
        </w:rPr>
        <w:t xml:space="preserve"> </w:t>
      </w:r>
      <w:r>
        <w:rPr>
          <w:rFonts w:ascii="Arial" w:hAnsi="Arial"/>
          <w:color w:val="5B6761"/>
          <w:w w:val="105"/>
          <w:sz w:val="14"/>
        </w:rPr>
        <w:t>considered</w:t>
      </w:r>
      <w:r>
        <w:rPr>
          <w:rFonts w:ascii="Arial" w:hAnsi="Arial"/>
          <w:color w:val="5B6761"/>
          <w:spacing w:val="-10"/>
          <w:w w:val="105"/>
          <w:sz w:val="14"/>
        </w:rPr>
        <w:t xml:space="preserve"> </w:t>
      </w:r>
      <w:r>
        <w:rPr>
          <w:rFonts w:ascii="Arial" w:hAnsi="Arial"/>
          <w:color w:val="5B6761"/>
          <w:w w:val="105"/>
          <w:sz w:val="14"/>
        </w:rPr>
        <w:t>a</w:t>
      </w:r>
      <w:r>
        <w:rPr>
          <w:rFonts w:ascii="Arial" w:hAnsi="Arial"/>
          <w:color w:val="5B6761"/>
          <w:spacing w:val="-9"/>
          <w:w w:val="105"/>
          <w:sz w:val="14"/>
        </w:rPr>
        <w:t xml:space="preserve"> </w:t>
      </w:r>
      <w:r>
        <w:rPr>
          <w:rFonts w:ascii="Arial" w:hAnsi="Arial"/>
          <w:color w:val="5B6761"/>
          <w:w w:val="105"/>
          <w:sz w:val="14"/>
        </w:rPr>
        <w:t>non-compliant</w:t>
      </w:r>
      <w:r>
        <w:rPr>
          <w:rFonts w:ascii="Arial" w:hAnsi="Arial"/>
          <w:color w:val="5B6761"/>
          <w:spacing w:val="-9"/>
          <w:w w:val="105"/>
          <w:sz w:val="14"/>
        </w:rPr>
        <w:t xml:space="preserve"> </w:t>
      </w:r>
      <w:r>
        <w:rPr>
          <w:rFonts w:ascii="Arial" w:hAnsi="Arial"/>
          <w:color w:val="5B6761"/>
          <w:w w:val="105"/>
          <w:sz w:val="14"/>
        </w:rPr>
        <w:t>food</w:t>
      </w:r>
      <w:r>
        <w:rPr>
          <w:rFonts w:ascii="Arial" w:hAnsi="Arial"/>
          <w:color w:val="5B6761"/>
          <w:spacing w:val="-9"/>
          <w:w w:val="105"/>
          <w:sz w:val="14"/>
        </w:rPr>
        <w:t xml:space="preserve"> </w:t>
      </w:r>
      <w:r>
        <w:rPr>
          <w:rFonts w:ascii="Arial" w:hAnsi="Arial"/>
          <w:color w:val="5B6761"/>
          <w:w w:val="105"/>
          <w:sz w:val="14"/>
        </w:rPr>
        <w:t>rather</w:t>
      </w:r>
      <w:r>
        <w:rPr>
          <w:rFonts w:ascii="Arial" w:hAnsi="Arial"/>
          <w:color w:val="5B6761"/>
          <w:spacing w:val="-10"/>
          <w:w w:val="105"/>
          <w:sz w:val="14"/>
        </w:rPr>
        <w:t xml:space="preserve"> </w:t>
      </w:r>
      <w:r>
        <w:rPr>
          <w:rFonts w:ascii="Arial" w:hAnsi="Arial"/>
          <w:color w:val="5B6761"/>
          <w:w w:val="105"/>
          <w:sz w:val="14"/>
        </w:rPr>
        <w:t>than</w:t>
      </w:r>
      <w:r>
        <w:rPr>
          <w:rFonts w:ascii="Arial" w:hAnsi="Arial"/>
          <w:color w:val="5B6761"/>
          <w:spacing w:val="-9"/>
          <w:w w:val="105"/>
          <w:sz w:val="14"/>
        </w:rPr>
        <w:t xml:space="preserve"> </w:t>
      </w:r>
      <w:r>
        <w:rPr>
          <w:rFonts w:ascii="Arial" w:hAnsi="Arial"/>
          <w:color w:val="5B6761"/>
          <w:w w:val="105"/>
          <w:sz w:val="14"/>
        </w:rPr>
        <w:t>specifically</w:t>
      </w:r>
      <w:r>
        <w:rPr>
          <w:rFonts w:ascii="Arial" w:hAnsi="Arial"/>
          <w:color w:val="5B6761"/>
          <w:spacing w:val="-10"/>
          <w:w w:val="105"/>
          <w:sz w:val="14"/>
        </w:rPr>
        <w:t xml:space="preserve"> </w:t>
      </w:r>
      <w:r>
        <w:rPr>
          <w:rFonts w:ascii="Arial" w:hAnsi="Arial"/>
          <w:color w:val="5B6761"/>
          <w:w w:val="105"/>
          <w:sz w:val="14"/>
        </w:rPr>
        <w:t>a</w:t>
      </w:r>
      <w:r>
        <w:rPr>
          <w:rFonts w:ascii="Arial" w:hAnsi="Arial"/>
          <w:color w:val="5B6761"/>
          <w:spacing w:val="-9"/>
          <w:w w:val="105"/>
          <w:sz w:val="14"/>
        </w:rPr>
        <w:t xml:space="preserve"> </w:t>
      </w:r>
      <w:r>
        <w:rPr>
          <w:rFonts w:ascii="Arial" w:hAnsi="Arial"/>
          <w:color w:val="5B6761"/>
          <w:w w:val="105"/>
          <w:sz w:val="14"/>
        </w:rPr>
        <w:t>therapeutic</w:t>
      </w:r>
      <w:r>
        <w:rPr>
          <w:rFonts w:ascii="Arial" w:hAnsi="Arial"/>
          <w:color w:val="5B6761"/>
          <w:spacing w:val="-11"/>
          <w:w w:val="105"/>
          <w:sz w:val="14"/>
        </w:rPr>
        <w:t xml:space="preserve"> </w:t>
      </w:r>
      <w:r>
        <w:rPr>
          <w:rFonts w:ascii="Arial" w:hAnsi="Arial"/>
          <w:color w:val="5B6761"/>
          <w:w w:val="105"/>
          <w:sz w:val="14"/>
        </w:rPr>
        <w:t>good.</w:t>
      </w:r>
    </w:p>
    <w:p w:rsidR="007D76BB" w:rsidRDefault="007D76BB">
      <w:pPr>
        <w:spacing w:line="268" w:lineRule="auto"/>
        <w:rPr>
          <w:rFonts w:ascii="Arial" w:hAnsi="Arial"/>
          <w:sz w:val="14"/>
        </w:rPr>
        <w:sectPr w:rsidR="007D76BB">
          <w:type w:val="continuous"/>
          <w:pgSz w:w="11910" w:h="16850"/>
          <w:pgMar w:top="1220" w:right="820" w:bottom="280" w:left="1220" w:header="720" w:footer="720"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8"/>
        </w:rPr>
      </w:pPr>
    </w:p>
    <w:p w:rsidR="007D76BB" w:rsidRDefault="00D70D28">
      <w:pPr>
        <w:spacing w:before="108" w:line="264" w:lineRule="auto"/>
        <w:ind w:left="482" w:right="844"/>
        <w:rPr>
          <w:rFonts w:ascii="Arial"/>
          <w:sz w:val="19"/>
        </w:rPr>
      </w:pPr>
      <w:proofErr w:type="gramStart"/>
      <w:r>
        <w:rPr>
          <w:rFonts w:ascii="Arial"/>
          <w:w w:val="105"/>
          <w:sz w:val="19"/>
        </w:rPr>
        <w:t>or</w:t>
      </w:r>
      <w:proofErr w:type="gramEnd"/>
      <w:r>
        <w:rPr>
          <w:rFonts w:ascii="Arial"/>
          <w:spacing w:val="-20"/>
          <w:w w:val="105"/>
          <w:sz w:val="19"/>
        </w:rPr>
        <w:t xml:space="preserve"> </w:t>
      </w:r>
      <w:r>
        <w:rPr>
          <w:rFonts w:ascii="Arial"/>
          <w:w w:val="105"/>
          <w:sz w:val="19"/>
        </w:rPr>
        <w:t>because</w:t>
      </w:r>
      <w:r>
        <w:rPr>
          <w:rFonts w:ascii="Arial"/>
          <w:spacing w:val="-19"/>
          <w:w w:val="105"/>
          <w:sz w:val="19"/>
        </w:rPr>
        <w:t xml:space="preserve"> </w:t>
      </w:r>
      <w:r>
        <w:rPr>
          <w:rFonts w:ascii="Arial"/>
          <w:w w:val="105"/>
          <w:sz w:val="19"/>
        </w:rPr>
        <w:t>of</w:t>
      </w:r>
      <w:r>
        <w:rPr>
          <w:rFonts w:ascii="Arial"/>
          <w:spacing w:val="-20"/>
          <w:w w:val="105"/>
          <w:sz w:val="19"/>
        </w:rPr>
        <w:t xml:space="preserve"> </w:t>
      </w:r>
      <w:r>
        <w:rPr>
          <w:rFonts w:ascii="Arial"/>
          <w:w w:val="105"/>
          <w:sz w:val="19"/>
        </w:rPr>
        <w:t>the</w:t>
      </w:r>
      <w:r>
        <w:rPr>
          <w:rFonts w:ascii="Arial"/>
          <w:spacing w:val="-21"/>
          <w:w w:val="105"/>
          <w:sz w:val="19"/>
        </w:rPr>
        <w:t xml:space="preserve"> </w:t>
      </w:r>
      <w:r>
        <w:rPr>
          <w:rFonts w:ascii="Arial"/>
          <w:w w:val="105"/>
          <w:sz w:val="19"/>
        </w:rPr>
        <w:t>precise</w:t>
      </w:r>
      <w:r>
        <w:rPr>
          <w:rFonts w:ascii="Arial"/>
          <w:spacing w:val="-21"/>
          <w:w w:val="105"/>
          <w:sz w:val="19"/>
        </w:rPr>
        <w:t xml:space="preserve"> </w:t>
      </w:r>
      <w:r>
        <w:rPr>
          <w:rFonts w:ascii="Arial"/>
          <w:w w:val="105"/>
          <w:sz w:val="19"/>
        </w:rPr>
        <w:t>portion</w:t>
      </w:r>
      <w:r>
        <w:rPr>
          <w:rFonts w:ascii="Arial"/>
          <w:spacing w:val="-20"/>
          <w:w w:val="105"/>
          <w:sz w:val="19"/>
        </w:rPr>
        <w:t xml:space="preserve"> </w:t>
      </w:r>
      <w:r>
        <w:rPr>
          <w:rFonts w:ascii="Arial"/>
          <w:w w:val="105"/>
          <w:sz w:val="19"/>
        </w:rPr>
        <w:t>control,</w:t>
      </w:r>
      <w:r>
        <w:rPr>
          <w:rFonts w:ascii="Arial"/>
          <w:spacing w:val="-19"/>
          <w:w w:val="105"/>
          <w:sz w:val="19"/>
        </w:rPr>
        <w:t xml:space="preserve"> </w:t>
      </w:r>
      <w:r>
        <w:rPr>
          <w:rFonts w:ascii="Arial"/>
          <w:w w:val="105"/>
          <w:sz w:val="19"/>
        </w:rPr>
        <w:t>which</w:t>
      </w:r>
      <w:r>
        <w:rPr>
          <w:rFonts w:ascii="Arial"/>
          <w:spacing w:val="-20"/>
          <w:w w:val="105"/>
          <w:sz w:val="19"/>
        </w:rPr>
        <w:t xml:space="preserve"> </w:t>
      </w:r>
      <w:r>
        <w:rPr>
          <w:rFonts w:ascii="Arial"/>
          <w:w w:val="105"/>
          <w:sz w:val="19"/>
        </w:rPr>
        <w:t>provides</w:t>
      </w:r>
      <w:r>
        <w:rPr>
          <w:rFonts w:ascii="Arial"/>
          <w:spacing w:val="-19"/>
          <w:w w:val="105"/>
          <w:sz w:val="19"/>
        </w:rPr>
        <w:t xml:space="preserve"> </w:t>
      </w:r>
      <w:r>
        <w:rPr>
          <w:rFonts w:ascii="Arial"/>
          <w:w w:val="105"/>
          <w:sz w:val="19"/>
        </w:rPr>
        <w:t>the</w:t>
      </w:r>
      <w:r>
        <w:rPr>
          <w:rFonts w:ascii="Arial"/>
          <w:spacing w:val="-19"/>
          <w:w w:val="105"/>
          <w:sz w:val="19"/>
        </w:rPr>
        <w:t xml:space="preserve"> </w:t>
      </w:r>
      <w:r>
        <w:rPr>
          <w:rFonts w:ascii="Arial"/>
          <w:w w:val="105"/>
          <w:sz w:val="19"/>
        </w:rPr>
        <w:t>consumer</w:t>
      </w:r>
      <w:r>
        <w:rPr>
          <w:rFonts w:ascii="Arial"/>
          <w:spacing w:val="-14"/>
          <w:w w:val="105"/>
          <w:sz w:val="19"/>
        </w:rPr>
        <w:t xml:space="preserve"> </w:t>
      </w:r>
      <w:r>
        <w:rPr>
          <w:rFonts w:ascii="Arial"/>
          <w:w w:val="105"/>
          <w:sz w:val="19"/>
        </w:rPr>
        <w:t>with</w:t>
      </w:r>
      <w:r>
        <w:rPr>
          <w:rFonts w:ascii="Arial"/>
          <w:spacing w:val="-21"/>
          <w:w w:val="105"/>
          <w:sz w:val="19"/>
        </w:rPr>
        <w:t xml:space="preserve"> </w:t>
      </w:r>
      <w:r>
        <w:rPr>
          <w:rFonts w:ascii="Arial"/>
          <w:w w:val="105"/>
          <w:sz w:val="19"/>
        </w:rPr>
        <w:t>more</w:t>
      </w:r>
      <w:r>
        <w:rPr>
          <w:rFonts w:ascii="Arial"/>
          <w:spacing w:val="-20"/>
          <w:w w:val="105"/>
          <w:sz w:val="19"/>
        </w:rPr>
        <w:t xml:space="preserve"> </w:t>
      </w:r>
      <w:r>
        <w:rPr>
          <w:rFonts w:ascii="Arial"/>
          <w:w w:val="105"/>
          <w:sz w:val="19"/>
        </w:rPr>
        <w:t>certainty</w:t>
      </w:r>
      <w:r>
        <w:rPr>
          <w:rFonts w:ascii="Arial"/>
          <w:spacing w:val="-22"/>
          <w:w w:val="105"/>
          <w:sz w:val="19"/>
        </w:rPr>
        <w:t xml:space="preserve"> </w:t>
      </w:r>
      <w:r>
        <w:rPr>
          <w:rFonts w:ascii="Arial"/>
          <w:w w:val="105"/>
          <w:sz w:val="19"/>
        </w:rPr>
        <w:t>as</w:t>
      </w:r>
      <w:r>
        <w:rPr>
          <w:rFonts w:ascii="Arial"/>
          <w:spacing w:val="-21"/>
          <w:w w:val="105"/>
          <w:sz w:val="19"/>
        </w:rPr>
        <w:t xml:space="preserve"> </w:t>
      </w:r>
      <w:r>
        <w:rPr>
          <w:rFonts w:ascii="Arial"/>
          <w:w w:val="105"/>
          <w:sz w:val="19"/>
        </w:rPr>
        <w:t>to dosage, or perhaps due to the taste (noting that powders generally need to taste better than capsules).</w:t>
      </w:r>
      <w:r>
        <w:rPr>
          <w:rFonts w:ascii="Arial"/>
          <w:spacing w:val="-33"/>
          <w:w w:val="105"/>
          <w:sz w:val="19"/>
        </w:rPr>
        <w:t xml:space="preserve"> </w:t>
      </w:r>
      <w:r>
        <w:rPr>
          <w:rFonts w:ascii="Arial"/>
          <w:w w:val="105"/>
          <w:sz w:val="19"/>
        </w:rPr>
        <w:t>It</w:t>
      </w:r>
      <w:r>
        <w:rPr>
          <w:rFonts w:ascii="Arial"/>
          <w:spacing w:val="-31"/>
          <w:w w:val="105"/>
          <w:sz w:val="19"/>
        </w:rPr>
        <w:t xml:space="preserve"> </w:t>
      </w:r>
      <w:r>
        <w:rPr>
          <w:rFonts w:ascii="Arial"/>
          <w:w w:val="105"/>
          <w:sz w:val="19"/>
        </w:rPr>
        <w:t>is</w:t>
      </w:r>
      <w:r>
        <w:rPr>
          <w:rFonts w:ascii="Arial"/>
          <w:spacing w:val="-32"/>
          <w:w w:val="105"/>
          <w:sz w:val="19"/>
        </w:rPr>
        <w:t xml:space="preserve"> </w:t>
      </w:r>
      <w:r>
        <w:rPr>
          <w:rFonts w:ascii="Arial"/>
          <w:w w:val="105"/>
          <w:sz w:val="19"/>
        </w:rPr>
        <w:t>possible</w:t>
      </w:r>
      <w:r>
        <w:rPr>
          <w:rFonts w:ascii="Arial"/>
          <w:spacing w:val="-31"/>
          <w:w w:val="105"/>
          <w:sz w:val="19"/>
        </w:rPr>
        <w:t xml:space="preserve"> </w:t>
      </w:r>
      <w:r>
        <w:rPr>
          <w:rFonts w:ascii="Arial"/>
          <w:w w:val="105"/>
          <w:sz w:val="19"/>
        </w:rPr>
        <w:t>that</w:t>
      </w:r>
      <w:r>
        <w:rPr>
          <w:rFonts w:ascii="Arial"/>
          <w:spacing w:val="-31"/>
          <w:w w:val="105"/>
          <w:sz w:val="19"/>
        </w:rPr>
        <w:t xml:space="preserve"> </w:t>
      </w:r>
      <w:r>
        <w:rPr>
          <w:rFonts w:ascii="Arial"/>
          <w:w w:val="105"/>
          <w:sz w:val="19"/>
        </w:rPr>
        <w:t>some</w:t>
      </w:r>
      <w:r>
        <w:rPr>
          <w:rFonts w:ascii="Arial"/>
          <w:spacing w:val="-31"/>
          <w:w w:val="105"/>
          <w:sz w:val="19"/>
        </w:rPr>
        <w:t xml:space="preserve"> </w:t>
      </w:r>
      <w:r>
        <w:rPr>
          <w:rFonts w:ascii="Arial"/>
          <w:w w:val="105"/>
          <w:sz w:val="19"/>
        </w:rPr>
        <w:t>novel</w:t>
      </w:r>
      <w:r>
        <w:rPr>
          <w:rFonts w:ascii="Arial"/>
          <w:spacing w:val="-32"/>
          <w:w w:val="105"/>
          <w:sz w:val="19"/>
        </w:rPr>
        <w:t xml:space="preserve"> </w:t>
      </w:r>
      <w:r>
        <w:rPr>
          <w:rFonts w:ascii="Arial"/>
          <w:w w:val="105"/>
          <w:sz w:val="19"/>
        </w:rPr>
        <w:t>presentations,</w:t>
      </w:r>
      <w:r>
        <w:rPr>
          <w:rFonts w:ascii="Arial"/>
          <w:spacing w:val="-30"/>
          <w:w w:val="105"/>
          <w:sz w:val="19"/>
        </w:rPr>
        <w:t xml:space="preserve"> </w:t>
      </w:r>
      <w:r>
        <w:rPr>
          <w:rFonts w:ascii="Arial"/>
          <w:w w:val="105"/>
          <w:sz w:val="19"/>
        </w:rPr>
        <w:t>such</w:t>
      </w:r>
      <w:r>
        <w:rPr>
          <w:rFonts w:ascii="Arial"/>
          <w:spacing w:val="-31"/>
          <w:w w:val="105"/>
          <w:sz w:val="19"/>
        </w:rPr>
        <w:t xml:space="preserve"> </w:t>
      </w:r>
      <w:r>
        <w:rPr>
          <w:rFonts w:ascii="Arial"/>
          <w:w w:val="105"/>
          <w:sz w:val="19"/>
        </w:rPr>
        <w:t>as</w:t>
      </w:r>
      <w:r>
        <w:rPr>
          <w:rFonts w:ascii="Arial"/>
          <w:spacing w:val="-33"/>
          <w:w w:val="105"/>
          <w:sz w:val="19"/>
        </w:rPr>
        <w:t xml:space="preserve"> </w:t>
      </w:r>
      <w:r>
        <w:rPr>
          <w:rFonts w:ascii="Arial"/>
          <w:w w:val="105"/>
          <w:sz w:val="19"/>
        </w:rPr>
        <w:t>a</w:t>
      </w:r>
      <w:r>
        <w:rPr>
          <w:rFonts w:ascii="Arial"/>
          <w:spacing w:val="-30"/>
          <w:w w:val="105"/>
          <w:sz w:val="19"/>
        </w:rPr>
        <w:t xml:space="preserve"> </w:t>
      </w:r>
      <w:r>
        <w:rPr>
          <w:rFonts w:ascii="Arial"/>
          <w:w w:val="105"/>
          <w:sz w:val="19"/>
        </w:rPr>
        <w:t>gel,</w:t>
      </w:r>
      <w:r>
        <w:rPr>
          <w:rFonts w:ascii="Arial"/>
          <w:spacing w:val="-33"/>
          <w:w w:val="105"/>
          <w:sz w:val="19"/>
        </w:rPr>
        <w:t xml:space="preserve"> </w:t>
      </w:r>
      <w:r>
        <w:rPr>
          <w:rFonts w:ascii="Arial"/>
          <w:w w:val="105"/>
          <w:sz w:val="19"/>
        </w:rPr>
        <w:t>strips,</w:t>
      </w:r>
      <w:r>
        <w:rPr>
          <w:rFonts w:ascii="Arial"/>
          <w:spacing w:val="-32"/>
          <w:w w:val="105"/>
          <w:sz w:val="19"/>
        </w:rPr>
        <w:t xml:space="preserve"> </w:t>
      </w:r>
      <w:r>
        <w:rPr>
          <w:rFonts w:ascii="Arial"/>
          <w:w w:val="105"/>
          <w:sz w:val="19"/>
        </w:rPr>
        <w:t>vials,</w:t>
      </w:r>
      <w:r>
        <w:rPr>
          <w:rFonts w:ascii="Arial"/>
          <w:spacing w:val="-32"/>
          <w:w w:val="105"/>
          <w:sz w:val="19"/>
        </w:rPr>
        <w:t xml:space="preserve"> </w:t>
      </w:r>
      <w:r>
        <w:rPr>
          <w:rFonts w:ascii="Arial"/>
          <w:w w:val="105"/>
          <w:sz w:val="19"/>
        </w:rPr>
        <w:t>could</w:t>
      </w:r>
      <w:r>
        <w:rPr>
          <w:rFonts w:ascii="Arial"/>
          <w:spacing w:val="-32"/>
          <w:w w:val="105"/>
          <w:sz w:val="19"/>
        </w:rPr>
        <w:t xml:space="preserve"> </w:t>
      </w:r>
      <w:r>
        <w:rPr>
          <w:rFonts w:ascii="Arial"/>
          <w:w w:val="105"/>
          <w:sz w:val="19"/>
        </w:rPr>
        <w:t>be</w:t>
      </w:r>
      <w:r>
        <w:rPr>
          <w:rFonts w:ascii="Arial"/>
          <w:spacing w:val="-30"/>
          <w:w w:val="105"/>
          <w:sz w:val="19"/>
        </w:rPr>
        <w:t xml:space="preserve"> </w:t>
      </w:r>
      <w:r>
        <w:rPr>
          <w:rFonts w:ascii="Arial"/>
          <w:w w:val="105"/>
          <w:sz w:val="19"/>
        </w:rPr>
        <w:t>adopted but there exists uncertainty as to whether this would be considered more closely aligned to a traditional</w:t>
      </w:r>
      <w:r>
        <w:rPr>
          <w:rFonts w:ascii="Arial"/>
          <w:spacing w:val="-15"/>
          <w:w w:val="105"/>
          <w:sz w:val="19"/>
        </w:rPr>
        <w:t xml:space="preserve"> </w:t>
      </w:r>
      <w:r>
        <w:rPr>
          <w:rFonts w:ascii="Arial"/>
          <w:w w:val="105"/>
          <w:sz w:val="19"/>
        </w:rPr>
        <w:t>food</w:t>
      </w:r>
      <w:r>
        <w:rPr>
          <w:rFonts w:ascii="Arial"/>
          <w:spacing w:val="-14"/>
          <w:w w:val="105"/>
          <w:sz w:val="19"/>
        </w:rPr>
        <w:t xml:space="preserve"> </w:t>
      </w:r>
      <w:r>
        <w:rPr>
          <w:rFonts w:ascii="Arial"/>
          <w:w w:val="105"/>
          <w:sz w:val="19"/>
        </w:rPr>
        <w:t>presentation</w:t>
      </w:r>
      <w:r>
        <w:rPr>
          <w:rFonts w:ascii="Arial"/>
          <w:spacing w:val="-14"/>
          <w:w w:val="105"/>
          <w:sz w:val="19"/>
        </w:rPr>
        <w:t xml:space="preserve"> </w:t>
      </w:r>
      <w:r>
        <w:rPr>
          <w:rFonts w:ascii="Arial"/>
          <w:w w:val="105"/>
          <w:sz w:val="19"/>
        </w:rPr>
        <w:t>as</w:t>
      </w:r>
      <w:r>
        <w:rPr>
          <w:rFonts w:ascii="Arial"/>
          <w:spacing w:val="-11"/>
          <w:w w:val="105"/>
          <w:sz w:val="19"/>
        </w:rPr>
        <w:t xml:space="preserve"> </w:t>
      </w:r>
      <w:r>
        <w:rPr>
          <w:rFonts w:ascii="Arial"/>
          <w:w w:val="105"/>
          <w:sz w:val="19"/>
        </w:rPr>
        <w:t>opposed</w:t>
      </w:r>
      <w:r>
        <w:rPr>
          <w:rFonts w:ascii="Arial"/>
          <w:spacing w:val="-14"/>
          <w:w w:val="105"/>
          <w:sz w:val="19"/>
        </w:rPr>
        <w:t xml:space="preserve"> </w:t>
      </w:r>
      <w:r>
        <w:rPr>
          <w:rFonts w:ascii="Arial"/>
          <w:w w:val="105"/>
          <w:sz w:val="19"/>
        </w:rPr>
        <w:t>to</w:t>
      </w:r>
      <w:r>
        <w:rPr>
          <w:rFonts w:ascii="Arial"/>
          <w:spacing w:val="-13"/>
          <w:w w:val="105"/>
          <w:sz w:val="19"/>
        </w:rPr>
        <w:t xml:space="preserve"> </w:t>
      </w:r>
      <w:r>
        <w:rPr>
          <w:rFonts w:ascii="Arial"/>
          <w:w w:val="105"/>
          <w:sz w:val="19"/>
        </w:rPr>
        <w:t>a</w:t>
      </w:r>
      <w:r>
        <w:rPr>
          <w:rFonts w:ascii="Arial"/>
          <w:spacing w:val="-15"/>
          <w:w w:val="105"/>
          <w:sz w:val="19"/>
        </w:rPr>
        <w:t xml:space="preserve"> </w:t>
      </w:r>
      <w:r>
        <w:rPr>
          <w:rFonts w:ascii="Arial"/>
          <w:w w:val="105"/>
          <w:sz w:val="19"/>
        </w:rPr>
        <w:t>therapeutic</w:t>
      </w:r>
      <w:r>
        <w:rPr>
          <w:rFonts w:ascii="Arial"/>
          <w:spacing w:val="-14"/>
          <w:w w:val="105"/>
          <w:sz w:val="19"/>
        </w:rPr>
        <w:t xml:space="preserve"> </w:t>
      </w:r>
      <w:r>
        <w:rPr>
          <w:rFonts w:ascii="Arial"/>
          <w:w w:val="105"/>
          <w:sz w:val="19"/>
        </w:rPr>
        <w:t>use</w:t>
      </w:r>
      <w:r>
        <w:rPr>
          <w:rFonts w:ascii="Arial"/>
          <w:spacing w:val="-12"/>
          <w:w w:val="105"/>
          <w:sz w:val="19"/>
        </w:rPr>
        <w:t xml:space="preserve"> </w:t>
      </w:r>
      <w:r>
        <w:rPr>
          <w:rFonts w:ascii="Arial"/>
          <w:w w:val="105"/>
          <w:sz w:val="19"/>
        </w:rPr>
        <w:t>presentation.</w:t>
      </w:r>
    </w:p>
    <w:p w:rsidR="007D76BB" w:rsidRDefault="00D70D28">
      <w:pPr>
        <w:spacing w:before="181" w:line="264" w:lineRule="auto"/>
        <w:ind w:left="482" w:right="881"/>
        <w:rPr>
          <w:rFonts w:ascii="Arial"/>
          <w:sz w:val="19"/>
        </w:rPr>
      </w:pPr>
      <w:r>
        <w:rPr>
          <w:rFonts w:ascii="Arial"/>
          <w:w w:val="105"/>
          <w:sz w:val="19"/>
        </w:rPr>
        <w:t>Again,</w:t>
      </w:r>
      <w:r>
        <w:rPr>
          <w:rFonts w:ascii="Arial"/>
          <w:spacing w:val="-20"/>
          <w:w w:val="105"/>
          <w:sz w:val="19"/>
        </w:rPr>
        <w:t xml:space="preserve"> </w:t>
      </w:r>
      <w:r>
        <w:rPr>
          <w:rFonts w:ascii="Arial"/>
          <w:w w:val="105"/>
          <w:sz w:val="19"/>
        </w:rPr>
        <w:t>industry</w:t>
      </w:r>
      <w:r>
        <w:rPr>
          <w:rFonts w:ascii="Arial"/>
          <w:spacing w:val="-19"/>
          <w:w w:val="105"/>
          <w:sz w:val="19"/>
        </w:rPr>
        <w:t xml:space="preserve"> </w:t>
      </w:r>
      <w:r>
        <w:rPr>
          <w:rFonts w:ascii="Arial"/>
          <w:w w:val="105"/>
          <w:sz w:val="19"/>
        </w:rPr>
        <w:t>advice</w:t>
      </w:r>
      <w:r>
        <w:rPr>
          <w:rFonts w:ascii="Arial"/>
          <w:spacing w:val="-21"/>
          <w:w w:val="105"/>
          <w:sz w:val="19"/>
        </w:rPr>
        <w:t xml:space="preserve"> </w:t>
      </w:r>
      <w:r>
        <w:rPr>
          <w:rFonts w:ascii="Arial"/>
          <w:w w:val="105"/>
          <w:sz w:val="19"/>
        </w:rPr>
        <w:t>to</w:t>
      </w:r>
      <w:r>
        <w:rPr>
          <w:rFonts w:ascii="Arial"/>
          <w:spacing w:val="-20"/>
          <w:w w:val="105"/>
          <w:sz w:val="19"/>
        </w:rPr>
        <w:t xml:space="preserve"> </w:t>
      </w:r>
      <w:r>
        <w:rPr>
          <w:rFonts w:ascii="Arial"/>
          <w:w w:val="105"/>
          <w:sz w:val="19"/>
        </w:rPr>
        <w:t>Noetic</w:t>
      </w:r>
      <w:r>
        <w:rPr>
          <w:rFonts w:ascii="Arial"/>
          <w:spacing w:val="-19"/>
          <w:w w:val="105"/>
          <w:sz w:val="19"/>
        </w:rPr>
        <w:t xml:space="preserve"> </w:t>
      </w:r>
      <w:r>
        <w:rPr>
          <w:rFonts w:ascii="Arial"/>
          <w:w w:val="105"/>
          <w:sz w:val="19"/>
        </w:rPr>
        <w:t>is</w:t>
      </w:r>
      <w:r>
        <w:rPr>
          <w:rFonts w:ascii="Arial"/>
          <w:spacing w:val="-21"/>
          <w:w w:val="105"/>
          <w:sz w:val="19"/>
        </w:rPr>
        <w:t xml:space="preserve"> </w:t>
      </w:r>
      <w:r>
        <w:rPr>
          <w:rFonts w:ascii="Arial"/>
          <w:w w:val="105"/>
          <w:sz w:val="19"/>
        </w:rPr>
        <w:t>that</w:t>
      </w:r>
      <w:r>
        <w:rPr>
          <w:rFonts w:ascii="Arial"/>
          <w:spacing w:val="-21"/>
          <w:w w:val="105"/>
          <w:sz w:val="19"/>
        </w:rPr>
        <w:t xml:space="preserve"> </w:t>
      </w:r>
      <w:r>
        <w:rPr>
          <w:rFonts w:ascii="Arial"/>
          <w:w w:val="105"/>
          <w:sz w:val="19"/>
        </w:rPr>
        <w:t>due</w:t>
      </w:r>
      <w:r>
        <w:rPr>
          <w:rFonts w:ascii="Arial"/>
          <w:spacing w:val="-20"/>
          <w:w w:val="105"/>
          <w:sz w:val="19"/>
        </w:rPr>
        <w:t xml:space="preserve"> </w:t>
      </w:r>
      <w:r>
        <w:rPr>
          <w:rFonts w:ascii="Arial"/>
          <w:w w:val="105"/>
          <w:sz w:val="19"/>
        </w:rPr>
        <w:t>to</w:t>
      </w:r>
      <w:r>
        <w:rPr>
          <w:rFonts w:ascii="Arial"/>
          <w:spacing w:val="-20"/>
          <w:w w:val="105"/>
          <w:sz w:val="19"/>
        </w:rPr>
        <w:t xml:space="preserve"> </w:t>
      </w:r>
      <w:r>
        <w:rPr>
          <w:rFonts w:ascii="Arial"/>
          <w:w w:val="105"/>
          <w:sz w:val="19"/>
        </w:rPr>
        <w:t>the</w:t>
      </w:r>
      <w:r>
        <w:rPr>
          <w:rFonts w:ascii="Arial"/>
          <w:spacing w:val="-21"/>
          <w:w w:val="105"/>
          <w:sz w:val="19"/>
        </w:rPr>
        <w:t xml:space="preserve"> </w:t>
      </w:r>
      <w:r>
        <w:rPr>
          <w:rFonts w:ascii="Arial"/>
          <w:w w:val="105"/>
          <w:sz w:val="19"/>
        </w:rPr>
        <w:t>cost</w:t>
      </w:r>
      <w:r>
        <w:rPr>
          <w:rFonts w:ascii="Arial"/>
          <w:spacing w:val="-19"/>
          <w:w w:val="105"/>
          <w:sz w:val="19"/>
        </w:rPr>
        <w:t xml:space="preserve"> </w:t>
      </w:r>
      <w:r>
        <w:rPr>
          <w:rFonts w:ascii="Arial"/>
          <w:w w:val="105"/>
          <w:sz w:val="19"/>
        </w:rPr>
        <w:t>of</w:t>
      </w:r>
      <w:r>
        <w:rPr>
          <w:rFonts w:ascii="Arial"/>
          <w:spacing w:val="-22"/>
          <w:w w:val="105"/>
          <w:sz w:val="19"/>
        </w:rPr>
        <w:t xml:space="preserve"> </w:t>
      </w:r>
      <w:r>
        <w:rPr>
          <w:rFonts w:ascii="Arial"/>
          <w:w w:val="105"/>
          <w:sz w:val="19"/>
        </w:rPr>
        <w:t>obtaining</w:t>
      </w:r>
      <w:r>
        <w:rPr>
          <w:rFonts w:ascii="Arial"/>
          <w:spacing w:val="-19"/>
          <w:w w:val="105"/>
          <w:sz w:val="19"/>
        </w:rPr>
        <w:t xml:space="preserve"> </w:t>
      </w:r>
      <w:r>
        <w:rPr>
          <w:rFonts w:ascii="Arial"/>
          <w:w w:val="105"/>
          <w:sz w:val="19"/>
        </w:rPr>
        <w:t>and</w:t>
      </w:r>
      <w:r>
        <w:rPr>
          <w:rFonts w:ascii="Arial"/>
          <w:spacing w:val="-21"/>
          <w:w w:val="105"/>
          <w:sz w:val="19"/>
        </w:rPr>
        <w:t xml:space="preserve"> </w:t>
      </w:r>
      <w:r>
        <w:rPr>
          <w:rFonts w:ascii="Arial"/>
          <w:w w:val="105"/>
          <w:sz w:val="19"/>
        </w:rPr>
        <w:t>maintaining</w:t>
      </w:r>
      <w:r>
        <w:rPr>
          <w:rFonts w:ascii="Arial"/>
          <w:spacing w:val="-20"/>
          <w:w w:val="105"/>
          <w:sz w:val="19"/>
        </w:rPr>
        <w:t xml:space="preserve"> </w:t>
      </w:r>
      <w:r>
        <w:rPr>
          <w:rFonts w:ascii="Arial"/>
          <w:w w:val="105"/>
          <w:sz w:val="19"/>
        </w:rPr>
        <w:t>an</w:t>
      </w:r>
      <w:r>
        <w:rPr>
          <w:rFonts w:ascii="Arial"/>
          <w:spacing w:val="-19"/>
          <w:w w:val="105"/>
          <w:sz w:val="19"/>
        </w:rPr>
        <w:t xml:space="preserve"> </w:t>
      </w:r>
      <w:r>
        <w:rPr>
          <w:rFonts w:ascii="Arial"/>
          <w:w w:val="105"/>
          <w:sz w:val="19"/>
        </w:rPr>
        <w:t>ARTG</w:t>
      </w:r>
      <w:r>
        <w:rPr>
          <w:rFonts w:ascii="Arial"/>
          <w:spacing w:val="-21"/>
          <w:w w:val="105"/>
          <w:sz w:val="19"/>
        </w:rPr>
        <w:t xml:space="preserve"> </w:t>
      </w:r>
      <w:r>
        <w:rPr>
          <w:rFonts w:ascii="Arial"/>
          <w:w w:val="105"/>
          <w:sz w:val="19"/>
        </w:rPr>
        <w:t>listing a</w:t>
      </w:r>
      <w:r>
        <w:rPr>
          <w:rFonts w:ascii="Arial"/>
          <w:spacing w:val="-17"/>
          <w:w w:val="105"/>
          <w:sz w:val="19"/>
        </w:rPr>
        <w:t xml:space="preserve"> </w:t>
      </w:r>
      <w:r>
        <w:rPr>
          <w:rFonts w:ascii="Arial"/>
          <w:w w:val="105"/>
          <w:sz w:val="19"/>
        </w:rPr>
        <w:t>number</w:t>
      </w:r>
      <w:r>
        <w:rPr>
          <w:rFonts w:ascii="Arial"/>
          <w:spacing w:val="-17"/>
          <w:w w:val="105"/>
          <w:sz w:val="19"/>
        </w:rPr>
        <w:t xml:space="preserve"> </w:t>
      </w:r>
      <w:r>
        <w:rPr>
          <w:rFonts w:ascii="Arial"/>
          <w:w w:val="105"/>
          <w:sz w:val="19"/>
        </w:rPr>
        <w:t>of</w:t>
      </w:r>
      <w:r>
        <w:rPr>
          <w:rFonts w:ascii="Arial"/>
          <w:spacing w:val="-19"/>
          <w:w w:val="105"/>
          <w:sz w:val="19"/>
        </w:rPr>
        <w:t xml:space="preserve"> </w:t>
      </w:r>
      <w:r>
        <w:rPr>
          <w:rFonts w:ascii="Arial"/>
          <w:w w:val="105"/>
          <w:sz w:val="19"/>
        </w:rPr>
        <w:t>products</w:t>
      </w:r>
      <w:r>
        <w:rPr>
          <w:rFonts w:ascii="Arial"/>
          <w:spacing w:val="-19"/>
          <w:w w:val="105"/>
          <w:sz w:val="19"/>
        </w:rPr>
        <w:t xml:space="preserve"> </w:t>
      </w:r>
      <w:r>
        <w:rPr>
          <w:rFonts w:ascii="Arial"/>
          <w:w w:val="105"/>
          <w:sz w:val="19"/>
        </w:rPr>
        <w:t>will</w:t>
      </w:r>
      <w:r>
        <w:rPr>
          <w:rFonts w:ascii="Arial"/>
          <w:spacing w:val="-19"/>
          <w:w w:val="105"/>
          <w:sz w:val="19"/>
        </w:rPr>
        <w:t xml:space="preserve"> </w:t>
      </w:r>
      <w:r>
        <w:rPr>
          <w:rFonts w:ascii="Arial"/>
          <w:w w:val="105"/>
          <w:sz w:val="19"/>
        </w:rPr>
        <w:t>no</w:t>
      </w:r>
      <w:r>
        <w:rPr>
          <w:rFonts w:ascii="Arial"/>
          <w:spacing w:val="-19"/>
          <w:w w:val="105"/>
          <w:sz w:val="19"/>
        </w:rPr>
        <w:t xml:space="preserve"> </w:t>
      </w:r>
      <w:r>
        <w:rPr>
          <w:rFonts w:ascii="Arial"/>
          <w:w w:val="105"/>
          <w:sz w:val="19"/>
        </w:rPr>
        <w:t>longer</w:t>
      </w:r>
      <w:r>
        <w:rPr>
          <w:rFonts w:ascii="Arial"/>
          <w:spacing w:val="-17"/>
          <w:w w:val="105"/>
          <w:sz w:val="19"/>
        </w:rPr>
        <w:t xml:space="preserve"> </w:t>
      </w:r>
      <w:r>
        <w:rPr>
          <w:rFonts w:ascii="Arial"/>
          <w:w w:val="105"/>
          <w:sz w:val="19"/>
        </w:rPr>
        <w:t>be</w:t>
      </w:r>
      <w:r>
        <w:rPr>
          <w:rFonts w:ascii="Arial"/>
          <w:spacing w:val="-17"/>
          <w:w w:val="105"/>
          <w:sz w:val="19"/>
        </w:rPr>
        <w:t xml:space="preserve"> </w:t>
      </w:r>
      <w:r>
        <w:rPr>
          <w:rFonts w:ascii="Arial"/>
          <w:w w:val="105"/>
          <w:sz w:val="19"/>
        </w:rPr>
        <w:t>made</w:t>
      </w:r>
      <w:r>
        <w:rPr>
          <w:rFonts w:ascii="Arial"/>
          <w:spacing w:val="-17"/>
          <w:w w:val="105"/>
          <w:sz w:val="19"/>
        </w:rPr>
        <w:t xml:space="preserve"> </w:t>
      </w:r>
      <w:r>
        <w:rPr>
          <w:rFonts w:ascii="Arial"/>
          <w:w w:val="105"/>
          <w:sz w:val="19"/>
        </w:rPr>
        <w:t>available</w:t>
      </w:r>
      <w:r>
        <w:rPr>
          <w:rFonts w:ascii="Arial"/>
          <w:spacing w:val="-17"/>
          <w:w w:val="105"/>
          <w:sz w:val="19"/>
        </w:rPr>
        <w:t xml:space="preserve"> </w:t>
      </w:r>
      <w:r>
        <w:rPr>
          <w:rFonts w:ascii="Arial"/>
          <w:w w:val="105"/>
          <w:sz w:val="19"/>
        </w:rPr>
        <w:t>for</w:t>
      </w:r>
      <w:r>
        <w:rPr>
          <w:rFonts w:ascii="Arial"/>
          <w:spacing w:val="-19"/>
          <w:w w:val="105"/>
          <w:sz w:val="19"/>
        </w:rPr>
        <w:t xml:space="preserve"> </w:t>
      </w:r>
      <w:r>
        <w:rPr>
          <w:rFonts w:ascii="Arial"/>
          <w:w w:val="105"/>
          <w:sz w:val="19"/>
        </w:rPr>
        <w:t>sale</w:t>
      </w:r>
      <w:r>
        <w:rPr>
          <w:rFonts w:ascii="Arial"/>
          <w:spacing w:val="-17"/>
          <w:w w:val="105"/>
          <w:sz w:val="19"/>
        </w:rPr>
        <w:t xml:space="preserve"> </w:t>
      </w:r>
      <w:r>
        <w:rPr>
          <w:rFonts w:ascii="Arial"/>
          <w:w w:val="105"/>
          <w:sz w:val="19"/>
        </w:rPr>
        <w:t>in</w:t>
      </w:r>
      <w:r>
        <w:rPr>
          <w:rFonts w:ascii="Arial"/>
          <w:spacing w:val="-17"/>
          <w:w w:val="105"/>
          <w:sz w:val="19"/>
        </w:rPr>
        <w:t xml:space="preserve"> </w:t>
      </w:r>
      <w:r>
        <w:rPr>
          <w:rFonts w:ascii="Arial"/>
          <w:w w:val="105"/>
          <w:sz w:val="19"/>
        </w:rPr>
        <w:t>Australia,</w:t>
      </w:r>
      <w:r>
        <w:rPr>
          <w:rFonts w:ascii="Arial"/>
          <w:spacing w:val="-19"/>
          <w:w w:val="105"/>
          <w:sz w:val="19"/>
        </w:rPr>
        <w:t xml:space="preserve"> </w:t>
      </w:r>
      <w:r>
        <w:rPr>
          <w:rFonts w:ascii="Arial"/>
          <w:w w:val="105"/>
          <w:sz w:val="19"/>
        </w:rPr>
        <w:t>though</w:t>
      </w:r>
      <w:r>
        <w:rPr>
          <w:rFonts w:ascii="Arial"/>
          <w:spacing w:val="-19"/>
          <w:w w:val="105"/>
          <w:sz w:val="19"/>
        </w:rPr>
        <w:t xml:space="preserve"> </w:t>
      </w:r>
      <w:r>
        <w:rPr>
          <w:rFonts w:ascii="Arial"/>
          <w:w w:val="105"/>
          <w:sz w:val="19"/>
        </w:rPr>
        <w:t>it</w:t>
      </w:r>
      <w:r>
        <w:rPr>
          <w:rFonts w:ascii="Arial"/>
          <w:spacing w:val="-18"/>
          <w:w w:val="105"/>
          <w:sz w:val="19"/>
        </w:rPr>
        <w:t xml:space="preserve"> </w:t>
      </w:r>
      <w:r>
        <w:rPr>
          <w:rFonts w:ascii="Arial"/>
          <w:w w:val="105"/>
          <w:sz w:val="19"/>
        </w:rPr>
        <w:t>is</w:t>
      </w:r>
      <w:r>
        <w:rPr>
          <w:rFonts w:ascii="Arial"/>
          <w:spacing w:val="-20"/>
          <w:w w:val="105"/>
          <w:sz w:val="19"/>
        </w:rPr>
        <w:t xml:space="preserve"> </w:t>
      </w:r>
      <w:r>
        <w:rPr>
          <w:rFonts w:ascii="Arial"/>
          <w:w w:val="105"/>
          <w:sz w:val="19"/>
        </w:rPr>
        <w:t>likely</w:t>
      </w:r>
      <w:r>
        <w:rPr>
          <w:rFonts w:ascii="Arial"/>
          <w:spacing w:val="-19"/>
          <w:w w:val="105"/>
          <w:sz w:val="19"/>
        </w:rPr>
        <w:t xml:space="preserve"> </w:t>
      </w:r>
      <w:r>
        <w:rPr>
          <w:rFonts w:ascii="Arial"/>
          <w:w w:val="105"/>
          <w:sz w:val="19"/>
        </w:rPr>
        <w:t>that</w:t>
      </w:r>
      <w:r>
        <w:rPr>
          <w:rFonts w:ascii="Arial"/>
          <w:spacing w:val="-19"/>
          <w:w w:val="105"/>
          <w:sz w:val="19"/>
        </w:rPr>
        <w:t xml:space="preserve"> </w:t>
      </w:r>
      <w:r>
        <w:rPr>
          <w:rFonts w:ascii="Arial"/>
          <w:w w:val="105"/>
          <w:sz w:val="19"/>
        </w:rPr>
        <w:t>a higher proportion of in-scope products presented as pills/capsules rather than powders/bars will proceed down the ARTG pathway. This is principally due to the need to change the fundamental nature</w:t>
      </w:r>
      <w:r>
        <w:rPr>
          <w:rFonts w:ascii="Arial"/>
          <w:spacing w:val="-20"/>
          <w:w w:val="105"/>
          <w:sz w:val="19"/>
        </w:rPr>
        <w:t xml:space="preserve"> </w:t>
      </w:r>
      <w:r>
        <w:rPr>
          <w:rFonts w:ascii="Arial"/>
          <w:w w:val="105"/>
          <w:sz w:val="19"/>
        </w:rPr>
        <w:t>of</w:t>
      </w:r>
      <w:r>
        <w:rPr>
          <w:rFonts w:ascii="Arial"/>
          <w:spacing w:val="-20"/>
          <w:w w:val="105"/>
          <w:sz w:val="19"/>
        </w:rPr>
        <w:t xml:space="preserve"> </w:t>
      </w:r>
      <w:r>
        <w:rPr>
          <w:rFonts w:ascii="Arial"/>
          <w:w w:val="105"/>
          <w:sz w:val="19"/>
        </w:rPr>
        <w:t>the</w:t>
      </w:r>
      <w:r>
        <w:rPr>
          <w:rFonts w:ascii="Arial"/>
          <w:spacing w:val="-18"/>
          <w:w w:val="105"/>
          <w:sz w:val="19"/>
        </w:rPr>
        <w:t xml:space="preserve"> </w:t>
      </w:r>
      <w:r>
        <w:rPr>
          <w:rFonts w:ascii="Arial"/>
          <w:w w:val="105"/>
          <w:sz w:val="19"/>
        </w:rPr>
        <w:t>product,</w:t>
      </w:r>
      <w:r>
        <w:rPr>
          <w:rFonts w:ascii="Arial"/>
          <w:spacing w:val="-21"/>
          <w:w w:val="105"/>
          <w:sz w:val="19"/>
        </w:rPr>
        <w:t xml:space="preserve"> </w:t>
      </w:r>
      <w:r>
        <w:rPr>
          <w:rFonts w:ascii="Arial"/>
          <w:w w:val="105"/>
          <w:sz w:val="19"/>
        </w:rPr>
        <w:t>rather</w:t>
      </w:r>
      <w:r>
        <w:rPr>
          <w:rFonts w:ascii="Arial"/>
          <w:spacing w:val="-20"/>
          <w:w w:val="105"/>
          <w:sz w:val="19"/>
        </w:rPr>
        <w:t xml:space="preserve"> </w:t>
      </w:r>
      <w:r>
        <w:rPr>
          <w:rFonts w:ascii="Arial"/>
          <w:w w:val="105"/>
          <w:sz w:val="19"/>
        </w:rPr>
        <w:t>than</w:t>
      </w:r>
      <w:r>
        <w:rPr>
          <w:rFonts w:ascii="Arial"/>
          <w:spacing w:val="-20"/>
          <w:w w:val="105"/>
          <w:sz w:val="19"/>
        </w:rPr>
        <w:t xml:space="preserve"> </w:t>
      </w:r>
      <w:r>
        <w:rPr>
          <w:rFonts w:ascii="Arial"/>
          <w:w w:val="105"/>
          <w:sz w:val="19"/>
        </w:rPr>
        <w:t>reformulating</w:t>
      </w:r>
      <w:r>
        <w:rPr>
          <w:rFonts w:ascii="Arial"/>
          <w:spacing w:val="-20"/>
          <w:w w:val="105"/>
          <w:sz w:val="19"/>
        </w:rPr>
        <w:t xml:space="preserve"> </w:t>
      </w:r>
      <w:r>
        <w:rPr>
          <w:rFonts w:ascii="Arial"/>
          <w:w w:val="105"/>
          <w:sz w:val="19"/>
        </w:rPr>
        <w:t>to</w:t>
      </w:r>
      <w:r>
        <w:rPr>
          <w:rFonts w:ascii="Arial"/>
          <w:spacing w:val="-19"/>
          <w:w w:val="105"/>
          <w:sz w:val="19"/>
        </w:rPr>
        <w:t xml:space="preserve"> </w:t>
      </w:r>
      <w:r>
        <w:rPr>
          <w:rFonts w:ascii="Arial"/>
          <w:w w:val="105"/>
          <w:sz w:val="19"/>
        </w:rPr>
        <w:t>remove</w:t>
      </w:r>
      <w:r>
        <w:rPr>
          <w:rFonts w:ascii="Arial"/>
          <w:spacing w:val="-18"/>
          <w:w w:val="105"/>
          <w:sz w:val="19"/>
        </w:rPr>
        <w:t xml:space="preserve"> </w:t>
      </w:r>
      <w:r>
        <w:rPr>
          <w:rFonts w:ascii="Arial"/>
          <w:w w:val="105"/>
          <w:sz w:val="19"/>
        </w:rPr>
        <w:t>ingredients</w:t>
      </w:r>
      <w:r>
        <w:rPr>
          <w:rFonts w:ascii="Arial"/>
          <w:spacing w:val="-13"/>
          <w:w w:val="105"/>
          <w:sz w:val="19"/>
        </w:rPr>
        <w:t xml:space="preserve"> </w:t>
      </w:r>
      <w:r>
        <w:rPr>
          <w:rFonts w:ascii="Arial"/>
          <w:w w:val="105"/>
          <w:sz w:val="19"/>
        </w:rPr>
        <w:t>of</w:t>
      </w:r>
      <w:r>
        <w:rPr>
          <w:rFonts w:ascii="Arial"/>
          <w:spacing w:val="-20"/>
          <w:w w:val="105"/>
          <w:sz w:val="19"/>
        </w:rPr>
        <w:t xml:space="preserve"> </w:t>
      </w:r>
      <w:r>
        <w:rPr>
          <w:rFonts w:ascii="Arial"/>
          <w:w w:val="105"/>
          <w:sz w:val="19"/>
        </w:rPr>
        <w:t>concern,</w:t>
      </w:r>
      <w:r>
        <w:rPr>
          <w:rFonts w:ascii="Arial"/>
          <w:spacing w:val="-20"/>
          <w:w w:val="105"/>
          <w:sz w:val="19"/>
        </w:rPr>
        <w:t xml:space="preserve"> </w:t>
      </w:r>
      <w:r>
        <w:rPr>
          <w:rFonts w:ascii="Arial"/>
          <w:w w:val="105"/>
          <w:sz w:val="19"/>
        </w:rPr>
        <w:t>as</w:t>
      </w:r>
      <w:r>
        <w:rPr>
          <w:rFonts w:ascii="Arial"/>
          <w:spacing w:val="-19"/>
          <w:w w:val="105"/>
          <w:sz w:val="19"/>
        </w:rPr>
        <w:t xml:space="preserve"> </w:t>
      </w:r>
      <w:r>
        <w:rPr>
          <w:rFonts w:ascii="Arial"/>
          <w:w w:val="105"/>
          <w:sz w:val="19"/>
        </w:rPr>
        <w:t>is</w:t>
      </w:r>
      <w:r>
        <w:rPr>
          <w:rFonts w:ascii="Arial"/>
          <w:spacing w:val="-19"/>
          <w:w w:val="105"/>
          <w:sz w:val="19"/>
        </w:rPr>
        <w:t xml:space="preserve"> </w:t>
      </w:r>
      <w:r>
        <w:rPr>
          <w:rFonts w:ascii="Arial"/>
          <w:w w:val="105"/>
          <w:sz w:val="19"/>
        </w:rPr>
        <w:t>the</w:t>
      </w:r>
      <w:r>
        <w:rPr>
          <w:rFonts w:ascii="Arial"/>
          <w:spacing w:val="-20"/>
          <w:w w:val="105"/>
          <w:sz w:val="19"/>
        </w:rPr>
        <w:t xml:space="preserve"> </w:t>
      </w:r>
      <w:r>
        <w:rPr>
          <w:rFonts w:ascii="Arial"/>
          <w:w w:val="105"/>
          <w:sz w:val="19"/>
        </w:rPr>
        <w:t>case</w:t>
      </w:r>
      <w:r>
        <w:rPr>
          <w:rFonts w:ascii="Arial"/>
          <w:spacing w:val="-18"/>
          <w:w w:val="105"/>
          <w:sz w:val="19"/>
        </w:rPr>
        <w:t xml:space="preserve"> </w:t>
      </w:r>
      <w:r>
        <w:rPr>
          <w:rFonts w:ascii="Arial"/>
          <w:w w:val="105"/>
          <w:sz w:val="19"/>
        </w:rPr>
        <w:t>for powders/bars.</w:t>
      </w:r>
      <w:r>
        <w:rPr>
          <w:rFonts w:ascii="Arial"/>
          <w:spacing w:val="-25"/>
          <w:w w:val="105"/>
          <w:sz w:val="19"/>
        </w:rPr>
        <w:t xml:space="preserve"> </w:t>
      </w:r>
      <w:r>
        <w:rPr>
          <w:rFonts w:ascii="Arial"/>
          <w:w w:val="105"/>
          <w:sz w:val="19"/>
        </w:rPr>
        <w:t>The</w:t>
      </w:r>
      <w:r>
        <w:rPr>
          <w:rFonts w:ascii="Arial"/>
          <w:spacing w:val="-27"/>
          <w:w w:val="105"/>
          <w:sz w:val="19"/>
        </w:rPr>
        <w:t xml:space="preserve"> </w:t>
      </w:r>
      <w:r>
        <w:rPr>
          <w:rFonts w:ascii="Arial"/>
          <w:w w:val="105"/>
          <w:sz w:val="19"/>
        </w:rPr>
        <w:t>likely</w:t>
      </w:r>
      <w:r>
        <w:rPr>
          <w:rFonts w:ascii="Arial"/>
          <w:spacing w:val="-27"/>
          <w:w w:val="105"/>
          <w:sz w:val="19"/>
        </w:rPr>
        <w:t xml:space="preserve"> </w:t>
      </w:r>
      <w:r>
        <w:rPr>
          <w:rFonts w:ascii="Arial"/>
          <w:w w:val="105"/>
          <w:sz w:val="19"/>
        </w:rPr>
        <w:t>industry</w:t>
      </w:r>
      <w:r>
        <w:rPr>
          <w:rFonts w:ascii="Arial"/>
          <w:spacing w:val="-27"/>
          <w:w w:val="105"/>
          <w:sz w:val="19"/>
        </w:rPr>
        <w:t xml:space="preserve"> </w:t>
      </w:r>
      <w:r>
        <w:rPr>
          <w:rFonts w:ascii="Arial"/>
          <w:w w:val="105"/>
          <w:sz w:val="19"/>
        </w:rPr>
        <w:t>responses,</w:t>
      </w:r>
      <w:r>
        <w:rPr>
          <w:rFonts w:ascii="Arial"/>
          <w:spacing w:val="-26"/>
          <w:w w:val="105"/>
          <w:sz w:val="19"/>
        </w:rPr>
        <w:t xml:space="preserve"> </w:t>
      </w:r>
      <w:r>
        <w:rPr>
          <w:rFonts w:ascii="Arial"/>
          <w:w w:val="105"/>
          <w:sz w:val="19"/>
        </w:rPr>
        <w:t>from</w:t>
      </w:r>
      <w:r>
        <w:rPr>
          <w:rFonts w:ascii="Arial"/>
          <w:spacing w:val="-27"/>
          <w:w w:val="105"/>
          <w:sz w:val="19"/>
        </w:rPr>
        <w:t xml:space="preserve"> </w:t>
      </w:r>
      <w:r>
        <w:rPr>
          <w:rFonts w:ascii="Arial"/>
          <w:w w:val="105"/>
          <w:sz w:val="19"/>
        </w:rPr>
        <w:t>a</w:t>
      </w:r>
      <w:r>
        <w:rPr>
          <w:rFonts w:ascii="Arial"/>
          <w:spacing w:val="-25"/>
          <w:w w:val="105"/>
          <w:sz w:val="19"/>
        </w:rPr>
        <w:t xml:space="preserve"> </w:t>
      </w:r>
      <w:r>
        <w:rPr>
          <w:rFonts w:ascii="Arial"/>
          <w:w w:val="105"/>
          <w:sz w:val="19"/>
        </w:rPr>
        <w:t>product</w:t>
      </w:r>
      <w:r>
        <w:rPr>
          <w:rFonts w:ascii="Arial"/>
          <w:spacing w:val="-27"/>
          <w:w w:val="105"/>
          <w:sz w:val="19"/>
        </w:rPr>
        <w:t xml:space="preserve"> </w:t>
      </w:r>
      <w:r>
        <w:rPr>
          <w:rFonts w:ascii="Arial"/>
          <w:w w:val="105"/>
          <w:sz w:val="19"/>
        </w:rPr>
        <w:t>perspective,</w:t>
      </w:r>
      <w:r>
        <w:rPr>
          <w:rFonts w:ascii="Arial"/>
          <w:spacing w:val="-27"/>
          <w:w w:val="105"/>
          <w:sz w:val="19"/>
        </w:rPr>
        <w:t xml:space="preserve"> </w:t>
      </w:r>
      <w:r>
        <w:rPr>
          <w:rFonts w:ascii="Arial"/>
          <w:w w:val="105"/>
          <w:sz w:val="19"/>
        </w:rPr>
        <w:t>to</w:t>
      </w:r>
      <w:r>
        <w:rPr>
          <w:rFonts w:ascii="Arial"/>
          <w:spacing w:val="-26"/>
          <w:w w:val="105"/>
          <w:sz w:val="19"/>
        </w:rPr>
        <w:t xml:space="preserve"> </w:t>
      </w:r>
      <w:r>
        <w:rPr>
          <w:rFonts w:ascii="Arial"/>
          <w:w w:val="105"/>
          <w:sz w:val="19"/>
        </w:rPr>
        <w:t>the</w:t>
      </w:r>
      <w:r>
        <w:rPr>
          <w:rFonts w:ascii="Arial"/>
          <w:spacing w:val="-26"/>
          <w:w w:val="105"/>
          <w:sz w:val="19"/>
        </w:rPr>
        <w:t xml:space="preserve"> </w:t>
      </w:r>
      <w:r>
        <w:rPr>
          <w:rFonts w:ascii="Arial"/>
          <w:w w:val="105"/>
          <w:sz w:val="19"/>
        </w:rPr>
        <w:t>proposed</w:t>
      </w:r>
      <w:r>
        <w:rPr>
          <w:rFonts w:ascii="Arial"/>
          <w:spacing w:val="-27"/>
          <w:w w:val="105"/>
          <w:sz w:val="19"/>
        </w:rPr>
        <w:t xml:space="preserve"> </w:t>
      </w:r>
      <w:r>
        <w:rPr>
          <w:rFonts w:ascii="Arial"/>
          <w:w w:val="105"/>
          <w:sz w:val="19"/>
        </w:rPr>
        <w:t>regulatory clarification</w:t>
      </w:r>
      <w:r>
        <w:rPr>
          <w:rFonts w:ascii="Arial"/>
          <w:spacing w:val="-13"/>
          <w:w w:val="105"/>
          <w:sz w:val="19"/>
        </w:rPr>
        <w:t xml:space="preserve"> </w:t>
      </w:r>
      <w:r>
        <w:rPr>
          <w:rFonts w:ascii="Arial"/>
          <w:w w:val="105"/>
          <w:sz w:val="19"/>
        </w:rPr>
        <w:t>are</w:t>
      </w:r>
      <w:r>
        <w:rPr>
          <w:rFonts w:ascii="Arial"/>
          <w:spacing w:val="-12"/>
          <w:w w:val="105"/>
          <w:sz w:val="19"/>
        </w:rPr>
        <w:t xml:space="preserve"> </w:t>
      </w:r>
      <w:r>
        <w:rPr>
          <w:rFonts w:ascii="Arial"/>
          <w:w w:val="105"/>
          <w:sz w:val="19"/>
        </w:rPr>
        <w:t>detailed</w:t>
      </w:r>
      <w:r>
        <w:rPr>
          <w:rFonts w:ascii="Arial"/>
          <w:spacing w:val="-12"/>
          <w:w w:val="105"/>
          <w:sz w:val="19"/>
        </w:rPr>
        <w:t xml:space="preserve"> </w:t>
      </w:r>
      <w:r>
        <w:rPr>
          <w:rFonts w:ascii="Arial"/>
          <w:w w:val="105"/>
          <w:sz w:val="19"/>
        </w:rPr>
        <w:t>in</w:t>
      </w:r>
      <w:r>
        <w:rPr>
          <w:rFonts w:ascii="Arial"/>
          <w:spacing w:val="-12"/>
          <w:w w:val="105"/>
          <w:sz w:val="19"/>
        </w:rPr>
        <w:t xml:space="preserve"> </w:t>
      </w:r>
      <w:r>
        <w:rPr>
          <w:rFonts w:ascii="Arial"/>
          <w:w w:val="105"/>
          <w:sz w:val="19"/>
        </w:rPr>
        <w:t>the</w:t>
      </w:r>
      <w:r>
        <w:rPr>
          <w:rFonts w:ascii="Arial"/>
          <w:spacing w:val="-10"/>
          <w:w w:val="105"/>
          <w:sz w:val="19"/>
        </w:rPr>
        <w:t xml:space="preserve"> </w:t>
      </w:r>
      <w:r>
        <w:rPr>
          <w:rFonts w:ascii="Arial"/>
          <w:w w:val="105"/>
          <w:sz w:val="19"/>
        </w:rPr>
        <w:t>figure</w:t>
      </w:r>
      <w:r>
        <w:rPr>
          <w:rFonts w:ascii="Arial"/>
          <w:spacing w:val="-13"/>
          <w:w w:val="105"/>
          <w:sz w:val="19"/>
        </w:rPr>
        <w:t xml:space="preserve"> </w:t>
      </w:r>
      <w:r>
        <w:rPr>
          <w:rFonts w:ascii="Arial"/>
          <w:w w:val="105"/>
          <w:sz w:val="19"/>
        </w:rPr>
        <w:t>below.</w:t>
      </w:r>
    </w:p>
    <w:p w:rsidR="007D76BB" w:rsidRDefault="007D76BB">
      <w:pPr>
        <w:pStyle w:val="BodyText"/>
        <w:spacing w:before="1"/>
        <w:rPr>
          <w:rFonts w:ascii="Arial"/>
          <w:sz w:val="21"/>
        </w:rPr>
      </w:pPr>
    </w:p>
    <w:p w:rsidR="007D76BB" w:rsidRDefault="00D70D28">
      <w:pPr>
        <w:ind w:left="482"/>
        <w:rPr>
          <w:rFonts w:ascii="Arial"/>
          <w:sz w:val="19"/>
        </w:rPr>
      </w:pPr>
      <w:r>
        <w:rPr>
          <w:rFonts w:ascii="Arial"/>
          <w:color w:val="005386"/>
          <w:sz w:val="19"/>
        </w:rPr>
        <w:t>Figure 5. Likely industry responses</w:t>
      </w:r>
    </w:p>
    <w:p w:rsidR="007D76BB" w:rsidRDefault="007D76BB">
      <w:pPr>
        <w:pStyle w:val="BodyText"/>
        <w:spacing w:before="6"/>
        <w:rPr>
          <w:rFonts w:ascii="Arial"/>
          <w:sz w:val="17"/>
        </w:rPr>
      </w:pPr>
    </w:p>
    <w:p w:rsidR="007D76BB" w:rsidRDefault="00D70D28">
      <w:pPr>
        <w:pStyle w:val="Heading6"/>
        <w:spacing w:before="111" w:line="249" w:lineRule="auto"/>
        <w:ind w:left="4520" w:right="2957"/>
      </w:pPr>
      <w:r>
        <w:rPr>
          <w:noProof/>
          <w:lang w:val="en-AU" w:eastAsia="en-AU"/>
        </w:rPr>
        <mc:AlternateContent>
          <mc:Choice Requires="wpg">
            <w:drawing>
              <wp:anchor distT="0" distB="0" distL="114300" distR="114300" simplePos="0" relativeHeight="251721728" behindDoc="0" locked="0" layoutInCell="1" allowOverlap="1">
                <wp:simplePos x="0" y="0"/>
                <wp:positionH relativeFrom="page">
                  <wp:posOffset>3027680</wp:posOffset>
                </wp:positionH>
                <wp:positionV relativeFrom="paragraph">
                  <wp:posOffset>-2540</wp:posOffset>
                </wp:positionV>
                <wp:extent cx="529590" cy="601980"/>
                <wp:effectExtent l="0" t="0" r="0" b="0"/>
                <wp:wrapNone/>
                <wp:docPr id="328"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601980"/>
                          <a:chOff x="4768" y="-4"/>
                          <a:chExt cx="834" cy="948"/>
                        </a:xfrm>
                      </wpg:grpSpPr>
                      <pic:pic xmlns:pic="http://schemas.openxmlformats.org/drawingml/2006/picture">
                        <pic:nvPicPr>
                          <pic:cNvPr id="329" name="Picture 18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4815" y="356"/>
                            <a:ext cx="587"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 name="AutoShape 187"/>
                        <wps:cNvSpPr>
                          <a:spLocks/>
                        </wps:cNvSpPr>
                        <wps:spPr bwMode="auto">
                          <a:xfrm>
                            <a:off x="5043" y="266"/>
                            <a:ext cx="474" cy="641"/>
                          </a:xfrm>
                          <a:custGeom>
                            <a:avLst/>
                            <a:gdLst>
                              <a:gd name="T0" fmla="+- 0 5062 5044"/>
                              <a:gd name="T1" fmla="*/ T0 w 474"/>
                              <a:gd name="T2" fmla="+- 0 872 266"/>
                              <a:gd name="T3" fmla="*/ 872 h 641"/>
                              <a:gd name="T4" fmla="+- 0 5060 5044"/>
                              <a:gd name="T5" fmla="*/ T4 w 474"/>
                              <a:gd name="T6" fmla="+- 0 907 266"/>
                              <a:gd name="T7" fmla="*/ 907 h 641"/>
                              <a:gd name="T8" fmla="+- 0 5115 5044"/>
                              <a:gd name="T9" fmla="*/ T8 w 474"/>
                              <a:gd name="T10" fmla="+- 0 853 266"/>
                              <a:gd name="T11" fmla="*/ 853 h 641"/>
                              <a:gd name="T12" fmla="+- 0 5080 5044"/>
                              <a:gd name="T13" fmla="*/ T12 w 474"/>
                              <a:gd name="T14" fmla="+- 0 855 266"/>
                              <a:gd name="T15" fmla="*/ 855 h 641"/>
                              <a:gd name="T16" fmla="+- 0 5115 5044"/>
                              <a:gd name="T17" fmla="*/ T16 w 474"/>
                              <a:gd name="T18" fmla="+- 0 853 266"/>
                              <a:gd name="T19" fmla="*/ 853 h 641"/>
                              <a:gd name="T20" fmla="+- 0 5512 5044"/>
                              <a:gd name="T21" fmla="*/ T20 w 474"/>
                              <a:gd name="T22" fmla="+- 0 515 266"/>
                              <a:gd name="T23" fmla="*/ 515 h 641"/>
                              <a:gd name="T24" fmla="+- 0 5500 5044"/>
                              <a:gd name="T25" fmla="*/ T24 w 474"/>
                              <a:gd name="T26" fmla="+- 0 495 266"/>
                              <a:gd name="T27" fmla="*/ 495 h 641"/>
                              <a:gd name="T28" fmla="+- 0 5482 5044"/>
                              <a:gd name="T29" fmla="*/ T28 w 474"/>
                              <a:gd name="T30" fmla="+- 0 483 266"/>
                              <a:gd name="T31" fmla="*/ 483 h 641"/>
                              <a:gd name="T32" fmla="+- 0 5463 5044"/>
                              <a:gd name="T33" fmla="*/ T32 w 474"/>
                              <a:gd name="T34" fmla="+- 0 478 266"/>
                              <a:gd name="T35" fmla="*/ 478 h 641"/>
                              <a:gd name="T36" fmla="+- 0 5465 5044"/>
                              <a:gd name="T37" fmla="*/ T36 w 474"/>
                              <a:gd name="T38" fmla="+- 0 446 266"/>
                              <a:gd name="T39" fmla="*/ 446 h 641"/>
                              <a:gd name="T40" fmla="+- 0 5455 5044"/>
                              <a:gd name="T41" fmla="*/ T40 w 474"/>
                              <a:gd name="T42" fmla="+- 0 425 266"/>
                              <a:gd name="T43" fmla="*/ 425 h 641"/>
                              <a:gd name="T44" fmla="+- 0 5440 5044"/>
                              <a:gd name="T45" fmla="*/ T44 w 474"/>
                              <a:gd name="T46" fmla="+- 0 409 266"/>
                              <a:gd name="T47" fmla="*/ 409 h 641"/>
                              <a:gd name="T48" fmla="+- 0 5421 5044"/>
                              <a:gd name="T49" fmla="*/ T48 w 474"/>
                              <a:gd name="T50" fmla="+- 0 400 266"/>
                              <a:gd name="T51" fmla="*/ 400 h 641"/>
                              <a:gd name="T52" fmla="+- 0 5413 5044"/>
                              <a:gd name="T53" fmla="*/ T52 w 474"/>
                              <a:gd name="T54" fmla="+- 0 384 266"/>
                              <a:gd name="T55" fmla="*/ 384 h 641"/>
                              <a:gd name="T56" fmla="+- 0 5405 5044"/>
                              <a:gd name="T57" fmla="*/ T56 w 474"/>
                              <a:gd name="T58" fmla="+- 0 354 266"/>
                              <a:gd name="T59" fmla="*/ 354 h 641"/>
                              <a:gd name="T60" fmla="+- 0 5395 5044"/>
                              <a:gd name="T61" fmla="*/ T60 w 474"/>
                              <a:gd name="T62" fmla="+- 0 341 266"/>
                              <a:gd name="T63" fmla="*/ 341 h 641"/>
                              <a:gd name="T64" fmla="+- 0 5369 5044"/>
                              <a:gd name="T65" fmla="*/ T64 w 474"/>
                              <a:gd name="T66" fmla="+- 0 325 266"/>
                              <a:gd name="T67" fmla="*/ 325 h 641"/>
                              <a:gd name="T68" fmla="+- 0 5355 5044"/>
                              <a:gd name="T69" fmla="*/ T68 w 474"/>
                              <a:gd name="T70" fmla="+- 0 323 266"/>
                              <a:gd name="T71" fmla="*/ 323 h 641"/>
                              <a:gd name="T72" fmla="+- 0 5339 5044"/>
                              <a:gd name="T73" fmla="*/ T72 w 474"/>
                              <a:gd name="T74" fmla="+- 0 314 266"/>
                              <a:gd name="T75" fmla="*/ 314 h 641"/>
                              <a:gd name="T76" fmla="+- 0 5331 5044"/>
                              <a:gd name="T77" fmla="*/ T76 w 474"/>
                              <a:gd name="T78" fmla="+- 0 293 266"/>
                              <a:gd name="T79" fmla="*/ 293 h 641"/>
                              <a:gd name="T80" fmla="+- 0 5323 5044"/>
                              <a:gd name="T81" fmla="*/ T80 w 474"/>
                              <a:gd name="T82" fmla="+- 0 284 266"/>
                              <a:gd name="T83" fmla="*/ 284 h 641"/>
                              <a:gd name="T84" fmla="+- 0 5282 5044"/>
                              <a:gd name="T85" fmla="*/ T84 w 474"/>
                              <a:gd name="T86" fmla="+- 0 266 266"/>
                              <a:gd name="T87" fmla="*/ 266 h 641"/>
                              <a:gd name="T88" fmla="+- 0 5242 5044"/>
                              <a:gd name="T89" fmla="*/ T88 w 474"/>
                              <a:gd name="T90" fmla="+- 0 284 266"/>
                              <a:gd name="T91" fmla="*/ 284 h 641"/>
                              <a:gd name="T92" fmla="+- 0 5097 5044"/>
                              <a:gd name="T93" fmla="*/ T92 w 474"/>
                              <a:gd name="T94" fmla="+- 0 466 266"/>
                              <a:gd name="T95" fmla="*/ 466 h 641"/>
                              <a:gd name="T96" fmla="+- 0 5270 5044"/>
                              <a:gd name="T97" fmla="*/ T96 w 474"/>
                              <a:gd name="T98" fmla="+- 0 294 266"/>
                              <a:gd name="T99" fmla="*/ 294 h 641"/>
                              <a:gd name="T100" fmla="+- 0 5295 5044"/>
                              <a:gd name="T101" fmla="*/ T100 w 474"/>
                              <a:gd name="T102" fmla="+- 0 295 266"/>
                              <a:gd name="T103" fmla="*/ 295 h 641"/>
                              <a:gd name="T104" fmla="+- 0 5313 5044"/>
                              <a:gd name="T105" fmla="*/ T104 w 474"/>
                              <a:gd name="T106" fmla="+- 0 313 266"/>
                              <a:gd name="T107" fmla="*/ 313 h 641"/>
                              <a:gd name="T108" fmla="+- 0 5313 5044"/>
                              <a:gd name="T109" fmla="*/ T108 w 474"/>
                              <a:gd name="T110" fmla="+- 0 338 266"/>
                              <a:gd name="T111" fmla="*/ 338 h 641"/>
                              <a:gd name="T112" fmla="+- 0 5300 5044"/>
                              <a:gd name="T113" fmla="*/ T112 w 474"/>
                              <a:gd name="T114" fmla="+- 0 355 266"/>
                              <a:gd name="T115" fmla="*/ 355 h 641"/>
                              <a:gd name="T116" fmla="+- 0 5297 5044"/>
                              <a:gd name="T117" fmla="*/ T116 w 474"/>
                              <a:gd name="T118" fmla="+- 0 359 266"/>
                              <a:gd name="T119" fmla="*/ 359 h 641"/>
                              <a:gd name="T120" fmla="+- 0 5297 5044"/>
                              <a:gd name="T121" fmla="*/ T120 w 474"/>
                              <a:gd name="T122" fmla="+- 0 370 266"/>
                              <a:gd name="T123" fmla="*/ 370 h 641"/>
                              <a:gd name="T124" fmla="+- 0 5305 5044"/>
                              <a:gd name="T125" fmla="*/ T124 w 474"/>
                              <a:gd name="T126" fmla="+- 0 378 266"/>
                              <a:gd name="T127" fmla="*/ 378 h 641"/>
                              <a:gd name="T128" fmla="+- 0 5318 5044"/>
                              <a:gd name="T129" fmla="*/ T128 w 474"/>
                              <a:gd name="T130" fmla="+- 0 373 266"/>
                              <a:gd name="T131" fmla="*/ 373 h 641"/>
                              <a:gd name="T132" fmla="+- 0 5332 5044"/>
                              <a:gd name="T133" fmla="*/ T132 w 474"/>
                              <a:gd name="T134" fmla="+- 0 358 266"/>
                              <a:gd name="T135" fmla="*/ 358 h 641"/>
                              <a:gd name="T136" fmla="+- 0 5355 5044"/>
                              <a:gd name="T137" fmla="*/ T136 w 474"/>
                              <a:gd name="T138" fmla="+- 0 349 266"/>
                              <a:gd name="T139" fmla="*/ 349 h 641"/>
                              <a:gd name="T140" fmla="+- 0 5378 5044"/>
                              <a:gd name="T141" fmla="*/ T140 w 474"/>
                              <a:gd name="T142" fmla="+- 0 359 266"/>
                              <a:gd name="T143" fmla="*/ 359 h 641"/>
                              <a:gd name="T144" fmla="+- 0 5387 5044"/>
                              <a:gd name="T145" fmla="*/ T144 w 474"/>
                              <a:gd name="T146" fmla="+- 0 383 266"/>
                              <a:gd name="T147" fmla="*/ 383 h 641"/>
                              <a:gd name="T148" fmla="+- 0 5378 5044"/>
                              <a:gd name="T149" fmla="*/ T148 w 474"/>
                              <a:gd name="T150" fmla="+- 0 406 266"/>
                              <a:gd name="T151" fmla="*/ 406 h 641"/>
                              <a:gd name="T152" fmla="+- 0 5351 5044"/>
                              <a:gd name="T153" fmla="*/ T152 w 474"/>
                              <a:gd name="T154" fmla="+- 0 432 266"/>
                              <a:gd name="T155" fmla="*/ 432 h 641"/>
                              <a:gd name="T156" fmla="+- 0 5350 5044"/>
                              <a:gd name="T157" fmla="*/ T156 w 474"/>
                              <a:gd name="T158" fmla="+- 0 442 266"/>
                              <a:gd name="T159" fmla="*/ 442 h 641"/>
                              <a:gd name="T160" fmla="+- 0 5353 5044"/>
                              <a:gd name="T161" fmla="*/ T160 w 474"/>
                              <a:gd name="T162" fmla="+- 0 449 266"/>
                              <a:gd name="T163" fmla="*/ 449 h 641"/>
                              <a:gd name="T164" fmla="+- 0 5367 5044"/>
                              <a:gd name="T165" fmla="*/ T164 w 474"/>
                              <a:gd name="T166" fmla="+- 0 454 266"/>
                              <a:gd name="T167" fmla="*/ 454 h 641"/>
                              <a:gd name="T168" fmla="+- 0 5385 5044"/>
                              <a:gd name="T169" fmla="*/ T168 w 474"/>
                              <a:gd name="T170" fmla="+- 0 434 266"/>
                              <a:gd name="T171" fmla="*/ 434 h 641"/>
                              <a:gd name="T172" fmla="+- 0 5408 5044"/>
                              <a:gd name="T173" fmla="*/ T172 w 474"/>
                              <a:gd name="T174" fmla="+- 0 425 266"/>
                              <a:gd name="T175" fmla="*/ 425 h 641"/>
                              <a:gd name="T176" fmla="+- 0 5432 5044"/>
                              <a:gd name="T177" fmla="*/ T176 w 474"/>
                              <a:gd name="T178" fmla="+- 0 435 266"/>
                              <a:gd name="T179" fmla="*/ 435 h 641"/>
                              <a:gd name="T180" fmla="+- 0 5441 5044"/>
                              <a:gd name="T181" fmla="*/ T180 w 474"/>
                              <a:gd name="T182" fmla="+- 0 458 266"/>
                              <a:gd name="T183" fmla="*/ 458 h 641"/>
                              <a:gd name="T184" fmla="+- 0 5432 5044"/>
                              <a:gd name="T185" fmla="*/ T184 w 474"/>
                              <a:gd name="T186" fmla="+- 0 481 266"/>
                              <a:gd name="T187" fmla="*/ 481 h 641"/>
                              <a:gd name="T188" fmla="+- 0 5419 5044"/>
                              <a:gd name="T189" fmla="*/ T188 w 474"/>
                              <a:gd name="T190" fmla="+- 0 495 266"/>
                              <a:gd name="T191" fmla="*/ 495 h 641"/>
                              <a:gd name="T192" fmla="+- 0 5399 5044"/>
                              <a:gd name="T193" fmla="*/ T192 w 474"/>
                              <a:gd name="T194" fmla="+- 0 515 266"/>
                              <a:gd name="T195" fmla="*/ 515 h 641"/>
                              <a:gd name="T196" fmla="+- 0 5404 5044"/>
                              <a:gd name="T197" fmla="*/ T196 w 474"/>
                              <a:gd name="T198" fmla="+- 0 527 266"/>
                              <a:gd name="T199" fmla="*/ 527 h 641"/>
                              <a:gd name="T200" fmla="+- 0 5417 5044"/>
                              <a:gd name="T201" fmla="*/ T200 w 474"/>
                              <a:gd name="T202" fmla="+- 0 532 266"/>
                              <a:gd name="T203" fmla="*/ 532 h 641"/>
                              <a:gd name="T204" fmla="+- 0 5437 5044"/>
                              <a:gd name="T205" fmla="*/ T204 w 474"/>
                              <a:gd name="T206" fmla="+- 0 513 266"/>
                              <a:gd name="T207" fmla="*/ 513 h 641"/>
                              <a:gd name="T208" fmla="+- 0 5459 5044"/>
                              <a:gd name="T209" fmla="*/ T208 w 474"/>
                              <a:gd name="T210" fmla="+- 0 504 266"/>
                              <a:gd name="T211" fmla="*/ 504 h 641"/>
                              <a:gd name="T212" fmla="+- 0 5483 5044"/>
                              <a:gd name="T213" fmla="*/ T212 w 474"/>
                              <a:gd name="T214" fmla="+- 0 515 266"/>
                              <a:gd name="T215" fmla="*/ 515 h 641"/>
                              <a:gd name="T216" fmla="+- 0 5492 5044"/>
                              <a:gd name="T217" fmla="*/ T216 w 474"/>
                              <a:gd name="T218" fmla="+- 0 537 266"/>
                              <a:gd name="T219" fmla="*/ 537 h 641"/>
                              <a:gd name="T220" fmla="+- 0 5483 5044"/>
                              <a:gd name="T221" fmla="*/ T220 w 474"/>
                              <a:gd name="T222" fmla="+- 0 560 266"/>
                              <a:gd name="T223" fmla="*/ 560 h 641"/>
                              <a:gd name="T224" fmla="+- 0 5400 5044"/>
                              <a:gd name="T225" fmla="*/ T224 w 474"/>
                              <a:gd name="T226" fmla="+- 0 680 266"/>
                              <a:gd name="T227" fmla="*/ 680 h 641"/>
                              <a:gd name="T228" fmla="+- 0 5513 5044"/>
                              <a:gd name="T229" fmla="*/ T228 w 474"/>
                              <a:gd name="T230" fmla="+- 0 559 266"/>
                              <a:gd name="T231" fmla="*/ 559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74" h="641">
                                <a:moveTo>
                                  <a:pt x="35" y="622"/>
                                </a:moveTo>
                                <a:lnTo>
                                  <a:pt x="18" y="606"/>
                                </a:lnTo>
                                <a:lnTo>
                                  <a:pt x="0" y="625"/>
                                </a:lnTo>
                                <a:lnTo>
                                  <a:pt x="16" y="641"/>
                                </a:lnTo>
                                <a:lnTo>
                                  <a:pt x="35" y="622"/>
                                </a:lnTo>
                                <a:moveTo>
                                  <a:pt x="71" y="587"/>
                                </a:moveTo>
                                <a:lnTo>
                                  <a:pt x="54" y="570"/>
                                </a:lnTo>
                                <a:lnTo>
                                  <a:pt x="36" y="589"/>
                                </a:lnTo>
                                <a:lnTo>
                                  <a:pt x="53" y="605"/>
                                </a:lnTo>
                                <a:lnTo>
                                  <a:pt x="71" y="587"/>
                                </a:lnTo>
                                <a:moveTo>
                                  <a:pt x="473" y="271"/>
                                </a:moveTo>
                                <a:lnTo>
                                  <a:pt x="468" y="249"/>
                                </a:lnTo>
                                <a:lnTo>
                                  <a:pt x="461" y="238"/>
                                </a:lnTo>
                                <a:lnTo>
                                  <a:pt x="456" y="229"/>
                                </a:lnTo>
                                <a:lnTo>
                                  <a:pt x="447" y="222"/>
                                </a:lnTo>
                                <a:lnTo>
                                  <a:pt x="438" y="217"/>
                                </a:lnTo>
                                <a:lnTo>
                                  <a:pt x="429" y="214"/>
                                </a:lnTo>
                                <a:lnTo>
                                  <a:pt x="419" y="212"/>
                                </a:lnTo>
                                <a:lnTo>
                                  <a:pt x="422" y="196"/>
                                </a:lnTo>
                                <a:lnTo>
                                  <a:pt x="421" y="180"/>
                                </a:lnTo>
                                <a:lnTo>
                                  <a:pt x="415" y="164"/>
                                </a:lnTo>
                                <a:lnTo>
                                  <a:pt x="411" y="159"/>
                                </a:lnTo>
                                <a:lnTo>
                                  <a:pt x="405" y="150"/>
                                </a:lnTo>
                                <a:lnTo>
                                  <a:pt x="396" y="143"/>
                                </a:lnTo>
                                <a:lnTo>
                                  <a:pt x="387" y="138"/>
                                </a:lnTo>
                                <a:lnTo>
                                  <a:pt x="377" y="134"/>
                                </a:lnTo>
                                <a:lnTo>
                                  <a:pt x="366" y="133"/>
                                </a:lnTo>
                                <a:lnTo>
                                  <a:pt x="369" y="118"/>
                                </a:lnTo>
                                <a:lnTo>
                                  <a:pt x="367" y="103"/>
                                </a:lnTo>
                                <a:lnTo>
                                  <a:pt x="361" y="88"/>
                                </a:lnTo>
                                <a:lnTo>
                                  <a:pt x="357" y="83"/>
                                </a:lnTo>
                                <a:lnTo>
                                  <a:pt x="351" y="75"/>
                                </a:lnTo>
                                <a:lnTo>
                                  <a:pt x="339" y="65"/>
                                </a:lnTo>
                                <a:lnTo>
                                  <a:pt x="325" y="59"/>
                                </a:lnTo>
                                <a:lnTo>
                                  <a:pt x="322" y="59"/>
                                </a:lnTo>
                                <a:lnTo>
                                  <a:pt x="311" y="57"/>
                                </a:lnTo>
                                <a:lnTo>
                                  <a:pt x="296" y="59"/>
                                </a:lnTo>
                                <a:lnTo>
                                  <a:pt x="295" y="48"/>
                                </a:lnTo>
                                <a:lnTo>
                                  <a:pt x="292" y="37"/>
                                </a:lnTo>
                                <a:lnTo>
                                  <a:pt x="287" y="27"/>
                                </a:lnTo>
                                <a:lnTo>
                                  <a:pt x="286" y="26"/>
                                </a:lnTo>
                                <a:lnTo>
                                  <a:pt x="279" y="18"/>
                                </a:lnTo>
                                <a:lnTo>
                                  <a:pt x="260" y="5"/>
                                </a:lnTo>
                                <a:lnTo>
                                  <a:pt x="238" y="0"/>
                                </a:lnTo>
                                <a:lnTo>
                                  <a:pt x="217" y="5"/>
                                </a:lnTo>
                                <a:lnTo>
                                  <a:pt x="198" y="18"/>
                                </a:lnTo>
                                <a:lnTo>
                                  <a:pt x="36" y="182"/>
                                </a:lnTo>
                                <a:lnTo>
                                  <a:pt x="53" y="200"/>
                                </a:lnTo>
                                <a:lnTo>
                                  <a:pt x="216" y="35"/>
                                </a:lnTo>
                                <a:lnTo>
                                  <a:pt x="226" y="28"/>
                                </a:lnTo>
                                <a:lnTo>
                                  <a:pt x="239" y="26"/>
                                </a:lnTo>
                                <a:lnTo>
                                  <a:pt x="251" y="29"/>
                                </a:lnTo>
                                <a:lnTo>
                                  <a:pt x="262" y="37"/>
                                </a:lnTo>
                                <a:lnTo>
                                  <a:pt x="269" y="47"/>
                                </a:lnTo>
                                <a:lnTo>
                                  <a:pt x="272" y="60"/>
                                </a:lnTo>
                                <a:lnTo>
                                  <a:pt x="269" y="72"/>
                                </a:lnTo>
                                <a:lnTo>
                                  <a:pt x="262" y="83"/>
                                </a:lnTo>
                                <a:lnTo>
                                  <a:pt x="256" y="89"/>
                                </a:lnTo>
                                <a:lnTo>
                                  <a:pt x="253" y="91"/>
                                </a:lnTo>
                                <a:lnTo>
                                  <a:pt x="253" y="93"/>
                                </a:lnTo>
                                <a:lnTo>
                                  <a:pt x="253" y="101"/>
                                </a:lnTo>
                                <a:lnTo>
                                  <a:pt x="253" y="104"/>
                                </a:lnTo>
                                <a:lnTo>
                                  <a:pt x="256" y="107"/>
                                </a:lnTo>
                                <a:lnTo>
                                  <a:pt x="261" y="112"/>
                                </a:lnTo>
                                <a:lnTo>
                                  <a:pt x="269" y="112"/>
                                </a:lnTo>
                                <a:lnTo>
                                  <a:pt x="274" y="107"/>
                                </a:lnTo>
                                <a:lnTo>
                                  <a:pt x="280" y="101"/>
                                </a:lnTo>
                                <a:lnTo>
                                  <a:pt x="288" y="92"/>
                                </a:lnTo>
                                <a:lnTo>
                                  <a:pt x="298" y="85"/>
                                </a:lnTo>
                                <a:lnTo>
                                  <a:pt x="311" y="83"/>
                                </a:lnTo>
                                <a:lnTo>
                                  <a:pt x="323" y="86"/>
                                </a:lnTo>
                                <a:lnTo>
                                  <a:pt x="334" y="93"/>
                                </a:lnTo>
                                <a:lnTo>
                                  <a:pt x="341" y="104"/>
                                </a:lnTo>
                                <a:lnTo>
                                  <a:pt x="343" y="117"/>
                                </a:lnTo>
                                <a:lnTo>
                                  <a:pt x="341" y="129"/>
                                </a:lnTo>
                                <a:lnTo>
                                  <a:pt x="334" y="140"/>
                                </a:lnTo>
                                <a:lnTo>
                                  <a:pt x="309" y="165"/>
                                </a:lnTo>
                                <a:lnTo>
                                  <a:pt x="307" y="166"/>
                                </a:lnTo>
                                <a:lnTo>
                                  <a:pt x="306" y="170"/>
                                </a:lnTo>
                                <a:lnTo>
                                  <a:pt x="306" y="176"/>
                                </a:lnTo>
                                <a:lnTo>
                                  <a:pt x="307" y="180"/>
                                </a:lnTo>
                                <a:lnTo>
                                  <a:pt x="309" y="183"/>
                                </a:lnTo>
                                <a:lnTo>
                                  <a:pt x="315" y="188"/>
                                </a:lnTo>
                                <a:lnTo>
                                  <a:pt x="323" y="188"/>
                                </a:lnTo>
                                <a:lnTo>
                                  <a:pt x="327" y="183"/>
                                </a:lnTo>
                                <a:lnTo>
                                  <a:pt x="341" y="168"/>
                                </a:lnTo>
                                <a:lnTo>
                                  <a:pt x="352" y="161"/>
                                </a:lnTo>
                                <a:lnTo>
                                  <a:pt x="364" y="159"/>
                                </a:lnTo>
                                <a:lnTo>
                                  <a:pt x="377" y="161"/>
                                </a:lnTo>
                                <a:lnTo>
                                  <a:pt x="388" y="169"/>
                                </a:lnTo>
                                <a:lnTo>
                                  <a:pt x="395" y="180"/>
                                </a:lnTo>
                                <a:lnTo>
                                  <a:pt x="397" y="192"/>
                                </a:lnTo>
                                <a:lnTo>
                                  <a:pt x="395" y="205"/>
                                </a:lnTo>
                                <a:lnTo>
                                  <a:pt x="388" y="215"/>
                                </a:lnTo>
                                <a:lnTo>
                                  <a:pt x="375" y="228"/>
                                </a:lnTo>
                                <a:lnTo>
                                  <a:pt x="375" y="229"/>
                                </a:lnTo>
                                <a:lnTo>
                                  <a:pt x="360" y="243"/>
                                </a:lnTo>
                                <a:lnTo>
                                  <a:pt x="355" y="249"/>
                                </a:lnTo>
                                <a:lnTo>
                                  <a:pt x="355" y="257"/>
                                </a:lnTo>
                                <a:lnTo>
                                  <a:pt x="360" y="261"/>
                                </a:lnTo>
                                <a:lnTo>
                                  <a:pt x="365" y="266"/>
                                </a:lnTo>
                                <a:lnTo>
                                  <a:pt x="373" y="266"/>
                                </a:lnTo>
                                <a:lnTo>
                                  <a:pt x="378" y="261"/>
                                </a:lnTo>
                                <a:lnTo>
                                  <a:pt x="393" y="247"/>
                                </a:lnTo>
                                <a:lnTo>
                                  <a:pt x="403" y="240"/>
                                </a:lnTo>
                                <a:lnTo>
                                  <a:pt x="415" y="238"/>
                                </a:lnTo>
                                <a:lnTo>
                                  <a:pt x="427" y="241"/>
                                </a:lnTo>
                                <a:lnTo>
                                  <a:pt x="439" y="249"/>
                                </a:lnTo>
                                <a:lnTo>
                                  <a:pt x="446" y="259"/>
                                </a:lnTo>
                                <a:lnTo>
                                  <a:pt x="448" y="271"/>
                                </a:lnTo>
                                <a:lnTo>
                                  <a:pt x="446" y="283"/>
                                </a:lnTo>
                                <a:lnTo>
                                  <a:pt x="439" y="294"/>
                                </a:lnTo>
                                <a:lnTo>
                                  <a:pt x="338" y="396"/>
                                </a:lnTo>
                                <a:lnTo>
                                  <a:pt x="356" y="414"/>
                                </a:lnTo>
                                <a:lnTo>
                                  <a:pt x="456" y="312"/>
                                </a:lnTo>
                                <a:lnTo>
                                  <a:pt x="469" y="293"/>
                                </a:lnTo>
                                <a:lnTo>
                                  <a:pt x="473" y="271"/>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1" name="Picture 18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5367" y="596"/>
                            <a:ext cx="23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 name="AutoShape 185"/>
                        <wps:cNvSpPr>
                          <a:spLocks/>
                        </wps:cNvSpPr>
                        <wps:spPr bwMode="auto">
                          <a:xfrm>
                            <a:off x="4768" y="-4"/>
                            <a:ext cx="767" cy="768"/>
                          </a:xfrm>
                          <a:custGeom>
                            <a:avLst/>
                            <a:gdLst>
                              <a:gd name="T0" fmla="+- 0 5075 4768"/>
                              <a:gd name="T1" fmla="*/ T0 w 767"/>
                              <a:gd name="T2" fmla="+- 0 285 -4"/>
                              <a:gd name="T3" fmla="*/ 285 h 768"/>
                              <a:gd name="T4" fmla="+- 0 5155 4768"/>
                              <a:gd name="T5" fmla="*/ T4 w 767"/>
                              <a:gd name="T6" fmla="+- 0 404 -4"/>
                              <a:gd name="T7" fmla="*/ 404 h 768"/>
                              <a:gd name="T8" fmla="+- 0 5211 4768"/>
                              <a:gd name="T9" fmla="*/ T8 w 767"/>
                              <a:gd name="T10" fmla="+- 0 332 -4"/>
                              <a:gd name="T11" fmla="*/ 332 h 768"/>
                              <a:gd name="T12" fmla="+- 0 5129 4768"/>
                              <a:gd name="T13" fmla="*/ T12 w 767"/>
                              <a:gd name="T14" fmla="+- 0 251 -4"/>
                              <a:gd name="T15" fmla="*/ 251 h 768"/>
                              <a:gd name="T16" fmla="+- 0 5133 4768"/>
                              <a:gd name="T17" fmla="*/ T16 w 767"/>
                              <a:gd name="T18" fmla="+- 0 227 -4"/>
                              <a:gd name="T19" fmla="*/ 227 h 768"/>
                              <a:gd name="T20" fmla="+- 0 5144 4768"/>
                              <a:gd name="T21" fmla="*/ T20 w 767"/>
                              <a:gd name="T22" fmla="+- 0 158 -4"/>
                              <a:gd name="T23" fmla="*/ 158 h 768"/>
                              <a:gd name="T24" fmla="+- 0 5113 4768"/>
                              <a:gd name="T25" fmla="*/ T24 w 767"/>
                              <a:gd name="T26" fmla="+- 0 95 -4"/>
                              <a:gd name="T27" fmla="*/ 95 h 768"/>
                              <a:gd name="T28" fmla="+- 0 5035 4768"/>
                              <a:gd name="T29" fmla="*/ T28 w 767"/>
                              <a:gd name="T30" fmla="+- 0 21 -4"/>
                              <a:gd name="T31" fmla="*/ 21 h 768"/>
                              <a:gd name="T32" fmla="+- 0 4968 4768"/>
                              <a:gd name="T33" fmla="*/ T32 w 767"/>
                              <a:gd name="T34" fmla="+- 0 -4 -4"/>
                              <a:gd name="T35" fmla="*/ -4 h 768"/>
                              <a:gd name="T36" fmla="+- 0 4888 4768"/>
                              <a:gd name="T37" fmla="*/ T36 w 767"/>
                              <a:gd name="T38" fmla="+- 0 26 -4"/>
                              <a:gd name="T39" fmla="*/ 26 h 768"/>
                              <a:gd name="T40" fmla="+- 0 4987 4768"/>
                              <a:gd name="T41" fmla="*/ T40 w 767"/>
                              <a:gd name="T42" fmla="+- 0 144 -4"/>
                              <a:gd name="T43" fmla="*/ 144 h 768"/>
                              <a:gd name="T44" fmla="+- 0 4993 4768"/>
                              <a:gd name="T45" fmla="*/ T44 w 767"/>
                              <a:gd name="T46" fmla="+- 0 152 -4"/>
                              <a:gd name="T47" fmla="*/ 152 h 768"/>
                              <a:gd name="T48" fmla="+- 0 4991 4768"/>
                              <a:gd name="T49" fmla="*/ T48 w 767"/>
                              <a:gd name="T50" fmla="+- 0 168 -4"/>
                              <a:gd name="T51" fmla="*/ 168 h 768"/>
                              <a:gd name="T52" fmla="+- 0 4932 4768"/>
                              <a:gd name="T53" fmla="*/ T52 w 767"/>
                              <a:gd name="T54" fmla="+- 0 227 -4"/>
                              <a:gd name="T55" fmla="*/ 227 h 768"/>
                              <a:gd name="T56" fmla="+- 0 4840 4768"/>
                              <a:gd name="T57" fmla="*/ T56 w 767"/>
                              <a:gd name="T58" fmla="+- 0 148 -4"/>
                              <a:gd name="T59" fmla="*/ 148 h 768"/>
                              <a:gd name="T60" fmla="+- 0 4794 4768"/>
                              <a:gd name="T61" fmla="*/ T60 w 767"/>
                              <a:gd name="T62" fmla="+- 0 121 -4"/>
                              <a:gd name="T63" fmla="*/ 121 h 768"/>
                              <a:gd name="T64" fmla="+- 0 4768 4768"/>
                              <a:gd name="T65" fmla="*/ T64 w 767"/>
                              <a:gd name="T66" fmla="+- 0 199 -4"/>
                              <a:gd name="T67" fmla="*/ 199 h 768"/>
                              <a:gd name="T68" fmla="+- 0 4801 4768"/>
                              <a:gd name="T69" fmla="*/ T68 w 767"/>
                              <a:gd name="T70" fmla="+- 0 274 -4"/>
                              <a:gd name="T71" fmla="*/ 274 h 768"/>
                              <a:gd name="T72" fmla="+- 0 4896 4768"/>
                              <a:gd name="T73" fmla="*/ T72 w 767"/>
                              <a:gd name="T74" fmla="+- 0 361 -4"/>
                              <a:gd name="T75" fmla="*/ 361 h 768"/>
                              <a:gd name="T76" fmla="+- 0 4964 4768"/>
                              <a:gd name="T77" fmla="*/ T76 w 767"/>
                              <a:gd name="T78" fmla="+- 0 372 -4"/>
                              <a:gd name="T79" fmla="*/ 372 h 768"/>
                              <a:gd name="T80" fmla="+- 0 5009 4768"/>
                              <a:gd name="T81" fmla="*/ T80 w 767"/>
                              <a:gd name="T82" fmla="+- 0 356 -4"/>
                              <a:gd name="T83" fmla="*/ 356 h 768"/>
                              <a:gd name="T84" fmla="+- 0 5104 4768"/>
                              <a:gd name="T85" fmla="*/ T84 w 767"/>
                              <a:gd name="T86" fmla="+- 0 440 -4"/>
                              <a:gd name="T87" fmla="*/ 440 h 768"/>
                              <a:gd name="T88" fmla="+- 0 5055 4768"/>
                              <a:gd name="T89" fmla="*/ T88 w 767"/>
                              <a:gd name="T90" fmla="+- 0 356 -4"/>
                              <a:gd name="T91" fmla="*/ 356 h 768"/>
                              <a:gd name="T92" fmla="+- 0 5046 4768"/>
                              <a:gd name="T93" fmla="*/ T92 w 767"/>
                              <a:gd name="T94" fmla="+- 0 347 -4"/>
                              <a:gd name="T95" fmla="*/ 347 h 768"/>
                              <a:gd name="T96" fmla="+- 0 5020 4768"/>
                              <a:gd name="T97" fmla="*/ T96 w 767"/>
                              <a:gd name="T98" fmla="+- 0 334 -4"/>
                              <a:gd name="T99" fmla="*/ 334 h 768"/>
                              <a:gd name="T100" fmla="+- 0 4987 4768"/>
                              <a:gd name="T101" fmla="*/ T100 w 767"/>
                              <a:gd name="T102" fmla="+- 0 339 -4"/>
                              <a:gd name="T103" fmla="*/ 339 h 768"/>
                              <a:gd name="T104" fmla="+- 0 4933 4768"/>
                              <a:gd name="T105" fmla="*/ T104 w 767"/>
                              <a:gd name="T106" fmla="+- 0 347 -4"/>
                              <a:gd name="T107" fmla="*/ 347 h 768"/>
                              <a:gd name="T108" fmla="+- 0 4884 4768"/>
                              <a:gd name="T109" fmla="*/ T108 w 767"/>
                              <a:gd name="T110" fmla="+- 0 322 -4"/>
                              <a:gd name="T111" fmla="*/ 322 h 768"/>
                              <a:gd name="T112" fmla="+- 0 4802 4768"/>
                              <a:gd name="T113" fmla="*/ T112 w 767"/>
                              <a:gd name="T114" fmla="+- 0 233 -4"/>
                              <a:gd name="T115" fmla="*/ 233 h 768"/>
                              <a:gd name="T116" fmla="+- 0 4795 4768"/>
                              <a:gd name="T117" fmla="*/ T116 w 767"/>
                              <a:gd name="T118" fmla="+- 0 176 -4"/>
                              <a:gd name="T119" fmla="*/ 176 h 768"/>
                              <a:gd name="T120" fmla="+- 0 4894 4768"/>
                              <a:gd name="T121" fmla="*/ T120 w 767"/>
                              <a:gd name="T122" fmla="+- 0 238 -4"/>
                              <a:gd name="T123" fmla="*/ 238 h 768"/>
                              <a:gd name="T124" fmla="+- 0 4926 4768"/>
                              <a:gd name="T125" fmla="*/ T124 w 767"/>
                              <a:gd name="T126" fmla="+- 0 250 -4"/>
                              <a:gd name="T127" fmla="*/ 250 h 768"/>
                              <a:gd name="T128" fmla="+- 0 4957 4768"/>
                              <a:gd name="T129" fmla="*/ T128 w 767"/>
                              <a:gd name="T130" fmla="+- 0 238 -4"/>
                              <a:gd name="T131" fmla="*/ 238 h 768"/>
                              <a:gd name="T132" fmla="+- 0 5005 4768"/>
                              <a:gd name="T133" fmla="*/ T132 w 767"/>
                              <a:gd name="T134" fmla="+- 0 189 -4"/>
                              <a:gd name="T135" fmla="*/ 189 h 768"/>
                              <a:gd name="T136" fmla="+- 0 5018 4768"/>
                              <a:gd name="T137" fmla="*/ T136 w 767"/>
                              <a:gd name="T138" fmla="+- 0 170 -4"/>
                              <a:gd name="T139" fmla="*/ 170 h 768"/>
                              <a:gd name="T140" fmla="+- 0 5014 4768"/>
                              <a:gd name="T141" fmla="*/ T140 w 767"/>
                              <a:gd name="T142" fmla="+- 0 135 -4"/>
                              <a:gd name="T143" fmla="*/ 135 h 768"/>
                              <a:gd name="T144" fmla="+- 0 4944 4768"/>
                              <a:gd name="T145" fmla="*/ T144 w 767"/>
                              <a:gd name="T146" fmla="+- 0 24 -4"/>
                              <a:gd name="T147" fmla="*/ 24 h 768"/>
                              <a:gd name="T148" fmla="+- 0 5003 4768"/>
                              <a:gd name="T149" fmla="*/ T148 w 767"/>
                              <a:gd name="T150" fmla="+- 0 29 -4"/>
                              <a:gd name="T151" fmla="*/ 29 h 768"/>
                              <a:gd name="T152" fmla="+- 0 5094 4768"/>
                              <a:gd name="T153" fmla="*/ T152 w 767"/>
                              <a:gd name="T154" fmla="+- 0 113 -4"/>
                              <a:gd name="T155" fmla="*/ 113 h 768"/>
                              <a:gd name="T156" fmla="+- 0 5119 4768"/>
                              <a:gd name="T157" fmla="*/ T156 w 767"/>
                              <a:gd name="T158" fmla="+- 0 161 -4"/>
                              <a:gd name="T159" fmla="*/ 161 h 768"/>
                              <a:gd name="T160" fmla="+- 0 5111 4768"/>
                              <a:gd name="T161" fmla="*/ T160 w 767"/>
                              <a:gd name="T162" fmla="+- 0 215 -4"/>
                              <a:gd name="T163" fmla="*/ 215 h 768"/>
                              <a:gd name="T164" fmla="+- 0 5106 4768"/>
                              <a:gd name="T165" fmla="*/ T164 w 767"/>
                              <a:gd name="T166" fmla="+- 0 248 -4"/>
                              <a:gd name="T167" fmla="*/ 248 h 768"/>
                              <a:gd name="T168" fmla="+- 0 5120 4768"/>
                              <a:gd name="T169" fmla="*/ T168 w 767"/>
                              <a:gd name="T170" fmla="+- 0 277 -4"/>
                              <a:gd name="T171" fmla="*/ 277 h 768"/>
                              <a:gd name="T172" fmla="+- 0 5211 4768"/>
                              <a:gd name="T173" fmla="*/ T172 w 767"/>
                              <a:gd name="T174" fmla="+- 0 332 -4"/>
                              <a:gd name="T175" fmla="*/ 332 h 768"/>
                              <a:gd name="T176" fmla="+- 0 5423 4768"/>
                              <a:gd name="T177" fmla="*/ T176 w 767"/>
                              <a:gd name="T178" fmla="+- 0 632 -4"/>
                              <a:gd name="T179" fmla="*/ 632 h 768"/>
                              <a:gd name="T180" fmla="+- 0 5478 4768"/>
                              <a:gd name="T181" fmla="*/ T180 w 767"/>
                              <a:gd name="T182" fmla="+- 0 715 -4"/>
                              <a:gd name="T183" fmla="*/ 715 h 768"/>
                              <a:gd name="T184" fmla="+- 0 5534 4768"/>
                              <a:gd name="T185" fmla="*/ T184 w 767"/>
                              <a:gd name="T186" fmla="+- 0 748 -4"/>
                              <a:gd name="T187" fmla="*/ 748 h 768"/>
                              <a:gd name="T188" fmla="+- 0 5499 4768"/>
                              <a:gd name="T189" fmla="*/ T188 w 767"/>
                              <a:gd name="T190" fmla="+- 0 744 -4"/>
                              <a:gd name="T191" fmla="*/ 744 h 768"/>
                              <a:gd name="T192" fmla="+- 0 5534 4768"/>
                              <a:gd name="T193" fmla="*/ T192 w 767"/>
                              <a:gd name="T194" fmla="+- 0 748 -4"/>
                              <a:gd name="T195" fmla="*/ 748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67" h="768">
                                <a:moveTo>
                                  <a:pt x="407" y="388"/>
                                </a:moveTo>
                                <a:lnTo>
                                  <a:pt x="307" y="289"/>
                                </a:lnTo>
                                <a:lnTo>
                                  <a:pt x="288" y="308"/>
                                </a:lnTo>
                                <a:lnTo>
                                  <a:pt x="387" y="408"/>
                                </a:lnTo>
                                <a:lnTo>
                                  <a:pt x="407" y="388"/>
                                </a:lnTo>
                                <a:moveTo>
                                  <a:pt x="443" y="336"/>
                                </a:moveTo>
                                <a:lnTo>
                                  <a:pt x="370" y="263"/>
                                </a:lnTo>
                                <a:lnTo>
                                  <a:pt x="361" y="255"/>
                                </a:lnTo>
                                <a:lnTo>
                                  <a:pt x="360" y="242"/>
                                </a:lnTo>
                                <a:lnTo>
                                  <a:pt x="365" y="231"/>
                                </a:lnTo>
                                <a:lnTo>
                                  <a:pt x="376" y="197"/>
                                </a:lnTo>
                                <a:lnTo>
                                  <a:pt x="376" y="162"/>
                                </a:lnTo>
                                <a:lnTo>
                                  <a:pt x="366" y="128"/>
                                </a:lnTo>
                                <a:lnTo>
                                  <a:pt x="345" y="99"/>
                                </a:lnTo>
                                <a:lnTo>
                                  <a:pt x="279" y="33"/>
                                </a:lnTo>
                                <a:lnTo>
                                  <a:pt x="267" y="25"/>
                                </a:lnTo>
                                <a:lnTo>
                                  <a:pt x="242" y="9"/>
                                </a:lnTo>
                                <a:lnTo>
                                  <a:pt x="200" y="0"/>
                                </a:lnTo>
                                <a:lnTo>
                                  <a:pt x="158" y="7"/>
                                </a:lnTo>
                                <a:lnTo>
                                  <a:pt x="120" y="30"/>
                                </a:lnTo>
                                <a:lnTo>
                                  <a:pt x="110" y="39"/>
                                </a:lnTo>
                                <a:lnTo>
                                  <a:pt x="219" y="148"/>
                                </a:lnTo>
                                <a:lnTo>
                                  <a:pt x="223" y="152"/>
                                </a:lnTo>
                                <a:lnTo>
                                  <a:pt x="225" y="156"/>
                                </a:lnTo>
                                <a:lnTo>
                                  <a:pt x="225" y="166"/>
                                </a:lnTo>
                                <a:lnTo>
                                  <a:pt x="223" y="172"/>
                                </a:lnTo>
                                <a:lnTo>
                                  <a:pt x="172" y="223"/>
                                </a:lnTo>
                                <a:lnTo>
                                  <a:pt x="164" y="231"/>
                                </a:lnTo>
                                <a:lnTo>
                                  <a:pt x="151" y="231"/>
                                </a:lnTo>
                                <a:lnTo>
                                  <a:pt x="72" y="152"/>
                                </a:lnTo>
                                <a:lnTo>
                                  <a:pt x="34" y="114"/>
                                </a:lnTo>
                                <a:lnTo>
                                  <a:pt x="26" y="125"/>
                                </a:lnTo>
                                <a:lnTo>
                                  <a:pt x="6" y="163"/>
                                </a:lnTo>
                                <a:lnTo>
                                  <a:pt x="0" y="203"/>
                                </a:lnTo>
                                <a:lnTo>
                                  <a:pt x="9" y="243"/>
                                </a:lnTo>
                                <a:lnTo>
                                  <a:pt x="33" y="278"/>
                                </a:lnTo>
                                <a:lnTo>
                                  <a:pt x="99" y="344"/>
                                </a:lnTo>
                                <a:lnTo>
                                  <a:pt x="128" y="365"/>
                                </a:lnTo>
                                <a:lnTo>
                                  <a:pt x="161" y="376"/>
                                </a:lnTo>
                                <a:lnTo>
                                  <a:pt x="196" y="376"/>
                                </a:lnTo>
                                <a:lnTo>
                                  <a:pt x="230" y="365"/>
                                </a:lnTo>
                                <a:lnTo>
                                  <a:pt x="241" y="360"/>
                                </a:lnTo>
                                <a:lnTo>
                                  <a:pt x="254" y="362"/>
                                </a:lnTo>
                                <a:lnTo>
                                  <a:pt x="336" y="444"/>
                                </a:lnTo>
                                <a:lnTo>
                                  <a:pt x="353" y="426"/>
                                </a:lnTo>
                                <a:lnTo>
                                  <a:pt x="287" y="360"/>
                                </a:lnTo>
                                <a:lnTo>
                                  <a:pt x="280" y="353"/>
                                </a:lnTo>
                                <a:lnTo>
                                  <a:pt x="278" y="351"/>
                                </a:lnTo>
                                <a:lnTo>
                                  <a:pt x="267" y="343"/>
                                </a:lnTo>
                                <a:lnTo>
                                  <a:pt x="252" y="338"/>
                                </a:lnTo>
                                <a:lnTo>
                                  <a:pt x="235" y="338"/>
                                </a:lnTo>
                                <a:lnTo>
                                  <a:pt x="219" y="343"/>
                                </a:lnTo>
                                <a:lnTo>
                                  <a:pt x="192" y="351"/>
                                </a:lnTo>
                                <a:lnTo>
                                  <a:pt x="165" y="351"/>
                                </a:lnTo>
                                <a:lnTo>
                                  <a:pt x="139" y="343"/>
                                </a:lnTo>
                                <a:lnTo>
                                  <a:pt x="116" y="326"/>
                                </a:lnTo>
                                <a:lnTo>
                                  <a:pt x="51" y="261"/>
                                </a:lnTo>
                                <a:lnTo>
                                  <a:pt x="34" y="237"/>
                                </a:lnTo>
                                <a:lnTo>
                                  <a:pt x="26" y="209"/>
                                </a:lnTo>
                                <a:lnTo>
                                  <a:pt x="27" y="180"/>
                                </a:lnTo>
                                <a:lnTo>
                                  <a:pt x="37" y="152"/>
                                </a:lnTo>
                                <a:lnTo>
                                  <a:pt x="126" y="242"/>
                                </a:lnTo>
                                <a:lnTo>
                                  <a:pt x="141" y="251"/>
                                </a:lnTo>
                                <a:lnTo>
                                  <a:pt x="158" y="254"/>
                                </a:lnTo>
                                <a:lnTo>
                                  <a:pt x="174" y="251"/>
                                </a:lnTo>
                                <a:lnTo>
                                  <a:pt x="189" y="242"/>
                                </a:lnTo>
                                <a:lnTo>
                                  <a:pt x="200" y="231"/>
                                </a:lnTo>
                                <a:lnTo>
                                  <a:pt x="237" y="193"/>
                                </a:lnTo>
                                <a:lnTo>
                                  <a:pt x="246" y="185"/>
                                </a:lnTo>
                                <a:lnTo>
                                  <a:pt x="250" y="174"/>
                                </a:lnTo>
                                <a:lnTo>
                                  <a:pt x="250" y="150"/>
                                </a:lnTo>
                                <a:lnTo>
                                  <a:pt x="246" y="139"/>
                                </a:lnTo>
                                <a:lnTo>
                                  <a:pt x="148" y="40"/>
                                </a:lnTo>
                                <a:lnTo>
                                  <a:pt x="176" y="28"/>
                                </a:lnTo>
                                <a:lnTo>
                                  <a:pt x="206" y="25"/>
                                </a:lnTo>
                                <a:lnTo>
                                  <a:pt x="235" y="33"/>
                                </a:lnTo>
                                <a:lnTo>
                                  <a:pt x="261" y="51"/>
                                </a:lnTo>
                                <a:lnTo>
                                  <a:pt x="326" y="117"/>
                                </a:lnTo>
                                <a:lnTo>
                                  <a:pt x="343" y="139"/>
                                </a:lnTo>
                                <a:lnTo>
                                  <a:pt x="351" y="165"/>
                                </a:lnTo>
                                <a:lnTo>
                                  <a:pt x="351" y="193"/>
                                </a:lnTo>
                                <a:lnTo>
                                  <a:pt x="343" y="219"/>
                                </a:lnTo>
                                <a:lnTo>
                                  <a:pt x="338" y="236"/>
                                </a:lnTo>
                                <a:lnTo>
                                  <a:pt x="338" y="252"/>
                                </a:lnTo>
                                <a:lnTo>
                                  <a:pt x="343" y="267"/>
                                </a:lnTo>
                                <a:lnTo>
                                  <a:pt x="352" y="281"/>
                                </a:lnTo>
                                <a:lnTo>
                                  <a:pt x="425" y="355"/>
                                </a:lnTo>
                                <a:lnTo>
                                  <a:pt x="443" y="336"/>
                                </a:lnTo>
                                <a:moveTo>
                                  <a:pt x="730" y="701"/>
                                </a:moveTo>
                                <a:lnTo>
                                  <a:pt x="655" y="636"/>
                                </a:lnTo>
                                <a:lnTo>
                                  <a:pt x="635" y="654"/>
                                </a:lnTo>
                                <a:lnTo>
                                  <a:pt x="710" y="719"/>
                                </a:lnTo>
                                <a:lnTo>
                                  <a:pt x="730" y="701"/>
                                </a:lnTo>
                                <a:moveTo>
                                  <a:pt x="766" y="752"/>
                                </a:moveTo>
                                <a:lnTo>
                                  <a:pt x="747" y="732"/>
                                </a:lnTo>
                                <a:lnTo>
                                  <a:pt x="731" y="748"/>
                                </a:lnTo>
                                <a:lnTo>
                                  <a:pt x="750" y="768"/>
                                </a:lnTo>
                                <a:lnTo>
                                  <a:pt x="766" y="752"/>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FB5AA" id="Group 184" o:spid="_x0000_s1026" style="position:absolute;margin-left:238.4pt;margin-top:-.2pt;width:41.7pt;height:47.4pt;z-index:251721728;mso-position-horizontal-relative:page" coordorigin="4768,-4" coordsize="834,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">
                <v:shape id="Picture 188" o:spid="_x0000_s1027" type="#_x0000_t75" style="position:absolute;left:4815;top:356;width:587;height: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">
                  <v:imagedata r:id="rId209" o:title=""/>
                </v:shape>
                <v:shape id="AutoShape 187" o:spid="_x0000_s1028" style="position:absolute;left:5043;top:266;width:474;height:641;visibility:visible;mso-wrap-style:square;v-text-anchor:top" coordsize="47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" path="m35,622l18,606,,625r16,16l35,622m71,587l54,570,36,589r17,16l71,587m473,271r-5,-22l461,238r-5,-9l447,222r-9,-5l429,214r-10,-2l422,196r-1,-16l415,164r-4,-5l405,150r-9,-7l387,138r-10,-4l366,133r3,-15l367,103,361,88r-4,-5l351,75,339,65,325,59r-3,l311,57r-15,2l295,48,292,37,287,27r-1,-1l279,18,260,5,238,,217,5,198,18,36,182r17,18l216,35r10,-7l239,26r12,3l262,37r7,10l272,60r-3,12l262,83r-6,6l253,91r,2l253,101r,3l256,107r5,5l269,112r5,-5l280,101r8,-9l298,85r13,-2l323,86r11,7l341,104r2,13l341,129r-7,11l309,165r-2,1l306,170r,6l307,180r2,3l315,188r8,l327,183r14,-15l352,161r12,-2l377,161r11,8l395,180r2,12l395,205r-7,10l375,228r,1l360,243r-5,6l355,257r5,4l365,266r8,l378,261r15,-14l403,240r12,-2l427,241r12,8l446,259r2,12l446,283r-7,11l338,396r18,18l456,312r13,-19l473,271e" fillcolor="#001f5f" stroked="f">
                  <v:path arrowok="t" o:connecttype="custom" o:connectlocs="18,872;16,907;71,853;36,855;71,853;468,515;456,495;438,483;419,478;421,446;411,425;396,409;377,400;369,384;361,354;351,341;325,325;311,323;295,314;287,293;279,284;238,266;198,284;53,466;226,294;251,295;269,313;269,338;256,355;253,359;253,370;261,378;274,373;288,358;311,349;334,359;343,383;334,406;307,432;306,442;309,449;323,454;341,434;364,425;388,435;397,458;388,481;375,495;355,515;360,527;373,532;393,513;415,504;439,515;448,537;439,560;356,680;469,559" o:connectangles="0,0,0,0,0,0,0,0,0,0,0,0,0,0,0,0,0,0,0,0,0,0,0,0,0,0,0,0,0,0,0,0,0,0,0,0,0,0,0,0,0,0,0,0,0,0,0,0,0,0,0,0,0,0,0,0,0,0"/>
                </v:shape>
                <v:shape id="Picture 186" o:spid="_x0000_s1029" type="#_x0000_t75" style="position:absolute;left:5367;top:596;width:23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">
                  <v:imagedata r:id="rId210" o:title=""/>
                </v:shape>
                <v:shape id="AutoShape 185" o:spid="_x0000_s1030" style="position:absolute;left:4768;top:-4;width:767;height:768;visibility:visible;mso-wrap-style:square;v-text-anchor:top" coordsize="767,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" path="m407,388l307,289r-19,19l387,408r20,-20m443,336l370,263r-9,-8l360,242r5,-11l376,197r,-35l366,128,345,99,279,33,267,25,242,9,200,,158,7,120,30r-10,9l219,148r4,4l225,156r,10l223,172r-51,51l164,231r-13,l72,152,34,114r-8,11l6,163,,203r9,40l33,278r66,66l128,365r33,11l196,376r34,-11l241,360r13,2l336,444r17,-18l287,360r-7,-7l278,351r-11,-8l252,338r-17,l219,343r-27,8l165,351r-26,-8l116,326,51,261,34,237,26,209r1,-29l37,152r89,90l141,251r17,3l174,251r15,-9l200,231r37,-38l246,185r4,-11l250,150r-4,-11l148,40,176,28r30,-3l235,33r26,18l326,117r17,22l351,165r,28l343,219r-5,17l338,252r5,15l352,281r73,74l443,336m730,701l655,636r-20,18l710,719r20,-18m766,752l747,732r-16,16l750,768r16,-16e" fillcolor="#001f5f" stroked="f">
                  <v:path arrowok="t" o:connecttype="custom" o:connectlocs="307,285;387,404;443,332;361,251;365,227;376,158;345,95;267,21;200,-4;120,26;219,144;225,152;223,168;164,227;72,148;26,121;0,199;33,274;128,361;196,372;241,356;336,440;287,356;278,347;252,334;219,339;165,347;116,322;34,233;27,176;126,238;158,250;189,238;237,189;250,170;246,135;176,24;235,29;326,113;351,161;343,215;338,248;352,277;443,332;655,632;710,715;766,748;731,744;766,748" o:connectangles="0,0,0,0,0,0,0,0,0,0,0,0,0,0,0,0,0,0,0,0,0,0,0,0,0,0,0,0,0,0,0,0,0,0,0,0,0,0,0,0,0,0,0,0,0,0,0,0,0"/>
                </v:shape>
                <w10:wrap anchorx="page"/>
              </v:group>
            </w:pict>
          </mc:Fallback>
        </mc:AlternateContent>
      </w:r>
      <w:r>
        <w:rPr>
          <w:color w:val="001F5F"/>
          <w:w w:val="105"/>
        </w:rPr>
        <w:t xml:space="preserve">Modify </w:t>
      </w:r>
      <w:r>
        <w:rPr>
          <w:color w:val="001F5F"/>
          <w:spacing w:val="-3"/>
          <w:w w:val="105"/>
        </w:rPr>
        <w:t xml:space="preserve">to </w:t>
      </w:r>
      <w:r>
        <w:rPr>
          <w:color w:val="001F5F"/>
          <w:w w:val="105"/>
        </w:rPr>
        <w:t xml:space="preserve">avoid being regulated </w:t>
      </w:r>
      <w:r>
        <w:rPr>
          <w:color w:val="001F5F"/>
          <w:spacing w:val="2"/>
          <w:w w:val="105"/>
        </w:rPr>
        <w:t xml:space="preserve">as </w:t>
      </w:r>
      <w:r>
        <w:rPr>
          <w:color w:val="001F5F"/>
          <w:w w:val="105"/>
        </w:rPr>
        <w:t>a t</w:t>
      </w:r>
      <w:r>
        <w:rPr>
          <w:color w:val="001F5F"/>
          <w:w w:val="105"/>
        </w:rPr>
        <w:lastRenderedPageBreak/>
        <w:t xml:space="preserve">herapeutic </w:t>
      </w:r>
      <w:r>
        <w:rPr>
          <w:color w:val="001F5F"/>
          <w:spacing w:val="-3"/>
          <w:w w:val="105"/>
        </w:rPr>
        <w:t>good</w:t>
      </w:r>
    </w:p>
    <w:p w:rsidR="007D76BB" w:rsidRDefault="00D70D28">
      <w:pPr>
        <w:pStyle w:val="BodyText"/>
        <w:spacing w:before="5"/>
        <w:rPr>
          <w:rFonts w:ascii="Arial"/>
          <w:sz w:val="26"/>
        </w:rPr>
      </w:pPr>
      <w:r>
        <w:rPr>
          <w:noProof/>
          <w:lang w:val="en-AU" w:eastAsia="en-AU"/>
        </w:rPr>
        <mc:AlternateContent>
          <mc:Choice Requires="wps">
            <w:drawing>
              <wp:anchor distT="0" distB="0" distL="0" distR="0" simplePos="0" relativeHeight="251715584" behindDoc="1" locked="0" layoutInCell="1" allowOverlap="1">
                <wp:simplePos x="0" y="0"/>
                <wp:positionH relativeFrom="page">
                  <wp:posOffset>2391410</wp:posOffset>
                </wp:positionH>
                <wp:positionV relativeFrom="paragraph">
                  <wp:posOffset>217805</wp:posOffset>
                </wp:positionV>
                <wp:extent cx="440690" cy="464185"/>
                <wp:effectExtent l="0" t="0" r="0" b="0"/>
                <wp:wrapTopAndBottom/>
                <wp:docPr id="327"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690" cy="464185"/>
                        </a:xfrm>
                        <a:custGeom>
                          <a:avLst/>
                          <a:gdLst>
                            <a:gd name="T0" fmla="+- 0 3780 3766"/>
                            <a:gd name="T1" fmla="*/ T0 w 694"/>
                            <a:gd name="T2" fmla="+- 0 1074 343"/>
                            <a:gd name="T3" fmla="*/ 1074 h 731"/>
                            <a:gd name="T4" fmla="+- 0 3799 3766"/>
                            <a:gd name="T5" fmla="*/ T4 w 694"/>
                            <a:gd name="T6" fmla="+- 0 1063 343"/>
                            <a:gd name="T7" fmla="*/ 1063 h 731"/>
                            <a:gd name="T8" fmla="+- 0 3799 3766"/>
                            <a:gd name="T9" fmla="*/ T8 w 694"/>
                            <a:gd name="T10" fmla="+- 0 1053 343"/>
                            <a:gd name="T11" fmla="*/ 1053 h 731"/>
                            <a:gd name="T12" fmla="+- 0 3770 3766"/>
                            <a:gd name="T13" fmla="*/ T12 w 694"/>
                            <a:gd name="T14" fmla="+- 0 801 343"/>
                            <a:gd name="T15" fmla="*/ 801 h 731"/>
                            <a:gd name="T16" fmla="+- 0 3791 3766"/>
                            <a:gd name="T17" fmla="*/ T16 w 694"/>
                            <a:gd name="T18" fmla="+- 0 793 343"/>
                            <a:gd name="T19" fmla="*/ 793 h 731"/>
                            <a:gd name="T20" fmla="+- 0 3799 3766"/>
                            <a:gd name="T21" fmla="*/ T20 w 694"/>
                            <a:gd name="T22" fmla="+- 0 1053 343"/>
                            <a:gd name="T23" fmla="*/ 1053 h 731"/>
                            <a:gd name="T24" fmla="+- 0 3799 3766"/>
                            <a:gd name="T25" fmla="*/ T24 w 694"/>
                            <a:gd name="T26" fmla="+- 0 1063 343"/>
                            <a:gd name="T27" fmla="*/ 1063 h 731"/>
                            <a:gd name="T28" fmla="+- 0 4035 3766"/>
                            <a:gd name="T29" fmla="*/ T28 w 694"/>
                            <a:gd name="T30" fmla="+- 0 1043 343"/>
                            <a:gd name="T31" fmla="*/ 1043 h 731"/>
                            <a:gd name="T32" fmla="+- 0 3799 3766"/>
                            <a:gd name="T33" fmla="*/ T32 w 694"/>
                            <a:gd name="T34" fmla="+- 0 1063 343"/>
                            <a:gd name="T35" fmla="*/ 1063 h 731"/>
                            <a:gd name="T36" fmla="+- 0 4084 3766"/>
                            <a:gd name="T37" fmla="*/ T36 w 694"/>
                            <a:gd name="T38" fmla="+- 0 1060 343"/>
                            <a:gd name="T39" fmla="*/ 1060 h 731"/>
                            <a:gd name="T40" fmla="+- 0 4053 3766"/>
                            <a:gd name="T41" fmla="*/ T40 w 694"/>
                            <a:gd name="T42" fmla="+- 0 1059 343"/>
                            <a:gd name="T43" fmla="*/ 1059 h 731"/>
                            <a:gd name="T44" fmla="+- 0 4059 3766"/>
                            <a:gd name="T45" fmla="*/ T44 w 694"/>
                            <a:gd name="T46" fmla="+- 0 1041 343"/>
                            <a:gd name="T47" fmla="*/ 1041 h 731"/>
                            <a:gd name="T48" fmla="+- 0 4053 3766"/>
                            <a:gd name="T49" fmla="*/ T48 w 694"/>
                            <a:gd name="T50" fmla="+- 0 1059 343"/>
                            <a:gd name="T51" fmla="*/ 1059 h 731"/>
                            <a:gd name="T52" fmla="+- 0 4063 3766"/>
                            <a:gd name="T53" fmla="*/ T52 w 694"/>
                            <a:gd name="T54" fmla="+- 0 1041 343"/>
                            <a:gd name="T55" fmla="*/ 1041 h 731"/>
                            <a:gd name="T56" fmla="+- 0 4053 3766"/>
                            <a:gd name="T57" fmla="*/ T56 w 694"/>
                            <a:gd name="T58" fmla="+- 0 1059 343"/>
                            <a:gd name="T59" fmla="*/ 1059 h 731"/>
                            <a:gd name="T60" fmla="+- 0 4063 3766"/>
                            <a:gd name="T61" fmla="*/ T60 w 694"/>
                            <a:gd name="T62" fmla="+- 0 1041 343"/>
                            <a:gd name="T63" fmla="*/ 1041 h 731"/>
                            <a:gd name="T64" fmla="+- 0 3975 3766"/>
                            <a:gd name="T65" fmla="*/ T64 w 694"/>
                            <a:gd name="T66" fmla="+- 0 988 343"/>
                            <a:gd name="T67" fmla="*/ 988 h 731"/>
                            <a:gd name="T68" fmla="+- 0 4059 3766"/>
                            <a:gd name="T69" fmla="*/ T68 w 694"/>
                            <a:gd name="T70" fmla="+- 0 1041 343"/>
                            <a:gd name="T71" fmla="*/ 1041 h 731"/>
                            <a:gd name="T72" fmla="+- 0 4011 3766"/>
                            <a:gd name="T73" fmla="*/ T72 w 694"/>
                            <a:gd name="T74" fmla="+- 0 994 343"/>
                            <a:gd name="T75" fmla="*/ 994 h 731"/>
                            <a:gd name="T76" fmla="+- 0 3996 3766"/>
                            <a:gd name="T77" fmla="*/ T76 w 694"/>
                            <a:gd name="T78" fmla="+- 0 980 343"/>
                            <a:gd name="T79" fmla="*/ 980 h 731"/>
                            <a:gd name="T80" fmla="+- 0 4452 3766"/>
                            <a:gd name="T81" fmla="*/ T80 w 694"/>
                            <a:gd name="T82" fmla="+- 0 494 343"/>
                            <a:gd name="T83" fmla="*/ 494 h 731"/>
                            <a:gd name="T84" fmla="+- 0 4432 3766"/>
                            <a:gd name="T85" fmla="*/ T84 w 694"/>
                            <a:gd name="T86" fmla="+- 0 487 343"/>
                            <a:gd name="T87" fmla="*/ 487 h 731"/>
                            <a:gd name="T88" fmla="+- 0 3996 3766"/>
                            <a:gd name="T89" fmla="*/ T88 w 694"/>
                            <a:gd name="T90" fmla="+- 0 994 343"/>
                            <a:gd name="T91" fmla="*/ 994 h 731"/>
                            <a:gd name="T92" fmla="+- 0 3996 3766"/>
                            <a:gd name="T93" fmla="*/ T92 w 694"/>
                            <a:gd name="T94" fmla="+- 0 980 343"/>
                            <a:gd name="T95" fmla="*/ 980 h 731"/>
                            <a:gd name="T96" fmla="+- 0 3996 3766"/>
                            <a:gd name="T97" fmla="*/ T96 w 694"/>
                            <a:gd name="T98" fmla="+- 0 994 343"/>
                            <a:gd name="T99" fmla="*/ 994 h 731"/>
                            <a:gd name="T100" fmla="+- 0 4003 3766"/>
                            <a:gd name="T101" fmla="*/ T100 w 694"/>
                            <a:gd name="T102" fmla="+- 0 986 343"/>
                            <a:gd name="T103" fmla="*/ 986 h 731"/>
                            <a:gd name="T104" fmla="+- 0 3996 3766"/>
                            <a:gd name="T105" fmla="*/ T104 w 694"/>
                            <a:gd name="T106" fmla="+- 0 980 343"/>
                            <a:gd name="T107" fmla="*/ 980 h 731"/>
                            <a:gd name="T108" fmla="+- 0 4009 3766"/>
                            <a:gd name="T109" fmla="*/ T108 w 694"/>
                            <a:gd name="T110" fmla="+- 0 980 343"/>
                            <a:gd name="T111" fmla="*/ 980 h 731"/>
                            <a:gd name="T112" fmla="+- 0 3787 3766"/>
                            <a:gd name="T113" fmla="*/ T112 w 694"/>
                            <a:gd name="T114" fmla="+- 0 793 343"/>
                            <a:gd name="T115" fmla="*/ 793 h 731"/>
                            <a:gd name="T116" fmla="+- 0 3848 3766"/>
                            <a:gd name="T117" fmla="*/ T116 w 694"/>
                            <a:gd name="T118" fmla="+- 0 872 343"/>
                            <a:gd name="T119" fmla="*/ 872 h 731"/>
                            <a:gd name="T120" fmla="+- 0 3840 3766"/>
                            <a:gd name="T121" fmla="*/ T120 w 694"/>
                            <a:gd name="T122" fmla="+- 0 851 343"/>
                            <a:gd name="T123" fmla="*/ 851 h 731"/>
                            <a:gd name="T124" fmla="+- 0 3791 3766"/>
                            <a:gd name="T125" fmla="*/ T124 w 694"/>
                            <a:gd name="T126" fmla="+- 0 793 343"/>
                            <a:gd name="T127" fmla="*/ 793 h 731"/>
                            <a:gd name="T128" fmla="+- 0 3840 3766"/>
                            <a:gd name="T129" fmla="*/ T128 w 694"/>
                            <a:gd name="T130" fmla="+- 0 851 343"/>
                            <a:gd name="T131" fmla="*/ 851 h 731"/>
                            <a:gd name="T132" fmla="+- 0 3847 3766"/>
                            <a:gd name="T133" fmla="*/ T132 w 694"/>
                            <a:gd name="T134" fmla="+- 0 844 343"/>
                            <a:gd name="T135" fmla="*/ 844 h 731"/>
                            <a:gd name="T136" fmla="+- 0 3847 3766"/>
                            <a:gd name="T137" fmla="*/ T136 w 694"/>
                            <a:gd name="T138" fmla="+- 0 844 343"/>
                            <a:gd name="T139" fmla="*/ 844 h 731"/>
                            <a:gd name="T140" fmla="+- 0 3840 3766"/>
                            <a:gd name="T141" fmla="*/ T140 w 694"/>
                            <a:gd name="T142" fmla="+- 0 851 343"/>
                            <a:gd name="T143" fmla="*/ 851 h 731"/>
                            <a:gd name="T144" fmla="+- 0 4305 3766"/>
                            <a:gd name="T145" fmla="*/ T144 w 694"/>
                            <a:gd name="T146" fmla="+- 0 371 343"/>
                            <a:gd name="T147" fmla="*/ 371 h 731"/>
                            <a:gd name="T148" fmla="+- 0 4312 3766"/>
                            <a:gd name="T149" fmla="*/ T148 w 694"/>
                            <a:gd name="T150" fmla="+- 0 364 343"/>
                            <a:gd name="T151" fmla="*/ 364 h 731"/>
                            <a:gd name="T152" fmla="+- 0 4304 3766"/>
                            <a:gd name="T153" fmla="*/ T152 w 694"/>
                            <a:gd name="T154" fmla="+- 0 343 343"/>
                            <a:gd name="T155" fmla="*/ 343 h 731"/>
                            <a:gd name="T156" fmla="+- 0 3770 3766"/>
                            <a:gd name="T157" fmla="*/ T156 w 694"/>
                            <a:gd name="T158" fmla="+- 0 801 343"/>
                            <a:gd name="T159" fmla="*/ 801 h 731"/>
                            <a:gd name="T160" fmla="+- 0 3787 3766"/>
                            <a:gd name="T161" fmla="*/ T160 w 694"/>
                            <a:gd name="T162" fmla="+- 0 793 343"/>
                            <a:gd name="T163" fmla="*/ 793 h 731"/>
                            <a:gd name="T164" fmla="+- 0 4432 3766"/>
                            <a:gd name="T165" fmla="*/ T164 w 694"/>
                            <a:gd name="T166" fmla="+- 0 487 343"/>
                            <a:gd name="T167" fmla="*/ 487 h 731"/>
                            <a:gd name="T168" fmla="+- 0 4438 3766"/>
                            <a:gd name="T169" fmla="*/ T168 w 694"/>
                            <a:gd name="T170" fmla="+- 0 480 343"/>
                            <a:gd name="T171" fmla="*/ 480 h 731"/>
                            <a:gd name="T172" fmla="+- 0 4438 3766"/>
                            <a:gd name="T173" fmla="*/ T172 w 694"/>
                            <a:gd name="T174" fmla="+- 0 480 343"/>
                            <a:gd name="T175" fmla="*/ 480 h 731"/>
                            <a:gd name="T176" fmla="+- 0 4452 3766"/>
                            <a:gd name="T177" fmla="*/ T176 w 694"/>
                            <a:gd name="T178" fmla="+- 0 494 343"/>
                            <a:gd name="T179" fmla="*/ 494 h 731"/>
                            <a:gd name="T180" fmla="+- 0 4453 3766"/>
                            <a:gd name="T181" fmla="*/ T180 w 694"/>
                            <a:gd name="T182" fmla="+- 0 480 343"/>
                            <a:gd name="T183" fmla="*/ 480 h 731"/>
                            <a:gd name="T184" fmla="+- 0 4312 3766"/>
                            <a:gd name="T185" fmla="*/ T184 w 694"/>
                            <a:gd name="T186" fmla="+- 0 364 343"/>
                            <a:gd name="T187" fmla="*/ 364 h 731"/>
                            <a:gd name="T188" fmla="+- 0 4432 3766"/>
                            <a:gd name="T189" fmla="*/ T188 w 694"/>
                            <a:gd name="T190" fmla="+- 0 487 343"/>
                            <a:gd name="T191" fmla="*/ 487 h 731"/>
                            <a:gd name="T192" fmla="+- 0 4453 3766"/>
                            <a:gd name="T193" fmla="*/ T192 w 694"/>
                            <a:gd name="T194" fmla="+- 0 480 343"/>
                            <a:gd name="T195" fmla="*/ 480 h 731"/>
                            <a:gd name="T196" fmla="+- 0 4312 3766"/>
                            <a:gd name="T197" fmla="*/ T196 w 694"/>
                            <a:gd name="T198" fmla="+- 0 364 343"/>
                            <a:gd name="T199" fmla="*/ 364 h 731"/>
                            <a:gd name="T200" fmla="+- 0 4305 3766"/>
                            <a:gd name="T201" fmla="*/ T200 w 694"/>
                            <a:gd name="T202" fmla="+- 0 371 343"/>
                            <a:gd name="T203" fmla="*/ 371 h 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94" h="731">
                              <a:moveTo>
                                <a:pt x="0" y="427"/>
                              </a:moveTo>
                              <a:lnTo>
                                <a:pt x="14" y="731"/>
                              </a:lnTo>
                              <a:lnTo>
                                <a:pt x="256" y="720"/>
                              </a:lnTo>
                              <a:lnTo>
                                <a:pt x="33" y="720"/>
                              </a:lnTo>
                              <a:lnTo>
                                <a:pt x="23" y="711"/>
                              </a:lnTo>
                              <a:lnTo>
                                <a:pt x="33" y="710"/>
                              </a:lnTo>
                              <a:lnTo>
                                <a:pt x="22" y="474"/>
                              </a:lnTo>
                              <a:lnTo>
                                <a:pt x="4" y="458"/>
                              </a:lnTo>
                              <a:lnTo>
                                <a:pt x="21" y="450"/>
                              </a:lnTo>
                              <a:lnTo>
                                <a:pt x="25" y="450"/>
                              </a:lnTo>
                              <a:lnTo>
                                <a:pt x="0" y="427"/>
                              </a:lnTo>
                              <a:close/>
                              <a:moveTo>
                                <a:pt x="33" y="710"/>
                              </a:moveTo>
                              <a:lnTo>
                                <a:pt x="23" y="711"/>
                              </a:lnTo>
                              <a:lnTo>
                                <a:pt x="33" y="720"/>
                              </a:lnTo>
                              <a:lnTo>
                                <a:pt x="33" y="710"/>
                              </a:lnTo>
                              <a:close/>
                              <a:moveTo>
                                <a:pt x="269" y="700"/>
                              </a:moveTo>
                              <a:lnTo>
                                <a:pt x="33" y="710"/>
                              </a:lnTo>
                              <a:lnTo>
                                <a:pt x="33" y="720"/>
                              </a:lnTo>
                              <a:lnTo>
                                <a:pt x="256" y="720"/>
                              </a:lnTo>
                              <a:lnTo>
                                <a:pt x="318" y="717"/>
                              </a:lnTo>
                              <a:lnTo>
                                <a:pt x="316" y="716"/>
                              </a:lnTo>
                              <a:lnTo>
                                <a:pt x="287" y="716"/>
                              </a:lnTo>
                              <a:lnTo>
                                <a:pt x="269" y="700"/>
                              </a:lnTo>
                              <a:close/>
                              <a:moveTo>
                                <a:pt x="293" y="698"/>
                              </a:moveTo>
                              <a:lnTo>
                                <a:pt x="269" y="700"/>
                              </a:lnTo>
                              <a:lnTo>
                                <a:pt x="287" y="716"/>
                              </a:lnTo>
                              <a:lnTo>
                                <a:pt x="293" y="698"/>
                              </a:lnTo>
                              <a:close/>
                              <a:moveTo>
                                <a:pt x="297" y="698"/>
                              </a:moveTo>
                              <a:lnTo>
                                <a:pt x="293" y="698"/>
                              </a:lnTo>
                              <a:lnTo>
                                <a:pt x="287" y="716"/>
                              </a:lnTo>
                              <a:lnTo>
                                <a:pt x="316" y="716"/>
                              </a:lnTo>
                              <a:lnTo>
                                <a:pt x="297" y="698"/>
                              </a:lnTo>
                              <a:close/>
                              <a:moveTo>
                                <a:pt x="666" y="144"/>
                              </a:moveTo>
                              <a:lnTo>
                                <a:pt x="209" y="645"/>
                              </a:lnTo>
                              <a:lnTo>
                                <a:pt x="269" y="700"/>
                              </a:lnTo>
                              <a:lnTo>
                                <a:pt x="293" y="698"/>
                              </a:lnTo>
                              <a:lnTo>
                                <a:pt x="297" y="698"/>
                              </a:lnTo>
                              <a:lnTo>
                                <a:pt x="245" y="651"/>
                              </a:lnTo>
                              <a:lnTo>
                                <a:pt x="230" y="651"/>
                              </a:lnTo>
                              <a:lnTo>
                                <a:pt x="230" y="637"/>
                              </a:lnTo>
                              <a:lnTo>
                                <a:pt x="243" y="637"/>
                              </a:lnTo>
                              <a:lnTo>
                                <a:pt x="686" y="151"/>
                              </a:lnTo>
                              <a:lnTo>
                                <a:pt x="673" y="151"/>
                              </a:lnTo>
                              <a:lnTo>
                                <a:pt x="666" y="144"/>
                              </a:lnTo>
                              <a:close/>
                              <a:moveTo>
                                <a:pt x="230" y="637"/>
                              </a:moveTo>
                              <a:lnTo>
                                <a:pt x="230" y="651"/>
                              </a:lnTo>
                              <a:lnTo>
                                <a:pt x="237" y="643"/>
                              </a:lnTo>
                              <a:lnTo>
                                <a:pt x="230" y="637"/>
                              </a:lnTo>
                              <a:close/>
                              <a:moveTo>
                                <a:pt x="237" y="643"/>
                              </a:moveTo>
                              <a:lnTo>
                                <a:pt x="230" y="651"/>
                              </a:lnTo>
                              <a:lnTo>
                                <a:pt x="245" y="651"/>
                              </a:lnTo>
                              <a:lnTo>
                                <a:pt x="237" y="643"/>
                              </a:lnTo>
                              <a:close/>
                              <a:moveTo>
                                <a:pt x="243" y="637"/>
                              </a:moveTo>
                              <a:lnTo>
                                <a:pt x="230" y="637"/>
                              </a:lnTo>
                              <a:lnTo>
                                <a:pt x="237" y="643"/>
                              </a:lnTo>
                              <a:lnTo>
                                <a:pt x="243" y="637"/>
                              </a:lnTo>
                              <a:close/>
                              <a:moveTo>
                                <a:pt x="25" y="450"/>
                              </a:moveTo>
                              <a:lnTo>
                                <a:pt x="21" y="450"/>
                              </a:lnTo>
                              <a:lnTo>
                                <a:pt x="22" y="474"/>
                              </a:lnTo>
                              <a:lnTo>
                                <a:pt x="82" y="529"/>
                              </a:lnTo>
                              <a:lnTo>
                                <a:pt x="101" y="508"/>
                              </a:lnTo>
                              <a:lnTo>
                                <a:pt x="74" y="508"/>
                              </a:lnTo>
                              <a:lnTo>
                                <a:pt x="81" y="501"/>
                              </a:lnTo>
                              <a:lnTo>
                                <a:pt x="25" y="450"/>
                              </a:lnTo>
                              <a:close/>
                              <a:moveTo>
                                <a:pt x="81" y="501"/>
                              </a:moveTo>
                              <a:lnTo>
                                <a:pt x="74" y="508"/>
                              </a:lnTo>
                              <a:lnTo>
                                <a:pt x="88" y="508"/>
                              </a:lnTo>
                              <a:lnTo>
                                <a:pt x="81" y="501"/>
                              </a:lnTo>
                              <a:close/>
                              <a:moveTo>
                                <a:pt x="538" y="0"/>
                              </a:moveTo>
                              <a:lnTo>
                                <a:pt x="81" y="501"/>
                              </a:lnTo>
                              <a:lnTo>
                                <a:pt x="88" y="508"/>
                              </a:lnTo>
                              <a:lnTo>
                                <a:pt x="74" y="508"/>
                              </a:lnTo>
                              <a:lnTo>
                                <a:pt x="101" y="508"/>
                              </a:lnTo>
                              <a:lnTo>
                                <a:pt x="539" y="28"/>
                              </a:lnTo>
                              <a:lnTo>
                                <a:pt x="532" y="22"/>
                              </a:lnTo>
                              <a:lnTo>
                                <a:pt x="546" y="21"/>
                              </a:lnTo>
                              <a:lnTo>
                                <a:pt x="561" y="21"/>
                              </a:lnTo>
                              <a:lnTo>
                                <a:pt x="538" y="0"/>
                              </a:lnTo>
                              <a:close/>
                              <a:moveTo>
                                <a:pt x="21" y="450"/>
                              </a:moveTo>
                              <a:lnTo>
                                <a:pt x="4" y="458"/>
                              </a:lnTo>
                              <a:lnTo>
                                <a:pt x="22" y="474"/>
                              </a:lnTo>
                              <a:lnTo>
                                <a:pt x="21" y="450"/>
                              </a:lnTo>
                              <a:close/>
                              <a:moveTo>
                                <a:pt x="672" y="137"/>
                              </a:moveTo>
                              <a:lnTo>
                                <a:pt x="666" y="144"/>
                              </a:lnTo>
                              <a:lnTo>
                                <a:pt x="673" y="151"/>
                              </a:lnTo>
                              <a:lnTo>
                                <a:pt x="672" y="137"/>
                              </a:lnTo>
                              <a:close/>
                              <a:moveTo>
                                <a:pt x="687" y="137"/>
                              </a:moveTo>
                              <a:lnTo>
                                <a:pt x="672" y="137"/>
                              </a:lnTo>
                              <a:lnTo>
                                <a:pt x="673" y="151"/>
                              </a:lnTo>
                              <a:lnTo>
                                <a:pt x="686" y="151"/>
                              </a:lnTo>
                              <a:lnTo>
                                <a:pt x="694" y="143"/>
                              </a:lnTo>
                              <a:lnTo>
                                <a:pt x="687" y="137"/>
                              </a:lnTo>
                              <a:close/>
                              <a:moveTo>
                                <a:pt x="561" y="21"/>
                              </a:moveTo>
                              <a:lnTo>
                                <a:pt x="546" y="21"/>
                              </a:lnTo>
                              <a:lnTo>
                                <a:pt x="539" y="28"/>
                              </a:lnTo>
                              <a:lnTo>
                                <a:pt x="666" y="144"/>
                              </a:lnTo>
                              <a:lnTo>
                                <a:pt x="672" y="137"/>
                              </a:lnTo>
                              <a:lnTo>
                                <a:pt x="687" y="137"/>
                              </a:lnTo>
                              <a:lnTo>
                                <a:pt x="561" y="21"/>
                              </a:lnTo>
                              <a:close/>
                              <a:moveTo>
                                <a:pt x="546" y="21"/>
                              </a:moveTo>
                              <a:lnTo>
                                <a:pt x="532" y="22"/>
                              </a:lnTo>
                              <a:lnTo>
                                <a:pt x="539" y="28"/>
                              </a:lnTo>
                              <a:lnTo>
                                <a:pt x="546" y="21"/>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9B53E" id="AutoShape 183" o:spid="_x0000_s1026" style="position:absolute;margin-left:188.3pt;margin-top:17.15pt;width:34.7pt;height:36.5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" path="m,427l14,731,256,720r-223,l23,711r10,-1l22,474,4,458r17,-8l25,450,,427xm33,710r-10,1l33,720r,-10xm269,700l33,710r,10l256,720r62,-3l316,716r-29,l269,700xm293,698r-24,2l287,716r6,-18xm297,698r-4,l287,716r29,l297,698xm666,144l209,645r60,55l293,698r4,l245,651r-15,l230,637r13,l686,151r-13,l666,144xm230,637r,14l237,643r-7,-6xm237,643r-7,8l245,651r-8,-8xm243,637r-13,l237,643r6,-6xm25,450r-4,l22,474r60,55l101,508r-27,l81,501,25,450xm81,501r-7,7l88,508r-7,-7xm538,l81,501r7,7l74,508r27,l539,28r-7,-6l546,21r15,l538,xm21,450l4,458r18,16l21,450xm672,137r-6,7l673,151r-1,-14xm687,137r-15,l673,151r13,l694,143r-7,-6xm561,21r-15,l539,28,666,144r6,-7l687,137,561,21xm546,21r-14,1l539,28r7,-7xe" fillcolor="#001f5f" stroked="f">
                <v:path arrowok="t" o:connecttype="custom" o:connectlocs="8890,681990;20955,675005;20955,668655;2540,508635;15875,503555;20955,668655;20955,675005;170815,662305;20955,675005;201930,673100;182245,672465;186055,661035;182245,672465;188595,661035;182245,672465;188595,661035;132715,627380;186055,661035;155575,631190;146050,622300;435610,313690;422910,309245;146050,631190;146050,622300;146050,631190;150495,626110;146050,622300;154305,622300;13335,503555;52070,553720;46990,540385;15875,503555;46990,540385;51435,535940;51435,535940;46990,540385;342265,235585;346710,231140;341630,217805;2540,508635;13335,503555;422910,309245;426720,304800;426720,304800;435610,313690;436245,304800;346710,231140;422910,309245;436245,304800;346710,231140;342265,235585" o:connectangles="0,0,0,0,0,0,0,0,0,0,0,0,0,0,0,0,0,0,0,0,0,0,0,0,0,0,0,0,0,0,0,0,0,0,0,0,0,0,0,0,0,0,0,0,0,0,0,0,0,0,0"/>
                <w10:wrap type="topAndBottom" anchorx="page"/>
              </v:shape>
            </w:pict>
          </mc:Fallback>
        </mc:AlternateContent>
      </w:r>
      <w:r>
        <w:rPr>
          <w:noProof/>
          <w:lang w:val="en-AU" w:eastAsia="en-AU"/>
        </w:rPr>
        <mc:AlternateContent>
          <mc:Choice Requires="wps">
            <w:drawing>
              <wp:anchor distT="0" distB="0" distL="0" distR="0" simplePos="0" relativeHeight="251716608" behindDoc="1" locked="0" layoutInCell="1" allowOverlap="1">
                <wp:simplePos x="0" y="0"/>
                <wp:positionH relativeFrom="page">
                  <wp:posOffset>3362325</wp:posOffset>
                </wp:positionH>
                <wp:positionV relativeFrom="paragraph">
                  <wp:posOffset>385445</wp:posOffset>
                </wp:positionV>
                <wp:extent cx="243840" cy="548005"/>
                <wp:effectExtent l="0" t="0" r="0" b="0"/>
                <wp:wrapTopAndBottom/>
                <wp:docPr id="326"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840" cy="548005"/>
                        </a:xfrm>
                        <a:custGeom>
                          <a:avLst/>
                          <a:gdLst>
                            <a:gd name="T0" fmla="+- 0 5295 5295"/>
                            <a:gd name="T1" fmla="*/ T0 w 384"/>
                            <a:gd name="T2" fmla="+- 0 1278 607"/>
                            <a:gd name="T3" fmla="*/ 1278 h 863"/>
                            <a:gd name="T4" fmla="+- 0 5391 5295"/>
                            <a:gd name="T5" fmla="*/ T4 w 384"/>
                            <a:gd name="T6" fmla="+- 0 1278 607"/>
                            <a:gd name="T7" fmla="*/ 1278 h 863"/>
                            <a:gd name="T8" fmla="+- 0 5391 5295"/>
                            <a:gd name="T9" fmla="*/ T8 w 384"/>
                            <a:gd name="T10" fmla="+- 0 607 607"/>
                            <a:gd name="T11" fmla="*/ 607 h 863"/>
                            <a:gd name="T12" fmla="+- 0 5583 5295"/>
                            <a:gd name="T13" fmla="*/ T12 w 384"/>
                            <a:gd name="T14" fmla="+- 0 607 607"/>
                            <a:gd name="T15" fmla="*/ 607 h 863"/>
                            <a:gd name="T16" fmla="+- 0 5583 5295"/>
                            <a:gd name="T17" fmla="*/ T16 w 384"/>
                            <a:gd name="T18" fmla="+- 0 1278 607"/>
                            <a:gd name="T19" fmla="*/ 1278 h 863"/>
                            <a:gd name="T20" fmla="+- 0 5679 5295"/>
                            <a:gd name="T21" fmla="*/ T20 w 384"/>
                            <a:gd name="T22" fmla="+- 0 1278 607"/>
                            <a:gd name="T23" fmla="*/ 1278 h 863"/>
                            <a:gd name="T24" fmla="+- 0 5487 5295"/>
                            <a:gd name="T25" fmla="*/ T24 w 384"/>
                            <a:gd name="T26" fmla="+- 0 1470 607"/>
                            <a:gd name="T27" fmla="*/ 1470 h 863"/>
                            <a:gd name="T28" fmla="+- 0 5295 5295"/>
                            <a:gd name="T29" fmla="*/ T28 w 384"/>
                            <a:gd name="T30" fmla="+- 0 1278 607"/>
                            <a:gd name="T31" fmla="*/ 1278 h 8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863">
                              <a:moveTo>
                                <a:pt x="0" y="671"/>
                              </a:moveTo>
                              <a:lnTo>
                                <a:pt x="96" y="671"/>
                              </a:lnTo>
                              <a:lnTo>
                                <a:pt x="96" y="0"/>
                              </a:lnTo>
                              <a:lnTo>
                                <a:pt x="288" y="0"/>
                              </a:lnTo>
                              <a:lnTo>
                                <a:pt x="288" y="671"/>
                              </a:lnTo>
                              <a:lnTo>
                                <a:pt x="384" y="671"/>
                              </a:lnTo>
                              <a:lnTo>
                                <a:pt x="192" y="863"/>
                              </a:lnTo>
                              <a:lnTo>
                                <a:pt x="0" y="671"/>
                              </a:lnTo>
                              <a:close/>
                            </a:path>
                          </a:pathLst>
                        </a:custGeom>
                        <a:noFill/>
                        <a:ln w="12680">
                          <a:solidFill>
                            <a:srgbClr val="001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58E7C" id="Freeform 182" o:spid="_x0000_s1026" style="position:absolute;margin-left:264.75pt;margin-top:30.35pt;width:19.2pt;height:43.1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" path="m,671r96,l96,,288,r,671l384,671,192,863,,671xe" filled="f" strokecolor="#001f5f" strokeweight=".35222mm">
                <v:path arrowok="t" o:connecttype="custom" o:connectlocs="0,811530;60960,811530;60960,385445;182880,385445;182880,811530;243840,811530;121920,933450;0,811530" o:connectangles="0,0,0,0,0,0,0,0"/>
                <w10:wrap type="topAndBottom" anchorx="page"/>
              </v:shape>
            </w:pict>
          </mc:Fallback>
        </mc:AlternateContent>
      </w:r>
      <w:r>
        <w:rPr>
          <w:noProof/>
          <w:lang w:val="en-AU" w:eastAsia="en-AU"/>
        </w:rPr>
        <mc:AlternateContent>
          <mc:Choice Requires="wps">
            <w:drawing>
              <wp:anchor distT="0" distB="0" distL="0" distR="0" simplePos="0" relativeHeight="251717632" behindDoc="1" locked="0" layoutInCell="1" allowOverlap="1">
                <wp:simplePos x="0" y="0"/>
                <wp:positionH relativeFrom="page">
                  <wp:posOffset>4141470</wp:posOffset>
                </wp:positionH>
                <wp:positionV relativeFrom="paragraph">
                  <wp:posOffset>243205</wp:posOffset>
                </wp:positionV>
                <wp:extent cx="453390" cy="422275"/>
                <wp:effectExtent l="0" t="0" r="0" b="0"/>
                <wp:wrapTopAndBottom/>
                <wp:docPr id="325"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390" cy="422275"/>
                        </a:xfrm>
                        <a:custGeom>
                          <a:avLst/>
                          <a:gdLst>
                            <a:gd name="T0" fmla="+- 0 6965 6522"/>
                            <a:gd name="T1" fmla="*/ T0 w 714"/>
                            <a:gd name="T2" fmla="+- 0 1047 383"/>
                            <a:gd name="T3" fmla="*/ 1047 h 665"/>
                            <a:gd name="T4" fmla="+- 0 7028 6522"/>
                            <a:gd name="T5" fmla="*/ T4 w 714"/>
                            <a:gd name="T6" fmla="+- 0 976 383"/>
                            <a:gd name="T7" fmla="*/ 976 h 665"/>
                            <a:gd name="T8" fmla="+- 0 6522 6522"/>
                            <a:gd name="T9" fmla="*/ T8 w 714"/>
                            <a:gd name="T10" fmla="+- 0 526 383"/>
                            <a:gd name="T11" fmla="*/ 526 h 665"/>
                            <a:gd name="T12" fmla="+- 0 6649 6522"/>
                            <a:gd name="T13" fmla="*/ T12 w 714"/>
                            <a:gd name="T14" fmla="+- 0 383 383"/>
                            <a:gd name="T15" fmla="*/ 383 h 665"/>
                            <a:gd name="T16" fmla="+- 0 7155 6522"/>
                            <a:gd name="T17" fmla="*/ T16 w 714"/>
                            <a:gd name="T18" fmla="+- 0 833 383"/>
                            <a:gd name="T19" fmla="*/ 833 h 665"/>
                            <a:gd name="T20" fmla="+- 0 7219 6522"/>
                            <a:gd name="T21" fmla="*/ T20 w 714"/>
                            <a:gd name="T22" fmla="+- 0 761 383"/>
                            <a:gd name="T23" fmla="*/ 761 h 665"/>
                            <a:gd name="T24" fmla="+- 0 7235 6522"/>
                            <a:gd name="T25" fmla="*/ T24 w 714"/>
                            <a:gd name="T26" fmla="+- 0 1031 383"/>
                            <a:gd name="T27" fmla="*/ 1031 h 665"/>
                            <a:gd name="T28" fmla="+- 0 6965 6522"/>
                            <a:gd name="T29" fmla="*/ T28 w 714"/>
                            <a:gd name="T30" fmla="+- 0 1047 383"/>
                            <a:gd name="T31" fmla="*/ 1047 h 6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4" h="665">
                              <a:moveTo>
                                <a:pt x="443" y="664"/>
                              </a:moveTo>
                              <a:lnTo>
                                <a:pt x="506" y="593"/>
                              </a:lnTo>
                              <a:lnTo>
                                <a:pt x="0" y="143"/>
                              </a:lnTo>
                              <a:lnTo>
                                <a:pt x="127" y="0"/>
                              </a:lnTo>
                              <a:lnTo>
                                <a:pt x="633" y="450"/>
                              </a:lnTo>
                              <a:lnTo>
                                <a:pt x="697" y="378"/>
                              </a:lnTo>
                              <a:lnTo>
                                <a:pt x="713" y="648"/>
                              </a:lnTo>
                              <a:lnTo>
                                <a:pt x="443" y="664"/>
                              </a:lnTo>
                              <a:close/>
                            </a:path>
                          </a:pathLst>
                        </a:custGeom>
                        <a:noFill/>
                        <a:ln w="12682">
                          <a:solidFill>
                            <a:srgbClr val="001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8C0E3" id="Freeform 181" o:spid="_x0000_s1026" style="position:absolute;margin-left:326.1pt;margin-top:19.15pt;width:35.7pt;height:33.25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1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" path="m443,664r63,-71l,143,127,,633,450r64,-72l713,648,443,664xe" filled="f" strokecolor="#001f5f" strokeweight=".35228mm">
                <v:path arrowok="t" o:connecttype="custom" o:connectlocs="281305,664845;321310,619760;0,334010;80645,243205;401955,528955;442595,483235;452755,654685;281305,664845" o:connectangles="0,0,0,0,0,0,0,0"/>
                <w10:wrap type="topAndBottom" anchorx="page"/>
              </v:shape>
            </w:pict>
          </mc:Fallback>
        </mc:AlternateContent>
      </w:r>
      <w:r>
        <w:rPr>
          <w:noProof/>
          <w:lang w:val="en-AU" w:eastAsia="en-AU"/>
        </w:rPr>
        <mc:AlternateContent>
          <mc:Choice Requires="wpg">
            <w:drawing>
              <wp:anchor distT="0" distB="0" distL="0" distR="0" simplePos="0" relativeHeight="251718656" behindDoc="1" locked="0" layoutInCell="1" allowOverlap="1">
                <wp:simplePos x="0" y="0"/>
                <wp:positionH relativeFrom="page">
                  <wp:posOffset>1536700</wp:posOffset>
                </wp:positionH>
                <wp:positionV relativeFrom="paragraph">
                  <wp:posOffset>1123950</wp:posOffset>
                </wp:positionV>
                <wp:extent cx="615950" cy="723265"/>
                <wp:effectExtent l="0" t="0" r="0" b="0"/>
                <wp:wrapTopAndBottom/>
                <wp:docPr id="312"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723265"/>
                          <a:chOff x="2420" y="1770"/>
                          <a:chExt cx="970" cy="1139"/>
                        </a:xfrm>
                      </wpg:grpSpPr>
                      <wps:wsp>
                        <wps:cNvPr id="313" name="Line 180"/>
                        <wps:cNvCnPr>
                          <a:cxnSpLocks noChangeShapeType="1"/>
                        </wps:cNvCnPr>
                        <wps:spPr bwMode="auto">
                          <a:xfrm>
                            <a:off x="2433" y="2719"/>
                            <a:ext cx="0" cy="188"/>
                          </a:xfrm>
                          <a:prstGeom prst="line">
                            <a:avLst/>
                          </a:prstGeom>
                          <a:noFill/>
                          <a:ln w="16192">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314" name="Line 179"/>
                        <wps:cNvCnPr>
                          <a:cxnSpLocks noChangeShapeType="1"/>
                        </wps:cNvCnPr>
                        <wps:spPr bwMode="auto">
                          <a:xfrm>
                            <a:off x="2420" y="2706"/>
                            <a:ext cx="335" cy="0"/>
                          </a:xfrm>
                          <a:prstGeom prst="line">
                            <a:avLst/>
                          </a:prstGeom>
                          <a:noFill/>
                          <a:ln w="16513">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315" name="Line 178"/>
                        <wps:cNvCnPr>
                          <a:cxnSpLocks noChangeShapeType="1"/>
                        </wps:cNvCnPr>
                        <wps:spPr bwMode="auto">
                          <a:xfrm>
                            <a:off x="2742" y="2720"/>
                            <a:ext cx="0" cy="188"/>
                          </a:xfrm>
                          <a:prstGeom prst="line">
                            <a:avLst/>
                          </a:prstGeom>
                          <a:noFill/>
                          <a:ln w="16192">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316" name="Line 177"/>
                        <wps:cNvCnPr>
                          <a:cxnSpLocks noChangeShapeType="1"/>
                        </wps:cNvCnPr>
                        <wps:spPr bwMode="auto">
                          <a:xfrm>
                            <a:off x="2745" y="2635"/>
                            <a:ext cx="0" cy="272"/>
                          </a:xfrm>
                          <a:prstGeom prst="line">
                            <a:avLst/>
                          </a:prstGeom>
                          <a:noFill/>
                          <a:ln w="16826">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317" name="Line 176"/>
                        <wps:cNvCnPr>
                          <a:cxnSpLocks noChangeShapeType="1"/>
                        </wps:cNvCnPr>
                        <wps:spPr bwMode="auto">
                          <a:xfrm>
                            <a:off x="2731" y="2622"/>
                            <a:ext cx="347" cy="0"/>
                          </a:xfrm>
                          <a:prstGeom prst="line">
                            <a:avLst/>
                          </a:prstGeom>
                          <a:noFill/>
                          <a:ln w="16513">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318" name="Rectangle 175"/>
                        <wps:cNvSpPr>
                          <a:spLocks noChangeArrowheads="1"/>
                        </wps:cNvSpPr>
                        <wps:spPr bwMode="auto">
                          <a:xfrm>
                            <a:off x="3042" y="2777"/>
                            <a:ext cx="27" cy="119"/>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Line 174"/>
                        <wps:cNvCnPr>
                          <a:cxnSpLocks noChangeShapeType="1"/>
                        </wps:cNvCnPr>
                        <wps:spPr bwMode="auto">
                          <a:xfrm>
                            <a:off x="3043" y="2765"/>
                            <a:ext cx="347" cy="0"/>
                          </a:xfrm>
                          <a:prstGeom prst="line">
                            <a:avLst/>
                          </a:prstGeom>
                          <a:noFill/>
                          <a:ln w="15243">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320" name="Rectangle 173"/>
                        <wps:cNvSpPr>
                          <a:spLocks noChangeArrowheads="1"/>
                        </wps:cNvSpPr>
                        <wps:spPr bwMode="auto">
                          <a:xfrm>
                            <a:off x="3362" y="2776"/>
                            <a:ext cx="28" cy="119"/>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Line 172"/>
                        <wps:cNvCnPr>
                          <a:cxnSpLocks noChangeShapeType="1"/>
                        </wps:cNvCnPr>
                        <wps:spPr bwMode="auto">
                          <a:xfrm>
                            <a:off x="3065" y="2636"/>
                            <a:ext cx="0" cy="272"/>
                          </a:xfrm>
                          <a:prstGeom prst="line">
                            <a:avLst/>
                          </a:prstGeom>
                          <a:noFill/>
                          <a:ln w="16826">
                            <a:solidFill>
                              <a:srgbClr val="001F5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2" name="Picture 17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2815" y="1769"/>
                            <a:ext cx="19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AutoShape 170"/>
                        <wps:cNvSpPr>
                          <a:spLocks/>
                        </wps:cNvSpPr>
                        <wps:spPr bwMode="auto">
                          <a:xfrm>
                            <a:off x="2575" y="1891"/>
                            <a:ext cx="671" cy="741"/>
                          </a:xfrm>
                          <a:custGeom>
                            <a:avLst/>
                            <a:gdLst>
                              <a:gd name="T0" fmla="+- 0 2611 2576"/>
                              <a:gd name="T1" fmla="*/ T0 w 671"/>
                              <a:gd name="T2" fmla="+- 0 1893 1892"/>
                              <a:gd name="T3" fmla="*/ 1893 h 741"/>
                              <a:gd name="T4" fmla="+- 0 2589 2576"/>
                              <a:gd name="T5" fmla="*/ T4 w 671"/>
                              <a:gd name="T6" fmla="+- 0 1905 1892"/>
                              <a:gd name="T7" fmla="*/ 1905 h 741"/>
                              <a:gd name="T8" fmla="+- 0 2577 2576"/>
                              <a:gd name="T9" fmla="*/ T8 w 671"/>
                              <a:gd name="T10" fmla="+- 0 1926 1892"/>
                              <a:gd name="T11" fmla="*/ 1926 h 741"/>
                              <a:gd name="T12" fmla="+- 0 2577 2576"/>
                              <a:gd name="T13" fmla="*/ T12 w 671"/>
                              <a:gd name="T14" fmla="+- 0 1950 1892"/>
                              <a:gd name="T15" fmla="*/ 1950 h 741"/>
                              <a:gd name="T16" fmla="+- 0 2587 2576"/>
                              <a:gd name="T17" fmla="*/ T16 w 671"/>
                              <a:gd name="T18" fmla="+- 0 1970 1892"/>
                              <a:gd name="T19" fmla="*/ 1970 h 741"/>
                              <a:gd name="T20" fmla="+- 0 2806 2576"/>
                              <a:gd name="T21" fmla="*/ T20 w 671"/>
                              <a:gd name="T22" fmla="+- 0 2123 1892"/>
                              <a:gd name="T23" fmla="*/ 2123 h 741"/>
                              <a:gd name="T24" fmla="+- 0 2832 2576"/>
                              <a:gd name="T25" fmla="*/ T24 w 671"/>
                              <a:gd name="T26" fmla="+- 0 2632 1892"/>
                              <a:gd name="T27" fmla="*/ 2632 h 741"/>
                              <a:gd name="T28" fmla="+- 0 2611 2576"/>
                              <a:gd name="T29" fmla="*/ T28 w 671"/>
                              <a:gd name="T30" fmla="+- 0 1956 1892"/>
                              <a:gd name="T31" fmla="*/ 1956 h 741"/>
                              <a:gd name="T32" fmla="+- 0 2602 2576"/>
                              <a:gd name="T33" fmla="*/ T32 w 671"/>
                              <a:gd name="T34" fmla="+- 0 1946 1892"/>
                              <a:gd name="T35" fmla="*/ 1946 h 741"/>
                              <a:gd name="T36" fmla="+- 0 2606 2576"/>
                              <a:gd name="T37" fmla="*/ T36 w 671"/>
                              <a:gd name="T38" fmla="+- 0 1924 1892"/>
                              <a:gd name="T39" fmla="*/ 1924 h 741"/>
                              <a:gd name="T40" fmla="+- 0 2618 2576"/>
                              <a:gd name="T41" fmla="*/ T40 w 671"/>
                              <a:gd name="T42" fmla="+- 0 1917 1892"/>
                              <a:gd name="T43" fmla="*/ 1917 h 741"/>
                              <a:gd name="T44" fmla="+- 0 2646 2576"/>
                              <a:gd name="T45" fmla="*/ T44 w 671"/>
                              <a:gd name="T46" fmla="+- 0 1898 1892"/>
                              <a:gd name="T47" fmla="*/ 1898 h 741"/>
                              <a:gd name="T48" fmla="+- 0 2623 2576"/>
                              <a:gd name="T49" fmla="*/ T48 w 671"/>
                              <a:gd name="T50" fmla="+- 0 1892 1892"/>
                              <a:gd name="T51" fmla="*/ 1892 h 741"/>
                              <a:gd name="T52" fmla="+- 0 3203 2576"/>
                              <a:gd name="T53" fmla="*/ T52 w 671"/>
                              <a:gd name="T54" fmla="+- 0 1917 1892"/>
                              <a:gd name="T55" fmla="*/ 1917 h 741"/>
                              <a:gd name="T56" fmla="+- 0 3216 2576"/>
                              <a:gd name="T57" fmla="*/ T56 w 671"/>
                              <a:gd name="T58" fmla="+- 0 1924 1892"/>
                              <a:gd name="T59" fmla="*/ 1924 h 741"/>
                              <a:gd name="T60" fmla="+- 0 3219 2576"/>
                              <a:gd name="T61" fmla="*/ T60 w 671"/>
                              <a:gd name="T62" fmla="+- 0 1946 1892"/>
                              <a:gd name="T63" fmla="*/ 1946 h 741"/>
                              <a:gd name="T64" fmla="+- 0 2989 2576"/>
                              <a:gd name="T65" fmla="*/ T64 w 671"/>
                              <a:gd name="T66" fmla="+- 0 2109 1892"/>
                              <a:gd name="T67" fmla="*/ 2109 h 741"/>
                              <a:gd name="T68" fmla="+- 0 3015 2576"/>
                              <a:gd name="T69" fmla="*/ T68 w 671"/>
                              <a:gd name="T70" fmla="+- 0 2632 1892"/>
                              <a:gd name="T71" fmla="*/ 2632 h 741"/>
                              <a:gd name="T72" fmla="+- 0 3225 2576"/>
                              <a:gd name="T73" fmla="*/ T72 w 671"/>
                              <a:gd name="T74" fmla="+- 0 1978 1892"/>
                              <a:gd name="T75" fmla="*/ 1978 h 741"/>
                              <a:gd name="T76" fmla="+- 0 3240 2576"/>
                              <a:gd name="T77" fmla="*/ T76 w 671"/>
                              <a:gd name="T78" fmla="+- 0 1961 1892"/>
                              <a:gd name="T79" fmla="*/ 1961 h 741"/>
                              <a:gd name="T80" fmla="+- 0 3246 2576"/>
                              <a:gd name="T81" fmla="*/ T80 w 671"/>
                              <a:gd name="T82" fmla="+- 0 1939 1892"/>
                              <a:gd name="T83" fmla="*/ 1939 h 741"/>
                              <a:gd name="T84" fmla="+- 0 3241 2576"/>
                              <a:gd name="T85" fmla="*/ T84 w 671"/>
                              <a:gd name="T86" fmla="+- 0 1917 1892"/>
                              <a:gd name="T87" fmla="*/ 1917 h 741"/>
                              <a:gd name="T88" fmla="+- 0 2627 2576"/>
                              <a:gd name="T89" fmla="*/ T88 w 671"/>
                              <a:gd name="T90" fmla="+- 0 1917 1892"/>
                              <a:gd name="T91" fmla="*/ 1917 h 741"/>
                              <a:gd name="T92" fmla="+- 0 2815 2576"/>
                              <a:gd name="T93" fmla="*/ T92 w 671"/>
                              <a:gd name="T94" fmla="+- 0 2026 1892"/>
                              <a:gd name="T95" fmla="*/ 2026 h 741"/>
                              <a:gd name="T96" fmla="+- 0 3052 2576"/>
                              <a:gd name="T97" fmla="*/ T96 w 671"/>
                              <a:gd name="T98" fmla="+- 0 1999 1892"/>
                              <a:gd name="T99" fmla="*/ 1999 h 741"/>
                              <a:gd name="T100" fmla="+- 0 2679 2576"/>
                              <a:gd name="T101" fmla="*/ T100 w 671"/>
                              <a:gd name="T102" fmla="+- 0 1917 1892"/>
                              <a:gd name="T103" fmla="*/ 1917 h 741"/>
                              <a:gd name="T104" fmla="+- 0 3186 2576"/>
                              <a:gd name="T105" fmla="*/ T104 w 671"/>
                              <a:gd name="T106" fmla="+- 0 1893 1892"/>
                              <a:gd name="T107" fmla="*/ 1893 h 741"/>
                              <a:gd name="T108" fmla="+- 0 2999 2576"/>
                              <a:gd name="T109" fmla="*/ T108 w 671"/>
                              <a:gd name="T110" fmla="+- 0 1999 1892"/>
                              <a:gd name="T111" fmla="*/ 1999 h 741"/>
                              <a:gd name="T112" fmla="+- 0 3188 2576"/>
                              <a:gd name="T113" fmla="*/ T112 w 671"/>
                              <a:gd name="T114" fmla="+- 0 1920 1892"/>
                              <a:gd name="T115" fmla="*/ 1920 h 741"/>
                              <a:gd name="T116" fmla="+- 0 3241 2576"/>
                              <a:gd name="T117" fmla="*/ T116 w 671"/>
                              <a:gd name="T118" fmla="+- 0 1917 1892"/>
                              <a:gd name="T119" fmla="*/ 1917 h 741"/>
                              <a:gd name="T120" fmla="+- 0 3232 2576"/>
                              <a:gd name="T121" fmla="*/ T120 w 671"/>
                              <a:gd name="T122" fmla="+- 0 1905 1892"/>
                              <a:gd name="T123" fmla="*/ 1905 h 741"/>
                              <a:gd name="T124" fmla="+- 0 3211 2576"/>
                              <a:gd name="T125" fmla="*/ T124 w 671"/>
                              <a:gd name="T126" fmla="+- 0 1893 1892"/>
                              <a:gd name="T127" fmla="*/ 1893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71" h="741">
                                <a:moveTo>
                                  <a:pt x="47" y="0"/>
                                </a:moveTo>
                                <a:lnTo>
                                  <a:pt x="35" y="1"/>
                                </a:lnTo>
                                <a:lnTo>
                                  <a:pt x="23" y="6"/>
                                </a:lnTo>
                                <a:lnTo>
                                  <a:pt x="13" y="13"/>
                                </a:lnTo>
                                <a:lnTo>
                                  <a:pt x="6" y="23"/>
                                </a:lnTo>
                                <a:lnTo>
                                  <a:pt x="1" y="34"/>
                                </a:lnTo>
                                <a:lnTo>
                                  <a:pt x="0" y="47"/>
                                </a:lnTo>
                                <a:lnTo>
                                  <a:pt x="1" y="58"/>
                                </a:lnTo>
                                <a:lnTo>
                                  <a:pt x="5" y="69"/>
                                </a:lnTo>
                                <a:lnTo>
                                  <a:pt x="11" y="78"/>
                                </a:lnTo>
                                <a:lnTo>
                                  <a:pt x="20" y="86"/>
                                </a:lnTo>
                                <a:lnTo>
                                  <a:pt x="230" y="231"/>
                                </a:lnTo>
                                <a:lnTo>
                                  <a:pt x="230" y="740"/>
                                </a:lnTo>
                                <a:lnTo>
                                  <a:pt x="256" y="740"/>
                                </a:lnTo>
                                <a:lnTo>
                                  <a:pt x="256" y="217"/>
                                </a:lnTo>
                                <a:lnTo>
                                  <a:pt x="35" y="64"/>
                                </a:lnTo>
                                <a:lnTo>
                                  <a:pt x="29" y="60"/>
                                </a:lnTo>
                                <a:lnTo>
                                  <a:pt x="26" y="54"/>
                                </a:lnTo>
                                <a:lnTo>
                                  <a:pt x="26" y="39"/>
                                </a:lnTo>
                                <a:lnTo>
                                  <a:pt x="30" y="32"/>
                                </a:lnTo>
                                <a:lnTo>
                                  <a:pt x="37" y="28"/>
                                </a:lnTo>
                                <a:lnTo>
                                  <a:pt x="42" y="25"/>
                                </a:lnTo>
                                <a:lnTo>
                                  <a:pt x="103" y="25"/>
                                </a:lnTo>
                                <a:lnTo>
                                  <a:pt x="70" y="6"/>
                                </a:lnTo>
                                <a:lnTo>
                                  <a:pt x="59" y="1"/>
                                </a:lnTo>
                                <a:lnTo>
                                  <a:pt x="47" y="0"/>
                                </a:lnTo>
                                <a:close/>
                                <a:moveTo>
                                  <a:pt x="665" y="25"/>
                                </a:moveTo>
                                <a:lnTo>
                                  <a:pt x="627" y="25"/>
                                </a:lnTo>
                                <a:lnTo>
                                  <a:pt x="633" y="28"/>
                                </a:lnTo>
                                <a:lnTo>
                                  <a:pt x="640" y="32"/>
                                </a:lnTo>
                                <a:lnTo>
                                  <a:pt x="643" y="39"/>
                                </a:lnTo>
                                <a:lnTo>
                                  <a:pt x="643" y="54"/>
                                </a:lnTo>
                                <a:lnTo>
                                  <a:pt x="640" y="60"/>
                                </a:lnTo>
                                <a:lnTo>
                                  <a:pt x="413" y="217"/>
                                </a:lnTo>
                                <a:lnTo>
                                  <a:pt x="413" y="740"/>
                                </a:lnTo>
                                <a:lnTo>
                                  <a:pt x="439" y="740"/>
                                </a:lnTo>
                                <a:lnTo>
                                  <a:pt x="439" y="231"/>
                                </a:lnTo>
                                <a:lnTo>
                                  <a:pt x="649" y="86"/>
                                </a:lnTo>
                                <a:lnTo>
                                  <a:pt x="658" y="78"/>
                                </a:lnTo>
                                <a:lnTo>
                                  <a:pt x="664" y="69"/>
                                </a:lnTo>
                                <a:lnTo>
                                  <a:pt x="668" y="58"/>
                                </a:lnTo>
                                <a:lnTo>
                                  <a:pt x="670" y="47"/>
                                </a:lnTo>
                                <a:lnTo>
                                  <a:pt x="668" y="34"/>
                                </a:lnTo>
                                <a:lnTo>
                                  <a:pt x="665" y="25"/>
                                </a:lnTo>
                                <a:close/>
                                <a:moveTo>
                                  <a:pt x="103" y="25"/>
                                </a:moveTo>
                                <a:lnTo>
                                  <a:pt x="51" y="25"/>
                                </a:lnTo>
                                <a:lnTo>
                                  <a:pt x="58" y="28"/>
                                </a:lnTo>
                                <a:lnTo>
                                  <a:pt x="239" y="134"/>
                                </a:lnTo>
                                <a:lnTo>
                                  <a:pt x="430" y="134"/>
                                </a:lnTo>
                                <a:lnTo>
                                  <a:pt x="476" y="107"/>
                                </a:lnTo>
                                <a:lnTo>
                                  <a:pt x="246" y="107"/>
                                </a:lnTo>
                                <a:lnTo>
                                  <a:pt x="103" y="25"/>
                                </a:lnTo>
                                <a:close/>
                                <a:moveTo>
                                  <a:pt x="623" y="0"/>
                                </a:moveTo>
                                <a:lnTo>
                                  <a:pt x="610" y="1"/>
                                </a:lnTo>
                                <a:lnTo>
                                  <a:pt x="599" y="6"/>
                                </a:lnTo>
                                <a:lnTo>
                                  <a:pt x="423" y="107"/>
                                </a:lnTo>
                                <a:lnTo>
                                  <a:pt x="476" y="107"/>
                                </a:lnTo>
                                <a:lnTo>
                                  <a:pt x="612" y="28"/>
                                </a:lnTo>
                                <a:lnTo>
                                  <a:pt x="619" y="25"/>
                                </a:lnTo>
                                <a:lnTo>
                                  <a:pt x="665" y="25"/>
                                </a:lnTo>
                                <a:lnTo>
                                  <a:pt x="664" y="23"/>
                                </a:lnTo>
                                <a:lnTo>
                                  <a:pt x="656" y="13"/>
                                </a:lnTo>
                                <a:lnTo>
                                  <a:pt x="647" y="6"/>
                                </a:lnTo>
                                <a:lnTo>
                                  <a:pt x="635" y="1"/>
                                </a:lnTo>
                                <a:lnTo>
                                  <a:pt x="623"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Line 169"/>
                        <wps:cNvCnPr>
                          <a:cxnSpLocks noChangeShapeType="1"/>
                        </wps:cNvCnPr>
                        <wps:spPr bwMode="auto">
                          <a:xfrm>
                            <a:off x="2911" y="2285"/>
                            <a:ext cx="0" cy="347"/>
                          </a:xfrm>
                          <a:prstGeom prst="line">
                            <a:avLst/>
                          </a:prstGeom>
                          <a:noFill/>
                          <a:ln w="14892">
                            <a:solidFill>
                              <a:srgbClr val="001F5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D6251B" id="Group 168" o:spid="_x0000_s1026" style="position:absolute;margin-left:121pt;margin-top:88.5pt;width:48.5pt;height:56.95pt;z-index:-251597824;mso-wrap-distance-left:0;mso-wrap-distance-right:0;mso-position-horizontal-relative:page" coordorigin="2420,1770" coordsize="970,1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">
                <v:line id="Line 180" o:spid="_x0000_s1027" style="position:absolute;visibility:visible;mso-wrap-style:square" from="2433,2719" to="2433,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" strokecolor="#001f5f" strokeweight=".44978mm"/>
                <v:line id="Line 179" o:spid="_x0000_s1028" style="position:absolute;visibility:visible;mso-wrap-style:square" from="2420,2706" to="2755,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" strokecolor="#001f5f" strokeweight=".45869mm"/>
                <v:line id="Line 178" o:spid="_x0000_s1029" style="position:absolute;visibility:visible;mso-wrap-style:square" from="2742,2720" to="2742,2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" strokecolor="#001f5f" strokeweight=".44978mm"/>
                <v:line id="Line 177" o:spid="_x0000_s1030" style="position:absolute;visibility:visible;mso-wrap-style:square" from="2745,2635" to="2745,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" strokecolor="#001f5f" strokeweight=".46739mm"/>
                <v:line id="Line 176" o:spid="_x0000_s1031" style="position:absolute;visibility:visible;mso-wrap-style:square" from="2731,2622" to="3078,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" strokecolor="#001f5f" strokeweight=".45869mm"/>
                <v:rect id="Rectangle 175" o:spid="_x0000_s1032" style="position:absolute;left:3042;top:2777;width:27;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" fillcolor="#001f5f" stroked="f"/>
                <v:line id="Line 174" o:spid="_x0000_s1033" style="position:absolute;visibility:visible;mso-wrap-style:square" from="3043,2765" to="3390,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" strokecolor="#001f5f" strokeweight=".42342mm"/>
                <v:rect id="Rectangle 173" o:spid="_x0000_s1034" style="position:absolute;left:3362;top:2776;width:28;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" fillcolor="#001f5f" stroked="f"/>
                <v:line id="Line 172" o:spid="_x0000_s1035" style="position:absolute;visibility:visible;mso-wrap-style:square" from="3065,2636" to="3065,2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" strokecolor="#001f5f" strokeweight=".46739mm"/>
                <v:shape id="Picture 171" o:spid="_x0000_s1036" type="#_x0000_t75" style="position:absolute;left:2815;top:1769;width:192;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">
                  <v:imagedata r:id="rId212" o:title=""/>
                </v:shape>
                <v:shape id="AutoShape 170" o:spid="_x0000_s1037" style="position:absolute;left:2575;top:1891;width:671;height:741;visibility:visible;mso-wrap-style:square;v-text-anchor:top" coordsize="67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" path="m47,l35,1,23,6,13,13,6,23,1,34,,47,1,58,5,69r6,9l20,86,230,231r,509l256,740r,-523l35,64,29,60,26,54r,-15l30,32r7,-4l42,25r61,l70,6,59,1,47,xm665,25r-38,l633,28r7,4l643,39r,15l640,60,413,217r,523l439,740r,-509l649,86r9,-8l664,69r4,-11l670,47,668,34r-3,-9xm103,25r-52,l58,28,239,134r191,l476,107r-230,l103,25xm623,l610,1,599,6,423,107r53,l612,28r7,-3l665,25r-1,-2l656,13,647,6,635,1,623,xe" fillcolor="#001f5f" stroked="f">
                  <v:path arrowok="t" o:connecttype="custom" o:connectlocs="35,1893;13,1905;1,1926;1,1950;11,1970;230,2123;256,2632;35,1956;26,1946;30,1924;42,1917;70,1898;47,1892;627,1917;640,1924;643,1946;413,2109;439,2632;649,1978;664,1961;670,1939;665,1917;51,1917;239,2026;476,1999;103,1917;610,1893;423,1999;612,1920;665,1917;656,1905;635,1893" o:connectangles="0,0,0,0,0,0,0,0,0,0,0,0,0,0,0,0,0,0,0,0,0,0,0,0,0,0,0,0,0,0,0,0"/>
                </v:shape>
                <v:line id="Line 169" o:spid="_x0000_s1038" style="position:absolute;visibility:visible;mso-wrap-style:square" from="2911,2285" to="291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" strokecolor="#001f5f" strokeweight=".41367mm"/>
                <w10:wrap type="topAndBottom" anchorx="page"/>
              </v:group>
            </w:pict>
          </mc:Fallback>
        </mc:AlternateContent>
      </w:r>
      <w:r>
        <w:rPr>
          <w:noProof/>
          <w:lang w:val="en-AU" w:eastAsia="en-AU"/>
        </w:rPr>
        <mc:AlternateContent>
          <mc:Choice Requires="wps">
            <w:drawing>
              <wp:anchor distT="0" distB="0" distL="0" distR="0" simplePos="0" relativeHeight="251719680" behindDoc="1" locked="0" layoutInCell="1" allowOverlap="1">
                <wp:simplePos x="0" y="0"/>
                <wp:positionH relativeFrom="page">
                  <wp:posOffset>3145790</wp:posOffset>
                </wp:positionH>
                <wp:positionV relativeFrom="paragraph">
                  <wp:posOffset>1247140</wp:posOffset>
                </wp:positionV>
                <wp:extent cx="692785" cy="679450"/>
                <wp:effectExtent l="0" t="0" r="0" b="0"/>
                <wp:wrapTopAndBottom/>
                <wp:docPr id="311"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785" cy="679450"/>
                        </a:xfrm>
                        <a:custGeom>
                          <a:avLst/>
                          <a:gdLst>
                            <a:gd name="T0" fmla="+- 0 5424 4954"/>
                            <a:gd name="T1" fmla="*/ T0 w 1091"/>
                            <a:gd name="T2" fmla="+- 0 3034 1964"/>
                            <a:gd name="T3" fmla="*/ 3034 h 1070"/>
                            <a:gd name="T4" fmla="+- 0 5454 4954"/>
                            <a:gd name="T5" fmla="*/ T4 w 1091"/>
                            <a:gd name="T6" fmla="+- 0 2998 1964"/>
                            <a:gd name="T7" fmla="*/ 2998 h 1070"/>
                            <a:gd name="T8" fmla="+- 0 5454 4954"/>
                            <a:gd name="T9" fmla="*/ T8 w 1091"/>
                            <a:gd name="T10" fmla="+- 0 2962 1964"/>
                            <a:gd name="T11" fmla="*/ 2962 h 1070"/>
                            <a:gd name="T12" fmla="+- 0 5428 4954"/>
                            <a:gd name="T13" fmla="*/ T12 w 1091"/>
                            <a:gd name="T14" fmla="+- 0 2439 1964"/>
                            <a:gd name="T15" fmla="*/ 2439 h 1070"/>
                            <a:gd name="T16" fmla="+- 0 5454 4954"/>
                            <a:gd name="T17" fmla="*/ T16 w 1091"/>
                            <a:gd name="T18" fmla="+- 0 2962 1964"/>
                            <a:gd name="T19" fmla="*/ 2962 h 1070"/>
                            <a:gd name="T20" fmla="+- 0 5454 4954"/>
                            <a:gd name="T21" fmla="*/ T20 w 1091"/>
                            <a:gd name="T22" fmla="+- 0 2998 1964"/>
                            <a:gd name="T23" fmla="*/ 2998 h 1070"/>
                            <a:gd name="T24" fmla="+- 0 5544 4954"/>
                            <a:gd name="T25" fmla="*/ T24 w 1091"/>
                            <a:gd name="T26" fmla="+- 0 2872 1964"/>
                            <a:gd name="T27" fmla="*/ 2872 h 1070"/>
                            <a:gd name="T28" fmla="+- 0 5454 4954"/>
                            <a:gd name="T29" fmla="*/ T28 w 1091"/>
                            <a:gd name="T30" fmla="+- 0 2998 1964"/>
                            <a:gd name="T31" fmla="*/ 2998 h 1070"/>
                            <a:gd name="T32" fmla="+- 0 5574 4954"/>
                            <a:gd name="T33" fmla="*/ T32 w 1091"/>
                            <a:gd name="T34" fmla="+- 0 2884 1964"/>
                            <a:gd name="T35" fmla="*/ 2884 h 1070"/>
                            <a:gd name="T36" fmla="+- 0 5544 4954"/>
                            <a:gd name="T37" fmla="*/ T36 w 1091"/>
                            <a:gd name="T38" fmla="+- 0 2878 1964"/>
                            <a:gd name="T39" fmla="*/ 2878 h 1070"/>
                            <a:gd name="T40" fmla="+- 0 5548 4954"/>
                            <a:gd name="T41" fmla="*/ T40 w 1091"/>
                            <a:gd name="T42" fmla="+- 0 2867 1964"/>
                            <a:gd name="T43" fmla="*/ 2867 h 1070"/>
                            <a:gd name="T44" fmla="+- 0 5544 4954"/>
                            <a:gd name="T45" fmla="*/ T44 w 1091"/>
                            <a:gd name="T46" fmla="+- 0 2878 1964"/>
                            <a:gd name="T47" fmla="*/ 2878 h 1070"/>
                            <a:gd name="T48" fmla="+- 0 5574 4954"/>
                            <a:gd name="T49" fmla="*/ T48 w 1091"/>
                            <a:gd name="T50" fmla="+- 0 2867 1964"/>
                            <a:gd name="T51" fmla="*/ 2867 h 1070"/>
                            <a:gd name="T52" fmla="+- 0 5544 4954"/>
                            <a:gd name="T53" fmla="*/ T52 w 1091"/>
                            <a:gd name="T54" fmla="+- 0 2878 1964"/>
                            <a:gd name="T55" fmla="*/ 2878 h 1070"/>
                            <a:gd name="T56" fmla="+- 0 5574 4954"/>
                            <a:gd name="T57" fmla="*/ T56 w 1091"/>
                            <a:gd name="T58" fmla="+- 0 2867 1964"/>
                            <a:gd name="T59" fmla="*/ 2867 h 1070"/>
                            <a:gd name="T60" fmla="+- 0 5544 4954"/>
                            <a:gd name="T61" fmla="*/ T60 w 1091"/>
                            <a:gd name="T62" fmla="+- 0 2422 1964"/>
                            <a:gd name="T63" fmla="*/ 2422 h 1070"/>
                            <a:gd name="T64" fmla="+- 0 5548 4954"/>
                            <a:gd name="T65" fmla="*/ T64 w 1091"/>
                            <a:gd name="T66" fmla="+- 0 2867 1964"/>
                            <a:gd name="T67" fmla="*/ 2867 h 1070"/>
                            <a:gd name="T68" fmla="+- 0 5574 4954"/>
                            <a:gd name="T69" fmla="*/ T68 w 1091"/>
                            <a:gd name="T70" fmla="+- 0 2439 1964"/>
                            <a:gd name="T71" fmla="*/ 2439 h 1070"/>
                            <a:gd name="T72" fmla="+- 0 5574 4954"/>
                            <a:gd name="T73" fmla="*/ T72 w 1091"/>
                            <a:gd name="T74" fmla="+- 0 2429 1964"/>
                            <a:gd name="T75" fmla="*/ 2429 h 1070"/>
                            <a:gd name="T76" fmla="+- 0 6014 4954"/>
                            <a:gd name="T77" fmla="*/ T76 w 1091"/>
                            <a:gd name="T78" fmla="+- 0 1994 1964"/>
                            <a:gd name="T79" fmla="*/ 1994 h 1070"/>
                            <a:gd name="T80" fmla="+- 0 5998 4954"/>
                            <a:gd name="T81" fmla="*/ T80 w 1091"/>
                            <a:gd name="T82" fmla="+- 0 1969 1964"/>
                            <a:gd name="T83" fmla="*/ 1969 h 1070"/>
                            <a:gd name="T84" fmla="+- 0 5424 4954"/>
                            <a:gd name="T85" fmla="*/ T84 w 1091"/>
                            <a:gd name="T86" fmla="+- 0 2435 1964"/>
                            <a:gd name="T87" fmla="*/ 2435 h 1070"/>
                            <a:gd name="T88" fmla="+- 0 5424 4954"/>
                            <a:gd name="T89" fmla="*/ T88 w 1091"/>
                            <a:gd name="T90" fmla="+- 0 2429 1964"/>
                            <a:gd name="T91" fmla="*/ 2429 h 1070"/>
                            <a:gd name="T92" fmla="+- 0 5424 4954"/>
                            <a:gd name="T93" fmla="*/ T92 w 1091"/>
                            <a:gd name="T94" fmla="+- 0 2429 1964"/>
                            <a:gd name="T95" fmla="*/ 2429 h 1070"/>
                            <a:gd name="T96" fmla="+- 0 5454 4954"/>
                            <a:gd name="T97" fmla="*/ T96 w 1091"/>
                            <a:gd name="T98" fmla="+- 0 2439 1964"/>
                            <a:gd name="T99" fmla="*/ 2439 h 1070"/>
                            <a:gd name="T100" fmla="+- 0 5574 4954"/>
                            <a:gd name="T101" fmla="*/ T100 w 1091"/>
                            <a:gd name="T102" fmla="+- 0 2429 1964"/>
                            <a:gd name="T103" fmla="*/ 2429 h 1070"/>
                            <a:gd name="T104" fmla="+- 0 5574 4954"/>
                            <a:gd name="T105" fmla="*/ T104 w 1091"/>
                            <a:gd name="T106" fmla="+- 0 2435 1964"/>
                            <a:gd name="T107" fmla="*/ 2435 h 1070"/>
                            <a:gd name="T108" fmla="+- 0 5574 4954"/>
                            <a:gd name="T109" fmla="*/ T108 w 1091"/>
                            <a:gd name="T110" fmla="+- 0 2435 1964"/>
                            <a:gd name="T111" fmla="*/ 2435 h 1070"/>
                            <a:gd name="T112" fmla="+- 0 5574 4954"/>
                            <a:gd name="T113" fmla="*/ T112 w 1091"/>
                            <a:gd name="T114" fmla="+- 0 2439 1964"/>
                            <a:gd name="T115" fmla="*/ 2439 h 1070"/>
                            <a:gd name="T116" fmla="+- 0 5580 4954"/>
                            <a:gd name="T117" fmla="*/ T116 w 1091"/>
                            <a:gd name="T118" fmla="+- 0 2429 1964"/>
                            <a:gd name="T119" fmla="*/ 2429 h 1070"/>
                            <a:gd name="T120" fmla="+- 0 5574 4954"/>
                            <a:gd name="T121" fmla="*/ T120 w 1091"/>
                            <a:gd name="T122" fmla="+- 0 2435 1964"/>
                            <a:gd name="T123" fmla="*/ 2435 h 1070"/>
                            <a:gd name="T124" fmla="+- 0 6044 4954"/>
                            <a:gd name="T125" fmla="*/ T124 w 1091"/>
                            <a:gd name="T126" fmla="+- 0 1964 1964"/>
                            <a:gd name="T127" fmla="*/ 1964 h 1070"/>
                            <a:gd name="T128" fmla="+- 0 5424 4954"/>
                            <a:gd name="T129" fmla="*/ T128 w 1091"/>
                            <a:gd name="T130" fmla="+- 0 2435 1964"/>
                            <a:gd name="T131" fmla="*/ 2435 h 1070"/>
                            <a:gd name="T132" fmla="+- 0 5454 4954"/>
                            <a:gd name="T133" fmla="*/ T132 w 1091"/>
                            <a:gd name="T134" fmla="+- 0 2429 1964"/>
                            <a:gd name="T135" fmla="*/ 2429 h 1070"/>
                            <a:gd name="T136" fmla="+- 0 5026 4954"/>
                            <a:gd name="T137" fmla="*/ T136 w 1091"/>
                            <a:gd name="T138" fmla="+- 0 1994 1964"/>
                            <a:gd name="T139" fmla="*/ 1994 h 1070"/>
                            <a:gd name="T140" fmla="+- 0 5000 4954"/>
                            <a:gd name="T141" fmla="*/ T140 w 1091"/>
                            <a:gd name="T142" fmla="+- 0 1969 1964"/>
                            <a:gd name="T143" fmla="*/ 1969 h 1070"/>
                            <a:gd name="T144" fmla="+- 0 6044 4954"/>
                            <a:gd name="T145" fmla="*/ T144 w 1091"/>
                            <a:gd name="T146" fmla="+- 0 1964 1964"/>
                            <a:gd name="T147" fmla="*/ 1964 h 1070"/>
                            <a:gd name="T148" fmla="+- 0 4990 4954"/>
                            <a:gd name="T149" fmla="*/ T148 w 1091"/>
                            <a:gd name="T150" fmla="+- 0 1994 1964"/>
                            <a:gd name="T151" fmla="*/ 1994 h 1070"/>
                            <a:gd name="T152" fmla="+- 0 5000 4954"/>
                            <a:gd name="T153" fmla="*/ T152 w 1091"/>
                            <a:gd name="T154" fmla="+- 0 1969 1964"/>
                            <a:gd name="T155" fmla="*/ 1969 h 1070"/>
                            <a:gd name="T156" fmla="+- 0 5000 4954"/>
                            <a:gd name="T157" fmla="*/ T156 w 1091"/>
                            <a:gd name="T158" fmla="+- 0 1969 1964"/>
                            <a:gd name="T159" fmla="*/ 1969 h 1070"/>
                            <a:gd name="T160" fmla="+- 0 5972 4954"/>
                            <a:gd name="T161" fmla="*/ T160 w 1091"/>
                            <a:gd name="T162" fmla="+- 0 1994 1964"/>
                            <a:gd name="T163" fmla="*/ 1994 h 1070"/>
                            <a:gd name="T164" fmla="+- 0 6040 4954"/>
                            <a:gd name="T165" fmla="*/ T164 w 1091"/>
                            <a:gd name="T166" fmla="+- 0 1969 1964"/>
                            <a:gd name="T167" fmla="*/ 1969 h 1070"/>
                            <a:gd name="T168" fmla="+- 0 6008 4954"/>
                            <a:gd name="T169" fmla="*/ T168 w 1091"/>
                            <a:gd name="T170" fmla="+- 0 1994 1964"/>
                            <a:gd name="T171" fmla="*/ 1994 h 1070"/>
                            <a:gd name="T172" fmla="+- 0 6040 4954"/>
                            <a:gd name="T173" fmla="*/ T172 w 1091"/>
                            <a:gd name="T174" fmla="+- 0 1969 1964"/>
                            <a:gd name="T175" fmla="*/ 1969 h 1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1" h="1070">
                              <a:moveTo>
                                <a:pt x="470" y="471"/>
                              </a:moveTo>
                              <a:lnTo>
                                <a:pt x="470" y="1070"/>
                              </a:lnTo>
                              <a:lnTo>
                                <a:pt x="506" y="1034"/>
                              </a:lnTo>
                              <a:lnTo>
                                <a:pt x="500" y="1034"/>
                              </a:lnTo>
                              <a:lnTo>
                                <a:pt x="474" y="1023"/>
                              </a:lnTo>
                              <a:lnTo>
                                <a:pt x="500" y="998"/>
                              </a:lnTo>
                              <a:lnTo>
                                <a:pt x="500" y="475"/>
                              </a:lnTo>
                              <a:lnTo>
                                <a:pt x="474" y="475"/>
                              </a:lnTo>
                              <a:lnTo>
                                <a:pt x="470" y="471"/>
                              </a:lnTo>
                              <a:close/>
                              <a:moveTo>
                                <a:pt x="500" y="998"/>
                              </a:moveTo>
                              <a:lnTo>
                                <a:pt x="474" y="1023"/>
                              </a:lnTo>
                              <a:lnTo>
                                <a:pt x="500" y="1034"/>
                              </a:lnTo>
                              <a:lnTo>
                                <a:pt x="500" y="998"/>
                              </a:lnTo>
                              <a:close/>
                              <a:moveTo>
                                <a:pt x="590" y="908"/>
                              </a:moveTo>
                              <a:lnTo>
                                <a:pt x="500" y="998"/>
                              </a:lnTo>
                              <a:lnTo>
                                <a:pt x="500" y="1034"/>
                              </a:lnTo>
                              <a:lnTo>
                                <a:pt x="506" y="1034"/>
                              </a:lnTo>
                              <a:lnTo>
                                <a:pt x="620" y="920"/>
                              </a:lnTo>
                              <a:lnTo>
                                <a:pt x="620" y="914"/>
                              </a:lnTo>
                              <a:lnTo>
                                <a:pt x="590" y="914"/>
                              </a:lnTo>
                              <a:lnTo>
                                <a:pt x="590" y="908"/>
                              </a:lnTo>
                              <a:close/>
                              <a:moveTo>
                                <a:pt x="594" y="903"/>
                              </a:moveTo>
                              <a:lnTo>
                                <a:pt x="590" y="908"/>
                              </a:lnTo>
                              <a:lnTo>
                                <a:pt x="590" y="914"/>
                              </a:lnTo>
                              <a:lnTo>
                                <a:pt x="594" y="903"/>
                              </a:lnTo>
                              <a:close/>
                              <a:moveTo>
                                <a:pt x="620" y="903"/>
                              </a:moveTo>
                              <a:lnTo>
                                <a:pt x="594" y="903"/>
                              </a:lnTo>
                              <a:lnTo>
                                <a:pt x="590" y="914"/>
                              </a:lnTo>
                              <a:lnTo>
                                <a:pt x="620" y="914"/>
                              </a:lnTo>
                              <a:lnTo>
                                <a:pt x="620" y="903"/>
                              </a:lnTo>
                              <a:close/>
                              <a:moveTo>
                                <a:pt x="1044" y="5"/>
                              </a:moveTo>
                              <a:lnTo>
                                <a:pt x="590" y="458"/>
                              </a:lnTo>
                              <a:lnTo>
                                <a:pt x="590" y="908"/>
                              </a:lnTo>
                              <a:lnTo>
                                <a:pt x="594" y="903"/>
                              </a:lnTo>
                              <a:lnTo>
                                <a:pt x="620" y="903"/>
                              </a:lnTo>
                              <a:lnTo>
                                <a:pt x="620" y="475"/>
                              </a:lnTo>
                              <a:lnTo>
                                <a:pt x="615" y="475"/>
                              </a:lnTo>
                              <a:lnTo>
                                <a:pt x="620" y="465"/>
                              </a:lnTo>
                              <a:lnTo>
                                <a:pt x="626" y="465"/>
                              </a:lnTo>
                              <a:lnTo>
                                <a:pt x="1060" y="30"/>
                              </a:lnTo>
                              <a:lnTo>
                                <a:pt x="1054" y="30"/>
                              </a:lnTo>
                              <a:lnTo>
                                <a:pt x="1044" y="5"/>
                              </a:lnTo>
                              <a:close/>
                              <a:moveTo>
                                <a:pt x="470" y="465"/>
                              </a:moveTo>
                              <a:lnTo>
                                <a:pt x="470" y="471"/>
                              </a:lnTo>
                              <a:lnTo>
                                <a:pt x="474" y="475"/>
                              </a:lnTo>
                              <a:lnTo>
                                <a:pt x="470" y="465"/>
                              </a:lnTo>
                              <a:close/>
                              <a:moveTo>
                                <a:pt x="500" y="465"/>
                              </a:moveTo>
                              <a:lnTo>
                                <a:pt x="470" y="465"/>
                              </a:lnTo>
                              <a:lnTo>
                                <a:pt x="474" y="475"/>
                              </a:lnTo>
                              <a:lnTo>
                                <a:pt x="500" y="475"/>
                              </a:lnTo>
                              <a:lnTo>
                                <a:pt x="500" y="465"/>
                              </a:lnTo>
                              <a:close/>
                              <a:moveTo>
                                <a:pt x="620" y="465"/>
                              </a:moveTo>
                              <a:lnTo>
                                <a:pt x="615" y="475"/>
                              </a:lnTo>
                              <a:lnTo>
                                <a:pt x="620" y="471"/>
                              </a:lnTo>
                              <a:lnTo>
                                <a:pt x="620" y="465"/>
                              </a:lnTo>
                              <a:close/>
                              <a:moveTo>
                                <a:pt x="620" y="471"/>
                              </a:moveTo>
                              <a:lnTo>
                                <a:pt x="615" y="475"/>
                              </a:lnTo>
                              <a:lnTo>
                                <a:pt x="620" y="475"/>
                              </a:lnTo>
                              <a:lnTo>
                                <a:pt x="620" y="471"/>
                              </a:lnTo>
                              <a:close/>
                              <a:moveTo>
                                <a:pt x="626" y="465"/>
                              </a:moveTo>
                              <a:lnTo>
                                <a:pt x="620" y="465"/>
                              </a:lnTo>
                              <a:lnTo>
                                <a:pt x="620" y="471"/>
                              </a:lnTo>
                              <a:lnTo>
                                <a:pt x="626" y="465"/>
                              </a:lnTo>
                              <a:close/>
                              <a:moveTo>
                                <a:pt x="1090" y="0"/>
                              </a:moveTo>
                              <a:lnTo>
                                <a:pt x="0" y="0"/>
                              </a:lnTo>
                              <a:lnTo>
                                <a:pt x="470" y="471"/>
                              </a:lnTo>
                              <a:lnTo>
                                <a:pt x="470" y="465"/>
                              </a:lnTo>
                              <a:lnTo>
                                <a:pt x="500" y="465"/>
                              </a:lnTo>
                              <a:lnTo>
                                <a:pt x="500" y="458"/>
                              </a:lnTo>
                              <a:lnTo>
                                <a:pt x="72" y="30"/>
                              </a:lnTo>
                              <a:lnTo>
                                <a:pt x="36" y="30"/>
                              </a:lnTo>
                              <a:lnTo>
                                <a:pt x="46" y="5"/>
                              </a:lnTo>
                              <a:lnTo>
                                <a:pt x="1086" y="5"/>
                              </a:lnTo>
                              <a:lnTo>
                                <a:pt x="1090" y="0"/>
                              </a:lnTo>
                              <a:close/>
                              <a:moveTo>
                                <a:pt x="46" y="5"/>
                              </a:moveTo>
                              <a:lnTo>
                                <a:pt x="36" y="30"/>
                              </a:lnTo>
                              <a:lnTo>
                                <a:pt x="72" y="30"/>
                              </a:lnTo>
                              <a:lnTo>
                                <a:pt x="46" y="5"/>
                              </a:lnTo>
                              <a:close/>
                              <a:moveTo>
                                <a:pt x="1044" y="5"/>
                              </a:moveTo>
                              <a:lnTo>
                                <a:pt x="46" y="5"/>
                              </a:lnTo>
                              <a:lnTo>
                                <a:pt x="72" y="30"/>
                              </a:lnTo>
                              <a:lnTo>
                                <a:pt x="1018" y="30"/>
                              </a:lnTo>
                              <a:lnTo>
                                <a:pt x="1044" y="5"/>
                              </a:lnTo>
                              <a:close/>
                              <a:moveTo>
                                <a:pt x="1086" y="5"/>
                              </a:moveTo>
                              <a:lnTo>
                                <a:pt x="1044" y="5"/>
                              </a:lnTo>
                              <a:lnTo>
                                <a:pt x="1054" y="30"/>
                              </a:lnTo>
                              <a:lnTo>
                                <a:pt x="1060" y="30"/>
                              </a:lnTo>
                              <a:lnTo>
                                <a:pt x="1086" y="5"/>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0B995" id="AutoShape 167" o:spid="_x0000_s1026" style="position:absolute;margin-left:247.7pt;margin-top:98.2pt;width:54.55pt;height:53.5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91,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" path="m470,471r,599l506,1034r-6,l474,1023r26,-25l500,475r-26,l470,471xm500,998r-26,25l500,1034r,-36xm590,908r-90,90l500,1034r6,l620,920r,-6l590,914r,-6xm594,903r-4,5l590,914r4,-11xm620,903r-26,l590,914r30,l620,903xm1044,5l590,458r,450l594,903r26,l620,475r-5,l620,465r6,l1060,30r-6,l1044,5xm470,465r,6l474,475r-4,-10xm500,465r-30,l474,475r26,l500,465xm620,465r-5,10l620,471r,-6xm620,471r-5,4l620,475r,-4xm626,465r-6,l620,471r6,-6xm1090,l,,470,471r,-6l500,465r,-7l72,30r-36,l46,5r1040,l1090,xm46,5l36,30r36,l46,5xm1044,5l46,5,72,30r946,l1044,5xm1086,5r-42,l1054,30r6,l1086,5xe" fillcolor="#001f5f" stroked="f">
                <v:path arrowok="t" o:connecttype="custom" o:connectlocs="298450,1926590;317500,1903730;317500,1880870;300990,1548765;317500,1880870;317500,1903730;374650,1823720;317500,1903730;393700,1831340;374650,1827530;377190,1820545;374650,1827530;393700,1820545;374650,1827530;393700,1820545;374650,1537970;377190,1820545;393700,1548765;393700,1542415;673100,1266190;662940,1250315;298450,1546225;298450,1542415;298450,1542415;317500,1548765;393700,1542415;393700,1546225;393700,1546225;393700,1548765;397510,1542415;393700,1546225;692150,1247140;298450,1546225;317500,1542415;45720,1266190;29210,1250315;692150,1247140;22860,1266190;29210,1250315;29210,1250315;646430,1266190;689610,1250315;669290,1266190;689610,1250315" o:connectangles="0,0,0,0,0,0,0,0,0,0,0,0,0,0,0,0,0,0,0,0,0,0,0,0,0,0,0,0,0,0,0,0,0,0,0,0,0,0,0,0,0,0,0,0"/>
                <w10:wrap type="topAndBottom" anchorx="page"/>
              </v:shape>
            </w:pict>
          </mc:Fallback>
        </mc:AlternateContent>
      </w:r>
      <w:r>
        <w:rPr>
          <w:noProof/>
          <w:lang w:val="en-AU" w:eastAsia="en-AU"/>
        </w:rPr>
        <w:drawing>
          <wp:anchor distT="0" distB="0" distL="0" distR="0" simplePos="0" relativeHeight="61" behindDoc="0" locked="0" layoutInCell="1" allowOverlap="1">
            <wp:simplePos x="0" y="0"/>
            <wp:positionH relativeFrom="page">
              <wp:posOffset>5129355</wp:posOffset>
            </wp:positionH>
            <wp:positionV relativeFrom="paragraph">
              <wp:posOffset>1117983</wp:posOffset>
            </wp:positionV>
            <wp:extent cx="548840" cy="776287"/>
            <wp:effectExtent l="0" t="0" r="0" b="0"/>
            <wp:wrapTopAndBottom/>
            <wp:docPr id="2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9.png"/>
                    <pic:cNvPicPr/>
                  </pic:nvPicPr>
                  <pic:blipFill>
                    <a:blip r:embed="rId213" cstate="print"/>
                    <a:stretch>
                      <a:fillRect/>
                    </a:stretch>
                  </pic:blipFill>
                  <pic:spPr>
                    <a:xfrm>
                      <a:off x="0" y="0"/>
                      <a:ext cx="548840" cy="776287"/>
                    </a:xfrm>
                    <a:prstGeom prst="rect">
                      <a:avLst/>
                    </a:prstGeom>
                  </pic:spPr>
                </pic:pic>
              </a:graphicData>
            </a:graphic>
          </wp:anchor>
        </w:drawing>
      </w:r>
    </w:p>
    <w:p w:rsidR="007D76BB" w:rsidRDefault="007D76BB">
      <w:pPr>
        <w:pStyle w:val="BodyText"/>
        <w:spacing w:before="5"/>
        <w:rPr>
          <w:rFonts w:ascii="Arial"/>
          <w:sz w:val="18"/>
        </w:rPr>
      </w:pPr>
    </w:p>
    <w:p w:rsidR="007D76BB" w:rsidRDefault="007D76BB">
      <w:pPr>
        <w:pStyle w:val="BodyText"/>
        <w:spacing w:before="1"/>
        <w:rPr>
          <w:rFonts w:ascii="Arial"/>
          <w:sz w:val="6"/>
        </w:rPr>
      </w:pPr>
    </w:p>
    <w:p w:rsidR="007D76BB" w:rsidRDefault="007D76BB">
      <w:pPr>
        <w:rPr>
          <w:rFonts w:ascii="Arial"/>
          <w:sz w:val="6"/>
        </w:rPr>
        <w:sectPr w:rsidR="007D76BB">
          <w:pgSz w:w="11910" w:h="16850"/>
          <w:pgMar w:top="820" w:right="820" w:bottom="740" w:left="1220" w:header="459" w:footer="546" w:gutter="0"/>
          <w:cols w:space="720"/>
        </w:sectPr>
      </w:pPr>
    </w:p>
    <w:p w:rsidR="007D76BB" w:rsidRDefault="00D70D28">
      <w:pPr>
        <w:spacing w:before="105"/>
        <w:ind w:left="632"/>
        <w:rPr>
          <w:rFonts w:ascii="Arial"/>
          <w:sz w:val="24"/>
        </w:rPr>
      </w:pPr>
      <w:r>
        <w:rPr>
          <w:rFonts w:ascii="Arial"/>
          <w:color w:val="001F5F"/>
          <w:w w:val="105"/>
          <w:sz w:val="24"/>
        </w:rPr>
        <w:t xml:space="preserve">Change </w:t>
      </w:r>
      <w:r>
        <w:rPr>
          <w:rFonts w:ascii="Arial"/>
          <w:color w:val="001F5F"/>
          <w:spacing w:val="-4"/>
          <w:w w:val="105"/>
          <w:sz w:val="24"/>
        </w:rPr>
        <w:t xml:space="preserve">the </w:t>
      </w:r>
      <w:r>
        <w:rPr>
          <w:rFonts w:ascii="Arial"/>
          <w:color w:val="001F5F"/>
          <w:w w:val="105"/>
          <w:sz w:val="24"/>
        </w:rPr>
        <w:t>claims</w:t>
      </w:r>
    </w:p>
    <w:p w:rsidR="007D76BB" w:rsidRDefault="00D70D28">
      <w:pPr>
        <w:pStyle w:val="ListParagraph"/>
        <w:numPr>
          <w:ilvl w:val="0"/>
          <w:numId w:val="7"/>
        </w:numPr>
        <w:tabs>
          <w:tab w:val="left" w:pos="955"/>
        </w:tabs>
        <w:spacing w:before="244" w:line="249" w:lineRule="auto"/>
        <w:rPr>
          <w:rFonts w:ascii="Arial" w:hAnsi="Arial"/>
          <w:sz w:val="24"/>
        </w:rPr>
      </w:pPr>
      <w:r>
        <w:rPr>
          <w:rFonts w:ascii="Arial" w:hAnsi="Arial"/>
          <w:color w:val="001F5F"/>
          <w:w w:val="105"/>
          <w:sz w:val="24"/>
        </w:rPr>
        <w:t xml:space="preserve">Unlikely </w:t>
      </w:r>
      <w:r>
        <w:rPr>
          <w:rFonts w:ascii="Arial" w:hAnsi="Arial"/>
          <w:color w:val="001F5F"/>
          <w:spacing w:val="-3"/>
          <w:w w:val="105"/>
          <w:sz w:val="24"/>
        </w:rPr>
        <w:t xml:space="preserve">to </w:t>
      </w:r>
      <w:r>
        <w:rPr>
          <w:rFonts w:ascii="Arial" w:hAnsi="Arial"/>
          <w:color w:val="001F5F"/>
          <w:w w:val="105"/>
          <w:sz w:val="24"/>
        </w:rPr>
        <w:t xml:space="preserve">do </w:t>
      </w:r>
      <w:r>
        <w:rPr>
          <w:rFonts w:ascii="Arial" w:hAnsi="Arial"/>
          <w:color w:val="001F5F"/>
          <w:spacing w:val="-3"/>
          <w:w w:val="105"/>
          <w:sz w:val="24"/>
        </w:rPr>
        <w:t xml:space="preserve">so </w:t>
      </w:r>
      <w:r>
        <w:rPr>
          <w:rFonts w:ascii="Arial" w:hAnsi="Arial"/>
          <w:color w:val="001F5F"/>
          <w:spacing w:val="2"/>
          <w:w w:val="105"/>
          <w:sz w:val="24"/>
        </w:rPr>
        <w:t xml:space="preserve">as </w:t>
      </w:r>
      <w:r>
        <w:rPr>
          <w:rFonts w:ascii="Arial" w:hAnsi="Arial"/>
          <w:color w:val="001F5F"/>
          <w:w w:val="105"/>
          <w:sz w:val="24"/>
        </w:rPr>
        <w:t xml:space="preserve">claims fundamental </w:t>
      </w:r>
      <w:r>
        <w:rPr>
          <w:rFonts w:ascii="Arial" w:hAnsi="Arial"/>
          <w:color w:val="001F5F"/>
          <w:spacing w:val="-3"/>
          <w:w w:val="105"/>
          <w:sz w:val="24"/>
        </w:rPr>
        <w:t xml:space="preserve">to </w:t>
      </w:r>
      <w:r>
        <w:rPr>
          <w:rFonts w:ascii="Arial" w:hAnsi="Arial"/>
          <w:color w:val="001F5F"/>
          <w:w w:val="105"/>
          <w:sz w:val="24"/>
        </w:rPr>
        <w:t>product’s</w:t>
      </w:r>
      <w:r>
        <w:rPr>
          <w:rFonts w:ascii="Arial" w:hAnsi="Arial"/>
          <w:color w:val="001F5F"/>
          <w:spacing w:val="-26"/>
          <w:w w:val="105"/>
          <w:sz w:val="24"/>
        </w:rPr>
        <w:t xml:space="preserve"> </w:t>
      </w:r>
      <w:r>
        <w:rPr>
          <w:rFonts w:ascii="Arial" w:hAnsi="Arial"/>
          <w:color w:val="001F5F"/>
          <w:w w:val="105"/>
          <w:sz w:val="24"/>
        </w:rPr>
        <w:t>market appeal</w:t>
      </w:r>
    </w:p>
    <w:p w:rsidR="007D76BB" w:rsidRDefault="00D70D28">
      <w:pPr>
        <w:spacing w:before="105"/>
        <w:ind w:left="409"/>
        <w:rPr>
          <w:rFonts w:ascii="Arial"/>
          <w:sz w:val="24"/>
        </w:rPr>
      </w:pPr>
      <w:r>
        <w:br w:type="column"/>
      </w:r>
      <w:r>
        <w:rPr>
          <w:rFonts w:ascii="Arial"/>
          <w:color w:val="001F5F"/>
          <w:w w:val="105"/>
          <w:sz w:val="24"/>
        </w:rPr>
        <w:lastRenderedPageBreak/>
        <w:t>Change</w:t>
      </w:r>
      <w:r>
        <w:rPr>
          <w:rFonts w:ascii="Arial"/>
          <w:color w:val="001F5F"/>
          <w:spacing w:val="-55"/>
          <w:w w:val="105"/>
          <w:sz w:val="24"/>
        </w:rPr>
        <w:t xml:space="preserve"> </w:t>
      </w:r>
      <w:r>
        <w:rPr>
          <w:rFonts w:ascii="Arial"/>
          <w:color w:val="001F5F"/>
          <w:spacing w:val="-4"/>
          <w:w w:val="105"/>
          <w:sz w:val="24"/>
        </w:rPr>
        <w:t xml:space="preserve">the </w:t>
      </w:r>
      <w:r>
        <w:rPr>
          <w:rFonts w:ascii="Arial"/>
          <w:color w:val="001F5F"/>
          <w:spacing w:val="-3"/>
          <w:w w:val="105"/>
          <w:sz w:val="24"/>
        </w:rPr>
        <w:t>formulation</w:t>
      </w:r>
    </w:p>
    <w:p w:rsidR="007D76BB" w:rsidRDefault="00D70D28">
      <w:pPr>
        <w:pStyle w:val="ListParagraph"/>
        <w:numPr>
          <w:ilvl w:val="0"/>
          <w:numId w:val="6"/>
        </w:numPr>
        <w:tabs>
          <w:tab w:val="left" w:pos="781"/>
        </w:tabs>
        <w:spacing w:before="244" w:line="249" w:lineRule="auto"/>
        <w:ind w:right="281"/>
        <w:rPr>
          <w:rFonts w:ascii="Arial" w:hAnsi="Arial"/>
          <w:sz w:val="24"/>
        </w:rPr>
      </w:pPr>
      <w:r>
        <w:rPr>
          <w:rFonts w:ascii="Arial" w:hAnsi="Arial"/>
          <w:color w:val="001F5F"/>
          <w:w w:val="105"/>
          <w:sz w:val="24"/>
        </w:rPr>
        <w:t xml:space="preserve">Most likely response for in- </w:t>
      </w:r>
      <w:r>
        <w:rPr>
          <w:rFonts w:ascii="Arial" w:hAnsi="Arial"/>
          <w:color w:val="001F5F"/>
          <w:spacing w:val="-3"/>
          <w:w w:val="105"/>
          <w:sz w:val="24"/>
        </w:rPr>
        <w:t xml:space="preserve">scope </w:t>
      </w:r>
      <w:r>
        <w:rPr>
          <w:rFonts w:ascii="Arial" w:hAnsi="Arial"/>
          <w:color w:val="001F5F"/>
          <w:w w:val="105"/>
          <w:sz w:val="24"/>
        </w:rPr>
        <w:t xml:space="preserve">powders/bars </w:t>
      </w:r>
      <w:r>
        <w:rPr>
          <w:rFonts w:ascii="Arial" w:hAnsi="Arial"/>
          <w:color w:val="001F5F"/>
          <w:spacing w:val="-3"/>
          <w:w w:val="105"/>
          <w:sz w:val="24"/>
        </w:rPr>
        <w:t xml:space="preserve">to </w:t>
      </w:r>
      <w:r>
        <w:rPr>
          <w:rFonts w:ascii="Arial" w:hAnsi="Arial"/>
          <w:color w:val="001F5F"/>
          <w:w w:val="105"/>
          <w:sz w:val="24"/>
        </w:rPr>
        <w:t xml:space="preserve">avoid </w:t>
      </w:r>
      <w:r>
        <w:rPr>
          <w:rFonts w:ascii="Arial" w:hAnsi="Arial"/>
          <w:color w:val="001F5F"/>
          <w:spacing w:val="2"/>
          <w:w w:val="105"/>
          <w:sz w:val="24"/>
        </w:rPr>
        <w:t xml:space="preserve">TGA </w:t>
      </w:r>
      <w:r>
        <w:rPr>
          <w:rFonts w:ascii="Arial" w:hAnsi="Arial"/>
          <w:color w:val="001F5F"/>
          <w:w w:val="105"/>
          <w:sz w:val="24"/>
        </w:rPr>
        <w:t>regulatory capture and remains</w:t>
      </w:r>
      <w:r>
        <w:rPr>
          <w:rFonts w:ascii="Arial" w:hAnsi="Arial"/>
          <w:color w:val="001F5F"/>
          <w:spacing w:val="-46"/>
          <w:w w:val="105"/>
          <w:sz w:val="24"/>
        </w:rPr>
        <w:t xml:space="preserve"> </w:t>
      </w:r>
      <w:r>
        <w:rPr>
          <w:rFonts w:ascii="Arial" w:hAnsi="Arial"/>
          <w:color w:val="001F5F"/>
          <w:spacing w:val="2"/>
          <w:w w:val="105"/>
          <w:sz w:val="24"/>
        </w:rPr>
        <w:t>as</w:t>
      </w:r>
      <w:r>
        <w:rPr>
          <w:rFonts w:ascii="Arial" w:hAnsi="Arial"/>
          <w:color w:val="001F5F"/>
          <w:spacing w:val="-40"/>
          <w:w w:val="105"/>
          <w:sz w:val="24"/>
        </w:rPr>
        <w:t xml:space="preserve"> </w:t>
      </w:r>
      <w:r>
        <w:rPr>
          <w:rFonts w:ascii="Arial" w:hAnsi="Arial"/>
          <w:color w:val="001F5F"/>
          <w:w w:val="105"/>
          <w:sz w:val="24"/>
        </w:rPr>
        <w:t>a</w:t>
      </w:r>
      <w:r>
        <w:rPr>
          <w:rFonts w:ascii="Arial" w:hAnsi="Arial"/>
          <w:color w:val="001F5F"/>
          <w:spacing w:val="-39"/>
          <w:w w:val="105"/>
          <w:sz w:val="24"/>
        </w:rPr>
        <w:t xml:space="preserve"> </w:t>
      </w:r>
      <w:r>
        <w:rPr>
          <w:rFonts w:ascii="Arial" w:hAnsi="Arial"/>
          <w:color w:val="001F5F"/>
          <w:spacing w:val="-4"/>
          <w:w w:val="105"/>
          <w:sz w:val="24"/>
        </w:rPr>
        <w:t>food</w:t>
      </w:r>
    </w:p>
    <w:p w:rsidR="007D76BB" w:rsidRDefault="00D70D28">
      <w:pPr>
        <w:spacing w:before="105"/>
        <w:ind w:left="238"/>
        <w:rPr>
          <w:rFonts w:ascii="Arial"/>
          <w:sz w:val="24"/>
        </w:rPr>
      </w:pPr>
      <w:r>
        <w:br w:type="column"/>
      </w:r>
      <w:r>
        <w:rPr>
          <w:rFonts w:ascii="Arial"/>
          <w:color w:val="001F5F"/>
          <w:w w:val="105"/>
          <w:sz w:val="24"/>
        </w:rPr>
        <w:lastRenderedPageBreak/>
        <w:t>Change the presentation</w:t>
      </w:r>
    </w:p>
    <w:p w:rsidR="007D76BB" w:rsidRDefault="00D70D28">
      <w:pPr>
        <w:pStyle w:val="ListParagraph"/>
        <w:numPr>
          <w:ilvl w:val="0"/>
          <w:numId w:val="5"/>
        </w:numPr>
        <w:tabs>
          <w:tab w:val="left" w:pos="588"/>
        </w:tabs>
        <w:spacing w:before="190" w:line="249" w:lineRule="auto"/>
        <w:ind w:right="1605"/>
        <w:rPr>
          <w:rFonts w:ascii="Arial" w:hAnsi="Arial"/>
          <w:sz w:val="24"/>
        </w:rPr>
      </w:pPr>
      <w:r>
        <w:rPr>
          <w:rFonts w:ascii="Arial" w:hAnsi="Arial"/>
          <w:color w:val="001F5F"/>
          <w:w w:val="105"/>
          <w:sz w:val="24"/>
        </w:rPr>
        <w:t xml:space="preserve">Unlikely </w:t>
      </w:r>
      <w:r>
        <w:rPr>
          <w:rFonts w:ascii="Arial" w:hAnsi="Arial"/>
          <w:color w:val="001F5F"/>
          <w:spacing w:val="-3"/>
          <w:w w:val="105"/>
          <w:sz w:val="24"/>
        </w:rPr>
        <w:t xml:space="preserve">to </w:t>
      </w:r>
      <w:r>
        <w:rPr>
          <w:rFonts w:ascii="Arial" w:hAnsi="Arial"/>
          <w:color w:val="001F5F"/>
          <w:w w:val="105"/>
          <w:sz w:val="24"/>
        </w:rPr>
        <w:t xml:space="preserve">do </w:t>
      </w:r>
      <w:r>
        <w:rPr>
          <w:rFonts w:ascii="Arial" w:hAnsi="Arial"/>
          <w:color w:val="001F5F"/>
          <w:spacing w:val="-3"/>
          <w:w w:val="105"/>
          <w:sz w:val="24"/>
        </w:rPr>
        <w:t xml:space="preserve">so </w:t>
      </w:r>
      <w:r>
        <w:rPr>
          <w:rFonts w:ascii="Arial" w:hAnsi="Arial"/>
          <w:color w:val="001F5F"/>
          <w:spacing w:val="2"/>
          <w:w w:val="105"/>
          <w:sz w:val="24"/>
        </w:rPr>
        <w:t xml:space="preserve">as </w:t>
      </w:r>
      <w:r>
        <w:rPr>
          <w:rFonts w:ascii="Arial" w:hAnsi="Arial"/>
          <w:color w:val="001F5F"/>
          <w:w w:val="105"/>
          <w:sz w:val="24"/>
        </w:rPr>
        <w:t xml:space="preserve">presentation fundamental </w:t>
      </w:r>
      <w:r>
        <w:rPr>
          <w:rFonts w:ascii="Arial" w:hAnsi="Arial"/>
          <w:color w:val="001F5F"/>
          <w:spacing w:val="-3"/>
          <w:w w:val="105"/>
          <w:sz w:val="24"/>
        </w:rPr>
        <w:t xml:space="preserve">to </w:t>
      </w:r>
      <w:r>
        <w:rPr>
          <w:rFonts w:ascii="Arial" w:hAnsi="Arial"/>
          <w:color w:val="001F5F"/>
          <w:w w:val="105"/>
          <w:sz w:val="24"/>
        </w:rPr>
        <w:t>product’s</w:t>
      </w:r>
      <w:r>
        <w:rPr>
          <w:rFonts w:ascii="Arial" w:hAnsi="Arial"/>
          <w:color w:val="001F5F"/>
          <w:spacing w:val="-24"/>
          <w:w w:val="105"/>
          <w:sz w:val="24"/>
        </w:rPr>
        <w:t xml:space="preserve"> </w:t>
      </w:r>
      <w:r>
        <w:rPr>
          <w:rFonts w:ascii="Arial" w:hAnsi="Arial"/>
          <w:color w:val="001F5F"/>
          <w:w w:val="105"/>
          <w:sz w:val="24"/>
        </w:rPr>
        <w:t>market appeal</w:t>
      </w:r>
    </w:p>
    <w:p w:rsidR="007D76BB" w:rsidRDefault="007D76BB">
      <w:pPr>
        <w:spacing w:line="249" w:lineRule="auto"/>
        <w:rPr>
          <w:rFonts w:ascii="Arial" w:hAnsi="Arial"/>
          <w:sz w:val="24"/>
        </w:rPr>
        <w:sectPr w:rsidR="007D76BB">
          <w:type w:val="continuous"/>
          <w:pgSz w:w="11910" w:h="16850"/>
          <w:pgMar w:top="1220" w:right="820" w:bottom="280" w:left="1220" w:header="720" w:footer="720" w:gutter="0"/>
          <w:cols w:num="3" w:space="720" w:equalWidth="0">
            <w:col w:w="2805" w:space="40"/>
            <w:col w:w="2939" w:space="39"/>
            <w:col w:w="4047"/>
          </w:cols>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1"/>
        </w:rPr>
      </w:pPr>
    </w:p>
    <w:p w:rsidR="007D76BB" w:rsidRDefault="00D70D28">
      <w:pPr>
        <w:ind w:left="482"/>
        <w:rPr>
          <w:rFonts w:ascii="Lucida Sans"/>
          <w:b/>
          <w:sz w:val="20"/>
        </w:rPr>
      </w:pPr>
      <w:r>
        <w:rPr>
          <w:rFonts w:ascii="Lucida Sans"/>
          <w:b/>
          <w:sz w:val="20"/>
        </w:rPr>
        <w:t>Determination of current population</w:t>
      </w:r>
    </w:p>
    <w:p w:rsidR="007D76BB" w:rsidRDefault="00D70D28">
      <w:pPr>
        <w:spacing w:before="203" w:line="264" w:lineRule="auto"/>
        <w:ind w:left="482" w:right="950"/>
        <w:rPr>
          <w:rFonts w:ascii="Arial"/>
          <w:sz w:val="19"/>
        </w:rPr>
      </w:pPr>
      <w:r>
        <w:rPr>
          <w:rFonts w:ascii="Arial"/>
          <w:w w:val="105"/>
          <w:sz w:val="19"/>
        </w:rPr>
        <w:t>As sports supplements to date have largely been regulated in the food space (under FSANZ Standards</w:t>
      </w:r>
      <w:r>
        <w:rPr>
          <w:rFonts w:ascii="Arial"/>
          <w:spacing w:val="-24"/>
          <w:w w:val="105"/>
          <w:sz w:val="19"/>
        </w:rPr>
        <w:t xml:space="preserve"> </w:t>
      </w:r>
      <w:r>
        <w:rPr>
          <w:rFonts w:ascii="Arial"/>
          <w:w w:val="105"/>
          <w:sz w:val="19"/>
        </w:rPr>
        <w:t>and</w:t>
      </w:r>
      <w:r>
        <w:rPr>
          <w:rFonts w:ascii="Arial"/>
          <w:spacing w:val="-24"/>
          <w:w w:val="105"/>
          <w:sz w:val="19"/>
        </w:rPr>
        <w:t xml:space="preserve"> </w:t>
      </w:r>
      <w:r>
        <w:rPr>
          <w:rFonts w:ascii="Arial"/>
          <w:w w:val="105"/>
          <w:sz w:val="19"/>
        </w:rPr>
        <w:t>regulated</w:t>
      </w:r>
      <w:r>
        <w:rPr>
          <w:rFonts w:ascii="Arial"/>
          <w:spacing w:val="-24"/>
          <w:w w:val="105"/>
          <w:sz w:val="19"/>
        </w:rPr>
        <w:t xml:space="preserve"> </w:t>
      </w:r>
      <w:r>
        <w:rPr>
          <w:rFonts w:ascii="Arial"/>
          <w:w w:val="105"/>
          <w:sz w:val="19"/>
        </w:rPr>
        <w:t>by</w:t>
      </w:r>
      <w:r>
        <w:rPr>
          <w:rFonts w:ascii="Arial"/>
          <w:spacing w:val="-24"/>
          <w:w w:val="105"/>
          <w:sz w:val="19"/>
        </w:rPr>
        <w:t xml:space="preserve"> </w:t>
      </w:r>
      <w:r>
        <w:rPr>
          <w:rFonts w:ascii="Arial"/>
          <w:w w:val="105"/>
          <w:sz w:val="19"/>
        </w:rPr>
        <w:t>individual</w:t>
      </w:r>
      <w:r>
        <w:rPr>
          <w:rFonts w:ascii="Arial"/>
          <w:spacing w:val="-23"/>
          <w:w w:val="105"/>
          <w:sz w:val="19"/>
        </w:rPr>
        <w:t xml:space="preserve"> </w:t>
      </w:r>
      <w:r>
        <w:rPr>
          <w:rFonts w:ascii="Arial"/>
          <w:w w:val="105"/>
          <w:sz w:val="19"/>
        </w:rPr>
        <w:t>States</w:t>
      </w:r>
      <w:r>
        <w:rPr>
          <w:rFonts w:ascii="Arial"/>
          <w:spacing w:val="-24"/>
          <w:w w:val="105"/>
          <w:sz w:val="19"/>
        </w:rPr>
        <w:t xml:space="preserve"> </w:t>
      </w:r>
      <w:r>
        <w:rPr>
          <w:rFonts w:ascii="Arial"/>
          <w:w w:val="105"/>
          <w:sz w:val="19"/>
        </w:rPr>
        <w:t>and</w:t>
      </w:r>
      <w:r>
        <w:rPr>
          <w:rFonts w:ascii="Arial"/>
          <w:spacing w:val="-25"/>
          <w:w w:val="105"/>
          <w:sz w:val="19"/>
        </w:rPr>
        <w:t xml:space="preserve"> </w:t>
      </w:r>
      <w:r>
        <w:rPr>
          <w:rFonts w:ascii="Arial"/>
          <w:w w:val="105"/>
          <w:sz w:val="19"/>
        </w:rPr>
        <w:t>Territories),</w:t>
      </w:r>
      <w:r>
        <w:rPr>
          <w:rFonts w:ascii="Arial"/>
          <w:spacing w:val="-22"/>
          <w:w w:val="105"/>
          <w:sz w:val="19"/>
        </w:rPr>
        <w:t xml:space="preserve"> </w:t>
      </w:r>
      <w:r>
        <w:rPr>
          <w:rFonts w:ascii="Arial"/>
          <w:w w:val="105"/>
          <w:sz w:val="19"/>
        </w:rPr>
        <w:t>the</w:t>
      </w:r>
      <w:r>
        <w:rPr>
          <w:rFonts w:ascii="Arial"/>
          <w:spacing w:val="-25"/>
          <w:w w:val="105"/>
          <w:sz w:val="19"/>
        </w:rPr>
        <w:t xml:space="preserve"> </w:t>
      </w:r>
      <w:r>
        <w:rPr>
          <w:rFonts w:ascii="Arial"/>
          <w:w w:val="105"/>
          <w:sz w:val="19"/>
        </w:rPr>
        <w:t>current</w:t>
      </w:r>
      <w:r>
        <w:rPr>
          <w:rFonts w:ascii="Arial"/>
          <w:spacing w:val="-21"/>
          <w:w w:val="105"/>
          <w:sz w:val="19"/>
        </w:rPr>
        <w:t xml:space="preserve"> </w:t>
      </w:r>
      <w:r>
        <w:rPr>
          <w:rFonts w:ascii="Arial"/>
          <w:w w:val="105"/>
          <w:sz w:val="19"/>
        </w:rPr>
        <w:t>population</w:t>
      </w:r>
      <w:r>
        <w:rPr>
          <w:rFonts w:ascii="Arial"/>
          <w:spacing w:val="-23"/>
          <w:w w:val="105"/>
          <w:sz w:val="19"/>
        </w:rPr>
        <w:t xml:space="preserve"> </w:t>
      </w:r>
      <w:r>
        <w:rPr>
          <w:rFonts w:ascii="Arial"/>
          <w:w w:val="105"/>
          <w:sz w:val="19"/>
        </w:rPr>
        <w:t>of</w:t>
      </w:r>
      <w:r>
        <w:rPr>
          <w:rFonts w:ascii="Arial"/>
          <w:spacing w:val="-25"/>
          <w:w w:val="105"/>
          <w:sz w:val="19"/>
        </w:rPr>
        <w:t xml:space="preserve"> </w:t>
      </w:r>
      <w:r>
        <w:rPr>
          <w:rFonts w:ascii="Arial"/>
          <w:w w:val="105"/>
          <w:sz w:val="19"/>
        </w:rPr>
        <w:t>products</w:t>
      </w:r>
      <w:r>
        <w:rPr>
          <w:rFonts w:ascii="Arial"/>
          <w:spacing w:val="-22"/>
          <w:w w:val="105"/>
          <w:sz w:val="19"/>
        </w:rPr>
        <w:t xml:space="preserve"> </w:t>
      </w:r>
      <w:r>
        <w:rPr>
          <w:rFonts w:ascii="Arial"/>
          <w:w w:val="105"/>
          <w:sz w:val="19"/>
        </w:rPr>
        <w:t>is mostly</w:t>
      </w:r>
      <w:r>
        <w:rPr>
          <w:rFonts w:ascii="Arial"/>
          <w:spacing w:val="-17"/>
          <w:w w:val="105"/>
          <w:sz w:val="19"/>
        </w:rPr>
        <w:t xml:space="preserve"> </w:t>
      </w:r>
      <w:r>
        <w:rPr>
          <w:rFonts w:ascii="Arial"/>
          <w:w w:val="105"/>
          <w:sz w:val="19"/>
        </w:rPr>
        <w:t>not</w:t>
      </w:r>
      <w:r>
        <w:rPr>
          <w:rFonts w:ascii="Arial"/>
          <w:spacing w:val="-19"/>
          <w:w w:val="105"/>
          <w:sz w:val="19"/>
        </w:rPr>
        <w:t xml:space="preserve"> </w:t>
      </w:r>
      <w:r>
        <w:rPr>
          <w:rFonts w:ascii="Arial"/>
          <w:w w:val="105"/>
          <w:sz w:val="19"/>
        </w:rPr>
        <w:t>listed</w:t>
      </w:r>
      <w:r>
        <w:rPr>
          <w:rFonts w:ascii="Arial"/>
          <w:spacing w:val="-18"/>
          <w:w w:val="105"/>
          <w:sz w:val="19"/>
        </w:rPr>
        <w:t xml:space="preserve"> </w:t>
      </w:r>
      <w:r>
        <w:rPr>
          <w:rFonts w:ascii="Arial"/>
          <w:w w:val="105"/>
          <w:sz w:val="19"/>
        </w:rPr>
        <w:t>and/or</w:t>
      </w:r>
      <w:r>
        <w:rPr>
          <w:rFonts w:ascii="Arial"/>
          <w:spacing w:val="-18"/>
          <w:w w:val="105"/>
          <w:sz w:val="19"/>
        </w:rPr>
        <w:t xml:space="preserve"> </w:t>
      </w:r>
      <w:r>
        <w:rPr>
          <w:rFonts w:ascii="Arial"/>
          <w:w w:val="105"/>
          <w:sz w:val="19"/>
        </w:rPr>
        <w:t>registered</w:t>
      </w:r>
      <w:r>
        <w:rPr>
          <w:rFonts w:ascii="Arial"/>
          <w:spacing w:val="-20"/>
          <w:w w:val="105"/>
          <w:sz w:val="19"/>
        </w:rPr>
        <w:t xml:space="preserve"> </w:t>
      </w:r>
      <w:r>
        <w:rPr>
          <w:rFonts w:ascii="Arial"/>
          <w:w w:val="105"/>
          <w:sz w:val="19"/>
        </w:rPr>
        <w:t>with</w:t>
      </w:r>
      <w:r>
        <w:rPr>
          <w:rFonts w:ascii="Arial"/>
          <w:spacing w:val="-19"/>
          <w:w w:val="105"/>
          <w:sz w:val="19"/>
        </w:rPr>
        <w:t xml:space="preserve"> </w:t>
      </w:r>
      <w:r>
        <w:rPr>
          <w:rFonts w:ascii="Arial"/>
          <w:w w:val="105"/>
          <w:sz w:val="19"/>
        </w:rPr>
        <w:t>the</w:t>
      </w:r>
      <w:r>
        <w:rPr>
          <w:rFonts w:ascii="Arial"/>
          <w:spacing w:val="-17"/>
          <w:w w:val="105"/>
          <w:sz w:val="19"/>
        </w:rPr>
        <w:t xml:space="preserve"> </w:t>
      </w:r>
      <w:r>
        <w:rPr>
          <w:rFonts w:ascii="Arial"/>
          <w:w w:val="105"/>
          <w:sz w:val="19"/>
        </w:rPr>
        <w:t>TGA</w:t>
      </w:r>
      <w:r>
        <w:rPr>
          <w:rFonts w:ascii="Arial"/>
          <w:spacing w:val="-17"/>
          <w:w w:val="105"/>
          <w:sz w:val="19"/>
        </w:rPr>
        <w:t xml:space="preserve"> </w:t>
      </w:r>
      <w:r>
        <w:rPr>
          <w:rFonts w:ascii="Arial"/>
          <w:w w:val="105"/>
          <w:sz w:val="19"/>
        </w:rPr>
        <w:t>(in</w:t>
      </w:r>
      <w:r>
        <w:rPr>
          <w:rFonts w:ascii="Arial"/>
          <w:spacing w:val="-18"/>
          <w:w w:val="105"/>
          <w:sz w:val="19"/>
        </w:rPr>
        <w:t xml:space="preserve"> </w:t>
      </w:r>
      <w:r>
        <w:rPr>
          <w:rFonts w:ascii="Arial"/>
          <w:w w:val="105"/>
          <w:sz w:val="19"/>
        </w:rPr>
        <w:t>the</w:t>
      </w:r>
      <w:r>
        <w:rPr>
          <w:rFonts w:ascii="Arial"/>
          <w:spacing w:val="-19"/>
          <w:w w:val="105"/>
          <w:sz w:val="19"/>
        </w:rPr>
        <w:t xml:space="preserve"> </w:t>
      </w:r>
      <w:r>
        <w:rPr>
          <w:rFonts w:ascii="Arial"/>
          <w:w w:val="105"/>
          <w:sz w:val="19"/>
        </w:rPr>
        <w:t>ARTG)</w:t>
      </w:r>
      <w:r>
        <w:rPr>
          <w:rFonts w:ascii="Arial"/>
          <w:spacing w:val="-17"/>
          <w:w w:val="105"/>
          <w:sz w:val="19"/>
        </w:rPr>
        <w:t xml:space="preserve"> </w:t>
      </w:r>
      <w:r>
        <w:rPr>
          <w:rFonts w:ascii="Arial"/>
          <w:w w:val="105"/>
          <w:sz w:val="19"/>
        </w:rPr>
        <w:t>nor</w:t>
      </w:r>
      <w:r>
        <w:rPr>
          <w:rFonts w:ascii="Arial"/>
          <w:spacing w:val="-17"/>
          <w:w w:val="105"/>
          <w:sz w:val="19"/>
        </w:rPr>
        <w:t xml:space="preserve"> </w:t>
      </w:r>
      <w:r>
        <w:rPr>
          <w:rFonts w:ascii="Arial"/>
          <w:w w:val="105"/>
          <w:sz w:val="19"/>
        </w:rPr>
        <w:t>is</w:t>
      </w:r>
      <w:r>
        <w:rPr>
          <w:rFonts w:ascii="Arial"/>
          <w:spacing w:val="-18"/>
          <w:w w:val="105"/>
          <w:sz w:val="19"/>
        </w:rPr>
        <w:t xml:space="preserve"> </w:t>
      </w:r>
      <w:r>
        <w:rPr>
          <w:rFonts w:ascii="Arial"/>
          <w:w w:val="105"/>
          <w:sz w:val="19"/>
        </w:rPr>
        <w:t>there</w:t>
      </w:r>
      <w:r>
        <w:rPr>
          <w:rFonts w:ascii="Arial"/>
          <w:spacing w:val="-18"/>
          <w:w w:val="105"/>
          <w:sz w:val="19"/>
        </w:rPr>
        <w:t xml:space="preserve"> </w:t>
      </w:r>
      <w:r>
        <w:rPr>
          <w:rFonts w:ascii="Arial"/>
          <w:w w:val="105"/>
          <w:sz w:val="19"/>
        </w:rPr>
        <w:t>an</w:t>
      </w:r>
      <w:r>
        <w:rPr>
          <w:rFonts w:ascii="Arial"/>
          <w:spacing w:val="-19"/>
          <w:w w:val="105"/>
          <w:sz w:val="19"/>
        </w:rPr>
        <w:t xml:space="preserve"> </w:t>
      </w:r>
      <w:r>
        <w:rPr>
          <w:rFonts w:ascii="Arial"/>
          <w:w w:val="105"/>
          <w:sz w:val="19"/>
        </w:rPr>
        <w:t>equivalent</w:t>
      </w:r>
      <w:r>
        <w:rPr>
          <w:rFonts w:ascii="Arial"/>
          <w:spacing w:val="-18"/>
          <w:w w:val="105"/>
          <w:sz w:val="19"/>
        </w:rPr>
        <w:t xml:space="preserve"> </w:t>
      </w:r>
      <w:r>
        <w:rPr>
          <w:rFonts w:ascii="Arial"/>
          <w:w w:val="105"/>
          <w:sz w:val="19"/>
        </w:rPr>
        <w:t>data</w:t>
      </w:r>
      <w:r>
        <w:rPr>
          <w:rFonts w:ascii="Arial"/>
          <w:spacing w:val="-19"/>
          <w:w w:val="105"/>
          <w:sz w:val="19"/>
        </w:rPr>
        <w:t xml:space="preserve"> </w:t>
      </w:r>
      <w:r>
        <w:rPr>
          <w:rFonts w:ascii="Arial"/>
          <w:w w:val="105"/>
          <w:sz w:val="19"/>
        </w:rPr>
        <w:t>set for</w:t>
      </w:r>
      <w:r>
        <w:rPr>
          <w:rFonts w:ascii="Arial"/>
          <w:spacing w:val="-22"/>
          <w:w w:val="105"/>
          <w:sz w:val="19"/>
        </w:rPr>
        <w:t xml:space="preserve"> </w:t>
      </w:r>
      <w:r>
        <w:rPr>
          <w:rFonts w:ascii="Arial"/>
          <w:w w:val="105"/>
          <w:sz w:val="19"/>
        </w:rPr>
        <w:t>FSANZ/State</w:t>
      </w:r>
      <w:r>
        <w:rPr>
          <w:rFonts w:ascii="Arial"/>
          <w:spacing w:val="-22"/>
          <w:w w:val="105"/>
          <w:sz w:val="19"/>
        </w:rPr>
        <w:t xml:space="preserve"> </w:t>
      </w:r>
      <w:r>
        <w:rPr>
          <w:rFonts w:ascii="Arial"/>
          <w:w w:val="105"/>
          <w:sz w:val="19"/>
        </w:rPr>
        <w:t>and</w:t>
      </w:r>
      <w:r>
        <w:rPr>
          <w:rFonts w:ascii="Arial"/>
          <w:spacing w:val="-23"/>
          <w:w w:val="105"/>
          <w:sz w:val="19"/>
        </w:rPr>
        <w:t xml:space="preserve"> </w:t>
      </w:r>
      <w:r>
        <w:rPr>
          <w:rFonts w:ascii="Arial"/>
          <w:w w:val="105"/>
          <w:sz w:val="19"/>
        </w:rPr>
        <w:t>Territory</w:t>
      </w:r>
      <w:r>
        <w:rPr>
          <w:rFonts w:ascii="Arial"/>
          <w:spacing w:val="-22"/>
          <w:w w:val="105"/>
          <w:sz w:val="19"/>
        </w:rPr>
        <w:t xml:space="preserve"> </w:t>
      </w:r>
      <w:r>
        <w:rPr>
          <w:rFonts w:ascii="Arial"/>
          <w:w w:val="105"/>
          <w:sz w:val="19"/>
        </w:rPr>
        <w:t>food</w:t>
      </w:r>
      <w:r>
        <w:rPr>
          <w:rFonts w:ascii="Arial"/>
          <w:spacing w:val="-23"/>
          <w:w w:val="105"/>
          <w:sz w:val="19"/>
        </w:rPr>
        <w:t xml:space="preserve"> </w:t>
      </w:r>
      <w:r>
        <w:rPr>
          <w:rFonts w:ascii="Arial"/>
          <w:w w:val="105"/>
          <w:sz w:val="19"/>
        </w:rPr>
        <w:t>products.</w:t>
      </w:r>
      <w:r>
        <w:rPr>
          <w:rFonts w:ascii="Arial"/>
          <w:spacing w:val="-19"/>
          <w:w w:val="105"/>
          <w:sz w:val="19"/>
        </w:rPr>
        <w:t xml:space="preserve"> </w:t>
      </w:r>
      <w:r>
        <w:rPr>
          <w:rFonts w:ascii="Arial"/>
          <w:w w:val="105"/>
          <w:sz w:val="19"/>
        </w:rPr>
        <w:t>Noetic</w:t>
      </w:r>
      <w:r>
        <w:rPr>
          <w:rFonts w:ascii="Arial"/>
          <w:spacing w:val="-23"/>
          <w:w w:val="105"/>
          <w:sz w:val="19"/>
        </w:rPr>
        <w:t xml:space="preserve"> </w:t>
      </w:r>
      <w:r>
        <w:rPr>
          <w:rFonts w:ascii="Arial"/>
          <w:w w:val="105"/>
          <w:sz w:val="19"/>
        </w:rPr>
        <w:t>therefore</w:t>
      </w:r>
      <w:r>
        <w:rPr>
          <w:rFonts w:ascii="Arial"/>
          <w:spacing w:val="-21"/>
          <w:w w:val="105"/>
          <w:sz w:val="19"/>
        </w:rPr>
        <w:t xml:space="preserve"> </w:t>
      </w:r>
      <w:r>
        <w:rPr>
          <w:rFonts w:ascii="Arial"/>
          <w:w w:val="105"/>
          <w:sz w:val="19"/>
        </w:rPr>
        <w:t>needed</w:t>
      </w:r>
      <w:r>
        <w:rPr>
          <w:rFonts w:ascii="Arial"/>
          <w:spacing w:val="-23"/>
          <w:w w:val="105"/>
          <w:sz w:val="19"/>
        </w:rPr>
        <w:t xml:space="preserve"> </w:t>
      </w:r>
      <w:r>
        <w:rPr>
          <w:rFonts w:ascii="Arial"/>
          <w:w w:val="105"/>
          <w:sz w:val="19"/>
        </w:rPr>
        <w:t>to</w:t>
      </w:r>
      <w:r>
        <w:rPr>
          <w:rFonts w:ascii="Arial"/>
          <w:spacing w:val="-24"/>
          <w:w w:val="105"/>
          <w:sz w:val="19"/>
        </w:rPr>
        <w:t xml:space="preserve"> </w:t>
      </w:r>
      <w:r>
        <w:rPr>
          <w:rFonts w:ascii="Arial"/>
          <w:w w:val="105"/>
          <w:sz w:val="19"/>
        </w:rPr>
        <w:t>create</w:t>
      </w:r>
      <w:r>
        <w:rPr>
          <w:rFonts w:ascii="Arial"/>
          <w:spacing w:val="-21"/>
          <w:w w:val="105"/>
          <w:sz w:val="19"/>
        </w:rPr>
        <w:t xml:space="preserve"> </w:t>
      </w:r>
      <w:r>
        <w:rPr>
          <w:rFonts w:ascii="Arial"/>
          <w:w w:val="105"/>
          <w:sz w:val="19"/>
        </w:rPr>
        <w:t>a</w:t>
      </w:r>
      <w:r>
        <w:rPr>
          <w:rFonts w:ascii="Arial"/>
          <w:spacing w:val="-23"/>
          <w:w w:val="105"/>
          <w:sz w:val="19"/>
        </w:rPr>
        <w:t xml:space="preserve"> </w:t>
      </w:r>
      <w:r>
        <w:rPr>
          <w:rFonts w:ascii="Arial"/>
          <w:w w:val="105"/>
          <w:sz w:val="19"/>
        </w:rPr>
        <w:t>product</w:t>
      </w:r>
      <w:r>
        <w:rPr>
          <w:rFonts w:ascii="Arial"/>
          <w:spacing w:val="-22"/>
          <w:w w:val="105"/>
          <w:sz w:val="19"/>
        </w:rPr>
        <w:t xml:space="preserve"> </w:t>
      </w:r>
      <w:r>
        <w:rPr>
          <w:rFonts w:ascii="Arial"/>
          <w:w w:val="105"/>
          <w:sz w:val="19"/>
        </w:rPr>
        <w:t>dataset.</w:t>
      </w:r>
    </w:p>
    <w:p w:rsidR="007D76BB" w:rsidRDefault="00D70D28">
      <w:pPr>
        <w:spacing w:before="181" w:line="264" w:lineRule="auto"/>
        <w:ind w:left="482" w:right="921"/>
        <w:rPr>
          <w:rFonts w:ascii="Arial" w:hAnsi="Arial"/>
          <w:sz w:val="19"/>
        </w:rPr>
      </w:pPr>
      <w:r>
        <w:rPr>
          <w:rFonts w:ascii="Arial" w:hAnsi="Arial"/>
          <w:w w:val="105"/>
          <w:sz w:val="19"/>
        </w:rPr>
        <w:t>Noetic</w:t>
      </w:r>
      <w:r>
        <w:rPr>
          <w:rFonts w:ascii="Arial" w:hAnsi="Arial"/>
          <w:spacing w:val="-23"/>
          <w:w w:val="105"/>
          <w:sz w:val="19"/>
        </w:rPr>
        <w:t xml:space="preserve"> </w:t>
      </w:r>
      <w:r>
        <w:rPr>
          <w:rFonts w:ascii="Arial" w:hAnsi="Arial"/>
          <w:w w:val="105"/>
          <w:sz w:val="19"/>
        </w:rPr>
        <w:t>consulted</w:t>
      </w:r>
      <w:r>
        <w:rPr>
          <w:rFonts w:ascii="Arial" w:hAnsi="Arial"/>
          <w:spacing w:val="-23"/>
          <w:w w:val="105"/>
          <w:sz w:val="19"/>
        </w:rPr>
        <w:t xml:space="preserve"> </w:t>
      </w:r>
      <w:r>
        <w:rPr>
          <w:rFonts w:ascii="Arial" w:hAnsi="Arial"/>
          <w:w w:val="105"/>
          <w:sz w:val="19"/>
        </w:rPr>
        <w:t>several</w:t>
      </w:r>
      <w:r>
        <w:rPr>
          <w:rFonts w:ascii="Arial" w:hAnsi="Arial"/>
          <w:spacing w:val="-23"/>
          <w:w w:val="105"/>
          <w:sz w:val="19"/>
        </w:rPr>
        <w:t xml:space="preserve"> </w:t>
      </w:r>
      <w:r>
        <w:rPr>
          <w:rFonts w:ascii="Arial" w:hAnsi="Arial"/>
          <w:w w:val="105"/>
          <w:sz w:val="19"/>
        </w:rPr>
        <w:t>industry</w:t>
      </w:r>
      <w:r>
        <w:rPr>
          <w:rFonts w:ascii="Arial" w:hAnsi="Arial"/>
          <w:spacing w:val="-24"/>
          <w:w w:val="105"/>
          <w:sz w:val="19"/>
        </w:rPr>
        <w:t xml:space="preserve"> </w:t>
      </w:r>
      <w:r>
        <w:rPr>
          <w:rFonts w:ascii="Arial" w:hAnsi="Arial"/>
          <w:w w:val="105"/>
          <w:sz w:val="19"/>
        </w:rPr>
        <w:t>reports</w:t>
      </w:r>
      <w:r>
        <w:rPr>
          <w:rFonts w:ascii="Arial" w:hAnsi="Arial"/>
          <w:w w:val="105"/>
          <w:position w:val="7"/>
          <w:sz w:val="11"/>
        </w:rPr>
        <w:t>31</w:t>
      </w:r>
      <w:r>
        <w:rPr>
          <w:rFonts w:ascii="Arial" w:hAnsi="Arial"/>
          <w:spacing w:val="1"/>
          <w:w w:val="105"/>
          <w:position w:val="7"/>
          <w:sz w:val="11"/>
        </w:rPr>
        <w:t xml:space="preserve"> </w:t>
      </w:r>
      <w:r>
        <w:rPr>
          <w:rFonts w:ascii="Arial" w:hAnsi="Arial"/>
          <w:w w:val="105"/>
          <w:sz w:val="19"/>
        </w:rPr>
        <w:t>which</w:t>
      </w:r>
      <w:r>
        <w:rPr>
          <w:rFonts w:ascii="Arial" w:hAnsi="Arial"/>
          <w:spacing w:val="-22"/>
          <w:w w:val="105"/>
          <w:sz w:val="19"/>
        </w:rPr>
        <w:t xml:space="preserve"> </w:t>
      </w:r>
      <w:r>
        <w:rPr>
          <w:rFonts w:ascii="Arial" w:hAnsi="Arial"/>
          <w:w w:val="105"/>
          <w:sz w:val="19"/>
        </w:rPr>
        <w:t>detailed</w:t>
      </w:r>
      <w:r>
        <w:rPr>
          <w:rFonts w:ascii="Arial" w:hAnsi="Arial"/>
          <w:spacing w:val="-24"/>
          <w:w w:val="105"/>
          <w:sz w:val="19"/>
        </w:rPr>
        <w:t xml:space="preserve"> </w:t>
      </w:r>
      <w:r>
        <w:rPr>
          <w:rFonts w:ascii="Arial" w:hAnsi="Arial"/>
          <w:w w:val="105"/>
          <w:sz w:val="19"/>
        </w:rPr>
        <w:t>that</w:t>
      </w:r>
      <w:r>
        <w:rPr>
          <w:rFonts w:ascii="Arial" w:hAnsi="Arial"/>
          <w:spacing w:val="-20"/>
          <w:w w:val="105"/>
          <w:sz w:val="19"/>
        </w:rPr>
        <w:t xml:space="preserve"> </w:t>
      </w:r>
      <w:r>
        <w:rPr>
          <w:rFonts w:ascii="Arial" w:hAnsi="Arial"/>
          <w:w w:val="105"/>
          <w:sz w:val="19"/>
        </w:rPr>
        <w:t>the</w:t>
      </w:r>
      <w:r>
        <w:rPr>
          <w:rFonts w:ascii="Arial" w:hAnsi="Arial"/>
          <w:spacing w:val="-23"/>
          <w:w w:val="105"/>
          <w:sz w:val="19"/>
        </w:rPr>
        <w:t xml:space="preserve"> </w:t>
      </w:r>
      <w:r>
        <w:rPr>
          <w:rFonts w:ascii="Arial" w:hAnsi="Arial"/>
          <w:w w:val="105"/>
          <w:sz w:val="19"/>
        </w:rPr>
        <w:t>dominant</w:t>
      </w:r>
      <w:r>
        <w:rPr>
          <w:rFonts w:ascii="Arial" w:hAnsi="Arial"/>
          <w:spacing w:val="-23"/>
          <w:w w:val="105"/>
          <w:sz w:val="19"/>
        </w:rPr>
        <w:t xml:space="preserve"> </w:t>
      </w:r>
      <w:r>
        <w:rPr>
          <w:rFonts w:ascii="Arial" w:hAnsi="Arial"/>
          <w:w w:val="105"/>
          <w:sz w:val="19"/>
        </w:rPr>
        <w:t>market</w:t>
      </w:r>
      <w:r>
        <w:rPr>
          <w:rFonts w:ascii="Arial" w:hAnsi="Arial"/>
          <w:spacing w:val="-23"/>
          <w:w w:val="105"/>
          <w:sz w:val="19"/>
        </w:rPr>
        <w:t xml:space="preserve"> </w:t>
      </w:r>
      <w:r>
        <w:rPr>
          <w:rFonts w:ascii="Arial" w:hAnsi="Arial"/>
          <w:w w:val="105"/>
          <w:sz w:val="19"/>
        </w:rPr>
        <w:t>player</w:t>
      </w:r>
      <w:r>
        <w:rPr>
          <w:rFonts w:ascii="Arial" w:hAnsi="Arial"/>
          <w:spacing w:val="-22"/>
          <w:w w:val="105"/>
          <w:sz w:val="19"/>
        </w:rPr>
        <w:t xml:space="preserve"> </w:t>
      </w:r>
      <w:r>
        <w:rPr>
          <w:rFonts w:ascii="Arial" w:hAnsi="Arial"/>
          <w:w w:val="105"/>
          <w:sz w:val="19"/>
        </w:rPr>
        <w:t>for</w:t>
      </w:r>
      <w:r>
        <w:rPr>
          <w:rFonts w:ascii="Arial" w:hAnsi="Arial"/>
          <w:spacing w:val="-21"/>
          <w:w w:val="105"/>
          <w:sz w:val="19"/>
        </w:rPr>
        <w:t xml:space="preserve"> </w:t>
      </w:r>
      <w:r>
        <w:rPr>
          <w:rFonts w:ascii="Arial" w:hAnsi="Arial"/>
          <w:w w:val="105"/>
          <w:sz w:val="19"/>
        </w:rPr>
        <w:t>sales from</w:t>
      </w:r>
      <w:r>
        <w:rPr>
          <w:rFonts w:ascii="Arial" w:hAnsi="Arial"/>
          <w:spacing w:val="-24"/>
          <w:w w:val="105"/>
          <w:sz w:val="19"/>
        </w:rPr>
        <w:t xml:space="preserve"> </w:t>
      </w:r>
      <w:r>
        <w:rPr>
          <w:rFonts w:ascii="Arial" w:hAnsi="Arial"/>
          <w:w w:val="105"/>
          <w:sz w:val="19"/>
        </w:rPr>
        <w:t>both</w:t>
      </w:r>
      <w:r>
        <w:rPr>
          <w:rFonts w:ascii="Arial" w:hAnsi="Arial"/>
          <w:spacing w:val="-23"/>
          <w:w w:val="105"/>
          <w:sz w:val="19"/>
        </w:rPr>
        <w:t xml:space="preserve"> </w:t>
      </w:r>
      <w:r>
        <w:rPr>
          <w:rFonts w:ascii="Arial" w:hAnsi="Arial"/>
          <w:w w:val="105"/>
          <w:sz w:val="19"/>
        </w:rPr>
        <w:t>physical</w:t>
      </w:r>
      <w:r>
        <w:rPr>
          <w:rFonts w:ascii="Arial" w:hAnsi="Arial"/>
          <w:spacing w:val="-24"/>
          <w:w w:val="105"/>
          <w:sz w:val="19"/>
        </w:rPr>
        <w:t xml:space="preserve"> </w:t>
      </w:r>
      <w:r>
        <w:rPr>
          <w:rFonts w:ascii="Arial" w:hAnsi="Arial"/>
          <w:w w:val="105"/>
          <w:sz w:val="19"/>
        </w:rPr>
        <w:t>stores</w:t>
      </w:r>
      <w:r>
        <w:rPr>
          <w:rFonts w:ascii="Arial" w:hAnsi="Arial"/>
          <w:spacing w:val="-24"/>
          <w:w w:val="105"/>
          <w:sz w:val="19"/>
        </w:rPr>
        <w:t xml:space="preserve"> </w:t>
      </w:r>
      <w:r>
        <w:rPr>
          <w:rFonts w:ascii="Arial" w:hAnsi="Arial"/>
          <w:w w:val="105"/>
          <w:sz w:val="19"/>
        </w:rPr>
        <w:t>and</w:t>
      </w:r>
      <w:r>
        <w:rPr>
          <w:rFonts w:ascii="Arial" w:hAnsi="Arial"/>
          <w:spacing w:val="-24"/>
          <w:w w:val="105"/>
          <w:sz w:val="19"/>
        </w:rPr>
        <w:t xml:space="preserve"> </w:t>
      </w:r>
      <w:r>
        <w:rPr>
          <w:rFonts w:ascii="Arial" w:hAnsi="Arial"/>
          <w:w w:val="105"/>
          <w:sz w:val="19"/>
        </w:rPr>
        <w:t>online</w:t>
      </w:r>
      <w:r>
        <w:rPr>
          <w:rFonts w:ascii="Arial" w:hAnsi="Arial"/>
          <w:spacing w:val="-25"/>
          <w:w w:val="105"/>
          <w:sz w:val="19"/>
        </w:rPr>
        <w:t xml:space="preserve"> </w:t>
      </w:r>
      <w:r>
        <w:rPr>
          <w:rFonts w:ascii="Arial" w:hAnsi="Arial"/>
          <w:w w:val="105"/>
          <w:sz w:val="19"/>
        </w:rPr>
        <w:t>was</w:t>
      </w:r>
      <w:r>
        <w:rPr>
          <w:rFonts w:ascii="Arial" w:hAnsi="Arial"/>
          <w:spacing w:val="-24"/>
          <w:w w:val="105"/>
          <w:sz w:val="19"/>
        </w:rPr>
        <w:t xml:space="preserve"> </w:t>
      </w:r>
      <w:proofErr w:type="spellStart"/>
      <w:r>
        <w:rPr>
          <w:rFonts w:ascii="Arial" w:hAnsi="Arial"/>
          <w:w w:val="105"/>
          <w:sz w:val="19"/>
        </w:rPr>
        <w:t>Grubie</w:t>
      </w:r>
      <w:proofErr w:type="spellEnd"/>
      <w:r>
        <w:rPr>
          <w:rFonts w:ascii="Arial" w:hAnsi="Arial"/>
          <w:spacing w:val="-23"/>
          <w:w w:val="105"/>
          <w:sz w:val="19"/>
        </w:rPr>
        <w:t xml:space="preserve"> </w:t>
      </w:r>
      <w:r>
        <w:rPr>
          <w:rFonts w:ascii="Arial" w:hAnsi="Arial"/>
          <w:w w:val="105"/>
          <w:sz w:val="19"/>
        </w:rPr>
        <w:t>Pty</w:t>
      </w:r>
      <w:r>
        <w:rPr>
          <w:rFonts w:ascii="Arial" w:hAnsi="Arial"/>
          <w:spacing w:val="-25"/>
          <w:w w:val="105"/>
          <w:sz w:val="19"/>
        </w:rPr>
        <w:t xml:space="preserve"> </w:t>
      </w:r>
      <w:r>
        <w:rPr>
          <w:rFonts w:ascii="Arial" w:hAnsi="Arial"/>
          <w:w w:val="105"/>
          <w:sz w:val="19"/>
        </w:rPr>
        <w:t>Ltd</w:t>
      </w:r>
      <w:r>
        <w:rPr>
          <w:rFonts w:ascii="Arial" w:hAnsi="Arial"/>
          <w:spacing w:val="-24"/>
          <w:w w:val="105"/>
          <w:sz w:val="19"/>
        </w:rPr>
        <w:t xml:space="preserve"> </w:t>
      </w:r>
      <w:r>
        <w:rPr>
          <w:rFonts w:ascii="Arial" w:hAnsi="Arial"/>
          <w:w w:val="105"/>
          <w:sz w:val="19"/>
        </w:rPr>
        <w:t>(trading</w:t>
      </w:r>
      <w:r>
        <w:rPr>
          <w:rFonts w:ascii="Arial" w:hAnsi="Arial"/>
          <w:spacing w:val="-24"/>
          <w:w w:val="105"/>
          <w:sz w:val="19"/>
        </w:rPr>
        <w:t xml:space="preserve"> </w:t>
      </w:r>
      <w:r>
        <w:rPr>
          <w:rFonts w:ascii="Arial" w:hAnsi="Arial"/>
          <w:w w:val="105"/>
          <w:sz w:val="19"/>
        </w:rPr>
        <w:t>as</w:t>
      </w:r>
      <w:r>
        <w:rPr>
          <w:rFonts w:ascii="Arial" w:hAnsi="Arial"/>
          <w:spacing w:val="-23"/>
          <w:w w:val="105"/>
          <w:sz w:val="19"/>
        </w:rPr>
        <w:t xml:space="preserve"> </w:t>
      </w:r>
      <w:r>
        <w:rPr>
          <w:rFonts w:ascii="Arial" w:hAnsi="Arial"/>
          <w:w w:val="105"/>
          <w:sz w:val="19"/>
        </w:rPr>
        <w:t>Nutrition</w:t>
      </w:r>
      <w:r>
        <w:rPr>
          <w:rFonts w:ascii="Arial" w:hAnsi="Arial"/>
          <w:spacing w:val="-23"/>
          <w:w w:val="105"/>
          <w:sz w:val="19"/>
        </w:rPr>
        <w:t xml:space="preserve"> </w:t>
      </w:r>
      <w:proofErr w:type="gramStart"/>
      <w:r>
        <w:rPr>
          <w:rFonts w:ascii="Arial" w:hAnsi="Arial"/>
          <w:w w:val="105"/>
          <w:sz w:val="19"/>
        </w:rPr>
        <w:t>Warehouse(</w:t>
      </w:r>
      <w:proofErr w:type="gramEnd"/>
      <w:r>
        <w:rPr>
          <w:rFonts w:ascii="Arial" w:hAnsi="Arial"/>
          <w:w w:val="105"/>
          <w:sz w:val="19"/>
        </w:rPr>
        <w:t>NW)).</w:t>
      </w:r>
      <w:r>
        <w:rPr>
          <w:rFonts w:ascii="Arial" w:hAnsi="Arial"/>
          <w:spacing w:val="-23"/>
          <w:w w:val="105"/>
          <w:sz w:val="19"/>
        </w:rPr>
        <w:t xml:space="preserve"> </w:t>
      </w:r>
      <w:r>
        <w:rPr>
          <w:rFonts w:ascii="Arial" w:hAnsi="Arial"/>
          <w:w w:val="105"/>
          <w:sz w:val="19"/>
        </w:rPr>
        <w:t>A meeting</w:t>
      </w:r>
      <w:r>
        <w:rPr>
          <w:rFonts w:ascii="Arial" w:hAnsi="Arial"/>
          <w:spacing w:val="-22"/>
          <w:w w:val="105"/>
          <w:sz w:val="19"/>
        </w:rPr>
        <w:t xml:space="preserve"> </w:t>
      </w:r>
      <w:r>
        <w:rPr>
          <w:rFonts w:ascii="Arial" w:hAnsi="Arial"/>
          <w:w w:val="105"/>
          <w:sz w:val="19"/>
        </w:rPr>
        <w:t>with</w:t>
      </w:r>
      <w:r>
        <w:rPr>
          <w:rFonts w:ascii="Arial" w:hAnsi="Arial"/>
          <w:spacing w:val="-23"/>
          <w:w w:val="105"/>
          <w:sz w:val="19"/>
        </w:rPr>
        <w:t xml:space="preserve"> </w:t>
      </w:r>
      <w:r>
        <w:rPr>
          <w:rFonts w:ascii="Arial" w:hAnsi="Arial"/>
          <w:w w:val="105"/>
          <w:sz w:val="19"/>
        </w:rPr>
        <w:t>Nutrition</w:t>
      </w:r>
      <w:r>
        <w:rPr>
          <w:rFonts w:ascii="Arial" w:hAnsi="Arial"/>
          <w:spacing w:val="-23"/>
          <w:w w:val="105"/>
          <w:sz w:val="19"/>
        </w:rPr>
        <w:t xml:space="preserve"> </w:t>
      </w:r>
      <w:r>
        <w:rPr>
          <w:rFonts w:ascii="Arial" w:hAnsi="Arial"/>
          <w:w w:val="105"/>
          <w:sz w:val="19"/>
        </w:rPr>
        <w:t>Warehouse</w:t>
      </w:r>
      <w:r>
        <w:rPr>
          <w:rFonts w:ascii="Arial" w:hAnsi="Arial"/>
          <w:spacing w:val="-18"/>
          <w:w w:val="105"/>
          <w:sz w:val="19"/>
        </w:rPr>
        <w:t xml:space="preserve"> </w:t>
      </w:r>
      <w:r>
        <w:rPr>
          <w:rFonts w:ascii="Arial" w:hAnsi="Arial"/>
          <w:w w:val="105"/>
          <w:sz w:val="19"/>
        </w:rPr>
        <w:t>senior</w:t>
      </w:r>
      <w:r>
        <w:rPr>
          <w:rFonts w:ascii="Arial" w:hAnsi="Arial"/>
          <w:spacing w:val="-24"/>
          <w:w w:val="105"/>
          <w:sz w:val="19"/>
        </w:rPr>
        <w:t xml:space="preserve"> </w:t>
      </w:r>
      <w:r>
        <w:rPr>
          <w:rFonts w:ascii="Arial" w:hAnsi="Arial"/>
          <w:w w:val="105"/>
          <w:sz w:val="19"/>
        </w:rPr>
        <w:t>executives</w:t>
      </w:r>
      <w:r>
        <w:rPr>
          <w:rFonts w:ascii="Arial" w:hAnsi="Arial"/>
          <w:spacing w:val="-21"/>
          <w:w w:val="105"/>
          <w:sz w:val="19"/>
        </w:rPr>
        <w:t xml:space="preserve"> </w:t>
      </w:r>
      <w:r>
        <w:rPr>
          <w:rFonts w:ascii="Arial" w:hAnsi="Arial"/>
          <w:w w:val="105"/>
          <w:sz w:val="19"/>
        </w:rPr>
        <w:t>revealed</w:t>
      </w:r>
      <w:r>
        <w:rPr>
          <w:rFonts w:ascii="Arial" w:hAnsi="Arial"/>
          <w:spacing w:val="-24"/>
          <w:w w:val="105"/>
          <w:sz w:val="19"/>
        </w:rPr>
        <w:t xml:space="preserve"> </w:t>
      </w:r>
      <w:r>
        <w:rPr>
          <w:rFonts w:ascii="Arial" w:hAnsi="Arial"/>
          <w:w w:val="105"/>
          <w:sz w:val="19"/>
        </w:rPr>
        <w:t>that</w:t>
      </w:r>
      <w:r>
        <w:rPr>
          <w:rFonts w:ascii="Arial" w:hAnsi="Arial"/>
          <w:spacing w:val="-23"/>
          <w:w w:val="105"/>
          <w:sz w:val="19"/>
        </w:rPr>
        <w:t xml:space="preserve"> </w:t>
      </w:r>
      <w:r>
        <w:rPr>
          <w:rFonts w:ascii="Arial" w:hAnsi="Arial"/>
          <w:w w:val="105"/>
          <w:sz w:val="19"/>
        </w:rPr>
        <w:t>their</w:t>
      </w:r>
      <w:r>
        <w:rPr>
          <w:rFonts w:ascii="Arial" w:hAnsi="Arial"/>
          <w:spacing w:val="-21"/>
          <w:w w:val="105"/>
          <w:sz w:val="19"/>
        </w:rPr>
        <w:t xml:space="preserve"> </w:t>
      </w:r>
      <w:r>
        <w:rPr>
          <w:rFonts w:ascii="Arial" w:hAnsi="Arial"/>
          <w:w w:val="105"/>
          <w:sz w:val="19"/>
        </w:rPr>
        <w:t>key</w:t>
      </w:r>
      <w:r>
        <w:rPr>
          <w:rFonts w:ascii="Arial" w:hAnsi="Arial"/>
          <w:spacing w:val="-23"/>
          <w:w w:val="105"/>
          <w:sz w:val="19"/>
        </w:rPr>
        <w:t xml:space="preserve"> </w:t>
      </w:r>
      <w:r>
        <w:rPr>
          <w:rFonts w:ascii="Arial" w:hAnsi="Arial"/>
          <w:w w:val="105"/>
          <w:sz w:val="19"/>
        </w:rPr>
        <w:t>competitors</w:t>
      </w:r>
      <w:r>
        <w:rPr>
          <w:rFonts w:ascii="Arial" w:hAnsi="Arial"/>
          <w:spacing w:val="-21"/>
          <w:w w:val="105"/>
          <w:sz w:val="19"/>
        </w:rPr>
        <w:t xml:space="preserve"> </w:t>
      </w:r>
      <w:r>
        <w:rPr>
          <w:rFonts w:ascii="Arial" w:hAnsi="Arial"/>
          <w:w w:val="105"/>
          <w:sz w:val="19"/>
        </w:rPr>
        <w:t>were</w:t>
      </w:r>
      <w:r>
        <w:rPr>
          <w:rFonts w:ascii="Arial" w:hAnsi="Arial"/>
          <w:spacing w:val="-20"/>
          <w:w w:val="105"/>
          <w:sz w:val="19"/>
        </w:rPr>
        <w:t xml:space="preserve"> </w:t>
      </w:r>
      <w:r>
        <w:rPr>
          <w:rFonts w:ascii="Arial" w:hAnsi="Arial"/>
          <w:w w:val="105"/>
          <w:sz w:val="19"/>
        </w:rPr>
        <w:t>Elite Supplements (ES) and Australian Sports Nutrition (ASN)</w:t>
      </w:r>
      <w:r>
        <w:rPr>
          <w:rFonts w:ascii="Arial" w:hAnsi="Arial"/>
          <w:w w:val="105"/>
          <w:position w:val="7"/>
          <w:sz w:val="11"/>
        </w:rPr>
        <w:t xml:space="preserve">32 </w:t>
      </w:r>
      <w:r>
        <w:rPr>
          <w:rFonts w:ascii="Arial" w:hAnsi="Arial"/>
          <w:w w:val="105"/>
          <w:sz w:val="19"/>
        </w:rPr>
        <w:t>and that the product categories most likely to be impacted by the proposed regulatory clarification were ‘pre-workout’, ‘fat burner’ and ‘post-workout’/’recovery’ products. In order to develop an inclusive data set, Noetic visited each retailer’s</w:t>
      </w:r>
      <w:r>
        <w:rPr>
          <w:rFonts w:ascii="Arial" w:hAnsi="Arial"/>
          <w:spacing w:val="-24"/>
          <w:w w:val="105"/>
          <w:sz w:val="19"/>
        </w:rPr>
        <w:t xml:space="preserve"> </w:t>
      </w:r>
      <w:r>
        <w:rPr>
          <w:rFonts w:ascii="Arial" w:hAnsi="Arial"/>
          <w:w w:val="105"/>
          <w:sz w:val="19"/>
        </w:rPr>
        <w:t>website</w:t>
      </w:r>
      <w:r>
        <w:rPr>
          <w:rFonts w:ascii="Arial" w:hAnsi="Arial"/>
          <w:spacing w:val="-23"/>
          <w:w w:val="105"/>
          <w:sz w:val="19"/>
        </w:rPr>
        <w:t xml:space="preserve"> </w:t>
      </w:r>
      <w:r>
        <w:rPr>
          <w:rFonts w:ascii="Arial" w:hAnsi="Arial"/>
          <w:w w:val="105"/>
          <w:sz w:val="19"/>
        </w:rPr>
        <w:t>and</w:t>
      </w:r>
      <w:r>
        <w:rPr>
          <w:rFonts w:ascii="Arial" w:hAnsi="Arial"/>
          <w:spacing w:val="-24"/>
          <w:w w:val="105"/>
          <w:sz w:val="19"/>
        </w:rPr>
        <w:t xml:space="preserve"> </w:t>
      </w:r>
      <w:r>
        <w:rPr>
          <w:rFonts w:ascii="Arial" w:hAnsi="Arial"/>
          <w:w w:val="105"/>
          <w:sz w:val="19"/>
        </w:rPr>
        <w:t>collected</w:t>
      </w:r>
      <w:r>
        <w:rPr>
          <w:rFonts w:ascii="Arial" w:hAnsi="Arial"/>
          <w:spacing w:val="-23"/>
          <w:w w:val="105"/>
          <w:sz w:val="19"/>
        </w:rPr>
        <w:t xml:space="preserve"> </w:t>
      </w:r>
      <w:r>
        <w:rPr>
          <w:rFonts w:ascii="Arial" w:hAnsi="Arial"/>
          <w:w w:val="105"/>
          <w:sz w:val="19"/>
        </w:rPr>
        <w:t>details</w:t>
      </w:r>
      <w:r>
        <w:rPr>
          <w:rFonts w:ascii="Arial" w:hAnsi="Arial"/>
          <w:spacing w:val="-21"/>
          <w:w w:val="105"/>
          <w:sz w:val="19"/>
        </w:rPr>
        <w:t xml:space="preserve"> </w:t>
      </w:r>
      <w:r>
        <w:rPr>
          <w:rFonts w:ascii="Arial" w:hAnsi="Arial"/>
          <w:w w:val="105"/>
          <w:sz w:val="19"/>
        </w:rPr>
        <w:t>for</w:t>
      </w:r>
      <w:r>
        <w:rPr>
          <w:rFonts w:ascii="Arial" w:hAnsi="Arial"/>
          <w:spacing w:val="-24"/>
          <w:w w:val="105"/>
          <w:sz w:val="19"/>
        </w:rPr>
        <w:t xml:space="preserve"> </w:t>
      </w:r>
      <w:r>
        <w:rPr>
          <w:rFonts w:ascii="Arial" w:hAnsi="Arial"/>
          <w:w w:val="105"/>
          <w:sz w:val="19"/>
        </w:rPr>
        <w:t>all</w:t>
      </w:r>
      <w:r>
        <w:rPr>
          <w:rFonts w:ascii="Arial" w:hAnsi="Arial"/>
          <w:spacing w:val="-23"/>
          <w:w w:val="105"/>
          <w:sz w:val="19"/>
        </w:rPr>
        <w:t xml:space="preserve"> </w:t>
      </w:r>
      <w:r>
        <w:rPr>
          <w:rFonts w:ascii="Arial" w:hAnsi="Arial"/>
          <w:w w:val="105"/>
          <w:sz w:val="19"/>
        </w:rPr>
        <w:t>products</w:t>
      </w:r>
      <w:r>
        <w:rPr>
          <w:rFonts w:ascii="Arial" w:hAnsi="Arial"/>
          <w:spacing w:val="-21"/>
          <w:w w:val="105"/>
          <w:sz w:val="19"/>
        </w:rPr>
        <w:t xml:space="preserve"> </w:t>
      </w:r>
      <w:r>
        <w:rPr>
          <w:rFonts w:ascii="Arial" w:hAnsi="Arial"/>
          <w:w w:val="105"/>
          <w:sz w:val="19"/>
        </w:rPr>
        <w:t>listed</w:t>
      </w:r>
      <w:r>
        <w:rPr>
          <w:rFonts w:ascii="Arial" w:hAnsi="Arial"/>
          <w:spacing w:val="-23"/>
          <w:w w:val="105"/>
          <w:sz w:val="19"/>
        </w:rPr>
        <w:t xml:space="preserve"> </w:t>
      </w:r>
      <w:r>
        <w:rPr>
          <w:rFonts w:ascii="Arial" w:hAnsi="Arial"/>
          <w:w w:val="105"/>
          <w:sz w:val="19"/>
        </w:rPr>
        <w:t>under</w:t>
      </w:r>
      <w:r>
        <w:rPr>
          <w:rFonts w:ascii="Arial" w:hAnsi="Arial"/>
          <w:spacing w:val="-22"/>
          <w:w w:val="105"/>
          <w:sz w:val="19"/>
        </w:rPr>
        <w:t xml:space="preserve"> </w:t>
      </w:r>
      <w:r>
        <w:rPr>
          <w:rFonts w:ascii="Arial" w:hAnsi="Arial"/>
          <w:w w:val="105"/>
          <w:sz w:val="19"/>
        </w:rPr>
        <w:t>these</w:t>
      </w:r>
      <w:r>
        <w:rPr>
          <w:rFonts w:ascii="Arial" w:hAnsi="Arial"/>
          <w:spacing w:val="-21"/>
          <w:w w:val="105"/>
          <w:sz w:val="19"/>
        </w:rPr>
        <w:t xml:space="preserve"> </w:t>
      </w:r>
      <w:r>
        <w:rPr>
          <w:rFonts w:ascii="Arial" w:hAnsi="Arial"/>
          <w:w w:val="105"/>
          <w:sz w:val="19"/>
        </w:rPr>
        <w:t>categories.</w:t>
      </w:r>
      <w:r>
        <w:rPr>
          <w:rFonts w:ascii="Arial" w:hAnsi="Arial"/>
          <w:spacing w:val="-25"/>
          <w:w w:val="105"/>
          <w:sz w:val="19"/>
        </w:rPr>
        <w:t xml:space="preserve"> </w:t>
      </w:r>
      <w:r>
        <w:rPr>
          <w:rFonts w:ascii="Arial" w:hAnsi="Arial"/>
          <w:w w:val="105"/>
          <w:sz w:val="19"/>
        </w:rPr>
        <w:t>As</w:t>
      </w:r>
      <w:r>
        <w:rPr>
          <w:rFonts w:ascii="Arial" w:hAnsi="Arial"/>
          <w:spacing w:val="-23"/>
          <w:w w:val="105"/>
          <w:sz w:val="19"/>
        </w:rPr>
        <w:t xml:space="preserve"> </w:t>
      </w:r>
      <w:r>
        <w:rPr>
          <w:rFonts w:ascii="Arial" w:hAnsi="Arial"/>
          <w:w w:val="105"/>
          <w:sz w:val="19"/>
        </w:rPr>
        <w:t>of</w:t>
      </w:r>
      <w:r>
        <w:rPr>
          <w:rFonts w:ascii="Arial" w:hAnsi="Arial"/>
          <w:spacing w:val="-23"/>
          <w:w w:val="105"/>
          <w:sz w:val="19"/>
        </w:rPr>
        <w:t xml:space="preserve"> </w:t>
      </w:r>
      <w:r>
        <w:rPr>
          <w:rFonts w:ascii="Arial" w:hAnsi="Arial"/>
          <w:w w:val="105"/>
          <w:sz w:val="19"/>
        </w:rPr>
        <w:t>25</w:t>
      </w:r>
      <w:r>
        <w:rPr>
          <w:rFonts w:ascii="Arial" w:hAnsi="Arial"/>
          <w:spacing w:val="-22"/>
          <w:w w:val="105"/>
          <w:sz w:val="19"/>
        </w:rPr>
        <w:t xml:space="preserve"> </w:t>
      </w:r>
      <w:r>
        <w:rPr>
          <w:rFonts w:ascii="Arial" w:hAnsi="Arial"/>
          <w:w w:val="105"/>
          <w:sz w:val="19"/>
        </w:rPr>
        <w:t>March 2020,</w:t>
      </w:r>
      <w:r>
        <w:rPr>
          <w:rFonts w:ascii="Arial" w:hAnsi="Arial"/>
          <w:spacing w:val="-22"/>
          <w:w w:val="105"/>
          <w:sz w:val="19"/>
        </w:rPr>
        <w:t xml:space="preserve"> </w:t>
      </w:r>
      <w:r>
        <w:rPr>
          <w:rFonts w:ascii="Arial" w:hAnsi="Arial"/>
          <w:w w:val="105"/>
          <w:sz w:val="19"/>
        </w:rPr>
        <w:t>ASN</w:t>
      </w:r>
      <w:r>
        <w:rPr>
          <w:rFonts w:ascii="Arial" w:hAnsi="Arial"/>
          <w:spacing w:val="-21"/>
          <w:w w:val="105"/>
          <w:sz w:val="19"/>
        </w:rPr>
        <w:t xml:space="preserve"> </w:t>
      </w:r>
      <w:r>
        <w:rPr>
          <w:rFonts w:ascii="Arial" w:hAnsi="Arial"/>
          <w:w w:val="105"/>
          <w:sz w:val="19"/>
        </w:rPr>
        <w:t>had</w:t>
      </w:r>
      <w:r>
        <w:rPr>
          <w:rFonts w:ascii="Arial" w:hAnsi="Arial"/>
          <w:spacing w:val="-24"/>
          <w:w w:val="105"/>
          <w:sz w:val="19"/>
        </w:rPr>
        <w:t xml:space="preserve"> </w:t>
      </w:r>
      <w:r>
        <w:rPr>
          <w:rFonts w:ascii="Arial" w:hAnsi="Arial"/>
          <w:w w:val="105"/>
          <w:sz w:val="19"/>
        </w:rPr>
        <w:t>the</w:t>
      </w:r>
      <w:r>
        <w:rPr>
          <w:rFonts w:ascii="Arial" w:hAnsi="Arial"/>
          <w:spacing w:val="-22"/>
          <w:w w:val="105"/>
          <w:sz w:val="19"/>
        </w:rPr>
        <w:t xml:space="preserve"> </w:t>
      </w:r>
      <w:r>
        <w:rPr>
          <w:rFonts w:ascii="Arial" w:hAnsi="Arial"/>
          <w:w w:val="105"/>
          <w:sz w:val="19"/>
        </w:rPr>
        <w:t>largest</w:t>
      </w:r>
      <w:r>
        <w:rPr>
          <w:rFonts w:ascii="Arial" w:hAnsi="Arial"/>
          <w:spacing w:val="-22"/>
          <w:w w:val="105"/>
          <w:sz w:val="19"/>
        </w:rPr>
        <w:t xml:space="preserve"> </w:t>
      </w:r>
      <w:r>
        <w:rPr>
          <w:rFonts w:ascii="Arial" w:hAnsi="Arial"/>
          <w:w w:val="105"/>
          <w:sz w:val="19"/>
        </w:rPr>
        <w:t>product</w:t>
      </w:r>
      <w:r>
        <w:rPr>
          <w:rFonts w:ascii="Arial" w:hAnsi="Arial"/>
          <w:spacing w:val="-22"/>
          <w:w w:val="105"/>
          <w:sz w:val="19"/>
        </w:rPr>
        <w:t xml:space="preserve"> </w:t>
      </w:r>
      <w:r>
        <w:rPr>
          <w:rFonts w:ascii="Arial" w:hAnsi="Arial"/>
          <w:w w:val="105"/>
          <w:sz w:val="19"/>
        </w:rPr>
        <w:t>range</w:t>
      </w:r>
      <w:r>
        <w:rPr>
          <w:rFonts w:ascii="Arial" w:hAnsi="Arial"/>
          <w:spacing w:val="-18"/>
          <w:w w:val="105"/>
          <w:sz w:val="19"/>
        </w:rPr>
        <w:t xml:space="preserve"> </w:t>
      </w:r>
      <w:r>
        <w:rPr>
          <w:rFonts w:ascii="Arial" w:hAnsi="Arial"/>
          <w:w w:val="105"/>
          <w:sz w:val="19"/>
        </w:rPr>
        <w:t>(n=362),</w:t>
      </w:r>
      <w:r>
        <w:rPr>
          <w:rFonts w:ascii="Arial" w:hAnsi="Arial"/>
          <w:spacing w:val="-21"/>
          <w:w w:val="105"/>
          <w:sz w:val="19"/>
        </w:rPr>
        <w:t xml:space="preserve"> </w:t>
      </w:r>
      <w:r>
        <w:rPr>
          <w:rFonts w:ascii="Arial" w:hAnsi="Arial"/>
          <w:w w:val="105"/>
          <w:sz w:val="19"/>
        </w:rPr>
        <w:t>followed</w:t>
      </w:r>
      <w:r>
        <w:rPr>
          <w:rFonts w:ascii="Arial" w:hAnsi="Arial"/>
          <w:spacing w:val="-23"/>
          <w:w w:val="105"/>
          <w:sz w:val="19"/>
        </w:rPr>
        <w:t xml:space="preserve"> </w:t>
      </w:r>
      <w:r>
        <w:rPr>
          <w:rFonts w:ascii="Arial" w:hAnsi="Arial"/>
          <w:w w:val="105"/>
          <w:sz w:val="19"/>
        </w:rPr>
        <w:t>by</w:t>
      </w:r>
      <w:r>
        <w:rPr>
          <w:rFonts w:ascii="Arial" w:hAnsi="Arial"/>
          <w:spacing w:val="-22"/>
          <w:w w:val="105"/>
          <w:sz w:val="19"/>
        </w:rPr>
        <w:t xml:space="preserve"> </w:t>
      </w:r>
      <w:r>
        <w:rPr>
          <w:rFonts w:ascii="Arial" w:hAnsi="Arial"/>
          <w:w w:val="105"/>
          <w:sz w:val="19"/>
        </w:rPr>
        <w:t>NW</w:t>
      </w:r>
      <w:r>
        <w:rPr>
          <w:rFonts w:ascii="Arial" w:hAnsi="Arial"/>
          <w:spacing w:val="-23"/>
          <w:w w:val="105"/>
          <w:sz w:val="19"/>
        </w:rPr>
        <w:t xml:space="preserve"> </w:t>
      </w:r>
      <w:r>
        <w:rPr>
          <w:rFonts w:ascii="Arial" w:hAnsi="Arial"/>
          <w:w w:val="105"/>
          <w:sz w:val="19"/>
        </w:rPr>
        <w:t>(n=346)</w:t>
      </w:r>
      <w:r>
        <w:rPr>
          <w:rFonts w:ascii="Arial" w:hAnsi="Arial"/>
          <w:spacing w:val="-23"/>
          <w:w w:val="105"/>
          <w:sz w:val="19"/>
        </w:rPr>
        <w:t xml:space="preserve"> </w:t>
      </w:r>
      <w:r>
        <w:rPr>
          <w:rFonts w:ascii="Arial" w:hAnsi="Arial"/>
          <w:w w:val="105"/>
          <w:sz w:val="19"/>
        </w:rPr>
        <w:t>and</w:t>
      </w:r>
      <w:r>
        <w:rPr>
          <w:rFonts w:ascii="Arial" w:hAnsi="Arial"/>
          <w:spacing w:val="-22"/>
          <w:w w:val="105"/>
          <w:sz w:val="19"/>
        </w:rPr>
        <w:t xml:space="preserve"> </w:t>
      </w:r>
      <w:r>
        <w:rPr>
          <w:rFonts w:ascii="Arial" w:hAnsi="Arial"/>
          <w:w w:val="105"/>
          <w:sz w:val="19"/>
        </w:rPr>
        <w:t>ES</w:t>
      </w:r>
      <w:r>
        <w:rPr>
          <w:rFonts w:ascii="Arial" w:hAnsi="Arial"/>
          <w:spacing w:val="-23"/>
          <w:w w:val="105"/>
          <w:sz w:val="19"/>
        </w:rPr>
        <w:t xml:space="preserve"> </w:t>
      </w:r>
      <w:r>
        <w:rPr>
          <w:rFonts w:ascii="Arial" w:hAnsi="Arial"/>
          <w:w w:val="105"/>
          <w:sz w:val="19"/>
        </w:rPr>
        <w:t>(n=213).</w:t>
      </w:r>
      <w:r>
        <w:rPr>
          <w:rFonts w:ascii="Arial" w:hAnsi="Arial"/>
          <w:spacing w:val="-19"/>
          <w:w w:val="105"/>
          <w:sz w:val="19"/>
        </w:rPr>
        <w:t xml:space="preserve"> </w:t>
      </w:r>
      <w:r>
        <w:rPr>
          <w:rFonts w:ascii="Arial" w:hAnsi="Arial"/>
          <w:w w:val="105"/>
          <w:sz w:val="19"/>
        </w:rPr>
        <w:t>The breakdown</w:t>
      </w:r>
      <w:r>
        <w:rPr>
          <w:rFonts w:ascii="Arial" w:hAnsi="Arial"/>
          <w:spacing w:val="-13"/>
          <w:w w:val="105"/>
          <w:sz w:val="19"/>
        </w:rPr>
        <w:t xml:space="preserve"> </w:t>
      </w:r>
      <w:r>
        <w:rPr>
          <w:rFonts w:ascii="Arial" w:hAnsi="Arial"/>
          <w:w w:val="105"/>
          <w:sz w:val="19"/>
        </w:rPr>
        <w:t>of</w:t>
      </w:r>
      <w:r>
        <w:rPr>
          <w:rFonts w:ascii="Arial" w:hAnsi="Arial"/>
          <w:spacing w:val="-14"/>
          <w:w w:val="105"/>
          <w:sz w:val="19"/>
        </w:rPr>
        <w:t xml:space="preserve"> </w:t>
      </w:r>
      <w:r>
        <w:rPr>
          <w:rFonts w:ascii="Arial" w:hAnsi="Arial"/>
          <w:w w:val="105"/>
          <w:sz w:val="19"/>
        </w:rPr>
        <w:t>product</w:t>
      </w:r>
      <w:r>
        <w:rPr>
          <w:rFonts w:ascii="Arial" w:hAnsi="Arial"/>
          <w:spacing w:val="-14"/>
          <w:w w:val="105"/>
          <w:sz w:val="19"/>
        </w:rPr>
        <w:t xml:space="preserve"> </w:t>
      </w:r>
      <w:r>
        <w:rPr>
          <w:rFonts w:ascii="Arial" w:hAnsi="Arial"/>
          <w:w w:val="105"/>
          <w:sz w:val="19"/>
        </w:rPr>
        <w:t>across</w:t>
      </w:r>
      <w:r>
        <w:rPr>
          <w:rFonts w:ascii="Arial" w:hAnsi="Arial"/>
          <w:spacing w:val="-12"/>
          <w:w w:val="105"/>
          <w:sz w:val="19"/>
        </w:rPr>
        <w:t xml:space="preserve"> </w:t>
      </w:r>
      <w:r>
        <w:rPr>
          <w:rFonts w:ascii="Arial" w:hAnsi="Arial"/>
          <w:w w:val="105"/>
          <w:sz w:val="19"/>
        </w:rPr>
        <w:t>categories</w:t>
      </w:r>
      <w:r>
        <w:rPr>
          <w:rFonts w:ascii="Arial" w:hAnsi="Arial"/>
          <w:spacing w:val="-13"/>
          <w:w w:val="105"/>
          <w:sz w:val="19"/>
        </w:rPr>
        <w:t xml:space="preserve"> </w:t>
      </w:r>
      <w:r>
        <w:rPr>
          <w:rFonts w:ascii="Arial" w:hAnsi="Arial"/>
          <w:w w:val="105"/>
          <w:sz w:val="19"/>
        </w:rPr>
        <w:t>is</w:t>
      </w:r>
      <w:r>
        <w:rPr>
          <w:rFonts w:ascii="Arial" w:hAnsi="Arial"/>
          <w:spacing w:val="-13"/>
          <w:w w:val="105"/>
          <w:sz w:val="19"/>
        </w:rPr>
        <w:t xml:space="preserve"> </w:t>
      </w:r>
      <w:r>
        <w:rPr>
          <w:rFonts w:ascii="Arial" w:hAnsi="Arial"/>
          <w:w w:val="105"/>
          <w:sz w:val="19"/>
        </w:rPr>
        <w:t>detailed</w:t>
      </w:r>
      <w:r>
        <w:rPr>
          <w:rFonts w:ascii="Arial" w:hAnsi="Arial"/>
          <w:spacing w:val="-14"/>
          <w:w w:val="105"/>
          <w:sz w:val="19"/>
        </w:rPr>
        <w:t xml:space="preserve"> </w:t>
      </w:r>
      <w:r>
        <w:rPr>
          <w:rFonts w:ascii="Arial" w:hAnsi="Arial"/>
          <w:w w:val="105"/>
          <w:sz w:val="19"/>
        </w:rPr>
        <w:t>in</w:t>
      </w:r>
      <w:r>
        <w:rPr>
          <w:rFonts w:ascii="Arial" w:hAnsi="Arial"/>
          <w:spacing w:val="-15"/>
          <w:w w:val="105"/>
          <w:sz w:val="19"/>
        </w:rPr>
        <w:t xml:space="preserve"> </w:t>
      </w:r>
      <w:r>
        <w:rPr>
          <w:rFonts w:ascii="Arial" w:hAnsi="Arial"/>
          <w:w w:val="105"/>
          <w:sz w:val="19"/>
        </w:rPr>
        <w:t>the</w:t>
      </w:r>
      <w:r>
        <w:rPr>
          <w:rFonts w:ascii="Arial" w:hAnsi="Arial"/>
          <w:spacing w:val="-12"/>
          <w:w w:val="105"/>
          <w:sz w:val="19"/>
        </w:rPr>
        <w:t xml:space="preserve"> </w:t>
      </w:r>
      <w:r>
        <w:rPr>
          <w:rFonts w:ascii="Arial" w:hAnsi="Arial"/>
          <w:w w:val="105"/>
          <w:sz w:val="19"/>
        </w:rPr>
        <w:t>table</w:t>
      </w:r>
      <w:r>
        <w:rPr>
          <w:rFonts w:ascii="Arial" w:hAnsi="Arial"/>
          <w:spacing w:val="-12"/>
          <w:w w:val="105"/>
          <w:sz w:val="19"/>
        </w:rPr>
        <w:t xml:space="preserve"> </w:t>
      </w:r>
      <w:r>
        <w:rPr>
          <w:rFonts w:ascii="Arial" w:hAnsi="Arial"/>
          <w:w w:val="105"/>
          <w:sz w:val="19"/>
        </w:rPr>
        <w:t>below.</w:t>
      </w:r>
    </w:p>
    <w:p w:rsidR="007D76BB" w:rsidRDefault="007D76BB">
      <w:pPr>
        <w:pStyle w:val="BodyText"/>
        <w:spacing w:before="1"/>
        <w:rPr>
          <w:rFonts w:ascii="Arial"/>
          <w:sz w:val="21"/>
        </w:rPr>
      </w:pPr>
    </w:p>
    <w:p w:rsidR="007D76BB" w:rsidRDefault="00D70D28">
      <w:pPr>
        <w:ind w:left="482"/>
        <w:rPr>
          <w:rFonts w:ascii="Arial"/>
          <w:sz w:val="19"/>
        </w:rPr>
      </w:pPr>
      <w:r>
        <w:rPr>
          <w:rFonts w:ascii="Arial"/>
          <w:color w:val="005386"/>
          <w:sz w:val="19"/>
        </w:rPr>
        <w:t>Table 1. Product analysis</w:t>
      </w:r>
    </w:p>
    <w:p w:rsidR="007D76BB" w:rsidRDefault="007D76BB">
      <w:pPr>
        <w:pStyle w:val="BodyText"/>
        <w:spacing w:before="4"/>
        <w:rPr>
          <w:rFonts w:ascii="Arial"/>
          <w:sz w:val="16"/>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2124"/>
      </w:tblGrid>
      <w:tr w:rsidR="007D76BB">
        <w:trPr>
          <w:trHeight w:val="239"/>
        </w:trPr>
        <w:tc>
          <w:tcPr>
            <w:tcW w:w="1699" w:type="dxa"/>
            <w:shd w:val="clear" w:color="auto" w:fill="005386"/>
          </w:tcPr>
          <w:p w:rsidR="007D76BB" w:rsidRDefault="00D70D28">
            <w:pPr>
              <w:pStyle w:val="TableParagraph"/>
              <w:spacing w:before="13" w:line="206" w:lineRule="exact"/>
              <w:ind w:left="107"/>
              <w:rPr>
                <w:rFonts w:ascii="Arial"/>
                <w:sz w:val="19"/>
              </w:rPr>
            </w:pPr>
            <w:r>
              <w:rPr>
                <w:rFonts w:ascii="Arial"/>
                <w:color w:val="FFFFFF"/>
                <w:w w:val="110"/>
                <w:sz w:val="19"/>
              </w:rPr>
              <w:t>Retailer</w:t>
            </w:r>
          </w:p>
        </w:tc>
        <w:tc>
          <w:tcPr>
            <w:tcW w:w="2124" w:type="dxa"/>
            <w:shd w:val="clear" w:color="auto" w:fill="005386"/>
          </w:tcPr>
          <w:p w:rsidR="007D76BB" w:rsidRDefault="00D70D28">
            <w:pPr>
              <w:pStyle w:val="TableParagraph"/>
              <w:spacing w:before="13" w:line="206" w:lineRule="exact"/>
              <w:ind w:left="107"/>
              <w:rPr>
                <w:rFonts w:ascii="Arial"/>
                <w:sz w:val="19"/>
              </w:rPr>
            </w:pPr>
            <w:r>
              <w:rPr>
                <w:rFonts w:ascii="Arial"/>
                <w:color w:val="FFFFFF"/>
                <w:w w:val="105"/>
                <w:sz w:val="19"/>
              </w:rPr>
              <w:t>Number of Products</w:t>
            </w:r>
          </w:p>
        </w:tc>
      </w:tr>
      <w:tr w:rsidR="007D76BB">
        <w:trPr>
          <w:trHeight w:val="241"/>
        </w:trPr>
        <w:tc>
          <w:tcPr>
            <w:tcW w:w="1699" w:type="dxa"/>
          </w:tcPr>
          <w:p w:rsidR="007D76BB" w:rsidRDefault="00D70D28">
            <w:pPr>
              <w:pStyle w:val="TableParagraph"/>
              <w:spacing w:before="13" w:line="208" w:lineRule="exact"/>
              <w:ind w:left="107"/>
              <w:rPr>
                <w:rFonts w:ascii="Arial"/>
                <w:sz w:val="19"/>
              </w:rPr>
            </w:pPr>
            <w:r>
              <w:rPr>
                <w:rFonts w:ascii="Arial"/>
                <w:sz w:val="19"/>
              </w:rPr>
              <w:t>ASN</w:t>
            </w:r>
          </w:p>
        </w:tc>
        <w:tc>
          <w:tcPr>
            <w:tcW w:w="2124" w:type="dxa"/>
          </w:tcPr>
          <w:p w:rsidR="007D76BB" w:rsidRDefault="00D70D28">
            <w:pPr>
              <w:pStyle w:val="TableParagraph"/>
              <w:spacing w:before="13" w:line="208" w:lineRule="exact"/>
              <w:ind w:right="94"/>
              <w:jc w:val="right"/>
              <w:rPr>
                <w:rFonts w:ascii="Arial"/>
                <w:sz w:val="19"/>
              </w:rPr>
            </w:pPr>
            <w:r>
              <w:rPr>
                <w:rFonts w:ascii="Arial"/>
                <w:w w:val="105"/>
                <w:sz w:val="19"/>
              </w:rPr>
              <w:t>362</w:t>
            </w:r>
          </w:p>
        </w:tc>
      </w:tr>
      <w:tr w:rsidR="007D76BB">
        <w:trPr>
          <w:trHeight w:val="239"/>
        </w:trPr>
        <w:tc>
          <w:tcPr>
            <w:tcW w:w="1699" w:type="dxa"/>
          </w:tcPr>
          <w:p w:rsidR="007D76BB" w:rsidRDefault="00D70D28">
            <w:pPr>
              <w:pStyle w:val="TableParagraph"/>
              <w:spacing w:before="13" w:line="206" w:lineRule="exact"/>
              <w:ind w:left="280"/>
              <w:rPr>
                <w:rFonts w:ascii="Arial"/>
                <w:sz w:val="19"/>
              </w:rPr>
            </w:pPr>
            <w:r>
              <w:rPr>
                <w:rFonts w:ascii="Arial"/>
                <w:w w:val="105"/>
                <w:sz w:val="19"/>
              </w:rPr>
              <w:t>Fat Burner</w:t>
            </w:r>
          </w:p>
        </w:tc>
        <w:tc>
          <w:tcPr>
            <w:tcW w:w="2124" w:type="dxa"/>
          </w:tcPr>
          <w:p w:rsidR="007D76BB" w:rsidRDefault="00D70D28">
            <w:pPr>
              <w:pStyle w:val="TableParagraph"/>
              <w:spacing w:before="13" w:line="206" w:lineRule="exact"/>
              <w:ind w:right="91"/>
              <w:jc w:val="right"/>
              <w:rPr>
                <w:rFonts w:ascii="Arial"/>
                <w:sz w:val="19"/>
              </w:rPr>
            </w:pPr>
            <w:r>
              <w:rPr>
                <w:rFonts w:ascii="Arial"/>
                <w:w w:val="90"/>
                <w:sz w:val="19"/>
              </w:rPr>
              <w:t>107</w:t>
            </w:r>
          </w:p>
        </w:tc>
      </w:tr>
      <w:tr w:rsidR="007D76BB">
        <w:trPr>
          <w:trHeight w:val="239"/>
        </w:trPr>
        <w:tc>
          <w:tcPr>
            <w:tcW w:w="1699" w:type="dxa"/>
          </w:tcPr>
          <w:p w:rsidR="007D76BB" w:rsidRDefault="00D70D28">
            <w:pPr>
              <w:pStyle w:val="TableParagraph"/>
              <w:spacing w:before="13" w:line="206" w:lineRule="exact"/>
              <w:ind w:left="280"/>
              <w:rPr>
                <w:rFonts w:ascii="Arial"/>
                <w:sz w:val="19"/>
              </w:rPr>
            </w:pPr>
            <w:r>
              <w:rPr>
                <w:rFonts w:ascii="Arial"/>
                <w:w w:val="105"/>
                <w:sz w:val="19"/>
              </w:rPr>
              <w:t>Post-Workout</w:t>
            </w:r>
          </w:p>
        </w:tc>
        <w:tc>
          <w:tcPr>
            <w:tcW w:w="2124" w:type="dxa"/>
          </w:tcPr>
          <w:p w:rsidR="007D76BB" w:rsidRDefault="00D70D28">
            <w:pPr>
              <w:pStyle w:val="TableParagraph"/>
              <w:spacing w:before="13" w:line="206" w:lineRule="exact"/>
              <w:ind w:right="91"/>
              <w:jc w:val="right"/>
              <w:rPr>
                <w:rFonts w:ascii="Arial"/>
                <w:sz w:val="19"/>
              </w:rPr>
            </w:pPr>
            <w:r>
              <w:rPr>
                <w:rFonts w:ascii="Arial"/>
                <w:w w:val="80"/>
                <w:sz w:val="19"/>
              </w:rPr>
              <w:t>119</w:t>
            </w:r>
          </w:p>
        </w:tc>
      </w:tr>
      <w:tr w:rsidR="007D76BB">
        <w:trPr>
          <w:trHeight w:val="241"/>
        </w:trPr>
        <w:tc>
          <w:tcPr>
            <w:tcW w:w="1699" w:type="dxa"/>
          </w:tcPr>
          <w:p w:rsidR="007D76BB" w:rsidRDefault="00D70D28">
            <w:pPr>
              <w:pStyle w:val="TableParagraph"/>
              <w:spacing w:before="16" w:line="206" w:lineRule="exact"/>
              <w:ind w:left="280"/>
              <w:rPr>
                <w:rFonts w:ascii="Arial"/>
                <w:sz w:val="19"/>
              </w:rPr>
            </w:pPr>
            <w:r>
              <w:rPr>
                <w:rFonts w:ascii="Arial"/>
                <w:w w:val="105"/>
                <w:sz w:val="19"/>
              </w:rPr>
              <w:t>Pre-Workout</w:t>
            </w:r>
          </w:p>
        </w:tc>
        <w:tc>
          <w:tcPr>
            <w:tcW w:w="2124" w:type="dxa"/>
          </w:tcPr>
          <w:p w:rsidR="007D76BB" w:rsidRDefault="00D70D28">
            <w:pPr>
              <w:pStyle w:val="TableParagraph"/>
              <w:spacing w:before="16" w:line="206" w:lineRule="exact"/>
              <w:ind w:right="92"/>
              <w:jc w:val="right"/>
              <w:rPr>
                <w:rFonts w:ascii="Arial"/>
                <w:sz w:val="19"/>
              </w:rPr>
            </w:pPr>
            <w:r>
              <w:rPr>
                <w:rFonts w:ascii="Arial"/>
                <w:w w:val="90"/>
                <w:sz w:val="19"/>
              </w:rPr>
              <w:t>136</w:t>
            </w:r>
          </w:p>
        </w:tc>
      </w:tr>
      <w:tr w:rsidR="007D76BB">
        <w:trPr>
          <w:trHeight w:val="239"/>
        </w:trPr>
        <w:tc>
          <w:tcPr>
            <w:tcW w:w="1699" w:type="dxa"/>
          </w:tcPr>
          <w:p w:rsidR="007D76BB" w:rsidRDefault="00D70D28">
            <w:pPr>
              <w:pStyle w:val="TableParagraph"/>
              <w:spacing w:before="13" w:line="206" w:lineRule="exact"/>
              <w:ind w:left="107"/>
              <w:rPr>
                <w:rFonts w:ascii="Arial"/>
                <w:sz w:val="19"/>
              </w:rPr>
            </w:pPr>
            <w:r>
              <w:rPr>
                <w:rFonts w:ascii="Arial"/>
                <w:sz w:val="19"/>
              </w:rPr>
              <w:t>NW</w:t>
            </w:r>
          </w:p>
        </w:tc>
        <w:tc>
          <w:tcPr>
            <w:tcW w:w="2124" w:type="dxa"/>
          </w:tcPr>
          <w:p w:rsidR="007D76BB" w:rsidRDefault="00D70D28">
            <w:pPr>
              <w:pStyle w:val="TableParagraph"/>
              <w:spacing w:before="13" w:line="206" w:lineRule="exact"/>
              <w:ind w:right="95"/>
              <w:jc w:val="right"/>
              <w:rPr>
                <w:rFonts w:ascii="Arial"/>
                <w:sz w:val="19"/>
              </w:rPr>
            </w:pPr>
            <w:r>
              <w:rPr>
                <w:rFonts w:ascii="Arial"/>
                <w:w w:val="105"/>
                <w:sz w:val="19"/>
              </w:rPr>
              <w:t>346</w:t>
            </w:r>
          </w:p>
        </w:tc>
      </w:tr>
      <w:tr w:rsidR="007D76BB">
        <w:trPr>
          <w:trHeight w:val="242"/>
        </w:trPr>
        <w:tc>
          <w:tcPr>
            <w:tcW w:w="1699" w:type="dxa"/>
          </w:tcPr>
          <w:p w:rsidR="007D76BB" w:rsidRDefault="00D70D28">
            <w:pPr>
              <w:pStyle w:val="TableParagraph"/>
              <w:spacing w:before="13" w:line="208" w:lineRule="exact"/>
              <w:ind w:left="280"/>
              <w:rPr>
                <w:rFonts w:ascii="Arial"/>
                <w:sz w:val="19"/>
              </w:rPr>
            </w:pPr>
            <w:r>
              <w:rPr>
                <w:rFonts w:ascii="Arial"/>
                <w:w w:val="105"/>
                <w:sz w:val="19"/>
              </w:rPr>
              <w:t>Fat Burner</w:t>
            </w:r>
          </w:p>
        </w:tc>
        <w:tc>
          <w:tcPr>
            <w:tcW w:w="2124" w:type="dxa"/>
          </w:tcPr>
          <w:p w:rsidR="007D76BB" w:rsidRDefault="00D70D28">
            <w:pPr>
              <w:pStyle w:val="TableParagraph"/>
              <w:spacing w:before="13" w:line="208" w:lineRule="exact"/>
              <w:ind w:right="95"/>
              <w:jc w:val="right"/>
              <w:rPr>
                <w:rFonts w:ascii="Arial"/>
                <w:sz w:val="19"/>
              </w:rPr>
            </w:pPr>
            <w:r>
              <w:rPr>
                <w:rFonts w:ascii="Arial"/>
                <w:w w:val="95"/>
                <w:sz w:val="19"/>
              </w:rPr>
              <w:t>155</w:t>
            </w:r>
          </w:p>
        </w:tc>
      </w:tr>
      <w:tr w:rsidR="007D76BB">
        <w:trPr>
          <w:trHeight w:val="239"/>
        </w:trPr>
        <w:tc>
          <w:tcPr>
            <w:tcW w:w="1699" w:type="dxa"/>
          </w:tcPr>
          <w:p w:rsidR="007D76BB" w:rsidRDefault="00D70D28">
            <w:pPr>
              <w:pStyle w:val="TableParagraph"/>
              <w:spacing w:before="13" w:line="206" w:lineRule="exact"/>
              <w:ind w:left="280"/>
              <w:rPr>
                <w:rFonts w:ascii="Arial"/>
                <w:sz w:val="19"/>
              </w:rPr>
            </w:pPr>
            <w:r>
              <w:rPr>
                <w:rFonts w:ascii="Arial"/>
                <w:w w:val="105"/>
                <w:sz w:val="19"/>
              </w:rPr>
              <w:t>Post-Workout</w:t>
            </w:r>
          </w:p>
        </w:tc>
        <w:tc>
          <w:tcPr>
            <w:tcW w:w="2124" w:type="dxa"/>
          </w:tcPr>
          <w:p w:rsidR="007D76BB" w:rsidRDefault="00D70D28">
            <w:pPr>
              <w:pStyle w:val="TableParagraph"/>
              <w:spacing w:before="13" w:line="206" w:lineRule="exact"/>
              <w:ind w:right="98"/>
              <w:jc w:val="right"/>
              <w:rPr>
                <w:rFonts w:ascii="Arial"/>
                <w:sz w:val="19"/>
              </w:rPr>
            </w:pPr>
            <w:r>
              <w:rPr>
                <w:rFonts w:ascii="Arial"/>
                <w:w w:val="105"/>
                <w:sz w:val="19"/>
              </w:rPr>
              <w:t>29</w:t>
            </w:r>
          </w:p>
        </w:tc>
      </w:tr>
      <w:tr w:rsidR="007D76BB">
        <w:trPr>
          <w:trHeight w:val="239"/>
        </w:trPr>
        <w:tc>
          <w:tcPr>
            <w:tcW w:w="1699" w:type="dxa"/>
          </w:tcPr>
          <w:p w:rsidR="007D76BB" w:rsidRDefault="00D70D28">
            <w:pPr>
              <w:pStyle w:val="TableParagraph"/>
              <w:spacing w:before="13" w:line="206" w:lineRule="exact"/>
              <w:ind w:left="280"/>
              <w:rPr>
                <w:rFonts w:ascii="Arial"/>
                <w:sz w:val="19"/>
              </w:rPr>
            </w:pPr>
            <w:r>
              <w:rPr>
                <w:rFonts w:ascii="Arial"/>
                <w:w w:val="105"/>
                <w:sz w:val="19"/>
              </w:rPr>
              <w:t>Pre-Workout</w:t>
            </w:r>
          </w:p>
        </w:tc>
        <w:tc>
          <w:tcPr>
            <w:tcW w:w="2124" w:type="dxa"/>
          </w:tcPr>
          <w:p w:rsidR="007D76BB" w:rsidRDefault="00D70D28">
            <w:pPr>
              <w:pStyle w:val="TableParagraph"/>
              <w:spacing w:before="13" w:line="206" w:lineRule="exact"/>
              <w:ind w:right="94"/>
              <w:jc w:val="right"/>
              <w:rPr>
                <w:rFonts w:ascii="Arial"/>
                <w:sz w:val="19"/>
              </w:rPr>
            </w:pPr>
            <w:r>
              <w:rPr>
                <w:rFonts w:ascii="Arial"/>
                <w:w w:val="90"/>
                <w:sz w:val="19"/>
              </w:rPr>
              <w:t>162</w:t>
            </w:r>
          </w:p>
        </w:tc>
      </w:tr>
      <w:tr w:rsidR="007D76BB">
        <w:trPr>
          <w:trHeight w:val="241"/>
        </w:trPr>
        <w:tc>
          <w:tcPr>
            <w:tcW w:w="1699" w:type="dxa"/>
          </w:tcPr>
          <w:p w:rsidR="007D76BB" w:rsidRDefault="00D70D28">
            <w:pPr>
              <w:pStyle w:val="TableParagraph"/>
              <w:spacing w:before="16" w:line="206" w:lineRule="exact"/>
              <w:ind w:left="107"/>
              <w:rPr>
                <w:rFonts w:ascii="Arial"/>
                <w:sz w:val="19"/>
              </w:rPr>
            </w:pPr>
            <w:r>
              <w:rPr>
                <w:rFonts w:ascii="Arial"/>
                <w:w w:val="105"/>
                <w:sz w:val="19"/>
              </w:rPr>
              <w:t xml:space="preserve">Elite </w:t>
            </w:r>
            <w:proofErr w:type="spellStart"/>
            <w:r>
              <w:rPr>
                <w:rFonts w:ascii="Arial"/>
                <w:w w:val="105"/>
                <w:sz w:val="19"/>
              </w:rPr>
              <w:t>Supps</w:t>
            </w:r>
            <w:proofErr w:type="spellEnd"/>
          </w:p>
        </w:tc>
        <w:tc>
          <w:tcPr>
            <w:tcW w:w="2124" w:type="dxa"/>
          </w:tcPr>
          <w:p w:rsidR="007D76BB" w:rsidRDefault="00D70D28">
            <w:pPr>
              <w:pStyle w:val="TableParagraph"/>
              <w:spacing w:before="16" w:line="206" w:lineRule="exact"/>
              <w:ind w:right="96"/>
              <w:jc w:val="right"/>
              <w:rPr>
                <w:rFonts w:ascii="Arial"/>
                <w:sz w:val="19"/>
              </w:rPr>
            </w:pPr>
            <w:r>
              <w:rPr>
                <w:rFonts w:ascii="Arial"/>
                <w:w w:val="90"/>
                <w:sz w:val="19"/>
              </w:rPr>
              <w:t>213</w:t>
            </w:r>
          </w:p>
        </w:tc>
      </w:tr>
      <w:tr w:rsidR="007D76BB">
        <w:trPr>
          <w:trHeight w:val="240"/>
        </w:trPr>
        <w:tc>
          <w:tcPr>
            <w:tcW w:w="1699" w:type="dxa"/>
          </w:tcPr>
          <w:p w:rsidR="007D76BB" w:rsidRDefault="00D70D28">
            <w:pPr>
              <w:pStyle w:val="TableParagraph"/>
              <w:spacing w:before="14" w:line="206" w:lineRule="exact"/>
              <w:ind w:left="280"/>
              <w:rPr>
                <w:rFonts w:ascii="Arial"/>
                <w:sz w:val="19"/>
              </w:rPr>
            </w:pPr>
            <w:r>
              <w:rPr>
                <w:rFonts w:ascii="Arial"/>
                <w:w w:val="105"/>
                <w:sz w:val="19"/>
              </w:rPr>
              <w:t>Fat Burner</w:t>
            </w:r>
          </w:p>
        </w:tc>
        <w:tc>
          <w:tcPr>
            <w:tcW w:w="2124" w:type="dxa"/>
          </w:tcPr>
          <w:p w:rsidR="007D76BB" w:rsidRDefault="00D70D28">
            <w:pPr>
              <w:pStyle w:val="TableParagraph"/>
              <w:spacing w:before="14" w:line="206" w:lineRule="exact"/>
              <w:ind w:right="91"/>
              <w:jc w:val="right"/>
              <w:rPr>
                <w:rFonts w:ascii="Arial"/>
                <w:sz w:val="19"/>
              </w:rPr>
            </w:pPr>
            <w:r>
              <w:rPr>
                <w:rFonts w:ascii="Arial"/>
                <w:w w:val="90"/>
                <w:sz w:val="19"/>
              </w:rPr>
              <w:t>107</w:t>
            </w:r>
          </w:p>
        </w:tc>
      </w:tr>
      <w:tr w:rsidR="007D76BB">
        <w:trPr>
          <w:trHeight w:val="242"/>
        </w:trPr>
        <w:tc>
          <w:tcPr>
            <w:tcW w:w="1699" w:type="dxa"/>
          </w:tcPr>
          <w:p w:rsidR="007D76BB" w:rsidRDefault="00D70D28">
            <w:pPr>
              <w:pStyle w:val="TableParagraph"/>
              <w:spacing w:before="13" w:line="208" w:lineRule="exact"/>
              <w:ind w:left="280"/>
              <w:rPr>
                <w:rFonts w:ascii="Arial"/>
                <w:sz w:val="19"/>
              </w:rPr>
            </w:pPr>
            <w:r>
              <w:rPr>
                <w:rFonts w:ascii="Arial"/>
                <w:w w:val="105"/>
                <w:sz w:val="19"/>
              </w:rPr>
              <w:t>Post-Workout</w:t>
            </w:r>
          </w:p>
        </w:tc>
        <w:tc>
          <w:tcPr>
            <w:tcW w:w="2124" w:type="dxa"/>
          </w:tcPr>
          <w:p w:rsidR="007D76BB" w:rsidRDefault="00D70D28">
            <w:pPr>
              <w:pStyle w:val="TableParagraph"/>
              <w:spacing w:before="13" w:line="208" w:lineRule="exact"/>
              <w:ind w:right="94"/>
              <w:jc w:val="right"/>
              <w:rPr>
                <w:rFonts w:ascii="Arial"/>
                <w:sz w:val="19"/>
              </w:rPr>
            </w:pPr>
            <w:r>
              <w:rPr>
                <w:rFonts w:ascii="Arial"/>
                <w:w w:val="90"/>
                <w:sz w:val="19"/>
              </w:rPr>
              <w:t>15</w:t>
            </w:r>
          </w:p>
        </w:tc>
      </w:tr>
      <w:tr w:rsidR="007D76BB">
        <w:trPr>
          <w:trHeight w:val="239"/>
        </w:trPr>
        <w:tc>
          <w:tcPr>
            <w:tcW w:w="1699" w:type="dxa"/>
          </w:tcPr>
          <w:p w:rsidR="007D76BB" w:rsidRDefault="00D70D28">
            <w:pPr>
              <w:pStyle w:val="TableParagraph"/>
              <w:spacing w:before="13" w:line="206" w:lineRule="exact"/>
              <w:ind w:left="280"/>
              <w:rPr>
                <w:rFonts w:ascii="Arial"/>
                <w:sz w:val="19"/>
              </w:rPr>
            </w:pPr>
            <w:r>
              <w:rPr>
                <w:rFonts w:ascii="Arial"/>
                <w:w w:val="105"/>
                <w:sz w:val="19"/>
              </w:rPr>
              <w:t>Pre-Workout</w:t>
            </w:r>
          </w:p>
        </w:tc>
        <w:tc>
          <w:tcPr>
            <w:tcW w:w="2124" w:type="dxa"/>
          </w:tcPr>
          <w:p w:rsidR="007D76BB" w:rsidRDefault="00D70D28">
            <w:pPr>
              <w:pStyle w:val="TableParagraph"/>
              <w:spacing w:before="13" w:line="206" w:lineRule="exact"/>
              <w:ind w:right="97"/>
              <w:jc w:val="right"/>
              <w:rPr>
                <w:rFonts w:ascii="Arial"/>
                <w:sz w:val="19"/>
              </w:rPr>
            </w:pPr>
            <w:r>
              <w:rPr>
                <w:rFonts w:ascii="Arial"/>
                <w:w w:val="85"/>
                <w:sz w:val="19"/>
              </w:rPr>
              <w:t>91</w:t>
            </w:r>
          </w:p>
        </w:tc>
      </w:tr>
      <w:tr w:rsidR="007D76BB">
        <w:trPr>
          <w:trHeight w:val="241"/>
        </w:trPr>
        <w:tc>
          <w:tcPr>
            <w:tcW w:w="1699" w:type="dxa"/>
          </w:tcPr>
          <w:p w:rsidR="007D76BB" w:rsidRDefault="00D70D28">
            <w:pPr>
              <w:pStyle w:val="TableParagraph"/>
              <w:spacing w:before="13" w:line="208" w:lineRule="exact"/>
              <w:ind w:right="97"/>
              <w:jc w:val="right"/>
              <w:rPr>
                <w:rFonts w:ascii="Arial"/>
                <w:sz w:val="19"/>
              </w:rPr>
            </w:pPr>
            <w:r>
              <w:rPr>
                <w:rFonts w:ascii="Arial"/>
                <w:w w:val="105"/>
                <w:sz w:val="19"/>
              </w:rPr>
              <w:t>Total</w:t>
            </w:r>
          </w:p>
        </w:tc>
        <w:tc>
          <w:tcPr>
            <w:tcW w:w="2124" w:type="dxa"/>
            <w:shd w:val="clear" w:color="auto" w:fill="D9D9D9"/>
          </w:tcPr>
          <w:p w:rsidR="007D76BB" w:rsidRDefault="00D70D28">
            <w:pPr>
              <w:pStyle w:val="TableParagraph"/>
              <w:spacing w:before="13" w:line="208" w:lineRule="exact"/>
              <w:ind w:right="94"/>
              <w:jc w:val="right"/>
              <w:rPr>
                <w:rFonts w:ascii="Arial"/>
                <w:sz w:val="19"/>
              </w:rPr>
            </w:pPr>
            <w:r>
              <w:rPr>
                <w:rFonts w:ascii="Arial"/>
                <w:w w:val="90"/>
                <w:sz w:val="19"/>
              </w:rPr>
              <w:t>921</w:t>
            </w:r>
          </w:p>
        </w:tc>
      </w:tr>
    </w:tbl>
    <w:p w:rsidR="007D76BB" w:rsidRDefault="00D70D28">
      <w:pPr>
        <w:spacing w:before="193" w:line="264" w:lineRule="auto"/>
        <w:ind w:left="482" w:right="844"/>
        <w:rPr>
          <w:rFonts w:ascii="Arial"/>
          <w:sz w:val="19"/>
        </w:rPr>
      </w:pPr>
      <w:r>
        <w:rPr>
          <w:rFonts w:ascii="Arial"/>
          <w:w w:val="105"/>
          <w:sz w:val="19"/>
        </w:rPr>
        <w:t>As</w:t>
      </w:r>
      <w:r>
        <w:rPr>
          <w:rFonts w:ascii="Arial"/>
          <w:spacing w:val="-23"/>
          <w:w w:val="105"/>
          <w:sz w:val="19"/>
        </w:rPr>
        <w:t xml:space="preserve"> </w:t>
      </w:r>
      <w:r>
        <w:rPr>
          <w:rFonts w:ascii="Arial"/>
          <w:w w:val="105"/>
          <w:sz w:val="19"/>
        </w:rPr>
        <w:t>some</w:t>
      </w:r>
      <w:r>
        <w:rPr>
          <w:rFonts w:ascii="Arial"/>
          <w:spacing w:val="-21"/>
          <w:w w:val="105"/>
          <w:sz w:val="19"/>
        </w:rPr>
        <w:t xml:space="preserve"> </w:t>
      </w:r>
      <w:r>
        <w:rPr>
          <w:rFonts w:ascii="Arial"/>
          <w:w w:val="105"/>
          <w:sz w:val="19"/>
        </w:rPr>
        <w:t>products</w:t>
      </w:r>
      <w:r>
        <w:rPr>
          <w:rFonts w:ascii="Arial"/>
          <w:spacing w:val="-23"/>
          <w:w w:val="105"/>
          <w:sz w:val="19"/>
        </w:rPr>
        <w:t xml:space="preserve"> </w:t>
      </w:r>
      <w:r>
        <w:rPr>
          <w:rFonts w:ascii="Arial"/>
          <w:w w:val="105"/>
          <w:sz w:val="19"/>
        </w:rPr>
        <w:t>were</w:t>
      </w:r>
      <w:r>
        <w:rPr>
          <w:rFonts w:ascii="Arial"/>
          <w:spacing w:val="-21"/>
          <w:w w:val="105"/>
          <w:sz w:val="19"/>
        </w:rPr>
        <w:t xml:space="preserve"> </w:t>
      </w:r>
      <w:r>
        <w:rPr>
          <w:rFonts w:ascii="Arial"/>
          <w:w w:val="105"/>
          <w:sz w:val="19"/>
        </w:rPr>
        <w:t>repeated</w:t>
      </w:r>
      <w:r>
        <w:rPr>
          <w:rFonts w:ascii="Arial"/>
          <w:spacing w:val="-23"/>
          <w:w w:val="105"/>
          <w:sz w:val="19"/>
        </w:rPr>
        <w:t xml:space="preserve"> </w:t>
      </w:r>
      <w:r>
        <w:rPr>
          <w:rFonts w:ascii="Arial"/>
          <w:w w:val="105"/>
          <w:sz w:val="19"/>
        </w:rPr>
        <w:t>across</w:t>
      </w:r>
      <w:r>
        <w:rPr>
          <w:rFonts w:ascii="Arial"/>
          <w:spacing w:val="-22"/>
          <w:w w:val="105"/>
          <w:sz w:val="19"/>
        </w:rPr>
        <w:t xml:space="preserve"> </w:t>
      </w:r>
      <w:r>
        <w:rPr>
          <w:rFonts w:ascii="Arial"/>
          <w:w w:val="105"/>
          <w:sz w:val="19"/>
        </w:rPr>
        <w:t>product</w:t>
      </w:r>
      <w:r>
        <w:rPr>
          <w:rFonts w:ascii="Arial"/>
          <w:spacing w:val="-22"/>
          <w:w w:val="105"/>
          <w:sz w:val="19"/>
        </w:rPr>
        <w:t xml:space="preserve"> </w:t>
      </w:r>
      <w:r>
        <w:rPr>
          <w:rFonts w:ascii="Arial"/>
          <w:w w:val="105"/>
          <w:sz w:val="19"/>
        </w:rPr>
        <w:t>categories</w:t>
      </w:r>
      <w:r>
        <w:rPr>
          <w:rFonts w:ascii="Arial"/>
          <w:spacing w:val="-22"/>
          <w:w w:val="105"/>
          <w:sz w:val="19"/>
        </w:rPr>
        <w:t xml:space="preserve"> </w:t>
      </w:r>
      <w:r>
        <w:rPr>
          <w:rFonts w:ascii="Arial"/>
          <w:w w:val="105"/>
          <w:sz w:val="19"/>
        </w:rPr>
        <w:t>internal</w:t>
      </w:r>
      <w:r>
        <w:rPr>
          <w:rFonts w:ascii="Arial"/>
          <w:spacing w:val="-23"/>
          <w:w w:val="105"/>
          <w:sz w:val="19"/>
        </w:rPr>
        <w:t xml:space="preserve"> </w:t>
      </w:r>
      <w:r>
        <w:rPr>
          <w:rFonts w:ascii="Arial"/>
          <w:w w:val="105"/>
          <w:sz w:val="19"/>
        </w:rPr>
        <w:t>to</w:t>
      </w:r>
      <w:r>
        <w:rPr>
          <w:rFonts w:ascii="Arial"/>
          <w:spacing w:val="-22"/>
          <w:w w:val="105"/>
          <w:sz w:val="19"/>
        </w:rPr>
        <w:t xml:space="preserve"> </w:t>
      </w:r>
      <w:r>
        <w:rPr>
          <w:rFonts w:ascii="Arial"/>
          <w:w w:val="105"/>
          <w:sz w:val="19"/>
        </w:rPr>
        <w:t>a</w:t>
      </w:r>
      <w:r>
        <w:rPr>
          <w:rFonts w:ascii="Arial"/>
          <w:spacing w:val="-23"/>
          <w:w w:val="105"/>
          <w:sz w:val="19"/>
        </w:rPr>
        <w:t xml:space="preserve"> </w:t>
      </w:r>
      <w:r>
        <w:rPr>
          <w:rFonts w:ascii="Arial"/>
          <w:w w:val="105"/>
          <w:sz w:val="19"/>
        </w:rPr>
        <w:t>retailer,</w:t>
      </w:r>
      <w:r>
        <w:rPr>
          <w:rFonts w:ascii="Arial"/>
          <w:spacing w:val="-23"/>
          <w:w w:val="105"/>
          <w:sz w:val="19"/>
        </w:rPr>
        <w:t xml:space="preserve"> </w:t>
      </w:r>
      <w:r>
        <w:rPr>
          <w:rFonts w:ascii="Arial"/>
          <w:w w:val="105"/>
          <w:sz w:val="19"/>
        </w:rPr>
        <w:t>as</w:t>
      </w:r>
      <w:r>
        <w:rPr>
          <w:rFonts w:ascii="Arial"/>
          <w:spacing w:val="-22"/>
          <w:w w:val="105"/>
          <w:sz w:val="19"/>
        </w:rPr>
        <w:t xml:space="preserve"> </w:t>
      </w:r>
      <w:r>
        <w:rPr>
          <w:rFonts w:ascii="Arial"/>
          <w:w w:val="105"/>
          <w:sz w:val="19"/>
        </w:rPr>
        <w:t>well</w:t>
      </w:r>
      <w:r>
        <w:rPr>
          <w:rFonts w:ascii="Arial"/>
          <w:spacing w:val="-23"/>
          <w:w w:val="105"/>
          <w:sz w:val="19"/>
        </w:rPr>
        <w:t xml:space="preserve"> </w:t>
      </w:r>
      <w:r>
        <w:rPr>
          <w:rFonts w:ascii="Arial"/>
          <w:w w:val="105"/>
          <w:sz w:val="19"/>
        </w:rPr>
        <w:t>as</w:t>
      </w:r>
      <w:r>
        <w:rPr>
          <w:rFonts w:ascii="Arial"/>
          <w:spacing w:val="-22"/>
          <w:w w:val="105"/>
          <w:sz w:val="19"/>
        </w:rPr>
        <w:t xml:space="preserve"> </w:t>
      </w:r>
      <w:r>
        <w:rPr>
          <w:rFonts w:ascii="Arial"/>
          <w:w w:val="105"/>
          <w:sz w:val="19"/>
        </w:rPr>
        <w:t>being sold</w:t>
      </w:r>
      <w:r>
        <w:rPr>
          <w:rFonts w:ascii="Arial"/>
          <w:spacing w:val="-24"/>
          <w:w w:val="105"/>
          <w:sz w:val="19"/>
        </w:rPr>
        <w:t xml:space="preserve"> </w:t>
      </w:r>
      <w:r>
        <w:rPr>
          <w:rFonts w:ascii="Arial"/>
          <w:w w:val="105"/>
          <w:sz w:val="19"/>
        </w:rPr>
        <w:t>across</w:t>
      </w:r>
      <w:r>
        <w:rPr>
          <w:rFonts w:ascii="Arial"/>
          <w:spacing w:val="-22"/>
          <w:w w:val="105"/>
          <w:sz w:val="19"/>
        </w:rPr>
        <w:t xml:space="preserve"> </w:t>
      </w:r>
      <w:r>
        <w:rPr>
          <w:rFonts w:ascii="Arial"/>
          <w:w w:val="105"/>
          <w:sz w:val="19"/>
        </w:rPr>
        <w:t>multiple</w:t>
      </w:r>
      <w:r>
        <w:rPr>
          <w:rFonts w:ascii="Arial"/>
          <w:spacing w:val="-22"/>
          <w:w w:val="105"/>
          <w:sz w:val="19"/>
        </w:rPr>
        <w:t xml:space="preserve"> </w:t>
      </w:r>
      <w:r>
        <w:rPr>
          <w:rFonts w:ascii="Arial"/>
          <w:w w:val="105"/>
          <w:sz w:val="19"/>
        </w:rPr>
        <w:t>retailer</w:t>
      </w:r>
      <w:r>
        <w:rPr>
          <w:rFonts w:ascii="Arial"/>
          <w:spacing w:val="-26"/>
          <w:w w:val="105"/>
          <w:sz w:val="19"/>
        </w:rPr>
        <w:t xml:space="preserve"> </w:t>
      </w:r>
      <w:r>
        <w:rPr>
          <w:rFonts w:ascii="Arial"/>
          <w:w w:val="105"/>
          <w:sz w:val="19"/>
        </w:rPr>
        <w:t>websites,</w:t>
      </w:r>
      <w:r>
        <w:rPr>
          <w:rFonts w:ascii="Arial"/>
          <w:spacing w:val="-24"/>
          <w:w w:val="105"/>
          <w:sz w:val="19"/>
        </w:rPr>
        <w:t xml:space="preserve"> </w:t>
      </w:r>
      <w:r>
        <w:rPr>
          <w:rFonts w:ascii="Arial"/>
          <w:w w:val="105"/>
          <w:sz w:val="19"/>
        </w:rPr>
        <w:t>an</w:t>
      </w:r>
      <w:r>
        <w:rPr>
          <w:rFonts w:ascii="Arial"/>
          <w:spacing w:val="-23"/>
          <w:w w:val="105"/>
          <w:sz w:val="19"/>
        </w:rPr>
        <w:t xml:space="preserve"> </w:t>
      </w:r>
      <w:r>
        <w:rPr>
          <w:rFonts w:ascii="Arial"/>
          <w:w w:val="105"/>
          <w:sz w:val="19"/>
        </w:rPr>
        <w:t>adjustment</w:t>
      </w:r>
      <w:r>
        <w:rPr>
          <w:rFonts w:ascii="Arial"/>
          <w:spacing w:val="-24"/>
          <w:w w:val="105"/>
          <w:sz w:val="19"/>
        </w:rPr>
        <w:t xml:space="preserve"> </w:t>
      </w:r>
      <w:r>
        <w:rPr>
          <w:rFonts w:ascii="Arial"/>
          <w:w w:val="105"/>
          <w:sz w:val="19"/>
        </w:rPr>
        <w:t>was</w:t>
      </w:r>
      <w:r>
        <w:rPr>
          <w:rFonts w:ascii="Arial"/>
          <w:spacing w:val="-24"/>
          <w:w w:val="105"/>
          <w:sz w:val="19"/>
        </w:rPr>
        <w:t xml:space="preserve"> </w:t>
      </w:r>
      <w:r>
        <w:rPr>
          <w:rFonts w:ascii="Arial"/>
          <w:w w:val="105"/>
          <w:sz w:val="19"/>
        </w:rPr>
        <w:t>made</w:t>
      </w:r>
      <w:r>
        <w:rPr>
          <w:rFonts w:ascii="Arial"/>
          <w:spacing w:val="-22"/>
          <w:w w:val="105"/>
          <w:sz w:val="19"/>
        </w:rPr>
        <w:t xml:space="preserve"> </w:t>
      </w:r>
      <w:r>
        <w:rPr>
          <w:rFonts w:ascii="Arial"/>
          <w:w w:val="105"/>
          <w:sz w:val="19"/>
        </w:rPr>
        <w:t>to</w:t>
      </w:r>
      <w:r>
        <w:rPr>
          <w:rFonts w:ascii="Arial"/>
          <w:spacing w:val="-24"/>
          <w:w w:val="105"/>
          <w:sz w:val="19"/>
        </w:rPr>
        <w:t xml:space="preserve"> </w:t>
      </w:r>
      <w:r>
        <w:rPr>
          <w:rFonts w:ascii="Arial"/>
          <w:w w:val="105"/>
          <w:sz w:val="19"/>
        </w:rPr>
        <w:t>the</w:t>
      </w:r>
      <w:r>
        <w:rPr>
          <w:rFonts w:ascii="Arial"/>
          <w:spacing w:val="-22"/>
          <w:w w:val="105"/>
          <w:sz w:val="19"/>
        </w:rPr>
        <w:t xml:space="preserve"> </w:t>
      </w:r>
      <w:r>
        <w:rPr>
          <w:rFonts w:ascii="Arial"/>
          <w:w w:val="105"/>
          <w:sz w:val="19"/>
        </w:rPr>
        <w:t>data</w:t>
      </w:r>
      <w:r>
        <w:rPr>
          <w:rFonts w:ascii="Arial"/>
          <w:spacing w:val="-24"/>
          <w:w w:val="105"/>
          <w:sz w:val="19"/>
        </w:rPr>
        <w:t xml:space="preserve"> </w:t>
      </w:r>
      <w:r>
        <w:rPr>
          <w:rFonts w:ascii="Arial"/>
          <w:w w:val="105"/>
          <w:sz w:val="19"/>
        </w:rPr>
        <w:t>to</w:t>
      </w:r>
      <w:r>
        <w:rPr>
          <w:rFonts w:ascii="Arial"/>
          <w:spacing w:val="-23"/>
          <w:w w:val="105"/>
          <w:sz w:val="19"/>
        </w:rPr>
        <w:t xml:space="preserve"> </w:t>
      </w:r>
      <w:r>
        <w:rPr>
          <w:rFonts w:ascii="Arial"/>
          <w:w w:val="105"/>
          <w:sz w:val="19"/>
        </w:rPr>
        <w:t>show</w:t>
      </w:r>
      <w:r>
        <w:rPr>
          <w:rFonts w:ascii="Arial"/>
          <w:spacing w:val="-23"/>
          <w:w w:val="105"/>
          <w:sz w:val="19"/>
        </w:rPr>
        <w:t xml:space="preserve"> </w:t>
      </w:r>
      <w:r>
        <w:rPr>
          <w:rFonts w:ascii="Arial"/>
          <w:w w:val="105"/>
          <w:sz w:val="19"/>
        </w:rPr>
        <w:t>distinct</w:t>
      </w:r>
      <w:r>
        <w:rPr>
          <w:rFonts w:ascii="Arial"/>
          <w:spacing w:val="-24"/>
          <w:w w:val="105"/>
          <w:sz w:val="19"/>
        </w:rPr>
        <w:t xml:space="preserve"> </w:t>
      </w:r>
      <w:r>
        <w:rPr>
          <w:rFonts w:ascii="Arial"/>
          <w:w w:val="105"/>
          <w:sz w:val="19"/>
        </w:rPr>
        <w:t>products only,</w:t>
      </w:r>
      <w:r>
        <w:rPr>
          <w:rFonts w:ascii="Arial"/>
          <w:spacing w:val="-11"/>
          <w:w w:val="105"/>
          <w:sz w:val="19"/>
        </w:rPr>
        <w:t xml:space="preserve"> </w:t>
      </w:r>
      <w:r>
        <w:rPr>
          <w:rFonts w:ascii="Arial"/>
          <w:w w:val="105"/>
          <w:sz w:val="19"/>
        </w:rPr>
        <w:t>as</w:t>
      </w:r>
      <w:r>
        <w:rPr>
          <w:rFonts w:ascii="Arial"/>
          <w:spacing w:val="-13"/>
          <w:w w:val="105"/>
          <w:sz w:val="19"/>
        </w:rPr>
        <w:t xml:space="preserve"> </w:t>
      </w:r>
      <w:r>
        <w:rPr>
          <w:rFonts w:ascii="Arial"/>
          <w:w w:val="105"/>
          <w:sz w:val="19"/>
        </w:rPr>
        <w:t>detailed</w:t>
      </w:r>
      <w:r>
        <w:rPr>
          <w:rFonts w:ascii="Arial"/>
          <w:spacing w:val="-13"/>
          <w:w w:val="105"/>
          <w:sz w:val="19"/>
        </w:rPr>
        <w:t xml:space="preserve"> </w:t>
      </w:r>
      <w:r>
        <w:rPr>
          <w:rFonts w:ascii="Arial"/>
          <w:w w:val="105"/>
          <w:sz w:val="19"/>
        </w:rPr>
        <w:t>in</w:t>
      </w:r>
      <w:r>
        <w:rPr>
          <w:rFonts w:ascii="Arial"/>
          <w:spacing w:val="-12"/>
          <w:w w:val="105"/>
          <w:sz w:val="19"/>
        </w:rPr>
        <w:t xml:space="preserve"> </w:t>
      </w:r>
      <w:r>
        <w:rPr>
          <w:rFonts w:ascii="Arial"/>
          <w:w w:val="105"/>
          <w:sz w:val="19"/>
        </w:rPr>
        <w:t>the</w:t>
      </w:r>
      <w:r>
        <w:rPr>
          <w:rFonts w:ascii="Arial"/>
          <w:spacing w:val="-12"/>
          <w:w w:val="105"/>
          <w:sz w:val="19"/>
        </w:rPr>
        <w:t xml:space="preserve"> </w:t>
      </w:r>
      <w:r>
        <w:rPr>
          <w:rFonts w:ascii="Arial"/>
          <w:w w:val="105"/>
          <w:sz w:val="19"/>
        </w:rPr>
        <w:t>table</w:t>
      </w:r>
      <w:r>
        <w:rPr>
          <w:rFonts w:ascii="Arial"/>
          <w:spacing w:val="-15"/>
          <w:w w:val="105"/>
          <w:sz w:val="19"/>
        </w:rPr>
        <w:t xml:space="preserve"> </w:t>
      </w:r>
      <w:r>
        <w:rPr>
          <w:rFonts w:ascii="Arial"/>
          <w:w w:val="105"/>
          <w:sz w:val="19"/>
        </w:rPr>
        <w:t>below.</w:t>
      </w:r>
    </w:p>
    <w:p w:rsidR="007D76BB" w:rsidRDefault="007D76BB">
      <w:pPr>
        <w:pStyle w:val="BodyText"/>
        <w:rPr>
          <w:rFonts w:ascii="Arial"/>
          <w:sz w:val="21"/>
        </w:rPr>
      </w:pPr>
    </w:p>
    <w:p w:rsidR="007D76BB" w:rsidRDefault="00D70D28">
      <w:pPr>
        <w:ind w:left="482"/>
        <w:rPr>
          <w:rFonts w:ascii="Arial"/>
          <w:sz w:val="19"/>
        </w:rPr>
      </w:pPr>
      <w:r>
        <w:rPr>
          <w:rFonts w:ascii="Arial"/>
          <w:color w:val="005386"/>
          <w:w w:val="105"/>
          <w:sz w:val="19"/>
        </w:rPr>
        <w:t>Table 2. Distinct products by presentation</w:t>
      </w:r>
    </w:p>
    <w:p w:rsidR="007D76BB" w:rsidRDefault="007D76BB">
      <w:pPr>
        <w:pStyle w:val="BodyText"/>
        <w:spacing w:before="2"/>
        <w:rPr>
          <w:rFonts w:ascii="Arial"/>
          <w:sz w:val="16"/>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3"/>
        <w:gridCol w:w="992"/>
        <w:gridCol w:w="1703"/>
      </w:tblGrid>
      <w:tr w:rsidR="007D76BB">
        <w:trPr>
          <w:trHeight w:val="481"/>
        </w:trPr>
        <w:tc>
          <w:tcPr>
            <w:tcW w:w="2833" w:type="dxa"/>
            <w:shd w:val="clear" w:color="auto" w:fill="005386"/>
          </w:tcPr>
          <w:p w:rsidR="007D76BB" w:rsidRDefault="00D70D28">
            <w:pPr>
              <w:pStyle w:val="TableParagraph"/>
              <w:spacing w:before="16"/>
              <w:ind w:left="107"/>
              <w:rPr>
                <w:rFonts w:ascii="Arial"/>
                <w:sz w:val="19"/>
              </w:rPr>
            </w:pPr>
            <w:r>
              <w:rPr>
                <w:rFonts w:ascii="Arial"/>
                <w:color w:val="FFFFFF"/>
                <w:w w:val="105"/>
                <w:sz w:val="19"/>
              </w:rPr>
              <w:t>Product Category</w:t>
            </w:r>
          </w:p>
        </w:tc>
        <w:tc>
          <w:tcPr>
            <w:tcW w:w="992" w:type="dxa"/>
            <w:shd w:val="clear" w:color="auto" w:fill="005386"/>
          </w:tcPr>
          <w:p w:rsidR="007D76BB" w:rsidRDefault="00D70D28">
            <w:pPr>
              <w:pStyle w:val="TableParagraph"/>
              <w:spacing w:before="2" w:line="240" w:lineRule="exact"/>
              <w:ind w:left="104"/>
              <w:rPr>
                <w:rFonts w:ascii="Arial"/>
                <w:sz w:val="19"/>
              </w:rPr>
            </w:pPr>
            <w:r>
              <w:rPr>
                <w:rFonts w:ascii="Arial"/>
                <w:color w:val="FFFFFF"/>
                <w:w w:val="105"/>
                <w:sz w:val="19"/>
              </w:rPr>
              <w:t>No. of products</w:t>
            </w:r>
          </w:p>
        </w:tc>
        <w:tc>
          <w:tcPr>
            <w:tcW w:w="1703" w:type="dxa"/>
            <w:shd w:val="clear" w:color="auto" w:fill="005386"/>
          </w:tcPr>
          <w:p w:rsidR="007D76BB" w:rsidRDefault="00D70D28">
            <w:pPr>
              <w:pStyle w:val="TableParagraph"/>
              <w:spacing w:before="2" w:line="240" w:lineRule="exact"/>
              <w:ind w:left="106"/>
              <w:rPr>
                <w:rFonts w:ascii="Arial"/>
                <w:sz w:val="19"/>
              </w:rPr>
            </w:pPr>
            <w:r>
              <w:rPr>
                <w:rFonts w:ascii="Arial"/>
                <w:color w:val="FFFFFF"/>
                <w:w w:val="105"/>
                <w:sz w:val="19"/>
              </w:rPr>
              <w:t>Percentage of product category</w:t>
            </w:r>
          </w:p>
        </w:tc>
      </w:tr>
      <w:tr w:rsidR="007D76BB">
        <w:trPr>
          <w:trHeight w:val="268"/>
        </w:trPr>
        <w:tc>
          <w:tcPr>
            <w:tcW w:w="2833" w:type="dxa"/>
          </w:tcPr>
          <w:p w:rsidR="007D76BB" w:rsidRDefault="00D70D28">
            <w:pPr>
              <w:pStyle w:val="TableParagraph"/>
              <w:spacing w:line="248" w:lineRule="exact"/>
              <w:ind w:left="107"/>
              <w:rPr>
                <w:rFonts w:ascii="Calibri"/>
                <w:b/>
              </w:rPr>
            </w:pPr>
            <w:r>
              <w:rPr>
                <w:rFonts w:ascii="Calibri"/>
                <w:b/>
              </w:rPr>
              <w:t>Fat Burner</w:t>
            </w:r>
          </w:p>
        </w:tc>
        <w:tc>
          <w:tcPr>
            <w:tcW w:w="992" w:type="dxa"/>
          </w:tcPr>
          <w:p w:rsidR="007D76BB" w:rsidRDefault="00D70D28">
            <w:pPr>
              <w:pStyle w:val="TableParagraph"/>
              <w:spacing w:line="248" w:lineRule="exact"/>
              <w:ind w:right="98"/>
              <w:jc w:val="right"/>
              <w:rPr>
                <w:rFonts w:ascii="Calibri"/>
                <w:b/>
              </w:rPr>
            </w:pPr>
            <w:r>
              <w:rPr>
                <w:rFonts w:ascii="Calibri"/>
                <w:b/>
              </w:rPr>
              <w:t>271</w:t>
            </w:r>
          </w:p>
        </w:tc>
        <w:tc>
          <w:tcPr>
            <w:tcW w:w="1703" w:type="dxa"/>
          </w:tcPr>
          <w:p w:rsidR="007D76BB" w:rsidRDefault="007D76BB">
            <w:pPr>
              <w:pStyle w:val="TableParagraph"/>
              <w:rPr>
                <w:rFonts w:ascii="Times New Roman"/>
                <w:sz w:val="16"/>
              </w:rPr>
            </w:pPr>
          </w:p>
        </w:tc>
      </w:tr>
      <w:tr w:rsidR="007D76BB">
        <w:trPr>
          <w:trHeight w:val="269"/>
        </w:trPr>
        <w:tc>
          <w:tcPr>
            <w:tcW w:w="2833" w:type="dxa"/>
          </w:tcPr>
          <w:p w:rsidR="007D76BB" w:rsidRDefault="00D70D28">
            <w:pPr>
              <w:pStyle w:val="TableParagraph"/>
              <w:spacing w:before="42" w:line="207" w:lineRule="exact"/>
              <w:ind w:left="280"/>
              <w:rPr>
                <w:rFonts w:ascii="Arial"/>
                <w:sz w:val="19"/>
              </w:rPr>
            </w:pPr>
            <w:r>
              <w:rPr>
                <w:rFonts w:ascii="Arial"/>
                <w:sz w:val="19"/>
              </w:rPr>
              <w:t>Capsule</w:t>
            </w:r>
          </w:p>
        </w:tc>
        <w:tc>
          <w:tcPr>
            <w:tcW w:w="992" w:type="dxa"/>
          </w:tcPr>
          <w:p w:rsidR="007D76BB" w:rsidRDefault="00D70D28">
            <w:pPr>
              <w:pStyle w:val="TableParagraph"/>
              <w:spacing w:line="249" w:lineRule="exact"/>
              <w:ind w:right="97"/>
              <w:jc w:val="right"/>
              <w:rPr>
                <w:rFonts w:ascii="Calibri"/>
              </w:rPr>
            </w:pPr>
            <w:r>
              <w:rPr>
                <w:rFonts w:ascii="Calibri"/>
              </w:rPr>
              <w:t>79</w:t>
            </w:r>
          </w:p>
        </w:tc>
        <w:tc>
          <w:tcPr>
            <w:tcW w:w="1703" w:type="dxa"/>
          </w:tcPr>
          <w:p w:rsidR="007D76BB" w:rsidRDefault="00D70D28">
            <w:pPr>
              <w:pStyle w:val="TableParagraph"/>
              <w:spacing w:line="249" w:lineRule="exact"/>
              <w:ind w:right="97"/>
              <w:jc w:val="right"/>
              <w:rPr>
                <w:rFonts w:ascii="Calibri"/>
              </w:rPr>
            </w:pPr>
            <w:r>
              <w:rPr>
                <w:rFonts w:ascii="Calibri"/>
              </w:rPr>
              <w:t>29.15%</w:t>
            </w:r>
          </w:p>
        </w:tc>
      </w:tr>
      <w:tr w:rsidR="007D76BB">
        <w:trPr>
          <w:trHeight w:val="268"/>
        </w:trPr>
        <w:tc>
          <w:tcPr>
            <w:tcW w:w="2833" w:type="dxa"/>
          </w:tcPr>
          <w:p w:rsidR="007D76BB" w:rsidRDefault="00D70D28">
            <w:pPr>
              <w:pStyle w:val="TableParagraph"/>
              <w:spacing w:before="42" w:line="206" w:lineRule="exact"/>
              <w:ind w:left="280"/>
              <w:rPr>
                <w:rFonts w:ascii="Arial"/>
                <w:sz w:val="19"/>
              </w:rPr>
            </w:pPr>
            <w:r>
              <w:rPr>
                <w:rFonts w:ascii="Arial"/>
                <w:sz w:val="19"/>
              </w:rPr>
              <w:t>Cookie</w:t>
            </w:r>
          </w:p>
        </w:tc>
        <w:tc>
          <w:tcPr>
            <w:tcW w:w="992" w:type="dxa"/>
          </w:tcPr>
          <w:p w:rsidR="007D76BB" w:rsidRDefault="00D70D28">
            <w:pPr>
              <w:pStyle w:val="TableParagraph"/>
              <w:spacing w:line="248" w:lineRule="exact"/>
              <w:ind w:right="98"/>
              <w:jc w:val="right"/>
              <w:rPr>
                <w:rFonts w:ascii="Calibri"/>
              </w:rPr>
            </w:pPr>
            <w:r>
              <w:rPr>
                <w:rFonts w:ascii="Calibri"/>
              </w:rPr>
              <w:t>1</w:t>
            </w:r>
          </w:p>
        </w:tc>
        <w:tc>
          <w:tcPr>
            <w:tcW w:w="1703" w:type="dxa"/>
          </w:tcPr>
          <w:p w:rsidR="007D76BB" w:rsidRDefault="00D70D28">
            <w:pPr>
              <w:pStyle w:val="TableParagraph"/>
              <w:spacing w:line="248" w:lineRule="exact"/>
              <w:ind w:right="97"/>
              <w:jc w:val="right"/>
              <w:rPr>
                <w:rFonts w:ascii="Calibri"/>
              </w:rPr>
            </w:pPr>
            <w:r>
              <w:rPr>
                <w:rFonts w:ascii="Calibri"/>
              </w:rPr>
              <w:t>0.37%</w:t>
            </w:r>
          </w:p>
        </w:tc>
      </w:tr>
      <w:tr w:rsidR="007D76BB">
        <w:trPr>
          <w:trHeight w:val="268"/>
        </w:trPr>
        <w:tc>
          <w:tcPr>
            <w:tcW w:w="2833" w:type="dxa"/>
          </w:tcPr>
          <w:p w:rsidR="007D76BB" w:rsidRDefault="00D70D28">
            <w:pPr>
              <w:pStyle w:val="TableParagraph"/>
              <w:spacing w:before="42" w:line="206" w:lineRule="exact"/>
              <w:ind w:left="280"/>
              <w:rPr>
                <w:rFonts w:ascii="Arial"/>
                <w:sz w:val="19"/>
              </w:rPr>
            </w:pPr>
            <w:r>
              <w:rPr>
                <w:rFonts w:ascii="Arial"/>
                <w:sz w:val="19"/>
              </w:rPr>
              <w:t>Cream</w:t>
            </w:r>
          </w:p>
        </w:tc>
        <w:tc>
          <w:tcPr>
            <w:tcW w:w="992" w:type="dxa"/>
          </w:tcPr>
          <w:p w:rsidR="007D76BB" w:rsidRDefault="00D70D28">
            <w:pPr>
              <w:pStyle w:val="TableParagraph"/>
              <w:spacing w:line="248" w:lineRule="exact"/>
              <w:ind w:right="98"/>
              <w:jc w:val="right"/>
              <w:rPr>
                <w:rFonts w:ascii="Calibri"/>
              </w:rPr>
            </w:pPr>
            <w:r>
              <w:rPr>
                <w:rFonts w:ascii="Calibri"/>
              </w:rPr>
              <w:t>3</w:t>
            </w:r>
          </w:p>
        </w:tc>
        <w:tc>
          <w:tcPr>
            <w:tcW w:w="1703" w:type="dxa"/>
          </w:tcPr>
          <w:p w:rsidR="007D76BB" w:rsidRDefault="00D70D28">
            <w:pPr>
              <w:pStyle w:val="TableParagraph"/>
              <w:spacing w:line="248" w:lineRule="exact"/>
              <w:ind w:right="97"/>
              <w:jc w:val="right"/>
              <w:rPr>
                <w:rFonts w:ascii="Calibri"/>
              </w:rPr>
            </w:pPr>
            <w:r>
              <w:rPr>
                <w:rFonts w:ascii="Calibri"/>
              </w:rPr>
              <w:t>1.11%</w:t>
            </w:r>
          </w:p>
        </w:tc>
      </w:tr>
      <w:tr w:rsidR="007D76BB">
        <w:trPr>
          <w:trHeight w:val="270"/>
        </w:trPr>
        <w:tc>
          <w:tcPr>
            <w:tcW w:w="2833" w:type="dxa"/>
          </w:tcPr>
          <w:p w:rsidR="007D76BB" w:rsidRDefault="00D70D28">
            <w:pPr>
              <w:pStyle w:val="TableParagraph"/>
              <w:spacing w:before="42" w:line="208" w:lineRule="exact"/>
              <w:ind w:left="280"/>
              <w:rPr>
                <w:rFonts w:ascii="Arial"/>
                <w:sz w:val="19"/>
              </w:rPr>
            </w:pPr>
            <w:r>
              <w:rPr>
                <w:rFonts w:ascii="Arial"/>
                <w:w w:val="105"/>
                <w:sz w:val="19"/>
              </w:rPr>
              <w:t>Liquid</w:t>
            </w:r>
          </w:p>
        </w:tc>
        <w:tc>
          <w:tcPr>
            <w:tcW w:w="992" w:type="dxa"/>
          </w:tcPr>
          <w:p w:rsidR="007D76BB" w:rsidRDefault="00D70D28">
            <w:pPr>
              <w:pStyle w:val="TableParagraph"/>
              <w:spacing w:line="251" w:lineRule="exact"/>
              <w:ind w:right="97"/>
              <w:jc w:val="right"/>
              <w:rPr>
                <w:rFonts w:ascii="Calibri"/>
              </w:rPr>
            </w:pPr>
            <w:r>
              <w:rPr>
                <w:rFonts w:ascii="Calibri"/>
              </w:rPr>
              <w:t>13</w:t>
            </w:r>
          </w:p>
        </w:tc>
        <w:tc>
          <w:tcPr>
            <w:tcW w:w="1703" w:type="dxa"/>
          </w:tcPr>
          <w:p w:rsidR="007D76BB" w:rsidRDefault="00D70D28">
            <w:pPr>
              <w:pStyle w:val="TableParagraph"/>
              <w:spacing w:line="251" w:lineRule="exact"/>
              <w:ind w:right="97"/>
              <w:jc w:val="right"/>
              <w:rPr>
                <w:rFonts w:ascii="Calibri"/>
              </w:rPr>
            </w:pPr>
            <w:r>
              <w:rPr>
                <w:rFonts w:ascii="Calibri"/>
              </w:rPr>
              <w:t>4.80%</w:t>
            </w:r>
          </w:p>
        </w:tc>
      </w:tr>
    </w:tbl>
    <w:p w:rsidR="007D76BB" w:rsidRDefault="00D70D28">
      <w:pPr>
        <w:pStyle w:val="BodyText"/>
        <w:rPr>
          <w:rFonts w:ascii="Arial"/>
          <w:sz w:val="27"/>
        </w:rPr>
      </w:pPr>
      <w:r>
        <w:rPr>
          <w:noProof/>
          <w:lang w:val="en-AU" w:eastAsia="en-AU"/>
        </w:rPr>
        <mc:AlternateContent>
          <mc:Choice Requires="wps">
            <w:drawing>
              <wp:anchor distT="0" distB="0" distL="0" distR="0" simplePos="0" relativeHeight="251722752" behindDoc="1" locked="0" layoutInCell="1" allowOverlap="1">
                <wp:simplePos x="0" y="0"/>
                <wp:positionH relativeFrom="page">
                  <wp:posOffset>1080770</wp:posOffset>
                </wp:positionH>
                <wp:positionV relativeFrom="paragraph">
                  <wp:posOffset>227965</wp:posOffset>
                </wp:positionV>
                <wp:extent cx="1829435" cy="1270"/>
                <wp:effectExtent l="0" t="0" r="0" b="0"/>
                <wp:wrapTopAndBottom/>
                <wp:docPr id="310"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33447" id="Freeform 166" o:spid="_x0000_s1026" style="position:absolute;margin-left:85.1pt;margin-top:17.95pt;width:144.05pt;height:.1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" path="m,l2880,e" filled="f" strokeweight=".84pt">
                <v:path arrowok="t" o:connecttype="custom" o:connectlocs="0,0;1828800,0" o:connectangles="0,0"/>
                <w10:wrap type="topAndBottom" anchorx="page"/>
              </v:shape>
            </w:pict>
          </mc:Fallback>
        </mc:AlternateContent>
      </w:r>
    </w:p>
    <w:p w:rsidR="007D76BB" w:rsidRDefault="00D70D28">
      <w:pPr>
        <w:spacing w:before="132" w:line="268" w:lineRule="auto"/>
        <w:ind w:left="594" w:right="844" w:hanging="113"/>
        <w:rPr>
          <w:rFonts w:ascii="Arial" w:hAnsi="Arial"/>
          <w:sz w:val="14"/>
        </w:rPr>
      </w:pPr>
      <w:r>
        <w:rPr>
          <w:rFonts w:ascii="Arial" w:hAnsi="Arial"/>
          <w:color w:val="5B6761"/>
          <w:w w:val="105"/>
          <w:position w:val="5"/>
          <w:sz w:val="8"/>
        </w:rPr>
        <w:t>31</w:t>
      </w:r>
      <w:r>
        <w:rPr>
          <w:rFonts w:ascii="Arial" w:hAnsi="Arial"/>
          <w:color w:val="5B6761"/>
          <w:spacing w:val="-6"/>
          <w:w w:val="105"/>
          <w:position w:val="5"/>
          <w:sz w:val="8"/>
        </w:rPr>
        <w:t xml:space="preserve"> </w:t>
      </w:r>
      <w:r>
        <w:rPr>
          <w:rFonts w:ascii="Arial" w:hAnsi="Arial"/>
          <w:color w:val="5B6761"/>
          <w:w w:val="105"/>
          <w:sz w:val="14"/>
        </w:rPr>
        <w:t>Industry</w:t>
      </w:r>
      <w:r>
        <w:rPr>
          <w:rFonts w:ascii="Arial" w:hAnsi="Arial"/>
          <w:color w:val="5B6761"/>
          <w:spacing w:val="-24"/>
          <w:w w:val="105"/>
          <w:sz w:val="14"/>
        </w:rPr>
        <w:t xml:space="preserve"> </w:t>
      </w:r>
      <w:r>
        <w:rPr>
          <w:rFonts w:ascii="Arial" w:hAnsi="Arial"/>
          <w:color w:val="5B6761"/>
          <w:w w:val="105"/>
          <w:sz w:val="14"/>
        </w:rPr>
        <w:t>reports</w:t>
      </w:r>
      <w:r>
        <w:rPr>
          <w:rFonts w:ascii="Arial" w:hAnsi="Arial"/>
          <w:color w:val="5B6761"/>
          <w:spacing w:val="-22"/>
          <w:w w:val="105"/>
          <w:sz w:val="14"/>
        </w:rPr>
        <w:t xml:space="preserve"> </w:t>
      </w:r>
      <w:r>
        <w:rPr>
          <w:rFonts w:ascii="Arial" w:hAnsi="Arial"/>
          <w:color w:val="5B6761"/>
          <w:w w:val="105"/>
          <w:sz w:val="14"/>
        </w:rPr>
        <w:t>consulted</w:t>
      </w:r>
      <w:r>
        <w:rPr>
          <w:rFonts w:ascii="Arial" w:hAnsi="Arial"/>
          <w:color w:val="5B6761"/>
          <w:spacing w:val="-22"/>
          <w:w w:val="105"/>
          <w:sz w:val="14"/>
        </w:rPr>
        <w:t xml:space="preserve"> </w:t>
      </w:r>
      <w:r>
        <w:rPr>
          <w:rFonts w:ascii="Arial" w:hAnsi="Arial"/>
          <w:color w:val="5B6761"/>
          <w:w w:val="105"/>
          <w:sz w:val="14"/>
        </w:rPr>
        <w:t>were</w:t>
      </w:r>
      <w:r>
        <w:rPr>
          <w:rFonts w:ascii="Arial" w:hAnsi="Arial"/>
          <w:color w:val="5B6761"/>
          <w:spacing w:val="-23"/>
          <w:w w:val="105"/>
          <w:sz w:val="14"/>
        </w:rPr>
        <w:t xml:space="preserve"> </w:t>
      </w:r>
      <w:proofErr w:type="spellStart"/>
      <w:r>
        <w:rPr>
          <w:rFonts w:ascii="Arial" w:hAnsi="Arial"/>
          <w:color w:val="5B6761"/>
          <w:w w:val="105"/>
          <w:sz w:val="14"/>
        </w:rPr>
        <w:t>Arna</w:t>
      </w:r>
      <w:proofErr w:type="spellEnd"/>
      <w:r>
        <w:rPr>
          <w:rFonts w:ascii="Arial" w:hAnsi="Arial"/>
          <w:color w:val="5B6761"/>
          <w:spacing w:val="-23"/>
          <w:w w:val="105"/>
          <w:sz w:val="14"/>
        </w:rPr>
        <w:t xml:space="preserve"> </w:t>
      </w:r>
      <w:r>
        <w:rPr>
          <w:rFonts w:ascii="Arial" w:hAnsi="Arial"/>
          <w:color w:val="5B6761"/>
          <w:w w:val="105"/>
          <w:sz w:val="14"/>
        </w:rPr>
        <w:t>Richardson,</w:t>
      </w:r>
      <w:r>
        <w:rPr>
          <w:rFonts w:ascii="Arial" w:hAnsi="Arial"/>
          <w:color w:val="5B6761"/>
          <w:spacing w:val="-22"/>
          <w:w w:val="105"/>
          <w:sz w:val="14"/>
        </w:rPr>
        <w:t xml:space="preserve"> </w:t>
      </w:r>
      <w:r>
        <w:rPr>
          <w:rFonts w:ascii="Arial" w:hAnsi="Arial"/>
          <w:color w:val="5B6761"/>
          <w:w w:val="105"/>
          <w:sz w:val="14"/>
        </w:rPr>
        <w:t>IBISWorld,</w:t>
      </w:r>
      <w:r>
        <w:rPr>
          <w:rFonts w:ascii="Arial" w:hAnsi="Arial"/>
          <w:color w:val="5B6761"/>
          <w:spacing w:val="-23"/>
          <w:w w:val="105"/>
          <w:sz w:val="14"/>
        </w:rPr>
        <w:t xml:space="preserve"> </w:t>
      </w:r>
      <w:r>
        <w:rPr>
          <w:rFonts w:ascii="Arial" w:hAnsi="Arial"/>
          <w:color w:val="5B6761"/>
          <w:w w:val="105"/>
          <w:sz w:val="14"/>
        </w:rPr>
        <w:t>‘Vitamin</w:t>
      </w:r>
      <w:r>
        <w:rPr>
          <w:rFonts w:ascii="Arial" w:hAnsi="Arial"/>
          <w:color w:val="5B6761"/>
          <w:spacing w:val="-23"/>
          <w:w w:val="105"/>
          <w:sz w:val="14"/>
        </w:rPr>
        <w:t xml:space="preserve"> </w:t>
      </w:r>
      <w:r>
        <w:rPr>
          <w:rFonts w:ascii="Arial" w:hAnsi="Arial"/>
          <w:color w:val="5B6761"/>
          <w:w w:val="105"/>
          <w:sz w:val="14"/>
        </w:rPr>
        <w:t>and</w:t>
      </w:r>
      <w:r>
        <w:rPr>
          <w:rFonts w:ascii="Arial" w:hAnsi="Arial"/>
          <w:color w:val="5B6761"/>
          <w:spacing w:val="-24"/>
          <w:w w:val="105"/>
          <w:sz w:val="14"/>
        </w:rPr>
        <w:t xml:space="preserve"> </w:t>
      </w:r>
      <w:r>
        <w:rPr>
          <w:rFonts w:ascii="Arial" w:hAnsi="Arial"/>
          <w:color w:val="5B6761"/>
          <w:w w:val="105"/>
          <w:sz w:val="14"/>
        </w:rPr>
        <w:t>Supplement</w:t>
      </w:r>
      <w:r>
        <w:rPr>
          <w:rFonts w:ascii="Arial" w:hAnsi="Arial"/>
          <w:color w:val="5B6761"/>
          <w:spacing w:val="-22"/>
          <w:w w:val="105"/>
          <w:sz w:val="14"/>
        </w:rPr>
        <w:t xml:space="preserve"> </w:t>
      </w:r>
      <w:r>
        <w:rPr>
          <w:rFonts w:ascii="Arial" w:hAnsi="Arial"/>
          <w:color w:val="5B6761"/>
          <w:w w:val="105"/>
          <w:sz w:val="14"/>
        </w:rPr>
        <w:t>Manufacturing</w:t>
      </w:r>
      <w:r>
        <w:rPr>
          <w:rFonts w:ascii="Arial" w:hAnsi="Arial"/>
          <w:color w:val="5B6761"/>
          <w:spacing w:val="-23"/>
          <w:w w:val="105"/>
          <w:sz w:val="14"/>
        </w:rPr>
        <w:t xml:space="preserve"> </w:t>
      </w:r>
      <w:r>
        <w:rPr>
          <w:rFonts w:ascii="Arial" w:hAnsi="Arial"/>
          <w:color w:val="5B6761"/>
          <w:w w:val="105"/>
          <w:sz w:val="14"/>
        </w:rPr>
        <w:t>in</w:t>
      </w:r>
      <w:r>
        <w:rPr>
          <w:rFonts w:ascii="Arial" w:hAnsi="Arial"/>
          <w:color w:val="5B6761"/>
          <w:spacing w:val="-22"/>
          <w:w w:val="105"/>
          <w:sz w:val="14"/>
        </w:rPr>
        <w:t xml:space="preserve"> </w:t>
      </w:r>
      <w:r>
        <w:rPr>
          <w:rFonts w:ascii="Arial" w:hAnsi="Arial"/>
          <w:color w:val="5B6761"/>
          <w:w w:val="105"/>
          <w:sz w:val="14"/>
        </w:rPr>
        <w:t>Australia’,</w:t>
      </w:r>
      <w:r>
        <w:rPr>
          <w:rFonts w:ascii="Arial" w:hAnsi="Arial"/>
          <w:color w:val="5B6761"/>
          <w:spacing w:val="-23"/>
          <w:w w:val="105"/>
          <w:sz w:val="14"/>
        </w:rPr>
        <w:t xml:space="preserve"> </w:t>
      </w:r>
      <w:r>
        <w:rPr>
          <w:rFonts w:ascii="Arial" w:hAnsi="Arial"/>
          <w:color w:val="5B6761"/>
          <w:w w:val="105"/>
          <w:sz w:val="14"/>
        </w:rPr>
        <w:t>Industry</w:t>
      </w:r>
      <w:r>
        <w:rPr>
          <w:rFonts w:ascii="Arial" w:hAnsi="Arial"/>
          <w:color w:val="5B6761"/>
          <w:spacing w:val="-23"/>
          <w:w w:val="105"/>
          <w:sz w:val="14"/>
        </w:rPr>
        <w:t xml:space="preserve"> </w:t>
      </w:r>
      <w:r>
        <w:rPr>
          <w:rFonts w:ascii="Arial" w:hAnsi="Arial"/>
          <w:color w:val="5B6761"/>
          <w:w w:val="105"/>
          <w:sz w:val="14"/>
        </w:rPr>
        <w:t>Report OD5417,</w:t>
      </w:r>
      <w:r>
        <w:rPr>
          <w:rFonts w:ascii="Arial" w:hAnsi="Arial"/>
          <w:color w:val="5B6761"/>
          <w:spacing w:val="-25"/>
          <w:w w:val="105"/>
          <w:sz w:val="14"/>
        </w:rPr>
        <w:t xml:space="preserve"> </w:t>
      </w:r>
      <w:r>
        <w:rPr>
          <w:rFonts w:ascii="Arial" w:hAnsi="Arial"/>
          <w:color w:val="5B6761"/>
          <w:w w:val="105"/>
          <w:sz w:val="14"/>
        </w:rPr>
        <w:t>October</w:t>
      </w:r>
      <w:r>
        <w:rPr>
          <w:rFonts w:ascii="Arial" w:hAnsi="Arial"/>
          <w:color w:val="5B6761"/>
          <w:spacing w:val="-23"/>
          <w:w w:val="105"/>
          <w:sz w:val="14"/>
        </w:rPr>
        <w:t xml:space="preserve"> </w:t>
      </w:r>
      <w:r>
        <w:rPr>
          <w:rFonts w:ascii="Arial" w:hAnsi="Arial"/>
          <w:color w:val="5B6761"/>
          <w:w w:val="105"/>
          <w:sz w:val="14"/>
        </w:rPr>
        <w:t>2019,</w:t>
      </w:r>
      <w:r>
        <w:rPr>
          <w:rFonts w:ascii="Arial" w:hAnsi="Arial"/>
          <w:color w:val="5B6761"/>
          <w:spacing w:val="-24"/>
          <w:w w:val="105"/>
          <w:sz w:val="14"/>
        </w:rPr>
        <w:t xml:space="preserve"> </w:t>
      </w:r>
      <w:proofErr w:type="spellStart"/>
      <w:r>
        <w:rPr>
          <w:rFonts w:ascii="Arial" w:hAnsi="Arial"/>
          <w:color w:val="5B6761"/>
          <w:w w:val="105"/>
          <w:sz w:val="14"/>
        </w:rPr>
        <w:t>Arna</w:t>
      </w:r>
      <w:proofErr w:type="spellEnd"/>
      <w:r>
        <w:rPr>
          <w:rFonts w:ascii="Arial" w:hAnsi="Arial"/>
          <w:color w:val="5B6761"/>
          <w:spacing w:val="-24"/>
          <w:w w:val="105"/>
          <w:sz w:val="14"/>
        </w:rPr>
        <w:t xml:space="preserve"> </w:t>
      </w:r>
      <w:r>
        <w:rPr>
          <w:rFonts w:ascii="Arial" w:hAnsi="Arial"/>
          <w:color w:val="5B6761"/>
          <w:w w:val="105"/>
          <w:sz w:val="14"/>
        </w:rPr>
        <w:t>Richardson,</w:t>
      </w:r>
      <w:r>
        <w:rPr>
          <w:rFonts w:ascii="Arial" w:hAnsi="Arial"/>
          <w:color w:val="5B6761"/>
          <w:spacing w:val="-22"/>
          <w:w w:val="105"/>
          <w:sz w:val="14"/>
        </w:rPr>
        <w:t xml:space="preserve"> </w:t>
      </w:r>
      <w:r>
        <w:rPr>
          <w:rFonts w:ascii="Arial" w:hAnsi="Arial"/>
          <w:color w:val="5B6761"/>
          <w:w w:val="105"/>
          <w:sz w:val="14"/>
        </w:rPr>
        <w:t>IBISWorld,</w:t>
      </w:r>
      <w:r>
        <w:rPr>
          <w:rFonts w:ascii="Arial" w:hAnsi="Arial"/>
          <w:color w:val="5B6761"/>
          <w:spacing w:val="-24"/>
          <w:w w:val="105"/>
          <w:sz w:val="14"/>
        </w:rPr>
        <w:t xml:space="preserve"> </w:t>
      </w:r>
      <w:r>
        <w:rPr>
          <w:rFonts w:ascii="Arial" w:hAnsi="Arial"/>
          <w:color w:val="5B6761"/>
          <w:w w:val="105"/>
          <w:sz w:val="14"/>
        </w:rPr>
        <w:t>‘Vitamin</w:t>
      </w:r>
      <w:r>
        <w:rPr>
          <w:rFonts w:ascii="Arial" w:hAnsi="Arial"/>
          <w:color w:val="5B6761"/>
          <w:spacing w:val="-25"/>
          <w:w w:val="105"/>
          <w:sz w:val="14"/>
        </w:rPr>
        <w:t xml:space="preserve"> </w:t>
      </w:r>
      <w:r>
        <w:rPr>
          <w:rFonts w:ascii="Arial" w:hAnsi="Arial"/>
          <w:color w:val="5B6761"/>
          <w:w w:val="105"/>
          <w:sz w:val="14"/>
        </w:rPr>
        <w:t>and</w:t>
      </w:r>
      <w:r>
        <w:rPr>
          <w:rFonts w:ascii="Arial" w:hAnsi="Arial"/>
          <w:color w:val="5B6761"/>
          <w:spacing w:val="-24"/>
          <w:w w:val="105"/>
          <w:sz w:val="14"/>
        </w:rPr>
        <w:t xml:space="preserve"> </w:t>
      </w:r>
      <w:r>
        <w:rPr>
          <w:rFonts w:ascii="Arial" w:hAnsi="Arial"/>
          <w:color w:val="5B6761"/>
          <w:w w:val="105"/>
          <w:sz w:val="14"/>
        </w:rPr>
        <w:t>Supplement</w:t>
      </w:r>
      <w:r>
        <w:rPr>
          <w:rFonts w:ascii="Arial" w:hAnsi="Arial"/>
          <w:color w:val="5B6761"/>
          <w:spacing w:val="-23"/>
          <w:w w:val="105"/>
          <w:sz w:val="14"/>
        </w:rPr>
        <w:t xml:space="preserve"> </w:t>
      </w:r>
      <w:r>
        <w:rPr>
          <w:rFonts w:ascii="Arial" w:hAnsi="Arial"/>
          <w:color w:val="5B6761"/>
          <w:w w:val="105"/>
          <w:sz w:val="14"/>
        </w:rPr>
        <w:t>Stores</w:t>
      </w:r>
      <w:r>
        <w:rPr>
          <w:rFonts w:ascii="Arial" w:hAnsi="Arial"/>
          <w:color w:val="5B6761"/>
          <w:spacing w:val="-24"/>
          <w:w w:val="105"/>
          <w:sz w:val="14"/>
        </w:rPr>
        <w:t xml:space="preserve"> </w:t>
      </w:r>
      <w:r>
        <w:rPr>
          <w:rFonts w:ascii="Arial" w:hAnsi="Arial"/>
          <w:color w:val="5B6761"/>
          <w:w w:val="105"/>
          <w:sz w:val="14"/>
        </w:rPr>
        <w:t>in</w:t>
      </w:r>
      <w:r>
        <w:rPr>
          <w:rFonts w:ascii="Arial" w:hAnsi="Arial"/>
          <w:color w:val="5B6761"/>
          <w:spacing w:val="-24"/>
          <w:w w:val="105"/>
          <w:sz w:val="14"/>
        </w:rPr>
        <w:t xml:space="preserve"> </w:t>
      </w:r>
      <w:r>
        <w:rPr>
          <w:rFonts w:ascii="Arial" w:hAnsi="Arial"/>
          <w:color w:val="5B6761"/>
          <w:w w:val="105"/>
          <w:sz w:val="14"/>
        </w:rPr>
        <w:t>Australia’,</w:t>
      </w:r>
      <w:r>
        <w:rPr>
          <w:rFonts w:ascii="Arial" w:hAnsi="Arial"/>
          <w:color w:val="5B6761"/>
          <w:spacing w:val="-24"/>
          <w:w w:val="105"/>
          <w:sz w:val="14"/>
        </w:rPr>
        <w:t xml:space="preserve"> </w:t>
      </w:r>
      <w:r>
        <w:rPr>
          <w:rFonts w:ascii="Arial" w:hAnsi="Arial"/>
          <w:color w:val="5B6761"/>
          <w:w w:val="105"/>
          <w:sz w:val="14"/>
        </w:rPr>
        <w:t>Industry</w:t>
      </w:r>
      <w:r>
        <w:rPr>
          <w:rFonts w:ascii="Arial" w:hAnsi="Arial"/>
          <w:color w:val="5B6761"/>
          <w:spacing w:val="-25"/>
          <w:w w:val="105"/>
          <w:sz w:val="14"/>
        </w:rPr>
        <w:t xml:space="preserve"> </w:t>
      </w:r>
      <w:r>
        <w:rPr>
          <w:rFonts w:ascii="Arial" w:hAnsi="Arial"/>
          <w:color w:val="5B6761"/>
          <w:w w:val="105"/>
          <w:sz w:val="14"/>
        </w:rPr>
        <w:t>Report</w:t>
      </w:r>
      <w:r>
        <w:rPr>
          <w:rFonts w:ascii="Arial" w:hAnsi="Arial"/>
          <w:color w:val="5B6761"/>
          <w:spacing w:val="-24"/>
          <w:w w:val="105"/>
          <w:sz w:val="14"/>
        </w:rPr>
        <w:t xml:space="preserve"> </w:t>
      </w:r>
      <w:r>
        <w:rPr>
          <w:rFonts w:ascii="Arial" w:hAnsi="Arial"/>
          <w:color w:val="5B6761"/>
          <w:w w:val="105"/>
          <w:sz w:val="14"/>
        </w:rPr>
        <w:t>OD5364,</w:t>
      </w:r>
      <w:r>
        <w:rPr>
          <w:rFonts w:ascii="Arial" w:hAnsi="Arial"/>
          <w:color w:val="5B6761"/>
          <w:spacing w:val="-24"/>
          <w:w w:val="105"/>
          <w:sz w:val="14"/>
        </w:rPr>
        <w:t xml:space="preserve"> </w:t>
      </w:r>
      <w:r>
        <w:rPr>
          <w:rFonts w:ascii="Arial" w:hAnsi="Arial"/>
          <w:color w:val="5B6761"/>
          <w:w w:val="105"/>
          <w:sz w:val="14"/>
        </w:rPr>
        <w:t xml:space="preserve">June </w:t>
      </w:r>
      <w:r>
        <w:rPr>
          <w:rFonts w:ascii="Arial" w:hAnsi="Arial"/>
          <w:color w:val="5B6761"/>
          <w:sz w:val="14"/>
        </w:rPr>
        <w:t>2019,</w:t>
      </w:r>
      <w:r>
        <w:rPr>
          <w:rFonts w:ascii="Arial" w:hAnsi="Arial"/>
          <w:color w:val="5B6761"/>
          <w:spacing w:val="-8"/>
          <w:sz w:val="14"/>
        </w:rPr>
        <w:t xml:space="preserve"> </w:t>
      </w:r>
      <w:proofErr w:type="spellStart"/>
      <w:r>
        <w:rPr>
          <w:rFonts w:ascii="Arial" w:hAnsi="Arial"/>
          <w:color w:val="5B6761"/>
          <w:sz w:val="14"/>
        </w:rPr>
        <w:t>Arna</w:t>
      </w:r>
      <w:proofErr w:type="spellEnd"/>
      <w:r>
        <w:rPr>
          <w:rFonts w:ascii="Arial" w:hAnsi="Arial"/>
          <w:color w:val="5B6761"/>
          <w:spacing w:val="-6"/>
          <w:sz w:val="14"/>
        </w:rPr>
        <w:t xml:space="preserve"> </w:t>
      </w:r>
      <w:r>
        <w:rPr>
          <w:rFonts w:ascii="Arial" w:hAnsi="Arial"/>
          <w:color w:val="5B6761"/>
          <w:sz w:val="14"/>
        </w:rPr>
        <w:t>Richardson,</w:t>
      </w:r>
      <w:r>
        <w:rPr>
          <w:rFonts w:ascii="Arial" w:hAnsi="Arial"/>
          <w:color w:val="5B6761"/>
          <w:spacing w:val="-8"/>
          <w:sz w:val="14"/>
        </w:rPr>
        <w:t xml:space="preserve"> </w:t>
      </w:r>
      <w:r>
        <w:rPr>
          <w:rFonts w:ascii="Arial" w:hAnsi="Arial"/>
          <w:color w:val="5B6761"/>
          <w:sz w:val="14"/>
        </w:rPr>
        <w:t>IBISWorld,</w:t>
      </w:r>
      <w:r>
        <w:rPr>
          <w:rFonts w:ascii="Arial" w:hAnsi="Arial"/>
          <w:color w:val="5B6761"/>
          <w:spacing w:val="-7"/>
          <w:sz w:val="14"/>
        </w:rPr>
        <w:t xml:space="preserve"> </w:t>
      </w:r>
      <w:r>
        <w:rPr>
          <w:rFonts w:ascii="Arial" w:hAnsi="Arial"/>
          <w:color w:val="5B6761"/>
          <w:sz w:val="14"/>
        </w:rPr>
        <w:t>‘Online</w:t>
      </w:r>
      <w:r>
        <w:rPr>
          <w:rFonts w:ascii="Arial" w:hAnsi="Arial"/>
          <w:color w:val="5B6761"/>
          <w:spacing w:val="-9"/>
          <w:sz w:val="14"/>
        </w:rPr>
        <w:t xml:space="preserve"> </w:t>
      </w:r>
      <w:r>
        <w:rPr>
          <w:rFonts w:ascii="Arial" w:hAnsi="Arial"/>
          <w:color w:val="5B6761"/>
          <w:sz w:val="14"/>
        </w:rPr>
        <w:t>Vitamin</w:t>
      </w:r>
      <w:r>
        <w:rPr>
          <w:rFonts w:ascii="Arial" w:hAnsi="Arial"/>
          <w:color w:val="5B6761"/>
          <w:spacing w:val="-6"/>
          <w:sz w:val="14"/>
        </w:rPr>
        <w:t xml:space="preserve"> </w:t>
      </w:r>
      <w:r>
        <w:rPr>
          <w:rFonts w:ascii="Arial" w:hAnsi="Arial"/>
          <w:color w:val="5B6761"/>
          <w:sz w:val="14"/>
        </w:rPr>
        <w:t>and</w:t>
      </w:r>
      <w:r>
        <w:rPr>
          <w:rFonts w:ascii="Arial" w:hAnsi="Arial"/>
          <w:color w:val="5B6761"/>
          <w:spacing w:val="-7"/>
          <w:sz w:val="14"/>
        </w:rPr>
        <w:t xml:space="preserve"> </w:t>
      </w:r>
      <w:r>
        <w:rPr>
          <w:rFonts w:ascii="Arial" w:hAnsi="Arial"/>
          <w:color w:val="5B6761"/>
          <w:sz w:val="14"/>
        </w:rPr>
        <w:t>Supplement</w:t>
      </w:r>
      <w:r>
        <w:rPr>
          <w:rFonts w:ascii="Arial" w:hAnsi="Arial"/>
          <w:color w:val="5B6761"/>
          <w:spacing w:val="-6"/>
          <w:sz w:val="14"/>
        </w:rPr>
        <w:t xml:space="preserve"> </w:t>
      </w:r>
      <w:r>
        <w:rPr>
          <w:rFonts w:ascii="Arial" w:hAnsi="Arial"/>
          <w:color w:val="5B6761"/>
          <w:sz w:val="14"/>
        </w:rPr>
        <w:t>Stores</w:t>
      </w:r>
      <w:r>
        <w:rPr>
          <w:rFonts w:ascii="Arial" w:hAnsi="Arial"/>
          <w:color w:val="5B6761"/>
          <w:spacing w:val="-8"/>
          <w:sz w:val="14"/>
        </w:rPr>
        <w:t xml:space="preserve"> </w:t>
      </w:r>
      <w:r>
        <w:rPr>
          <w:rFonts w:ascii="Arial" w:hAnsi="Arial"/>
          <w:color w:val="5B6761"/>
          <w:sz w:val="14"/>
        </w:rPr>
        <w:t>in</w:t>
      </w:r>
      <w:r>
        <w:rPr>
          <w:rFonts w:ascii="Arial" w:hAnsi="Arial"/>
          <w:color w:val="5B6761"/>
          <w:spacing w:val="-6"/>
          <w:sz w:val="14"/>
        </w:rPr>
        <w:t xml:space="preserve"> </w:t>
      </w:r>
      <w:r>
        <w:rPr>
          <w:rFonts w:ascii="Arial" w:hAnsi="Arial"/>
          <w:color w:val="5B6761"/>
          <w:sz w:val="14"/>
        </w:rPr>
        <w:t>Australia’,</w:t>
      </w:r>
      <w:r>
        <w:rPr>
          <w:rFonts w:ascii="Arial" w:hAnsi="Arial"/>
          <w:color w:val="5B6761"/>
          <w:spacing w:val="-8"/>
          <w:sz w:val="14"/>
        </w:rPr>
        <w:t xml:space="preserve"> </w:t>
      </w:r>
      <w:r>
        <w:rPr>
          <w:rFonts w:ascii="Arial" w:hAnsi="Arial"/>
          <w:color w:val="5B6761"/>
          <w:sz w:val="14"/>
        </w:rPr>
        <w:lastRenderedPageBreak/>
        <w:t>Industry</w:t>
      </w:r>
      <w:r>
        <w:rPr>
          <w:rFonts w:ascii="Arial" w:hAnsi="Arial"/>
          <w:color w:val="5B6761"/>
          <w:spacing w:val="-7"/>
          <w:sz w:val="14"/>
        </w:rPr>
        <w:t xml:space="preserve"> </w:t>
      </w:r>
      <w:r>
        <w:rPr>
          <w:rFonts w:ascii="Arial" w:hAnsi="Arial"/>
          <w:color w:val="5B6761"/>
          <w:sz w:val="14"/>
        </w:rPr>
        <w:t>Report</w:t>
      </w:r>
      <w:r>
        <w:rPr>
          <w:rFonts w:ascii="Arial" w:hAnsi="Arial"/>
          <w:color w:val="5B6761"/>
          <w:spacing w:val="-6"/>
          <w:sz w:val="14"/>
        </w:rPr>
        <w:t xml:space="preserve"> </w:t>
      </w:r>
      <w:r>
        <w:rPr>
          <w:rFonts w:ascii="Arial" w:hAnsi="Arial"/>
          <w:color w:val="5B6761"/>
          <w:sz w:val="14"/>
        </w:rPr>
        <w:t>OD4091,</w:t>
      </w:r>
      <w:r>
        <w:rPr>
          <w:rFonts w:ascii="Arial" w:hAnsi="Arial"/>
          <w:color w:val="5B6761"/>
          <w:spacing w:val="-8"/>
          <w:sz w:val="14"/>
        </w:rPr>
        <w:t xml:space="preserve"> </w:t>
      </w:r>
      <w:r>
        <w:rPr>
          <w:rFonts w:ascii="Arial" w:hAnsi="Arial"/>
          <w:color w:val="5B6761"/>
          <w:sz w:val="14"/>
        </w:rPr>
        <w:t>February</w:t>
      </w:r>
      <w:r>
        <w:rPr>
          <w:rFonts w:ascii="Arial" w:hAnsi="Arial"/>
          <w:color w:val="5B6761"/>
          <w:spacing w:val="-7"/>
          <w:sz w:val="14"/>
        </w:rPr>
        <w:t xml:space="preserve"> </w:t>
      </w:r>
      <w:r>
        <w:rPr>
          <w:rFonts w:ascii="Arial" w:hAnsi="Arial"/>
          <w:color w:val="5B6761"/>
          <w:sz w:val="14"/>
        </w:rPr>
        <w:t>2019,</w:t>
      </w:r>
      <w:r>
        <w:rPr>
          <w:rFonts w:ascii="Arial" w:hAnsi="Arial"/>
          <w:color w:val="5B6761"/>
          <w:spacing w:val="4"/>
          <w:sz w:val="14"/>
        </w:rPr>
        <w:t xml:space="preserve"> </w:t>
      </w:r>
      <w:r>
        <w:rPr>
          <w:rFonts w:ascii="Arial" w:hAnsi="Arial"/>
          <w:color w:val="5B6761"/>
          <w:sz w:val="14"/>
        </w:rPr>
        <w:t xml:space="preserve">and </w:t>
      </w:r>
      <w:proofErr w:type="spellStart"/>
      <w:r>
        <w:rPr>
          <w:rFonts w:ascii="Arial" w:hAnsi="Arial"/>
          <w:color w:val="5B6761"/>
          <w:w w:val="105"/>
          <w:sz w:val="14"/>
        </w:rPr>
        <w:t>Euromonitor</w:t>
      </w:r>
      <w:proofErr w:type="spellEnd"/>
      <w:r>
        <w:rPr>
          <w:rFonts w:ascii="Arial" w:hAnsi="Arial"/>
          <w:color w:val="5B6761"/>
          <w:spacing w:val="-23"/>
          <w:w w:val="105"/>
          <w:sz w:val="14"/>
        </w:rPr>
        <w:t xml:space="preserve"> </w:t>
      </w:r>
      <w:r>
        <w:rPr>
          <w:rFonts w:ascii="Arial" w:hAnsi="Arial"/>
          <w:color w:val="5B6761"/>
          <w:w w:val="105"/>
          <w:sz w:val="14"/>
        </w:rPr>
        <w:t>International,</w:t>
      </w:r>
      <w:r>
        <w:rPr>
          <w:rFonts w:ascii="Arial" w:hAnsi="Arial"/>
          <w:color w:val="5B6761"/>
          <w:spacing w:val="-24"/>
          <w:w w:val="105"/>
          <w:sz w:val="14"/>
        </w:rPr>
        <w:t xml:space="preserve"> </w:t>
      </w:r>
      <w:r>
        <w:rPr>
          <w:rFonts w:ascii="Arial" w:hAnsi="Arial"/>
          <w:color w:val="5B6761"/>
          <w:w w:val="105"/>
          <w:sz w:val="14"/>
        </w:rPr>
        <w:t>‘Passport:</w:t>
      </w:r>
      <w:r>
        <w:rPr>
          <w:rFonts w:ascii="Arial" w:hAnsi="Arial"/>
          <w:color w:val="5B6761"/>
          <w:spacing w:val="-23"/>
          <w:w w:val="105"/>
          <w:sz w:val="14"/>
        </w:rPr>
        <w:t xml:space="preserve"> </w:t>
      </w:r>
      <w:r>
        <w:rPr>
          <w:rFonts w:ascii="Arial" w:hAnsi="Arial"/>
          <w:color w:val="5B6761"/>
          <w:w w:val="105"/>
          <w:sz w:val="14"/>
        </w:rPr>
        <w:t>Consumer</w:t>
      </w:r>
      <w:r>
        <w:rPr>
          <w:rFonts w:ascii="Arial" w:hAnsi="Arial"/>
          <w:color w:val="5B6761"/>
          <w:spacing w:val="-23"/>
          <w:w w:val="105"/>
          <w:sz w:val="14"/>
        </w:rPr>
        <w:t xml:space="preserve"> </w:t>
      </w:r>
      <w:r>
        <w:rPr>
          <w:rFonts w:ascii="Arial" w:hAnsi="Arial"/>
          <w:color w:val="5B6761"/>
          <w:w w:val="105"/>
          <w:sz w:val="14"/>
        </w:rPr>
        <w:t>Health</w:t>
      </w:r>
      <w:r>
        <w:rPr>
          <w:rFonts w:ascii="Arial" w:hAnsi="Arial"/>
          <w:color w:val="5B6761"/>
          <w:spacing w:val="-23"/>
          <w:w w:val="105"/>
          <w:sz w:val="14"/>
        </w:rPr>
        <w:t xml:space="preserve"> </w:t>
      </w:r>
      <w:r>
        <w:rPr>
          <w:rFonts w:ascii="Arial" w:hAnsi="Arial"/>
          <w:color w:val="5B6761"/>
          <w:w w:val="105"/>
          <w:sz w:val="14"/>
        </w:rPr>
        <w:t>in</w:t>
      </w:r>
      <w:r>
        <w:rPr>
          <w:rFonts w:ascii="Arial" w:hAnsi="Arial"/>
          <w:color w:val="5B6761"/>
          <w:spacing w:val="-23"/>
          <w:w w:val="105"/>
          <w:sz w:val="14"/>
        </w:rPr>
        <w:t xml:space="preserve"> </w:t>
      </w:r>
      <w:r>
        <w:rPr>
          <w:rFonts w:ascii="Arial" w:hAnsi="Arial"/>
          <w:color w:val="5B6761"/>
          <w:w w:val="105"/>
          <w:sz w:val="14"/>
        </w:rPr>
        <w:t>Australia’,</w:t>
      </w:r>
      <w:r>
        <w:rPr>
          <w:rFonts w:ascii="Arial" w:hAnsi="Arial"/>
          <w:color w:val="5B6761"/>
          <w:spacing w:val="-24"/>
          <w:w w:val="105"/>
          <w:sz w:val="14"/>
        </w:rPr>
        <w:t xml:space="preserve"> </w:t>
      </w:r>
      <w:r>
        <w:rPr>
          <w:rFonts w:ascii="Arial" w:hAnsi="Arial"/>
          <w:color w:val="5B6761"/>
          <w:w w:val="105"/>
          <w:sz w:val="14"/>
        </w:rPr>
        <w:t>October</w:t>
      </w:r>
      <w:r>
        <w:rPr>
          <w:rFonts w:ascii="Arial" w:hAnsi="Arial"/>
          <w:color w:val="5B6761"/>
          <w:spacing w:val="-23"/>
          <w:w w:val="105"/>
          <w:sz w:val="14"/>
        </w:rPr>
        <w:t xml:space="preserve"> </w:t>
      </w:r>
      <w:r>
        <w:rPr>
          <w:rFonts w:ascii="Arial" w:hAnsi="Arial"/>
          <w:color w:val="5B6761"/>
          <w:w w:val="105"/>
          <w:sz w:val="14"/>
        </w:rPr>
        <w:t>2019.</w:t>
      </w:r>
      <w:r>
        <w:rPr>
          <w:rFonts w:ascii="Arial" w:hAnsi="Arial"/>
          <w:color w:val="5B6761"/>
          <w:spacing w:val="-23"/>
          <w:w w:val="105"/>
          <w:sz w:val="14"/>
        </w:rPr>
        <w:t xml:space="preserve"> </w:t>
      </w:r>
      <w:r>
        <w:rPr>
          <w:rFonts w:ascii="Arial" w:hAnsi="Arial"/>
          <w:color w:val="5B6761"/>
          <w:w w:val="105"/>
          <w:sz w:val="14"/>
        </w:rPr>
        <w:t>Both</w:t>
      </w:r>
      <w:r>
        <w:rPr>
          <w:rFonts w:ascii="Arial" w:hAnsi="Arial"/>
          <w:color w:val="5B6761"/>
          <w:spacing w:val="-23"/>
          <w:w w:val="105"/>
          <w:sz w:val="14"/>
        </w:rPr>
        <w:t xml:space="preserve"> </w:t>
      </w:r>
      <w:r>
        <w:rPr>
          <w:rFonts w:ascii="Arial" w:hAnsi="Arial"/>
          <w:color w:val="5B6761"/>
          <w:w w:val="105"/>
          <w:sz w:val="14"/>
        </w:rPr>
        <w:t>IBISWorld</w:t>
      </w:r>
      <w:r>
        <w:rPr>
          <w:rFonts w:ascii="Arial" w:hAnsi="Arial"/>
          <w:color w:val="5B6761"/>
          <w:spacing w:val="-23"/>
          <w:w w:val="105"/>
          <w:sz w:val="14"/>
        </w:rPr>
        <w:t xml:space="preserve"> </w:t>
      </w:r>
      <w:r>
        <w:rPr>
          <w:rFonts w:ascii="Arial" w:hAnsi="Arial"/>
          <w:color w:val="5B6761"/>
          <w:w w:val="105"/>
          <w:sz w:val="14"/>
        </w:rPr>
        <w:t>reports</w:t>
      </w:r>
      <w:r>
        <w:rPr>
          <w:rFonts w:ascii="Arial" w:hAnsi="Arial"/>
          <w:color w:val="5B6761"/>
          <w:spacing w:val="-24"/>
          <w:w w:val="105"/>
          <w:sz w:val="14"/>
        </w:rPr>
        <w:t xml:space="preserve"> </w:t>
      </w:r>
      <w:r>
        <w:rPr>
          <w:rFonts w:ascii="Arial" w:hAnsi="Arial"/>
          <w:color w:val="5B6761"/>
          <w:w w:val="105"/>
          <w:sz w:val="14"/>
        </w:rPr>
        <w:t>(OD5364</w:t>
      </w:r>
      <w:r>
        <w:rPr>
          <w:rFonts w:ascii="Arial" w:hAnsi="Arial"/>
          <w:color w:val="5B6761"/>
          <w:spacing w:val="-23"/>
          <w:w w:val="105"/>
          <w:sz w:val="14"/>
        </w:rPr>
        <w:t xml:space="preserve"> </w:t>
      </w:r>
      <w:r>
        <w:rPr>
          <w:rFonts w:ascii="Arial" w:hAnsi="Arial"/>
          <w:color w:val="5B6761"/>
          <w:w w:val="105"/>
          <w:sz w:val="14"/>
        </w:rPr>
        <w:t>and</w:t>
      </w:r>
      <w:r>
        <w:rPr>
          <w:rFonts w:ascii="Arial" w:hAnsi="Arial"/>
          <w:color w:val="5B6761"/>
          <w:spacing w:val="-23"/>
          <w:w w:val="105"/>
          <w:sz w:val="14"/>
        </w:rPr>
        <w:t xml:space="preserve"> </w:t>
      </w:r>
      <w:r>
        <w:rPr>
          <w:rFonts w:ascii="Arial" w:hAnsi="Arial"/>
          <w:color w:val="5B6761"/>
          <w:w w:val="105"/>
          <w:sz w:val="14"/>
        </w:rPr>
        <w:t>OD4091) identified</w:t>
      </w:r>
      <w:r>
        <w:rPr>
          <w:rFonts w:ascii="Arial" w:hAnsi="Arial"/>
          <w:color w:val="5B6761"/>
          <w:spacing w:val="-9"/>
          <w:w w:val="105"/>
          <w:sz w:val="14"/>
        </w:rPr>
        <w:t xml:space="preserve"> </w:t>
      </w:r>
      <w:proofErr w:type="spellStart"/>
      <w:r>
        <w:rPr>
          <w:rFonts w:ascii="Arial" w:hAnsi="Arial"/>
          <w:color w:val="5B6761"/>
          <w:w w:val="105"/>
          <w:sz w:val="14"/>
        </w:rPr>
        <w:t>Grubie</w:t>
      </w:r>
      <w:proofErr w:type="spellEnd"/>
      <w:r>
        <w:rPr>
          <w:rFonts w:ascii="Arial" w:hAnsi="Arial"/>
          <w:color w:val="5B6761"/>
          <w:spacing w:val="-11"/>
          <w:w w:val="105"/>
          <w:sz w:val="14"/>
        </w:rPr>
        <w:t xml:space="preserve"> </w:t>
      </w:r>
      <w:r>
        <w:rPr>
          <w:rFonts w:ascii="Arial" w:hAnsi="Arial"/>
          <w:color w:val="5B6761"/>
          <w:w w:val="105"/>
          <w:sz w:val="14"/>
        </w:rPr>
        <w:t>Pty</w:t>
      </w:r>
      <w:r>
        <w:rPr>
          <w:rFonts w:ascii="Arial" w:hAnsi="Arial"/>
          <w:color w:val="5B6761"/>
          <w:spacing w:val="-9"/>
          <w:w w:val="105"/>
          <w:sz w:val="14"/>
        </w:rPr>
        <w:t xml:space="preserve"> </w:t>
      </w:r>
      <w:r>
        <w:rPr>
          <w:rFonts w:ascii="Arial" w:hAnsi="Arial"/>
          <w:color w:val="5B6761"/>
          <w:w w:val="105"/>
          <w:sz w:val="14"/>
        </w:rPr>
        <w:t>Ltd</w:t>
      </w:r>
      <w:r>
        <w:rPr>
          <w:rFonts w:ascii="Arial" w:hAnsi="Arial"/>
          <w:color w:val="5B6761"/>
          <w:spacing w:val="-9"/>
          <w:w w:val="105"/>
          <w:sz w:val="14"/>
        </w:rPr>
        <w:t xml:space="preserve"> </w:t>
      </w:r>
      <w:r>
        <w:rPr>
          <w:rFonts w:ascii="Arial" w:hAnsi="Arial"/>
          <w:color w:val="5B6761"/>
          <w:w w:val="105"/>
          <w:sz w:val="14"/>
        </w:rPr>
        <w:t>(trading</w:t>
      </w:r>
      <w:r>
        <w:rPr>
          <w:rFonts w:ascii="Arial" w:hAnsi="Arial"/>
          <w:color w:val="5B6761"/>
          <w:spacing w:val="-11"/>
          <w:w w:val="105"/>
          <w:sz w:val="14"/>
        </w:rPr>
        <w:t xml:space="preserve"> </w:t>
      </w:r>
      <w:r>
        <w:rPr>
          <w:rFonts w:ascii="Arial" w:hAnsi="Arial"/>
          <w:color w:val="5B6761"/>
          <w:w w:val="105"/>
          <w:sz w:val="14"/>
        </w:rPr>
        <w:t>as</w:t>
      </w:r>
      <w:r>
        <w:rPr>
          <w:rFonts w:ascii="Arial" w:hAnsi="Arial"/>
          <w:color w:val="5B6761"/>
          <w:spacing w:val="-10"/>
          <w:w w:val="105"/>
          <w:sz w:val="14"/>
        </w:rPr>
        <w:t xml:space="preserve"> </w:t>
      </w:r>
      <w:r>
        <w:rPr>
          <w:rFonts w:ascii="Arial" w:hAnsi="Arial"/>
          <w:color w:val="5B6761"/>
          <w:w w:val="105"/>
          <w:sz w:val="14"/>
        </w:rPr>
        <w:t>Nutrition</w:t>
      </w:r>
      <w:r>
        <w:rPr>
          <w:rFonts w:ascii="Arial" w:hAnsi="Arial"/>
          <w:color w:val="5B6761"/>
          <w:spacing w:val="-8"/>
          <w:w w:val="105"/>
          <w:sz w:val="14"/>
        </w:rPr>
        <w:t xml:space="preserve"> </w:t>
      </w:r>
      <w:r>
        <w:rPr>
          <w:rFonts w:ascii="Arial" w:hAnsi="Arial"/>
          <w:color w:val="5B6761"/>
          <w:w w:val="105"/>
          <w:sz w:val="14"/>
        </w:rPr>
        <w:t>Warehouse)</w:t>
      </w:r>
      <w:r>
        <w:rPr>
          <w:rFonts w:ascii="Arial" w:hAnsi="Arial"/>
          <w:color w:val="5B6761"/>
          <w:spacing w:val="-10"/>
          <w:w w:val="105"/>
          <w:sz w:val="14"/>
        </w:rPr>
        <w:t xml:space="preserve"> </w:t>
      </w:r>
      <w:r>
        <w:rPr>
          <w:rFonts w:ascii="Arial" w:hAnsi="Arial"/>
          <w:color w:val="5B6761"/>
          <w:w w:val="105"/>
          <w:sz w:val="14"/>
        </w:rPr>
        <w:t>as</w:t>
      </w:r>
      <w:r>
        <w:rPr>
          <w:rFonts w:ascii="Arial" w:hAnsi="Arial"/>
          <w:color w:val="5B6761"/>
          <w:spacing w:val="-9"/>
          <w:w w:val="105"/>
          <w:sz w:val="14"/>
        </w:rPr>
        <w:t xml:space="preserve"> </w:t>
      </w:r>
      <w:r>
        <w:rPr>
          <w:rFonts w:ascii="Arial" w:hAnsi="Arial"/>
          <w:color w:val="5B6761"/>
          <w:w w:val="105"/>
          <w:sz w:val="14"/>
        </w:rPr>
        <w:t>the</w:t>
      </w:r>
      <w:r>
        <w:rPr>
          <w:rFonts w:ascii="Arial" w:hAnsi="Arial"/>
          <w:color w:val="5B6761"/>
          <w:spacing w:val="-11"/>
          <w:w w:val="105"/>
          <w:sz w:val="14"/>
        </w:rPr>
        <w:t xml:space="preserve"> </w:t>
      </w:r>
      <w:r>
        <w:rPr>
          <w:rFonts w:ascii="Arial" w:hAnsi="Arial"/>
          <w:color w:val="5B6761"/>
          <w:w w:val="105"/>
          <w:sz w:val="14"/>
        </w:rPr>
        <w:t>dominant</w:t>
      </w:r>
      <w:r>
        <w:rPr>
          <w:rFonts w:ascii="Arial" w:hAnsi="Arial"/>
          <w:color w:val="5B6761"/>
          <w:spacing w:val="-9"/>
          <w:w w:val="105"/>
          <w:sz w:val="14"/>
        </w:rPr>
        <w:t xml:space="preserve"> </w:t>
      </w:r>
      <w:r>
        <w:rPr>
          <w:rFonts w:ascii="Arial" w:hAnsi="Arial"/>
          <w:color w:val="5B6761"/>
          <w:w w:val="105"/>
          <w:sz w:val="14"/>
        </w:rPr>
        <w:t>market</w:t>
      </w:r>
      <w:r>
        <w:rPr>
          <w:rFonts w:ascii="Arial" w:hAnsi="Arial"/>
          <w:color w:val="5B6761"/>
          <w:spacing w:val="-8"/>
          <w:w w:val="105"/>
          <w:sz w:val="14"/>
        </w:rPr>
        <w:t xml:space="preserve"> </w:t>
      </w:r>
      <w:r>
        <w:rPr>
          <w:rFonts w:ascii="Arial" w:hAnsi="Arial"/>
          <w:color w:val="5B6761"/>
          <w:w w:val="105"/>
          <w:sz w:val="14"/>
        </w:rPr>
        <w:t>player.</w:t>
      </w:r>
    </w:p>
    <w:p w:rsidR="007D76BB" w:rsidRDefault="00D70D28">
      <w:pPr>
        <w:spacing w:before="58" w:line="268" w:lineRule="auto"/>
        <w:ind w:left="594" w:right="879" w:hanging="113"/>
        <w:rPr>
          <w:rFonts w:ascii="Arial"/>
          <w:sz w:val="14"/>
        </w:rPr>
      </w:pPr>
      <w:r>
        <w:rPr>
          <w:rFonts w:ascii="Arial"/>
          <w:color w:val="5B6761"/>
          <w:w w:val="105"/>
          <w:position w:val="5"/>
          <w:sz w:val="8"/>
        </w:rPr>
        <w:t>32</w:t>
      </w:r>
      <w:r>
        <w:rPr>
          <w:rFonts w:ascii="Arial"/>
          <w:color w:val="5B6761"/>
          <w:spacing w:val="1"/>
          <w:w w:val="105"/>
          <w:position w:val="5"/>
          <w:sz w:val="8"/>
        </w:rPr>
        <w:t xml:space="preserve"> </w:t>
      </w:r>
      <w:r>
        <w:rPr>
          <w:rFonts w:ascii="Arial"/>
          <w:color w:val="5B6761"/>
          <w:w w:val="105"/>
          <w:sz w:val="14"/>
        </w:rPr>
        <w:t>All</w:t>
      </w:r>
      <w:r>
        <w:rPr>
          <w:rFonts w:ascii="Arial"/>
          <w:color w:val="5B6761"/>
          <w:spacing w:val="-15"/>
          <w:w w:val="105"/>
          <w:sz w:val="14"/>
        </w:rPr>
        <w:t xml:space="preserve"> </w:t>
      </w:r>
      <w:r>
        <w:rPr>
          <w:rFonts w:ascii="Arial"/>
          <w:color w:val="5B6761"/>
          <w:w w:val="105"/>
          <w:sz w:val="14"/>
        </w:rPr>
        <w:t>three</w:t>
      </w:r>
      <w:r>
        <w:rPr>
          <w:rFonts w:ascii="Arial"/>
          <w:color w:val="5B6761"/>
          <w:spacing w:val="-16"/>
          <w:w w:val="105"/>
          <w:sz w:val="14"/>
        </w:rPr>
        <w:t xml:space="preserve"> </w:t>
      </w:r>
      <w:r>
        <w:rPr>
          <w:rFonts w:ascii="Arial"/>
          <w:color w:val="5B6761"/>
          <w:w w:val="105"/>
          <w:sz w:val="14"/>
        </w:rPr>
        <w:t>retailers</w:t>
      </w:r>
      <w:r>
        <w:rPr>
          <w:rFonts w:ascii="Arial"/>
          <w:color w:val="5B6761"/>
          <w:spacing w:val="-16"/>
          <w:w w:val="105"/>
          <w:sz w:val="14"/>
        </w:rPr>
        <w:t xml:space="preserve"> </w:t>
      </w:r>
      <w:r>
        <w:rPr>
          <w:rFonts w:ascii="Arial"/>
          <w:color w:val="5B6761"/>
          <w:w w:val="105"/>
          <w:sz w:val="14"/>
        </w:rPr>
        <w:t>have</w:t>
      </w:r>
      <w:r>
        <w:rPr>
          <w:rFonts w:ascii="Arial"/>
          <w:color w:val="5B6761"/>
          <w:spacing w:val="-16"/>
          <w:w w:val="105"/>
          <w:sz w:val="14"/>
        </w:rPr>
        <w:t xml:space="preserve"> </w:t>
      </w:r>
      <w:r>
        <w:rPr>
          <w:rFonts w:ascii="Arial"/>
          <w:color w:val="5B6761"/>
          <w:w w:val="105"/>
          <w:sz w:val="14"/>
        </w:rPr>
        <w:t>physical</w:t>
      </w:r>
      <w:r>
        <w:rPr>
          <w:rFonts w:ascii="Arial"/>
          <w:color w:val="5B6761"/>
          <w:spacing w:val="-13"/>
          <w:w w:val="105"/>
          <w:sz w:val="14"/>
        </w:rPr>
        <w:t xml:space="preserve"> </w:t>
      </w:r>
      <w:r>
        <w:rPr>
          <w:rFonts w:ascii="Arial"/>
          <w:color w:val="5B6761"/>
          <w:w w:val="105"/>
          <w:sz w:val="14"/>
        </w:rPr>
        <w:t>stores</w:t>
      </w:r>
      <w:r>
        <w:rPr>
          <w:rFonts w:ascii="Arial"/>
          <w:color w:val="5B6761"/>
          <w:spacing w:val="-14"/>
          <w:w w:val="105"/>
          <w:sz w:val="14"/>
        </w:rPr>
        <w:t xml:space="preserve"> </w:t>
      </w:r>
      <w:r>
        <w:rPr>
          <w:rFonts w:ascii="Arial"/>
          <w:color w:val="5B6761"/>
          <w:w w:val="105"/>
          <w:sz w:val="14"/>
        </w:rPr>
        <w:t>across</w:t>
      </w:r>
      <w:r>
        <w:rPr>
          <w:rFonts w:ascii="Arial"/>
          <w:color w:val="5B6761"/>
          <w:spacing w:val="-15"/>
          <w:w w:val="105"/>
          <w:sz w:val="14"/>
        </w:rPr>
        <w:t xml:space="preserve"> </w:t>
      </w:r>
      <w:r>
        <w:rPr>
          <w:rFonts w:ascii="Arial"/>
          <w:color w:val="5B6761"/>
          <w:w w:val="105"/>
          <w:sz w:val="14"/>
        </w:rPr>
        <w:t>the</w:t>
      </w:r>
      <w:r>
        <w:rPr>
          <w:rFonts w:ascii="Arial"/>
          <w:color w:val="5B6761"/>
          <w:spacing w:val="-16"/>
          <w:w w:val="105"/>
          <w:sz w:val="14"/>
        </w:rPr>
        <w:t xml:space="preserve"> </w:t>
      </w:r>
      <w:r>
        <w:rPr>
          <w:rFonts w:ascii="Arial"/>
          <w:color w:val="5B6761"/>
          <w:w w:val="105"/>
          <w:sz w:val="14"/>
        </w:rPr>
        <w:t>country</w:t>
      </w:r>
      <w:r>
        <w:rPr>
          <w:rFonts w:ascii="Arial"/>
          <w:color w:val="5B6761"/>
          <w:spacing w:val="-16"/>
          <w:w w:val="105"/>
          <w:sz w:val="14"/>
        </w:rPr>
        <w:t xml:space="preserve"> </w:t>
      </w:r>
      <w:r>
        <w:rPr>
          <w:rFonts w:ascii="Arial"/>
          <w:color w:val="5B6761"/>
          <w:w w:val="105"/>
          <w:sz w:val="14"/>
        </w:rPr>
        <w:t>in</w:t>
      </w:r>
      <w:r>
        <w:rPr>
          <w:rFonts w:ascii="Arial"/>
          <w:color w:val="5B6761"/>
          <w:spacing w:val="-14"/>
          <w:w w:val="105"/>
          <w:sz w:val="14"/>
        </w:rPr>
        <w:t xml:space="preserve"> </w:t>
      </w:r>
      <w:r>
        <w:rPr>
          <w:rFonts w:ascii="Arial"/>
          <w:color w:val="5B6761"/>
          <w:w w:val="105"/>
          <w:sz w:val="14"/>
        </w:rPr>
        <w:t>addition</w:t>
      </w:r>
      <w:r>
        <w:rPr>
          <w:rFonts w:ascii="Arial"/>
          <w:color w:val="5B6761"/>
          <w:spacing w:val="-15"/>
          <w:w w:val="105"/>
          <w:sz w:val="14"/>
        </w:rPr>
        <w:t xml:space="preserve"> </w:t>
      </w:r>
      <w:r>
        <w:rPr>
          <w:rFonts w:ascii="Arial"/>
          <w:color w:val="5B6761"/>
          <w:w w:val="105"/>
          <w:sz w:val="14"/>
        </w:rPr>
        <w:t>to</w:t>
      </w:r>
      <w:r>
        <w:rPr>
          <w:rFonts w:ascii="Arial"/>
          <w:color w:val="5B6761"/>
          <w:spacing w:val="-16"/>
          <w:w w:val="105"/>
          <w:sz w:val="14"/>
        </w:rPr>
        <w:t xml:space="preserve"> </w:t>
      </w:r>
      <w:r>
        <w:rPr>
          <w:rFonts w:ascii="Arial"/>
          <w:color w:val="5B6761"/>
          <w:w w:val="105"/>
          <w:sz w:val="14"/>
        </w:rPr>
        <w:t>their</w:t>
      </w:r>
      <w:r>
        <w:rPr>
          <w:rFonts w:ascii="Arial"/>
          <w:color w:val="5B6761"/>
          <w:spacing w:val="-16"/>
          <w:w w:val="105"/>
          <w:sz w:val="14"/>
        </w:rPr>
        <w:t xml:space="preserve"> </w:t>
      </w:r>
      <w:r>
        <w:rPr>
          <w:rFonts w:ascii="Arial"/>
          <w:color w:val="5B6761"/>
          <w:w w:val="105"/>
          <w:sz w:val="14"/>
        </w:rPr>
        <w:t>online</w:t>
      </w:r>
      <w:r>
        <w:rPr>
          <w:rFonts w:ascii="Arial"/>
          <w:color w:val="5B6761"/>
          <w:spacing w:val="-16"/>
          <w:w w:val="105"/>
          <w:sz w:val="14"/>
        </w:rPr>
        <w:t xml:space="preserve"> </w:t>
      </w:r>
      <w:r>
        <w:rPr>
          <w:rFonts w:ascii="Arial"/>
          <w:color w:val="5B6761"/>
          <w:w w:val="105"/>
          <w:sz w:val="14"/>
        </w:rPr>
        <w:t>sales</w:t>
      </w:r>
      <w:r>
        <w:rPr>
          <w:rFonts w:ascii="Arial"/>
          <w:color w:val="5B6761"/>
          <w:spacing w:val="-16"/>
          <w:w w:val="105"/>
          <w:sz w:val="14"/>
        </w:rPr>
        <w:t xml:space="preserve"> </w:t>
      </w:r>
      <w:r>
        <w:rPr>
          <w:rFonts w:ascii="Arial"/>
          <w:color w:val="5B6761"/>
          <w:w w:val="105"/>
          <w:sz w:val="14"/>
        </w:rPr>
        <w:t>platforms.</w:t>
      </w:r>
      <w:r>
        <w:rPr>
          <w:rFonts w:ascii="Arial"/>
          <w:color w:val="5B6761"/>
          <w:spacing w:val="-15"/>
          <w:w w:val="105"/>
          <w:sz w:val="14"/>
        </w:rPr>
        <w:t xml:space="preserve"> </w:t>
      </w:r>
      <w:r>
        <w:rPr>
          <w:rFonts w:ascii="Arial"/>
          <w:color w:val="5B6761"/>
          <w:w w:val="105"/>
          <w:sz w:val="14"/>
        </w:rPr>
        <w:t>NW</w:t>
      </w:r>
      <w:r>
        <w:rPr>
          <w:rFonts w:ascii="Arial"/>
          <w:color w:val="5B6761"/>
          <w:spacing w:val="-15"/>
          <w:w w:val="105"/>
          <w:sz w:val="14"/>
        </w:rPr>
        <w:t xml:space="preserve"> </w:t>
      </w:r>
      <w:r>
        <w:rPr>
          <w:rFonts w:ascii="Arial"/>
          <w:color w:val="5B6761"/>
          <w:w w:val="105"/>
          <w:sz w:val="14"/>
        </w:rPr>
        <w:t>has</w:t>
      </w:r>
      <w:r>
        <w:rPr>
          <w:rFonts w:ascii="Arial"/>
          <w:color w:val="5B6761"/>
          <w:spacing w:val="-16"/>
          <w:w w:val="105"/>
          <w:sz w:val="14"/>
        </w:rPr>
        <w:t xml:space="preserve"> </w:t>
      </w:r>
      <w:r>
        <w:rPr>
          <w:rFonts w:ascii="Arial"/>
          <w:color w:val="5B6761"/>
          <w:w w:val="105"/>
          <w:sz w:val="14"/>
        </w:rPr>
        <w:t>the</w:t>
      </w:r>
      <w:r>
        <w:rPr>
          <w:rFonts w:ascii="Arial"/>
          <w:color w:val="5B6761"/>
          <w:spacing w:val="-16"/>
          <w:w w:val="105"/>
          <w:sz w:val="14"/>
        </w:rPr>
        <w:t xml:space="preserve"> </w:t>
      </w:r>
      <w:r>
        <w:rPr>
          <w:rFonts w:ascii="Arial"/>
          <w:color w:val="5B6761"/>
          <w:w w:val="105"/>
          <w:sz w:val="14"/>
        </w:rPr>
        <w:t>largest</w:t>
      </w:r>
      <w:r>
        <w:rPr>
          <w:rFonts w:ascii="Arial"/>
          <w:color w:val="5B6761"/>
          <w:spacing w:val="-14"/>
          <w:w w:val="105"/>
          <w:sz w:val="14"/>
        </w:rPr>
        <w:t xml:space="preserve"> </w:t>
      </w:r>
      <w:r>
        <w:rPr>
          <w:rFonts w:ascii="Arial"/>
          <w:color w:val="5B6761"/>
          <w:w w:val="105"/>
          <w:sz w:val="14"/>
        </w:rPr>
        <w:t>number</w:t>
      </w:r>
      <w:r>
        <w:rPr>
          <w:rFonts w:ascii="Arial"/>
          <w:color w:val="5B6761"/>
          <w:spacing w:val="-15"/>
          <w:w w:val="105"/>
          <w:sz w:val="14"/>
        </w:rPr>
        <w:t xml:space="preserve"> </w:t>
      </w:r>
      <w:r>
        <w:rPr>
          <w:rFonts w:ascii="Arial"/>
          <w:color w:val="5B6761"/>
          <w:w w:val="105"/>
          <w:sz w:val="14"/>
        </w:rPr>
        <w:t>of retail</w:t>
      </w:r>
      <w:r>
        <w:rPr>
          <w:rFonts w:ascii="Arial"/>
          <w:color w:val="5B6761"/>
          <w:spacing w:val="-16"/>
          <w:w w:val="105"/>
          <w:sz w:val="14"/>
        </w:rPr>
        <w:t xml:space="preserve"> </w:t>
      </w:r>
      <w:r>
        <w:rPr>
          <w:rFonts w:ascii="Arial"/>
          <w:color w:val="5B6761"/>
          <w:w w:val="105"/>
          <w:sz w:val="14"/>
        </w:rPr>
        <w:t>stores</w:t>
      </w:r>
      <w:r>
        <w:rPr>
          <w:rFonts w:ascii="Arial"/>
          <w:color w:val="5B6761"/>
          <w:spacing w:val="-16"/>
          <w:w w:val="105"/>
          <w:sz w:val="14"/>
        </w:rPr>
        <w:t xml:space="preserve"> </w:t>
      </w:r>
      <w:r>
        <w:rPr>
          <w:rFonts w:ascii="Arial"/>
          <w:color w:val="5B6761"/>
          <w:w w:val="105"/>
          <w:sz w:val="14"/>
        </w:rPr>
        <w:t>(75,</w:t>
      </w:r>
      <w:r>
        <w:rPr>
          <w:rFonts w:ascii="Arial"/>
          <w:color w:val="5B6761"/>
          <w:spacing w:val="-16"/>
          <w:w w:val="105"/>
          <w:sz w:val="14"/>
        </w:rPr>
        <w:t xml:space="preserve"> </w:t>
      </w:r>
      <w:r>
        <w:rPr>
          <w:rFonts w:ascii="Arial"/>
          <w:color w:val="5B6761"/>
          <w:w w:val="105"/>
          <w:sz w:val="14"/>
        </w:rPr>
        <w:t>with</w:t>
      </w:r>
      <w:r>
        <w:rPr>
          <w:rFonts w:ascii="Arial"/>
          <w:color w:val="5B6761"/>
          <w:spacing w:val="-15"/>
          <w:w w:val="105"/>
          <w:sz w:val="14"/>
        </w:rPr>
        <w:t xml:space="preserve"> </w:t>
      </w:r>
      <w:r>
        <w:rPr>
          <w:rFonts w:ascii="Arial"/>
          <w:color w:val="5B6761"/>
          <w:w w:val="105"/>
          <w:sz w:val="14"/>
        </w:rPr>
        <w:t>the</w:t>
      </w:r>
      <w:r>
        <w:rPr>
          <w:rFonts w:ascii="Arial"/>
          <w:color w:val="5B6761"/>
          <w:spacing w:val="-17"/>
          <w:w w:val="105"/>
          <w:sz w:val="14"/>
        </w:rPr>
        <w:t xml:space="preserve"> </w:t>
      </w:r>
      <w:r>
        <w:rPr>
          <w:rFonts w:ascii="Arial"/>
          <w:color w:val="5B6761"/>
          <w:w w:val="105"/>
          <w:sz w:val="14"/>
        </w:rPr>
        <w:t>76</w:t>
      </w:r>
      <w:proofErr w:type="spellStart"/>
      <w:r>
        <w:rPr>
          <w:rFonts w:ascii="Arial"/>
          <w:color w:val="5B6761"/>
          <w:w w:val="105"/>
          <w:position w:val="5"/>
          <w:sz w:val="8"/>
        </w:rPr>
        <w:t>th</w:t>
      </w:r>
      <w:proofErr w:type="spellEnd"/>
      <w:r>
        <w:rPr>
          <w:rFonts w:ascii="Arial"/>
          <w:color w:val="5B6761"/>
          <w:spacing w:val="3"/>
          <w:w w:val="105"/>
          <w:position w:val="5"/>
          <w:sz w:val="8"/>
        </w:rPr>
        <w:t xml:space="preserve"> </w:t>
      </w:r>
      <w:r>
        <w:rPr>
          <w:rFonts w:ascii="Arial"/>
          <w:color w:val="5B6761"/>
          <w:w w:val="105"/>
          <w:sz w:val="14"/>
        </w:rPr>
        <w:t>scheduled</w:t>
      </w:r>
      <w:r>
        <w:rPr>
          <w:rFonts w:ascii="Arial"/>
          <w:color w:val="5B6761"/>
          <w:spacing w:val="-15"/>
          <w:w w:val="105"/>
          <w:sz w:val="14"/>
        </w:rPr>
        <w:t xml:space="preserve"> </w:t>
      </w:r>
      <w:r>
        <w:rPr>
          <w:rFonts w:ascii="Arial"/>
          <w:color w:val="5B6761"/>
          <w:w w:val="105"/>
          <w:sz w:val="14"/>
        </w:rPr>
        <w:t>to</w:t>
      </w:r>
      <w:r>
        <w:rPr>
          <w:rFonts w:ascii="Arial"/>
          <w:color w:val="5B6761"/>
          <w:spacing w:val="-17"/>
          <w:w w:val="105"/>
          <w:sz w:val="14"/>
        </w:rPr>
        <w:t xml:space="preserve"> </w:t>
      </w:r>
      <w:r>
        <w:rPr>
          <w:rFonts w:ascii="Arial"/>
          <w:color w:val="5B6761"/>
          <w:w w:val="105"/>
          <w:sz w:val="14"/>
        </w:rPr>
        <w:t>open</w:t>
      </w:r>
      <w:r>
        <w:rPr>
          <w:rFonts w:ascii="Arial"/>
          <w:color w:val="5B6761"/>
          <w:spacing w:val="-15"/>
          <w:w w:val="105"/>
          <w:sz w:val="14"/>
        </w:rPr>
        <w:t xml:space="preserve"> </w:t>
      </w:r>
      <w:r>
        <w:rPr>
          <w:rFonts w:ascii="Arial"/>
          <w:color w:val="5B6761"/>
          <w:w w:val="105"/>
          <w:sz w:val="14"/>
        </w:rPr>
        <w:t>in</w:t>
      </w:r>
      <w:r>
        <w:rPr>
          <w:rFonts w:ascii="Arial"/>
          <w:color w:val="5B6761"/>
          <w:spacing w:val="-15"/>
          <w:w w:val="105"/>
          <w:sz w:val="14"/>
        </w:rPr>
        <w:t xml:space="preserve"> </w:t>
      </w:r>
      <w:r>
        <w:rPr>
          <w:rFonts w:ascii="Arial"/>
          <w:color w:val="5B6761"/>
          <w:w w:val="105"/>
          <w:sz w:val="14"/>
        </w:rPr>
        <w:t>May).</w:t>
      </w:r>
      <w:r>
        <w:rPr>
          <w:rFonts w:ascii="Arial"/>
          <w:color w:val="5B6761"/>
          <w:spacing w:val="-16"/>
          <w:w w:val="105"/>
          <w:sz w:val="14"/>
        </w:rPr>
        <w:t xml:space="preserve"> </w:t>
      </w:r>
      <w:r>
        <w:rPr>
          <w:rFonts w:ascii="Arial"/>
          <w:color w:val="5B6761"/>
          <w:w w:val="105"/>
          <w:sz w:val="14"/>
        </w:rPr>
        <w:t>ASN</w:t>
      </w:r>
      <w:r>
        <w:rPr>
          <w:rFonts w:ascii="Arial"/>
          <w:color w:val="5B6761"/>
          <w:spacing w:val="-16"/>
          <w:w w:val="105"/>
          <w:sz w:val="14"/>
        </w:rPr>
        <w:t xml:space="preserve"> </w:t>
      </w:r>
      <w:r>
        <w:rPr>
          <w:rFonts w:ascii="Arial"/>
          <w:color w:val="5B6761"/>
          <w:w w:val="105"/>
          <w:sz w:val="14"/>
        </w:rPr>
        <w:t>is</w:t>
      </w:r>
      <w:r>
        <w:rPr>
          <w:rFonts w:ascii="Arial"/>
          <w:color w:val="5B6761"/>
          <w:spacing w:val="-15"/>
          <w:w w:val="105"/>
          <w:sz w:val="14"/>
        </w:rPr>
        <w:t xml:space="preserve"> </w:t>
      </w:r>
      <w:r>
        <w:rPr>
          <w:rFonts w:ascii="Arial"/>
          <w:color w:val="5B6761"/>
          <w:w w:val="105"/>
          <w:sz w:val="14"/>
        </w:rPr>
        <w:t>the</w:t>
      </w:r>
      <w:r>
        <w:rPr>
          <w:rFonts w:ascii="Arial"/>
          <w:color w:val="5B6761"/>
          <w:spacing w:val="-17"/>
          <w:w w:val="105"/>
          <w:sz w:val="14"/>
        </w:rPr>
        <w:t xml:space="preserve"> </w:t>
      </w:r>
      <w:r>
        <w:rPr>
          <w:rFonts w:ascii="Arial"/>
          <w:color w:val="5B6761"/>
          <w:w w:val="105"/>
          <w:sz w:val="14"/>
        </w:rPr>
        <w:t>next</w:t>
      </w:r>
      <w:r>
        <w:rPr>
          <w:rFonts w:ascii="Arial"/>
          <w:color w:val="5B6761"/>
          <w:spacing w:val="-15"/>
          <w:w w:val="105"/>
          <w:sz w:val="14"/>
        </w:rPr>
        <w:t xml:space="preserve"> </w:t>
      </w:r>
      <w:r>
        <w:rPr>
          <w:rFonts w:ascii="Arial"/>
          <w:color w:val="5B6761"/>
          <w:w w:val="105"/>
          <w:sz w:val="14"/>
        </w:rPr>
        <w:t>largest</w:t>
      </w:r>
      <w:r>
        <w:rPr>
          <w:rFonts w:ascii="Arial"/>
          <w:color w:val="5B6761"/>
          <w:spacing w:val="-15"/>
          <w:w w:val="105"/>
          <w:sz w:val="14"/>
        </w:rPr>
        <w:t xml:space="preserve"> </w:t>
      </w:r>
      <w:r>
        <w:rPr>
          <w:rFonts w:ascii="Arial"/>
          <w:color w:val="5B6761"/>
          <w:w w:val="105"/>
          <w:sz w:val="14"/>
        </w:rPr>
        <w:t>with</w:t>
      </w:r>
      <w:r>
        <w:rPr>
          <w:rFonts w:ascii="Arial"/>
          <w:color w:val="5B6761"/>
          <w:spacing w:val="-15"/>
          <w:w w:val="105"/>
          <w:sz w:val="14"/>
        </w:rPr>
        <w:t xml:space="preserve"> </w:t>
      </w:r>
      <w:r>
        <w:rPr>
          <w:rFonts w:ascii="Arial"/>
          <w:color w:val="5B6761"/>
          <w:w w:val="105"/>
          <w:sz w:val="14"/>
        </w:rPr>
        <w:t>38</w:t>
      </w:r>
      <w:r>
        <w:rPr>
          <w:rFonts w:ascii="Arial"/>
          <w:color w:val="5B6761"/>
          <w:spacing w:val="-17"/>
          <w:w w:val="105"/>
          <w:sz w:val="14"/>
        </w:rPr>
        <w:t xml:space="preserve"> </w:t>
      </w:r>
      <w:r>
        <w:rPr>
          <w:rFonts w:ascii="Arial"/>
          <w:color w:val="5B6761"/>
          <w:w w:val="105"/>
          <w:sz w:val="14"/>
        </w:rPr>
        <w:t>stores</w:t>
      </w:r>
      <w:r>
        <w:rPr>
          <w:rFonts w:ascii="Arial"/>
          <w:color w:val="5B6761"/>
          <w:spacing w:val="-16"/>
          <w:w w:val="105"/>
          <w:sz w:val="14"/>
        </w:rPr>
        <w:t xml:space="preserve"> </w:t>
      </w:r>
      <w:r>
        <w:rPr>
          <w:rFonts w:ascii="Arial"/>
          <w:color w:val="5B6761"/>
          <w:w w:val="105"/>
          <w:sz w:val="14"/>
        </w:rPr>
        <w:t>closely</w:t>
      </w:r>
      <w:r>
        <w:rPr>
          <w:rFonts w:ascii="Arial"/>
          <w:color w:val="5B6761"/>
          <w:spacing w:val="-16"/>
          <w:w w:val="105"/>
          <w:sz w:val="14"/>
        </w:rPr>
        <w:t xml:space="preserve"> </w:t>
      </w:r>
      <w:r>
        <w:rPr>
          <w:rFonts w:ascii="Arial"/>
          <w:color w:val="5B6761"/>
          <w:w w:val="105"/>
          <w:sz w:val="14"/>
        </w:rPr>
        <w:t>followed</w:t>
      </w:r>
      <w:r>
        <w:rPr>
          <w:rFonts w:ascii="Arial"/>
          <w:color w:val="5B6761"/>
          <w:spacing w:val="-15"/>
          <w:w w:val="105"/>
          <w:sz w:val="14"/>
        </w:rPr>
        <w:t xml:space="preserve"> </w:t>
      </w:r>
      <w:r>
        <w:rPr>
          <w:rFonts w:ascii="Arial"/>
          <w:color w:val="5B6761"/>
          <w:w w:val="105"/>
          <w:sz w:val="14"/>
        </w:rPr>
        <w:t>by</w:t>
      </w:r>
      <w:r>
        <w:rPr>
          <w:rFonts w:ascii="Arial"/>
          <w:color w:val="5B6761"/>
          <w:spacing w:val="-16"/>
          <w:w w:val="105"/>
          <w:sz w:val="14"/>
        </w:rPr>
        <w:t xml:space="preserve"> </w:t>
      </w:r>
      <w:r>
        <w:rPr>
          <w:rFonts w:ascii="Arial"/>
          <w:color w:val="5B6761"/>
          <w:w w:val="105"/>
          <w:sz w:val="14"/>
        </w:rPr>
        <w:t>ES</w:t>
      </w:r>
      <w:r>
        <w:rPr>
          <w:rFonts w:ascii="Arial"/>
          <w:color w:val="5B6761"/>
          <w:spacing w:val="-15"/>
          <w:w w:val="105"/>
          <w:sz w:val="14"/>
        </w:rPr>
        <w:t xml:space="preserve"> </w:t>
      </w:r>
      <w:r>
        <w:rPr>
          <w:rFonts w:ascii="Arial"/>
          <w:color w:val="5B6761"/>
          <w:w w:val="105"/>
          <w:sz w:val="14"/>
        </w:rPr>
        <w:t>with</w:t>
      </w:r>
      <w:r>
        <w:rPr>
          <w:rFonts w:ascii="Arial"/>
          <w:color w:val="5B6761"/>
          <w:spacing w:val="-16"/>
          <w:w w:val="105"/>
          <w:sz w:val="14"/>
        </w:rPr>
        <w:t xml:space="preserve"> </w:t>
      </w:r>
      <w:r>
        <w:rPr>
          <w:rFonts w:ascii="Arial"/>
          <w:color w:val="5B6761"/>
          <w:w w:val="105"/>
          <w:sz w:val="14"/>
        </w:rPr>
        <w:t>35</w:t>
      </w:r>
      <w:r>
        <w:rPr>
          <w:rFonts w:ascii="Arial"/>
          <w:color w:val="5B6761"/>
          <w:spacing w:val="-15"/>
          <w:w w:val="105"/>
          <w:sz w:val="14"/>
        </w:rPr>
        <w:t xml:space="preserve"> </w:t>
      </w:r>
      <w:r>
        <w:rPr>
          <w:rFonts w:ascii="Arial"/>
          <w:color w:val="5B6761"/>
          <w:w w:val="105"/>
          <w:sz w:val="14"/>
        </w:rPr>
        <w:t>stores (as at 30 March</w:t>
      </w:r>
      <w:r>
        <w:rPr>
          <w:rFonts w:ascii="Arial"/>
          <w:color w:val="5B6761"/>
          <w:spacing w:val="-31"/>
          <w:w w:val="105"/>
          <w:sz w:val="14"/>
        </w:rPr>
        <w:t xml:space="preserve"> </w:t>
      </w:r>
      <w:r>
        <w:rPr>
          <w:rFonts w:ascii="Arial"/>
          <w:color w:val="5B6761"/>
          <w:w w:val="105"/>
          <w:sz w:val="14"/>
        </w:rPr>
        <w:t>2020).</w:t>
      </w:r>
    </w:p>
    <w:p w:rsidR="007D76BB" w:rsidRDefault="007D76BB">
      <w:pPr>
        <w:spacing w:line="268" w:lineRule="auto"/>
        <w:rPr>
          <w:rFonts w:ascii="Arial"/>
          <w:sz w:val="14"/>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spacing w:before="2"/>
        <w:rPr>
          <w:rFonts w:ascii="Arial"/>
          <w:sz w:val="16"/>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3"/>
        <w:gridCol w:w="992"/>
        <w:gridCol w:w="1703"/>
      </w:tblGrid>
      <w:tr w:rsidR="007D76BB">
        <w:trPr>
          <w:trHeight w:val="480"/>
        </w:trPr>
        <w:tc>
          <w:tcPr>
            <w:tcW w:w="2833" w:type="dxa"/>
            <w:shd w:val="clear" w:color="auto" w:fill="005386"/>
          </w:tcPr>
          <w:p w:rsidR="007D76BB" w:rsidRDefault="00D70D28">
            <w:pPr>
              <w:pStyle w:val="TableParagraph"/>
              <w:spacing w:before="14"/>
              <w:ind w:left="107"/>
              <w:rPr>
                <w:rFonts w:ascii="Arial"/>
                <w:sz w:val="19"/>
              </w:rPr>
            </w:pPr>
            <w:r>
              <w:rPr>
                <w:rFonts w:ascii="Arial"/>
                <w:color w:val="FFFFFF"/>
                <w:w w:val="105"/>
                <w:sz w:val="19"/>
              </w:rPr>
              <w:t>Product Category</w:t>
            </w:r>
          </w:p>
        </w:tc>
        <w:tc>
          <w:tcPr>
            <w:tcW w:w="992" w:type="dxa"/>
            <w:shd w:val="clear" w:color="auto" w:fill="005386"/>
          </w:tcPr>
          <w:p w:rsidR="007D76BB" w:rsidRDefault="00D70D28">
            <w:pPr>
              <w:pStyle w:val="TableParagraph"/>
              <w:spacing w:line="240" w:lineRule="exact"/>
              <w:ind w:left="104"/>
              <w:rPr>
                <w:rFonts w:ascii="Arial"/>
                <w:sz w:val="19"/>
              </w:rPr>
            </w:pPr>
            <w:r>
              <w:rPr>
                <w:rFonts w:ascii="Arial"/>
                <w:color w:val="FFFFFF"/>
                <w:w w:val="105"/>
                <w:sz w:val="19"/>
              </w:rPr>
              <w:t>No. of products</w:t>
            </w:r>
          </w:p>
        </w:tc>
        <w:tc>
          <w:tcPr>
            <w:tcW w:w="1703" w:type="dxa"/>
            <w:shd w:val="clear" w:color="auto" w:fill="005386"/>
          </w:tcPr>
          <w:p w:rsidR="007D76BB" w:rsidRDefault="00D70D28">
            <w:pPr>
              <w:pStyle w:val="TableParagraph"/>
              <w:spacing w:line="240" w:lineRule="exact"/>
              <w:ind w:left="106"/>
              <w:rPr>
                <w:rFonts w:ascii="Arial"/>
                <w:sz w:val="19"/>
              </w:rPr>
            </w:pPr>
            <w:r>
              <w:rPr>
                <w:rFonts w:ascii="Arial"/>
                <w:color w:val="FFFFFF"/>
                <w:w w:val="105"/>
                <w:sz w:val="19"/>
              </w:rPr>
              <w:t>Percentage of product category</w:t>
            </w:r>
          </w:p>
        </w:tc>
      </w:tr>
      <w:tr w:rsidR="007D76BB">
        <w:trPr>
          <w:trHeight w:val="268"/>
        </w:trPr>
        <w:tc>
          <w:tcPr>
            <w:tcW w:w="2833" w:type="dxa"/>
          </w:tcPr>
          <w:p w:rsidR="007D76BB" w:rsidRDefault="00D70D28">
            <w:pPr>
              <w:pStyle w:val="TableParagraph"/>
              <w:spacing w:before="42" w:line="206" w:lineRule="exact"/>
              <w:ind w:left="280"/>
              <w:rPr>
                <w:rFonts w:ascii="Arial"/>
                <w:sz w:val="19"/>
              </w:rPr>
            </w:pPr>
            <w:r>
              <w:rPr>
                <w:rFonts w:ascii="Arial"/>
                <w:sz w:val="19"/>
              </w:rPr>
              <w:t>Powder</w:t>
            </w:r>
          </w:p>
        </w:tc>
        <w:tc>
          <w:tcPr>
            <w:tcW w:w="992" w:type="dxa"/>
          </w:tcPr>
          <w:p w:rsidR="007D76BB" w:rsidRDefault="00D70D28">
            <w:pPr>
              <w:pStyle w:val="TableParagraph"/>
              <w:spacing w:line="248" w:lineRule="exact"/>
              <w:ind w:right="98"/>
              <w:jc w:val="right"/>
              <w:rPr>
                <w:rFonts w:ascii="Calibri"/>
              </w:rPr>
            </w:pPr>
            <w:r>
              <w:rPr>
                <w:rFonts w:ascii="Calibri"/>
              </w:rPr>
              <w:t>162</w:t>
            </w:r>
          </w:p>
        </w:tc>
        <w:tc>
          <w:tcPr>
            <w:tcW w:w="1703" w:type="dxa"/>
          </w:tcPr>
          <w:p w:rsidR="007D76BB" w:rsidRDefault="00D70D28">
            <w:pPr>
              <w:pStyle w:val="TableParagraph"/>
              <w:spacing w:line="248" w:lineRule="exact"/>
              <w:ind w:right="97"/>
              <w:jc w:val="right"/>
              <w:rPr>
                <w:rFonts w:ascii="Calibri"/>
              </w:rPr>
            </w:pPr>
            <w:r>
              <w:rPr>
                <w:rFonts w:ascii="Calibri"/>
              </w:rPr>
              <w:t>59.78%</w:t>
            </w:r>
          </w:p>
        </w:tc>
      </w:tr>
      <w:tr w:rsidR="007D76BB">
        <w:trPr>
          <w:trHeight w:val="268"/>
        </w:trPr>
        <w:tc>
          <w:tcPr>
            <w:tcW w:w="2833" w:type="dxa"/>
          </w:tcPr>
          <w:p w:rsidR="007D76BB" w:rsidRDefault="00D70D28">
            <w:pPr>
              <w:pStyle w:val="TableParagraph"/>
              <w:spacing w:before="42" w:line="206" w:lineRule="exact"/>
              <w:ind w:left="280"/>
              <w:rPr>
                <w:rFonts w:ascii="Arial"/>
                <w:sz w:val="19"/>
              </w:rPr>
            </w:pPr>
            <w:r>
              <w:rPr>
                <w:rFonts w:ascii="Arial"/>
                <w:sz w:val="19"/>
              </w:rPr>
              <w:t>Spread</w:t>
            </w:r>
          </w:p>
        </w:tc>
        <w:tc>
          <w:tcPr>
            <w:tcW w:w="992" w:type="dxa"/>
          </w:tcPr>
          <w:p w:rsidR="007D76BB" w:rsidRDefault="00D70D28">
            <w:pPr>
              <w:pStyle w:val="TableParagraph"/>
              <w:spacing w:line="248" w:lineRule="exact"/>
              <w:ind w:right="98"/>
              <w:jc w:val="right"/>
              <w:rPr>
                <w:rFonts w:ascii="Calibri"/>
              </w:rPr>
            </w:pPr>
            <w:r>
              <w:rPr>
                <w:rFonts w:ascii="Calibri"/>
              </w:rPr>
              <w:t>1</w:t>
            </w:r>
          </w:p>
        </w:tc>
        <w:tc>
          <w:tcPr>
            <w:tcW w:w="1703" w:type="dxa"/>
          </w:tcPr>
          <w:p w:rsidR="007D76BB" w:rsidRDefault="00D70D28">
            <w:pPr>
              <w:pStyle w:val="TableParagraph"/>
              <w:spacing w:line="248" w:lineRule="exact"/>
              <w:ind w:right="97"/>
              <w:jc w:val="right"/>
              <w:rPr>
                <w:rFonts w:ascii="Calibri"/>
              </w:rPr>
            </w:pPr>
            <w:r>
              <w:rPr>
                <w:rFonts w:ascii="Calibri"/>
              </w:rPr>
              <w:t>0.37%</w:t>
            </w:r>
          </w:p>
        </w:tc>
      </w:tr>
      <w:tr w:rsidR="007D76BB">
        <w:trPr>
          <w:trHeight w:val="270"/>
        </w:trPr>
        <w:tc>
          <w:tcPr>
            <w:tcW w:w="2833" w:type="dxa"/>
          </w:tcPr>
          <w:p w:rsidR="007D76BB" w:rsidRDefault="00D70D28">
            <w:pPr>
              <w:pStyle w:val="TableParagraph"/>
              <w:spacing w:before="42" w:line="208" w:lineRule="exact"/>
              <w:ind w:left="280"/>
              <w:rPr>
                <w:rFonts w:ascii="Arial"/>
                <w:sz w:val="19"/>
              </w:rPr>
            </w:pPr>
            <w:r>
              <w:rPr>
                <w:rFonts w:ascii="Arial"/>
                <w:w w:val="105"/>
                <w:sz w:val="19"/>
              </w:rPr>
              <w:t>Tablet</w:t>
            </w:r>
          </w:p>
        </w:tc>
        <w:tc>
          <w:tcPr>
            <w:tcW w:w="992" w:type="dxa"/>
          </w:tcPr>
          <w:p w:rsidR="007D76BB" w:rsidRDefault="00D70D28">
            <w:pPr>
              <w:pStyle w:val="TableParagraph"/>
              <w:spacing w:before="1" w:line="249" w:lineRule="exact"/>
              <w:ind w:right="97"/>
              <w:jc w:val="right"/>
              <w:rPr>
                <w:rFonts w:ascii="Calibri"/>
              </w:rPr>
            </w:pPr>
            <w:r>
              <w:rPr>
                <w:rFonts w:ascii="Calibri"/>
              </w:rPr>
              <w:t>12</w:t>
            </w:r>
          </w:p>
        </w:tc>
        <w:tc>
          <w:tcPr>
            <w:tcW w:w="1703" w:type="dxa"/>
          </w:tcPr>
          <w:p w:rsidR="007D76BB" w:rsidRDefault="00D70D28">
            <w:pPr>
              <w:pStyle w:val="TableParagraph"/>
              <w:spacing w:before="1" w:line="249" w:lineRule="exact"/>
              <w:ind w:right="97"/>
              <w:jc w:val="right"/>
              <w:rPr>
                <w:rFonts w:ascii="Calibri"/>
              </w:rPr>
            </w:pPr>
            <w:r>
              <w:rPr>
                <w:rFonts w:ascii="Calibri"/>
              </w:rPr>
              <w:t>4.43%</w:t>
            </w:r>
          </w:p>
        </w:tc>
      </w:tr>
      <w:tr w:rsidR="007D76BB">
        <w:trPr>
          <w:trHeight w:val="268"/>
        </w:trPr>
        <w:tc>
          <w:tcPr>
            <w:tcW w:w="2833" w:type="dxa"/>
          </w:tcPr>
          <w:p w:rsidR="007D76BB" w:rsidRDefault="00D70D28">
            <w:pPr>
              <w:pStyle w:val="TableParagraph"/>
              <w:spacing w:line="248" w:lineRule="exact"/>
              <w:ind w:left="107"/>
              <w:rPr>
                <w:rFonts w:ascii="Calibri"/>
                <w:b/>
              </w:rPr>
            </w:pPr>
            <w:r>
              <w:rPr>
                <w:rFonts w:ascii="Calibri"/>
                <w:b/>
              </w:rPr>
              <w:t>Post-Workout</w:t>
            </w:r>
          </w:p>
        </w:tc>
        <w:tc>
          <w:tcPr>
            <w:tcW w:w="992" w:type="dxa"/>
          </w:tcPr>
          <w:p w:rsidR="007D76BB" w:rsidRDefault="00D70D28">
            <w:pPr>
              <w:pStyle w:val="TableParagraph"/>
              <w:spacing w:line="248" w:lineRule="exact"/>
              <w:ind w:right="98"/>
              <w:jc w:val="right"/>
              <w:rPr>
                <w:rFonts w:ascii="Calibri"/>
                <w:b/>
              </w:rPr>
            </w:pPr>
            <w:r>
              <w:rPr>
                <w:rFonts w:ascii="Calibri"/>
                <w:b/>
              </w:rPr>
              <w:t>135</w:t>
            </w:r>
          </w:p>
        </w:tc>
        <w:tc>
          <w:tcPr>
            <w:tcW w:w="1703" w:type="dxa"/>
          </w:tcPr>
          <w:p w:rsidR="007D76BB" w:rsidRDefault="007D76BB">
            <w:pPr>
              <w:pStyle w:val="TableParagraph"/>
              <w:rPr>
                <w:rFonts w:ascii="Times New Roman"/>
                <w:sz w:val="18"/>
              </w:rPr>
            </w:pPr>
          </w:p>
        </w:tc>
      </w:tr>
      <w:tr w:rsidR="007D76BB">
        <w:trPr>
          <w:trHeight w:val="268"/>
        </w:trPr>
        <w:tc>
          <w:tcPr>
            <w:tcW w:w="2833" w:type="dxa"/>
          </w:tcPr>
          <w:p w:rsidR="007D76BB" w:rsidRDefault="00D70D28">
            <w:pPr>
              <w:pStyle w:val="TableParagraph"/>
              <w:spacing w:before="40" w:line="208" w:lineRule="exact"/>
              <w:ind w:left="280"/>
              <w:rPr>
                <w:rFonts w:ascii="Arial"/>
                <w:sz w:val="19"/>
              </w:rPr>
            </w:pPr>
            <w:r>
              <w:rPr>
                <w:rFonts w:ascii="Arial"/>
                <w:sz w:val="19"/>
              </w:rPr>
              <w:t>Capsule</w:t>
            </w:r>
          </w:p>
        </w:tc>
        <w:tc>
          <w:tcPr>
            <w:tcW w:w="992" w:type="dxa"/>
          </w:tcPr>
          <w:p w:rsidR="007D76BB" w:rsidRDefault="00D70D28">
            <w:pPr>
              <w:pStyle w:val="TableParagraph"/>
              <w:spacing w:line="248" w:lineRule="exact"/>
              <w:ind w:right="98"/>
              <w:jc w:val="right"/>
              <w:rPr>
                <w:rFonts w:ascii="Calibri"/>
              </w:rPr>
            </w:pPr>
            <w:r>
              <w:rPr>
                <w:rFonts w:ascii="Calibri"/>
              </w:rPr>
              <w:t>7</w:t>
            </w:r>
          </w:p>
        </w:tc>
        <w:tc>
          <w:tcPr>
            <w:tcW w:w="1703" w:type="dxa"/>
          </w:tcPr>
          <w:p w:rsidR="007D76BB" w:rsidRDefault="00D70D28">
            <w:pPr>
              <w:pStyle w:val="TableParagraph"/>
              <w:spacing w:line="248" w:lineRule="exact"/>
              <w:ind w:right="97"/>
              <w:jc w:val="right"/>
              <w:rPr>
                <w:rFonts w:ascii="Calibri"/>
              </w:rPr>
            </w:pPr>
            <w:r>
              <w:rPr>
                <w:rFonts w:ascii="Calibri"/>
              </w:rPr>
              <w:t>5.19%</w:t>
            </w:r>
          </w:p>
        </w:tc>
      </w:tr>
      <w:tr w:rsidR="007D76BB">
        <w:trPr>
          <w:trHeight w:val="268"/>
        </w:trPr>
        <w:tc>
          <w:tcPr>
            <w:tcW w:w="2833" w:type="dxa"/>
          </w:tcPr>
          <w:p w:rsidR="007D76BB" w:rsidRDefault="00D70D28">
            <w:pPr>
              <w:pStyle w:val="TableParagraph"/>
              <w:spacing w:before="42" w:line="206" w:lineRule="exact"/>
              <w:ind w:left="280"/>
              <w:rPr>
                <w:rFonts w:ascii="Arial"/>
                <w:sz w:val="19"/>
              </w:rPr>
            </w:pPr>
            <w:r>
              <w:rPr>
                <w:rFonts w:ascii="Arial"/>
                <w:w w:val="105"/>
                <w:sz w:val="19"/>
              </w:rPr>
              <w:t>Liquid</w:t>
            </w:r>
          </w:p>
        </w:tc>
        <w:tc>
          <w:tcPr>
            <w:tcW w:w="992" w:type="dxa"/>
          </w:tcPr>
          <w:p w:rsidR="007D76BB" w:rsidRDefault="00D70D28">
            <w:pPr>
              <w:pStyle w:val="TableParagraph"/>
              <w:spacing w:line="248" w:lineRule="exact"/>
              <w:ind w:right="98"/>
              <w:jc w:val="right"/>
              <w:rPr>
                <w:rFonts w:ascii="Calibri"/>
              </w:rPr>
            </w:pPr>
            <w:r>
              <w:rPr>
                <w:rFonts w:ascii="Calibri"/>
              </w:rPr>
              <w:t>3</w:t>
            </w:r>
          </w:p>
        </w:tc>
        <w:tc>
          <w:tcPr>
            <w:tcW w:w="1703" w:type="dxa"/>
          </w:tcPr>
          <w:p w:rsidR="007D76BB" w:rsidRDefault="00D70D28">
            <w:pPr>
              <w:pStyle w:val="TableParagraph"/>
              <w:spacing w:line="248" w:lineRule="exact"/>
              <w:ind w:right="97"/>
              <w:jc w:val="right"/>
              <w:rPr>
                <w:rFonts w:ascii="Calibri"/>
              </w:rPr>
            </w:pPr>
            <w:r>
              <w:rPr>
                <w:rFonts w:ascii="Calibri"/>
              </w:rPr>
              <w:t>2.22%</w:t>
            </w:r>
          </w:p>
        </w:tc>
      </w:tr>
      <w:tr w:rsidR="007D76BB">
        <w:trPr>
          <w:trHeight w:val="268"/>
        </w:trPr>
        <w:tc>
          <w:tcPr>
            <w:tcW w:w="2833" w:type="dxa"/>
          </w:tcPr>
          <w:p w:rsidR="007D76BB" w:rsidRDefault="00D70D28">
            <w:pPr>
              <w:pStyle w:val="TableParagraph"/>
              <w:spacing w:before="42" w:line="206" w:lineRule="exact"/>
              <w:ind w:left="280"/>
              <w:rPr>
                <w:rFonts w:ascii="Arial"/>
                <w:sz w:val="19"/>
              </w:rPr>
            </w:pPr>
            <w:r>
              <w:rPr>
                <w:rFonts w:ascii="Arial"/>
                <w:sz w:val="19"/>
              </w:rPr>
              <w:t>Powder</w:t>
            </w:r>
          </w:p>
        </w:tc>
        <w:tc>
          <w:tcPr>
            <w:tcW w:w="992" w:type="dxa"/>
          </w:tcPr>
          <w:p w:rsidR="007D76BB" w:rsidRDefault="00D70D28">
            <w:pPr>
              <w:pStyle w:val="TableParagraph"/>
              <w:spacing w:line="248" w:lineRule="exact"/>
              <w:ind w:right="98"/>
              <w:jc w:val="right"/>
              <w:rPr>
                <w:rFonts w:ascii="Calibri"/>
              </w:rPr>
            </w:pPr>
            <w:r>
              <w:rPr>
                <w:rFonts w:ascii="Calibri"/>
              </w:rPr>
              <w:t>125</w:t>
            </w:r>
          </w:p>
        </w:tc>
        <w:tc>
          <w:tcPr>
            <w:tcW w:w="1703" w:type="dxa"/>
          </w:tcPr>
          <w:p w:rsidR="007D76BB" w:rsidRDefault="00D70D28">
            <w:pPr>
              <w:pStyle w:val="TableParagraph"/>
              <w:spacing w:line="248" w:lineRule="exact"/>
              <w:ind w:right="97"/>
              <w:jc w:val="right"/>
              <w:rPr>
                <w:rFonts w:ascii="Calibri"/>
              </w:rPr>
            </w:pPr>
            <w:r>
              <w:rPr>
                <w:rFonts w:ascii="Calibri"/>
              </w:rPr>
              <w:t>92.59%</w:t>
            </w:r>
          </w:p>
        </w:tc>
      </w:tr>
      <w:tr w:rsidR="007D76BB">
        <w:trPr>
          <w:trHeight w:val="268"/>
        </w:trPr>
        <w:tc>
          <w:tcPr>
            <w:tcW w:w="2833" w:type="dxa"/>
          </w:tcPr>
          <w:p w:rsidR="007D76BB" w:rsidRDefault="00D70D28">
            <w:pPr>
              <w:pStyle w:val="TableParagraph"/>
              <w:spacing w:line="248" w:lineRule="exact"/>
              <w:ind w:left="107"/>
              <w:rPr>
                <w:rFonts w:ascii="Calibri"/>
                <w:b/>
              </w:rPr>
            </w:pPr>
            <w:r>
              <w:rPr>
                <w:rFonts w:ascii="Calibri"/>
                <w:b/>
              </w:rPr>
              <w:t>Pre-Workout</w:t>
            </w:r>
          </w:p>
        </w:tc>
        <w:tc>
          <w:tcPr>
            <w:tcW w:w="992" w:type="dxa"/>
          </w:tcPr>
          <w:p w:rsidR="007D76BB" w:rsidRDefault="00D70D28">
            <w:pPr>
              <w:pStyle w:val="TableParagraph"/>
              <w:spacing w:line="248" w:lineRule="exact"/>
              <w:ind w:right="98"/>
              <w:jc w:val="right"/>
              <w:rPr>
                <w:rFonts w:ascii="Calibri"/>
                <w:b/>
              </w:rPr>
            </w:pPr>
            <w:r>
              <w:rPr>
                <w:rFonts w:ascii="Calibri"/>
                <w:b/>
              </w:rPr>
              <w:t>224</w:t>
            </w:r>
          </w:p>
        </w:tc>
        <w:tc>
          <w:tcPr>
            <w:tcW w:w="1703" w:type="dxa"/>
          </w:tcPr>
          <w:p w:rsidR="007D76BB" w:rsidRDefault="007D76BB">
            <w:pPr>
              <w:pStyle w:val="TableParagraph"/>
              <w:rPr>
                <w:rFonts w:ascii="Times New Roman"/>
                <w:sz w:val="18"/>
              </w:rPr>
            </w:pPr>
          </w:p>
        </w:tc>
      </w:tr>
      <w:tr w:rsidR="007D76BB">
        <w:trPr>
          <w:trHeight w:val="268"/>
        </w:trPr>
        <w:tc>
          <w:tcPr>
            <w:tcW w:w="2833" w:type="dxa"/>
          </w:tcPr>
          <w:p w:rsidR="007D76BB" w:rsidRDefault="00D70D28">
            <w:pPr>
              <w:pStyle w:val="TableParagraph"/>
              <w:spacing w:before="42" w:line="206" w:lineRule="exact"/>
              <w:ind w:left="280"/>
              <w:rPr>
                <w:rFonts w:ascii="Arial"/>
                <w:sz w:val="19"/>
              </w:rPr>
            </w:pPr>
            <w:r>
              <w:rPr>
                <w:rFonts w:ascii="Arial"/>
                <w:sz w:val="19"/>
              </w:rPr>
              <w:t>Candy</w:t>
            </w:r>
          </w:p>
        </w:tc>
        <w:tc>
          <w:tcPr>
            <w:tcW w:w="992" w:type="dxa"/>
          </w:tcPr>
          <w:p w:rsidR="007D76BB" w:rsidRDefault="00D70D28">
            <w:pPr>
              <w:pStyle w:val="TableParagraph"/>
              <w:spacing w:line="248" w:lineRule="exact"/>
              <w:ind w:right="98"/>
              <w:jc w:val="right"/>
              <w:rPr>
                <w:rFonts w:ascii="Calibri"/>
              </w:rPr>
            </w:pPr>
            <w:r>
              <w:rPr>
                <w:rFonts w:ascii="Calibri"/>
              </w:rPr>
              <w:t>1</w:t>
            </w:r>
          </w:p>
        </w:tc>
        <w:tc>
          <w:tcPr>
            <w:tcW w:w="1703" w:type="dxa"/>
          </w:tcPr>
          <w:p w:rsidR="007D76BB" w:rsidRDefault="00D70D28">
            <w:pPr>
              <w:pStyle w:val="TableParagraph"/>
              <w:spacing w:line="248" w:lineRule="exact"/>
              <w:ind w:right="97"/>
              <w:jc w:val="right"/>
              <w:rPr>
                <w:rFonts w:ascii="Calibri"/>
              </w:rPr>
            </w:pPr>
            <w:r>
              <w:rPr>
                <w:rFonts w:ascii="Calibri"/>
              </w:rPr>
              <w:t>0.45%</w:t>
            </w:r>
          </w:p>
        </w:tc>
      </w:tr>
      <w:tr w:rsidR="007D76BB">
        <w:trPr>
          <w:trHeight w:val="268"/>
        </w:trPr>
        <w:tc>
          <w:tcPr>
            <w:tcW w:w="2833" w:type="dxa"/>
          </w:tcPr>
          <w:p w:rsidR="007D76BB" w:rsidRDefault="00D70D28">
            <w:pPr>
              <w:pStyle w:val="TableParagraph"/>
              <w:spacing w:before="42" w:line="206" w:lineRule="exact"/>
              <w:ind w:left="280"/>
              <w:rPr>
                <w:rFonts w:ascii="Arial"/>
                <w:sz w:val="19"/>
              </w:rPr>
            </w:pPr>
            <w:r>
              <w:rPr>
                <w:rFonts w:ascii="Arial"/>
                <w:sz w:val="19"/>
              </w:rPr>
              <w:t>Capsule</w:t>
            </w:r>
          </w:p>
        </w:tc>
        <w:tc>
          <w:tcPr>
            <w:tcW w:w="992" w:type="dxa"/>
          </w:tcPr>
          <w:p w:rsidR="007D76BB" w:rsidRDefault="00D70D28">
            <w:pPr>
              <w:pStyle w:val="TableParagraph"/>
              <w:spacing w:line="248" w:lineRule="exact"/>
              <w:ind w:right="98"/>
              <w:jc w:val="right"/>
              <w:rPr>
                <w:rFonts w:ascii="Calibri"/>
              </w:rPr>
            </w:pPr>
            <w:r>
              <w:rPr>
                <w:rFonts w:ascii="Calibri"/>
              </w:rPr>
              <w:t>7</w:t>
            </w:r>
          </w:p>
        </w:tc>
        <w:tc>
          <w:tcPr>
            <w:tcW w:w="1703" w:type="dxa"/>
          </w:tcPr>
          <w:p w:rsidR="007D76BB" w:rsidRDefault="00D70D28">
            <w:pPr>
              <w:pStyle w:val="TableParagraph"/>
              <w:spacing w:line="248" w:lineRule="exact"/>
              <w:ind w:right="97"/>
              <w:jc w:val="right"/>
              <w:rPr>
                <w:rFonts w:ascii="Calibri"/>
              </w:rPr>
            </w:pPr>
            <w:r>
              <w:rPr>
                <w:rFonts w:ascii="Calibri"/>
              </w:rPr>
              <w:t>3.13%</w:t>
            </w:r>
          </w:p>
        </w:tc>
      </w:tr>
      <w:tr w:rsidR="007D76BB">
        <w:trPr>
          <w:trHeight w:val="268"/>
        </w:trPr>
        <w:tc>
          <w:tcPr>
            <w:tcW w:w="2833" w:type="dxa"/>
          </w:tcPr>
          <w:p w:rsidR="007D76BB" w:rsidRDefault="00D70D28">
            <w:pPr>
              <w:pStyle w:val="TableParagraph"/>
              <w:spacing w:before="42" w:line="207" w:lineRule="exact"/>
              <w:ind w:left="280"/>
              <w:rPr>
                <w:rFonts w:ascii="Arial"/>
                <w:sz w:val="19"/>
              </w:rPr>
            </w:pPr>
            <w:r>
              <w:rPr>
                <w:rFonts w:ascii="Arial"/>
                <w:sz w:val="19"/>
              </w:rPr>
              <w:t>Gel</w:t>
            </w:r>
          </w:p>
        </w:tc>
        <w:tc>
          <w:tcPr>
            <w:tcW w:w="992" w:type="dxa"/>
          </w:tcPr>
          <w:p w:rsidR="007D76BB" w:rsidRDefault="00D70D28">
            <w:pPr>
              <w:pStyle w:val="TableParagraph"/>
              <w:spacing w:line="249" w:lineRule="exact"/>
              <w:ind w:right="98"/>
              <w:jc w:val="right"/>
              <w:rPr>
                <w:rFonts w:ascii="Calibri"/>
              </w:rPr>
            </w:pPr>
            <w:r>
              <w:rPr>
                <w:rFonts w:ascii="Calibri"/>
              </w:rPr>
              <w:t>1</w:t>
            </w:r>
          </w:p>
        </w:tc>
        <w:tc>
          <w:tcPr>
            <w:tcW w:w="1703" w:type="dxa"/>
          </w:tcPr>
          <w:p w:rsidR="007D76BB" w:rsidRDefault="00D70D28">
            <w:pPr>
              <w:pStyle w:val="TableParagraph"/>
              <w:spacing w:line="249" w:lineRule="exact"/>
              <w:ind w:right="97"/>
              <w:jc w:val="right"/>
              <w:rPr>
                <w:rFonts w:ascii="Calibri"/>
              </w:rPr>
            </w:pPr>
            <w:r>
              <w:rPr>
                <w:rFonts w:ascii="Calibri"/>
              </w:rPr>
              <w:t>0.45%</w:t>
            </w:r>
          </w:p>
        </w:tc>
      </w:tr>
      <w:tr w:rsidR="007D76BB">
        <w:trPr>
          <w:trHeight w:val="268"/>
        </w:trPr>
        <w:tc>
          <w:tcPr>
            <w:tcW w:w="2833" w:type="dxa"/>
          </w:tcPr>
          <w:p w:rsidR="007D76BB" w:rsidRDefault="00D70D28">
            <w:pPr>
              <w:pStyle w:val="TableParagraph"/>
              <w:spacing w:before="42" w:line="206" w:lineRule="exact"/>
              <w:ind w:left="280"/>
              <w:rPr>
                <w:rFonts w:ascii="Arial"/>
                <w:sz w:val="19"/>
              </w:rPr>
            </w:pPr>
            <w:r>
              <w:rPr>
                <w:rFonts w:ascii="Arial"/>
                <w:w w:val="105"/>
                <w:sz w:val="19"/>
              </w:rPr>
              <w:t>Liquid</w:t>
            </w:r>
          </w:p>
        </w:tc>
        <w:tc>
          <w:tcPr>
            <w:tcW w:w="992" w:type="dxa"/>
          </w:tcPr>
          <w:p w:rsidR="007D76BB" w:rsidRDefault="00D70D28">
            <w:pPr>
              <w:pStyle w:val="TableParagraph"/>
              <w:spacing w:line="248" w:lineRule="exact"/>
              <w:ind w:right="97"/>
              <w:jc w:val="right"/>
              <w:rPr>
                <w:rFonts w:ascii="Calibri"/>
              </w:rPr>
            </w:pPr>
            <w:r>
              <w:rPr>
                <w:rFonts w:ascii="Calibri"/>
              </w:rPr>
              <w:t>20</w:t>
            </w:r>
          </w:p>
        </w:tc>
        <w:tc>
          <w:tcPr>
            <w:tcW w:w="1703" w:type="dxa"/>
          </w:tcPr>
          <w:p w:rsidR="007D76BB" w:rsidRDefault="00D70D28">
            <w:pPr>
              <w:pStyle w:val="TableParagraph"/>
              <w:spacing w:line="248" w:lineRule="exact"/>
              <w:ind w:right="97"/>
              <w:jc w:val="right"/>
              <w:rPr>
                <w:rFonts w:ascii="Calibri"/>
              </w:rPr>
            </w:pPr>
            <w:r>
              <w:rPr>
                <w:rFonts w:ascii="Calibri"/>
              </w:rPr>
              <w:t>8.93%</w:t>
            </w:r>
          </w:p>
        </w:tc>
      </w:tr>
      <w:tr w:rsidR="007D76BB">
        <w:trPr>
          <w:trHeight w:val="268"/>
        </w:trPr>
        <w:tc>
          <w:tcPr>
            <w:tcW w:w="2833" w:type="dxa"/>
          </w:tcPr>
          <w:p w:rsidR="007D76BB" w:rsidRDefault="00D70D28">
            <w:pPr>
              <w:pStyle w:val="TableParagraph"/>
              <w:spacing w:before="42" w:line="206" w:lineRule="exact"/>
              <w:ind w:left="280"/>
              <w:rPr>
                <w:rFonts w:ascii="Arial"/>
                <w:sz w:val="19"/>
              </w:rPr>
            </w:pPr>
            <w:r>
              <w:rPr>
                <w:rFonts w:ascii="Arial"/>
                <w:sz w:val="19"/>
              </w:rPr>
              <w:t>Powder</w:t>
            </w:r>
          </w:p>
        </w:tc>
        <w:tc>
          <w:tcPr>
            <w:tcW w:w="992" w:type="dxa"/>
          </w:tcPr>
          <w:p w:rsidR="007D76BB" w:rsidRDefault="00D70D28">
            <w:pPr>
              <w:pStyle w:val="TableParagraph"/>
              <w:spacing w:line="248" w:lineRule="exact"/>
              <w:ind w:right="98"/>
              <w:jc w:val="right"/>
              <w:rPr>
                <w:rFonts w:ascii="Calibri"/>
              </w:rPr>
            </w:pPr>
            <w:r>
              <w:rPr>
                <w:rFonts w:ascii="Calibri"/>
              </w:rPr>
              <w:t>195</w:t>
            </w:r>
          </w:p>
        </w:tc>
        <w:tc>
          <w:tcPr>
            <w:tcW w:w="1703" w:type="dxa"/>
          </w:tcPr>
          <w:p w:rsidR="007D76BB" w:rsidRDefault="00D70D28">
            <w:pPr>
              <w:pStyle w:val="TableParagraph"/>
              <w:spacing w:line="248" w:lineRule="exact"/>
              <w:ind w:right="97"/>
              <w:jc w:val="right"/>
              <w:rPr>
                <w:rFonts w:ascii="Calibri"/>
              </w:rPr>
            </w:pPr>
            <w:r>
              <w:rPr>
                <w:rFonts w:ascii="Calibri"/>
              </w:rPr>
              <w:t>87.05%</w:t>
            </w:r>
          </w:p>
        </w:tc>
      </w:tr>
      <w:tr w:rsidR="007D76BB">
        <w:trPr>
          <w:trHeight w:val="268"/>
        </w:trPr>
        <w:tc>
          <w:tcPr>
            <w:tcW w:w="2833" w:type="dxa"/>
          </w:tcPr>
          <w:p w:rsidR="007D76BB" w:rsidRDefault="00D70D28">
            <w:pPr>
              <w:pStyle w:val="TableParagraph"/>
              <w:spacing w:line="248" w:lineRule="exact"/>
              <w:ind w:right="95"/>
              <w:jc w:val="right"/>
              <w:rPr>
                <w:rFonts w:ascii="Calibri"/>
                <w:b/>
              </w:rPr>
            </w:pPr>
            <w:r>
              <w:rPr>
                <w:rFonts w:ascii="Calibri"/>
                <w:b/>
              </w:rPr>
              <w:t>Total</w:t>
            </w:r>
          </w:p>
        </w:tc>
        <w:tc>
          <w:tcPr>
            <w:tcW w:w="992" w:type="dxa"/>
            <w:shd w:val="clear" w:color="auto" w:fill="D9D9D9"/>
          </w:tcPr>
          <w:p w:rsidR="007D76BB" w:rsidRDefault="00D70D28">
            <w:pPr>
              <w:pStyle w:val="TableParagraph"/>
              <w:spacing w:line="248" w:lineRule="exact"/>
              <w:ind w:right="98"/>
              <w:jc w:val="right"/>
              <w:rPr>
                <w:rFonts w:ascii="Calibri"/>
                <w:b/>
              </w:rPr>
            </w:pPr>
            <w:r>
              <w:rPr>
                <w:rFonts w:ascii="Calibri"/>
                <w:b/>
              </w:rPr>
              <w:t>630</w:t>
            </w:r>
          </w:p>
        </w:tc>
        <w:tc>
          <w:tcPr>
            <w:tcW w:w="1703" w:type="dxa"/>
          </w:tcPr>
          <w:p w:rsidR="007D76BB" w:rsidRDefault="007D76BB">
            <w:pPr>
              <w:pStyle w:val="TableParagraph"/>
              <w:rPr>
                <w:rFonts w:ascii="Times New Roman"/>
                <w:sz w:val="18"/>
              </w:rPr>
            </w:pPr>
          </w:p>
        </w:tc>
      </w:tr>
    </w:tbl>
    <w:p w:rsidR="007D76BB" w:rsidRDefault="007D76BB">
      <w:pPr>
        <w:pStyle w:val="BodyText"/>
        <w:spacing w:before="5"/>
        <w:rPr>
          <w:rFonts w:ascii="Arial"/>
          <w:sz w:val="7"/>
        </w:rPr>
      </w:pPr>
    </w:p>
    <w:p w:rsidR="007D76BB" w:rsidRDefault="00D70D28">
      <w:pPr>
        <w:spacing w:before="108" w:line="249" w:lineRule="auto"/>
        <w:ind w:left="482" w:right="989"/>
        <w:rPr>
          <w:rFonts w:ascii="Calibri"/>
        </w:rPr>
      </w:pPr>
      <w:r>
        <w:rPr>
          <w:rFonts w:ascii="Arial"/>
          <w:w w:val="105"/>
          <w:sz w:val="19"/>
        </w:rPr>
        <w:t>Of</w:t>
      </w:r>
      <w:r>
        <w:rPr>
          <w:rFonts w:ascii="Arial"/>
          <w:spacing w:val="-20"/>
          <w:w w:val="105"/>
          <w:sz w:val="19"/>
        </w:rPr>
        <w:t xml:space="preserve"> </w:t>
      </w:r>
      <w:r>
        <w:rPr>
          <w:rFonts w:ascii="Arial"/>
          <w:w w:val="105"/>
          <w:sz w:val="19"/>
        </w:rPr>
        <w:t>the</w:t>
      </w:r>
      <w:r>
        <w:rPr>
          <w:rFonts w:ascii="Arial"/>
          <w:spacing w:val="-21"/>
          <w:w w:val="105"/>
          <w:sz w:val="19"/>
        </w:rPr>
        <w:t xml:space="preserve"> </w:t>
      </w:r>
      <w:r>
        <w:rPr>
          <w:rFonts w:ascii="Arial"/>
          <w:w w:val="105"/>
          <w:sz w:val="19"/>
        </w:rPr>
        <w:t>potentially</w:t>
      </w:r>
      <w:r>
        <w:rPr>
          <w:rFonts w:ascii="Arial"/>
          <w:spacing w:val="-20"/>
          <w:w w:val="105"/>
          <w:sz w:val="19"/>
        </w:rPr>
        <w:t xml:space="preserve"> </w:t>
      </w:r>
      <w:r>
        <w:rPr>
          <w:rFonts w:ascii="Arial"/>
          <w:w w:val="105"/>
          <w:sz w:val="19"/>
        </w:rPr>
        <w:t>in-scope</w:t>
      </w:r>
      <w:r>
        <w:rPr>
          <w:rFonts w:ascii="Arial"/>
          <w:spacing w:val="-21"/>
          <w:w w:val="105"/>
          <w:sz w:val="19"/>
        </w:rPr>
        <w:t xml:space="preserve"> </w:t>
      </w:r>
      <w:r>
        <w:rPr>
          <w:rFonts w:ascii="Arial"/>
          <w:w w:val="105"/>
          <w:sz w:val="19"/>
        </w:rPr>
        <w:t>products,</w:t>
      </w:r>
      <w:r>
        <w:rPr>
          <w:rFonts w:ascii="Arial"/>
          <w:spacing w:val="-21"/>
          <w:w w:val="105"/>
          <w:sz w:val="19"/>
        </w:rPr>
        <w:t xml:space="preserve"> </w:t>
      </w:r>
      <w:r>
        <w:rPr>
          <w:rFonts w:ascii="Arial"/>
          <w:w w:val="105"/>
          <w:sz w:val="19"/>
        </w:rPr>
        <w:t>the</w:t>
      </w:r>
      <w:r>
        <w:rPr>
          <w:rFonts w:ascii="Arial"/>
          <w:spacing w:val="-19"/>
          <w:w w:val="105"/>
          <w:sz w:val="19"/>
        </w:rPr>
        <w:t xml:space="preserve"> </w:t>
      </w:r>
      <w:r>
        <w:rPr>
          <w:rFonts w:ascii="Arial"/>
          <w:w w:val="105"/>
          <w:sz w:val="19"/>
        </w:rPr>
        <w:t>dominant</w:t>
      </w:r>
      <w:r>
        <w:rPr>
          <w:rFonts w:ascii="Arial"/>
          <w:spacing w:val="-19"/>
          <w:w w:val="105"/>
          <w:sz w:val="19"/>
        </w:rPr>
        <w:t xml:space="preserve"> </w:t>
      </w:r>
      <w:r>
        <w:rPr>
          <w:rFonts w:ascii="Arial"/>
          <w:w w:val="105"/>
          <w:sz w:val="19"/>
        </w:rPr>
        <w:t>method</w:t>
      </w:r>
      <w:r>
        <w:rPr>
          <w:rFonts w:ascii="Arial"/>
          <w:spacing w:val="-21"/>
          <w:w w:val="105"/>
          <w:sz w:val="19"/>
        </w:rPr>
        <w:t xml:space="preserve"> </w:t>
      </w:r>
      <w:r>
        <w:rPr>
          <w:rFonts w:ascii="Arial"/>
          <w:w w:val="105"/>
          <w:sz w:val="19"/>
        </w:rPr>
        <w:t>of</w:t>
      </w:r>
      <w:r>
        <w:rPr>
          <w:rFonts w:ascii="Arial"/>
          <w:spacing w:val="-20"/>
          <w:w w:val="105"/>
          <w:sz w:val="19"/>
        </w:rPr>
        <w:t xml:space="preserve"> </w:t>
      </w:r>
      <w:r>
        <w:rPr>
          <w:rFonts w:ascii="Arial"/>
          <w:w w:val="105"/>
          <w:sz w:val="19"/>
        </w:rPr>
        <w:t>presentation</w:t>
      </w:r>
      <w:r>
        <w:rPr>
          <w:rFonts w:ascii="Arial"/>
          <w:spacing w:val="-19"/>
          <w:w w:val="105"/>
          <w:sz w:val="19"/>
        </w:rPr>
        <w:t xml:space="preserve"> </w:t>
      </w:r>
      <w:r>
        <w:rPr>
          <w:rFonts w:ascii="Arial"/>
          <w:w w:val="105"/>
          <w:sz w:val="19"/>
        </w:rPr>
        <w:t>is</w:t>
      </w:r>
      <w:r>
        <w:rPr>
          <w:rFonts w:ascii="Arial"/>
          <w:spacing w:val="-20"/>
          <w:w w:val="105"/>
          <w:sz w:val="19"/>
        </w:rPr>
        <w:t xml:space="preserve"> </w:t>
      </w:r>
      <w:r>
        <w:rPr>
          <w:rFonts w:ascii="Arial"/>
          <w:w w:val="105"/>
          <w:sz w:val="19"/>
        </w:rPr>
        <w:t>powder</w:t>
      </w:r>
      <w:r>
        <w:rPr>
          <w:rFonts w:ascii="Arial"/>
          <w:spacing w:val="-17"/>
          <w:w w:val="105"/>
          <w:sz w:val="19"/>
        </w:rPr>
        <w:t xml:space="preserve"> </w:t>
      </w:r>
      <w:r>
        <w:rPr>
          <w:rFonts w:ascii="Arial"/>
          <w:w w:val="105"/>
          <w:sz w:val="19"/>
        </w:rPr>
        <w:t>(93%</w:t>
      </w:r>
      <w:r>
        <w:rPr>
          <w:rFonts w:ascii="Arial"/>
          <w:spacing w:val="-19"/>
          <w:w w:val="105"/>
          <w:sz w:val="19"/>
        </w:rPr>
        <w:t xml:space="preserve"> </w:t>
      </w:r>
      <w:r>
        <w:rPr>
          <w:rFonts w:ascii="Arial"/>
          <w:w w:val="105"/>
          <w:sz w:val="19"/>
        </w:rPr>
        <w:t>of</w:t>
      </w:r>
      <w:r>
        <w:rPr>
          <w:rFonts w:ascii="Arial"/>
          <w:spacing w:val="-21"/>
          <w:w w:val="105"/>
          <w:sz w:val="19"/>
        </w:rPr>
        <w:t xml:space="preserve"> </w:t>
      </w:r>
      <w:r>
        <w:rPr>
          <w:rFonts w:ascii="Arial"/>
          <w:w w:val="105"/>
          <w:sz w:val="19"/>
        </w:rPr>
        <w:t>post- workout,</w:t>
      </w:r>
      <w:r>
        <w:rPr>
          <w:rFonts w:ascii="Arial"/>
          <w:spacing w:val="-20"/>
          <w:w w:val="105"/>
          <w:sz w:val="19"/>
        </w:rPr>
        <w:t xml:space="preserve"> </w:t>
      </w:r>
      <w:r>
        <w:rPr>
          <w:rFonts w:ascii="Arial"/>
          <w:w w:val="105"/>
          <w:sz w:val="19"/>
        </w:rPr>
        <w:t>87%</w:t>
      </w:r>
      <w:r>
        <w:rPr>
          <w:rFonts w:ascii="Arial"/>
          <w:spacing w:val="-16"/>
          <w:w w:val="105"/>
          <w:sz w:val="19"/>
        </w:rPr>
        <w:t xml:space="preserve"> </w:t>
      </w:r>
      <w:r>
        <w:rPr>
          <w:rFonts w:ascii="Arial"/>
          <w:w w:val="105"/>
          <w:sz w:val="19"/>
        </w:rPr>
        <w:t>of</w:t>
      </w:r>
      <w:r>
        <w:rPr>
          <w:rFonts w:ascii="Arial"/>
          <w:spacing w:val="-19"/>
          <w:w w:val="105"/>
          <w:sz w:val="19"/>
        </w:rPr>
        <w:t xml:space="preserve"> </w:t>
      </w:r>
      <w:r>
        <w:rPr>
          <w:rFonts w:ascii="Arial"/>
          <w:w w:val="105"/>
          <w:sz w:val="19"/>
        </w:rPr>
        <w:t>pre-workout</w:t>
      </w:r>
      <w:r>
        <w:rPr>
          <w:rFonts w:ascii="Arial"/>
          <w:spacing w:val="-16"/>
          <w:w w:val="105"/>
          <w:sz w:val="19"/>
        </w:rPr>
        <w:t xml:space="preserve"> </w:t>
      </w:r>
      <w:r>
        <w:rPr>
          <w:rFonts w:ascii="Arial"/>
          <w:w w:val="105"/>
          <w:sz w:val="19"/>
        </w:rPr>
        <w:t>and</w:t>
      </w:r>
      <w:r>
        <w:rPr>
          <w:rFonts w:ascii="Arial"/>
          <w:spacing w:val="-17"/>
          <w:w w:val="105"/>
          <w:sz w:val="19"/>
        </w:rPr>
        <w:t xml:space="preserve"> </w:t>
      </w:r>
      <w:r>
        <w:rPr>
          <w:rFonts w:ascii="Arial"/>
          <w:w w:val="105"/>
          <w:sz w:val="19"/>
        </w:rPr>
        <w:t>60%</w:t>
      </w:r>
      <w:r>
        <w:rPr>
          <w:rFonts w:ascii="Arial"/>
          <w:spacing w:val="-16"/>
          <w:w w:val="105"/>
          <w:sz w:val="19"/>
        </w:rPr>
        <w:t xml:space="preserve"> </w:t>
      </w:r>
      <w:r>
        <w:rPr>
          <w:rFonts w:ascii="Arial"/>
          <w:w w:val="105"/>
          <w:sz w:val="19"/>
        </w:rPr>
        <w:t>of</w:t>
      </w:r>
      <w:r>
        <w:rPr>
          <w:rFonts w:ascii="Arial"/>
          <w:spacing w:val="-19"/>
          <w:w w:val="105"/>
          <w:sz w:val="19"/>
        </w:rPr>
        <w:t xml:space="preserve"> </w:t>
      </w:r>
      <w:r>
        <w:rPr>
          <w:rFonts w:ascii="Arial"/>
          <w:w w:val="105"/>
          <w:sz w:val="19"/>
        </w:rPr>
        <w:t>fat</w:t>
      </w:r>
      <w:r>
        <w:rPr>
          <w:rFonts w:ascii="Arial"/>
          <w:spacing w:val="-18"/>
          <w:w w:val="105"/>
          <w:sz w:val="19"/>
        </w:rPr>
        <w:t xml:space="preserve"> </w:t>
      </w:r>
      <w:r>
        <w:rPr>
          <w:rFonts w:ascii="Arial"/>
          <w:w w:val="105"/>
          <w:sz w:val="19"/>
        </w:rPr>
        <w:t>burner</w:t>
      </w:r>
      <w:r>
        <w:rPr>
          <w:rFonts w:ascii="Arial"/>
          <w:spacing w:val="-19"/>
          <w:w w:val="105"/>
          <w:sz w:val="19"/>
        </w:rPr>
        <w:t xml:space="preserve"> </w:t>
      </w:r>
      <w:r>
        <w:rPr>
          <w:rFonts w:ascii="Arial"/>
          <w:w w:val="105"/>
          <w:sz w:val="19"/>
        </w:rPr>
        <w:t>products),</w:t>
      </w:r>
      <w:r>
        <w:rPr>
          <w:rFonts w:ascii="Arial"/>
          <w:spacing w:val="-19"/>
          <w:w w:val="105"/>
          <w:sz w:val="19"/>
        </w:rPr>
        <w:t xml:space="preserve"> </w:t>
      </w:r>
      <w:r>
        <w:rPr>
          <w:rFonts w:ascii="Arial"/>
          <w:w w:val="105"/>
          <w:sz w:val="19"/>
        </w:rPr>
        <w:t>followed</w:t>
      </w:r>
      <w:r>
        <w:rPr>
          <w:rFonts w:ascii="Arial"/>
          <w:spacing w:val="-19"/>
          <w:w w:val="105"/>
          <w:sz w:val="19"/>
        </w:rPr>
        <w:t xml:space="preserve"> </w:t>
      </w:r>
      <w:r>
        <w:rPr>
          <w:rFonts w:ascii="Arial"/>
          <w:w w:val="105"/>
          <w:sz w:val="19"/>
        </w:rPr>
        <w:t>by</w:t>
      </w:r>
      <w:r>
        <w:rPr>
          <w:rFonts w:ascii="Arial"/>
          <w:spacing w:val="-17"/>
          <w:w w:val="105"/>
          <w:sz w:val="19"/>
        </w:rPr>
        <w:t xml:space="preserve"> </w:t>
      </w:r>
      <w:r>
        <w:rPr>
          <w:rFonts w:ascii="Arial"/>
          <w:w w:val="105"/>
          <w:sz w:val="19"/>
        </w:rPr>
        <w:t>capsules/tablets</w:t>
      </w:r>
      <w:r>
        <w:rPr>
          <w:rFonts w:ascii="Arial"/>
          <w:spacing w:val="-17"/>
          <w:w w:val="105"/>
          <w:sz w:val="19"/>
        </w:rPr>
        <w:t xml:space="preserve"> </w:t>
      </w:r>
      <w:r>
        <w:rPr>
          <w:rFonts w:ascii="Arial"/>
          <w:w w:val="105"/>
          <w:sz w:val="19"/>
        </w:rPr>
        <w:t>(34% of fat burners, 3% of pre-workouts and 5% of post workouts). Liquids and other forms of presentation,</w:t>
      </w:r>
      <w:r>
        <w:rPr>
          <w:rFonts w:ascii="Arial"/>
          <w:spacing w:val="-23"/>
          <w:w w:val="105"/>
          <w:sz w:val="19"/>
        </w:rPr>
        <w:t xml:space="preserve"> </w:t>
      </w:r>
      <w:r>
        <w:rPr>
          <w:rFonts w:ascii="Arial"/>
          <w:w w:val="105"/>
          <w:sz w:val="19"/>
        </w:rPr>
        <w:t>including</w:t>
      </w:r>
      <w:r>
        <w:rPr>
          <w:rFonts w:ascii="Arial"/>
          <w:spacing w:val="-22"/>
          <w:w w:val="105"/>
          <w:sz w:val="19"/>
        </w:rPr>
        <w:t xml:space="preserve"> </w:t>
      </w:r>
      <w:r>
        <w:rPr>
          <w:rFonts w:ascii="Arial"/>
          <w:w w:val="105"/>
          <w:sz w:val="19"/>
        </w:rPr>
        <w:t>novel</w:t>
      </w:r>
      <w:r>
        <w:rPr>
          <w:rFonts w:ascii="Arial"/>
          <w:spacing w:val="-22"/>
          <w:w w:val="105"/>
          <w:sz w:val="19"/>
        </w:rPr>
        <w:t xml:space="preserve"> </w:t>
      </w:r>
      <w:r>
        <w:rPr>
          <w:rFonts w:ascii="Arial"/>
          <w:w w:val="105"/>
          <w:sz w:val="19"/>
        </w:rPr>
        <w:t>foods,</w:t>
      </w:r>
      <w:r>
        <w:rPr>
          <w:rFonts w:ascii="Arial"/>
          <w:spacing w:val="-20"/>
          <w:w w:val="105"/>
          <w:sz w:val="19"/>
        </w:rPr>
        <w:t xml:space="preserve"> </w:t>
      </w:r>
      <w:r>
        <w:rPr>
          <w:rFonts w:ascii="Arial"/>
          <w:w w:val="105"/>
          <w:sz w:val="19"/>
        </w:rPr>
        <w:t>make</w:t>
      </w:r>
      <w:r>
        <w:rPr>
          <w:rFonts w:ascii="Arial"/>
          <w:spacing w:val="-20"/>
          <w:w w:val="105"/>
          <w:sz w:val="19"/>
        </w:rPr>
        <w:t xml:space="preserve"> </w:t>
      </w:r>
      <w:r>
        <w:rPr>
          <w:rFonts w:ascii="Arial"/>
          <w:w w:val="105"/>
          <w:sz w:val="19"/>
        </w:rPr>
        <w:t>up</w:t>
      </w:r>
      <w:r>
        <w:rPr>
          <w:rFonts w:ascii="Arial"/>
          <w:spacing w:val="-20"/>
          <w:w w:val="105"/>
          <w:sz w:val="19"/>
        </w:rPr>
        <w:t xml:space="preserve"> </w:t>
      </w:r>
      <w:r>
        <w:rPr>
          <w:rFonts w:ascii="Arial"/>
          <w:w w:val="105"/>
          <w:sz w:val="19"/>
        </w:rPr>
        <w:t>10%</w:t>
      </w:r>
      <w:r>
        <w:rPr>
          <w:rFonts w:ascii="Arial"/>
          <w:spacing w:val="-20"/>
          <w:w w:val="105"/>
          <w:sz w:val="19"/>
        </w:rPr>
        <w:t xml:space="preserve"> </w:t>
      </w:r>
      <w:r>
        <w:rPr>
          <w:rFonts w:ascii="Arial"/>
          <w:w w:val="105"/>
          <w:sz w:val="19"/>
        </w:rPr>
        <w:t>of</w:t>
      </w:r>
      <w:r>
        <w:rPr>
          <w:rFonts w:ascii="Arial"/>
          <w:spacing w:val="-23"/>
          <w:w w:val="105"/>
          <w:sz w:val="19"/>
        </w:rPr>
        <w:t xml:space="preserve"> </w:t>
      </w:r>
      <w:r>
        <w:rPr>
          <w:rFonts w:ascii="Arial"/>
          <w:w w:val="105"/>
          <w:sz w:val="19"/>
        </w:rPr>
        <w:t>pre-workouts,</w:t>
      </w:r>
      <w:r>
        <w:rPr>
          <w:rFonts w:ascii="Arial"/>
          <w:spacing w:val="-20"/>
          <w:w w:val="105"/>
          <w:sz w:val="19"/>
        </w:rPr>
        <w:t xml:space="preserve"> </w:t>
      </w:r>
      <w:r>
        <w:rPr>
          <w:rFonts w:ascii="Arial"/>
          <w:w w:val="105"/>
          <w:sz w:val="19"/>
        </w:rPr>
        <w:t>7%</w:t>
      </w:r>
      <w:r>
        <w:rPr>
          <w:rFonts w:ascii="Arial"/>
          <w:spacing w:val="-22"/>
          <w:w w:val="105"/>
          <w:sz w:val="19"/>
        </w:rPr>
        <w:t xml:space="preserve"> </w:t>
      </w:r>
      <w:r>
        <w:rPr>
          <w:rFonts w:ascii="Arial"/>
          <w:w w:val="105"/>
          <w:sz w:val="19"/>
        </w:rPr>
        <w:t>of</w:t>
      </w:r>
      <w:r>
        <w:rPr>
          <w:rFonts w:ascii="Arial"/>
          <w:spacing w:val="-22"/>
          <w:w w:val="105"/>
          <w:sz w:val="19"/>
        </w:rPr>
        <w:t xml:space="preserve"> </w:t>
      </w:r>
      <w:r>
        <w:rPr>
          <w:rFonts w:ascii="Arial"/>
          <w:w w:val="105"/>
          <w:sz w:val="19"/>
        </w:rPr>
        <w:t>fat</w:t>
      </w:r>
      <w:r>
        <w:rPr>
          <w:rFonts w:ascii="Arial"/>
          <w:spacing w:val="-20"/>
          <w:w w:val="105"/>
          <w:sz w:val="19"/>
        </w:rPr>
        <w:t xml:space="preserve"> </w:t>
      </w:r>
      <w:r>
        <w:rPr>
          <w:rFonts w:ascii="Arial"/>
          <w:w w:val="105"/>
          <w:sz w:val="19"/>
        </w:rPr>
        <w:t>burners</w:t>
      </w:r>
      <w:r>
        <w:rPr>
          <w:rFonts w:ascii="Arial"/>
          <w:spacing w:val="-24"/>
          <w:w w:val="105"/>
          <w:sz w:val="19"/>
        </w:rPr>
        <w:t xml:space="preserve"> </w:t>
      </w:r>
      <w:r>
        <w:rPr>
          <w:rFonts w:ascii="Arial"/>
          <w:w w:val="105"/>
          <w:sz w:val="19"/>
        </w:rPr>
        <w:t>and</w:t>
      </w:r>
      <w:r>
        <w:rPr>
          <w:rFonts w:ascii="Arial"/>
          <w:spacing w:val="-21"/>
          <w:w w:val="105"/>
          <w:sz w:val="19"/>
        </w:rPr>
        <w:t xml:space="preserve"> </w:t>
      </w:r>
      <w:r>
        <w:rPr>
          <w:rFonts w:ascii="Arial"/>
          <w:w w:val="105"/>
          <w:sz w:val="19"/>
        </w:rPr>
        <w:t>2%</w:t>
      </w:r>
      <w:r>
        <w:rPr>
          <w:rFonts w:ascii="Arial"/>
          <w:spacing w:val="-21"/>
          <w:w w:val="105"/>
          <w:sz w:val="19"/>
        </w:rPr>
        <w:t xml:space="preserve"> </w:t>
      </w:r>
      <w:r>
        <w:rPr>
          <w:rFonts w:ascii="Arial"/>
          <w:w w:val="105"/>
          <w:sz w:val="19"/>
        </w:rPr>
        <w:t xml:space="preserve">of post-workouts). This represents 7% of the total product population. </w:t>
      </w:r>
      <w:r>
        <w:rPr>
          <w:rFonts w:ascii="Calibri"/>
          <w:w w:val="105"/>
        </w:rPr>
        <w:t>As presentation of liquid, cream</w:t>
      </w:r>
      <w:r>
        <w:rPr>
          <w:rFonts w:ascii="Calibri"/>
          <w:spacing w:val="-25"/>
          <w:w w:val="105"/>
        </w:rPr>
        <w:t xml:space="preserve"> </w:t>
      </w:r>
      <w:r>
        <w:rPr>
          <w:rFonts w:ascii="Calibri"/>
          <w:w w:val="105"/>
        </w:rPr>
        <w:t>and</w:t>
      </w:r>
      <w:r>
        <w:rPr>
          <w:rFonts w:ascii="Calibri"/>
          <w:spacing w:val="-25"/>
          <w:w w:val="105"/>
        </w:rPr>
        <w:t xml:space="preserve"> </w:t>
      </w:r>
      <w:r>
        <w:rPr>
          <w:rFonts w:ascii="Calibri"/>
          <w:w w:val="105"/>
        </w:rPr>
        <w:t>novel</w:t>
      </w:r>
      <w:r>
        <w:rPr>
          <w:rFonts w:ascii="Calibri"/>
          <w:spacing w:val="-26"/>
          <w:w w:val="105"/>
        </w:rPr>
        <w:t xml:space="preserve"> </w:t>
      </w:r>
      <w:r>
        <w:rPr>
          <w:rFonts w:ascii="Calibri"/>
          <w:w w:val="105"/>
        </w:rPr>
        <w:t>foods</w:t>
      </w:r>
      <w:r>
        <w:rPr>
          <w:rFonts w:ascii="Calibri"/>
          <w:spacing w:val="-25"/>
          <w:w w:val="105"/>
        </w:rPr>
        <w:t xml:space="preserve"> </w:t>
      </w:r>
      <w:r>
        <w:rPr>
          <w:rFonts w:ascii="Calibri"/>
          <w:w w:val="105"/>
        </w:rPr>
        <w:t>are</w:t>
      </w:r>
      <w:r>
        <w:rPr>
          <w:rFonts w:ascii="Calibri"/>
          <w:spacing w:val="-26"/>
          <w:w w:val="105"/>
        </w:rPr>
        <w:t xml:space="preserve"> </w:t>
      </w:r>
      <w:r>
        <w:rPr>
          <w:rFonts w:ascii="Calibri"/>
          <w:w w:val="105"/>
        </w:rPr>
        <w:t>not</w:t>
      </w:r>
      <w:r>
        <w:rPr>
          <w:rFonts w:ascii="Calibri"/>
          <w:spacing w:val="-24"/>
          <w:w w:val="105"/>
        </w:rPr>
        <w:t xml:space="preserve"> </w:t>
      </w:r>
      <w:r>
        <w:rPr>
          <w:rFonts w:ascii="Calibri"/>
          <w:w w:val="105"/>
        </w:rPr>
        <w:t>indicative</w:t>
      </w:r>
      <w:r>
        <w:rPr>
          <w:rFonts w:ascii="Calibri"/>
          <w:spacing w:val="-26"/>
          <w:w w:val="105"/>
        </w:rPr>
        <w:t xml:space="preserve"> </w:t>
      </w:r>
      <w:r>
        <w:rPr>
          <w:rFonts w:ascii="Calibri"/>
          <w:w w:val="105"/>
        </w:rPr>
        <w:t>of</w:t>
      </w:r>
      <w:r>
        <w:rPr>
          <w:rFonts w:ascii="Calibri"/>
          <w:spacing w:val="-26"/>
          <w:w w:val="105"/>
        </w:rPr>
        <w:t xml:space="preserve"> </w:t>
      </w:r>
      <w:r>
        <w:rPr>
          <w:rFonts w:ascii="Calibri"/>
          <w:w w:val="105"/>
        </w:rPr>
        <w:t>a</w:t>
      </w:r>
      <w:r>
        <w:rPr>
          <w:rFonts w:ascii="Calibri"/>
          <w:spacing w:val="-24"/>
          <w:w w:val="105"/>
        </w:rPr>
        <w:t xml:space="preserve"> </w:t>
      </w:r>
      <w:r>
        <w:rPr>
          <w:rFonts w:ascii="Calibri"/>
          <w:w w:val="105"/>
        </w:rPr>
        <w:t>therapeutic</w:t>
      </w:r>
      <w:r>
        <w:rPr>
          <w:rFonts w:ascii="Calibri"/>
          <w:spacing w:val="-25"/>
          <w:w w:val="105"/>
        </w:rPr>
        <w:t xml:space="preserve"> </w:t>
      </w:r>
      <w:r>
        <w:rPr>
          <w:rFonts w:ascii="Calibri"/>
          <w:w w:val="105"/>
        </w:rPr>
        <w:t>good,</w:t>
      </w:r>
      <w:r>
        <w:rPr>
          <w:rFonts w:ascii="Calibri"/>
          <w:spacing w:val="-25"/>
          <w:w w:val="105"/>
        </w:rPr>
        <w:t xml:space="preserve"> </w:t>
      </w:r>
      <w:r>
        <w:rPr>
          <w:rFonts w:ascii="Calibri"/>
          <w:w w:val="105"/>
        </w:rPr>
        <w:t>and</w:t>
      </w:r>
      <w:r>
        <w:rPr>
          <w:rFonts w:ascii="Calibri"/>
          <w:spacing w:val="-25"/>
          <w:w w:val="105"/>
        </w:rPr>
        <w:t xml:space="preserve"> </w:t>
      </w:r>
      <w:r>
        <w:rPr>
          <w:rFonts w:ascii="Calibri"/>
          <w:w w:val="105"/>
        </w:rPr>
        <w:t>stakeholders</w:t>
      </w:r>
      <w:r>
        <w:rPr>
          <w:rFonts w:ascii="Calibri"/>
          <w:spacing w:val="-24"/>
          <w:w w:val="105"/>
        </w:rPr>
        <w:t xml:space="preserve"> </w:t>
      </w:r>
      <w:r>
        <w:rPr>
          <w:rFonts w:ascii="Calibri"/>
          <w:w w:val="105"/>
        </w:rPr>
        <w:t>consulted did not identify an alternative pathway for these products (compared to powders), this population</w:t>
      </w:r>
      <w:r>
        <w:rPr>
          <w:rFonts w:ascii="Calibri"/>
          <w:spacing w:val="-22"/>
          <w:w w:val="105"/>
        </w:rPr>
        <w:t xml:space="preserve"> </w:t>
      </w:r>
      <w:r>
        <w:rPr>
          <w:rFonts w:ascii="Calibri"/>
          <w:w w:val="105"/>
        </w:rPr>
        <w:t>has</w:t>
      </w:r>
      <w:r>
        <w:rPr>
          <w:rFonts w:ascii="Calibri"/>
          <w:spacing w:val="-23"/>
          <w:w w:val="105"/>
        </w:rPr>
        <w:t xml:space="preserve"> </w:t>
      </w:r>
      <w:r>
        <w:rPr>
          <w:rFonts w:ascii="Calibri"/>
          <w:w w:val="105"/>
        </w:rPr>
        <w:t>been</w:t>
      </w:r>
      <w:r>
        <w:rPr>
          <w:rFonts w:ascii="Calibri"/>
          <w:spacing w:val="-23"/>
          <w:w w:val="105"/>
        </w:rPr>
        <w:t xml:space="preserve"> </w:t>
      </w:r>
      <w:r>
        <w:rPr>
          <w:rFonts w:ascii="Calibri"/>
          <w:w w:val="105"/>
        </w:rPr>
        <w:t>combined</w:t>
      </w:r>
      <w:r>
        <w:rPr>
          <w:rFonts w:ascii="Calibri"/>
          <w:spacing w:val="-21"/>
          <w:w w:val="105"/>
        </w:rPr>
        <w:t xml:space="preserve"> </w:t>
      </w:r>
      <w:r>
        <w:rPr>
          <w:rFonts w:ascii="Calibri"/>
          <w:w w:val="105"/>
        </w:rPr>
        <w:t>with</w:t>
      </w:r>
      <w:r>
        <w:rPr>
          <w:rFonts w:ascii="Calibri"/>
          <w:spacing w:val="-22"/>
          <w:w w:val="105"/>
        </w:rPr>
        <w:t xml:space="preserve"> </w:t>
      </w:r>
      <w:r>
        <w:rPr>
          <w:rFonts w:ascii="Calibri"/>
          <w:w w:val="105"/>
        </w:rPr>
        <w:t>the</w:t>
      </w:r>
      <w:r>
        <w:rPr>
          <w:rFonts w:ascii="Calibri"/>
          <w:spacing w:val="-21"/>
          <w:w w:val="105"/>
        </w:rPr>
        <w:t xml:space="preserve"> </w:t>
      </w:r>
      <w:r>
        <w:rPr>
          <w:rFonts w:ascii="Calibri"/>
          <w:w w:val="105"/>
        </w:rPr>
        <w:t>powder</w:t>
      </w:r>
      <w:r>
        <w:rPr>
          <w:rFonts w:ascii="Calibri"/>
          <w:spacing w:val="-21"/>
          <w:w w:val="105"/>
        </w:rPr>
        <w:t xml:space="preserve"> </w:t>
      </w:r>
      <w:r>
        <w:rPr>
          <w:rFonts w:ascii="Calibri"/>
          <w:w w:val="105"/>
        </w:rPr>
        <w:t>population</w:t>
      </w:r>
      <w:r>
        <w:rPr>
          <w:rFonts w:ascii="Calibri"/>
          <w:spacing w:val="-22"/>
          <w:w w:val="105"/>
        </w:rPr>
        <w:t xml:space="preserve"> </w:t>
      </w:r>
      <w:r>
        <w:rPr>
          <w:rFonts w:ascii="Calibri"/>
          <w:w w:val="105"/>
        </w:rPr>
        <w:t>(powder</w:t>
      </w:r>
      <w:r>
        <w:rPr>
          <w:rFonts w:ascii="Calibri"/>
          <w:spacing w:val="-21"/>
          <w:w w:val="105"/>
        </w:rPr>
        <w:t xml:space="preserve"> </w:t>
      </w:r>
      <w:r>
        <w:rPr>
          <w:rFonts w:ascii="Calibri"/>
          <w:w w:val="105"/>
        </w:rPr>
        <w:t>+</w:t>
      </w:r>
      <w:r>
        <w:rPr>
          <w:rFonts w:ascii="Calibri"/>
          <w:spacing w:val="-21"/>
          <w:w w:val="105"/>
        </w:rPr>
        <w:t xml:space="preserve"> </w:t>
      </w:r>
      <w:r>
        <w:rPr>
          <w:rFonts w:ascii="Calibri"/>
          <w:w w:val="105"/>
        </w:rPr>
        <w:t>liquid</w:t>
      </w:r>
      <w:r>
        <w:rPr>
          <w:rFonts w:ascii="Calibri"/>
          <w:spacing w:val="-22"/>
          <w:w w:val="105"/>
        </w:rPr>
        <w:t xml:space="preserve"> </w:t>
      </w:r>
      <w:r>
        <w:rPr>
          <w:rFonts w:ascii="Calibri"/>
          <w:w w:val="105"/>
        </w:rPr>
        <w:t>+</w:t>
      </w:r>
      <w:r>
        <w:rPr>
          <w:rFonts w:ascii="Calibri"/>
          <w:spacing w:val="-22"/>
          <w:w w:val="105"/>
        </w:rPr>
        <w:t xml:space="preserve"> </w:t>
      </w:r>
      <w:r>
        <w:rPr>
          <w:rFonts w:ascii="Calibri"/>
          <w:w w:val="105"/>
        </w:rPr>
        <w:t>novel</w:t>
      </w:r>
      <w:r>
        <w:rPr>
          <w:rFonts w:ascii="Calibri"/>
          <w:spacing w:val="-23"/>
          <w:w w:val="105"/>
        </w:rPr>
        <w:t xml:space="preserve"> </w:t>
      </w:r>
      <w:r>
        <w:rPr>
          <w:rFonts w:ascii="Calibri"/>
          <w:w w:val="105"/>
        </w:rPr>
        <w:t>=</w:t>
      </w:r>
      <w:r>
        <w:rPr>
          <w:rFonts w:ascii="Calibri"/>
          <w:spacing w:val="-21"/>
          <w:w w:val="105"/>
        </w:rPr>
        <w:t xml:space="preserve"> </w:t>
      </w:r>
      <w:r>
        <w:rPr>
          <w:rFonts w:ascii="Calibri"/>
          <w:w w:val="105"/>
        </w:rPr>
        <w:t>525 products, 83% of total</w:t>
      </w:r>
      <w:r>
        <w:rPr>
          <w:rFonts w:ascii="Calibri"/>
          <w:spacing w:val="-22"/>
          <w:w w:val="105"/>
        </w:rPr>
        <w:t xml:space="preserve"> </w:t>
      </w:r>
      <w:r>
        <w:rPr>
          <w:rFonts w:ascii="Calibri"/>
          <w:w w:val="105"/>
        </w:rPr>
        <w:t>products).</w:t>
      </w:r>
    </w:p>
    <w:p w:rsidR="007D76BB" w:rsidRDefault="007D76BB">
      <w:pPr>
        <w:pStyle w:val="BodyText"/>
        <w:spacing w:before="9"/>
        <w:rPr>
          <w:rFonts w:ascii="Calibri"/>
          <w:sz w:val="19"/>
        </w:rPr>
      </w:pPr>
    </w:p>
    <w:p w:rsidR="007D76BB" w:rsidRDefault="00D70D28">
      <w:pPr>
        <w:ind w:left="482"/>
        <w:rPr>
          <w:rFonts w:ascii="Arial"/>
          <w:sz w:val="19"/>
        </w:rPr>
      </w:pPr>
      <w:r>
        <w:rPr>
          <w:rFonts w:ascii="Arial"/>
          <w:color w:val="005386"/>
          <w:w w:val="105"/>
          <w:sz w:val="19"/>
        </w:rPr>
        <w:t>Table 3. Aggregated product populations</w:t>
      </w:r>
    </w:p>
    <w:p w:rsidR="007D76BB" w:rsidRDefault="007D76BB">
      <w:pPr>
        <w:pStyle w:val="BodyText"/>
        <w:spacing w:before="4"/>
        <w:rPr>
          <w:rFonts w:ascii="Arial"/>
          <w:sz w:val="16"/>
        </w:rPr>
      </w:pPr>
    </w:p>
    <w:tbl>
      <w:tblPr>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4"/>
        <w:gridCol w:w="1424"/>
        <w:gridCol w:w="1529"/>
        <w:gridCol w:w="1661"/>
      </w:tblGrid>
      <w:tr w:rsidR="007D76BB">
        <w:trPr>
          <w:trHeight w:val="482"/>
        </w:trPr>
        <w:tc>
          <w:tcPr>
            <w:tcW w:w="1594" w:type="dxa"/>
            <w:tcBorders>
              <w:top w:val="nil"/>
              <w:left w:val="nil"/>
            </w:tcBorders>
          </w:tcPr>
          <w:p w:rsidR="007D76BB" w:rsidRDefault="007D76BB">
            <w:pPr>
              <w:pStyle w:val="TableParagraph"/>
              <w:rPr>
                <w:rFonts w:ascii="Times New Roman"/>
                <w:sz w:val="18"/>
              </w:rPr>
            </w:pPr>
          </w:p>
        </w:tc>
        <w:tc>
          <w:tcPr>
            <w:tcW w:w="1424" w:type="dxa"/>
            <w:shd w:val="clear" w:color="auto" w:fill="005386"/>
          </w:tcPr>
          <w:p w:rsidR="007D76BB" w:rsidRDefault="00D70D28">
            <w:pPr>
              <w:pStyle w:val="TableParagraph"/>
              <w:spacing w:line="240" w:lineRule="exact"/>
              <w:ind w:left="102"/>
              <w:rPr>
                <w:rFonts w:ascii="Arial"/>
                <w:sz w:val="19"/>
              </w:rPr>
            </w:pPr>
            <w:r>
              <w:rPr>
                <w:rFonts w:ascii="Arial"/>
                <w:color w:val="FFFFFF"/>
                <w:w w:val="105"/>
                <w:sz w:val="19"/>
              </w:rPr>
              <w:t>Fat Burner Products</w:t>
            </w:r>
          </w:p>
        </w:tc>
        <w:tc>
          <w:tcPr>
            <w:tcW w:w="1529" w:type="dxa"/>
            <w:shd w:val="clear" w:color="auto" w:fill="005386"/>
          </w:tcPr>
          <w:p w:rsidR="007D76BB" w:rsidRDefault="00D70D28">
            <w:pPr>
              <w:pStyle w:val="TableParagraph"/>
              <w:spacing w:line="240" w:lineRule="exact"/>
              <w:ind w:left="99"/>
              <w:rPr>
                <w:rFonts w:ascii="Arial"/>
                <w:sz w:val="19"/>
              </w:rPr>
            </w:pPr>
            <w:r>
              <w:rPr>
                <w:rFonts w:ascii="Arial"/>
                <w:color w:val="FFFFFF"/>
                <w:w w:val="105"/>
                <w:sz w:val="19"/>
              </w:rPr>
              <w:t>Post-Workout Products</w:t>
            </w:r>
          </w:p>
        </w:tc>
        <w:tc>
          <w:tcPr>
            <w:tcW w:w="1661" w:type="dxa"/>
            <w:shd w:val="clear" w:color="auto" w:fill="005386"/>
          </w:tcPr>
          <w:p w:rsidR="007D76BB" w:rsidRDefault="00D70D28">
            <w:pPr>
              <w:pStyle w:val="TableParagraph"/>
              <w:spacing w:line="240" w:lineRule="exact"/>
              <w:ind w:left="100"/>
              <w:rPr>
                <w:rFonts w:ascii="Arial"/>
                <w:sz w:val="19"/>
              </w:rPr>
            </w:pPr>
            <w:r>
              <w:rPr>
                <w:rFonts w:ascii="Arial"/>
                <w:color w:val="FFFFFF"/>
                <w:w w:val="105"/>
                <w:sz w:val="19"/>
              </w:rPr>
              <w:t>Pre-Workout Products</w:t>
            </w:r>
          </w:p>
        </w:tc>
      </w:tr>
      <w:tr w:rsidR="007D76BB">
        <w:trPr>
          <w:trHeight w:val="239"/>
        </w:trPr>
        <w:tc>
          <w:tcPr>
            <w:tcW w:w="1594" w:type="dxa"/>
            <w:tcBorders>
              <w:left w:val="nil"/>
            </w:tcBorders>
            <w:shd w:val="clear" w:color="auto" w:fill="D9D9D9"/>
          </w:tcPr>
          <w:p w:rsidR="007D76BB" w:rsidRDefault="00D70D28">
            <w:pPr>
              <w:pStyle w:val="TableParagraph"/>
              <w:spacing w:before="13" w:line="206" w:lineRule="exact"/>
              <w:ind w:left="107"/>
              <w:rPr>
                <w:rFonts w:ascii="Arial"/>
                <w:sz w:val="11"/>
              </w:rPr>
            </w:pPr>
            <w:r>
              <w:rPr>
                <w:rFonts w:ascii="Arial"/>
                <w:w w:val="105"/>
                <w:sz w:val="19"/>
              </w:rPr>
              <w:t>Powders +</w:t>
            </w:r>
            <w:r>
              <w:rPr>
                <w:rFonts w:ascii="Arial"/>
                <w:w w:val="105"/>
                <w:position w:val="7"/>
                <w:sz w:val="11"/>
              </w:rPr>
              <w:t>33</w:t>
            </w:r>
          </w:p>
        </w:tc>
        <w:tc>
          <w:tcPr>
            <w:tcW w:w="1424" w:type="dxa"/>
          </w:tcPr>
          <w:p w:rsidR="007D76BB" w:rsidRDefault="00D70D28">
            <w:pPr>
              <w:pStyle w:val="TableParagraph"/>
              <w:spacing w:before="13" w:line="206" w:lineRule="exact"/>
              <w:ind w:right="100"/>
              <w:jc w:val="right"/>
              <w:rPr>
                <w:rFonts w:ascii="Arial"/>
                <w:sz w:val="19"/>
              </w:rPr>
            </w:pPr>
            <w:r>
              <w:rPr>
                <w:rFonts w:ascii="Arial"/>
                <w:w w:val="95"/>
                <w:sz w:val="19"/>
              </w:rPr>
              <w:t>180</w:t>
            </w:r>
          </w:p>
        </w:tc>
        <w:tc>
          <w:tcPr>
            <w:tcW w:w="1529" w:type="dxa"/>
          </w:tcPr>
          <w:p w:rsidR="007D76BB" w:rsidRDefault="00D70D28">
            <w:pPr>
              <w:pStyle w:val="TableParagraph"/>
              <w:spacing w:before="13" w:line="206" w:lineRule="exact"/>
              <w:ind w:right="103"/>
              <w:jc w:val="right"/>
              <w:rPr>
                <w:rFonts w:ascii="Arial"/>
                <w:sz w:val="19"/>
              </w:rPr>
            </w:pPr>
            <w:r>
              <w:rPr>
                <w:rFonts w:ascii="Arial"/>
                <w:w w:val="95"/>
                <w:sz w:val="19"/>
              </w:rPr>
              <w:t>128</w:t>
            </w:r>
          </w:p>
        </w:tc>
        <w:tc>
          <w:tcPr>
            <w:tcW w:w="1661" w:type="dxa"/>
          </w:tcPr>
          <w:p w:rsidR="007D76BB" w:rsidRDefault="00D70D28">
            <w:pPr>
              <w:pStyle w:val="TableParagraph"/>
              <w:spacing w:before="13" w:line="206" w:lineRule="exact"/>
              <w:ind w:right="101"/>
              <w:jc w:val="right"/>
              <w:rPr>
                <w:rFonts w:ascii="Arial"/>
                <w:sz w:val="19"/>
              </w:rPr>
            </w:pPr>
            <w:r>
              <w:rPr>
                <w:rFonts w:ascii="Arial"/>
                <w:w w:val="90"/>
                <w:sz w:val="19"/>
              </w:rPr>
              <w:t>217</w:t>
            </w:r>
          </w:p>
        </w:tc>
      </w:tr>
      <w:tr w:rsidR="007D76BB">
        <w:trPr>
          <w:trHeight w:val="242"/>
        </w:trPr>
        <w:tc>
          <w:tcPr>
            <w:tcW w:w="1594" w:type="dxa"/>
            <w:tcBorders>
              <w:left w:val="nil"/>
            </w:tcBorders>
            <w:shd w:val="clear" w:color="auto" w:fill="D9D9D9"/>
          </w:tcPr>
          <w:p w:rsidR="007D76BB" w:rsidRDefault="00D70D28">
            <w:pPr>
              <w:pStyle w:val="TableParagraph"/>
              <w:spacing w:before="13" w:line="208" w:lineRule="exact"/>
              <w:ind w:left="107"/>
              <w:rPr>
                <w:rFonts w:ascii="Arial"/>
                <w:sz w:val="19"/>
              </w:rPr>
            </w:pPr>
            <w:r>
              <w:rPr>
                <w:rFonts w:ascii="Arial"/>
                <w:w w:val="110"/>
                <w:sz w:val="19"/>
              </w:rPr>
              <w:t>Capsule/tablet</w:t>
            </w:r>
          </w:p>
        </w:tc>
        <w:tc>
          <w:tcPr>
            <w:tcW w:w="1424" w:type="dxa"/>
          </w:tcPr>
          <w:p w:rsidR="007D76BB" w:rsidRDefault="00D70D28">
            <w:pPr>
              <w:pStyle w:val="TableParagraph"/>
              <w:spacing w:before="13" w:line="208" w:lineRule="exact"/>
              <w:ind w:right="103"/>
              <w:jc w:val="right"/>
              <w:rPr>
                <w:rFonts w:ascii="Arial"/>
                <w:sz w:val="19"/>
              </w:rPr>
            </w:pPr>
            <w:r>
              <w:rPr>
                <w:rFonts w:ascii="Arial"/>
                <w:w w:val="85"/>
                <w:sz w:val="19"/>
              </w:rPr>
              <w:t>91</w:t>
            </w:r>
          </w:p>
        </w:tc>
        <w:tc>
          <w:tcPr>
            <w:tcW w:w="1529" w:type="dxa"/>
          </w:tcPr>
          <w:p w:rsidR="007D76BB" w:rsidRDefault="00D70D28">
            <w:pPr>
              <w:pStyle w:val="TableParagraph"/>
              <w:spacing w:before="13" w:line="208" w:lineRule="exact"/>
              <w:ind w:right="103"/>
              <w:jc w:val="right"/>
              <w:rPr>
                <w:rFonts w:ascii="Arial"/>
                <w:sz w:val="19"/>
              </w:rPr>
            </w:pPr>
            <w:r>
              <w:rPr>
                <w:rFonts w:ascii="Arial"/>
                <w:w w:val="93"/>
                <w:sz w:val="19"/>
              </w:rPr>
              <w:t>7</w:t>
            </w:r>
          </w:p>
        </w:tc>
        <w:tc>
          <w:tcPr>
            <w:tcW w:w="1661" w:type="dxa"/>
          </w:tcPr>
          <w:p w:rsidR="007D76BB" w:rsidRDefault="00D70D28">
            <w:pPr>
              <w:pStyle w:val="TableParagraph"/>
              <w:spacing w:before="13" w:line="208" w:lineRule="exact"/>
              <w:ind w:right="101"/>
              <w:jc w:val="right"/>
              <w:rPr>
                <w:rFonts w:ascii="Arial"/>
                <w:sz w:val="19"/>
              </w:rPr>
            </w:pPr>
            <w:r>
              <w:rPr>
                <w:rFonts w:ascii="Arial"/>
                <w:w w:val="93"/>
                <w:sz w:val="19"/>
              </w:rPr>
              <w:t>7</w:t>
            </w:r>
          </w:p>
        </w:tc>
      </w:tr>
    </w:tbl>
    <w:p w:rsidR="007D76BB" w:rsidRDefault="007D76BB">
      <w:pPr>
        <w:pStyle w:val="BodyText"/>
        <w:rPr>
          <w:rFonts w:ascii="Arial"/>
          <w:sz w:val="24"/>
        </w:rPr>
      </w:pPr>
    </w:p>
    <w:p w:rsidR="007D76BB" w:rsidRDefault="00D70D28">
      <w:pPr>
        <w:spacing w:before="139" w:line="264" w:lineRule="auto"/>
        <w:ind w:left="482" w:right="844"/>
        <w:rPr>
          <w:rFonts w:ascii="Arial"/>
          <w:sz w:val="12"/>
        </w:rPr>
      </w:pPr>
      <w:r>
        <w:rPr>
          <w:rFonts w:ascii="Arial"/>
          <w:w w:val="105"/>
          <w:sz w:val="20"/>
        </w:rPr>
        <w:t>Follow-up</w:t>
      </w:r>
      <w:r>
        <w:rPr>
          <w:rFonts w:ascii="Arial"/>
          <w:spacing w:val="-24"/>
          <w:w w:val="105"/>
          <w:sz w:val="20"/>
        </w:rPr>
        <w:t xml:space="preserve"> </w:t>
      </w:r>
      <w:r>
        <w:rPr>
          <w:rFonts w:ascii="Arial"/>
          <w:w w:val="105"/>
          <w:sz w:val="20"/>
        </w:rPr>
        <w:t>conversations</w:t>
      </w:r>
      <w:r>
        <w:rPr>
          <w:rFonts w:ascii="Arial"/>
          <w:spacing w:val="-23"/>
          <w:w w:val="105"/>
          <w:sz w:val="20"/>
        </w:rPr>
        <w:t xml:space="preserve"> </w:t>
      </w:r>
      <w:r>
        <w:rPr>
          <w:rFonts w:ascii="Arial"/>
          <w:w w:val="105"/>
          <w:sz w:val="20"/>
        </w:rPr>
        <w:t>were</w:t>
      </w:r>
      <w:r>
        <w:rPr>
          <w:rFonts w:ascii="Arial"/>
          <w:spacing w:val="-23"/>
          <w:w w:val="105"/>
          <w:sz w:val="20"/>
        </w:rPr>
        <w:t xml:space="preserve"> </w:t>
      </w:r>
      <w:r>
        <w:rPr>
          <w:rFonts w:ascii="Arial"/>
          <w:w w:val="105"/>
          <w:sz w:val="20"/>
        </w:rPr>
        <w:t>undertaken</w:t>
      </w:r>
      <w:r>
        <w:rPr>
          <w:rFonts w:ascii="Arial"/>
          <w:spacing w:val="-23"/>
          <w:w w:val="105"/>
          <w:sz w:val="20"/>
        </w:rPr>
        <w:t xml:space="preserve"> </w:t>
      </w:r>
      <w:r>
        <w:rPr>
          <w:rFonts w:ascii="Arial"/>
          <w:w w:val="105"/>
          <w:sz w:val="20"/>
        </w:rPr>
        <w:t>with</w:t>
      </w:r>
      <w:r>
        <w:rPr>
          <w:rFonts w:ascii="Arial"/>
          <w:spacing w:val="-23"/>
          <w:w w:val="105"/>
          <w:sz w:val="20"/>
        </w:rPr>
        <w:t xml:space="preserve"> </w:t>
      </w:r>
      <w:r>
        <w:rPr>
          <w:rFonts w:ascii="Arial"/>
          <w:w w:val="105"/>
          <w:sz w:val="20"/>
        </w:rPr>
        <w:t>major</w:t>
      </w:r>
      <w:r>
        <w:rPr>
          <w:rFonts w:ascii="Arial"/>
          <w:spacing w:val="-22"/>
          <w:w w:val="105"/>
          <w:sz w:val="20"/>
        </w:rPr>
        <w:t xml:space="preserve"> </w:t>
      </w:r>
      <w:r>
        <w:rPr>
          <w:rFonts w:ascii="Arial"/>
          <w:w w:val="105"/>
          <w:sz w:val="20"/>
        </w:rPr>
        <w:t>retailers</w:t>
      </w:r>
      <w:r>
        <w:rPr>
          <w:rFonts w:ascii="Arial"/>
          <w:spacing w:val="-23"/>
          <w:w w:val="105"/>
          <w:sz w:val="20"/>
        </w:rPr>
        <w:t xml:space="preserve"> </w:t>
      </w:r>
      <w:r>
        <w:rPr>
          <w:rFonts w:ascii="Arial"/>
          <w:w w:val="105"/>
          <w:sz w:val="20"/>
        </w:rPr>
        <w:t>to</w:t>
      </w:r>
      <w:r>
        <w:rPr>
          <w:rFonts w:ascii="Arial"/>
          <w:spacing w:val="-24"/>
          <w:w w:val="105"/>
          <w:sz w:val="20"/>
        </w:rPr>
        <w:t xml:space="preserve"> </w:t>
      </w:r>
      <w:r>
        <w:rPr>
          <w:rFonts w:ascii="Arial"/>
          <w:w w:val="105"/>
          <w:sz w:val="20"/>
        </w:rPr>
        <w:t>determine</w:t>
      </w:r>
      <w:r>
        <w:rPr>
          <w:rFonts w:ascii="Arial"/>
          <w:spacing w:val="-23"/>
          <w:w w:val="105"/>
          <w:sz w:val="20"/>
        </w:rPr>
        <w:t xml:space="preserve"> </w:t>
      </w:r>
      <w:r>
        <w:rPr>
          <w:rFonts w:ascii="Arial"/>
          <w:w w:val="105"/>
          <w:sz w:val="20"/>
        </w:rPr>
        <w:t>the</w:t>
      </w:r>
      <w:r>
        <w:rPr>
          <w:rFonts w:ascii="Arial"/>
          <w:spacing w:val="-23"/>
          <w:w w:val="105"/>
          <w:sz w:val="20"/>
        </w:rPr>
        <w:t xml:space="preserve"> </w:t>
      </w:r>
      <w:r>
        <w:rPr>
          <w:rFonts w:ascii="Arial"/>
          <w:w w:val="105"/>
          <w:sz w:val="20"/>
        </w:rPr>
        <w:t>likely</w:t>
      </w:r>
      <w:r>
        <w:rPr>
          <w:rFonts w:ascii="Arial"/>
          <w:spacing w:val="-16"/>
          <w:w w:val="105"/>
          <w:sz w:val="20"/>
        </w:rPr>
        <w:t xml:space="preserve"> </w:t>
      </w:r>
      <w:r>
        <w:rPr>
          <w:rFonts w:ascii="Arial"/>
          <w:w w:val="105"/>
          <w:sz w:val="20"/>
        </w:rPr>
        <w:t>national proportion of sports supplement products in the three identified product categories represented</w:t>
      </w:r>
      <w:r>
        <w:rPr>
          <w:rFonts w:ascii="Arial"/>
          <w:spacing w:val="-20"/>
          <w:w w:val="105"/>
          <w:sz w:val="20"/>
        </w:rPr>
        <w:t xml:space="preserve"> </w:t>
      </w:r>
      <w:r>
        <w:rPr>
          <w:rFonts w:ascii="Arial"/>
          <w:w w:val="105"/>
          <w:sz w:val="20"/>
        </w:rPr>
        <w:t>by</w:t>
      </w:r>
      <w:r>
        <w:rPr>
          <w:rFonts w:ascii="Arial"/>
          <w:spacing w:val="-20"/>
          <w:w w:val="105"/>
          <w:sz w:val="20"/>
        </w:rPr>
        <w:t xml:space="preserve"> </w:t>
      </w:r>
      <w:r>
        <w:rPr>
          <w:rFonts w:ascii="Arial"/>
          <w:w w:val="105"/>
          <w:sz w:val="20"/>
        </w:rPr>
        <w:t>their</w:t>
      </w:r>
      <w:r>
        <w:rPr>
          <w:rFonts w:ascii="Arial"/>
          <w:spacing w:val="-21"/>
          <w:w w:val="105"/>
          <w:sz w:val="20"/>
        </w:rPr>
        <w:t xml:space="preserve"> </w:t>
      </w:r>
      <w:r>
        <w:rPr>
          <w:rFonts w:ascii="Arial"/>
          <w:w w:val="105"/>
          <w:sz w:val="20"/>
        </w:rPr>
        <w:t>combined</w:t>
      </w:r>
      <w:r>
        <w:rPr>
          <w:rFonts w:ascii="Arial"/>
          <w:spacing w:val="-20"/>
          <w:w w:val="105"/>
          <w:sz w:val="20"/>
        </w:rPr>
        <w:t xml:space="preserve"> </w:t>
      </w:r>
      <w:r>
        <w:rPr>
          <w:rFonts w:ascii="Arial"/>
          <w:w w:val="105"/>
          <w:sz w:val="20"/>
        </w:rPr>
        <w:t>product</w:t>
      </w:r>
      <w:r>
        <w:rPr>
          <w:rFonts w:ascii="Arial"/>
          <w:spacing w:val="-20"/>
          <w:w w:val="105"/>
          <w:sz w:val="20"/>
        </w:rPr>
        <w:t xml:space="preserve"> </w:t>
      </w:r>
      <w:r>
        <w:rPr>
          <w:rFonts w:ascii="Arial"/>
          <w:w w:val="105"/>
          <w:sz w:val="20"/>
        </w:rPr>
        <w:t>listing:</w:t>
      </w:r>
      <w:r>
        <w:rPr>
          <w:rFonts w:ascii="Arial"/>
          <w:spacing w:val="-20"/>
          <w:w w:val="105"/>
          <w:sz w:val="20"/>
        </w:rPr>
        <w:t xml:space="preserve"> </w:t>
      </w:r>
      <w:r>
        <w:rPr>
          <w:rFonts w:ascii="Arial"/>
          <w:w w:val="105"/>
          <w:sz w:val="20"/>
        </w:rPr>
        <w:t>this</w:t>
      </w:r>
      <w:r>
        <w:rPr>
          <w:rFonts w:ascii="Arial"/>
          <w:spacing w:val="-20"/>
          <w:w w:val="105"/>
          <w:sz w:val="20"/>
        </w:rPr>
        <w:t xml:space="preserve"> </w:t>
      </w:r>
      <w:r>
        <w:rPr>
          <w:rFonts w:ascii="Arial"/>
          <w:w w:val="105"/>
          <w:sz w:val="20"/>
        </w:rPr>
        <w:t>was</w:t>
      </w:r>
      <w:r>
        <w:rPr>
          <w:rFonts w:ascii="Arial"/>
          <w:spacing w:val="-20"/>
          <w:w w:val="105"/>
          <w:sz w:val="20"/>
        </w:rPr>
        <w:t xml:space="preserve"> </w:t>
      </w:r>
      <w:r>
        <w:rPr>
          <w:rFonts w:ascii="Arial"/>
          <w:w w:val="105"/>
          <w:sz w:val="20"/>
        </w:rPr>
        <w:t>estimated</w:t>
      </w:r>
      <w:r>
        <w:rPr>
          <w:rFonts w:ascii="Arial"/>
          <w:spacing w:val="-20"/>
          <w:w w:val="105"/>
          <w:sz w:val="20"/>
        </w:rPr>
        <w:t xml:space="preserve"> </w:t>
      </w:r>
      <w:r>
        <w:rPr>
          <w:rFonts w:ascii="Arial"/>
          <w:w w:val="105"/>
          <w:sz w:val="20"/>
        </w:rPr>
        <w:t>to</w:t>
      </w:r>
      <w:r>
        <w:rPr>
          <w:rFonts w:ascii="Arial"/>
          <w:spacing w:val="-21"/>
          <w:w w:val="105"/>
          <w:sz w:val="20"/>
        </w:rPr>
        <w:t xml:space="preserve"> </w:t>
      </w:r>
      <w:r>
        <w:rPr>
          <w:rFonts w:ascii="Arial"/>
          <w:w w:val="105"/>
          <w:sz w:val="20"/>
        </w:rPr>
        <w:t>be</w:t>
      </w:r>
      <w:r>
        <w:rPr>
          <w:rFonts w:ascii="Arial"/>
          <w:spacing w:val="-20"/>
          <w:w w:val="105"/>
          <w:sz w:val="20"/>
        </w:rPr>
        <w:t xml:space="preserve"> </w:t>
      </w:r>
      <w:r>
        <w:rPr>
          <w:rFonts w:ascii="Arial"/>
          <w:w w:val="105"/>
          <w:sz w:val="20"/>
        </w:rPr>
        <w:t>approximately</w:t>
      </w:r>
      <w:r>
        <w:rPr>
          <w:rFonts w:ascii="Arial"/>
          <w:spacing w:val="-20"/>
          <w:w w:val="105"/>
          <w:sz w:val="20"/>
        </w:rPr>
        <w:t xml:space="preserve"> </w:t>
      </w:r>
      <w:r>
        <w:rPr>
          <w:rFonts w:ascii="Arial"/>
          <w:w w:val="105"/>
          <w:sz w:val="20"/>
        </w:rPr>
        <w:t>80%. The table below details the revised product populations extrapolated across all Australian retailers.</w:t>
      </w:r>
      <w:r>
        <w:rPr>
          <w:rFonts w:ascii="Arial"/>
          <w:w w:val="105"/>
          <w:position w:val="7"/>
          <w:sz w:val="12"/>
        </w:rPr>
        <w:t>34</w:t>
      </w:r>
    </w:p>
    <w:p w:rsidR="007D76BB" w:rsidRDefault="007D76BB">
      <w:pPr>
        <w:pStyle w:val="BodyText"/>
        <w:spacing w:before="10"/>
        <w:rPr>
          <w:rFonts w:ascii="Arial"/>
          <w:sz w:val="20"/>
        </w:rPr>
      </w:pPr>
    </w:p>
    <w:p w:rsidR="007D76BB" w:rsidRDefault="00D70D28">
      <w:pPr>
        <w:ind w:left="482"/>
        <w:rPr>
          <w:rFonts w:ascii="Arial"/>
          <w:sz w:val="11"/>
        </w:rPr>
      </w:pPr>
      <w:r>
        <w:rPr>
          <w:rFonts w:ascii="Arial"/>
          <w:color w:val="005386"/>
          <w:w w:val="105"/>
          <w:sz w:val="19"/>
        </w:rPr>
        <w:t>Table 4. Product dataset extrapolated across all Australia retailers</w:t>
      </w:r>
      <w:r>
        <w:rPr>
          <w:rFonts w:ascii="Arial"/>
          <w:color w:val="005386"/>
          <w:w w:val="105"/>
          <w:position w:val="7"/>
          <w:sz w:val="11"/>
        </w:rPr>
        <w:t>35</w:t>
      </w:r>
    </w:p>
    <w:p w:rsidR="007D76BB" w:rsidRDefault="007D76BB">
      <w:pPr>
        <w:pStyle w:val="BodyText"/>
        <w:spacing w:before="3" w:after="1"/>
        <w:rPr>
          <w:rFonts w:ascii="Arial"/>
          <w:sz w:val="16"/>
        </w:rPr>
      </w:pPr>
    </w:p>
    <w:tbl>
      <w:tblPr>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4"/>
        <w:gridCol w:w="1424"/>
        <w:gridCol w:w="1529"/>
        <w:gridCol w:w="1661"/>
      </w:tblGrid>
      <w:tr w:rsidR="007D76BB">
        <w:trPr>
          <w:trHeight w:val="481"/>
        </w:trPr>
        <w:tc>
          <w:tcPr>
            <w:tcW w:w="1594" w:type="dxa"/>
            <w:tcBorders>
              <w:top w:val="nil"/>
              <w:left w:val="nil"/>
            </w:tcBorders>
          </w:tcPr>
          <w:p w:rsidR="007D76BB" w:rsidRDefault="007D76BB">
            <w:pPr>
              <w:pStyle w:val="TableParagraph"/>
              <w:rPr>
                <w:rFonts w:ascii="Times New Roman"/>
                <w:sz w:val="18"/>
              </w:rPr>
            </w:pPr>
          </w:p>
        </w:tc>
        <w:tc>
          <w:tcPr>
            <w:tcW w:w="1424" w:type="dxa"/>
            <w:shd w:val="clear" w:color="auto" w:fill="005386"/>
          </w:tcPr>
          <w:p w:rsidR="007D76BB" w:rsidRDefault="00D70D28">
            <w:pPr>
              <w:pStyle w:val="TableParagraph"/>
              <w:spacing w:before="13"/>
              <w:ind w:left="102"/>
              <w:rPr>
                <w:rFonts w:ascii="Arial"/>
                <w:sz w:val="19"/>
              </w:rPr>
            </w:pPr>
            <w:r>
              <w:rPr>
                <w:rFonts w:ascii="Arial"/>
                <w:color w:val="FFFFFF"/>
                <w:w w:val="105"/>
                <w:sz w:val="19"/>
              </w:rPr>
              <w:t>Fat Burner</w:t>
            </w:r>
          </w:p>
          <w:p w:rsidR="007D76BB" w:rsidRDefault="00D70D28">
            <w:pPr>
              <w:pStyle w:val="TableParagraph"/>
              <w:spacing w:before="24" w:line="206" w:lineRule="exact"/>
              <w:ind w:left="102"/>
              <w:rPr>
                <w:rFonts w:ascii="Arial"/>
                <w:sz w:val="19"/>
              </w:rPr>
            </w:pPr>
            <w:r>
              <w:rPr>
                <w:rFonts w:ascii="Arial"/>
                <w:color w:val="FFFFFF"/>
                <w:w w:val="105"/>
                <w:sz w:val="19"/>
              </w:rPr>
              <w:t>Products</w:t>
            </w:r>
          </w:p>
        </w:tc>
        <w:tc>
          <w:tcPr>
            <w:tcW w:w="1529" w:type="dxa"/>
            <w:shd w:val="clear" w:color="auto" w:fill="005386"/>
          </w:tcPr>
          <w:p w:rsidR="007D76BB" w:rsidRDefault="00D70D28">
            <w:pPr>
              <w:pStyle w:val="TableParagraph"/>
              <w:spacing w:before="13"/>
              <w:ind w:left="99"/>
              <w:rPr>
                <w:rFonts w:ascii="Arial"/>
                <w:sz w:val="19"/>
              </w:rPr>
            </w:pPr>
            <w:r>
              <w:rPr>
                <w:rFonts w:ascii="Arial"/>
                <w:color w:val="FFFFFF"/>
                <w:w w:val="105"/>
                <w:sz w:val="19"/>
              </w:rPr>
              <w:t>Post-Workout</w:t>
            </w:r>
          </w:p>
          <w:p w:rsidR="007D76BB" w:rsidRDefault="00D70D28">
            <w:pPr>
              <w:pStyle w:val="TableParagraph"/>
              <w:spacing w:before="24" w:line="206" w:lineRule="exact"/>
              <w:ind w:left="99"/>
              <w:rPr>
                <w:rFonts w:ascii="Arial"/>
                <w:sz w:val="19"/>
              </w:rPr>
            </w:pPr>
            <w:r>
              <w:rPr>
                <w:rFonts w:ascii="Arial"/>
                <w:color w:val="FFFFFF"/>
                <w:w w:val="105"/>
                <w:sz w:val="19"/>
              </w:rPr>
              <w:t>Products</w:t>
            </w:r>
          </w:p>
        </w:tc>
        <w:tc>
          <w:tcPr>
            <w:tcW w:w="1661" w:type="dxa"/>
            <w:shd w:val="clear" w:color="auto" w:fill="005386"/>
          </w:tcPr>
          <w:p w:rsidR="007D76BB" w:rsidRDefault="00D70D28">
            <w:pPr>
              <w:pStyle w:val="TableParagraph"/>
              <w:spacing w:before="13"/>
              <w:ind w:left="100"/>
              <w:rPr>
                <w:rFonts w:ascii="Arial"/>
                <w:sz w:val="19"/>
              </w:rPr>
            </w:pPr>
            <w:r>
              <w:rPr>
                <w:rFonts w:ascii="Arial"/>
                <w:color w:val="FFFFFF"/>
                <w:w w:val="105"/>
                <w:sz w:val="19"/>
              </w:rPr>
              <w:t>Pre-Workout</w:t>
            </w:r>
          </w:p>
          <w:p w:rsidR="007D76BB" w:rsidRDefault="00D70D28">
            <w:pPr>
              <w:pStyle w:val="TableParagraph"/>
              <w:spacing w:before="24" w:line="206" w:lineRule="exact"/>
              <w:ind w:left="100"/>
              <w:rPr>
                <w:rFonts w:ascii="Arial"/>
                <w:sz w:val="19"/>
              </w:rPr>
            </w:pPr>
            <w:r>
              <w:rPr>
                <w:rFonts w:ascii="Arial"/>
                <w:color w:val="FFFFFF"/>
                <w:w w:val="105"/>
                <w:sz w:val="19"/>
              </w:rPr>
              <w:t>Products</w:t>
            </w:r>
          </w:p>
        </w:tc>
      </w:tr>
      <w:tr w:rsidR="007D76BB">
        <w:trPr>
          <w:trHeight w:val="239"/>
        </w:trPr>
        <w:tc>
          <w:tcPr>
            <w:tcW w:w="1594" w:type="dxa"/>
            <w:tcBorders>
              <w:left w:val="nil"/>
            </w:tcBorders>
            <w:shd w:val="clear" w:color="auto" w:fill="D9D9D9"/>
          </w:tcPr>
          <w:p w:rsidR="007D76BB" w:rsidRDefault="00D70D28">
            <w:pPr>
              <w:pStyle w:val="TableParagraph"/>
              <w:spacing w:before="13" w:line="206" w:lineRule="exact"/>
              <w:ind w:left="107"/>
              <w:rPr>
                <w:rFonts w:ascii="Arial"/>
                <w:sz w:val="11"/>
              </w:rPr>
            </w:pPr>
            <w:r>
              <w:rPr>
                <w:rFonts w:ascii="Arial"/>
                <w:w w:val="105"/>
                <w:sz w:val="19"/>
              </w:rPr>
              <w:t>Powders +</w:t>
            </w:r>
            <w:r>
              <w:rPr>
                <w:rFonts w:ascii="Arial"/>
                <w:w w:val="105"/>
                <w:position w:val="7"/>
                <w:sz w:val="11"/>
              </w:rPr>
              <w:t>36</w:t>
            </w:r>
          </w:p>
        </w:tc>
        <w:tc>
          <w:tcPr>
            <w:tcW w:w="1424" w:type="dxa"/>
          </w:tcPr>
          <w:p w:rsidR="007D76BB" w:rsidRDefault="00D70D28">
            <w:pPr>
              <w:pStyle w:val="TableParagraph"/>
              <w:spacing w:before="13" w:line="206" w:lineRule="exact"/>
              <w:ind w:right="104"/>
              <w:jc w:val="right"/>
              <w:rPr>
                <w:rFonts w:ascii="Arial"/>
                <w:sz w:val="19"/>
              </w:rPr>
            </w:pPr>
            <w:r>
              <w:rPr>
                <w:rFonts w:ascii="Arial"/>
                <w:w w:val="110"/>
                <w:sz w:val="19"/>
              </w:rPr>
              <w:t>225</w:t>
            </w:r>
          </w:p>
        </w:tc>
        <w:tc>
          <w:tcPr>
            <w:tcW w:w="1529" w:type="dxa"/>
          </w:tcPr>
          <w:p w:rsidR="007D76BB" w:rsidRDefault="00D70D28">
            <w:pPr>
              <w:pStyle w:val="TableParagraph"/>
              <w:spacing w:before="13" w:line="206" w:lineRule="exact"/>
              <w:ind w:right="102"/>
              <w:jc w:val="right"/>
              <w:rPr>
                <w:rFonts w:ascii="Arial"/>
                <w:sz w:val="19"/>
              </w:rPr>
            </w:pPr>
            <w:r>
              <w:rPr>
                <w:rFonts w:ascii="Arial"/>
                <w:w w:val="95"/>
                <w:sz w:val="19"/>
              </w:rPr>
              <w:t>160</w:t>
            </w:r>
          </w:p>
        </w:tc>
        <w:tc>
          <w:tcPr>
            <w:tcW w:w="1661" w:type="dxa"/>
          </w:tcPr>
          <w:p w:rsidR="007D76BB" w:rsidRDefault="00D70D28">
            <w:pPr>
              <w:pStyle w:val="TableParagraph"/>
              <w:spacing w:before="13" w:line="206" w:lineRule="exact"/>
              <w:ind w:right="102"/>
              <w:jc w:val="right"/>
              <w:rPr>
                <w:rFonts w:ascii="Arial"/>
                <w:sz w:val="19"/>
              </w:rPr>
            </w:pPr>
            <w:r>
              <w:rPr>
                <w:rFonts w:ascii="Arial"/>
                <w:w w:val="90"/>
                <w:sz w:val="19"/>
              </w:rPr>
              <w:t>271</w:t>
            </w:r>
          </w:p>
        </w:tc>
      </w:tr>
      <w:tr w:rsidR="007D76BB">
        <w:trPr>
          <w:trHeight w:val="241"/>
        </w:trPr>
        <w:tc>
          <w:tcPr>
            <w:tcW w:w="1594" w:type="dxa"/>
            <w:tcBorders>
              <w:left w:val="nil"/>
            </w:tcBorders>
            <w:shd w:val="clear" w:color="auto" w:fill="D9D9D9"/>
          </w:tcPr>
          <w:p w:rsidR="007D76BB" w:rsidRDefault="00D70D28">
            <w:pPr>
              <w:pStyle w:val="TableParagraph"/>
              <w:spacing w:before="13" w:line="208" w:lineRule="exact"/>
              <w:ind w:left="107"/>
              <w:rPr>
                <w:rFonts w:ascii="Arial"/>
                <w:sz w:val="19"/>
              </w:rPr>
            </w:pPr>
            <w:r>
              <w:rPr>
                <w:rFonts w:ascii="Arial"/>
                <w:w w:val="110"/>
                <w:sz w:val="19"/>
              </w:rPr>
              <w:t>Capsule/tablet</w:t>
            </w:r>
          </w:p>
        </w:tc>
        <w:tc>
          <w:tcPr>
            <w:tcW w:w="1424" w:type="dxa"/>
          </w:tcPr>
          <w:p w:rsidR="007D76BB" w:rsidRDefault="00D70D28">
            <w:pPr>
              <w:pStyle w:val="TableParagraph"/>
              <w:spacing w:before="13" w:line="208" w:lineRule="exact"/>
              <w:ind w:right="97"/>
              <w:jc w:val="right"/>
              <w:rPr>
                <w:rFonts w:ascii="Arial"/>
                <w:sz w:val="19"/>
              </w:rPr>
            </w:pPr>
            <w:r>
              <w:rPr>
                <w:rFonts w:ascii="Arial"/>
                <w:w w:val="80"/>
                <w:sz w:val="19"/>
              </w:rPr>
              <w:t>114</w:t>
            </w:r>
          </w:p>
        </w:tc>
        <w:tc>
          <w:tcPr>
            <w:tcW w:w="1529" w:type="dxa"/>
          </w:tcPr>
          <w:p w:rsidR="007D76BB" w:rsidRDefault="00D70D28">
            <w:pPr>
              <w:pStyle w:val="TableParagraph"/>
              <w:spacing w:before="13" w:line="208" w:lineRule="exact"/>
              <w:ind w:right="103"/>
              <w:jc w:val="right"/>
              <w:rPr>
                <w:rFonts w:ascii="Arial"/>
                <w:sz w:val="19"/>
              </w:rPr>
            </w:pPr>
            <w:r>
              <w:rPr>
                <w:rFonts w:ascii="Arial"/>
                <w:w w:val="107"/>
                <w:sz w:val="19"/>
              </w:rPr>
              <w:t>9</w:t>
            </w:r>
          </w:p>
        </w:tc>
        <w:tc>
          <w:tcPr>
            <w:tcW w:w="1661" w:type="dxa"/>
          </w:tcPr>
          <w:p w:rsidR="007D76BB" w:rsidRDefault="00D70D28">
            <w:pPr>
              <w:pStyle w:val="TableParagraph"/>
              <w:spacing w:before="13" w:line="208" w:lineRule="exact"/>
              <w:ind w:right="101"/>
              <w:jc w:val="right"/>
              <w:rPr>
                <w:rFonts w:ascii="Arial"/>
                <w:sz w:val="19"/>
              </w:rPr>
            </w:pPr>
            <w:r>
              <w:rPr>
                <w:rFonts w:ascii="Arial"/>
                <w:w w:val="107"/>
                <w:sz w:val="19"/>
              </w:rPr>
              <w:t>9</w:t>
            </w:r>
          </w:p>
        </w:tc>
      </w:tr>
    </w:tbl>
    <w:p w:rsidR="007D76BB" w:rsidRDefault="00D70D28">
      <w:pPr>
        <w:pStyle w:val="BodyText"/>
        <w:spacing w:before="10"/>
        <w:rPr>
          <w:rFonts w:ascii="Arial"/>
          <w:sz w:val="23"/>
        </w:rPr>
      </w:pPr>
      <w:r>
        <w:rPr>
          <w:noProof/>
          <w:lang w:val="en-AU" w:eastAsia="en-AU"/>
        </w:rPr>
        <mc:AlternateContent>
          <mc:Choice Requires="wps">
            <w:drawing>
              <wp:anchor distT="0" distB="0" distL="0" distR="0" simplePos="0" relativeHeight="251723776" behindDoc="1" locked="0" layoutInCell="1" allowOverlap="1">
                <wp:simplePos x="0" y="0"/>
                <wp:positionH relativeFrom="page">
                  <wp:posOffset>1080770</wp:posOffset>
                </wp:positionH>
                <wp:positionV relativeFrom="paragraph">
                  <wp:posOffset>205105</wp:posOffset>
                </wp:positionV>
                <wp:extent cx="1829435" cy="1270"/>
                <wp:effectExtent l="0" t="0" r="0" b="0"/>
                <wp:wrapTopAndBottom/>
                <wp:docPr id="309"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A43E1" id="Freeform 165" o:spid="_x0000_s1026" style="position:absolute;margin-left:85.1pt;margin-top:16.15pt;width:144.05pt;height:.1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" path="m,l2880,e" filled="f" strokeweight=".84pt">
                <v:path arrowok="t" o:connecttype="custom" o:connectlocs="0,0;1828800,0" o:connectangles="0,0"/>
                <w10:wrap type="topAndBottom" anchorx="page"/>
              </v:shape>
            </w:pict>
          </mc:Fallback>
        </mc:AlternateContent>
      </w:r>
    </w:p>
    <w:p w:rsidR="007D76BB" w:rsidRDefault="00D70D28">
      <w:pPr>
        <w:spacing w:before="132"/>
        <w:ind w:left="482"/>
        <w:rPr>
          <w:rFonts w:ascii="Arial"/>
          <w:sz w:val="14"/>
        </w:rPr>
      </w:pPr>
      <w:r>
        <w:rPr>
          <w:rFonts w:ascii="Arial"/>
          <w:color w:val="5B6761"/>
          <w:w w:val="105"/>
          <w:position w:val="5"/>
          <w:sz w:val="8"/>
        </w:rPr>
        <w:t xml:space="preserve">33 </w:t>
      </w:r>
      <w:r>
        <w:rPr>
          <w:rFonts w:ascii="Arial"/>
          <w:color w:val="5B6761"/>
          <w:w w:val="105"/>
          <w:sz w:val="14"/>
        </w:rPr>
        <w:t>Population includes powders, liquids and novel foods.</w:t>
      </w:r>
    </w:p>
    <w:p w:rsidR="007D76BB" w:rsidRDefault="00D70D28">
      <w:pPr>
        <w:spacing w:before="79" w:line="268" w:lineRule="auto"/>
        <w:ind w:left="594" w:right="778" w:hanging="113"/>
        <w:rPr>
          <w:rFonts w:ascii="Arial"/>
          <w:sz w:val="14"/>
        </w:rPr>
      </w:pPr>
      <w:r>
        <w:rPr>
          <w:rFonts w:ascii="Arial"/>
          <w:color w:val="5B6761"/>
          <w:w w:val="105"/>
          <w:position w:val="5"/>
          <w:sz w:val="8"/>
        </w:rPr>
        <w:t>34</w:t>
      </w:r>
      <w:r>
        <w:rPr>
          <w:rFonts w:ascii="Arial"/>
          <w:color w:val="5B6761"/>
          <w:spacing w:val="-5"/>
          <w:w w:val="105"/>
          <w:position w:val="5"/>
          <w:sz w:val="8"/>
        </w:rPr>
        <w:t xml:space="preserve"> </w:t>
      </w:r>
      <w:r>
        <w:rPr>
          <w:rFonts w:ascii="Arial"/>
          <w:color w:val="5B6761"/>
          <w:w w:val="105"/>
          <w:sz w:val="14"/>
        </w:rPr>
        <w:t>It</w:t>
      </w:r>
      <w:r>
        <w:rPr>
          <w:rFonts w:ascii="Arial"/>
          <w:color w:val="5B6761"/>
          <w:spacing w:val="-22"/>
          <w:w w:val="105"/>
          <w:sz w:val="14"/>
        </w:rPr>
        <w:t xml:space="preserve"> </w:t>
      </w:r>
      <w:r>
        <w:rPr>
          <w:rFonts w:ascii="Arial"/>
          <w:color w:val="5B6761"/>
          <w:w w:val="105"/>
          <w:sz w:val="14"/>
        </w:rPr>
        <w:t>is</w:t>
      </w:r>
      <w:r>
        <w:rPr>
          <w:rFonts w:ascii="Arial"/>
          <w:color w:val="5B6761"/>
          <w:spacing w:val="-23"/>
          <w:w w:val="105"/>
          <w:sz w:val="14"/>
        </w:rPr>
        <w:t xml:space="preserve"> </w:t>
      </w:r>
      <w:r>
        <w:rPr>
          <w:rFonts w:ascii="Arial"/>
          <w:color w:val="5B6761"/>
          <w:w w:val="105"/>
          <w:sz w:val="14"/>
        </w:rPr>
        <w:t>acknowledged</w:t>
      </w:r>
      <w:r>
        <w:rPr>
          <w:rFonts w:ascii="Arial"/>
          <w:color w:val="5B6761"/>
          <w:spacing w:val="-22"/>
          <w:w w:val="105"/>
          <w:sz w:val="14"/>
        </w:rPr>
        <w:t xml:space="preserve"> </w:t>
      </w:r>
      <w:r>
        <w:rPr>
          <w:rFonts w:ascii="Arial"/>
          <w:color w:val="5B6761"/>
          <w:w w:val="105"/>
          <w:sz w:val="14"/>
        </w:rPr>
        <w:t>that</w:t>
      </w:r>
      <w:r>
        <w:rPr>
          <w:rFonts w:ascii="Arial"/>
          <w:color w:val="5B6761"/>
          <w:spacing w:val="-23"/>
          <w:w w:val="105"/>
          <w:sz w:val="14"/>
        </w:rPr>
        <w:t xml:space="preserve"> </w:t>
      </w:r>
      <w:r>
        <w:rPr>
          <w:rFonts w:ascii="Arial"/>
          <w:color w:val="5B6761"/>
          <w:w w:val="105"/>
          <w:sz w:val="14"/>
        </w:rPr>
        <w:t>Australian</w:t>
      </w:r>
      <w:r>
        <w:rPr>
          <w:rFonts w:ascii="Arial"/>
          <w:color w:val="5B6761"/>
          <w:spacing w:val="-22"/>
          <w:w w:val="105"/>
          <w:sz w:val="14"/>
        </w:rPr>
        <w:t xml:space="preserve"> </w:t>
      </w:r>
      <w:r>
        <w:rPr>
          <w:rFonts w:ascii="Arial"/>
          <w:color w:val="5B6761"/>
          <w:w w:val="105"/>
          <w:sz w:val="14"/>
        </w:rPr>
        <w:t>consumers,</w:t>
      </w:r>
      <w:r>
        <w:rPr>
          <w:rFonts w:ascii="Arial"/>
          <w:color w:val="5B6761"/>
          <w:spacing w:val="-23"/>
          <w:w w:val="105"/>
          <w:sz w:val="14"/>
        </w:rPr>
        <w:t xml:space="preserve"> </w:t>
      </w:r>
      <w:r>
        <w:rPr>
          <w:rFonts w:ascii="Arial"/>
          <w:color w:val="5B6761"/>
          <w:w w:val="105"/>
          <w:sz w:val="14"/>
        </w:rPr>
        <w:t>under</w:t>
      </w:r>
      <w:r>
        <w:rPr>
          <w:rFonts w:ascii="Arial"/>
          <w:color w:val="5B6761"/>
          <w:spacing w:val="-22"/>
          <w:w w:val="105"/>
          <w:sz w:val="14"/>
        </w:rPr>
        <w:t xml:space="preserve"> </w:t>
      </w:r>
      <w:r>
        <w:rPr>
          <w:rFonts w:ascii="Arial"/>
          <w:color w:val="5B6761"/>
          <w:w w:val="105"/>
          <w:sz w:val="14"/>
        </w:rPr>
        <w:t>the</w:t>
      </w:r>
      <w:r>
        <w:rPr>
          <w:rFonts w:ascii="Arial"/>
          <w:color w:val="5B6761"/>
          <w:spacing w:val="-24"/>
          <w:w w:val="105"/>
          <w:sz w:val="14"/>
        </w:rPr>
        <w:t xml:space="preserve"> </w:t>
      </w:r>
      <w:r>
        <w:rPr>
          <w:rFonts w:ascii="Arial"/>
          <w:color w:val="5B6761"/>
          <w:w w:val="105"/>
          <w:sz w:val="14"/>
        </w:rPr>
        <w:t>Personal</w:t>
      </w:r>
      <w:r>
        <w:rPr>
          <w:rFonts w:ascii="Arial"/>
          <w:color w:val="5B6761"/>
          <w:spacing w:val="-23"/>
          <w:w w:val="105"/>
          <w:sz w:val="14"/>
        </w:rPr>
        <w:t xml:space="preserve"> </w:t>
      </w:r>
      <w:r>
        <w:rPr>
          <w:rFonts w:ascii="Arial"/>
          <w:color w:val="5B6761"/>
          <w:w w:val="105"/>
          <w:sz w:val="14"/>
        </w:rPr>
        <w:t>Importation</w:t>
      </w:r>
      <w:r>
        <w:rPr>
          <w:rFonts w:ascii="Arial"/>
          <w:color w:val="5B6761"/>
          <w:spacing w:val="-22"/>
          <w:w w:val="105"/>
          <w:sz w:val="14"/>
        </w:rPr>
        <w:t xml:space="preserve"> </w:t>
      </w:r>
      <w:r>
        <w:rPr>
          <w:rFonts w:ascii="Arial"/>
          <w:color w:val="5B6761"/>
          <w:w w:val="105"/>
          <w:sz w:val="14"/>
        </w:rPr>
        <w:t>Scheme,</w:t>
      </w:r>
      <w:r>
        <w:rPr>
          <w:rFonts w:ascii="Arial"/>
          <w:color w:val="5B6761"/>
          <w:spacing w:val="-23"/>
          <w:w w:val="105"/>
          <w:sz w:val="14"/>
        </w:rPr>
        <w:t xml:space="preserve"> </w:t>
      </w:r>
      <w:r>
        <w:rPr>
          <w:rFonts w:ascii="Arial"/>
          <w:color w:val="5B6761"/>
          <w:spacing w:val="3"/>
          <w:w w:val="105"/>
          <w:sz w:val="14"/>
        </w:rPr>
        <w:t>may</w:t>
      </w:r>
      <w:r>
        <w:rPr>
          <w:rFonts w:ascii="Arial"/>
          <w:color w:val="5B6761"/>
          <w:spacing w:val="-23"/>
          <w:w w:val="105"/>
          <w:sz w:val="14"/>
        </w:rPr>
        <w:t xml:space="preserve"> </w:t>
      </w:r>
      <w:r>
        <w:rPr>
          <w:rFonts w:ascii="Arial"/>
          <w:color w:val="5B6761"/>
          <w:w w:val="105"/>
          <w:sz w:val="14"/>
        </w:rPr>
        <w:t>purchase</w:t>
      </w:r>
      <w:r>
        <w:rPr>
          <w:rFonts w:ascii="Arial"/>
          <w:color w:val="5B6761"/>
          <w:spacing w:val="-23"/>
          <w:w w:val="105"/>
          <w:sz w:val="14"/>
        </w:rPr>
        <w:t xml:space="preserve"> </w:t>
      </w:r>
      <w:r>
        <w:rPr>
          <w:rFonts w:ascii="Arial"/>
          <w:color w:val="5B6761"/>
          <w:w w:val="105"/>
          <w:sz w:val="14"/>
        </w:rPr>
        <w:t>additional</w:t>
      </w:r>
      <w:r>
        <w:rPr>
          <w:rFonts w:ascii="Arial"/>
          <w:color w:val="5B6761"/>
          <w:spacing w:val="-23"/>
          <w:w w:val="105"/>
          <w:sz w:val="14"/>
        </w:rPr>
        <w:t xml:space="preserve"> </w:t>
      </w:r>
      <w:r>
        <w:rPr>
          <w:rFonts w:ascii="Arial"/>
          <w:color w:val="5B6761"/>
          <w:w w:val="105"/>
          <w:sz w:val="14"/>
        </w:rPr>
        <w:t>products</w:t>
      </w:r>
      <w:r>
        <w:rPr>
          <w:rFonts w:ascii="Arial"/>
          <w:color w:val="5B6761"/>
          <w:spacing w:val="-23"/>
          <w:w w:val="105"/>
          <w:sz w:val="14"/>
        </w:rPr>
        <w:t xml:space="preserve"> </w:t>
      </w:r>
      <w:r>
        <w:rPr>
          <w:rFonts w:ascii="Arial"/>
          <w:color w:val="5B6761"/>
          <w:w w:val="105"/>
          <w:sz w:val="14"/>
        </w:rPr>
        <w:t>not represented</w:t>
      </w:r>
      <w:r>
        <w:rPr>
          <w:rFonts w:ascii="Arial"/>
          <w:color w:val="5B6761"/>
          <w:spacing w:val="-8"/>
          <w:w w:val="105"/>
          <w:sz w:val="14"/>
        </w:rPr>
        <w:t xml:space="preserve"> </w:t>
      </w:r>
      <w:r>
        <w:rPr>
          <w:rFonts w:ascii="Arial"/>
          <w:color w:val="5B6761"/>
          <w:w w:val="105"/>
          <w:sz w:val="14"/>
        </w:rPr>
        <w:t>in</w:t>
      </w:r>
      <w:r>
        <w:rPr>
          <w:rFonts w:ascii="Arial"/>
          <w:color w:val="5B6761"/>
          <w:spacing w:val="-8"/>
          <w:w w:val="105"/>
          <w:sz w:val="14"/>
        </w:rPr>
        <w:t xml:space="preserve"> </w:t>
      </w:r>
      <w:r>
        <w:rPr>
          <w:rFonts w:ascii="Arial"/>
          <w:color w:val="5B6761"/>
          <w:w w:val="105"/>
          <w:sz w:val="14"/>
        </w:rPr>
        <w:t>this</w:t>
      </w:r>
      <w:r>
        <w:rPr>
          <w:rFonts w:ascii="Arial"/>
          <w:color w:val="5B6761"/>
          <w:spacing w:val="-9"/>
          <w:w w:val="105"/>
          <w:sz w:val="14"/>
        </w:rPr>
        <w:t xml:space="preserve"> </w:t>
      </w:r>
      <w:r>
        <w:rPr>
          <w:rFonts w:ascii="Arial"/>
          <w:color w:val="5B6761"/>
          <w:w w:val="105"/>
          <w:sz w:val="14"/>
        </w:rPr>
        <w:t>dataset</w:t>
      </w:r>
      <w:r>
        <w:rPr>
          <w:rFonts w:ascii="Arial"/>
          <w:color w:val="5B6761"/>
          <w:spacing w:val="-8"/>
          <w:w w:val="105"/>
          <w:sz w:val="14"/>
        </w:rPr>
        <w:t xml:space="preserve"> </w:t>
      </w:r>
      <w:r>
        <w:rPr>
          <w:rFonts w:ascii="Arial"/>
          <w:color w:val="5B6761"/>
          <w:w w:val="105"/>
          <w:sz w:val="14"/>
        </w:rPr>
        <w:t>direct</w:t>
      </w:r>
      <w:r>
        <w:rPr>
          <w:rFonts w:ascii="Arial"/>
          <w:color w:val="5B6761"/>
          <w:spacing w:val="-8"/>
          <w:w w:val="105"/>
          <w:sz w:val="14"/>
        </w:rPr>
        <w:t xml:space="preserve"> </w:t>
      </w:r>
      <w:r>
        <w:rPr>
          <w:rFonts w:ascii="Arial"/>
          <w:color w:val="5B6761"/>
          <w:w w:val="105"/>
          <w:sz w:val="14"/>
        </w:rPr>
        <w:t>from</w:t>
      </w:r>
      <w:r>
        <w:rPr>
          <w:rFonts w:ascii="Arial"/>
          <w:color w:val="5B6761"/>
          <w:spacing w:val="-9"/>
          <w:w w:val="105"/>
          <w:sz w:val="14"/>
        </w:rPr>
        <w:t xml:space="preserve"> </w:t>
      </w:r>
      <w:r>
        <w:rPr>
          <w:rFonts w:ascii="Arial"/>
          <w:color w:val="5B6761"/>
          <w:w w:val="105"/>
          <w:sz w:val="14"/>
        </w:rPr>
        <w:t>overseas</w:t>
      </w:r>
      <w:r>
        <w:rPr>
          <w:rFonts w:ascii="Arial"/>
          <w:color w:val="5B6761"/>
          <w:spacing w:val="-9"/>
          <w:w w:val="105"/>
          <w:sz w:val="14"/>
        </w:rPr>
        <w:t xml:space="preserve"> </w:t>
      </w:r>
      <w:r>
        <w:rPr>
          <w:rFonts w:ascii="Arial"/>
          <w:color w:val="5B6761"/>
          <w:w w:val="105"/>
          <w:sz w:val="14"/>
        </w:rPr>
        <w:t>manufacturers.</w:t>
      </w:r>
    </w:p>
    <w:p w:rsidR="007D76BB" w:rsidRDefault="00D70D28">
      <w:pPr>
        <w:spacing w:before="59"/>
        <w:ind w:left="482"/>
        <w:rPr>
          <w:rFonts w:ascii="Arial"/>
          <w:sz w:val="14"/>
        </w:rPr>
      </w:pPr>
      <w:r>
        <w:rPr>
          <w:rFonts w:ascii="Arial"/>
          <w:color w:val="5B6761"/>
          <w:w w:val="105"/>
          <w:position w:val="5"/>
          <w:sz w:val="8"/>
        </w:rPr>
        <w:lastRenderedPageBreak/>
        <w:t xml:space="preserve">35 </w:t>
      </w:r>
      <w:r>
        <w:rPr>
          <w:rFonts w:ascii="Arial"/>
          <w:color w:val="5B6761"/>
          <w:w w:val="105"/>
          <w:sz w:val="14"/>
        </w:rPr>
        <w:t>Figures have been rounded to the nearest integer.</w:t>
      </w:r>
    </w:p>
    <w:p w:rsidR="007D76BB" w:rsidRDefault="00D70D28">
      <w:pPr>
        <w:spacing w:before="79"/>
        <w:ind w:left="482"/>
        <w:rPr>
          <w:rFonts w:ascii="Arial"/>
          <w:sz w:val="14"/>
        </w:rPr>
      </w:pPr>
      <w:r>
        <w:rPr>
          <w:rFonts w:ascii="Arial"/>
          <w:color w:val="5B6761"/>
          <w:w w:val="105"/>
          <w:position w:val="5"/>
          <w:sz w:val="8"/>
        </w:rPr>
        <w:t xml:space="preserve">36 </w:t>
      </w:r>
      <w:r>
        <w:rPr>
          <w:rFonts w:ascii="Arial"/>
          <w:color w:val="5B6761"/>
          <w:w w:val="105"/>
          <w:sz w:val="14"/>
        </w:rPr>
        <w:t>Population includes powders, liquids and novel foods.</w:t>
      </w:r>
    </w:p>
    <w:p w:rsidR="007D76BB" w:rsidRDefault="007D76BB">
      <w:pPr>
        <w:rPr>
          <w:rFonts w:ascii="Arial"/>
          <w:sz w:val="14"/>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8"/>
        </w:rPr>
      </w:pPr>
    </w:p>
    <w:p w:rsidR="007D76BB" w:rsidRDefault="00D70D28">
      <w:pPr>
        <w:spacing w:before="108"/>
        <w:ind w:left="482"/>
        <w:rPr>
          <w:rFonts w:ascii="Arial"/>
          <w:sz w:val="20"/>
        </w:rPr>
      </w:pPr>
      <w:r>
        <w:rPr>
          <w:rFonts w:ascii="Arial"/>
          <w:w w:val="105"/>
          <w:sz w:val="20"/>
        </w:rPr>
        <w:t>Country of manufacture</w:t>
      </w:r>
    </w:p>
    <w:p w:rsidR="007D76BB" w:rsidRDefault="00D70D28">
      <w:pPr>
        <w:spacing w:before="104" w:line="264" w:lineRule="auto"/>
        <w:ind w:left="482" w:right="788"/>
        <w:rPr>
          <w:rFonts w:ascii="Arial" w:hAnsi="Arial"/>
          <w:sz w:val="19"/>
        </w:rPr>
      </w:pPr>
      <w:r>
        <w:rPr>
          <w:rFonts w:ascii="Arial" w:hAnsi="Arial"/>
          <w:w w:val="105"/>
          <w:sz w:val="19"/>
        </w:rPr>
        <w:t>In</w:t>
      </w:r>
      <w:r>
        <w:rPr>
          <w:rFonts w:ascii="Arial" w:hAnsi="Arial"/>
          <w:spacing w:val="-17"/>
          <w:w w:val="105"/>
          <w:sz w:val="19"/>
        </w:rPr>
        <w:t xml:space="preserve"> </w:t>
      </w:r>
      <w:r>
        <w:rPr>
          <w:rFonts w:ascii="Arial" w:hAnsi="Arial"/>
          <w:w w:val="105"/>
          <w:sz w:val="19"/>
        </w:rPr>
        <w:t>some</w:t>
      </w:r>
      <w:r>
        <w:rPr>
          <w:rFonts w:ascii="Arial" w:hAnsi="Arial"/>
          <w:spacing w:val="-18"/>
          <w:w w:val="105"/>
          <w:sz w:val="19"/>
        </w:rPr>
        <w:t xml:space="preserve"> </w:t>
      </w:r>
      <w:r>
        <w:rPr>
          <w:rFonts w:ascii="Arial" w:hAnsi="Arial"/>
          <w:w w:val="105"/>
          <w:sz w:val="19"/>
        </w:rPr>
        <w:t>cases,</w:t>
      </w:r>
      <w:r>
        <w:rPr>
          <w:rFonts w:ascii="Arial" w:hAnsi="Arial"/>
          <w:spacing w:val="-17"/>
          <w:w w:val="105"/>
          <w:sz w:val="19"/>
        </w:rPr>
        <w:t xml:space="preserve"> </w:t>
      </w:r>
      <w:r>
        <w:rPr>
          <w:rFonts w:ascii="Arial" w:hAnsi="Arial"/>
          <w:w w:val="105"/>
          <w:sz w:val="19"/>
        </w:rPr>
        <w:t>it</w:t>
      </w:r>
      <w:r>
        <w:rPr>
          <w:rFonts w:ascii="Arial" w:hAnsi="Arial"/>
          <w:spacing w:val="-18"/>
          <w:w w:val="105"/>
          <w:sz w:val="19"/>
        </w:rPr>
        <w:t xml:space="preserve"> </w:t>
      </w:r>
      <w:r>
        <w:rPr>
          <w:rFonts w:ascii="Arial" w:hAnsi="Arial"/>
          <w:w w:val="105"/>
          <w:sz w:val="19"/>
        </w:rPr>
        <w:t>was</w:t>
      </w:r>
      <w:r>
        <w:rPr>
          <w:rFonts w:ascii="Arial" w:hAnsi="Arial"/>
          <w:spacing w:val="-18"/>
          <w:w w:val="105"/>
          <w:sz w:val="19"/>
        </w:rPr>
        <w:t xml:space="preserve"> </w:t>
      </w:r>
      <w:r>
        <w:rPr>
          <w:rFonts w:ascii="Arial" w:hAnsi="Arial"/>
          <w:w w:val="105"/>
          <w:sz w:val="19"/>
        </w:rPr>
        <w:t>possible</w:t>
      </w:r>
      <w:r>
        <w:rPr>
          <w:rFonts w:ascii="Arial" w:hAnsi="Arial"/>
          <w:spacing w:val="-16"/>
          <w:w w:val="105"/>
          <w:sz w:val="19"/>
        </w:rPr>
        <w:t xml:space="preserve"> </w:t>
      </w:r>
      <w:r>
        <w:rPr>
          <w:rFonts w:ascii="Arial" w:hAnsi="Arial"/>
          <w:w w:val="105"/>
          <w:sz w:val="19"/>
        </w:rPr>
        <w:t>to</w:t>
      </w:r>
      <w:r>
        <w:rPr>
          <w:rFonts w:ascii="Arial" w:hAnsi="Arial"/>
          <w:spacing w:val="-18"/>
          <w:w w:val="105"/>
          <w:sz w:val="19"/>
        </w:rPr>
        <w:t xml:space="preserve"> </w:t>
      </w:r>
      <w:r>
        <w:rPr>
          <w:rFonts w:ascii="Arial" w:hAnsi="Arial"/>
          <w:w w:val="105"/>
          <w:sz w:val="19"/>
        </w:rPr>
        <w:t>identify</w:t>
      </w:r>
      <w:r>
        <w:rPr>
          <w:rFonts w:ascii="Arial" w:hAnsi="Arial"/>
          <w:spacing w:val="-17"/>
          <w:w w:val="105"/>
          <w:sz w:val="19"/>
        </w:rPr>
        <w:t xml:space="preserve"> </w:t>
      </w:r>
      <w:r>
        <w:rPr>
          <w:rFonts w:ascii="Arial" w:hAnsi="Arial"/>
          <w:w w:val="105"/>
          <w:sz w:val="19"/>
        </w:rPr>
        <w:t>the</w:t>
      </w:r>
      <w:r>
        <w:rPr>
          <w:rFonts w:ascii="Arial" w:hAnsi="Arial"/>
          <w:spacing w:val="-19"/>
          <w:w w:val="105"/>
          <w:sz w:val="19"/>
        </w:rPr>
        <w:t xml:space="preserve"> </w:t>
      </w:r>
      <w:r>
        <w:rPr>
          <w:rFonts w:ascii="Arial" w:hAnsi="Arial"/>
          <w:w w:val="105"/>
          <w:sz w:val="19"/>
        </w:rPr>
        <w:t>country</w:t>
      </w:r>
      <w:r>
        <w:rPr>
          <w:rFonts w:ascii="Arial" w:hAnsi="Arial"/>
          <w:spacing w:val="-19"/>
          <w:w w:val="105"/>
          <w:sz w:val="19"/>
        </w:rPr>
        <w:t xml:space="preserve"> </w:t>
      </w:r>
      <w:r>
        <w:rPr>
          <w:rFonts w:ascii="Arial" w:hAnsi="Arial"/>
          <w:w w:val="105"/>
          <w:sz w:val="19"/>
        </w:rPr>
        <w:t>of</w:t>
      </w:r>
      <w:r>
        <w:rPr>
          <w:rFonts w:ascii="Arial" w:hAnsi="Arial"/>
          <w:spacing w:val="-18"/>
          <w:w w:val="105"/>
          <w:sz w:val="19"/>
        </w:rPr>
        <w:t xml:space="preserve"> </w:t>
      </w:r>
      <w:r>
        <w:rPr>
          <w:rFonts w:ascii="Arial" w:hAnsi="Arial"/>
          <w:w w:val="105"/>
          <w:sz w:val="19"/>
        </w:rPr>
        <w:t>origin</w:t>
      </w:r>
      <w:r>
        <w:rPr>
          <w:rFonts w:ascii="Arial" w:hAnsi="Arial"/>
          <w:spacing w:val="-17"/>
          <w:w w:val="105"/>
          <w:sz w:val="19"/>
        </w:rPr>
        <w:t xml:space="preserve"> </w:t>
      </w:r>
      <w:r>
        <w:rPr>
          <w:rFonts w:ascii="Arial" w:hAnsi="Arial"/>
          <w:w w:val="105"/>
          <w:sz w:val="19"/>
        </w:rPr>
        <w:t>of</w:t>
      </w:r>
      <w:r>
        <w:rPr>
          <w:rFonts w:ascii="Arial" w:hAnsi="Arial"/>
          <w:spacing w:val="-18"/>
          <w:w w:val="105"/>
          <w:sz w:val="19"/>
        </w:rPr>
        <w:t xml:space="preserve"> </w:t>
      </w:r>
      <w:r>
        <w:rPr>
          <w:rFonts w:ascii="Arial" w:hAnsi="Arial"/>
          <w:w w:val="105"/>
          <w:sz w:val="19"/>
        </w:rPr>
        <w:t>the</w:t>
      </w:r>
      <w:r>
        <w:rPr>
          <w:rFonts w:ascii="Arial" w:hAnsi="Arial"/>
          <w:spacing w:val="-18"/>
          <w:w w:val="105"/>
          <w:sz w:val="19"/>
        </w:rPr>
        <w:t xml:space="preserve"> </w:t>
      </w:r>
      <w:r>
        <w:rPr>
          <w:rFonts w:ascii="Arial" w:hAnsi="Arial"/>
          <w:w w:val="105"/>
          <w:sz w:val="19"/>
        </w:rPr>
        <w:t>manufacturer/brand</w:t>
      </w:r>
      <w:r>
        <w:rPr>
          <w:rFonts w:ascii="Arial" w:hAnsi="Arial"/>
          <w:spacing w:val="-18"/>
          <w:w w:val="105"/>
          <w:sz w:val="19"/>
        </w:rPr>
        <w:t xml:space="preserve"> </w:t>
      </w:r>
      <w:r>
        <w:rPr>
          <w:rFonts w:ascii="Arial" w:hAnsi="Arial"/>
          <w:w w:val="105"/>
          <w:sz w:val="19"/>
        </w:rPr>
        <w:t>owner</w:t>
      </w:r>
      <w:r>
        <w:rPr>
          <w:rFonts w:ascii="Arial" w:hAnsi="Arial"/>
          <w:spacing w:val="-17"/>
          <w:w w:val="105"/>
          <w:sz w:val="19"/>
        </w:rPr>
        <w:t xml:space="preserve"> </w:t>
      </w:r>
      <w:r>
        <w:rPr>
          <w:rFonts w:ascii="Arial" w:hAnsi="Arial"/>
          <w:w w:val="105"/>
          <w:sz w:val="19"/>
        </w:rPr>
        <w:t>by the</w:t>
      </w:r>
      <w:r>
        <w:rPr>
          <w:rFonts w:ascii="Arial" w:hAnsi="Arial"/>
          <w:spacing w:val="-20"/>
          <w:w w:val="105"/>
          <w:sz w:val="19"/>
        </w:rPr>
        <w:t xml:space="preserve"> </w:t>
      </w:r>
      <w:r>
        <w:rPr>
          <w:rFonts w:ascii="Arial" w:hAnsi="Arial"/>
          <w:w w:val="105"/>
          <w:sz w:val="19"/>
        </w:rPr>
        <w:t>product</w:t>
      </w:r>
      <w:r>
        <w:rPr>
          <w:rFonts w:ascii="Arial" w:hAnsi="Arial"/>
          <w:spacing w:val="-17"/>
          <w:w w:val="105"/>
          <w:sz w:val="19"/>
        </w:rPr>
        <w:t xml:space="preserve"> </w:t>
      </w:r>
      <w:r>
        <w:rPr>
          <w:rFonts w:ascii="Arial" w:hAnsi="Arial"/>
          <w:w w:val="105"/>
          <w:sz w:val="19"/>
        </w:rPr>
        <w:t>information</w:t>
      </w:r>
      <w:r>
        <w:rPr>
          <w:rFonts w:ascii="Arial" w:hAnsi="Arial"/>
          <w:spacing w:val="-20"/>
          <w:w w:val="105"/>
          <w:sz w:val="19"/>
        </w:rPr>
        <w:t xml:space="preserve"> </w:t>
      </w:r>
      <w:r>
        <w:rPr>
          <w:rFonts w:ascii="Arial" w:hAnsi="Arial"/>
          <w:w w:val="105"/>
          <w:sz w:val="19"/>
        </w:rPr>
        <w:t>provided</w:t>
      </w:r>
      <w:r>
        <w:rPr>
          <w:rFonts w:ascii="Arial" w:hAnsi="Arial"/>
          <w:spacing w:val="-19"/>
          <w:w w:val="105"/>
          <w:sz w:val="19"/>
        </w:rPr>
        <w:t xml:space="preserve"> </w:t>
      </w:r>
      <w:r>
        <w:rPr>
          <w:rFonts w:ascii="Arial" w:hAnsi="Arial"/>
          <w:w w:val="105"/>
          <w:sz w:val="19"/>
        </w:rPr>
        <w:t>on</w:t>
      </w:r>
      <w:r>
        <w:rPr>
          <w:rFonts w:ascii="Arial" w:hAnsi="Arial"/>
          <w:spacing w:val="-18"/>
          <w:w w:val="105"/>
          <w:sz w:val="19"/>
        </w:rPr>
        <w:t xml:space="preserve"> </w:t>
      </w:r>
      <w:r>
        <w:rPr>
          <w:rFonts w:ascii="Arial" w:hAnsi="Arial"/>
          <w:w w:val="105"/>
          <w:sz w:val="19"/>
        </w:rPr>
        <w:t>the</w:t>
      </w:r>
      <w:r>
        <w:rPr>
          <w:rFonts w:ascii="Arial" w:hAnsi="Arial"/>
          <w:spacing w:val="-19"/>
          <w:w w:val="105"/>
          <w:sz w:val="19"/>
        </w:rPr>
        <w:t xml:space="preserve"> </w:t>
      </w:r>
      <w:r>
        <w:rPr>
          <w:rFonts w:ascii="Arial" w:hAnsi="Arial"/>
          <w:w w:val="105"/>
          <w:sz w:val="19"/>
        </w:rPr>
        <w:t>retailer’s</w:t>
      </w:r>
      <w:r>
        <w:rPr>
          <w:rFonts w:ascii="Arial" w:hAnsi="Arial"/>
          <w:spacing w:val="-14"/>
          <w:w w:val="105"/>
          <w:sz w:val="19"/>
        </w:rPr>
        <w:t xml:space="preserve"> </w:t>
      </w:r>
      <w:r>
        <w:rPr>
          <w:rFonts w:ascii="Arial" w:hAnsi="Arial"/>
          <w:w w:val="105"/>
          <w:sz w:val="19"/>
        </w:rPr>
        <w:t>website.</w:t>
      </w:r>
      <w:r>
        <w:rPr>
          <w:rFonts w:ascii="Arial" w:hAnsi="Arial"/>
          <w:spacing w:val="-18"/>
          <w:w w:val="105"/>
          <w:sz w:val="19"/>
        </w:rPr>
        <w:t xml:space="preserve"> </w:t>
      </w:r>
      <w:r>
        <w:rPr>
          <w:rFonts w:ascii="Arial" w:hAnsi="Arial"/>
          <w:w w:val="105"/>
          <w:sz w:val="19"/>
        </w:rPr>
        <w:t>Where</w:t>
      </w:r>
      <w:r>
        <w:rPr>
          <w:rFonts w:ascii="Arial" w:hAnsi="Arial"/>
          <w:spacing w:val="-19"/>
          <w:w w:val="105"/>
          <w:sz w:val="19"/>
        </w:rPr>
        <w:t xml:space="preserve"> </w:t>
      </w:r>
      <w:r>
        <w:rPr>
          <w:rFonts w:ascii="Arial" w:hAnsi="Arial"/>
          <w:w w:val="105"/>
          <w:sz w:val="19"/>
        </w:rPr>
        <w:t>the</w:t>
      </w:r>
      <w:r>
        <w:rPr>
          <w:rFonts w:ascii="Arial" w:hAnsi="Arial"/>
          <w:spacing w:val="-18"/>
          <w:w w:val="105"/>
          <w:sz w:val="19"/>
        </w:rPr>
        <w:t xml:space="preserve"> </w:t>
      </w:r>
      <w:r>
        <w:rPr>
          <w:rFonts w:ascii="Arial" w:hAnsi="Arial"/>
          <w:w w:val="105"/>
          <w:sz w:val="19"/>
        </w:rPr>
        <w:t>country</w:t>
      </w:r>
      <w:r>
        <w:rPr>
          <w:rFonts w:ascii="Arial" w:hAnsi="Arial"/>
          <w:spacing w:val="-18"/>
          <w:w w:val="105"/>
          <w:sz w:val="19"/>
        </w:rPr>
        <w:t xml:space="preserve"> </w:t>
      </w:r>
      <w:r>
        <w:rPr>
          <w:rFonts w:ascii="Arial" w:hAnsi="Arial"/>
          <w:w w:val="105"/>
          <w:sz w:val="19"/>
        </w:rPr>
        <w:t>of</w:t>
      </w:r>
      <w:r>
        <w:rPr>
          <w:rFonts w:ascii="Arial" w:hAnsi="Arial"/>
          <w:spacing w:val="-20"/>
          <w:w w:val="105"/>
          <w:sz w:val="19"/>
        </w:rPr>
        <w:t xml:space="preserve"> </w:t>
      </w:r>
      <w:r>
        <w:rPr>
          <w:rFonts w:ascii="Arial" w:hAnsi="Arial"/>
          <w:w w:val="105"/>
          <w:sz w:val="19"/>
        </w:rPr>
        <w:t>origin</w:t>
      </w:r>
      <w:r>
        <w:rPr>
          <w:rFonts w:ascii="Arial" w:hAnsi="Arial"/>
          <w:spacing w:val="-17"/>
          <w:w w:val="105"/>
          <w:sz w:val="19"/>
        </w:rPr>
        <w:t xml:space="preserve"> </w:t>
      </w:r>
      <w:r>
        <w:rPr>
          <w:rFonts w:ascii="Arial" w:hAnsi="Arial"/>
          <w:w w:val="105"/>
          <w:sz w:val="19"/>
        </w:rPr>
        <w:t>could</w:t>
      </w:r>
      <w:r>
        <w:rPr>
          <w:rFonts w:ascii="Arial" w:hAnsi="Arial"/>
          <w:spacing w:val="-20"/>
          <w:w w:val="105"/>
          <w:sz w:val="19"/>
        </w:rPr>
        <w:t xml:space="preserve"> </w:t>
      </w:r>
      <w:r>
        <w:rPr>
          <w:rFonts w:ascii="Arial" w:hAnsi="Arial"/>
          <w:w w:val="105"/>
          <w:sz w:val="19"/>
        </w:rPr>
        <w:t>not</w:t>
      </w:r>
      <w:r>
        <w:rPr>
          <w:rFonts w:ascii="Arial" w:hAnsi="Arial"/>
          <w:spacing w:val="-19"/>
          <w:w w:val="105"/>
          <w:sz w:val="19"/>
        </w:rPr>
        <w:t xml:space="preserve"> </w:t>
      </w:r>
      <w:r>
        <w:rPr>
          <w:rFonts w:ascii="Arial" w:hAnsi="Arial"/>
          <w:w w:val="105"/>
          <w:sz w:val="19"/>
        </w:rPr>
        <w:t>be established</w:t>
      </w:r>
      <w:r>
        <w:rPr>
          <w:rFonts w:ascii="Arial" w:hAnsi="Arial"/>
          <w:spacing w:val="-25"/>
          <w:w w:val="105"/>
          <w:sz w:val="19"/>
        </w:rPr>
        <w:t xml:space="preserve"> </w:t>
      </w:r>
      <w:r>
        <w:rPr>
          <w:rFonts w:ascii="Arial" w:hAnsi="Arial"/>
          <w:w w:val="105"/>
          <w:sz w:val="19"/>
        </w:rPr>
        <w:t>(n=32)</w:t>
      </w:r>
      <w:r>
        <w:rPr>
          <w:rFonts w:ascii="Arial" w:hAnsi="Arial"/>
          <w:spacing w:val="-24"/>
          <w:w w:val="105"/>
          <w:sz w:val="19"/>
        </w:rPr>
        <w:t xml:space="preserve"> </w:t>
      </w:r>
      <w:r>
        <w:rPr>
          <w:rFonts w:ascii="Arial" w:hAnsi="Arial"/>
          <w:w w:val="105"/>
          <w:sz w:val="19"/>
        </w:rPr>
        <w:t>these</w:t>
      </w:r>
      <w:r>
        <w:rPr>
          <w:rFonts w:ascii="Arial" w:hAnsi="Arial"/>
          <w:spacing w:val="-25"/>
          <w:w w:val="105"/>
          <w:sz w:val="19"/>
        </w:rPr>
        <w:t xml:space="preserve"> </w:t>
      </w:r>
      <w:r>
        <w:rPr>
          <w:rFonts w:ascii="Arial" w:hAnsi="Arial"/>
          <w:w w:val="105"/>
          <w:sz w:val="19"/>
        </w:rPr>
        <w:t>manufacturers/brand</w:t>
      </w:r>
      <w:r>
        <w:rPr>
          <w:rFonts w:ascii="Arial" w:hAnsi="Arial"/>
          <w:spacing w:val="-25"/>
          <w:w w:val="105"/>
          <w:sz w:val="19"/>
        </w:rPr>
        <w:t xml:space="preserve"> </w:t>
      </w:r>
      <w:r>
        <w:rPr>
          <w:rFonts w:ascii="Arial" w:hAnsi="Arial"/>
          <w:w w:val="105"/>
          <w:sz w:val="19"/>
        </w:rPr>
        <w:t>owners</w:t>
      </w:r>
      <w:r>
        <w:rPr>
          <w:rFonts w:ascii="Arial" w:hAnsi="Arial"/>
          <w:spacing w:val="-24"/>
          <w:w w:val="105"/>
          <w:sz w:val="19"/>
        </w:rPr>
        <w:t xml:space="preserve"> </w:t>
      </w:r>
      <w:r>
        <w:rPr>
          <w:rFonts w:ascii="Arial" w:hAnsi="Arial"/>
          <w:w w:val="105"/>
          <w:sz w:val="19"/>
        </w:rPr>
        <w:t>were</w:t>
      </w:r>
      <w:r>
        <w:rPr>
          <w:rFonts w:ascii="Arial" w:hAnsi="Arial"/>
          <w:spacing w:val="-25"/>
          <w:w w:val="105"/>
          <w:sz w:val="19"/>
        </w:rPr>
        <w:t xml:space="preserve"> </w:t>
      </w:r>
      <w:r>
        <w:rPr>
          <w:rFonts w:ascii="Arial" w:hAnsi="Arial"/>
          <w:w w:val="105"/>
          <w:sz w:val="19"/>
        </w:rPr>
        <w:t>assumed</w:t>
      </w:r>
      <w:r>
        <w:rPr>
          <w:rFonts w:ascii="Arial" w:hAnsi="Arial"/>
          <w:spacing w:val="-26"/>
          <w:w w:val="105"/>
          <w:sz w:val="19"/>
        </w:rPr>
        <w:t xml:space="preserve"> </w:t>
      </w:r>
      <w:r>
        <w:rPr>
          <w:rFonts w:ascii="Arial" w:hAnsi="Arial"/>
          <w:w w:val="105"/>
          <w:sz w:val="19"/>
        </w:rPr>
        <w:t>to</w:t>
      </w:r>
      <w:r>
        <w:rPr>
          <w:rFonts w:ascii="Arial" w:hAnsi="Arial"/>
          <w:spacing w:val="-24"/>
          <w:w w:val="105"/>
          <w:sz w:val="19"/>
        </w:rPr>
        <w:t xml:space="preserve"> </w:t>
      </w:r>
      <w:r>
        <w:rPr>
          <w:rFonts w:ascii="Arial" w:hAnsi="Arial"/>
          <w:w w:val="105"/>
          <w:sz w:val="19"/>
        </w:rPr>
        <w:t>be</w:t>
      </w:r>
      <w:r>
        <w:rPr>
          <w:rFonts w:ascii="Arial" w:hAnsi="Arial"/>
          <w:spacing w:val="-24"/>
          <w:w w:val="105"/>
          <w:sz w:val="19"/>
        </w:rPr>
        <w:t xml:space="preserve"> </w:t>
      </w:r>
      <w:r>
        <w:rPr>
          <w:rFonts w:ascii="Arial" w:hAnsi="Arial"/>
          <w:w w:val="105"/>
          <w:sz w:val="19"/>
        </w:rPr>
        <w:t>Australian</w:t>
      </w:r>
      <w:r>
        <w:rPr>
          <w:rFonts w:ascii="Arial" w:hAnsi="Arial"/>
          <w:w w:val="105"/>
          <w:position w:val="7"/>
          <w:sz w:val="11"/>
        </w:rPr>
        <w:t>37</w:t>
      </w:r>
      <w:r>
        <w:rPr>
          <w:rFonts w:ascii="Arial" w:hAnsi="Arial"/>
          <w:w w:val="105"/>
          <w:sz w:val="19"/>
        </w:rPr>
        <w:t>,</w:t>
      </w:r>
      <w:r>
        <w:rPr>
          <w:rFonts w:ascii="Arial" w:hAnsi="Arial"/>
          <w:spacing w:val="-23"/>
          <w:w w:val="105"/>
          <w:sz w:val="19"/>
        </w:rPr>
        <w:t xml:space="preserve"> </w:t>
      </w:r>
      <w:r>
        <w:rPr>
          <w:rFonts w:ascii="Arial" w:hAnsi="Arial"/>
          <w:w w:val="105"/>
          <w:sz w:val="19"/>
        </w:rPr>
        <w:t>as</w:t>
      </w:r>
      <w:r>
        <w:rPr>
          <w:rFonts w:ascii="Arial" w:hAnsi="Arial"/>
          <w:spacing w:val="-26"/>
          <w:w w:val="105"/>
          <w:sz w:val="19"/>
        </w:rPr>
        <w:t xml:space="preserve"> </w:t>
      </w:r>
      <w:r>
        <w:rPr>
          <w:rFonts w:ascii="Arial" w:hAnsi="Arial"/>
          <w:w w:val="105"/>
          <w:sz w:val="19"/>
        </w:rPr>
        <w:t>were manufacturers were there was evidence of both domestic and international manufacturing. It is acknowledged that this approach has likely resulted in an overestimation of the number of Australian manufacturers/brand owners, given that a high proportion of sports supplements products</w:t>
      </w:r>
      <w:r>
        <w:rPr>
          <w:rFonts w:ascii="Arial" w:hAnsi="Arial"/>
          <w:spacing w:val="-30"/>
          <w:w w:val="105"/>
          <w:sz w:val="19"/>
        </w:rPr>
        <w:t xml:space="preserve"> </w:t>
      </w:r>
      <w:r>
        <w:rPr>
          <w:rFonts w:ascii="Arial" w:hAnsi="Arial"/>
          <w:w w:val="105"/>
          <w:sz w:val="19"/>
        </w:rPr>
        <w:t>are</w:t>
      </w:r>
      <w:r>
        <w:rPr>
          <w:rFonts w:ascii="Arial" w:hAnsi="Arial"/>
          <w:spacing w:val="-30"/>
          <w:w w:val="105"/>
          <w:sz w:val="19"/>
        </w:rPr>
        <w:t xml:space="preserve"> </w:t>
      </w:r>
      <w:r>
        <w:rPr>
          <w:rFonts w:ascii="Arial" w:hAnsi="Arial"/>
          <w:w w:val="105"/>
          <w:sz w:val="19"/>
        </w:rPr>
        <w:t>produced</w:t>
      </w:r>
      <w:r>
        <w:rPr>
          <w:rFonts w:ascii="Arial" w:hAnsi="Arial"/>
          <w:spacing w:val="-29"/>
          <w:w w:val="105"/>
          <w:sz w:val="19"/>
        </w:rPr>
        <w:t xml:space="preserve"> </w:t>
      </w:r>
      <w:r>
        <w:rPr>
          <w:rFonts w:ascii="Arial" w:hAnsi="Arial"/>
          <w:w w:val="105"/>
          <w:sz w:val="19"/>
        </w:rPr>
        <w:t>overseas</w:t>
      </w:r>
      <w:r>
        <w:rPr>
          <w:rFonts w:ascii="Arial" w:hAnsi="Arial"/>
          <w:spacing w:val="-28"/>
          <w:w w:val="105"/>
          <w:sz w:val="19"/>
        </w:rPr>
        <w:t xml:space="preserve"> </w:t>
      </w:r>
      <w:r>
        <w:rPr>
          <w:rFonts w:ascii="Arial" w:hAnsi="Arial"/>
          <w:w w:val="105"/>
          <w:sz w:val="19"/>
        </w:rPr>
        <w:t>but</w:t>
      </w:r>
      <w:r>
        <w:rPr>
          <w:rFonts w:ascii="Arial" w:hAnsi="Arial"/>
          <w:spacing w:val="-30"/>
          <w:w w:val="105"/>
          <w:sz w:val="19"/>
        </w:rPr>
        <w:t xml:space="preserve"> </w:t>
      </w:r>
      <w:r>
        <w:rPr>
          <w:rFonts w:ascii="Arial" w:hAnsi="Arial"/>
          <w:w w:val="105"/>
          <w:sz w:val="19"/>
        </w:rPr>
        <w:t>a</w:t>
      </w:r>
      <w:r>
        <w:rPr>
          <w:rFonts w:ascii="Arial" w:hAnsi="Arial"/>
          <w:spacing w:val="-26"/>
          <w:w w:val="105"/>
          <w:sz w:val="19"/>
        </w:rPr>
        <w:t xml:space="preserve"> </w:t>
      </w:r>
      <w:r>
        <w:rPr>
          <w:rFonts w:ascii="Arial" w:hAnsi="Arial"/>
          <w:w w:val="105"/>
          <w:sz w:val="19"/>
        </w:rPr>
        <w:t>conservative</w:t>
      </w:r>
      <w:r>
        <w:rPr>
          <w:rFonts w:ascii="Arial" w:hAnsi="Arial"/>
          <w:spacing w:val="-28"/>
          <w:w w:val="105"/>
          <w:sz w:val="19"/>
        </w:rPr>
        <w:t xml:space="preserve"> </w:t>
      </w:r>
      <w:r>
        <w:rPr>
          <w:rFonts w:ascii="Arial" w:hAnsi="Arial"/>
          <w:w w:val="105"/>
          <w:sz w:val="19"/>
        </w:rPr>
        <w:t>approach</w:t>
      </w:r>
      <w:r>
        <w:rPr>
          <w:rFonts w:ascii="Arial" w:hAnsi="Arial"/>
          <w:spacing w:val="-30"/>
          <w:w w:val="105"/>
          <w:sz w:val="19"/>
        </w:rPr>
        <w:t xml:space="preserve"> </w:t>
      </w:r>
      <w:r>
        <w:rPr>
          <w:rFonts w:ascii="Arial" w:hAnsi="Arial"/>
          <w:w w:val="105"/>
          <w:sz w:val="19"/>
        </w:rPr>
        <w:t>has</w:t>
      </w:r>
      <w:r>
        <w:rPr>
          <w:rFonts w:ascii="Arial" w:hAnsi="Arial"/>
          <w:spacing w:val="-30"/>
          <w:w w:val="105"/>
          <w:sz w:val="19"/>
        </w:rPr>
        <w:t xml:space="preserve"> </w:t>
      </w:r>
      <w:r>
        <w:rPr>
          <w:rFonts w:ascii="Arial" w:hAnsi="Arial"/>
          <w:w w:val="105"/>
          <w:sz w:val="19"/>
        </w:rPr>
        <w:t>been</w:t>
      </w:r>
      <w:r>
        <w:rPr>
          <w:rFonts w:ascii="Arial" w:hAnsi="Arial"/>
          <w:spacing w:val="-29"/>
          <w:w w:val="105"/>
          <w:sz w:val="19"/>
        </w:rPr>
        <w:t xml:space="preserve"> </w:t>
      </w:r>
      <w:r>
        <w:rPr>
          <w:rFonts w:ascii="Arial" w:hAnsi="Arial"/>
          <w:w w:val="105"/>
          <w:sz w:val="19"/>
        </w:rPr>
        <w:t>applied</w:t>
      </w:r>
      <w:r>
        <w:rPr>
          <w:rFonts w:ascii="Arial" w:hAnsi="Arial"/>
          <w:spacing w:val="-30"/>
          <w:w w:val="105"/>
          <w:sz w:val="19"/>
        </w:rPr>
        <w:t xml:space="preserve"> </w:t>
      </w:r>
      <w:r>
        <w:rPr>
          <w:rFonts w:ascii="Arial" w:hAnsi="Arial"/>
          <w:w w:val="105"/>
          <w:sz w:val="19"/>
        </w:rPr>
        <w:t>to</w:t>
      </w:r>
      <w:r>
        <w:rPr>
          <w:rFonts w:ascii="Arial" w:hAnsi="Arial"/>
          <w:spacing w:val="-29"/>
          <w:w w:val="105"/>
          <w:sz w:val="19"/>
        </w:rPr>
        <w:t xml:space="preserve"> </w:t>
      </w:r>
      <w:r>
        <w:rPr>
          <w:rFonts w:ascii="Arial" w:hAnsi="Arial"/>
          <w:w w:val="105"/>
          <w:sz w:val="19"/>
        </w:rPr>
        <w:t>this</w:t>
      </w:r>
      <w:r>
        <w:rPr>
          <w:rFonts w:ascii="Arial" w:hAnsi="Arial"/>
          <w:spacing w:val="-30"/>
          <w:w w:val="105"/>
          <w:sz w:val="19"/>
        </w:rPr>
        <w:t xml:space="preserve"> </w:t>
      </w:r>
      <w:r>
        <w:rPr>
          <w:rFonts w:ascii="Arial" w:hAnsi="Arial"/>
          <w:w w:val="105"/>
          <w:sz w:val="19"/>
        </w:rPr>
        <w:t>specific</w:t>
      </w:r>
      <w:r>
        <w:rPr>
          <w:rFonts w:ascii="Arial" w:hAnsi="Arial"/>
          <w:spacing w:val="-28"/>
          <w:w w:val="105"/>
          <w:sz w:val="19"/>
        </w:rPr>
        <w:t xml:space="preserve"> </w:t>
      </w:r>
      <w:r>
        <w:rPr>
          <w:rFonts w:ascii="Arial" w:hAnsi="Arial"/>
          <w:w w:val="105"/>
          <w:sz w:val="19"/>
        </w:rPr>
        <w:t>factor of the calculation of the regulatory cost. The breakdown of the country of manufacture for the identified</w:t>
      </w:r>
      <w:r>
        <w:rPr>
          <w:rFonts w:ascii="Arial" w:hAnsi="Arial"/>
          <w:spacing w:val="-13"/>
          <w:w w:val="105"/>
          <w:sz w:val="19"/>
        </w:rPr>
        <w:t xml:space="preserve"> </w:t>
      </w:r>
      <w:r>
        <w:rPr>
          <w:rFonts w:ascii="Arial" w:hAnsi="Arial"/>
          <w:w w:val="105"/>
          <w:sz w:val="19"/>
        </w:rPr>
        <w:t>distinct</w:t>
      </w:r>
      <w:r>
        <w:rPr>
          <w:rFonts w:ascii="Arial" w:hAnsi="Arial"/>
          <w:spacing w:val="-13"/>
          <w:w w:val="105"/>
          <w:sz w:val="19"/>
        </w:rPr>
        <w:t xml:space="preserve"> </w:t>
      </w:r>
      <w:r>
        <w:rPr>
          <w:rFonts w:ascii="Arial" w:hAnsi="Arial"/>
          <w:w w:val="105"/>
          <w:sz w:val="19"/>
        </w:rPr>
        <w:t>products</w:t>
      </w:r>
      <w:r>
        <w:rPr>
          <w:rFonts w:ascii="Arial" w:hAnsi="Arial"/>
          <w:spacing w:val="-11"/>
          <w:w w:val="105"/>
          <w:sz w:val="19"/>
        </w:rPr>
        <w:t xml:space="preserve"> </w:t>
      </w:r>
      <w:r>
        <w:rPr>
          <w:rFonts w:ascii="Arial" w:hAnsi="Arial"/>
          <w:w w:val="105"/>
          <w:sz w:val="19"/>
        </w:rPr>
        <w:t>is</w:t>
      </w:r>
      <w:r>
        <w:rPr>
          <w:rFonts w:ascii="Arial" w:hAnsi="Arial"/>
          <w:spacing w:val="-12"/>
          <w:w w:val="105"/>
          <w:sz w:val="19"/>
        </w:rPr>
        <w:t xml:space="preserve"> </w:t>
      </w:r>
      <w:r>
        <w:rPr>
          <w:rFonts w:ascii="Arial" w:hAnsi="Arial"/>
          <w:w w:val="105"/>
          <w:sz w:val="19"/>
        </w:rPr>
        <w:t>shown</w:t>
      </w:r>
      <w:r>
        <w:rPr>
          <w:rFonts w:ascii="Arial" w:hAnsi="Arial"/>
          <w:spacing w:val="-12"/>
          <w:w w:val="105"/>
          <w:sz w:val="19"/>
        </w:rPr>
        <w:t xml:space="preserve"> </w:t>
      </w:r>
      <w:r>
        <w:rPr>
          <w:rFonts w:ascii="Arial" w:hAnsi="Arial"/>
          <w:w w:val="105"/>
          <w:sz w:val="19"/>
        </w:rPr>
        <w:t>in</w:t>
      </w:r>
      <w:r>
        <w:rPr>
          <w:rFonts w:ascii="Arial" w:hAnsi="Arial"/>
          <w:spacing w:val="-13"/>
          <w:w w:val="105"/>
          <w:sz w:val="19"/>
        </w:rPr>
        <w:t xml:space="preserve"> </w:t>
      </w:r>
      <w:r>
        <w:rPr>
          <w:rFonts w:ascii="Arial" w:hAnsi="Arial"/>
          <w:w w:val="105"/>
          <w:sz w:val="19"/>
        </w:rPr>
        <w:t>the</w:t>
      </w:r>
      <w:r>
        <w:rPr>
          <w:rFonts w:ascii="Arial" w:hAnsi="Arial"/>
          <w:spacing w:val="-10"/>
          <w:w w:val="105"/>
          <w:sz w:val="19"/>
        </w:rPr>
        <w:t xml:space="preserve"> </w:t>
      </w:r>
      <w:r>
        <w:rPr>
          <w:rFonts w:ascii="Arial" w:hAnsi="Arial"/>
          <w:w w:val="105"/>
          <w:sz w:val="19"/>
        </w:rPr>
        <w:t>table</w:t>
      </w:r>
      <w:r>
        <w:rPr>
          <w:rFonts w:ascii="Arial" w:hAnsi="Arial"/>
          <w:spacing w:val="-11"/>
          <w:w w:val="105"/>
          <w:sz w:val="19"/>
        </w:rPr>
        <w:t xml:space="preserve"> </w:t>
      </w:r>
      <w:r>
        <w:rPr>
          <w:rFonts w:ascii="Arial" w:hAnsi="Arial"/>
          <w:w w:val="105"/>
          <w:sz w:val="19"/>
        </w:rPr>
        <w:t>below.</w:t>
      </w:r>
    </w:p>
    <w:p w:rsidR="007D76BB" w:rsidRDefault="007D76BB">
      <w:pPr>
        <w:pStyle w:val="BodyText"/>
        <w:rPr>
          <w:rFonts w:ascii="Arial"/>
          <w:sz w:val="21"/>
        </w:rPr>
      </w:pPr>
    </w:p>
    <w:p w:rsidR="007D76BB" w:rsidRDefault="00D70D28">
      <w:pPr>
        <w:ind w:left="482"/>
        <w:rPr>
          <w:rFonts w:ascii="Arial"/>
          <w:sz w:val="19"/>
        </w:rPr>
      </w:pPr>
      <w:r>
        <w:rPr>
          <w:rFonts w:ascii="Arial"/>
          <w:color w:val="005386"/>
          <w:w w:val="105"/>
          <w:sz w:val="19"/>
        </w:rPr>
        <w:t>Table 5. Country of manufacture</w:t>
      </w:r>
    </w:p>
    <w:p w:rsidR="007D76BB" w:rsidRDefault="007D76BB">
      <w:pPr>
        <w:pStyle w:val="BodyText"/>
        <w:spacing w:before="3" w:after="1"/>
        <w:rPr>
          <w:rFonts w:ascii="Arial"/>
          <w:sz w:val="16"/>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850"/>
        <w:gridCol w:w="1200"/>
      </w:tblGrid>
      <w:tr w:rsidR="007D76BB">
        <w:trPr>
          <w:trHeight w:val="239"/>
        </w:trPr>
        <w:tc>
          <w:tcPr>
            <w:tcW w:w="2264" w:type="dxa"/>
            <w:shd w:val="clear" w:color="auto" w:fill="005386"/>
          </w:tcPr>
          <w:p w:rsidR="007D76BB" w:rsidRDefault="00D70D28">
            <w:pPr>
              <w:pStyle w:val="TableParagraph"/>
              <w:spacing w:before="13" w:line="206" w:lineRule="exact"/>
              <w:ind w:left="107"/>
              <w:rPr>
                <w:rFonts w:ascii="Arial"/>
                <w:sz w:val="19"/>
              </w:rPr>
            </w:pPr>
            <w:r>
              <w:rPr>
                <w:rFonts w:ascii="Arial"/>
                <w:color w:val="FFFFFF"/>
                <w:w w:val="105"/>
                <w:sz w:val="19"/>
              </w:rPr>
              <w:t>Country of Manufacture</w:t>
            </w:r>
          </w:p>
        </w:tc>
        <w:tc>
          <w:tcPr>
            <w:tcW w:w="850" w:type="dxa"/>
            <w:shd w:val="clear" w:color="auto" w:fill="005386"/>
          </w:tcPr>
          <w:p w:rsidR="007D76BB" w:rsidRDefault="00D70D28">
            <w:pPr>
              <w:pStyle w:val="TableParagraph"/>
              <w:spacing w:before="13" w:line="206" w:lineRule="exact"/>
              <w:ind w:left="107"/>
              <w:rPr>
                <w:rFonts w:ascii="Arial"/>
                <w:sz w:val="19"/>
              </w:rPr>
            </w:pPr>
            <w:r>
              <w:rPr>
                <w:rFonts w:ascii="Arial"/>
                <w:color w:val="FFFFFF"/>
                <w:w w:val="105"/>
                <w:sz w:val="19"/>
              </w:rPr>
              <w:t>Count</w:t>
            </w:r>
          </w:p>
        </w:tc>
        <w:tc>
          <w:tcPr>
            <w:tcW w:w="1200" w:type="dxa"/>
            <w:shd w:val="clear" w:color="auto" w:fill="005386"/>
          </w:tcPr>
          <w:p w:rsidR="007D76BB" w:rsidRDefault="00D70D28">
            <w:pPr>
              <w:pStyle w:val="TableParagraph"/>
              <w:spacing w:before="13" w:line="206" w:lineRule="exact"/>
              <w:ind w:right="99"/>
              <w:jc w:val="right"/>
              <w:rPr>
                <w:rFonts w:ascii="Arial"/>
                <w:sz w:val="19"/>
              </w:rPr>
            </w:pPr>
            <w:r>
              <w:rPr>
                <w:rFonts w:ascii="Arial"/>
                <w:color w:val="FFFFFF"/>
                <w:sz w:val="19"/>
              </w:rPr>
              <w:t>Percentage</w:t>
            </w:r>
          </w:p>
        </w:tc>
      </w:tr>
      <w:tr w:rsidR="007D76BB">
        <w:trPr>
          <w:trHeight w:val="242"/>
        </w:trPr>
        <w:tc>
          <w:tcPr>
            <w:tcW w:w="2264" w:type="dxa"/>
          </w:tcPr>
          <w:p w:rsidR="007D76BB" w:rsidRDefault="00D70D28">
            <w:pPr>
              <w:pStyle w:val="TableParagraph"/>
              <w:spacing w:before="14" w:line="208" w:lineRule="exact"/>
              <w:ind w:left="107"/>
              <w:rPr>
                <w:rFonts w:ascii="Arial"/>
                <w:sz w:val="19"/>
              </w:rPr>
            </w:pPr>
            <w:r>
              <w:rPr>
                <w:rFonts w:ascii="Arial"/>
                <w:w w:val="105"/>
                <w:sz w:val="19"/>
              </w:rPr>
              <w:t>Not determined</w:t>
            </w:r>
          </w:p>
        </w:tc>
        <w:tc>
          <w:tcPr>
            <w:tcW w:w="850" w:type="dxa"/>
          </w:tcPr>
          <w:p w:rsidR="007D76BB" w:rsidRDefault="00D70D28">
            <w:pPr>
              <w:pStyle w:val="TableParagraph"/>
              <w:spacing w:before="14" w:line="208" w:lineRule="exact"/>
              <w:ind w:right="94"/>
              <w:jc w:val="right"/>
              <w:rPr>
                <w:rFonts w:ascii="Arial"/>
                <w:sz w:val="19"/>
              </w:rPr>
            </w:pPr>
            <w:r>
              <w:rPr>
                <w:rFonts w:ascii="Arial"/>
                <w:w w:val="105"/>
                <w:sz w:val="19"/>
              </w:rPr>
              <w:t>32</w:t>
            </w:r>
          </w:p>
        </w:tc>
        <w:tc>
          <w:tcPr>
            <w:tcW w:w="1200" w:type="dxa"/>
            <w:vMerge w:val="restart"/>
          </w:tcPr>
          <w:p w:rsidR="007D76BB" w:rsidRDefault="007D76BB">
            <w:pPr>
              <w:pStyle w:val="TableParagraph"/>
              <w:rPr>
                <w:rFonts w:ascii="Times New Roman"/>
                <w:sz w:val="16"/>
              </w:rPr>
            </w:pPr>
          </w:p>
        </w:tc>
      </w:tr>
      <w:tr w:rsidR="007D76BB">
        <w:trPr>
          <w:trHeight w:val="239"/>
        </w:trPr>
        <w:tc>
          <w:tcPr>
            <w:tcW w:w="2264" w:type="dxa"/>
          </w:tcPr>
          <w:p w:rsidR="007D76BB" w:rsidRDefault="00D70D28">
            <w:pPr>
              <w:pStyle w:val="TableParagraph"/>
              <w:spacing w:before="13" w:line="206" w:lineRule="exact"/>
              <w:ind w:left="107"/>
              <w:rPr>
                <w:rFonts w:ascii="Arial"/>
                <w:sz w:val="19"/>
              </w:rPr>
            </w:pPr>
            <w:r>
              <w:rPr>
                <w:rFonts w:ascii="Arial"/>
                <w:sz w:val="19"/>
              </w:rPr>
              <w:t>AUS</w:t>
            </w:r>
          </w:p>
        </w:tc>
        <w:tc>
          <w:tcPr>
            <w:tcW w:w="850" w:type="dxa"/>
          </w:tcPr>
          <w:p w:rsidR="007D76BB" w:rsidRDefault="00D70D28">
            <w:pPr>
              <w:pStyle w:val="TableParagraph"/>
              <w:spacing w:before="13" w:line="206" w:lineRule="exact"/>
              <w:ind w:right="99"/>
              <w:jc w:val="right"/>
              <w:rPr>
                <w:rFonts w:ascii="Arial"/>
                <w:sz w:val="19"/>
              </w:rPr>
            </w:pPr>
            <w:r>
              <w:rPr>
                <w:rFonts w:ascii="Arial"/>
                <w:w w:val="110"/>
                <w:sz w:val="19"/>
              </w:rPr>
              <w:t>224</w:t>
            </w:r>
          </w:p>
        </w:tc>
        <w:tc>
          <w:tcPr>
            <w:tcW w:w="1200" w:type="dxa"/>
            <w:vMerge/>
            <w:tcBorders>
              <w:top w:val="nil"/>
            </w:tcBorders>
          </w:tcPr>
          <w:p w:rsidR="007D76BB" w:rsidRDefault="007D76BB">
            <w:pPr>
              <w:rPr>
                <w:sz w:val="2"/>
                <w:szCs w:val="2"/>
              </w:rPr>
            </w:pPr>
          </w:p>
        </w:tc>
      </w:tr>
      <w:tr w:rsidR="007D76BB">
        <w:trPr>
          <w:trHeight w:val="239"/>
        </w:trPr>
        <w:tc>
          <w:tcPr>
            <w:tcW w:w="2264" w:type="dxa"/>
          </w:tcPr>
          <w:p w:rsidR="007D76BB" w:rsidRDefault="00D70D28">
            <w:pPr>
              <w:pStyle w:val="TableParagraph"/>
              <w:spacing w:before="13" w:line="206" w:lineRule="exact"/>
              <w:ind w:left="107"/>
              <w:rPr>
                <w:rFonts w:ascii="Arial"/>
                <w:sz w:val="19"/>
              </w:rPr>
            </w:pPr>
            <w:r>
              <w:rPr>
                <w:rFonts w:ascii="Arial"/>
                <w:w w:val="110"/>
                <w:sz w:val="19"/>
              </w:rPr>
              <w:t>AUS/UK</w:t>
            </w:r>
          </w:p>
        </w:tc>
        <w:tc>
          <w:tcPr>
            <w:tcW w:w="850" w:type="dxa"/>
          </w:tcPr>
          <w:p w:rsidR="007D76BB" w:rsidRDefault="00D70D28">
            <w:pPr>
              <w:pStyle w:val="TableParagraph"/>
              <w:spacing w:before="13" w:line="206" w:lineRule="exact"/>
              <w:ind w:right="98"/>
              <w:jc w:val="right"/>
              <w:rPr>
                <w:rFonts w:ascii="Arial"/>
                <w:sz w:val="19"/>
              </w:rPr>
            </w:pPr>
            <w:r>
              <w:rPr>
                <w:rFonts w:ascii="Arial"/>
                <w:w w:val="66"/>
                <w:sz w:val="19"/>
              </w:rPr>
              <w:t>1</w:t>
            </w:r>
          </w:p>
        </w:tc>
        <w:tc>
          <w:tcPr>
            <w:tcW w:w="1200" w:type="dxa"/>
            <w:vMerge/>
            <w:tcBorders>
              <w:top w:val="nil"/>
            </w:tcBorders>
          </w:tcPr>
          <w:p w:rsidR="007D76BB" w:rsidRDefault="007D76BB">
            <w:pPr>
              <w:rPr>
                <w:sz w:val="2"/>
                <w:szCs w:val="2"/>
              </w:rPr>
            </w:pPr>
          </w:p>
        </w:tc>
      </w:tr>
      <w:tr w:rsidR="007D76BB">
        <w:trPr>
          <w:trHeight w:val="241"/>
        </w:trPr>
        <w:tc>
          <w:tcPr>
            <w:tcW w:w="2264" w:type="dxa"/>
          </w:tcPr>
          <w:p w:rsidR="007D76BB" w:rsidRDefault="00D70D28">
            <w:pPr>
              <w:pStyle w:val="TableParagraph"/>
              <w:spacing w:before="16" w:line="206" w:lineRule="exact"/>
              <w:ind w:left="107"/>
              <w:rPr>
                <w:rFonts w:ascii="Arial"/>
                <w:sz w:val="19"/>
              </w:rPr>
            </w:pPr>
            <w:r>
              <w:rPr>
                <w:rFonts w:ascii="Arial"/>
                <w:w w:val="110"/>
                <w:sz w:val="19"/>
              </w:rPr>
              <w:t>AUS/US</w:t>
            </w:r>
          </w:p>
        </w:tc>
        <w:tc>
          <w:tcPr>
            <w:tcW w:w="850" w:type="dxa"/>
          </w:tcPr>
          <w:p w:rsidR="007D76BB" w:rsidRDefault="00D70D28">
            <w:pPr>
              <w:pStyle w:val="TableParagraph"/>
              <w:spacing w:before="16" w:line="206" w:lineRule="exact"/>
              <w:ind w:right="96"/>
              <w:jc w:val="right"/>
              <w:rPr>
                <w:rFonts w:ascii="Arial"/>
                <w:sz w:val="19"/>
              </w:rPr>
            </w:pPr>
            <w:r>
              <w:rPr>
                <w:rFonts w:ascii="Arial"/>
                <w:w w:val="107"/>
                <w:sz w:val="19"/>
              </w:rPr>
              <w:t>9</w:t>
            </w:r>
          </w:p>
        </w:tc>
        <w:tc>
          <w:tcPr>
            <w:tcW w:w="1200" w:type="dxa"/>
            <w:vMerge/>
            <w:tcBorders>
              <w:top w:val="nil"/>
            </w:tcBorders>
          </w:tcPr>
          <w:p w:rsidR="007D76BB" w:rsidRDefault="007D76BB">
            <w:pPr>
              <w:rPr>
                <w:sz w:val="2"/>
                <w:szCs w:val="2"/>
              </w:rPr>
            </w:pPr>
          </w:p>
        </w:tc>
      </w:tr>
      <w:tr w:rsidR="007D76BB">
        <w:trPr>
          <w:trHeight w:val="239"/>
        </w:trPr>
        <w:tc>
          <w:tcPr>
            <w:tcW w:w="2264" w:type="dxa"/>
          </w:tcPr>
          <w:p w:rsidR="007D76BB" w:rsidRDefault="00D70D28">
            <w:pPr>
              <w:pStyle w:val="TableParagraph"/>
              <w:spacing w:before="13" w:line="206" w:lineRule="exact"/>
              <w:ind w:right="95"/>
              <w:jc w:val="right"/>
              <w:rPr>
                <w:rFonts w:ascii="Arial"/>
                <w:sz w:val="19"/>
              </w:rPr>
            </w:pPr>
            <w:r>
              <w:rPr>
                <w:rFonts w:ascii="Arial"/>
                <w:w w:val="110"/>
                <w:sz w:val="19"/>
              </w:rPr>
              <w:t>sub-total</w:t>
            </w:r>
          </w:p>
        </w:tc>
        <w:tc>
          <w:tcPr>
            <w:tcW w:w="850" w:type="dxa"/>
          </w:tcPr>
          <w:p w:rsidR="007D76BB" w:rsidRDefault="00D70D28">
            <w:pPr>
              <w:pStyle w:val="TableParagraph"/>
              <w:spacing w:before="13" w:line="206" w:lineRule="exact"/>
              <w:ind w:right="98"/>
              <w:jc w:val="right"/>
              <w:rPr>
                <w:rFonts w:ascii="Arial"/>
                <w:sz w:val="19"/>
              </w:rPr>
            </w:pPr>
            <w:r>
              <w:rPr>
                <w:rFonts w:ascii="Arial"/>
                <w:w w:val="105"/>
                <w:sz w:val="19"/>
              </w:rPr>
              <w:t>266</w:t>
            </w:r>
          </w:p>
        </w:tc>
        <w:tc>
          <w:tcPr>
            <w:tcW w:w="1200" w:type="dxa"/>
          </w:tcPr>
          <w:p w:rsidR="007D76BB" w:rsidRDefault="00D70D28">
            <w:pPr>
              <w:pStyle w:val="TableParagraph"/>
              <w:spacing w:before="13" w:line="206" w:lineRule="exact"/>
              <w:ind w:right="97"/>
              <w:jc w:val="right"/>
              <w:rPr>
                <w:rFonts w:ascii="Arial"/>
                <w:sz w:val="19"/>
              </w:rPr>
            </w:pPr>
            <w:r>
              <w:rPr>
                <w:rFonts w:ascii="Arial"/>
                <w:w w:val="105"/>
                <w:sz w:val="19"/>
              </w:rPr>
              <w:t>42%</w:t>
            </w:r>
          </w:p>
        </w:tc>
      </w:tr>
      <w:tr w:rsidR="007D76BB">
        <w:trPr>
          <w:trHeight w:val="241"/>
        </w:trPr>
        <w:tc>
          <w:tcPr>
            <w:tcW w:w="2264" w:type="dxa"/>
          </w:tcPr>
          <w:p w:rsidR="007D76BB" w:rsidRDefault="00D70D28">
            <w:pPr>
              <w:pStyle w:val="TableParagraph"/>
              <w:spacing w:before="13" w:line="208" w:lineRule="exact"/>
              <w:ind w:left="107"/>
              <w:rPr>
                <w:rFonts w:ascii="Arial"/>
                <w:sz w:val="19"/>
              </w:rPr>
            </w:pPr>
            <w:r>
              <w:rPr>
                <w:rFonts w:ascii="Arial"/>
                <w:sz w:val="19"/>
              </w:rPr>
              <w:t>CAD</w:t>
            </w:r>
          </w:p>
        </w:tc>
        <w:tc>
          <w:tcPr>
            <w:tcW w:w="850" w:type="dxa"/>
          </w:tcPr>
          <w:p w:rsidR="007D76BB" w:rsidRDefault="00D70D28">
            <w:pPr>
              <w:pStyle w:val="TableParagraph"/>
              <w:spacing w:before="13" w:line="208" w:lineRule="exact"/>
              <w:ind w:right="96"/>
              <w:jc w:val="right"/>
              <w:rPr>
                <w:rFonts w:ascii="Arial"/>
                <w:sz w:val="19"/>
              </w:rPr>
            </w:pPr>
            <w:r>
              <w:rPr>
                <w:rFonts w:ascii="Arial"/>
                <w:w w:val="111"/>
                <w:sz w:val="19"/>
              </w:rPr>
              <w:t>5</w:t>
            </w:r>
          </w:p>
        </w:tc>
        <w:tc>
          <w:tcPr>
            <w:tcW w:w="1200" w:type="dxa"/>
            <w:vMerge w:val="restart"/>
          </w:tcPr>
          <w:p w:rsidR="007D76BB" w:rsidRDefault="007D76BB">
            <w:pPr>
              <w:pStyle w:val="TableParagraph"/>
              <w:rPr>
                <w:rFonts w:ascii="Times New Roman"/>
                <w:sz w:val="16"/>
              </w:rPr>
            </w:pPr>
          </w:p>
        </w:tc>
      </w:tr>
      <w:tr w:rsidR="007D76BB">
        <w:trPr>
          <w:trHeight w:val="239"/>
        </w:trPr>
        <w:tc>
          <w:tcPr>
            <w:tcW w:w="2264" w:type="dxa"/>
          </w:tcPr>
          <w:p w:rsidR="007D76BB" w:rsidRDefault="00D70D28">
            <w:pPr>
              <w:pStyle w:val="TableParagraph"/>
              <w:spacing w:before="13" w:line="206" w:lineRule="exact"/>
              <w:ind w:left="107"/>
              <w:rPr>
                <w:rFonts w:ascii="Arial" w:hAnsi="Arial"/>
                <w:sz w:val="19"/>
              </w:rPr>
            </w:pPr>
            <w:r>
              <w:rPr>
                <w:rFonts w:ascii="Arial" w:hAnsi="Arial"/>
                <w:w w:val="110"/>
                <w:sz w:val="19"/>
              </w:rPr>
              <w:t>Int’l</w:t>
            </w:r>
          </w:p>
        </w:tc>
        <w:tc>
          <w:tcPr>
            <w:tcW w:w="850" w:type="dxa"/>
          </w:tcPr>
          <w:p w:rsidR="007D76BB" w:rsidRDefault="00D70D28">
            <w:pPr>
              <w:pStyle w:val="TableParagraph"/>
              <w:spacing w:before="13" w:line="206" w:lineRule="exact"/>
              <w:ind w:right="98"/>
              <w:jc w:val="right"/>
              <w:rPr>
                <w:rFonts w:ascii="Arial"/>
                <w:sz w:val="19"/>
              </w:rPr>
            </w:pPr>
            <w:r>
              <w:rPr>
                <w:rFonts w:ascii="Arial"/>
                <w:w w:val="66"/>
                <w:sz w:val="19"/>
              </w:rPr>
              <w:t>1</w:t>
            </w:r>
          </w:p>
        </w:tc>
        <w:tc>
          <w:tcPr>
            <w:tcW w:w="1200" w:type="dxa"/>
            <w:vMerge/>
            <w:tcBorders>
              <w:top w:val="nil"/>
            </w:tcBorders>
          </w:tcPr>
          <w:p w:rsidR="007D76BB" w:rsidRDefault="007D76BB">
            <w:pPr>
              <w:rPr>
                <w:sz w:val="2"/>
                <w:szCs w:val="2"/>
              </w:rPr>
            </w:pPr>
          </w:p>
        </w:tc>
      </w:tr>
      <w:tr w:rsidR="007D76BB">
        <w:trPr>
          <w:trHeight w:val="239"/>
        </w:trPr>
        <w:tc>
          <w:tcPr>
            <w:tcW w:w="2264" w:type="dxa"/>
          </w:tcPr>
          <w:p w:rsidR="007D76BB" w:rsidRDefault="00D70D28">
            <w:pPr>
              <w:pStyle w:val="TableParagraph"/>
              <w:spacing w:before="13" w:line="206" w:lineRule="exact"/>
              <w:ind w:left="107"/>
              <w:rPr>
                <w:rFonts w:ascii="Arial"/>
                <w:sz w:val="19"/>
              </w:rPr>
            </w:pPr>
            <w:r>
              <w:rPr>
                <w:rFonts w:ascii="Arial"/>
                <w:sz w:val="19"/>
              </w:rPr>
              <w:t>NZ</w:t>
            </w:r>
          </w:p>
        </w:tc>
        <w:tc>
          <w:tcPr>
            <w:tcW w:w="850" w:type="dxa"/>
          </w:tcPr>
          <w:p w:rsidR="007D76BB" w:rsidRDefault="00D70D28">
            <w:pPr>
              <w:pStyle w:val="TableParagraph"/>
              <w:spacing w:before="13" w:line="206" w:lineRule="exact"/>
              <w:ind w:right="98"/>
              <w:jc w:val="right"/>
              <w:rPr>
                <w:rFonts w:ascii="Arial"/>
                <w:sz w:val="19"/>
              </w:rPr>
            </w:pPr>
            <w:r>
              <w:rPr>
                <w:rFonts w:ascii="Arial"/>
                <w:w w:val="66"/>
                <w:sz w:val="19"/>
              </w:rPr>
              <w:t>1</w:t>
            </w:r>
          </w:p>
        </w:tc>
        <w:tc>
          <w:tcPr>
            <w:tcW w:w="1200" w:type="dxa"/>
            <w:vMerge/>
            <w:tcBorders>
              <w:top w:val="nil"/>
            </w:tcBorders>
          </w:tcPr>
          <w:p w:rsidR="007D76BB" w:rsidRDefault="007D76BB">
            <w:pPr>
              <w:rPr>
                <w:sz w:val="2"/>
                <w:szCs w:val="2"/>
              </w:rPr>
            </w:pPr>
          </w:p>
        </w:tc>
      </w:tr>
      <w:tr w:rsidR="007D76BB">
        <w:trPr>
          <w:trHeight w:val="241"/>
        </w:trPr>
        <w:tc>
          <w:tcPr>
            <w:tcW w:w="2264" w:type="dxa"/>
          </w:tcPr>
          <w:p w:rsidR="007D76BB" w:rsidRDefault="00D70D28">
            <w:pPr>
              <w:pStyle w:val="TableParagraph"/>
              <w:spacing w:before="16" w:line="206" w:lineRule="exact"/>
              <w:ind w:left="107"/>
              <w:rPr>
                <w:rFonts w:ascii="Arial"/>
                <w:sz w:val="19"/>
              </w:rPr>
            </w:pPr>
            <w:r>
              <w:rPr>
                <w:rFonts w:ascii="Arial"/>
                <w:sz w:val="19"/>
              </w:rPr>
              <w:t>UK</w:t>
            </w:r>
          </w:p>
        </w:tc>
        <w:tc>
          <w:tcPr>
            <w:tcW w:w="850" w:type="dxa"/>
          </w:tcPr>
          <w:p w:rsidR="007D76BB" w:rsidRDefault="00D70D28">
            <w:pPr>
              <w:pStyle w:val="TableParagraph"/>
              <w:spacing w:before="16" w:line="206" w:lineRule="exact"/>
              <w:ind w:right="94"/>
              <w:jc w:val="right"/>
              <w:rPr>
                <w:rFonts w:ascii="Arial"/>
                <w:sz w:val="19"/>
              </w:rPr>
            </w:pPr>
            <w:r>
              <w:rPr>
                <w:rFonts w:ascii="Arial"/>
                <w:w w:val="85"/>
                <w:sz w:val="19"/>
              </w:rPr>
              <w:t>12</w:t>
            </w:r>
          </w:p>
        </w:tc>
        <w:tc>
          <w:tcPr>
            <w:tcW w:w="1200" w:type="dxa"/>
            <w:vMerge/>
            <w:tcBorders>
              <w:top w:val="nil"/>
            </w:tcBorders>
          </w:tcPr>
          <w:p w:rsidR="007D76BB" w:rsidRDefault="007D76BB">
            <w:pPr>
              <w:rPr>
                <w:sz w:val="2"/>
                <w:szCs w:val="2"/>
              </w:rPr>
            </w:pPr>
          </w:p>
        </w:tc>
      </w:tr>
      <w:tr w:rsidR="007D76BB">
        <w:trPr>
          <w:trHeight w:val="239"/>
        </w:trPr>
        <w:tc>
          <w:tcPr>
            <w:tcW w:w="2264" w:type="dxa"/>
          </w:tcPr>
          <w:p w:rsidR="007D76BB" w:rsidRDefault="00D70D28">
            <w:pPr>
              <w:pStyle w:val="TableParagraph"/>
              <w:spacing w:before="13" w:line="206" w:lineRule="exact"/>
              <w:ind w:left="107"/>
              <w:rPr>
                <w:rFonts w:ascii="Arial"/>
                <w:sz w:val="19"/>
              </w:rPr>
            </w:pPr>
            <w:r>
              <w:rPr>
                <w:rFonts w:ascii="Arial"/>
                <w:sz w:val="19"/>
              </w:rPr>
              <w:t>US</w:t>
            </w:r>
          </w:p>
        </w:tc>
        <w:tc>
          <w:tcPr>
            <w:tcW w:w="850" w:type="dxa"/>
          </w:tcPr>
          <w:p w:rsidR="007D76BB" w:rsidRDefault="00D70D28">
            <w:pPr>
              <w:pStyle w:val="TableParagraph"/>
              <w:spacing w:before="13" w:line="206" w:lineRule="exact"/>
              <w:ind w:right="96"/>
              <w:jc w:val="right"/>
              <w:rPr>
                <w:rFonts w:ascii="Arial"/>
                <w:sz w:val="19"/>
              </w:rPr>
            </w:pPr>
            <w:r>
              <w:rPr>
                <w:rFonts w:ascii="Arial"/>
                <w:w w:val="110"/>
                <w:sz w:val="19"/>
              </w:rPr>
              <w:t>345</w:t>
            </w:r>
          </w:p>
        </w:tc>
        <w:tc>
          <w:tcPr>
            <w:tcW w:w="1200" w:type="dxa"/>
            <w:vMerge/>
            <w:tcBorders>
              <w:top w:val="nil"/>
            </w:tcBorders>
          </w:tcPr>
          <w:p w:rsidR="007D76BB" w:rsidRDefault="007D76BB">
            <w:pPr>
              <w:rPr>
                <w:sz w:val="2"/>
                <w:szCs w:val="2"/>
              </w:rPr>
            </w:pPr>
          </w:p>
        </w:tc>
      </w:tr>
      <w:tr w:rsidR="007D76BB">
        <w:trPr>
          <w:trHeight w:val="241"/>
        </w:trPr>
        <w:tc>
          <w:tcPr>
            <w:tcW w:w="2264" w:type="dxa"/>
          </w:tcPr>
          <w:p w:rsidR="007D76BB" w:rsidRDefault="00D70D28">
            <w:pPr>
              <w:pStyle w:val="TableParagraph"/>
              <w:spacing w:before="13" w:line="208" w:lineRule="exact"/>
              <w:ind w:right="95"/>
              <w:jc w:val="right"/>
              <w:rPr>
                <w:rFonts w:ascii="Arial"/>
                <w:sz w:val="19"/>
              </w:rPr>
            </w:pPr>
            <w:r>
              <w:rPr>
                <w:rFonts w:ascii="Arial"/>
                <w:w w:val="110"/>
                <w:sz w:val="19"/>
              </w:rPr>
              <w:t>sub-total</w:t>
            </w:r>
          </w:p>
        </w:tc>
        <w:tc>
          <w:tcPr>
            <w:tcW w:w="850" w:type="dxa"/>
          </w:tcPr>
          <w:p w:rsidR="007D76BB" w:rsidRDefault="00D70D28">
            <w:pPr>
              <w:pStyle w:val="TableParagraph"/>
              <w:spacing w:before="13" w:line="208" w:lineRule="exact"/>
              <w:ind w:right="96"/>
              <w:jc w:val="right"/>
              <w:rPr>
                <w:rFonts w:ascii="Arial"/>
                <w:sz w:val="19"/>
              </w:rPr>
            </w:pPr>
            <w:r>
              <w:rPr>
                <w:rFonts w:ascii="Arial"/>
                <w:w w:val="105"/>
                <w:sz w:val="19"/>
              </w:rPr>
              <w:t>364</w:t>
            </w:r>
          </w:p>
        </w:tc>
        <w:tc>
          <w:tcPr>
            <w:tcW w:w="1200" w:type="dxa"/>
          </w:tcPr>
          <w:p w:rsidR="007D76BB" w:rsidRDefault="00D70D28">
            <w:pPr>
              <w:pStyle w:val="TableParagraph"/>
              <w:spacing w:before="13" w:line="208" w:lineRule="exact"/>
              <w:ind w:right="97"/>
              <w:jc w:val="right"/>
              <w:rPr>
                <w:rFonts w:ascii="Arial"/>
                <w:sz w:val="19"/>
              </w:rPr>
            </w:pPr>
            <w:r>
              <w:rPr>
                <w:rFonts w:ascii="Arial"/>
                <w:w w:val="105"/>
                <w:sz w:val="19"/>
              </w:rPr>
              <w:t>58%</w:t>
            </w:r>
          </w:p>
        </w:tc>
      </w:tr>
      <w:tr w:rsidR="007D76BB">
        <w:trPr>
          <w:trHeight w:val="239"/>
        </w:trPr>
        <w:tc>
          <w:tcPr>
            <w:tcW w:w="2264" w:type="dxa"/>
          </w:tcPr>
          <w:p w:rsidR="007D76BB" w:rsidRDefault="00D70D28">
            <w:pPr>
              <w:pStyle w:val="TableParagraph"/>
              <w:spacing w:before="13" w:line="206" w:lineRule="exact"/>
              <w:ind w:right="98"/>
              <w:jc w:val="right"/>
              <w:rPr>
                <w:rFonts w:ascii="Arial"/>
                <w:sz w:val="19"/>
              </w:rPr>
            </w:pPr>
            <w:r>
              <w:rPr>
                <w:rFonts w:ascii="Arial"/>
                <w:w w:val="105"/>
                <w:sz w:val="19"/>
              </w:rPr>
              <w:t>Total</w:t>
            </w:r>
          </w:p>
        </w:tc>
        <w:tc>
          <w:tcPr>
            <w:tcW w:w="850" w:type="dxa"/>
            <w:shd w:val="clear" w:color="auto" w:fill="D9D9D9"/>
          </w:tcPr>
          <w:p w:rsidR="007D76BB" w:rsidRDefault="00D70D28">
            <w:pPr>
              <w:pStyle w:val="TableParagraph"/>
              <w:spacing w:before="13" w:line="206" w:lineRule="exact"/>
              <w:ind w:right="98"/>
              <w:jc w:val="right"/>
              <w:rPr>
                <w:rFonts w:ascii="Arial"/>
                <w:sz w:val="19"/>
              </w:rPr>
            </w:pPr>
            <w:r>
              <w:rPr>
                <w:rFonts w:ascii="Arial"/>
                <w:w w:val="105"/>
                <w:sz w:val="19"/>
              </w:rPr>
              <w:t>630</w:t>
            </w:r>
          </w:p>
        </w:tc>
        <w:tc>
          <w:tcPr>
            <w:tcW w:w="1200" w:type="dxa"/>
            <w:tcBorders>
              <w:bottom w:val="nil"/>
              <w:right w:val="nil"/>
            </w:tcBorders>
          </w:tcPr>
          <w:p w:rsidR="007D76BB" w:rsidRDefault="007D76BB">
            <w:pPr>
              <w:pStyle w:val="TableParagraph"/>
              <w:rPr>
                <w:rFonts w:ascii="Times New Roman"/>
                <w:sz w:val="16"/>
              </w:rPr>
            </w:pPr>
          </w:p>
        </w:tc>
      </w:tr>
    </w:tbl>
    <w:p w:rsidR="007D76BB" w:rsidRDefault="007D76BB">
      <w:pPr>
        <w:pStyle w:val="BodyText"/>
        <w:rPr>
          <w:rFonts w:ascii="Arial"/>
          <w:sz w:val="24"/>
        </w:rPr>
      </w:pPr>
    </w:p>
    <w:p w:rsidR="007D76BB" w:rsidRDefault="00D70D28">
      <w:pPr>
        <w:spacing w:before="153"/>
        <w:ind w:left="482"/>
        <w:rPr>
          <w:rFonts w:ascii="Arial"/>
          <w:sz w:val="20"/>
        </w:rPr>
      </w:pPr>
      <w:r>
        <w:rPr>
          <w:rFonts w:ascii="Arial"/>
          <w:w w:val="105"/>
          <w:sz w:val="20"/>
        </w:rPr>
        <w:t>Product pathways (including population)</w:t>
      </w:r>
    </w:p>
    <w:p w:rsidR="007D76BB" w:rsidRDefault="00D70D28">
      <w:pPr>
        <w:spacing w:before="101" w:line="264" w:lineRule="auto"/>
        <w:ind w:left="482" w:right="778"/>
        <w:rPr>
          <w:rFonts w:ascii="Arial"/>
          <w:sz w:val="19"/>
        </w:rPr>
      </w:pPr>
      <w:r>
        <w:rPr>
          <w:rFonts w:ascii="Arial"/>
          <w:w w:val="105"/>
          <w:sz w:val="19"/>
        </w:rPr>
        <w:t>As</w:t>
      </w:r>
      <w:r>
        <w:rPr>
          <w:rFonts w:ascii="Arial"/>
          <w:spacing w:val="-25"/>
          <w:w w:val="105"/>
          <w:sz w:val="19"/>
        </w:rPr>
        <w:t xml:space="preserve"> </w:t>
      </w:r>
      <w:r>
        <w:rPr>
          <w:rFonts w:ascii="Arial"/>
          <w:w w:val="105"/>
          <w:sz w:val="19"/>
        </w:rPr>
        <w:t>detailed</w:t>
      </w:r>
      <w:r>
        <w:rPr>
          <w:rFonts w:ascii="Arial"/>
          <w:spacing w:val="-25"/>
          <w:w w:val="105"/>
          <w:sz w:val="19"/>
        </w:rPr>
        <w:t xml:space="preserve"> </w:t>
      </w:r>
      <w:r>
        <w:rPr>
          <w:rFonts w:ascii="Arial"/>
          <w:w w:val="105"/>
          <w:sz w:val="19"/>
        </w:rPr>
        <w:t>above,</w:t>
      </w:r>
      <w:r>
        <w:rPr>
          <w:rFonts w:ascii="Arial"/>
          <w:spacing w:val="-24"/>
          <w:w w:val="105"/>
          <w:sz w:val="19"/>
        </w:rPr>
        <w:t xml:space="preserve"> </w:t>
      </w:r>
      <w:r>
        <w:rPr>
          <w:rFonts w:ascii="Arial"/>
          <w:w w:val="105"/>
          <w:sz w:val="19"/>
        </w:rPr>
        <w:t>products</w:t>
      </w:r>
      <w:r>
        <w:rPr>
          <w:rFonts w:ascii="Arial"/>
          <w:spacing w:val="-26"/>
          <w:w w:val="105"/>
          <w:sz w:val="19"/>
        </w:rPr>
        <w:t xml:space="preserve"> </w:t>
      </w:r>
      <w:r>
        <w:rPr>
          <w:rFonts w:ascii="Arial"/>
          <w:w w:val="105"/>
          <w:sz w:val="19"/>
        </w:rPr>
        <w:t>have</w:t>
      </w:r>
      <w:r>
        <w:rPr>
          <w:rFonts w:ascii="Arial"/>
          <w:spacing w:val="-24"/>
          <w:w w:val="105"/>
          <w:sz w:val="19"/>
        </w:rPr>
        <w:t xml:space="preserve"> </w:t>
      </w:r>
      <w:r>
        <w:rPr>
          <w:rFonts w:ascii="Arial"/>
          <w:w w:val="105"/>
          <w:sz w:val="19"/>
        </w:rPr>
        <w:t>three</w:t>
      </w:r>
      <w:r>
        <w:rPr>
          <w:rFonts w:ascii="Arial"/>
          <w:spacing w:val="-24"/>
          <w:w w:val="105"/>
          <w:sz w:val="19"/>
        </w:rPr>
        <w:t xml:space="preserve"> </w:t>
      </w:r>
      <w:r>
        <w:rPr>
          <w:rFonts w:ascii="Arial"/>
          <w:w w:val="105"/>
          <w:sz w:val="19"/>
        </w:rPr>
        <w:t>distinct</w:t>
      </w:r>
      <w:r>
        <w:rPr>
          <w:rFonts w:ascii="Arial"/>
          <w:spacing w:val="-25"/>
          <w:w w:val="105"/>
          <w:sz w:val="19"/>
        </w:rPr>
        <w:t xml:space="preserve"> </w:t>
      </w:r>
      <w:r>
        <w:rPr>
          <w:rFonts w:ascii="Arial"/>
          <w:w w:val="105"/>
          <w:sz w:val="19"/>
        </w:rPr>
        <w:t>pathway</w:t>
      </w:r>
      <w:r>
        <w:rPr>
          <w:rFonts w:ascii="Arial"/>
          <w:spacing w:val="-23"/>
          <w:w w:val="105"/>
          <w:sz w:val="19"/>
        </w:rPr>
        <w:t xml:space="preserve"> </w:t>
      </w:r>
      <w:r>
        <w:rPr>
          <w:rFonts w:ascii="Arial"/>
          <w:w w:val="105"/>
          <w:sz w:val="19"/>
        </w:rPr>
        <w:t>options.</w:t>
      </w:r>
      <w:r>
        <w:rPr>
          <w:rFonts w:ascii="Arial"/>
          <w:spacing w:val="-23"/>
          <w:w w:val="105"/>
          <w:sz w:val="19"/>
        </w:rPr>
        <w:t xml:space="preserve"> </w:t>
      </w:r>
      <w:r>
        <w:rPr>
          <w:rFonts w:ascii="Arial"/>
          <w:w w:val="105"/>
          <w:sz w:val="19"/>
        </w:rPr>
        <w:t>The</w:t>
      </w:r>
      <w:r>
        <w:rPr>
          <w:rFonts w:ascii="Arial"/>
          <w:spacing w:val="-24"/>
          <w:w w:val="105"/>
          <w:sz w:val="19"/>
        </w:rPr>
        <w:t xml:space="preserve"> </w:t>
      </w:r>
      <w:r>
        <w:rPr>
          <w:rFonts w:ascii="Arial"/>
          <w:w w:val="105"/>
          <w:sz w:val="19"/>
        </w:rPr>
        <w:t>sponsor/manufacturer</w:t>
      </w:r>
      <w:r>
        <w:rPr>
          <w:rFonts w:ascii="Arial"/>
          <w:spacing w:val="-26"/>
          <w:w w:val="105"/>
          <w:sz w:val="19"/>
        </w:rPr>
        <w:t xml:space="preserve"> </w:t>
      </w:r>
      <w:r>
        <w:rPr>
          <w:rFonts w:ascii="Arial"/>
          <w:w w:val="105"/>
          <w:sz w:val="19"/>
        </w:rPr>
        <w:t>can either modify their product (to remain a food and avoid being regulated as a therapeutic good), list/register their product (in the ARTG) or withdraw the product from the market. However, stakeholder interviews revealed that the percentage of products likely to be impacted by the proposed</w:t>
      </w:r>
      <w:r>
        <w:rPr>
          <w:rFonts w:ascii="Arial"/>
          <w:spacing w:val="-30"/>
          <w:w w:val="105"/>
          <w:sz w:val="19"/>
        </w:rPr>
        <w:t xml:space="preserve"> </w:t>
      </w:r>
      <w:r>
        <w:rPr>
          <w:rFonts w:ascii="Arial"/>
          <w:w w:val="105"/>
          <w:sz w:val="19"/>
        </w:rPr>
        <w:t>regulatory</w:t>
      </w:r>
      <w:r>
        <w:rPr>
          <w:rFonts w:ascii="Arial"/>
          <w:spacing w:val="-30"/>
          <w:w w:val="105"/>
          <w:sz w:val="19"/>
        </w:rPr>
        <w:t xml:space="preserve"> </w:t>
      </w:r>
      <w:r>
        <w:rPr>
          <w:rFonts w:ascii="Arial"/>
          <w:w w:val="105"/>
          <w:sz w:val="19"/>
        </w:rPr>
        <w:t>classification</w:t>
      </w:r>
      <w:r>
        <w:rPr>
          <w:rFonts w:ascii="Arial"/>
          <w:spacing w:val="-30"/>
          <w:w w:val="105"/>
          <w:sz w:val="19"/>
        </w:rPr>
        <w:t xml:space="preserve"> </w:t>
      </w:r>
      <w:r>
        <w:rPr>
          <w:rFonts w:ascii="Arial"/>
          <w:w w:val="105"/>
          <w:sz w:val="19"/>
        </w:rPr>
        <w:t>differ</w:t>
      </w:r>
      <w:r>
        <w:rPr>
          <w:rFonts w:ascii="Arial"/>
          <w:spacing w:val="-29"/>
          <w:w w:val="105"/>
          <w:sz w:val="19"/>
        </w:rPr>
        <w:t xml:space="preserve"> </w:t>
      </w:r>
      <w:r>
        <w:rPr>
          <w:rFonts w:ascii="Arial"/>
          <w:w w:val="105"/>
          <w:sz w:val="19"/>
        </w:rPr>
        <w:t>across</w:t>
      </w:r>
      <w:r>
        <w:rPr>
          <w:rFonts w:ascii="Arial"/>
          <w:spacing w:val="-30"/>
          <w:w w:val="105"/>
          <w:sz w:val="19"/>
        </w:rPr>
        <w:t xml:space="preserve"> </w:t>
      </w:r>
      <w:r>
        <w:rPr>
          <w:rFonts w:ascii="Arial"/>
          <w:w w:val="105"/>
          <w:sz w:val="19"/>
        </w:rPr>
        <w:t>product</w:t>
      </w:r>
      <w:r>
        <w:rPr>
          <w:rFonts w:ascii="Arial"/>
          <w:spacing w:val="-32"/>
          <w:w w:val="105"/>
          <w:sz w:val="19"/>
        </w:rPr>
        <w:t xml:space="preserve"> </w:t>
      </w:r>
      <w:r>
        <w:rPr>
          <w:rFonts w:ascii="Arial"/>
          <w:w w:val="105"/>
          <w:sz w:val="19"/>
        </w:rPr>
        <w:t>categories</w:t>
      </w:r>
      <w:r>
        <w:rPr>
          <w:rFonts w:ascii="Arial"/>
          <w:spacing w:val="-29"/>
          <w:w w:val="105"/>
          <w:sz w:val="19"/>
        </w:rPr>
        <w:t xml:space="preserve"> </w:t>
      </w:r>
      <w:r>
        <w:rPr>
          <w:rFonts w:ascii="Arial"/>
          <w:w w:val="105"/>
          <w:sz w:val="19"/>
        </w:rPr>
        <w:t>and</w:t>
      </w:r>
      <w:r>
        <w:rPr>
          <w:rFonts w:ascii="Arial"/>
          <w:spacing w:val="-32"/>
          <w:w w:val="105"/>
          <w:sz w:val="19"/>
        </w:rPr>
        <w:t xml:space="preserve"> </w:t>
      </w:r>
      <w:r>
        <w:rPr>
          <w:rFonts w:ascii="Arial"/>
          <w:w w:val="105"/>
          <w:sz w:val="19"/>
        </w:rPr>
        <w:t>presentations.</w:t>
      </w:r>
      <w:r>
        <w:rPr>
          <w:rFonts w:ascii="Arial"/>
          <w:spacing w:val="-28"/>
          <w:w w:val="105"/>
          <w:sz w:val="19"/>
        </w:rPr>
        <w:t xml:space="preserve"> </w:t>
      </w:r>
      <w:r>
        <w:rPr>
          <w:rFonts w:ascii="Arial"/>
          <w:w w:val="105"/>
          <w:sz w:val="19"/>
        </w:rPr>
        <w:t>Key</w:t>
      </w:r>
      <w:r>
        <w:rPr>
          <w:rFonts w:ascii="Arial"/>
          <w:spacing w:val="-30"/>
          <w:w w:val="105"/>
          <w:sz w:val="19"/>
        </w:rPr>
        <w:t xml:space="preserve"> </w:t>
      </w:r>
      <w:r>
        <w:rPr>
          <w:rFonts w:ascii="Arial"/>
          <w:w w:val="105"/>
          <w:sz w:val="19"/>
        </w:rPr>
        <w:t>insights derived</w:t>
      </w:r>
      <w:r>
        <w:rPr>
          <w:rFonts w:ascii="Arial"/>
          <w:spacing w:val="-13"/>
          <w:w w:val="105"/>
          <w:sz w:val="19"/>
        </w:rPr>
        <w:t xml:space="preserve"> </w:t>
      </w:r>
      <w:r>
        <w:rPr>
          <w:rFonts w:ascii="Arial"/>
          <w:w w:val="105"/>
          <w:sz w:val="19"/>
        </w:rPr>
        <w:t>from</w:t>
      </w:r>
      <w:r>
        <w:rPr>
          <w:rFonts w:ascii="Arial"/>
          <w:spacing w:val="-11"/>
          <w:w w:val="105"/>
          <w:sz w:val="19"/>
        </w:rPr>
        <w:t xml:space="preserve"> </w:t>
      </w:r>
      <w:r>
        <w:rPr>
          <w:rFonts w:ascii="Arial"/>
          <w:w w:val="105"/>
          <w:sz w:val="19"/>
        </w:rPr>
        <w:t>the</w:t>
      </w:r>
      <w:r>
        <w:rPr>
          <w:rFonts w:ascii="Arial"/>
          <w:spacing w:val="-11"/>
          <w:w w:val="105"/>
          <w:sz w:val="19"/>
        </w:rPr>
        <w:t xml:space="preserve"> </w:t>
      </w:r>
      <w:r>
        <w:rPr>
          <w:rFonts w:ascii="Arial"/>
          <w:w w:val="105"/>
          <w:sz w:val="19"/>
        </w:rPr>
        <w:t>stakeholder</w:t>
      </w:r>
      <w:r>
        <w:rPr>
          <w:rFonts w:ascii="Arial"/>
          <w:spacing w:val="-10"/>
          <w:w w:val="105"/>
          <w:sz w:val="19"/>
        </w:rPr>
        <w:t xml:space="preserve"> </w:t>
      </w:r>
      <w:r>
        <w:rPr>
          <w:rFonts w:ascii="Arial"/>
          <w:w w:val="105"/>
          <w:sz w:val="19"/>
        </w:rPr>
        <w:t>interviews</w:t>
      </w:r>
      <w:r>
        <w:rPr>
          <w:rFonts w:ascii="Arial"/>
          <w:spacing w:val="-14"/>
          <w:w w:val="105"/>
          <w:sz w:val="19"/>
        </w:rPr>
        <w:t xml:space="preserve"> </w:t>
      </w:r>
      <w:r>
        <w:rPr>
          <w:rFonts w:ascii="Arial"/>
          <w:w w:val="105"/>
          <w:sz w:val="19"/>
        </w:rPr>
        <w:t>were</w:t>
      </w:r>
      <w:r>
        <w:rPr>
          <w:rFonts w:ascii="Arial"/>
          <w:spacing w:val="-12"/>
          <w:w w:val="105"/>
          <w:sz w:val="19"/>
        </w:rPr>
        <w:t xml:space="preserve"> </w:t>
      </w:r>
      <w:r>
        <w:rPr>
          <w:rFonts w:ascii="Arial"/>
          <w:w w:val="105"/>
          <w:sz w:val="19"/>
        </w:rPr>
        <w:t>that:</w:t>
      </w:r>
    </w:p>
    <w:p w:rsidR="007D76BB" w:rsidRDefault="00D70D28">
      <w:pPr>
        <w:pStyle w:val="ListParagraph"/>
        <w:numPr>
          <w:ilvl w:val="1"/>
          <w:numId w:val="5"/>
        </w:numPr>
        <w:tabs>
          <w:tab w:val="left" w:pos="766"/>
        </w:tabs>
        <w:spacing w:before="82" w:line="266" w:lineRule="auto"/>
        <w:ind w:right="962"/>
        <w:rPr>
          <w:rFonts w:ascii="Arial" w:hAnsi="Arial"/>
          <w:sz w:val="19"/>
        </w:rPr>
      </w:pPr>
      <w:r>
        <w:rPr>
          <w:rFonts w:ascii="Arial" w:hAnsi="Arial"/>
          <w:w w:val="105"/>
          <w:sz w:val="19"/>
        </w:rPr>
        <w:t>pre-workout</w:t>
      </w:r>
      <w:r>
        <w:rPr>
          <w:rFonts w:ascii="Arial" w:hAnsi="Arial"/>
          <w:spacing w:val="-21"/>
          <w:w w:val="105"/>
          <w:sz w:val="19"/>
        </w:rPr>
        <w:t xml:space="preserve"> </w:t>
      </w:r>
      <w:r>
        <w:rPr>
          <w:rFonts w:ascii="Arial" w:hAnsi="Arial"/>
          <w:w w:val="105"/>
          <w:sz w:val="19"/>
        </w:rPr>
        <w:t>powder</w:t>
      </w:r>
      <w:r>
        <w:rPr>
          <w:rFonts w:ascii="Arial" w:hAnsi="Arial"/>
          <w:spacing w:val="-20"/>
          <w:w w:val="105"/>
          <w:sz w:val="19"/>
        </w:rPr>
        <w:t xml:space="preserve"> </w:t>
      </w:r>
      <w:r>
        <w:rPr>
          <w:rFonts w:ascii="Arial" w:hAnsi="Arial"/>
          <w:w w:val="105"/>
          <w:sz w:val="19"/>
        </w:rPr>
        <w:t>products</w:t>
      </w:r>
      <w:r>
        <w:rPr>
          <w:rFonts w:ascii="Arial" w:hAnsi="Arial"/>
          <w:spacing w:val="-17"/>
          <w:w w:val="105"/>
          <w:sz w:val="19"/>
        </w:rPr>
        <w:t xml:space="preserve"> </w:t>
      </w:r>
      <w:r>
        <w:rPr>
          <w:rFonts w:ascii="Arial" w:hAnsi="Arial"/>
          <w:w w:val="105"/>
          <w:sz w:val="19"/>
        </w:rPr>
        <w:t>are</w:t>
      </w:r>
      <w:r>
        <w:rPr>
          <w:rFonts w:ascii="Arial" w:hAnsi="Arial"/>
          <w:spacing w:val="-20"/>
          <w:w w:val="105"/>
          <w:sz w:val="19"/>
        </w:rPr>
        <w:t xml:space="preserve"> </w:t>
      </w:r>
      <w:r>
        <w:rPr>
          <w:rFonts w:ascii="Arial" w:hAnsi="Arial"/>
          <w:w w:val="105"/>
          <w:sz w:val="19"/>
        </w:rPr>
        <w:t>much</w:t>
      </w:r>
      <w:r>
        <w:rPr>
          <w:rFonts w:ascii="Arial" w:hAnsi="Arial"/>
          <w:spacing w:val="-19"/>
          <w:w w:val="105"/>
          <w:sz w:val="19"/>
        </w:rPr>
        <w:t xml:space="preserve"> </w:t>
      </w:r>
      <w:r>
        <w:rPr>
          <w:rFonts w:ascii="Arial" w:hAnsi="Arial"/>
          <w:w w:val="105"/>
          <w:sz w:val="19"/>
        </w:rPr>
        <w:t>more</w:t>
      </w:r>
      <w:r>
        <w:rPr>
          <w:rFonts w:ascii="Arial" w:hAnsi="Arial"/>
          <w:spacing w:val="-18"/>
          <w:w w:val="105"/>
          <w:sz w:val="19"/>
        </w:rPr>
        <w:t xml:space="preserve"> </w:t>
      </w:r>
      <w:r>
        <w:rPr>
          <w:rFonts w:ascii="Arial" w:hAnsi="Arial"/>
          <w:w w:val="105"/>
          <w:sz w:val="19"/>
        </w:rPr>
        <w:t>likely</w:t>
      </w:r>
      <w:r>
        <w:rPr>
          <w:rFonts w:ascii="Arial" w:hAnsi="Arial"/>
          <w:spacing w:val="-22"/>
          <w:w w:val="105"/>
          <w:sz w:val="19"/>
        </w:rPr>
        <w:t xml:space="preserve"> </w:t>
      </w:r>
      <w:r>
        <w:rPr>
          <w:rFonts w:ascii="Arial" w:hAnsi="Arial"/>
          <w:w w:val="105"/>
          <w:sz w:val="19"/>
        </w:rPr>
        <w:t>to</w:t>
      </w:r>
      <w:r>
        <w:rPr>
          <w:rFonts w:ascii="Arial" w:hAnsi="Arial"/>
          <w:spacing w:val="-19"/>
          <w:w w:val="105"/>
          <w:sz w:val="19"/>
        </w:rPr>
        <w:t xml:space="preserve"> </w:t>
      </w:r>
      <w:r>
        <w:rPr>
          <w:rFonts w:ascii="Arial" w:hAnsi="Arial"/>
          <w:w w:val="105"/>
          <w:sz w:val="19"/>
        </w:rPr>
        <w:t>contain</w:t>
      </w:r>
      <w:r>
        <w:rPr>
          <w:rFonts w:ascii="Arial" w:hAnsi="Arial"/>
          <w:spacing w:val="-20"/>
          <w:w w:val="105"/>
          <w:sz w:val="19"/>
        </w:rPr>
        <w:t xml:space="preserve"> </w:t>
      </w:r>
      <w:r>
        <w:rPr>
          <w:rFonts w:ascii="Arial" w:hAnsi="Arial"/>
          <w:w w:val="105"/>
          <w:sz w:val="19"/>
        </w:rPr>
        <w:t>ingredients</w:t>
      </w:r>
      <w:r>
        <w:rPr>
          <w:rFonts w:ascii="Arial" w:hAnsi="Arial"/>
          <w:spacing w:val="-20"/>
          <w:w w:val="105"/>
          <w:sz w:val="19"/>
        </w:rPr>
        <w:t xml:space="preserve"> </w:t>
      </w:r>
      <w:r>
        <w:rPr>
          <w:rFonts w:ascii="Arial" w:hAnsi="Arial"/>
          <w:w w:val="105"/>
          <w:sz w:val="19"/>
        </w:rPr>
        <w:t>of</w:t>
      </w:r>
      <w:r>
        <w:rPr>
          <w:rFonts w:ascii="Arial" w:hAnsi="Arial"/>
          <w:spacing w:val="-20"/>
          <w:w w:val="105"/>
          <w:sz w:val="19"/>
        </w:rPr>
        <w:t xml:space="preserve"> </w:t>
      </w:r>
      <w:r>
        <w:rPr>
          <w:rFonts w:ascii="Arial" w:hAnsi="Arial"/>
          <w:w w:val="105"/>
          <w:sz w:val="19"/>
        </w:rPr>
        <w:t>concern</w:t>
      </w:r>
      <w:r>
        <w:rPr>
          <w:rFonts w:ascii="Arial" w:hAnsi="Arial"/>
          <w:spacing w:val="-21"/>
          <w:w w:val="105"/>
          <w:sz w:val="19"/>
        </w:rPr>
        <w:t xml:space="preserve"> </w:t>
      </w:r>
      <w:r>
        <w:rPr>
          <w:rFonts w:ascii="Arial" w:hAnsi="Arial"/>
          <w:w w:val="105"/>
          <w:sz w:val="19"/>
        </w:rPr>
        <w:t>than</w:t>
      </w:r>
      <w:r>
        <w:rPr>
          <w:rFonts w:ascii="Arial" w:hAnsi="Arial"/>
          <w:spacing w:val="-18"/>
          <w:w w:val="105"/>
          <w:sz w:val="19"/>
        </w:rPr>
        <w:t xml:space="preserve"> </w:t>
      </w:r>
      <w:r>
        <w:rPr>
          <w:rFonts w:ascii="Arial" w:hAnsi="Arial"/>
          <w:w w:val="105"/>
          <w:sz w:val="19"/>
        </w:rPr>
        <w:t>post- workout</w:t>
      </w:r>
      <w:r>
        <w:rPr>
          <w:rFonts w:ascii="Arial" w:hAnsi="Arial"/>
          <w:spacing w:val="-13"/>
          <w:w w:val="105"/>
          <w:sz w:val="19"/>
        </w:rPr>
        <w:t xml:space="preserve"> </w:t>
      </w:r>
      <w:r>
        <w:rPr>
          <w:rFonts w:ascii="Arial" w:hAnsi="Arial"/>
          <w:w w:val="105"/>
          <w:sz w:val="19"/>
        </w:rPr>
        <w:t>powder</w:t>
      </w:r>
      <w:r>
        <w:rPr>
          <w:rFonts w:ascii="Arial" w:hAnsi="Arial"/>
          <w:spacing w:val="-14"/>
          <w:w w:val="105"/>
          <w:sz w:val="19"/>
        </w:rPr>
        <w:t xml:space="preserve"> </w:t>
      </w:r>
      <w:r>
        <w:rPr>
          <w:rFonts w:ascii="Arial" w:hAnsi="Arial"/>
          <w:w w:val="105"/>
          <w:sz w:val="19"/>
        </w:rPr>
        <w:t>products</w:t>
      </w:r>
      <w:r>
        <w:rPr>
          <w:rFonts w:ascii="Arial" w:hAnsi="Arial"/>
          <w:spacing w:val="-12"/>
          <w:w w:val="105"/>
          <w:sz w:val="19"/>
        </w:rPr>
        <w:t xml:space="preserve"> </w:t>
      </w:r>
      <w:r>
        <w:rPr>
          <w:rFonts w:ascii="Arial" w:hAnsi="Arial"/>
          <w:w w:val="105"/>
          <w:sz w:val="19"/>
        </w:rPr>
        <w:t>(which</w:t>
      </w:r>
      <w:r>
        <w:rPr>
          <w:rFonts w:ascii="Arial" w:hAnsi="Arial"/>
          <w:spacing w:val="-13"/>
          <w:w w:val="105"/>
          <w:sz w:val="19"/>
        </w:rPr>
        <w:t xml:space="preserve"> </w:t>
      </w:r>
      <w:r>
        <w:rPr>
          <w:rFonts w:ascii="Arial" w:hAnsi="Arial"/>
          <w:w w:val="105"/>
          <w:sz w:val="19"/>
        </w:rPr>
        <w:t>mainly</w:t>
      </w:r>
      <w:r>
        <w:rPr>
          <w:rFonts w:ascii="Arial" w:hAnsi="Arial"/>
          <w:spacing w:val="-12"/>
          <w:w w:val="105"/>
          <w:sz w:val="19"/>
        </w:rPr>
        <w:t xml:space="preserve"> </w:t>
      </w:r>
      <w:r>
        <w:rPr>
          <w:rFonts w:ascii="Arial" w:hAnsi="Arial"/>
          <w:w w:val="105"/>
          <w:sz w:val="19"/>
        </w:rPr>
        <w:t>consisted</w:t>
      </w:r>
      <w:r>
        <w:rPr>
          <w:rFonts w:ascii="Arial" w:hAnsi="Arial"/>
          <w:spacing w:val="-13"/>
          <w:w w:val="105"/>
          <w:sz w:val="19"/>
        </w:rPr>
        <w:t xml:space="preserve"> </w:t>
      </w:r>
      <w:r>
        <w:rPr>
          <w:rFonts w:ascii="Arial" w:hAnsi="Arial"/>
          <w:w w:val="105"/>
          <w:sz w:val="19"/>
        </w:rPr>
        <w:t>of</w:t>
      </w:r>
      <w:r>
        <w:rPr>
          <w:rFonts w:ascii="Arial" w:hAnsi="Arial"/>
          <w:spacing w:val="-13"/>
          <w:w w:val="105"/>
          <w:sz w:val="19"/>
        </w:rPr>
        <w:t xml:space="preserve"> </w:t>
      </w:r>
      <w:r>
        <w:rPr>
          <w:rFonts w:ascii="Arial" w:hAnsi="Arial"/>
          <w:w w:val="105"/>
          <w:sz w:val="19"/>
        </w:rPr>
        <w:t>protein)</w:t>
      </w:r>
    </w:p>
    <w:p w:rsidR="007D76BB" w:rsidRDefault="00D70D28">
      <w:pPr>
        <w:pStyle w:val="ListParagraph"/>
        <w:numPr>
          <w:ilvl w:val="1"/>
          <w:numId w:val="5"/>
        </w:numPr>
        <w:tabs>
          <w:tab w:val="left" w:pos="766"/>
        </w:tabs>
        <w:spacing w:before="77" w:line="266" w:lineRule="auto"/>
        <w:ind w:right="1564"/>
        <w:rPr>
          <w:rFonts w:ascii="Arial" w:hAnsi="Arial"/>
          <w:sz w:val="19"/>
        </w:rPr>
      </w:pPr>
      <w:r>
        <w:rPr>
          <w:rFonts w:ascii="Arial" w:hAnsi="Arial"/>
          <w:w w:val="105"/>
          <w:sz w:val="19"/>
        </w:rPr>
        <w:t>powder</w:t>
      </w:r>
      <w:r>
        <w:rPr>
          <w:rFonts w:ascii="Arial" w:hAnsi="Arial"/>
          <w:spacing w:val="-23"/>
          <w:w w:val="105"/>
          <w:sz w:val="19"/>
        </w:rPr>
        <w:t xml:space="preserve"> </w:t>
      </w:r>
      <w:r>
        <w:rPr>
          <w:rFonts w:ascii="Arial" w:hAnsi="Arial"/>
          <w:w w:val="105"/>
          <w:sz w:val="19"/>
        </w:rPr>
        <w:t>products</w:t>
      </w:r>
      <w:r>
        <w:rPr>
          <w:rFonts w:ascii="Arial" w:hAnsi="Arial"/>
          <w:spacing w:val="-23"/>
          <w:w w:val="105"/>
          <w:sz w:val="19"/>
        </w:rPr>
        <w:t xml:space="preserve"> </w:t>
      </w:r>
      <w:r>
        <w:rPr>
          <w:rFonts w:ascii="Arial" w:hAnsi="Arial"/>
          <w:w w:val="105"/>
          <w:sz w:val="19"/>
        </w:rPr>
        <w:t>in</w:t>
      </w:r>
      <w:r>
        <w:rPr>
          <w:rFonts w:ascii="Arial" w:hAnsi="Arial"/>
          <w:spacing w:val="-24"/>
          <w:w w:val="105"/>
          <w:sz w:val="19"/>
        </w:rPr>
        <w:t xml:space="preserve"> </w:t>
      </w:r>
      <w:r>
        <w:rPr>
          <w:rFonts w:ascii="Arial" w:hAnsi="Arial"/>
          <w:w w:val="105"/>
          <w:sz w:val="19"/>
        </w:rPr>
        <w:t>the</w:t>
      </w:r>
      <w:r>
        <w:rPr>
          <w:rFonts w:ascii="Arial" w:hAnsi="Arial"/>
          <w:spacing w:val="-24"/>
          <w:w w:val="105"/>
          <w:sz w:val="19"/>
        </w:rPr>
        <w:t xml:space="preserve"> </w:t>
      </w:r>
      <w:r>
        <w:rPr>
          <w:rFonts w:ascii="Arial" w:hAnsi="Arial"/>
          <w:w w:val="105"/>
          <w:sz w:val="19"/>
        </w:rPr>
        <w:t>fat</w:t>
      </w:r>
      <w:r>
        <w:rPr>
          <w:rFonts w:ascii="Arial" w:hAnsi="Arial"/>
          <w:spacing w:val="-24"/>
          <w:w w:val="105"/>
          <w:sz w:val="19"/>
        </w:rPr>
        <w:t xml:space="preserve"> </w:t>
      </w:r>
      <w:r>
        <w:rPr>
          <w:rFonts w:ascii="Arial" w:hAnsi="Arial"/>
          <w:w w:val="105"/>
          <w:sz w:val="19"/>
        </w:rPr>
        <w:t>burner</w:t>
      </w:r>
      <w:r>
        <w:rPr>
          <w:rFonts w:ascii="Arial" w:hAnsi="Arial"/>
          <w:spacing w:val="-22"/>
          <w:w w:val="105"/>
          <w:sz w:val="19"/>
        </w:rPr>
        <w:t xml:space="preserve"> </w:t>
      </w:r>
      <w:r>
        <w:rPr>
          <w:rFonts w:ascii="Arial" w:hAnsi="Arial"/>
          <w:w w:val="105"/>
          <w:sz w:val="19"/>
        </w:rPr>
        <w:t>category</w:t>
      </w:r>
      <w:r>
        <w:rPr>
          <w:rFonts w:ascii="Arial" w:hAnsi="Arial"/>
          <w:spacing w:val="-24"/>
          <w:w w:val="105"/>
          <w:sz w:val="19"/>
        </w:rPr>
        <w:t xml:space="preserve"> </w:t>
      </w:r>
      <w:r>
        <w:rPr>
          <w:rFonts w:ascii="Arial" w:hAnsi="Arial"/>
          <w:w w:val="105"/>
          <w:sz w:val="19"/>
        </w:rPr>
        <w:t>have</w:t>
      </w:r>
      <w:r>
        <w:rPr>
          <w:rFonts w:ascii="Arial" w:hAnsi="Arial"/>
          <w:spacing w:val="-24"/>
          <w:w w:val="105"/>
          <w:sz w:val="19"/>
        </w:rPr>
        <w:t xml:space="preserve"> </w:t>
      </w:r>
      <w:r>
        <w:rPr>
          <w:rFonts w:ascii="Arial" w:hAnsi="Arial"/>
          <w:w w:val="105"/>
          <w:sz w:val="19"/>
        </w:rPr>
        <w:t>less</w:t>
      </w:r>
      <w:r>
        <w:rPr>
          <w:rFonts w:ascii="Arial" w:hAnsi="Arial"/>
          <w:spacing w:val="-23"/>
          <w:w w:val="105"/>
          <w:sz w:val="19"/>
        </w:rPr>
        <w:t xml:space="preserve"> </w:t>
      </w:r>
      <w:r>
        <w:rPr>
          <w:rFonts w:ascii="Arial" w:hAnsi="Arial"/>
          <w:w w:val="105"/>
          <w:sz w:val="19"/>
        </w:rPr>
        <w:t>ingredients</w:t>
      </w:r>
      <w:r>
        <w:rPr>
          <w:rFonts w:ascii="Arial" w:hAnsi="Arial"/>
          <w:spacing w:val="-24"/>
          <w:w w:val="105"/>
          <w:sz w:val="19"/>
        </w:rPr>
        <w:t xml:space="preserve"> </w:t>
      </w:r>
      <w:r>
        <w:rPr>
          <w:rFonts w:ascii="Arial" w:hAnsi="Arial"/>
          <w:w w:val="105"/>
          <w:sz w:val="19"/>
        </w:rPr>
        <w:t>of</w:t>
      </w:r>
      <w:r>
        <w:rPr>
          <w:rFonts w:ascii="Arial" w:hAnsi="Arial"/>
          <w:spacing w:val="-25"/>
          <w:w w:val="105"/>
          <w:sz w:val="19"/>
        </w:rPr>
        <w:t xml:space="preserve"> </w:t>
      </w:r>
      <w:r>
        <w:rPr>
          <w:rFonts w:ascii="Arial" w:hAnsi="Arial"/>
          <w:w w:val="105"/>
          <w:sz w:val="19"/>
        </w:rPr>
        <w:t>concern</w:t>
      </w:r>
      <w:r>
        <w:rPr>
          <w:rFonts w:ascii="Arial" w:hAnsi="Arial"/>
          <w:spacing w:val="-24"/>
          <w:w w:val="105"/>
          <w:sz w:val="19"/>
        </w:rPr>
        <w:t xml:space="preserve"> </w:t>
      </w:r>
      <w:r>
        <w:rPr>
          <w:rFonts w:ascii="Arial" w:hAnsi="Arial"/>
          <w:w w:val="105"/>
          <w:sz w:val="19"/>
        </w:rPr>
        <w:t>than</w:t>
      </w:r>
      <w:r>
        <w:rPr>
          <w:rFonts w:ascii="Arial" w:hAnsi="Arial"/>
          <w:spacing w:val="-24"/>
          <w:w w:val="105"/>
          <w:sz w:val="19"/>
        </w:rPr>
        <w:t xml:space="preserve"> </w:t>
      </w:r>
      <w:r>
        <w:rPr>
          <w:rFonts w:ascii="Arial" w:hAnsi="Arial"/>
          <w:w w:val="105"/>
          <w:sz w:val="19"/>
        </w:rPr>
        <w:t>powder products</w:t>
      </w:r>
      <w:r>
        <w:rPr>
          <w:rFonts w:ascii="Arial" w:hAnsi="Arial"/>
          <w:spacing w:val="-11"/>
          <w:w w:val="105"/>
          <w:sz w:val="19"/>
        </w:rPr>
        <w:t xml:space="preserve"> </w:t>
      </w:r>
      <w:r>
        <w:rPr>
          <w:rFonts w:ascii="Arial" w:hAnsi="Arial"/>
          <w:w w:val="105"/>
          <w:sz w:val="19"/>
        </w:rPr>
        <w:t>in</w:t>
      </w:r>
      <w:r>
        <w:rPr>
          <w:rFonts w:ascii="Arial" w:hAnsi="Arial"/>
          <w:spacing w:val="-10"/>
          <w:w w:val="105"/>
          <w:sz w:val="19"/>
        </w:rPr>
        <w:t xml:space="preserve"> </w:t>
      </w:r>
      <w:r>
        <w:rPr>
          <w:rFonts w:ascii="Arial" w:hAnsi="Arial"/>
          <w:w w:val="105"/>
          <w:sz w:val="19"/>
        </w:rPr>
        <w:t>the</w:t>
      </w:r>
      <w:r>
        <w:rPr>
          <w:rFonts w:ascii="Arial" w:hAnsi="Arial"/>
          <w:spacing w:val="-12"/>
          <w:w w:val="105"/>
          <w:sz w:val="19"/>
        </w:rPr>
        <w:t xml:space="preserve"> </w:t>
      </w:r>
      <w:r>
        <w:rPr>
          <w:rFonts w:ascii="Arial" w:hAnsi="Arial"/>
          <w:w w:val="105"/>
          <w:sz w:val="19"/>
        </w:rPr>
        <w:t>pre-workout</w:t>
      </w:r>
      <w:r>
        <w:rPr>
          <w:rFonts w:ascii="Arial" w:hAnsi="Arial"/>
          <w:spacing w:val="-12"/>
          <w:w w:val="105"/>
          <w:sz w:val="19"/>
        </w:rPr>
        <w:t xml:space="preserve"> </w:t>
      </w:r>
      <w:r>
        <w:rPr>
          <w:rFonts w:ascii="Arial" w:hAnsi="Arial"/>
          <w:w w:val="105"/>
          <w:sz w:val="19"/>
        </w:rPr>
        <w:t>category</w:t>
      </w:r>
    </w:p>
    <w:p w:rsidR="007D76BB" w:rsidRDefault="00D70D28">
      <w:pPr>
        <w:pStyle w:val="ListParagraph"/>
        <w:numPr>
          <w:ilvl w:val="1"/>
          <w:numId w:val="5"/>
        </w:numPr>
        <w:tabs>
          <w:tab w:val="left" w:pos="766"/>
        </w:tabs>
        <w:spacing w:before="74" w:line="266" w:lineRule="auto"/>
        <w:ind w:right="976"/>
        <w:rPr>
          <w:rFonts w:ascii="Arial" w:hAnsi="Arial"/>
          <w:sz w:val="19"/>
        </w:rPr>
      </w:pPr>
      <w:r>
        <w:rPr>
          <w:rFonts w:ascii="Arial" w:hAnsi="Arial"/>
          <w:w w:val="105"/>
          <w:sz w:val="19"/>
        </w:rPr>
        <w:t>most</w:t>
      </w:r>
      <w:r>
        <w:rPr>
          <w:rFonts w:ascii="Arial" w:hAnsi="Arial"/>
          <w:spacing w:val="-17"/>
          <w:w w:val="105"/>
          <w:sz w:val="19"/>
        </w:rPr>
        <w:t xml:space="preserve"> </w:t>
      </w:r>
      <w:r>
        <w:rPr>
          <w:rFonts w:ascii="Arial" w:hAnsi="Arial"/>
          <w:w w:val="105"/>
          <w:sz w:val="19"/>
        </w:rPr>
        <w:t>powder</w:t>
      </w:r>
      <w:r>
        <w:rPr>
          <w:rFonts w:ascii="Arial" w:hAnsi="Arial"/>
          <w:spacing w:val="-18"/>
          <w:w w:val="105"/>
          <w:sz w:val="19"/>
        </w:rPr>
        <w:t xml:space="preserve"> </w:t>
      </w:r>
      <w:r>
        <w:rPr>
          <w:rFonts w:ascii="Arial" w:hAnsi="Arial"/>
          <w:w w:val="105"/>
          <w:sz w:val="19"/>
        </w:rPr>
        <w:t>products</w:t>
      </w:r>
      <w:r>
        <w:rPr>
          <w:rFonts w:ascii="Arial" w:hAnsi="Arial"/>
          <w:spacing w:val="-17"/>
          <w:w w:val="105"/>
          <w:sz w:val="19"/>
        </w:rPr>
        <w:t xml:space="preserve"> </w:t>
      </w:r>
      <w:r>
        <w:rPr>
          <w:rFonts w:ascii="Arial" w:hAnsi="Arial"/>
          <w:w w:val="105"/>
          <w:sz w:val="19"/>
        </w:rPr>
        <w:t>that</w:t>
      </w:r>
      <w:r>
        <w:rPr>
          <w:rFonts w:ascii="Arial" w:hAnsi="Arial"/>
          <w:spacing w:val="-17"/>
          <w:w w:val="105"/>
          <w:sz w:val="19"/>
        </w:rPr>
        <w:t xml:space="preserve"> </w:t>
      </w:r>
      <w:r>
        <w:rPr>
          <w:rFonts w:ascii="Arial" w:hAnsi="Arial"/>
          <w:w w:val="105"/>
          <w:sz w:val="19"/>
        </w:rPr>
        <w:t>have</w:t>
      </w:r>
      <w:r>
        <w:rPr>
          <w:rFonts w:ascii="Arial" w:hAnsi="Arial"/>
          <w:spacing w:val="-15"/>
          <w:w w:val="105"/>
          <w:sz w:val="19"/>
        </w:rPr>
        <w:t xml:space="preserve"> </w:t>
      </w:r>
      <w:r>
        <w:rPr>
          <w:rFonts w:ascii="Arial" w:hAnsi="Arial"/>
          <w:w w:val="105"/>
          <w:sz w:val="19"/>
        </w:rPr>
        <w:t>ingredients</w:t>
      </w:r>
      <w:r>
        <w:rPr>
          <w:rFonts w:ascii="Arial" w:hAnsi="Arial"/>
          <w:spacing w:val="-17"/>
          <w:w w:val="105"/>
          <w:sz w:val="19"/>
        </w:rPr>
        <w:t xml:space="preserve"> </w:t>
      </w:r>
      <w:r>
        <w:rPr>
          <w:rFonts w:ascii="Arial" w:hAnsi="Arial"/>
          <w:w w:val="105"/>
          <w:sz w:val="19"/>
        </w:rPr>
        <w:t>of</w:t>
      </w:r>
      <w:r>
        <w:rPr>
          <w:rFonts w:ascii="Arial" w:hAnsi="Arial"/>
          <w:spacing w:val="-18"/>
          <w:w w:val="105"/>
          <w:sz w:val="19"/>
        </w:rPr>
        <w:t xml:space="preserve"> </w:t>
      </w:r>
      <w:r>
        <w:rPr>
          <w:rFonts w:ascii="Arial" w:hAnsi="Arial"/>
          <w:w w:val="105"/>
          <w:sz w:val="19"/>
        </w:rPr>
        <w:t>concern</w:t>
      </w:r>
      <w:r>
        <w:rPr>
          <w:rFonts w:ascii="Arial" w:hAnsi="Arial"/>
          <w:spacing w:val="-16"/>
          <w:w w:val="105"/>
          <w:sz w:val="19"/>
        </w:rPr>
        <w:t xml:space="preserve"> </w:t>
      </w:r>
      <w:r>
        <w:rPr>
          <w:rFonts w:ascii="Arial" w:hAnsi="Arial"/>
          <w:w w:val="105"/>
          <w:sz w:val="19"/>
        </w:rPr>
        <w:t>are</w:t>
      </w:r>
      <w:r>
        <w:rPr>
          <w:rFonts w:ascii="Arial" w:hAnsi="Arial"/>
          <w:spacing w:val="-16"/>
          <w:w w:val="105"/>
          <w:sz w:val="19"/>
        </w:rPr>
        <w:t xml:space="preserve"> </w:t>
      </w:r>
      <w:r>
        <w:rPr>
          <w:rFonts w:ascii="Arial" w:hAnsi="Arial"/>
          <w:w w:val="105"/>
          <w:sz w:val="19"/>
        </w:rPr>
        <w:t>likely</w:t>
      </w:r>
      <w:r>
        <w:rPr>
          <w:rFonts w:ascii="Arial" w:hAnsi="Arial"/>
          <w:spacing w:val="-18"/>
          <w:w w:val="105"/>
          <w:sz w:val="19"/>
        </w:rPr>
        <w:t xml:space="preserve"> </w:t>
      </w:r>
      <w:r>
        <w:rPr>
          <w:rFonts w:ascii="Arial" w:hAnsi="Arial"/>
          <w:w w:val="105"/>
          <w:sz w:val="19"/>
        </w:rPr>
        <w:t>to</w:t>
      </w:r>
      <w:r>
        <w:rPr>
          <w:rFonts w:ascii="Arial" w:hAnsi="Arial"/>
          <w:spacing w:val="-18"/>
          <w:w w:val="105"/>
          <w:sz w:val="19"/>
        </w:rPr>
        <w:t xml:space="preserve"> </w:t>
      </w:r>
      <w:r>
        <w:rPr>
          <w:rFonts w:ascii="Arial" w:hAnsi="Arial"/>
          <w:w w:val="105"/>
          <w:sz w:val="19"/>
        </w:rPr>
        <w:t>be</w:t>
      </w:r>
      <w:r>
        <w:rPr>
          <w:rFonts w:ascii="Arial" w:hAnsi="Arial"/>
          <w:spacing w:val="-18"/>
          <w:w w:val="105"/>
          <w:sz w:val="19"/>
        </w:rPr>
        <w:t xml:space="preserve"> </w:t>
      </w:r>
      <w:r>
        <w:rPr>
          <w:rFonts w:ascii="Arial" w:hAnsi="Arial"/>
          <w:w w:val="105"/>
          <w:sz w:val="19"/>
        </w:rPr>
        <w:t>either</w:t>
      </w:r>
      <w:r>
        <w:rPr>
          <w:rFonts w:ascii="Arial" w:hAnsi="Arial"/>
          <w:spacing w:val="-16"/>
          <w:w w:val="105"/>
          <w:sz w:val="19"/>
        </w:rPr>
        <w:t xml:space="preserve"> </w:t>
      </w:r>
      <w:r>
        <w:rPr>
          <w:rFonts w:ascii="Arial" w:hAnsi="Arial"/>
          <w:w w:val="105"/>
          <w:sz w:val="19"/>
        </w:rPr>
        <w:t>reformulated</w:t>
      </w:r>
      <w:r>
        <w:rPr>
          <w:rFonts w:ascii="Arial" w:hAnsi="Arial"/>
          <w:spacing w:val="-18"/>
          <w:w w:val="105"/>
          <w:sz w:val="19"/>
        </w:rPr>
        <w:t xml:space="preserve"> </w:t>
      </w:r>
      <w:r>
        <w:rPr>
          <w:rFonts w:ascii="Arial" w:hAnsi="Arial"/>
          <w:w w:val="105"/>
          <w:sz w:val="19"/>
        </w:rPr>
        <w:t>or withdrawn</w:t>
      </w:r>
      <w:r>
        <w:rPr>
          <w:rFonts w:ascii="Arial" w:hAnsi="Arial"/>
          <w:spacing w:val="-24"/>
          <w:w w:val="105"/>
          <w:sz w:val="19"/>
        </w:rPr>
        <w:t xml:space="preserve"> </w:t>
      </w:r>
      <w:r>
        <w:rPr>
          <w:rFonts w:ascii="Arial" w:hAnsi="Arial"/>
          <w:w w:val="105"/>
          <w:sz w:val="19"/>
        </w:rPr>
        <w:t>from</w:t>
      </w:r>
      <w:r>
        <w:rPr>
          <w:rFonts w:ascii="Arial" w:hAnsi="Arial"/>
          <w:spacing w:val="-26"/>
          <w:w w:val="105"/>
          <w:sz w:val="19"/>
        </w:rPr>
        <w:t xml:space="preserve"> </w:t>
      </w:r>
      <w:r>
        <w:rPr>
          <w:rFonts w:ascii="Arial" w:hAnsi="Arial"/>
          <w:w w:val="105"/>
          <w:sz w:val="19"/>
        </w:rPr>
        <w:t>the</w:t>
      </w:r>
      <w:r>
        <w:rPr>
          <w:rFonts w:ascii="Arial" w:hAnsi="Arial"/>
          <w:spacing w:val="-24"/>
          <w:w w:val="105"/>
          <w:sz w:val="19"/>
        </w:rPr>
        <w:t xml:space="preserve"> </w:t>
      </w:r>
      <w:r>
        <w:rPr>
          <w:rFonts w:ascii="Arial" w:hAnsi="Arial"/>
          <w:w w:val="105"/>
          <w:sz w:val="19"/>
        </w:rPr>
        <w:t>market</w:t>
      </w:r>
      <w:r>
        <w:rPr>
          <w:rFonts w:ascii="Arial" w:hAnsi="Arial"/>
          <w:w w:val="105"/>
          <w:position w:val="7"/>
          <w:sz w:val="11"/>
        </w:rPr>
        <w:t>38</w:t>
      </w:r>
      <w:r>
        <w:rPr>
          <w:rFonts w:ascii="Arial" w:hAnsi="Arial"/>
          <w:spacing w:val="-1"/>
          <w:w w:val="105"/>
          <w:position w:val="7"/>
          <w:sz w:val="11"/>
        </w:rPr>
        <w:t xml:space="preserve"> </w:t>
      </w:r>
      <w:r>
        <w:rPr>
          <w:rFonts w:ascii="Arial" w:hAnsi="Arial"/>
          <w:w w:val="105"/>
          <w:sz w:val="19"/>
        </w:rPr>
        <w:t>–</w:t>
      </w:r>
      <w:r>
        <w:rPr>
          <w:rFonts w:ascii="Arial" w:hAnsi="Arial"/>
          <w:spacing w:val="-24"/>
          <w:w w:val="105"/>
          <w:sz w:val="19"/>
        </w:rPr>
        <w:t xml:space="preserve"> </w:t>
      </w:r>
      <w:r>
        <w:rPr>
          <w:rFonts w:ascii="Arial" w:hAnsi="Arial"/>
          <w:w w:val="105"/>
          <w:sz w:val="19"/>
        </w:rPr>
        <w:t>only</w:t>
      </w:r>
      <w:r>
        <w:rPr>
          <w:rFonts w:ascii="Arial" w:hAnsi="Arial"/>
          <w:spacing w:val="-26"/>
          <w:w w:val="105"/>
          <w:sz w:val="19"/>
        </w:rPr>
        <w:t xml:space="preserve"> </w:t>
      </w:r>
      <w:r>
        <w:rPr>
          <w:rFonts w:ascii="Arial" w:hAnsi="Arial"/>
          <w:w w:val="105"/>
          <w:sz w:val="19"/>
        </w:rPr>
        <w:t>a</w:t>
      </w:r>
      <w:r>
        <w:rPr>
          <w:rFonts w:ascii="Arial" w:hAnsi="Arial"/>
          <w:spacing w:val="-24"/>
          <w:w w:val="105"/>
          <w:sz w:val="19"/>
        </w:rPr>
        <w:t xml:space="preserve"> </w:t>
      </w:r>
      <w:r>
        <w:rPr>
          <w:rFonts w:ascii="Arial" w:hAnsi="Arial"/>
          <w:w w:val="105"/>
          <w:sz w:val="19"/>
        </w:rPr>
        <w:t>small</w:t>
      </w:r>
      <w:r>
        <w:rPr>
          <w:rFonts w:ascii="Arial" w:hAnsi="Arial"/>
          <w:spacing w:val="-25"/>
          <w:w w:val="105"/>
          <w:sz w:val="19"/>
        </w:rPr>
        <w:t xml:space="preserve"> </w:t>
      </w:r>
      <w:r>
        <w:rPr>
          <w:rFonts w:ascii="Arial" w:hAnsi="Arial"/>
          <w:w w:val="105"/>
          <w:sz w:val="19"/>
        </w:rPr>
        <w:t>percentage</w:t>
      </w:r>
      <w:r>
        <w:rPr>
          <w:rFonts w:ascii="Arial" w:hAnsi="Arial"/>
          <w:spacing w:val="-24"/>
          <w:w w:val="105"/>
          <w:sz w:val="19"/>
        </w:rPr>
        <w:t xml:space="preserve"> </w:t>
      </w:r>
      <w:r>
        <w:rPr>
          <w:rFonts w:ascii="Arial" w:hAnsi="Arial"/>
          <w:w w:val="105"/>
          <w:sz w:val="19"/>
        </w:rPr>
        <w:t>of</w:t>
      </w:r>
      <w:r>
        <w:rPr>
          <w:rFonts w:ascii="Arial" w:hAnsi="Arial"/>
          <w:spacing w:val="-26"/>
          <w:w w:val="105"/>
          <w:sz w:val="19"/>
        </w:rPr>
        <w:t xml:space="preserve"> </w:t>
      </w:r>
      <w:r>
        <w:rPr>
          <w:rFonts w:ascii="Arial" w:hAnsi="Arial"/>
          <w:w w:val="105"/>
          <w:sz w:val="19"/>
        </w:rPr>
        <w:t>powder</w:t>
      </w:r>
      <w:r>
        <w:rPr>
          <w:rFonts w:ascii="Arial" w:hAnsi="Arial"/>
          <w:spacing w:val="-24"/>
          <w:w w:val="105"/>
          <w:sz w:val="19"/>
        </w:rPr>
        <w:t xml:space="preserve"> </w:t>
      </w:r>
      <w:r>
        <w:rPr>
          <w:rFonts w:ascii="Arial" w:hAnsi="Arial"/>
          <w:w w:val="105"/>
          <w:sz w:val="19"/>
        </w:rPr>
        <w:t>products</w:t>
      </w:r>
      <w:r>
        <w:rPr>
          <w:rFonts w:ascii="Arial" w:hAnsi="Arial"/>
          <w:spacing w:val="-25"/>
          <w:w w:val="105"/>
          <w:sz w:val="19"/>
        </w:rPr>
        <w:t xml:space="preserve"> </w:t>
      </w:r>
      <w:r>
        <w:rPr>
          <w:rFonts w:ascii="Arial" w:hAnsi="Arial"/>
          <w:w w:val="105"/>
          <w:sz w:val="19"/>
        </w:rPr>
        <w:t>would</w:t>
      </w:r>
      <w:r>
        <w:rPr>
          <w:rFonts w:ascii="Arial" w:hAnsi="Arial"/>
          <w:spacing w:val="-25"/>
          <w:w w:val="105"/>
          <w:sz w:val="19"/>
        </w:rPr>
        <w:t xml:space="preserve"> </w:t>
      </w:r>
      <w:r>
        <w:rPr>
          <w:rFonts w:ascii="Arial" w:hAnsi="Arial"/>
          <w:w w:val="105"/>
          <w:sz w:val="19"/>
        </w:rPr>
        <w:t>proceed</w:t>
      </w:r>
      <w:r>
        <w:rPr>
          <w:rFonts w:ascii="Arial" w:hAnsi="Arial"/>
          <w:spacing w:val="-25"/>
          <w:w w:val="105"/>
          <w:sz w:val="19"/>
        </w:rPr>
        <w:t xml:space="preserve"> </w:t>
      </w:r>
      <w:r>
        <w:rPr>
          <w:rFonts w:ascii="Arial" w:hAnsi="Arial"/>
          <w:w w:val="105"/>
          <w:sz w:val="19"/>
        </w:rPr>
        <w:t>down an ARTG listing</w:t>
      </w:r>
      <w:r>
        <w:rPr>
          <w:rFonts w:ascii="Arial" w:hAnsi="Arial"/>
          <w:spacing w:val="-32"/>
          <w:w w:val="105"/>
          <w:sz w:val="19"/>
        </w:rPr>
        <w:t xml:space="preserve"> </w:t>
      </w:r>
      <w:r>
        <w:rPr>
          <w:rFonts w:ascii="Arial" w:hAnsi="Arial"/>
          <w:w w:val="105"/>
          <w:sz w:val="19"/>
        </w:rPr>
        <w:t>pathway</w:t>
      </w:r>
    </w:p>
    <w:p w:rsidR="007D76BB" w:rsidRDefault="00D70D28">
      <w:pPr>
        <w:pStyle w:val="ListParagraph"/>
        <w:numPr>
          <w:ilvl w:val="1"/>
          <w:numId w:val="5"/>
        </w:numPr>
        <w:tabs>
          <w:tab w:val="left" w:pos="766"/>
        </w:tabs>
        <w:spacing w:before="75" w:line="268" w:lineRule="auto"/>
        <w:ind w:right="1557"/>
        <w:rPr>
          <w:rFonts w:ascii="Arial" w:hAnsi="Arial"/>
          <w:sz w:val="19"/>
        </w:rPr>
      </w:pPr>
      <w:r>
        <w:rPr>
          <w:rFonts w:ascii="Arial" w:hAnsi="Arial"/>
          <w:w w:val="105"/>
          <w:sz w:val="19"/>
        </w:rPr>
        <w:t>capsule/tablet</w:t>
      </w:r>
      <w:r>
        <w:rPr>
          <w:rFonts w:ascii="Arial" w:hAnsi="Arial"/>
          <w:spacing w:val="-18"/>
          <w:w w:val="105"/>
          <w:sz w:val="19"/>
        </w:rPr>
        <w:t xml:space="preserve"> </w:t>
      </w:r>
      <w:r>
        <w:rPr>
          <w:rFonts w:ascii="Arial" w:hAnsi="Arial"/>
          <w:w w:val="105"/>
          <w:sz w:val="19"/>
        </w:rPr>
        <w:t>products</w:t>
      </w:r>
      <w:r>
        <w:rPr>
          <w:rFonts w:ascii="Arial" w:hAnsi="Arial"/>
          <w:spacing w:val="-17"/>
          <w:w w:val="105"/>
          <w:sz w:val="19"/>
        </w:rPr>
        <w:t xml:space="preserve"> </w:t>
      </w:r>
      <w:r>
        <w:rPr>
          <w:rFonts w:ascii="Arial" w:hAnsi="Arial"/>
          <w:w w:val="105"/>
          <w:sz w:val="19"/>
        </w:rPr>
        <w:t>are</w:t>
      </w:r>
      <w:r>
        <w:rPr>
          <w:rFonts w:ascii="Arial" w:hAnsi="Arial"/>
          <w:spacing w:val="-21"/>
          <w:w w:val="105"/>
          <w:sz w:val="19"/>
        </w:rPr>
        <w:t xml:space="preserve"> </w:t>
      </w:r>
      <w:r>
        <w:rPr>
          <w:rFonts w:ascii="Arial" w:hAnsi="Arial"/>
          <w:w w:val="105"/>
          <w:sz w:val="19"/>
        </w:rPr>
        <w:t>not</w:t>
      </w:r>
      <w:r>
        <w:rPr>
          <w:rFonts w:ascii="Arial" w:hAnsi="Arial"/>
          <w:spacing w:val="-18"/>
          <w:w w:val="105"/>
          <w:sz w:val="19"/>
        </w:rPr>
        <w:t xml:space="preserve"> </w:t>
      </w:r>
      <w:r>
        <w:rPr>
          <w:rFonts w:ascii="Arial" w:hAnsi="Arial"/>
          <w:w w:val="105"/>
          <w:sz w:val="19"/>
        </w:rPr>
        <w:t>likely</w:t>
      </w:r>
      <w:r>
        <w:rPr>
          <w:rFonts w:ascii="Arial" w:hAnsi="Arial"/>
          <w:spacing w:val="-20"/>
          <w:w w:val="105"/>
          <w:sz w:val="19"/>
        </w:rPr>
        <w:t xml:space="preserve"> </w:t>
      </w:r>
      <w:r>
        <w:rPr>
          <w:rFonts w:ascii="Arial" w:hAnsi="Arial"/>
          <w:w w:val="105"/>
          <w:sz w:val="19"/>
        </w:rPr>
        <w:t>to</w:t>
      </w:r>
      <w:r>
        <w:rPr>
          <w:rFonts w:ascii="Arial" w:hAnsi="Arial"/>
          <w:spacing w:val="-18"/>
          <w:w w:val="105"/>
          <w:sz w:val="19"/>
        </w:rPr>
        <w:t xml:space="preserve"> </w:t>
      </w:r>
      <w:r>
        <w:rPr>
          <w:rFonts w:ascii="Arial" w:hAnsi="Arial"/>
          <w:w w:val="105"/>
          <w:sz w:val="19"/>
        </w:rPr>
        <w:t>have</w:t>
      </w:r>
      <w:r>
        <w:rPr>
          <w:rFonts w:ascii="Arial" w:hAnsi="Arial"/>
          <w:spacing w:val="-17"/>
          <w:w w:val="105"/>
          <w:sz w:val="19"/>
        </w:rPr>
        <w:t xml:space="preserve"> </w:t>
      </w:r>
      <w:r>
        <w:rPr>
          <w:rFonts w:ascii="Arial" w:hAnsi="Arial"/>
          <w:w w:val="105"/>
          <w:sz w:val="19"/>
        </w:rPr>
        <w:t>their</w:t>
      </w:r>
      <w:r>
        <w:rPr>
          <w:rFonts w:ascii="Arial" w:hAnsi="Arial"/>
          <w:spacing w:val="-20"/>
          <w:w w:val="105"/>
          <w:sz w:val="19"/>
        </w:rPr>
        <w:t xml:space="preserve"> </w:t>
      </w:r>
      <w:r>
        <w:rPr>
          <w:rFonts w:ascii="Arial" w:hAnsi="Arial"/>
          <w:w w:val="105"/>
          <w:sz w:val="19"/>
        </w:rPr>
        <w:t>presentation</w:t>
      </w:r>
      <w:r>
        <w:rPr>
          <w:rFonts w:ascii="Arial" w:hAnsi="Arial"/>
          <w:spacing w:val="-19"/>
          <w:w w:val="105"/>
          <w:sz w:val="19"/>
        </w:rPr>
        <w:t xml:space="preserve"> </w:t>
      </w:r>
      <w:r>
        <w:rPr>
          <w:rFonts w:ascii="Arial" w:hAnsi="Arial"/>
          <w:w w:val="105"/>
          <w:sz w:val="19"/>
        </w:rPr>
        <w:t>changed</w:t>
      </w:r>
      <w:r>
        <w:rPr>
          <w:rFonts w:ascii="Arial" w:hAnsi="Arial"/>
          <w:spacing w:val="-20"/>
          <w:w w:val="105"/>
          <w:sz w:val="19"/>
        </w:rPr>
        <w:t xml:space="preserve"> </w:t>
      </w:r>
      <w:r>
        <w:rPr>
          <w:rFonts w:ascii="Arial" w:hAnsi="Arial"/>
          <w:w w:val="105"/>
          <w:sz w:val="19"/>
        </w:rPr>
        <w:t>to</w:t>
      </w:r>
      <w:r>
        <w:rPr>
          <w:rFonts w:ascii="Arial" w:hAnsi="Arial"/>
          <w:spacing w:val="-18"/>
          <w:w w:val="105"/>
          <w:sz w:val="19"/>
        </w:rPr>
        <w:t xml:space="preserve"> </w:t>
      </w:r>
      <w:r>
        <w:rPr>
          <w:rFonts w:ascii="Arial" w:hAnsi="Arial"/>
          <w:w w:val="105"/>
          <w:sz w:val="19"/>
        </w:rPr>
        <w:t>a</w:t>
      </w:r>
      <w:r>
        <w:rPr>
          <w:rFonts w:ascii="Arial" w:hAnsi="Arial"/>
          <w:spacing w:val="-19"/>
          <w:w w:val="105"/>
          <w:sz w:val="19"/>
        </w:rPr>
        <w:t xml:space="preserve"> </w:t>
      </w:r>
      <w:r>
        <w:rPr>
          <w:rFonts w:ascii="Arial" w:hAnsi="Arial"/>
          <w:w w:val="105"/>
          <w:sz w:val="19"/>
        </w:rPr>
        <w:t>powder</w:t>
      </w:r>
      <w:r>
        <w:rPr>
          <w:rFonts w:ascii="Arial" w:hAnsi="Arial"/>
          <w:spacing w:val="-19"/>
          <w:w w:val="105"/>
          <w:sz w:val="19"/>
        </w:rPr>
        <w:t xml:space="preserve"> </w:t>
      </w:r>
      <w:r>
        <w:rPr>
          <w:rFonts w:ascii="Arial" w:hAnsi="Arial"/>
          <w:w w:val="105"/>
          <w:sz w:val="19"/>
        </w:rPr>
        <w:t>(or liquid/novel</w:t>
      </w:r>
      <w:r>
        <w:rPr>
          <w:rFonts w:ascii="Arial" w:hAnsi="Arial"/>
          <w:spacing w:val="-12"/>
          <w:w w:val="105"/>
          <w:sz w:val="19"/>
        </w:rPr>
        <w:t xml:space="preserve"> </w:t>
      </w:r>
      <w:r>
        <w:rPr>
          <w:rFonts w:ascii="Arial" w:hAnsi="Arial"/>
          <w:w w:val="105"/>
          <w:sz w:val="19"/>
        </w:rPr>
        <w:t>presentation)</w:t>
      </w:r>
    </w:p>
    <w:p w:rsidR="007D76BB" w:rsidRDefault="007D76BB">
      <w:pPr>
        <w:pStyle w:val="BodyText"/>
        <w:rPr>
          <w:rFonts w:ascii="Arial"/>
          <w:sz w:val="20"/>
        </w:rPr>
      </w:pPr>
    </w:p>
    <w:p w:rsidR="007D76BB" w:rsidRDefault="007D76BB">
      <w:pPr>
        <w:pStyle w:val="BodyText"/>
        <w:rPr>
          <w:rFonts w:ascii="Arial"/>
          <w:sz w:val="20"/>
        </w:rPr>
      </w:pPr>
    </w:p>
    <w:p w:rsidR="007D76BB" w:rsidRDefault="00D70D28">
      <w:pPr>
        <w:pStyle w:val="BodyText"/>
        <w:spacing w:before="2"/>
        <w:rPr>
          <w:rFonts w:ascii="Arial"/>
          <w:sz w:val="13"/>
        </w:rPr>
      </w:pPr>
      <w:r>
        <w:rPr>
          <w:noProof/>
          <w:lang w:val="en-AU" w:eastAsia="en-AU"/>
        </w:rPr>
        <mc:AlternateContent>
          <mc:Choice Requires="wps">
            <w:drawing>
              <wp:anchor distT="0" distB="0" distL="0" distR="0" simplePos="0" relativeHeight="251724800" behindDoc="1" locked="0" layoutInCell="1" allowOverlap="1">
                <wp:simplePos x="0" y="0"/>
                <wp:positionH relativeFrom="page">
                  <wp:posOffset>1080770</wp:posOffset>
                </wp:positionH>
                <wp:positionV relativeFrom="paragraph">
                  <wp:posOffset>127000</wp:posOffset>
                </wp:positionV>
                <wp:extent cx="1829435" cy="1270"/>
                <wp:effectExtent l="0" t="0" r="0" b="0"/>
                <wp:wrapTopAndBottom/>
                <wp:docPr id="308"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0E8E4" id="Freeform 164" o:spid="_x0000_s1026" style="position:absolute;margin-left:85.1pt;margin-top:10pt;width:144.05pt;height:.1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" path="m,l2880,e" filled="f" strokeweight=".84pt">
                <v:path arrowok="t" o:connecttype="custom" o:connectlocs="0,0;1828800,0" o:connectangles="0,0"/>
                <w10:wrap type="topAndBottom" anchorx="page"/>
              </v:shape>
            </w:pict>
          </mc:Fallback>
        </mc:AlternateContent>
      </w:r>
    </w:p>
    <w:p w:rsidR="007D76BB" w:rsidRDefault="00D70D28">
      <w:pPr>
        <w:spacing w:before="132" w:line="268" w:lineRule="auto"/>
        <w:ind w:left="594" w:right="900" w:hanging="113"/>
        <w:rPr>
          <w:rFonts w:ascii="Arial"/>
          <w:sz w:val="14"/>
        </w:rPr>
      </w:pPr>
      <w:r>
        <w:rPr>
          <w:rFonts w:ascii="Arial"/>
          <w:color w:val="5B6761"/>
          <w:w w:val="105"/>
          <w:position w:val="5"/>
          <w:sz w:val="8"/>
        </w:rPr>
        <w:t>37</w:t>
      </w:r>
      <w:r>
        <w:rPr>
          <w:rFonts w:ascii="Arial"/>
          <w:color w:val="5B6761"/>
          <w:spacing w:val="3"/>
          <w:w w:val="105"/>
          <w:position w:val="5"/>
          <w:sz w:val="8"/>
        </w:rPr>
        <w:t xml:space="preserve"> </w:t>
      </w:r>
      <w:r>
        <w:rPr>
          <w:rFonts w:ascii="Arial"/>
          <w:color w:val="5B6761"/>
          <w:w w:val="105"/>
          <w:sz w:val="14"/>
        </w:rPr>
        <w:t>This</w:t>
      </w:r>
      <w:r>
        <w:rPr>
          <w:rFonts w:ascii="Arial"/>
          <w:color w:val="5B6761"/>
          <w:spacing w:val="-14"/>
          <w:w w:val="105"/>
          <w:sz w:val="14"/>
        </w:rPr>
        <w:t xml:space="preserve"> </w:t>
      </w:r>
      <w:r>
        <w:rPr>
          <w:rFonts w:ascii="Arial"/>
          <w:color w:val="5B6761"/>
          <w:w w:val="105"/>
          <w:sz w:val="14"/>
        </w:rPr>
        <w:t>number</w:t>
      </w:r>
      <w:r>
        <w:rPr>
          <w:rFonts w:ascii="Arial"/>
          <w:color w:val="5B6761"/>
          <w:spacing w:val="-13"/>
          <w:w w:val="105"/>
          <w:sz w:val="14"/>
        </w:rPr>
        <w:t xml:space="preserve"> </w:t>
      </w:r>
      <w:r>
        <w:rPr>
          <w:rFonts w:ascii="Arial"/>
          <w:color w:val="5B6761"/>
          <w:w w:val="105"/>
          <w:sz w:val="14"/>
        </w:rPr>
        <w:t>of</w:t>
      </w:r>
      <w:r>
        <w:rPr>
          <w:rFonts w:ascii="Arial"/>
          <w:color w:val="5B6761"/>
          <w:spacing w:val="-15"/>
          <w:w w:val="105"/>
          <w:sz w:val="14"/>
        </w:rPr>
        <w:t xml:space="preserve"> </w:t>
      </w:r>
      <w:r>
        <w:rPr>
          <w:rFonts w:ascii="Arial"/>
          <w:color w:val="5B6761"/>
          <w:w w:val="105"/>
          <w:sz w:val="14"/>
        </w:rPr>
        <w:t>products</w:t>
      </w:r>
      <w:r>
        <w:rPr>
          <w:rFonts w:ascii="Arial"/>
          <w:color w:val="5B6761"/>
          <w:spacing w:val="-14"/>
          <w:w w:val="105"/>
          <w:sz w:val="14"/>
        </w:rPr>
        <w:t xml:space="preserve"> </w:t>
      </w:r>
      <w:r>
        <w:rPr>
          <w:rFonts w:ascii="Arial"/>
          <w:color w:val="5B6761"/>
          <w:w w:val="105"/>
          <w:sz w:val="14"/>
        </w:rPr>
        <w:t>where</w:t>
      </w:r>
      <w:r>
        <w:rPr>
          <w:rFonts w:ascii="Arial"/>
          <w:color w:val="5B6761"/>
          <w:spacing w:val="-14"/>
          <w:w w:val="105"/>
          <w:sz w:val="14"/>
        </w:rPr>
        <w:t xml:space="preserve"> </w:t>
      </w:r>
      <w:r>
        <w:rPr>
          <w:rFonts w:ascii="Arial"/>
          <w:color w:val="5B6761"/>
          <w:w w:val="105"/>
          <w:sz w:val="14"/>
        </w:rPr>
        <w:t>the</w:t>
      </w:r>
      <w:r>
        <w:rPr>
          <w:rFonts w:ascii="Arial"/>
          <w:color w:val="5B6761"/>
          <w:spacing w:val="-15"/>
          <w:w w:val="105"/>
          <w:sz w:val="14"/>
        </w:rPr>
        <w:t xml:space="preserve"> </w:t>
      </w:r>
      <w:r>
        <w:rPr>
          <w:rFonts w:ascii="Arial"/>
          <w:color w:val="5B6761"/>
          <w:w w:val="105"/>
          <w:sz w:val="14"/>
        </w:rPr>
        <w:t>country</w:t>
      </w:r>
      <w:r>
        <w:rPr>
          <w:rFonts w:ascii="Arial"/>
          <w:color w:val="5B6761"/>
          <w:spacing w:val="-14"/>
          <w:w w:val="105"/>
          <w:sz w:val="14"/>
        </w:rPr>
        <w:t xml:space="preserve"> </w:t>
      </w:r>
      <w:r>
        <w:rPr>
          <w:rFonts w:ascii="Arial"/>
          <w:color w:val="5B6761"/>
          <w:w w:val="105"/>
          <w:sz w:val="14"/>
        </w:rPr>
        <w:t>of</w:t>
      </w:r>
      <w:r>
        <w:rPr>
          <w:rFonts w:ascii="Arial"/>
          <w:color w:val="5B6761"/>
          <w:spacing w:val="-15"/>
          <w:w w:val="105"/>
          <w:sz w:val="14"/>
        </w:rPr>
        <w:t xml:space="preserve"> </w:t>
      </w:r>
      <w:r>
        <w:rPr>
          <w:rFonts w:ascii="Arial"/>
          <w:color w:val="5B6761"/>
          <w:w w:val="105"/>
          <w:sz w:val="14"/>
        </w:rPr>
        <w:t>origin</w:t>
      </w:r>
      <w:r>
        <w:rPr>
          <w:rFonts w:ascii="Arial"/>
          <w:color w:val="5B6761"/>
          <w:spacing w:val="-13"/>
          <w:w w:val="105"/>
          <w:sz w:val="14"/>
        </w:rPr>
        <w:t xml:space="preserve"> </w:t>
      </w:r>
      <w:r>
        <w:rPr>
          <w:rFonts w:ascii="Arial"/>
          <w:color w:val="5B6761"/>
          <w:w w:val="105"/>
          <w:sz w:val="14"/>
        </w:rPr>
        <w:t>could</w:t>
      </w:r>
      <w:r>
        <w:rPr>
          <w:rFonts w:ascii="Arial"/>
          <w:color w:val="5B6761"/>
          <w:spacing w:val="-13"/>
          <w:w w:val="105"/>
          <w:sz w:val="14"/>
        </w:rPr>
        <w:t xml:space="preserve"> </w:t>
      </w:r>
      <w:r>
        <w:rPr>
          <w:rFonts w:ascii="Arial"/>
          <w:color w:val="5B6761"/>
          <w:w w:val="105"/>
          <w:sz w:val="14"/>
        </w:rPr>
        <w:t>not</w:t>
      </w:r>
      <w:r>
        <w:rPr>
          <w:rFonts w:ascii="Arial"/>
          <w:color w:val="5B6761"/>
          <w:spacing w:val="-13"/>
          <w:w w:val="105"/>
          <w:sz w:val="14"/>
        </w:rPr>
        <w:t xml:space="preserve"> </w:t>
      </w:r>
      <w:r>
        <w:rPr>
          <w:rFonts w:ascii="Arial"/>
          <w:color w:val="5B6761"/>
          <w:w w:val="105"/>
          <w:sz w:val="14"/>
        </w:rPr>
        <w:t>be</w:t>
      </w:r>
      <w:r>
        <w:rPr>
          <w:rFonts w:ascii="Arial"/>
          <w:color w:val="5B6761"/>
          <w:spacing w:val="-14"/>
          <w:w w:val="105"/>
          <w:sz w:val="14"/>
        </w:rPr>
        <w:t xml:space="preserve"> </w:t>
      </w:r>
      <w:r>
        <w:rPr>
          <w:rFonts w:ascii="Arial"/>
          <w:color w:val="5B6761"/>
          <w:w w:val="105"/>
          <w:sz w:val="14"/>
        </w:rPr>
        <w:t>determined,</w:t>
      </w:r>
      <w:r>
        <w:rPr>
          <w:rFonts w:ascii="Arial"/>
          <w:color w:val="5B6761"/>
          <w:spacing w:val="-14"/>
          <w:w w:val="105"/>
          <w:sz w:val="14"/>
        </w:rPr>
        <w:t xml:space="preserve"> </w:t>
      </w:r>
      <w:r>
        <w:rPr>
          <w:rFonts w:ascii="Arial"/>
          <w:color w:val="5B6761"/>
          <w:w w:val="105"/>
          <w:sz w:val="14"/>
        </w:rPr>
        <w:t>represents</w:t>
      </w:r>
      <w:r>
        <w:rPr>
          <w:rFonts w:ascii="Arial"/>
          <w:color w:val="5B6761"/>
          <w:spacing w:val="-14"/>
          <w:w w:val="105"/>
          <w:sz w:val="14"/>
        </w:rPr>
        <w:t xml:space="preserve"> </w:t>
      </w:r>
      <w:r>
        <w:rPr>
          <w:rFonts w:ascii="Arial"/>
          <w:color w:val="5B6761"/>
          <w:w w:val="105"/>
          <w:sz w:val="14"/>
        </w:rPr>
        <w:lastRenderedPageBreak/>
        <w:t>approximately</w:t>
      </w:r>
      <w:r>
        <w:rPr>
          <w:rFonts w:ascii="Arial"/>
          <w:color w:val="5B6761"/>
          <w:spacing w:val="-14"/>
          <w:w w:val="105"/>
          <w:sz w:val="14"/>
        </w:rPr>
        <w:t xml:space="preserve"> </w:t>
      </w:r>
      <w:r>
        <w:rPr>
          <w:rFonts w:ascii="Arial"/>
          <w:color w:val="5B6761"/>
          <w:w w:val="105"/>
          <w:sz w:val="14"/>
        </w:rPr>
        <w:t>5%</w:t>
      </w:r>
      <w:r>
        <w:rPr>
          <w:rFonts w:ascii="Arial"/>
          <w:color w:val="5B6761"/>
          <w:spacing w:val="-14"/>
          <w:w w:val="105"/>
          <w:sz w:val="14"/>
        </w:rPr>
        <w:t xml:space="preserve"> </w:t>
      </w:r>
      <w:r>
        <w:rPr>
          <w:rFonts w:ascii="Arial"/>
          <w:color w:val="5B6761"/>
          <w:w w:val="105"/>
          <w:sz w:val="14"/>
        </w:rPr>
        <w:t>of</w:t>
      </w:r>
      <w:r>
        <w:rPr>
          <w:rFonts w:ascii="Arial"/>
          <w:color w:val="5B6761"/>
          <w:spacing w:val="-15"/>
          <w:w w:val="105"/>
          <w:sz w:val="14"/>
        </w:rPr>
        <w:t xml:space="preserve"> </w:t>
      </w:r>
      <w:r>
        <w:rPr>
          <w:rFonts w:ascii="Arial"/>
          <w:color w:val="5B6761"/>
          <w:w w:val="105"/>
          <w:sz w:val="14"/>
        </w:rPr>
        <w:t>the</w:t>
      </w:r>
      <w:r>
        <w:rPr>
          <w:rFonts w:ascii="Arial"/>
          <w:color w:val="5B6761"/>
          <w:spacing w:val="-15"/>
          <w:w w:val="105"/>
          <w:sz w:val="14"/>
        </w:rPr>
        <w:t xml:space="preserve"> </w:t>
      </w:r>
      <w:r>
        <w:rPr>
          <w:rFonts w:ascii="Arial"/>
          <w:color w:val="5B6761"/>
          <w:w w:val="105"/>
          <w:sz w:val="14"/>
        </w:rPr>
        <w:t>total</w:t>
      </w:r>
      <w:r>
        <w:rPr>
          <w:rFonts w:ascii="Arial"/>
          <w:color w:val="5B6761"/>
          <w:spacing w:val="-14"/>
          <w:w w:val="105"/>
          <w:sz w:val="14"/>
        </w:rPr>
        <w:t xml:space="preserve"> </w:t>
      </w:r>
      <w:r>
        <w:rPr>
          <w:rFonts w:ascii="Arial"/>
          <w:color w:val="5B6761"/>
          <w:w w:val="105"/>
          <w:sz w:val="14"/>
        </w:rPr>
        <w:t>number</w:t>
      </w:r>
      <w:r>
        <w:rPr>
          <w:rFonts w:ascii="Arial"/>
          <w:color w:val="5B6761"/>
          <w:spacing w:val="-13"/>
          <w:w w:val="105"/>
          <w:sz w:val="14"/>
        </w:rPr>
        <w:t xml:space="preserve"> </w:t>
      </w:r>
      <w:r>
        <w:rPr>
          <w:rFonts w:ascii="Arial"/>
          <w:color w:val="5B6761"/>
          <w:w w:val="105"/>
          <w:sz w:val="14"/>
        </w:rPr>
        <w:t>of distinct</w:t>
      </w:r>
      <w:r>
        <w:rPr>
          <w:rFonts w:ascii="Arial"/>
          <w:color w:val="5B6761"/>
          <w:spacing w:val="-16"/>
          <w:w w:val="105"/>
          <w:sz w:val="14"/>
        </w:rPr>
        <w:t xml:space="preserve"> </w:t>
      </w:r>
      <w:r>
        <w:rPr>
          <w:rFonts w:ascii="Arial"/>
          <w:color w:val="5B6761"/>
          <w:w w:val="105"/>
          <w:sz w:val="14"/>
        </w:rPr>
        <w:t>products.</w:t>
      </w:r>
      <w:r>
        <w:rPr>
          <w:rFonts w:ascii="Arial"/>
          <w:color w:val="5B6761"/>
          <w:spacing w:val="-16"/>
          <w:w w:val="105"/>
          <w:sz w:val="14"/>
        </w:rPr>
        <w:t xml:space="preserve"> </w:t>
      </w:r>
      <w:r>
        <w:rPr>
          <w:rFonts w:ascii="Arial"/>
          <w:color w:val="5B6761"/>
          <w:w w:val="105"/>
          <w:sz w:val="14"/>
        </w:rPr>
        <w:t>Noetic</w:t>
      </w:r>
      <w:r>
        <w:rPr>
          <w:rFonts w:ascii="Arial"/>
          <w:color w:val="5B6761"/>
          <w:spacing w:val="-17"/>
          <w:w w:val="105"/>
          <w:sz w:val="14"/>
        </w:rPr>
        <w:t xml:space="preserve"> </w:t>
      </w:r>
      <w:r>
        <w:rPr>
          <w:rFonts w:ascii="Arial"/>
          <w:color w:val="5B6761"/>
          <w:w w:val="105"/>
          <w:sz w:val="14"/>
        </w:rPr>
        <w:t>considers</w:t>
      </w:r>
      <w:r>
        <w:rPr>
          <w:rFonts w:ascii="Arial"/>
          <w:color w:val="5B6761"/>
          <w:spacing w:val="-16"/>
          <w:w w:val="105"/>
          <w:sz w:val="14"/>
        </w:rPr>
        <w:t xml:space="preserve"> </w:t>
      </w:r>
      <w:r>
        <w:rPr>
          <w:rFonts w:ascii="Arial"/>
          <w:color w:val="5B6761"/>
          <w:w w:val="105"/>
          <w:sz w:val="14"/>
        </w:rPr>
        <w:t>that</w:t>
      </w:r>
      <w:r>
        <w:rPr>
          <w:rFonts w:ascii="Arial"/>
          <w:color w:val="5B6761"/>
          <w:spacing w:val="-15"/>
          <w:w w:val="105"/>
          <w:sz w:val="14"/>
        </w:rPr>
        <w:t xml:space="preserve"> </w:t>
      </w:r>
      <w:r>
        <w:rPr>
          <w:rFonts w:ascii="Arial"/>
          <w:color w:val="5B6761"/>
          <w:w w:val="105"/>
          <w:sz w:val="14"/>
        </w:rPr>
        <w:t>imported</w:t>
      </w:r>
      <w:r>
        <w:rPr>
          <w:rFonts w:ascii="Arial"/>
          <w:color w:val="5B6761"/>
          <w:spacing w:val="-16"/>
          <w:w w:val="105"/>
          <w:sz w:val="14"/>
        </w:rPr>
        <w:t xml:space="preserve"> </w:t>
      </w:r>
      <w:r>
        <w:rPr>
          <w:rFonts w:ascii="Arial"/>
          <w:color w:val="5B6761"/>
          <w:w w:val="105"/>
          <w:sz w:val="14"/>
        </w:rPr>
        <w:t>products</w:t>
      </w:r>
      <w:r>
        <w:rPr>
          <w:rFonts w:ascii="Arial"/>
          <w:color w:val="5B6761"/>
          <w:spacing w:val="-16"/>
          <w:w w:val="105"/>
          <w:sz w:val="14"/>
        </w:rPr>
        <w:t xml:space="preserve"> </w:t>
      </w:r>
      <w:r>
        <w:rPr>
          <w:rFonts w:ascii="Arial"/>
          <w:color w:val="5B6761"/>
          <w:w w:val="105"/>
          <w:sz w:val="14"/>
        </w:rPr>
        <w:t>were</w:t>
      </w:r>
      <w:r>
        <w:rPr>
          <w:rFonts w:ascii="Arial"/>
          <w:color w:val="5B6761"/>
          <w:spacing w:val="-17"/>
          <w:w w:val="105"/>
          <w:sz w:val="14"/>
        </w:rPr>
        <w:t xml:space="preserve"> </w:t>
      </w:r>
      <w:r>
        <w:rPr>
          <w:rFonts w:ascii="Arial"/>
          <w:color w:val="5B6761"/>
          <w:w w:val="105"/>
          <w:sz w:val="14"/>
        </w:rPr>
        <w:t>more</w:t>
      </w:r>
      <w:r>
        <w:rPr>
          <w:rFonts w:ascii="Arial"/>
          <w:color w:val="5B6761"/>
          <w:spacing w:val="-14"/>
          <w:w w:val="105"/>
          <w:sz w:val="14"/>
        </w:rPr>
        <w:t xml:space="preserve"> </w:t>
      </w:r>
      <w:r>
        <w:rPr>
          <w:rFonts w:ascii="Arial"/>
          <w:color w:val="5B6761"/>
          <w:w w:val="105"/>
          <w:sz w:val="14"/>
        </w:rPr>
        <w:t>likely</w:t>
      </w:r>
      <w:r>
        <w:rPr>
          <w:rFonts w:ascii="Arial"/>
          <w:color w:val="5B6761"/>
          <w:spacing w:val="-16"/>
          <w:w w:val="105"/>
          <w:sz w:val="14"/>
        </w:rPr>
        <w:t xml:space="preserve"> </w:t>
      </w:r>
      <w:r>
        <w:rPr>
          <w:rFonts w:ascii="Arial"/>
          <w:color w:val="5B6761"/>
          <w:w w:val="105"/>
          <w:sz w:val="14"/>
        </w:rPr>
        <w:t>to</w:t>
      </w:r>
      <w:r>
        <w:rPr>
          <w:rFonts w:ascii="Arial"/>
          <w:color w:val="5B6761"/>
          <w:spacing w:val="-17"/>
          <w:w w:val="105"/>
          <w:sz w:val="14"/>
        </w:rPr>
        <w:t xml:space="preserve"> </w:t>
      </w:r>
      <w:r>
        <w:rPr>
          <w:rFonts w:ascii="Arial"/>
          <w:color w:val="5B6761"/>
          <w:w w:val="105"/>
          <w:sz w:val="14"/>
        </w:rPr>
        <w:t>be</w:t>
      </w:r>
      <w:r>
        <w:rPr>
          <w:rFonts w:ascii="Arial"/>
          <w:color w:val="5B6761"/>
          <w:spacing w:val="-17"/>
          <w:w w:val="105"/>
          <w:sz w:val="14"/>
        </w:rPr>
        <w:t xml:space="preserve"> </w:t>
      </w:r>
      <w:r>
        <w:rPr>
          <w:rFonts w:ascii="Arial"/>
          <w:color w:val="5B6761"/>
          <w:w w:val="105"/>
          <w:sz w:val="14"/>
        </w:rPr>
        <w:t>identified</w:t>
      </w:r>
      <w:r>
        <w:rPr>
          <w:rFonts w:ascii="Arial"/>
          <w:color w:val="5B6761"/>
          <w:spacing w:val="-15"/>
          <w:w w:val="105"/>
          <w:sz w:val="14"/>
        </w:rPr>
        <w:t xml:space="preserve"> </w:t>
      </w:r>
      <w:r>
        <w:rPr>
          <w:rFonts w:ascii="Arial"/>
          <w:color w:val="5B6761"/>
          <w:w w:val="105"/>
          <w:sz w:val="14"/>
        </w:rPr>
        <w:t>as</w:t>
      </w:r>
      <w:r>
        <w:rPr>
          <w:rFonts w:ascii="Arial"/>
          <w:color w:val="5B6761"/>
          <w:spacing w:val="-17"/>
          <w:w w:val="105"/>
          <w:sz w:val="14"/>
        </w:rPr>
        <w:t xml:space="preserve"> </w:t>
      </w:r>
      <w:r>
        <w:rPr>
          <w:rFonts w:ascii="Arial"/>
          <w:color w:val="5B6761"/>
          <w:w w:val="105"/>
          <w:sz w:val="14"/>
        </w:rPr>
        <w:t>such</w:t>
      </w:r>
      <w:r>
        <w:rPr>
          <w:rFonts w:ascii="Arial"/>
          <w:color w:val="5B6761"/>
          <w:spacing w:val="-15"/>
          <w:w w:val="105"/>
          <w:sz w:val="14"/>
        </w:rPr>
        <w:t xml:space="preserve"> </w:t>
      </w:r>
      <w:r>
        <w:rPr>
          <w:rFonts w:ascii="Arial"/>
          <w:color w:val="5B6761"/>
          <w:w w:val="105"/>
          <w:sz w:val="14"/>
        </w:rPr>
        <w:t>and</w:t>
      </w:r>
      <w:r>
        <w:rPr>
          <w:rFonts w:ascii="Arial"/>
          <w:color w:val="5B6761"/>
          <w:spacing w:val="-17"/>
          <w:w w:val="105"/>
          <w:sz w:val="14"/>
        </w:rPr>
        <w:t xml:space="preserve"> </w:t>
      </w:r>
      <w:r>
        <w:rPr>
          <w:rFonts w:ascii="Arial"/>
          <w:color w:val="5B6761"/>
          <w:w w:val="105"/>
          <w:sz w:val="14"/>
        </w:rPr>
        <w:t>therefore</w:t>
      </w:r>
      <w:r>
        <w:rPr>
          <w:rFonts w:ascii="Arial"/>
          <w:color w:val="5B6761"/>
          <w:spacing w:val="-17"/>
          <w:w w:val="105"/>
          <w:sz w:val="14"/>
        </w:rPr>
        <w:t xml:space="preserve"> </w:t>
      </w:r>
      <w:r>
        <w:rPr>
          <w:rFonts w:ascii="Arial"/>
          <w:color w:val="5B6761"/>
          <w:w w:val="105"/>
          <w:sz w:val="14"/>
        </w:rPr>
        <w:t>has</w:t>
      </w:r>
      <w:r>
        <w:rPr>
          <w:rFonts w:ascii="Arial"/>
          <w:color w:val="5B6761"/>
          <w:spacing w:val="-17"/>
          <w:w w:val="105"/>
          <w:sz w:val="14"/>
        </w:rPr>
        <w:t xml:space="preserve"> </w:t>
      </w:r>
      <w:r>
        <w:rPr>
          <w:rFonts w:ascii="Arial"/>
          <w:color w:val="5B6761"/>
          <w:w w:val="105"/>
          <w:sz w:val="14"/>
        </w:rPr>
        <w:t>assumed</w:t>
      </w:r>
      <w:r>
        <w:rPr>
          <w:rFonts w:ascii="Arial"/>
          <w:color w:val="5B6761"/>
          <w:spacing w:val="-15"/>
          <w:w w:val="105"/>
          <w:sz w:val="14"/>
        </w:rPr>
        <w:t xml:space="preserve"> </w:t>
      </w:r>
      <w:r>
        <w:rPr>
          <w:rFonts w:ascii="Arial"/>
          <w:color w:val="5B6761"/>
          <w:w w:val="105"/>
          <w:sz w:val="14"/>
        </w:rPr>
        <w:t>that the majority of these products were produced domestically, noting that some may indeed be imported. However, for all product categories,</w:t>
      </w:r>
      <w:r>
        <w:rPr>
          <w:rFonts w:ascii="Arial"/>
          <w:color w:val="5B6761"/>
          <w:spacing w:val="-20"/>
          <w:w w:val="105"/>
          <w:sz w:val="14"/>
        </w:rPr>
        <w:t xml:space="preserve"> </w:t>
      </w:r>
      <w:r>
        <w:rPr>
          <w:rFonts w:ascii="Arial"/>
          <w:color w:val="5B6761"/>
          <w:w w:val="105"/>
          <w:sz w:val="14"/>
        </w:rPr>
        <w:t>less</w:t>
      </w:r>
      <w:r>
        <w:rPr>
          <w:rFonts w:ascii="Arial"/>
          <w:color w:val="5B6761"/>
          <w:spacing w:val="-19"/>
          <w:w w:val="105"/>
          <w:sz w:val="14"/>
        </w:rPr>
        <w:t xml:space="preserve"> </w:t>
      </w:r>
      <w:r>
        <w:rPr>
          <w:rFonts w:ascii="Arial"/>
          <w:color w:val="5B6761"/>
          <w:w w:val="105"/>
          <w:sz w:val="14"/>
        </w:rPr>
        <w:t>than</w:t>
      </w:r>
      <w:r>
        <w:rPr>
          <w:rFonts w:ascii="Arial"/>
          <w:color w:val="5B6761"/>
          <w:spacing w:val="-18"/>
          <w:w w:val="105"/>
          <w:sz w:val="14"/>
        </w:rPr>
        <w:t xml:space="preserve"> </w:t>
      </w:r>
      <w:r>
        <w:rPr>
          <w:rFonts w:ascii="Arial"/>
          <w:color w:val="5B6761"/>
          <w:w w:val="105"/>
          <w:sz w:val="14"/>
        </w:rPr>
        <w:t>50%,</w:t>
      </w:r>
      <w:r>
        <w:rPr>
          <w:rFonts w:ascii="Arial"/>
          <w:color w:val="5B6761"/>
          <w:spacing w:val="-19"/>
          <w:w w:val="105"/>
          <w:sz w:val="14"/>
        </w:rPr>
        <w:t xml:space="preserve"> </w:t>
      </w:r>
      <w:r>
        <w:rPr>
          <w:rFonts w:ascii="Arial"/>
          <w:color w:val="5B6761"/>
          <w:w w:val="105"/>
          <w:sz w:val="14"/>
        </w:rPr>
        <w:t>and</w:t>
      </w:r>
      <w:r>
        <w:rPr>
          <w:rFonts w:ascii="Arial"/>
          <w:color w:val="5B6761"/>
          <w:spacing w:val="-19"/>
          <w:w w:val="105"/>
          <w:sz w:val="14"/>
        </w:rPr>
        <w:t xml:space="preserve"> </w:t>
      </w:r>
      <w:r>
        <w:rPr>
          <w:rFonts w:ascii="Arial"/>
          <w:color w:val="5B6761"/>
          <w:w w:val="105"/>
          <w:sz w:val="14"/>
        </w:rPr>
        <w:t>in</w:t>
      </w:r>
      <w:r>
        <w:rPr>
          <w:rFonts w:ascii="Arial"/>
          <w:color w:val="5B6761"/>
          <w:spacing w:val="-18"/>
          <w:w w:val="105"/>
          <w:sz w:val="14"/>
        </w:rPr>
        <w:t xml:space="preserve"> </w:t>
      </w:r>
      <w:r>
        <w:rPr>
          <w:rFonts w:ascii="Arial"/>
          <w:color w:val="5B6761"/>
          <w:w w:val="105"/>
          <w:sz w:val="14"/>
        </w:rPr>
        <w:t>some</w:t>
      </w:r>
      <w:r>
        <w:rPr>
          <w:rFonts w:ascii="Arial"/>
          <w:color w:val="5B6761"/>
          <w:spacing w:val="-18"/>
          <w:w w:val="105"/>
          <w:sz w:val="14"/>
        </w:rPr>
        <w:t xml:space="preserve"> </w:t>
      </w:r>
      <w:r>
        <w:rPr>
          <w:rFonts w:ascii="Arial"/>
          <w:color w:val="5B6761"/>
          <w:w w:val="105"/>
          <w:sz w:val="14"/>
        </w:rPr>
        <w:t>cases</w:t>
      </w:r>
      <w:r>
        <w:rPr>
          <w:rFonts w:ascii="Arial"/>
          <w:color w:val="5B6761"/>
          <w:spacing w:val="-19"/>
          <w:w w:val="105"/>
          <w:sz w:val="14"/>
        </w:rPr>
        <w:t xml:space="preserve"> </w:t>
      </w:r>
      <w:r>
        <w:rPr>
          <w:rFonts w:ascii="Arial"/>
          <w:color w:val="5B6761"/>
          <w:w w:val="105"/>
          <w:sz w:val="14"/>
        </w:rPr>
        <w:t>less</w:t>
      </w:r>
      <w:r>
        <w:rPr>
          <w:rFonts w:ascii="Arial"/>
          <w:color w:val="5B6761"/>
          <w:spacing w:val="-20"/>
          <w:w w:val="105"/>
          <w:sz w:val="14"/>
        </w:rPr>
        <w:t xml:space="preserve"> </w:t>
      </w:r>
      <w:r>
        <w:rPr>
          <w:rFonts w:ascii="Arial"/>
          <w:color w:val="5B6761"/>
          <w:w w:val="105"/>
          <w:sz w:val="14"/>
        </w:rPr>
        <w:t>than</w:t>
      </w:r>
      <w:r>
        <w:rPr>
          <w:rFonts w:ascii="Arial"/>
          <w:color w:val="5B6761"/>
          <w:spacing w:val="-18"/>
          <w:w w:val="105"/>
          <w:sz w:val="14"/>
        </w:rPr>
        <w:t xml:space="preserve"> </w:t>
      </w:r>
      <w:r>
        <w:rPr>
          <w:rFonts w:ascii="Arial"/>
          <w:color w:val="5B6761"/>
          <w:w w:val="105"/>
          <w:sz w:val="14"/>
        </w:rPr>
        <w:t>5%</w:t>
      </w:r>
      <w:r>
        <w:rPr>
          <w:rFonts w:ascii="Arial"/>
          <w:color w:val="5B6761"/>
          <w:spacing w:val="-20"/>
          <w:w w:val="105"/>
          <w:sz w:val="14"/>
        </w:rPr>
        <w:t xml:space="preserve"> </w:t>
      </w:r>
      <w:r>
        <w:rPr>
          <w:rFonts w:ascii="Arial"/>
          <w:color w:val="5B6761"/>
          <w:w w:val="105"/>
          <w:sz w:val="14"/>
        </w:rPr>
        <w:t>of</w:t>
      </w:r>
      <w:r>
        <w:rPr>
          <w:rFonts w:ascii="Arial"/>
          <w:color w:val="5B6761"/>
          <w:spacing w:val="-20"/>
          <w:w w:val="105"/>
          <w:sz w:val="14"/>
        </w:rPr>
        <w:t xml:space="preserve"> </w:t>
      </w:r>
      <w:r>
        <w:rPr>
          <w:rFonts w:ascii="Arial"/>
          <w:color w:val="5B6761"/>
          <w:w w:val="105"/>
          <w:sz w:val="14"/>
        </w:rPr>
        <w:t>products,</w:t>
      </w:r>
      <w:r>
        <w:rPr>
          <w:rFonts w:ascii="Arial"/>
          <w:color w:val="5B6761"/>
          <w:spacing w:val="-19"/>
          <w:w w:val="105"/>
          <w:sz w:val="14"/>
        </w:rPr>
        <w:t xml:space="preserve"> </w:t>
      </w:r>
      <w:r>
        <w:rPr>
          <w:rFonts w:ascii="Arial"/>
          <w:color w:val="5B6761"/>
          <w:w w:val="105"/>
          <w:sz w:val="14"/>
        </w:rPr>
        <w:t>are</w:t>
      </w:r>
      <w:r>
        <w:rPr>
          <w:rFonts w:ascii="Arial"/>
          <w:color w:val="5B6761"/>
          <w:spacing w:val="-20"/>
          <w:w w:val="105"/>
          <w:sz w:val="14"/>
        </w:rPr>
        <w:t xml:space="preserve"> </w:t>
      </w:r>
      <w:r>
        <w:rPr>
          <w:rFonts w:ascii="Arial"/>
          <w:color w:val="5B6761"/>
          <w:w w:val="105"/>
          <w:sz w:val="14"/>
        </w:rPr>
        <w:t>taken</w:t>
      </w:r>
      <w:r>
        <w:rPr>
          <w:rFonts w:ascii="Arial"/>
          <w:color w:val="5B6761"/>
          <w:spacing w:val="-18"/>
          <w:w w:val="105"/>
          <w:sz w:val="14"/>
        </w:rPr>
        <w:t xml:space="preserve"> </w:t>
      </w:r>
      <w:r>
        <w:rPr>
          <w:rFonts w:ascii="Arial"/>
          <w:color w:val="5B6761"/>
          <w:w w:val="105"/>
          <w:sz w:val="14"/>
        </w:rPr>
        <w:t>forward</w:t>
      </w:r>
      <w:r>
        <w:rPr>
          <w:rFonts w:ascii="Arial"/>
          <w:color w:val="5B6761"/>
          <w:spacing w:val="-19"/>
          <w:w w:val="105"/>
          <w:sz w:val="14"/>
        </w:rPr>
        <w:t xml:space="preserve"> </w:t>
      </w:r>
      <w:r>
        <w:rPr>
          <w:rFonts w:ascii="Arial"/>
          <w:color w:val="5B6761"/>
          <w:w w:val="105"/>
          <w:sz w:val="14"/>
        </w:rPr>
        <w:t>into</w:t>
      </w:r>
      <w:r>
        <w:rPr>
          <w:rFonts w:ascii="Arial"/>
          <w:color w:val="5B6761"/>
          <w:spacing w:val="-19"/>
          <w:w w:val="105"/>
          <w:sz w:val="14"/>
        </w:rPr>
        <w:t xml:space="preserve"> </w:t>
      </w:r>
      <w:r>
        <w:rPr>
          <w:rFonts w:ascii="Arial"/>
          <w:color w:val="5B6761"/>
          <w:w w:val="105"/>
          <w:sz w:val="14"/>
        </w:rPr>
        <w:t>the</w:t>
      </w:r>
      <w:r>
        <w:rPr>
          <w:rFonts w:ascii="Arial"/>
          <w:color w:val="5B6761"/>
          <w:spacing w:val="-20"/>
          <w:w w:val="105"/>
          <w:sz w:val="14"/>
        </w:rPr>
        <w:t xml:space="preserve"> </w:t>
      </w:r>
      <w:r>
        <w:rPr>
          <w:rFonts w:ascii="Arial"/>
          <w:color w:val="5B6761"/>
          <w:w w:val="105"/>
          <w:sz w:val="14"/>
        </w:rPr>
        <w:t>calculation</w:t>
      </w:r>
      <w:r>
        <w:rPr>
          <w:rFonts w:ascii="Arial"/>
          <w:color w:val="5B6761"/>
          <w:spacing w:val="-19"/>
          <w:w w:val="105"/>
          <w:sz w:val="14"/>
        </w:rPr>
        <w:t xml:space="preserve"> </w:t>
      </w:r>
      <w:r>
        <w:rPr>
          <w:rFonts w:ascii="Arial"/>
          <w:color w:val="5B6761"/>
          <w:w w:val="105"/>
          <w:sz w:val="14"/>
        </w:rPr>
        <w:t>of</w:t>
      </w:r>
      <w:r>
        <w:rPr>
          <w:rFonts w:ascii="Arial"/>
          <w:color w:val="5B6761"/>
          <w:spacing w:val="-19"/>
          <w:w w:val="105"/>
          <w:sz w:val="14"/>
        </w:rPr>
        <w:t xml:space="preserve"> </w:t>
      </w:r>
      <w:r>
        <w:rPr>
          <w:rFonts w:ascii="Arial"/>
          <w:color w:val="5B6761"/>
          <w:w w:val="105"/>
          <w:sz w:val="14"/>
        </w:rPr>
        <w:t>regulatory</w:t>
      </w:r>
      <w:r>
        <w:rPr>
          <w:rFonts w:ascii="Arial"/>
          <w:color w:val="5B6761"/>
          <w:spacing w:val="-20"/>
          <w:w w:val="105"/>
          <w:sz w:val="14"/>
        </w:rPr>
        <w:t xml:space="preserve"> </w:t>
      </w:r>
      <w:r>
        <w:rPr>
          <w:rFonts w:ascii="Arial"/>
          <w:color w:val="5B6761"/>
          <w:w w:val="105"/>
          <w:sz w:val="14"/>
        </w:rPr>
        <w:t>costs.</w:t>
      </w:r>
      <w:r>
        <w:rPr>
          <w:rFonts w:ascii="Arial"/>
          <w:color w:val="5B6761"/>
          <w:spacing w:val="-19"/>
          <w:w w:val="105"/>
          <w:sz w:val="14"/>
        </w:rPr>
        <w:t xml:space="preserve"> </w:t>
      </w:r>
      <w:r>
        <w:rPr>
          <w:rFonts w:ascii="Arial"/>
          <w:color w:val="5B6761"/>
          <w:w w:val="105"/>
          <w:sz w:val="14"/>
        </w:rPr>
        <w:t>Any overestimation</w:t>
      </w:r>
      <w:r>
        <w:rPr>
          <w:rFonts w:ascii="Arial"/>
          <w:color w:val="5B6761"/>
          <w:spacing w:val="-11"/>
          <w:w w:val="105"/>
          <w:sz w:val="14"/>
        </w:rPr>
        <w:t xml:space="preserve"> </w:t>
      </w:r>
      <w:r>
        <w:rPr>
          <w:rFonts w:ascii="Arial"/>
          <w:color w:val="5B6761"/>
          <w:w w:val="105"/>
          <w:sz w:val="14"/>
        </w:rPr>
        <w:t>of</w:t>
      </w:r>
      <w:r>
        <w:rPr>
          <w:rFonts w:ascii="Arial"/>
          <w:color w:val="5B6761"/>
          <w:spacing w:val="-12"/>
          <w:w w:val="105"/>
          <w:sz w:val="14"/>
        </w:rPr>
        <w:t xml:space="preserve"> </w:t>
      </w:r>
      <w:r>
        <w:rPr>
          <w:rFonts w:ascii="Arial"/>
          <w:color w:val="5B6761"/>
          <w:w w:val="105"/>
          <w:sz w:val="14"/>
        </w:rPr>
        <w:t>the</w:t>
      </w:r>
      <w:r>
        <w:rPr>
          <w:rFonts w:ascii="Arial"/>
          <w:color w:val="5B6761"/>
          <w:spacing w:val="-12"/>
          <w:w w:val="105"/>
          <w:sz w:val="14"/>
        </w:rPr>
        <w:t xml:space="preserve"> </w:t>
      </w:r>
      <w:r>
        <w:rPr>
          <w:rFonts w:ascii="Arial"/>
          <w:color w:val="5B6761"/>
          <w:w w:val="105"/>
          <w:sz w:val="14"/>
        </w:rPr>
        <w:t>number</w:t>
      </w:r>
      <w:r>
        <w:rPr>
          <w:rFonts w:ascii="Arial"/>
          <w:color w:val="5B6761"/>
          <w:spacing w:val="-10"/>
          <w:w w:val="105"/>
          <w:sz w:val="14"/>
        </w:rPr>
        <w:t xml:space="preserve"> </w:t>
      </w:r>
      <w:r>
        <w:rPr>
          <w:rFonts w:ascii="Arial"/>
          <w:color w:val="5B6761"/>
          <w:w w:val="105"/>
          <w:sz w:val="14"/>
        </w:rPr>
        <w:t>of</w:t>
      </w:r>
      <w:r>
        <w:rPr>
          <w:rFonts w:ascii="Arial"/>
          <w:color w:val="5B6761"/>
          <w:spacing w:val="-12"/>
          <w:w w:val="105"/>
          <w:sz w:val="14"/>
        </w:rPr>
        <w:t xml:space="preserve"> </w:t>
      </w:r>
      <w:r>
        <w:rPr>
          <w:rFonts w:ascii="Arial"/>
          <w:color w:val="5B6761"/>
          <w:w w:val="105"/>
          <w:sz w:val="14"/>
        </w:rPr>
        <w:t>domestically-produced</w:t>
      </w:r>
      <w:r>
        <w:rPr>
          <w:rFonts w:ascii="Arial"/>
          <w:color w:val="5B6761"/>
          <w:spacing w:val="-10"/>
          <w:w w:val="105"/>
          <w:sz w:val="14"/>
        </w:rPr>
        <w:t xml:space="preserve"> </w:t>
      </w:r>
      <w:r>
        <w:rPr>
          <w:rFonts w:ascii="Arial"/>
          <w:color w:val="5B6761"/>
          <w:w w:val="105"/>
          <w:sz w:val="14"/>
        </w:rPr>
        <w:t>products</w:t>
      </w:r>
      <w:r>
        <w:rPr>
          <w:rFonts w:ascii="Arial"/>
          <w:color w:val="5B6761"/>
          <w:spacing w:val="-11"/>
          <w:w w:val="105"/>
          <w:sz w:val="14"/>
        </w:rPr>
        <w:t xml:space="preserve"> </w:t>
      </w:r>
      <w:r>
        <w:rPr>
          <w:rFonts w:ascii="Arial"/>
          <w:color w:val="5B6761"/>
          <w:w w:val="105"/>
          <w:sz w:val="14"/>
        </w:rPr>
        <w:t>is</w:t>
      </w:r>
      <w:r>
        <w:rPr>
          <w:rFonts w:ascii="Arial"/>
          <w:color w:val="5B6761"/>
          <w:spacing w:val="-11"/>
          <w:w w:val="105"/>
          <w:sz w:val="14"/>
        </w:rPr>
        <w:t xml:space="preserve"> </w:t>
      </w:r>
      <w:r>
        <w:rPr>
          <w:rFonts w:ascii="Arial"/>
          <w:color w:val="5B6761"/>
          <w:w w:val="105"/>
          <w:sz w:val="14"/>
        </w:rPr>
        <w:t>considered</w:t>
      </w:r>
      <w:r>
        <w:rPr>
          <w:rFonts w:ascii="Arial"/>
          <w:color w:val="5B6761"/>
          <w:spacing w:val="-10"/>
          <w:w w:val="105"/>
          <w:sz w:val="14"/>
        </w:rPr>
        <w:t xml:space="preserve"> </w:t>
      </w:r>
      <w:r>
        <w:rPr>
          <w:rFonts w:ascii="Arial"/>
          <w:color w:val="5B6761"/>
          <w:w w:val="105"/>
          <w:sz w:val="14"/>
        </w:rPr>
        <w:t>not</w:t>
      </w:r>
      <w:r>
        <w:rPr>
          <w:rFonts w:ascii="Arial"/>
          <w:color w:val="5B6761"/>
          <w:spacing w:val="-10"/>
          <w:w w:val="105"/>
          <w:sz w:val="14"/>
        </w:rPr>
        <w:t xml:space="preserve"> </w:t>
      </w:r>
      <w:r>
        <w:rPr>
          <w:rFonts w:ascii="Arial"/>
          <w:color w:val="5B6761"/>
          <w:w w:val="105"/>
          <w:sz w:val="14"/>
        </w:rPr>
        <w:t>material</w:t>
      </w:r>
      <w:r>
        <w:rPr>
          <w:rFonts w:ascii="Arial"/>
          <w:color w:val="5B6761"/>
          <w:spacing w:val="-11"/>
          <w:w w:val="105"/>
          <w:sz w:val="14"/>
        </w:rPr>
        <w:t xml:space="preserve"> </w:t>
      </w:r>
      <w:r>
        <w:rPr>
          <w:rFonts w:ascii="Arial"/>
          <w:color w:val="5B6761"/>
          <w:w w:val="105"/>
          <w:sz w:val="14"/>
        </w:rPr>
        <w:t>to</w:t>
      </w:r>
      <w:r>
        <w:rPr>
          <w:rFonts w:ascii="Arial"/>
          <w:color w:val="5B6761"/>
          <w:spacing w:val="-12"/>
          <w:w w:val="105"/>
          <w:sz w:val="14"/>
        </w:rPr>
        <w:t xml:space="preserve"> </w:t>
      </w:r>
      <w:r>
        <w:rPr>
          <w:rFonts w:ascii="Arial"/>
          <w:color w:val="5B6761"/>
          <w:w w:val="105"/>
          <w:sz w:val="14"/>
        </w:rPr>
        <w:t>the</w:t>
      </w:r>
      <w:r>
        <w:rPr>
          <w:rFonts w:ascii="Arial"/>
          <w:color w:val="5B6761"/>
          <w:spacing w:val="-12"/>
          <w:w w:val="105"/>
          <w:sz w:val="14"/>
        </w:rPr>
        <w:t xml:space="preserve"> </w:t>
      </w:r>
      <w:r>
        <w:rPr>
          <w:rFonts w:ascii="Arial"/>
          <w:color w:val="5B6761"/>
          <w:w w:val="105"/>
          <w:sz w:val="14"/>
        </w:rPr>
        <w:t>regulatory</w:t>
      </w:r>
      <w:r>
        <w:rPr>
          <w:rFonts w:ascii="Arial"/>
          <w:color w:val="5B6761"/>
          <w:spacing w:val="-13"/>
          <w:w w:val="105"/>
          <w:sz w:val="14"/>
        </w:rPr>
        <w:t xml:space="preserve"> </w:t>
      </w:r>
      <w:r>
        <w:rPr>
          <w:rFonts w:ascii="Arial"/>
          <w:color w:val="5B6761"/>
          <w:w w:val="105"/>
          <w:sz w:val="14"/>
        </w:rPr>
        <w:t>costing.</w:t>
      </w:r>
    </w:p>
    <w:p w:rsidR="007D76BB" w:rsidRDefault="00D70D28">
      <w:pPr>
        <w:spacing w:before="58" w:line="268" w:lineRule="auto"/>
        <w:ind w:left="594" w:right="879" w:hanging="113"/>
        <w:rPr>
          <w:rFonts w:ascii="Arial"/>
          <w:sz w:val="14"/>
        </w:rPr>
      </w:pPr>
      <w:r>
        <w:rPr>
          <w:rFonts w:ascii="Arial"/>
          <w:color w:val="5B6761"/>
          <w:w w:val="105"/>
          <w:position w:val="5"/>
          <w:sz w:val="8"/>
        </w:rPr>
        <w:t>38</w:t>
      </w:r>
      <w:r>
        <w:rPr>
          <w:rFonts w:ascii="Arial"/>
          <w:color w:val="5B6761"/>
          <w:spacing w:val="3"/>
          <w:w w:val="105"/>
          <w:position w:val="5"/>
          <w:sz w:val="8"/>
        </w:rPr>
        <w:t xml:space="preserve"> </w:t>
      </w:r>
      <w:r>
        <w:rPr>
          <w:rFonts w:ascii="Arial"/>
          <w:color w:val="5B6761"/>
          <w:w w:val="105"/>
          <w:sz w:val="14"/>
        </w:rPr>
        <w:t>Products</w:t>
      </w:r>
      <w:r>
        <w:rPr>
          <w:rFonts w:ascii="Arial"/>
          <w:color w:val="5B6761"/>
          <w:spacing w:val="-14"/>
          <w:w w:val="105"/>
          <w:sz w:val="14"/>
        </w:rPr>
        <w:t xml:space="preserve"> </w:t>
      </w:r>
      <w:r>
        <w:rPr>
          <w:rFonts w:ascii="Arial"/>
          <w:color w:val="5B6761"/>
          <w:w w:val="105"/>
          <w:sz w:val="14"/>
        </w:rPr>
        <w:t>might</w:t>
      </w:r>
      <w:r>
        <w:rPr>
          <w:rFonts w:ascii="Arial"/>
          <w:color w:val="5B6761"/>
          <w:spacing w:val="-13"/>
          <w:w w:val="105"/>
          <w:sz w:val="14"/>
        </w:rPr>
        <w:t xml:space="preserve"> </w:t>
      </w:r>
      <w:r>
        <w:rPr>
          <w:rFonts w:ascii="Arial"/>
          <w:color w:val="5B6761"/>
          <w:w w:val="105"/>
          <w:sz w:val="14"/>
        </w:rPr>
        <w:t>be</w:t>
      </w:r>
      <w:r>
        <w:rPr>
          <w:rFonts w:ascii="Arial"/>
          <w:color w:val="5B6761"/>
          <w:spacing w:val="-16"/>
          <w:w w:val="105"/>
          <w:sz w:val="14"/>
        </w:rPr>
        <w:t xml:space="preserve"> </w:t>
      </w:r>
      <w:r>
        <w:rPr>
          <w:rFonts w:ascii="Arial"/>
          <w:color w:val="5B6761"/>
          <w:w w:val="105"/>
          <w:sz w:val="14"/>
        </w:rPr>
        <w:t>withdrawn</w:t>
      </w:r>
      <w:r>
        <w:rPr>
          <w:rFonts w:ascii="Arial"/>
          <w:color w:val="5B6761"/>
          <w:spacing w:val="-15"/>
          <w:w w:val="105"/>
          <w:sz w:val="14"/>
        </w:rPr>
        <w:t xml:space="preserve"> </w:t>
      </w:r>
      <w:r>
        <w:rPr>
          <w:rFonts w:ascii="Arial"/>
          <w:color w:val="5B6761"/>
          <w:w w:val="105"/>
          <w:sz w:val="14"/>
        </w:rPr>
        <w:t>from</w:t>
      </w:r>
      <w:r>
        <w:rPr>
          <w:rFonts w:ascii="Arial"/>
          <w:color w:val="5B6761"/>
          <w:spacing w:val="-14"/>
          <w:w w:val="105"/>
          <w:sz w:val="14"/>
        </w:rPr>
        <w:t xml:space="preserve"> </w:t>
      </w:r>
      <w:r>
        <w:rPr>
          <w:rFonts w:ascii="Arial"/>
          <w:color w:val="5B6761"/>
          <w:w w:val="105"/>
          <w:sz w:val="14"/>
        </w:rPr>
        <w:t>the</w:t>
      </w:r>
      <w:r>
        <w:rPr>
          <w:rFonts w:ascii="Arial"/>
          <w:color w:val="5B6761"/>
          <w:spacing w:val="-14"/>
          <w:w w:val="105"/>
          <w:sz w:val="14"/>
        </w:rPr>
        <w:t xml:space="preserve"> </w:t>
      </w:r>
      <w:r>
        <w:rPr>
          <w:rFonts w:ascii="Arial"/>
          <w:color w:val="5B6761"/>
          <w:w w:val="105"/>
          <w:sz w:val="14"/>
        </w:rPr>
        <w:t>market</w:t>
      </w:r>
      <w:r>
        <w:rPr>
          <w:rFonts w:ascii="Arial"/>
          <w:color w:val="5B6761"/>
          <w:spacing w:val="-13"/>
          <w:w w:val="105"/>
          <w:sz w:val="14"/>
        </w:rPr>
        <w:t xml:space="preserve"> </w:t>
      </w:r>
      <w:r>
        <w:rPr>
          <w:rFonts w:ascii="Arial"/>
          <w:color w:val="5B6761"/>
          <w:w w:val="105"/>
          <w:sz w:val="14"/>
        </w:rPr>
        <w:t>because</w:t>
      </w:r>
      <w:r>
        <w:rPr>
          <w:rFonts w:ascii="Arial"/>
          <w:color w:val="5B6761"/>
          <w:spacing w:val="-15"/>
          <w:w w:val="105"/>
          <w:sz w:val="14"/>
        </w:rPr>
        <w:t xml:space="preserve"> </w:t>
      </w:r>
      <w:r>
        <w:rPr>
          <w:rFonts w:ascii="Arial"/>
          <w:color w:val="5B6761"/>
          <w:w w:val="105"/>
          <w:sz w:val="14"/>
        </w:rPr>
        <w:t>projected</w:t>
      </w:r>
      <w:r>
        <w:rPr>
          <w:rFonts w:ascii="Arial"/>
          <w:color w:val="5B6761"/>
          <w:spacing w:val="-13"/>
          <w:w w:val="105"/>
          <w:sz w:val="14"/>
        </w:rPr>
        <w:t xml:space="preserve"> </w:t>
      </w:r>
      <w:r>
        <w:rPr>
          <w:rFonts w:ascii="Arial"/>
          <w:color w:val="5B6761"/>
          <w:w w:val="105"/>
          <w:sz w:val="14"/>
        </w:rPr>
        <w:t>profit</w:t>
      </w:r>
      <w:r>
        <w:rPr>
          <w:rFonts w:ascii="Arial"/>
          <w:color w:val="5B6761"/>
          <w:spacing w:val="-12"/>
          <w:w w:val="105"/>
          <w:sz w:val="14"/>
        </w:rPr>
        <w:t xml:space="preserve"> </w:t>
      </w:r>
      <w:r>
        <w:rPr>
          <w:rFonts w:ascii="Arial"/>
          <w:color w:val="5B6761"/>
          <w:w w:val="105"/>
          <w:sz w:val="14"/>
        </w:rPr>
        <w:t>from</w:t>
      </w:r>
      <w:r>
        <w:rPr>
          <w:rFonts w:ascii="Arial"/>
          <w:color w:val="5B6761"/>
          <w:spacing w:val="-14"/>
          <w:w w:val="105"/>
          <w:sz w:val="14"/>
        </w:rPr>
        <w:t xml:space="preserve"> </w:t>
      </w:r>
      <w:r>
        <w:rPr>
          <w:rFonts w:ascii="Arial"/>
          <w:color w:val="5B6761"/>
          <w:w w:val="105"/>
          <w:sz w:val="14"/>
        </w:rPr>
        <w:t>sales</w:t>
      </w:r>
      <w:r>
        <w:rPr>
          <w:rFonts w:ascii="Arial"/>
          <w:color w:val="5B6761"/>
          <w:spacing w:val="-14"/>
          <w:w w:val="105"/>
          <w:sz w:val="14"/>
        </w:rPr>
        <w:t xml:space="preserve"> </w:t>
      </w:r>
      <w:r>
        <w:rPr>
          <w:rFonts w:ascii="Arial"/>
          <w:color w:val="5B6761"/>
          <w:w w:val="105"/>
          <w:sz w:val="14"/>
        </w:rPr>
        <w:t>did</w:t>
      </w:r>
      <w:r>
        <w:rPr>
          <w:rFonts w:ascii="Arial"/>
          <w:color w:val="5B6761"/>
          <w:spacing w:val="-13"/>
          <w:w w:val="105"/>
          <w:sz w:val="14"/>
        </w:rPr>
        <w:t xml:space="preserve"> </w:t>
      </w:r>
      <w:r>
        <w:rPr>
          <w:rFonts w:ascii="Arial"/>
          <w:color w:val="5B6761"/>
          <w:w w:val="105"/>
          <w:sz w:val="14"/>
        </w:rPr>
        <w:t>not</w:t>
      </w:r>
      <w:r>
        <w:rPr>
          <w:rFonts w:ascii="Arial"/>
          <w:color w:val="5B6761"/>
          <w:spacing w:val="-13"/>
          <w:w w:val="105"/>
          <w:sz w:val="14"/>
        </w:rPr>
        <w:t xml:space="preserve"> </w:t>
      </w:r>
      <w:r>
        <w:rPr>
          <w:rFonts w:ascii="Arial"/>
          <w:color w:val="5B6761"/>
          <w:w w:val="105"/>
          <w:sz w:val="14"/>
        </w:rPr>
        <w:t>justify</w:t>
      </w:r>
      <w:r>
        <w:rPr>
          <w:rFonts w:ascii="Arial"/>
          <w:color w:val="5B6761"/>
          <w:spacing w:val="-13"/>
          <w:w w:val="105"/>
          <w:sz w:val="14"/>
        </w:rPr>
        <w:t xml:space="preserve"> </w:t>
      </w:r>
      <w:r>
        <w:rPr>
          <w:rFonts w:ascii="Arial"/>
          <w:color w:val="5B6761"/>
          <w:w w:val="105"/>
          <w:sz w:val="14"/>
        </w:rPr>
        <w:t>the</w:t>
      </w:r>
      <w:r>
        <w:rPr>
          <w:rFonts w:ascii="Arial"/>
          <w:color w:val="5B6761"/>
          <w:spacing w:val="-15"/>
          <w:w w:val="105"/>
          <w:sz w:val="14"/>
        </w:rPr>
        <w:t xml:space="preserve"> </w:t>
      </w:r>
      <w:r>
        <w:rPr>
          <w:rFonts w:ascii="Arial"/>
          <w:color w:val="5B6761"/>
          <w:w w:val="105"/>
          <w:sz w:val="14"/>
        </w:rPr>
        <w:t>expense</w:t>
      </w:r>
      <w:r>
        <w:rPr>
          <w:rFonts w:ascii="Arial"/>
          <w:color w:val="5B6761"/>
          <w:spacing w:val="-14"/>
          <w:w w:val="105"/>
          <w:sz w:val="14"/>
        </w:rPr>
        <w:t xml:space="preserve"> </w:t>
      </w:r>
      <w:r>
        <w:rPr>
          <w:rFonts w:ascii="Arial"/>
          <w:color w:val="5B6761"/>
          <w:w w:val="105"/>
          <w:sz w:val="14"/>
        </w:rPr>
        <w:t>(and</w:t>
      </w:r>
      <w:r>
        <w:rPr>
          <w:rFonts w:ascii="Arial"/>
          <w:color w:val="5B6761"/>
          <w:spacing w:val="-13"/>
          <w:w w:val="105"/>
          <w:sz w:val="14"/>
        </w:rPr>
        <w:t xml:space="preserve"> </w:t>
      </w:r>
      <w:r>
        <w:rPr>
          <w:rFonts w:ascii="Arial"/>
          <w:color w:val="5B6761"/>
          <w:w w:val="105"/>
          <w:sz w:val="14"/>
        </w:rPr>
        <w:t>effort)</w:t>
      </w:r>
      <w:r>
        <w:rPr>
          <w:rFonts w:ascii="Arial"/>
          <w:color w:val="5B6761"/>
          <w:spacing w:val="-14"/>
          <w:w w:val="105"/>
          <w:sz w:val="14"/>
        </w:rPr>
        <w:t xml:space="preserve"> </w:t>
      </w:r>
      <w:r>
        <w:rPr>
          <w:rFonts w:ascii="Arial"/>
          <w:color w:val="5B6761"/>
          <w:w w:val="105"/>
          <w:sz w:val="14"/>
        </w:rPr>
        <w:t>of</w:t>
      </w:r>
      <w:r>
        <w:rPr>
          <w:rFonts w:ascii="Arial"/>
          <w:color w:val="5B6761"/>
          <w:spacing w:val="-14"/>
          <w:w w:val="105"/>
          <w:sz w:val="14"/>
        </w:rPr>
        <w:t xml:space="preserve"> </w:t>
      </w:r>
      <w:r>
        <w:rPr>
          <w:rFonts w:ascii="Arial"/>
          <w:color w:val="5B6761"/>
          <w:w w:val="105"/>
          <w:sz w:val="14"/>
        </w:rPr>
        <w:t>going down</w:t>
      </w:r>
      <w:r>
        <w:rPr>
          <w:rFonts w:ascii="Arial"/>
          <w:color w:val="5B6761"/>
          <w:spacing w:val="-18"/>
          <w:w w:val="105"/>
          <w:sz w:val="14"/>
        </w:rPr>
        <w:t xml:space="preserve"> </w:t>
      </w:r>
      <w:r>
        <w:rPr>
          <w:rFonts w:ascii="Arial"/>
          <w:color w:val="5B6761"/>
          <w:w w:val="105"/>
          <w:sz w:val="14"/>
        </w:rPr>
        <w:t>an</w:t>
      </w:r>
      <w:r>
        <w:rPr>
          <w:rFonts w:ascii="Arial"/>
          <w:color w:val="5B6761"/>
          <w:spacing w:val="-17"/>
          <w:w w:val="105"/>
          <w:sz w:val="14"/>
        </w:rPr>
        <w:t xml:space="preserve"> </w:t>
      </w:r>
      <w:r>
        <w:rPr>
          <w:rFonts w:ascii="Arial"/>
          <w:color w:val="5B6761"/>
          <w:w w:val="105"/>
          <w:sz w:val="14"/>
        </w:rPr>
        <w:t>ARTG</w:t>
      </w:r>
      <w:r>
        <w:rPr>
          <w:rFonts w:ascii="Arial"/>
          <w:color w:val="5B6761"/>
          <w:spacing w:val="-17"/>
          <w:w w:val="105"/>
          <w:sz w:val="14"/>
        </w:rPr>
        <w:t xml:space="preserve"> </w:t>
      </w:r>
      <w:r>
        <w:rPr>
          <w:rFonts w:ascii="Arial"/>
          <w:color w:val="5B6761"/>
          <w:w w:val="105"/>
          <w:sz w:val="14"/>
        </w:rPr>
        <w:t>pathway</w:t>
      </w:r>
      <w:r>
        <w:rPr>
          <w:rFonts w:ascii="Arial"/>
          <w:color w:val="5B6761"/>
          <w:spacing w:val="-19"/>
          <w:w w:val="105"/>
          <w:sz w:val="14"/>
        </w:rPr>
        <w:t xml:space="preserve"> </w:t>
      </w:r>
      <w:r>
        <w:rPr>
          <w:rFonts w:ascii="Arial"/>
          <w:color w:val="5B6761"/>
          <w:w w:val="105"/>
          <w:sz w:val="14"/>
        </w:rPr>
        <w:t>or</w:t>
      </w:r>
      <w:r>
        <w:rPr>
          <w:rFonts w:ascii="Arial"/>
          <w:color w:val="5B6761"/>
          <w:spacing w:val="-18"/>
          <w:w w:val="105"/>
          <w:sz w:val="14"/>
        </w:rPr>
        <w:t xml:space="preserve"> </w:t>
      </w:r>
      <w:r>
        <w:rPr>
          <w:rFonts w:ascii="Arial"/>
          <w:color w:val="5B6761"/>
          <w:w w:val="105"/>
          <w:sz w:val="14"/>
        </w:rPr>
        <w:t>the</w:t>
      </w:r>
      <w:r>
        <w:rPr>
          <w:rFonts w:ascii="Arial"/>
          <w:color w:val="5B6761"/>
          <w:spacing w:val="-18"/>
          <w:w w:val="105"/>
          <w:sz w:val="14"/>
        </w:rPr>
        <w:t xml:space="preserve"> </w:t>
      </w:r>
      <w:r>
        <w:rPr>
          <w:rFonts w:ascii="Arial"/>
          <w:color w:val="5B6761"/>
          <w:w w:val="105"/>
          <w:sz w:val="14"/>
        </w:rPr>
        <w:t>product</w:t>
      </w:r>
      <w:r>
        <w:rPr>
          <w:rFonts w:ascii="Arial"/>
          <w:color w:val="5B6761"/>
          <w:spacing w:val="-19"/>
          <w:w w:val="105"/>
          <w:sz w:val="14"/>
        </w:rPr>
        <w:t xml:space="preserve"> </w:t>
      </w:r>
      <w:r>
        <w:rPr>
          <w:rFonts w:ascii="Arial"/>
          <w:color w:val="5B6761"/>
          <w:w w:val="105"/>
          <w:sz w:val="14"/>
        </w:rPr>
        <w:t>may</w:t>
      </w:r>
      <w:r>
        <w:rPr>
          <w:rFonts w:ascii="Arial"/>
          <w:color w:val="5B6761"/>
          <w:spacing w:val="-18"/>
          <w:w w:val="105"/>
          <w:sz w:val="14"/>
        </w:rPr>
        <w:t xml:space="preserve"> </w:t>
      </w:r>
      <w:r>
        <w:rPr>
          <w:rFonts w:ascii="Arial"/>
          <w:color w:val="5B6761"/>
          <w:w w:val="105"/>
          <w:sz w:val="14"/>
        </w:rPr>
        <w:t>contain</w:t>
      </w:r>
      <w:r>
        <w:rPr>
          <w:rFonts w:ascii="Arial"/>
          <w:color w:val="5B6761"/>
          <w:spacing w:val="-17"/>
          <w:w w:val="105"/>
          <w:sz w:val="14"/>
        </w:rPr>
        <w:t xml:space="preserve"> </w:t>
      </w:r>
      <w:r>
        <w:rPr>
          <w:rFonts w:ascii="Arial"/>
          <w:color w:val="5B6761"/>
          <w:w w:val="105"/>
          <w:sz w:val="14"/>
        </w:rPr>
        <w:t>active</w:t>
      </w:r>
      <w:r>
        <w:rPr>
          <w:rFonts w:ascii="Arial"/>
          <w:color w:val="5B6761"/>
          <w:spacing w:val="-18"/>
          <w:w w:val="105"/>
          <w:sz w:val="14"/>
        </w:rPr>
        <w:t xml:space="preserve"> </w:t>
      </w:r>
      <w:r>
        <w:rPr>
          <w:rFonts w:ascii="Arial"/>
          <w:color w:val="5B6761"/>
          <w:w w:val="105"/>
          <w:sz w:val="14"/>
        </w:rPr>
        <w:t>ingredients</w:t>
      </w:r>
      <w:r>
        <w:rPr>
          <w:rFonts w:ascii="Arial"/>
          <w:color w:val="5B6761"/>
          <w:spacing w:val="-18"/>
          <w:w w:val="105"/>
          <w:sz w:val="14"/>
        </w:rPr>
        <w:t xml:space="preserve"> </w:t>
      </w:r>
      <w:r>
        <w:rPr>
          <w:rFonts w:ascii="Arial"/>
          <w:color w:val="5B6761"/>
          <w:w w:val="105"/>
          <w:sz w:val="14"/>
        </w:rPr>
        <w:t>that</w:t>
      </w:r>
      <w:r>
        <w:rPr>
          <w:rFonts w:ascii="Arial"/>
          <w:color w:val="5B6761"/>
          <w:spacing w:val="-19"/>
          <w:w w:val="105"/>
          <w:sz w:val="14"/>
        </w:rPr>
        <w:t xml:space="preserve"> </w:t>
      </w:r>
      <w:r>
        <w:rPr>
          <w:rFonts w:ascii="Arial"/>
          <w:color w:val="5B6761"/>
          <w:w w:val="105"/>
          <w:sz w:val="14"/>
        </w:rPr>
        <w:t>are</w:t>
      </w:r>
      <w:r>
        <w:rPr>
          <w:rFonts w:ascii="Arial"/>
          <w:color w:val="5B6761"/>
          <w:spacing w:val="-20"/>
          <w:w w:val="105"/>
          <w:sz w:val="14"/>
        </w:rPr>
        <w:t xml:space="preserve"> </w:t>
      </w:r>
      <w:r>
        <w:rPr>
          <w:rFonts w:ascii="Arial"/>
          <w:color w:val="5B6761"/>
          <w:w w:val="105"/>
          <w:sz w:val="14"/>
        </w:rPr>
        <w:t>unlikely</w:t>
      </w:r>
      <w:r>
        <w:rPr>
          <w:rFonts w:ascii="Arial"/>
          <w:color w:val="5B6761"/>
          <w:spacing w:val="-18"/>
          <w:w w:val="105"/>
          <w:sz w:val="14"/>
        </w:rPr>
        <w:t xml:space="preserve"> </w:t>
      </w:r>
      <w:r>
        <w:rPr>
          <w:rFonts w:ascii="Arial"/>
          <w:color w:val="5B6761"/>
          <w:w w:val="105"/>
          <w:sz w:val="14"/>
        </w:rPr>
        <w:t>to</w:t>
      </w:r>
      <w:r>
        <w:rPr>
          <w:rFonts w:ascii="Arial"/>
          <w:color w:val="5B6761"/>
          <w:spacing w:val="-18"/>
          <w:w w:val="105"/>
          <w:sz w:val="14"/>
        </w:rPr>
        <w:t xml:space="preserve"> </w:t>
      </w:r>
      <w:r>
        <w:rPr>
          <w:rFonts w:ascii="Arial"/>
          <w:color w:val="5B6761"/>
          <w:w w:val="105"/>
          <w:sz w:val="14"/>
        </w:rPr>
        <w:t>be</w:t>
      </w:r>
      <w:r>
        <w:rPr>
          <w:rFonts w:ascii="Arial"/>
          <w:color w:val="5B6761"/>
          <w:spacing w:val="-19"/>
          <w:w w:val="105"/>
          <w:sz w:val="14"/>
        </w:rPr>
        <w:t xml:space="preserve"> </w:t>
      </w:r>
      <w:r>
        <w:rPr>
          <w:rFonts w:ascii="Arial"/>
          <w:color w:val="5B6761"/>
          <w:w w:val="105"/>
          <w:sz w:val="14"/>
        </w:rPr>
        <w:t>approved</w:t>
      </w:r>
      <w:r>
        <w:rPr>
          <w:rFonts w:ascii="Arial"/>
          <w:color w:val="5B6761"/>
          <w:spacing w:val="-17"/>
          <w:w w:val="105"/>
          <w:sz w:val="14"/>
        </w:rPr>
        <w:t xml:space="preserve"> </w:t>
      </w:r>
      <w:r>
        <w:rPr>
          <w:rFonts w:ascii="Arial"/>
          <w:color w:val="5B6761"/>
          <w:w w:val="105"/>
          <w:sz w:val="14"/>
        </w:rPr>
        <w:t>for</w:t>
      </w:r>
      <w:r>
        <w:rPr>
          <w:rFonts w:ascii="Arial"/>
          <w:color w:val="5B6761"/>
          <w:spacing w:val="-17"/>
          <w:w w:val="105"/>
          <w:sz w:val="14"/>
        </w:rPr>
        <w:t xml:space="preserve"> </w:t>
      </w:r>
      <w:r>
        <w:rPr>
          <w:rFonts w:ascii="Arial"/>
          <w:color w:val="5B6761"/>
          <w:w w:val="105"/>
          <w:sz w:val="14"/>
        </w:rPr>
        <w:t>sale</w:t>
      </w:r>
      <w:r>
        <w:rPr>
          <w:rFonts w:ascii="Arial"/>
          <w:color w:val="5B6761"/>
          <w:spacing w:val="-18"/>
          <w:w w:val="105"/>
          <w:sz w:val="14"/>
        </w:rPr>
        <w:t xml:space="preserve"> </w:t>
      </w:r>
      <w:r>
        <w:rPr>
          <w:rFonts w:ascii="Arial"/>
          <w:color w:val="5B6761"/>
          <w:w w:val="105"/>
          <w:sz w:val="14"/>
        </w:rPr>
        <w:t>by</w:t>
      </w:r>
      <w:r>
        <w:rPr>
          <w:rFonts w:ascii="Arial"/>
          <w:color w:val="5B6761"/>
          <w:spacing w:val="-18"/>
          <w:w w:val="105"/>
          <w:sz w:val="14"/>
        </w:rPr>
        <w:t xml:space="preserve"> </w:t>
      </w:r>
      <w:r>
        <w:rPr>
          <w:rFonts w:ascii="Arial"/>
          <w:color w:val="5B6761"/>
          <w:w w:val="105"/>
          <w:sz w:val="14"/>
        </w:rPr>
        <w:t>the</w:t>
      </w:r>
      <w:r>
        <w:rPr>
          <w:rFonts w:ascii="Arial"/>
          <w:color w:val="5B6761"/>
          <w:spacing w:val="-20"/>
          <w:w w:val="105"/>
          <w:sz w:val="14"/>
        </w:rPr>
        <w:t xml:space="preserve"> </w:t>
      </w:r>
      <w:r>
        <w:rPr>
          <w:rFonts w:ascii="Arial"/>
          <w:color w:val="5B6761"/>
          <w:w w:val="105"/>
          <w:sz w:val="14"/>
        </w:rPr>
        <w:t>TGA</w:t>
      </w:r>
      <w:r>
        <w:rPr>
          <w:rFonts w:ascii="Arial"/>
          <w:color w:val="5B6761"/>
          <w:spacing w:val="-18"/>
          <w:w w:val="105"/>
          <w:sz w:val="14"/>
        </w:rPr>
        <w:t xml:space="preserve"> </w:t>
      </w:r>
      <w:r>
        <w:rPr>
          <w:rFonts w:ascii="Arial"/>
          <w:color w:val="5B6761"/>
          <w:w w:val="105"/>
          <w:sz w:val="14"/>
        </w:rPr>
        <w:t>outside</w:t>
      </w:r>
      <w:r>
        <w:rPr>
          <w:rFonts w:ascii="Arial"/>
          <w:color w:val="5B6761"/>
          <w:spacing w:val="-19"/>
          <w:w w:val="105"/>
          <w:sz w:val="14"/>
        </w:rPr>
        <w:t xml:space="preserve"> </w:t>
      </w:r>
      <w:r>
        <w:rPr>
          <w:rFonts w:ascii="Arial"/>
          <w:color w:val="5B6761"/>
          <w:w w:val="105"/>
          <w:sz w:val="14"/>
        </w:rPr>
        <w:t>a pharmacy</w:t>
      </w:r>
      <w:r>
        <w:rPr>
          <w:rFonts w:ascii="Arial"/>
          <w:color w:val="5B6761"/>
          <w:spacing w:val="-16"/>
          <w:w w:val="105"/>
          <w:sz w:val="14"/>
        </w:rPr>
        <w:t xml:space="preserve"> </w:t>
      </w:r>
      <w:r>
        <w:rPr>
          <w:rFonts w:ascii="Arial"/>
          <w:color w:val="5B6761"/>
          <w:w w:val="105"/>
          <w:sz w:val="14"/>
        </w:rPr>
        <w:t>(or</w:t>
      </w:r>
      <w:r>
        <w:rPr>
          <w:rFonts w:ascii="Arial"/>
          <w:color w:val="5B6761"/>
          <w:spacing w:val="-15"/>
          <w:w w:val="105"/>
          <w:sz w:val="14"/>
        </w:rPr>
        <w:t xml:space="preserve"> </w:t>
      </w:r>
      <w:r>
        <w:rPr>
          <w:rFonts w:ascii="Arial"/>
          <w:color w:val="5B6761"/>
          <w:w w:val="105"/>
          <w:sz w:val="14"/>
        </w:rPr>
        <w:t>might</w:t>
      </w:r>
      <w:r>
        <w:rPr>
          <w:rFonts w:ascii="Arial"/>
          <w:color w:val="5B6761"/>
          <w:spacing w:val="-16"/>
          <w:w w:val="105"/>
          <w:sz w:val="14"/>
        </w:rPr>
        <w:t xml:space="preserve"> </w:t>
      </w:r>
      <w:r>
        <w:rPr>
          <w:rFonts w:ascii="Arial"/>
          <w:color w:val="5B6761"/>
          <w:w w:val="105"/>
          <w:sz w:val="14"/>
        </w:rPr>
        <w:t>require</w:t>
      </w:r>
      <w:r>
        <w:rPr>
          <w:rFonts w:ascii="Arial"/>
          <w:color w:val="5B6761"/>
          <w:spacing w:val="-18"/>
          <w:w w:val="105"/>
          <w:sz w:val="14"/>
        </w:rPr>
        <w:t xml:space="preserve"> </w:t>
      </w:r>
      <w:r>
        <w:rPr>
          <w:rFonts w:ascii="Arial"/>
          <w:color w:val="5B6761"/>
          <w:w w:val="105"/>
          <w:sz w:val="14"/>
        </w:rPr>
        <w:t>a</w:t>
      </w:r>
      <w:r>
        <w:rPr>
          <w:rFonts w:ascii="Arial"/>
          <w:color w:val="5B6761"/>
          <w:spacing w:val="-15"/>
          <w:w w:val="105"/>
          <w:sz w:val="14"/>
        </w:rPr>
        <w:t xml:space="preserve"> </w:t>
      </w:r>
      <w:r>
        <w:rPr>
          <w:rFonts w:ascii="Arial"/>
          <w:color w:val="5B6761"/>
          <w:w w:val="105"/>
          <w:sz w:val="14"/>
        </w:rPr>
        <w:t>prescription)</w:t>
      </w:r>
      <w:r>
        <w:rPr>
          <w:rFonts w:ascii="Arial"/>
          <w:color w:val="5B6761"/>
          <w:spacing w:val="-16"/>
          <w:w w:val="105"/>
          <w:sz w:val="14"/>
        </w:rPr>
        <w:t xml:space="preserve"> </w:t>
      </w:r>
      <w:r>
        <w:rPr>
          <w:rFonts w:ascii="Arial"/>
          <w:color w:val="5B6761"/>
          <w:w w:val="105"/>
          <w:sz w:val="14"/>
        </w:rPr>
        <w:t>and</w:t>
      </w:r>
      <w:r>
        <w:rPr>
          <w:rFonts w:ascii="Arial"/>
          <w:color w:val="5B6761"/>
          <w:spacing w:val="-15"/>
          <w:w w:val="105"/>
          <w:sz w:val="14"/>
        </w:rPr>
        <w:t xml:space="preserve"> </w:t>
      </w:r>
      <w:r>
        <w:rPr>
          <w:rFonts w:ascii="Arial"/>
          <w:color w:val="5B6761"/>
          <w:w w:val="105"/>
          <w:sz w:val="14"/>
        </w:rPr>
        <w:t>are</w:t>
      </w:r>
      <w:r>
        <w:rPr>
          <w:rFonts w:ascii="Arial"/>
          <w:color w:val="5B6761"/>
          <w:spacing w:val="-17"/>
          <w:w w:val="105"/>
          <w:sz w:val="14"/>
        </w:rPr>
        <w:t xml:space="preserve"> </w:t>
      </w:r>
      <w:r>
        <w:rPr>
          <w:rFonts w:ascii="Arial"/>
          <w:color w:val="5B6761"/>
          <w:w w:val="105"/>
          <w:sz w:val="14"/>
        </w:rPr>
        <w:t>therefore</w:t>
      </w:r>
      <w:r>
        <w:rPr>
          <w:rFonts w:ascii="Arial"/>
          <w:color w:val="5B6761"/>
          <w:spacing w:val="-16"/>
          <w:w w:val="105"/>
          <w:sz w:val="14"/>
        </w:rPr>
        <w:t xml:space="preserve"> </w:t>
      </w:r>
      <w:r>
        <w:rPr>
          <w:rFonts w:ascii="Arial"/>
          <w:color w:val="5B6761"/>
          <w:w w:val="105"/>
          <w:sz w:val="14"/>
        </w:rPr>
        <w:t>unable</w:t>
      </w:r>
      <w:r>
        <w:rPr>
          <w:rFonts w:ascii="Arial"/>
          <w:color w:val="5B6761"/>
          <w:spacing w:val="-17"/>
          <w:w w:val="105"/>
          <w:sz w:val="14"/>
        </w:rPr>
        <w:t xml:space="preserve"> </w:t>
      </w:r>
      <w:r>
        <w:rPr>
          <w:rFonts w:ascii="Arial"/>
          <w:color w:val="5B6761"/>
          <w:w w:val="105"/>
          <w:sz w:val="14"/>
        </w:rPr>
        <w:t>to</w:t>
      </w:r>
      <w:r>
        <w:rPr>
          <w:rFonts w:ascii="Arial"/>
          <w:color w:val="5B6761"/>
          <w:spacing w:val="-16"/>
          <w:w w:val="105"/>
          <w:sz w:val="14"/>
        </w:rPr>
        <w:t xml:space="preserve"> </w:t>
      </w:r>
      <w:r>
        <w:rPr>
          <w:rFonts w:ascii="Arial"/>
          <w:color w:val="5B6761"/>
          <w:w w:val="105"/>
          <w:sz w:val="14"/>
        </w:rPr>
        <w:t>be</w:t>
      </w:r>
      <w:r>
        <w:rPr>
          <w:rFonts w:ascii="Arial"/>
          <w:color w:val="5B6761"/>
          <w:spacing w:val="-17"/>
          <w:w w:val="105"/>
          <w:sz w:val="14"/>
        </w:rPr>
        <w:t xml:space="preserve"> </w:t>
      </w:r>
      <w:r>
        <w:rPr>
          <w:rFonts w:ascii="Arial"/>
          <w:color w:val="5B6761"/>
          <w:w w:val="105"/>
          <w:sz w:val="14"/>
        </w:rPr>
        <w:t>sold</w:t>
      </w:r>
      <w:r>
        <w:rPr>
          <w:rFonts w:ascii="Arial"/>
          <w:color w:val="5B6761"/>
          <w:spacing w:val="-15"/>
          <w:w w:val="105"/>
          <w:sz w:val="14"/>
        </w:rPr>
        <w:t xml:space="preserve"> </w:t>
      </w:r>
      <w:r>
        <w:rPr>
          <w:rFonts w:ascii="Arial"/>
          <w:color w:val="5B6761"/>
          <w:w w:val="105"/>
          <w:sz w:val="14"/>
        </w:rPr>
        <w:t>through</w:t>
      </w:r>
      <w:r>
        <w:rPr>
          <w:rFonts w:ascii="Arial"/>
          <w:color w:val="5B6761"/>
          <w:spacing w:val="-15"/>
          <w:w w:val="105"/>
          <w:sz w:val="14"/>
        </w:rPr>
        <w:t xml:space="preserve"> </w:t>
      </w:r>
      <w:r>
        <w:rPr>
          <w:rFonts w:ascii="Arial"/>
          <w:color w:val="5B6761"/>
          <w:w w:val="105"/>
          <w:sz w:val="14"/>
        </w:rPr>
        <w:t>sports</w:t>
      </w:r>
      <w:r>
        <w:rPr>
          <w:rFonts w:ascii="Arial"/>
          <w:color w:val="5B6761"/>
          <w:spacing w:val="-16"/>
          <w:w w:val="105"/>
          <w:sz w:val="14"/>
        </w:rPr>
        <w:t xml:space="preserve"> </w:t>
      </w:r>
      <w:r>
        <w:rPr>
          <w:rFonts w:ascii="Arial"/>
          <w:color w:val="5B6761"/>
          <w:w w:val="105"/>
          <w:sz w:val="14"/>
        </w:rPr>
        <w:t>supplements</w:t>
      </w:r>
      <w:r>
        <w:rPr>
          <w:rFonts w:ascii="Arial"/>
          <w:color w:val="5B6761"/>
          <w:spacing w:val="-15"/>
          <w:w w:val="105"/>
          <w:sz w:val="14"/>
        </w:rPr>
        <w:t xml:space="preserve"> </w:t>
      </w:r>
      <w:r>
        <w:rPr>
          <w:rFonts w:ascii="Arial"/>
          <w:color w:val="5B6761"/>
          <w:w w:val="105"/>
          <w:sz w:val="14"/>
        </w:rPr>
        <w:t>retail</w:t>
      </w:r>
      <w:r>
        <w:rPr>
          <w:rFonts w:ascii="Arial"/>
          <w:color w:val="5B6761"/>
          <w:spacing w:val="-16"/>
          <w:w w:val="105"/>
          <w:sz w:val="14"/>
        </w:rPr>
        <w:t xml:space="preserve"> </w:t>
      </w:r>
      <w:r>
        <w:rPr>
          <w:rFonts w:ascii="Arial"/>
          <w:color w:val="5B6761"/>
          <w:w w:val="105"/>
          <w:sz w:val="14"/>
        </w:rPr>
        <w:t>or</w:t>
      </w:r>
      <w:r>
        <w:rPr>
          <w:rFonts w:ascii="Arial"/>
          <w:color w:val="5B6761"/>
          <w:spacing w:val="-15"/>
          <w:w w:val="105"/>
          <w:sz w:val="14"/>
        </w:rPr>
        <w:t xml:space="preserve"> </w:t>
      </w:r>
      <w:r>
        <w:rPr>
          <w:rFonts w:ascii="Arial"/>
          <w:color w:val="5B6761"/>
          <w:w w:val="105"/>
          <w:sz w:val="14"/>
        </w:rPr>
        <w:t>online</w:t>
      </w:r>
      <w:r>
        <w:rPr>
          <w:rFonts w:ascii="Arial"/>
          <w:color w:val="5B6761"/>
          <w:spacing w:val="-17"/>
          <w:w w:val="105"/>
          <w:sz w:val="14"/>
        </w:rPr>
        <w:t xml:space="preserve"> </w:t>
      </w:r>
      <w:r>
        <w:rPr>
          <w:rFonts w:ascii="Arial"/>
          <w:color w:val="5B6761"/>
          <w:w w:val="105"/>
          <w:sz w:val="14"/>
        </w:rPr>
        <w:t>stores.</w:t>
      </w:r>
    </w:p>
    <w:p w:rsidR="007D76BB" w:rsidRDefault="007D76BB">
      <w:pPr>
        <w:spacing w:line="268" w:lineRule="auto"/>
        <w:rPr>
          <w:rFonts w:ascii="Arial"/>
          <w:sz w:val="14"/>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8"/>
        </w:rPr>
      </w:pPr>
    </w:p>
    <w:p w:rsidR="007D76BB" w:rsidRDefault="00D70D28">
      <w:pPr>
        <w:pStyle w:val="ListParagraph"/>
        <w:numPr>
          <w:ilvl w:val="1"/>
          <w:numId w:val="5"/>
        </w:numPr>
        <w:tabs>
          <w:tab w:val="left" w:pos="766"/>
        </w:tabs>
        <w:spacing w:before="108" w:line="266" w:lineRule="auto"/>
        <w:ind w:right="1624"/>
        <w:rPr>
          <w:rFonts w:ascii="Arial" w:hAnsi="Arial"/>
          <w:sz w:val="19"/>
        </w:rPr>
      </w:pPr>
      <w:r>
        <w:rPr>
          <w:rFonts w:ascii="Arial" w:hAnsi="Arial"/>
          <w:w w:val="105"/>
          <w:sz w:val="19"/>
        </w:rPr>
        <w:t>capsule/tablet</w:t>
      </w:r>
      <w:r>
        <w:rPr>
          <w:rFonts w:ascii="Arial" w:hAnsi="Arial"/>
          <w:spacing w:val="-26"/>
          <w:w w:val="105"/>
          <w:sz w:val="19"/>
        </w:rPr>
        <w:t xml:space="preserve"> </w:t>
      </w:r>
      <w:r>
        <w:rPr>
          <w:rFonts w:ascii="Arial" w:hAnsi="Arial"/>
          <w:w w:val="105"/>
          <w:sz w:val="19"/>
        </w:rPr>
        <w:t>products</w:t>
      </w:r>
      <w:r>
        <w:rPr>
          <w:rFonts w:ascii="Arial" w:hAnsi="Arial"/>
          <w:spacing w:val="-26"/>
          <w:w w:val="105"/>
          <w:sz w:val="19"/>
        </w:rPr>
        <w:t xml:space="preserve"> </w:t>
      </w:r>
      <w:r>
        <w:rPr>
          <w:rFonts w:ascii="Arial" w:hAnsi="Arial"/>
          <w:w w:val="105"/>
          <w:sz w:val="19"/>
        </w:rPr>
        <w:t>are</w:t>
      </w:r>
      <w:r>
        <w:rPr>
          <w:rFonts w:ascii="Arial" w:hAnsi="Arial"/>
          <w:spacing w:val="-28"/>
          <w:w w:val="105"/>
          <w:sz w:val="19"/>
        </w:rPr>
        <w:t xml:space="preserve"> </w:t>
      </w:r>
      <w:r>
        <w:rPr>
          <w:rFonts w:ascii="Arial" w:hAnsi="Arial"/>
          <w:w w:val="105"/>
          <w:sz w:val="19"/>
        </w:rPr>
        <w:t>more</w:t>
      </w:r>
      <w:r>
        <w:rPr>
          <w:rFonts w:ascii="Arial" w:hAnsi="Arial"/>
          <w:spacing w:val="-26"/>
          <w:w w:val="105"/>
          <w:sz w:val="19"/>
        </w:rPr>
        <w:t xml:space="preserve"> </w:t>
      </w:r>
      <w:r>
        <w:rPr>
          <w:rFonts w:ascii="Arial" w:hAnsi="Arial"/>
          <w:w w:val="105"/>
          <w:sz w:val="19"/>
        </w:rPr>
        <w:t>likely</w:t>
      </w:r>
      <w:r>
        <w:rPr>
          <w:rFonts w:ascii="Arial" w:hAnsi="Arial"/>
          <w:spacing w:val="-27"/>
          <w:w w:val="105"/>
          <w:sz w:val="19"/>
        </w:rPr>
        <w:t xml:space="preserve"> </w:t>
      </w:r>
      <w:r>
        <w:rPr>
          <w:rFonts w:ascii="Arial" w:hAnsi="Arial"/>
          <w:w w:val="105"/>
          <w:sz w:val="19"/>
        </w:rPr>
        <w:t>to</w:t>
      </w:r>
      <w:r>
        <w:rPr>
          <w:rFonts w:ascii="Arial" w:hAnsi="Arial"/>
          <w:spacing w:val="-27"/>
          <w:w w:val="105"/>
          <w:sz w:val="19"/>
        </w:rPr>
        <w:t xml:space="preserve"> </w:t>
      </w:r>
      <w:r>
        <w:rPr>
          <w:rFonts w:ascii="Arial" w:hAnsi="Arial"/>
          <w:w w:val="105"/>
          <w:sz w:val="19"/>
        </w:rPr>
        <w:t>proceed</w:t>
      </w:r>
      <w:r>
        <w:rPr>
          <w:rFonts w:ascii="Arial" w:hAnsi="Arial"/>
          <w:spacing w:val="-28"/>
          <w:w w:val="105"/>
          <w:sz w:val="19"/>
        </w:rPr>
        <w:t xml:space="preserve"> </w:t>
      </w:r>
      <w:r>
        <w:rPr>
          <w:rFonts w:ascii="Arial" w:hAnsi="Arial"/>
          <w:w w:val="105"/>
          <w:sz w:val="19"/>
        </w:rPr>
        <w:t>down</w:t>
      </w:r>
      <w:r>
        <w:rPr>
          <w:rFonts w:ascii="Arial" w:hAnsi="Arial"/>
          <w:spacing w:val="-28"/>
          <w:w w:val="105"/>
          <w:sz w:val="19"/>
        </w:rPr>
        <w:t xml:space="preserve"> </w:t>
      </w:r>
      <w:r>
        <w:rPr>
          <w:rFonts w:ascii="Arial" w:hAnsi="Arial"/>
          <w:w w:val="105"/>
          <w:sz w:val="19"/>
        </w:rPr>
        <w:t>an</w:t>
      </w:r>
      <w:r>
        <w:rPr>
          <w:rFonts w:ascii="Arial" w:hAnsi="Arial"/>
          <w:spacing w:val="-26"/>
          <w:w w:val="105"/>
          <w:sz w:val="19"/>
        </w:rPr>
        <w:t xml:space="preserve"> </w:t>
      </w:r>
      <w:r>
        <w:rPr>
          <w:rFonts w:ascii="Arial" w:hAnsi="Arial"/>
          <w:w w:val="105"/>
          <w:sz w:val="19"/>
        </w:rPr>
        <w:t>ARTG</w:t>
      </w:r>
      <w:r>
        <w:rPr>
          <w:rFonts w:ascii="Arial" w:hAnsi="Arial"/>
          <w:spacing w:val="-27"/>
          <w:w w:val="105"/>
          <w:sz w:val="19"/>
        </w:rPr>
        <w:t xml:space="preserve"> </w:t>
      </w:r>
      <w:r>
        <w:rPr>
          <w:rFonts w:ascii="Arial" w:hAnsi="Arial"/>
          <w:w w:val="105"/>
          <w:sz w:val="19"/>
        </w:rPr>
        <w:t>pathway</w:t>
      </w:r>
      <w:r>
        <w:rPr>
          <w:rFonts w:ascii="Arial" w:hAnsi="Arial"/>
          <w:spacing w:val="-28"/>
          <w:w w:val="105"/>
          <w:sz w:val="19"/>
        </w:rPr>
        <w:t xml:space="preserve"> </w:t>
      </w:r>
      <w:r>
        <w:rPr>
          <w:rFonts w:ascii="Arial" w:hAnsi="Arial"/>
          <w:w w:val="105"/>
          <w:sz w:val="19"/>
        </w:rPr>
        <w:t>than</w:t>
      </w:r>
      <w:r>
        <w:rPr>
          <w:rFonts w:ascii="Arial" w:hAnsi="Arial"/>
          <w:spacing w:val="-27"/>
          <w:w w:val="105"/>
          <w:sz w:val="19"/>
        </w:rPr>
        <w:t xml:space="preserve"> </w:t>
      </w:r>
      <w:r>
        <w:rPr>
          <w:rFonts w:ascii="Arial" w:hAnsi="Arial"/>
          <w:w w:val="105"/>
          <w:sz w:val="19"/>
        </w:rPr>
        <w:t>powder products</w:t>
      </w:r>
      <w:r>
        <w:rPr>
          <w:rFonts w:ascii="Arial" w:hAnsi="Arial"/>
          <w:spacing w:val="-13"/>
          <w:w w:val="105"/>
          <w:sz w:val="19"/>
        </w:rPr>
        <w:t xml:space="preserve"> </w:t>
      </w:r>
      <w:r>
        <w:rPr>
          <w:rFonts w:ascii="Arial" w:hAnsi="Arial"/>
          <w:w w:val="105"/>
          <w:sz w:val="19"/>
        </w:rPr>
        <w:t>(as</w:t>
      </w:r>
      <w:r>
        <w:rPr>
          <w:rFonts w:ascii="Arial" w:hAnsi="Arial"/>
          <w:spacing w:val="-13"/>
          <w:w w:val="105"/>
          <w:sz w:val="19"/>
        </w:rPr>
        <w:t xml:space="preserve"> </w:t>
      </w:r>
      <w:r>
        <w:rPr>
          <w:rFonts w:ascii="Arial" w:hAnsi="Arial"/>
          <w:w w:val="105"/>
          <w:sz w:val="19"/>
        </w:rPr>
        <w:t>reformulation</w:t>
      </w:r>
      <w:r>
        <w:rPr>
          <w:rFonts w:ascii="Arial" w:hAnsi="Arial"/>
          <w:spacing w:val="-12"/>
          <w:w w:val="105"/>
          <w:sz w:val="19"/>
        </w:rPr>
        <w:t xml:space="preserve"> </w:t>
      </w:r>
      <w:r>
        <w:rPr>
          <w:rFonts w:ascii="Arial" w:hAnsi="Arial"/>
          <w:w w:val="105"/>
          <w:sz w:val="19"/>
        </w:rPr>
        <w:t>is</w:t>
      </w:r>
      <w:r>
        <w:rPr>
          <w:rFonts w:ascii="Arial" w:hAnsi="Arial"/>
          <w:spacing w:val="-15"/>
          <w:w w:val="105"/>
          <w:sz w:val="19"/>
        </w:rPr>
        <w:t xml:space="preserve"> </w:t>
      </w:r>
      <w:r>
        <w:rPr>
          <w:rFonts w:ascii="Arial" w:hAnsi="Arial"/>
          <w:w w:val="105"/>
          <w:sz w:val="19"/>
        </w:rPr>
        <w:t>not</w:t>
      </w:r>
      <w:r>
        <w:rPr>
          <w:rFonts w:ascii="Arial" w:hAnsi="Arial"/>
          <w:spacing w:val="-14"/>
          <w:w w:val="105"/>
          <w:sz w:val="19"/>
        </w:rPr>
        <w:t xml:space="preserve"> </w:t>
      </w:r>
      <w:r>
        <w:rPr>
          <w:rFonts w:ascii="Arial" w:hAnsi="Arial"/>
          <w:w w:val="105"/>
          <w:sz w:val="19"/>
        </w:rPr>
        <w:t>an</w:t>
      </w:r>
      <w:r>
        <w:rPr>
          <w:rFonts w:ascii="Arial" w:hAnsi="Arial"/>
          <w:spacing w:val="-14"/>
          <w:w w:val="105"/>
          <w:sz w:val="19"/>
        </w:rPr>
        <w:t xml:space="preserve"> </w:t>
      </w:r>
      <w:r>
        <w:rPr>
          <w:rFonts w:ascii="Arial" w:hAnsi="Arial"/>
          <w:w w:val="105"/>
          <w:sz w:val="19"/>
        </w:rPr>
        <w:t>option</w:t>
      </w:r>
      <w:r>
        <w:rPr>
          <w:rFonts w:ascii="Arial" w:hAnsi="Arial"/>
          <w:spacing w:val="-10"/>
          <w:w w:val="105"/>
          <w:sz w:val="19"/>
        </w:rPr>
        <w:t xml:space="preserve"> </w:t>
      </w:r>
      <w:r>
        <w:rPr>
          <w:rFonts w:ascii="Arial" w:hAnsi="Arial"/>
          <w:w w:val="105"/>
          <w:sz w:val="19"/>
        </w:rPr>
        <w:t>likely</w:t>
      </w:r>
      <w:r>
        <w:rPr>
          <w:rFonts w:ascii="Arial" w:hAnsi="Arial"/>
          <w:spacing w:val="-13"/>
          <w:w w:val="105"/>
          <w:sz w:val="19"/>
        </w:rPr>
        <w:t xml:space="preserve"> </w:t>
      </w:r>
      <w:r>
        <w:rPr>
          <w:rFonts w:ascii="Arial" w:hAnsi="Arial"/>
          <w:w w:val="105"/>
          <w:sz w:val="19"/>
        </w:rPr>
        <w:t>to</w:t>
      </w:r>
      <w:r>
        <w:rPr>
          <w:rFonts w:ascii="Arial" w:hAnsi="Arial"/>
          <w:spacing w:val="-15"/>
          <w:w w:val="105"/>
          <w:sz w:val="19"/>
        </w:rPr>
        <w:t xml:space="preserve"> </w:t>
      </w:r>
      <w:r>
        <w:rPr>
          <w:rFonts w:ascii="Arial" w:hAnsi="Arial"/>
          <w:w w:val="105"/>
          <w:sz w:val="19"/>
        </w:rPr>
        <w:t>be</w:t>
      </w:r>
      <w:r>
        <w:rPr>
          <w:rFonts w:ascii="Arial" w:hAnsi="Arial"/>
          <w:spacing w:val="-12"/>
          <w:w w:val="105"/>
          <w:sz w:val="19"/>
        </w:rPr>
        <w:t xml:space="preserve"> </w:t>
      </w:r>
      <w:r>
        <w:rPr>
          <w:rFonts w:ascii="Arial" w:hAnsi="Arial"/>
          <w:w w:val="105"/>
          <w:sz w:val="19"/>
        </w:rPr>
        <w:t>pursued</w:t>
      </w:r>
      <w:r>
        <w:rPr>
          <w:rFonts w:ascii="Arial" w:hAnsi="Arial"/>
          <w:spacing w:val="-14"/>
          <w:w w:val="105"/>
          <w:sz w:val="19"/>
        </w:rPr>
        <w:t xml:space="preserve"> </w:t>
      </w:r>
      <w:r>
        <w:rPr>
          <w:rFonts w:ascii="Arial" w:hAnsi="Arial"/>
          <w:w w:val="105"/>
          <w:sz w:val="19"/>
        </w:rPr>
        <w:t>by</w:t>
      </w:r>
      <w:r>
        <w:rPr>
          <w:rFonts w:ascii="Arial" w:hAnsi="Arial"/>
          <w:spacing w:val="-13"/>
          <w:w w:val="105"/>
          <w:sz w:val="19"/>
        </w:rPr>
        <w:t xml:space="preserve"> </w:t>
      </w:r>
      <w:r>
        <w:rPr>
          <w:rFonts w:ascii="Arial" w:hAnsi="Arial"/>
          <w:w w:val="105"/>
          <w:sz w:val="19"/>
        </w:rPr>
        <w:t>industry)</w:t>
      </w:r>
    </w:p>
    <w:p w:rsidR="007D76BB" w:rsidRDefault="00D70D28">
      <w:pPr>
        <w:pStyle w:val="ListParagraph"/>
        <w:numPr>
          <w:ilvl w:val="1"/>
          <w:numId w:val="5"/>
        </w:numPr>
        <w:tabs>
          <w:tab w:val="left" w:pos="766"/>
        </w:tabs>
        <w:spacing w:before="77" w:line="266" w:lineRule="auto"/>
        <w:ind w:right="1089"/>
        <w:rPr>
          <w:rFonts w:ascii="Arial" w:hAnsi="Arial"/>
          <w:sz w:val="19"/>
        </w:rPr>
      </w:pPr>
      <w:r>
        <w:rPr>
          <w:rFonts w:ascii="Arial" w:hAnsi="Arial"/>
          <w:w w:val="105"/>
          <w:sz w:val="19"/>
        </w:rPr>
        <w:t>it</w:t>
      </w:r>
      <w:r>
        <w:rPr>
          <w:rFonts w:ascii="Arial" w:hAnsi="Arial"/>
          <w:spacing w:val="-20"/>
          <w:w w:val="105"/>
          <w:sz w:val="19"/>
        </w:rPr>
        <w:t xml:space="preserve"> </w:t>
      </w:r>
      <w:r>
        <w:rPr>
          <w:rFonts w:ascii="Arial" w:hAnsi="Arial"/>
          <w:w w:val="105"/>
          <w:sz w:val="19"/>
        </w:rPr>
        <w:t>is</w:t>
      </w:r>
      <w:r>
        <w:rPr>
          <w:rFonts w:ascii="Arial" w:hAnsi="Arial"/>
          <w:spacing w:val="-20"/>
          <w:w w:val="105"/>
          <w:sz w:val="19"/>
        </w:rPr>
        <w:t xml:space="preserve"> </w:t>
      </w:r>
      <w:r>
        <w:rPr>
          <w:rFonts w:ascii="Arial" w:hAnsi="Arial"/>
          <w:w w:val="105"/>
          <w:sz w:val="19"/>
        </w:rPr>
        <w:t>likely</w:t>
      </w:r>
      <w:r>
        <w:rPr>
          <w:rFonts w:ascii="Arial" w:hAnsi="Arial"/>
          <w:spacing w:val="-21"/>
          <w:w w:val="105"/>
          <w:sz w:val="19"/>
        </w:rPr>
        <w:t xml:space="preserve"> </w:t>
      </w:r>
      <w:r>
        <w:rPr>
          <w:rFonts w:ascii="Arial" w:hAnsi="Arial"/>
          <w:w w:val="105"/>
          <w:sz w:val="19"/>
        </w:rPr>
        <w:t>that</w:t>
      </w:r>
      <w:r>
        <w:rPr>
          <w:rFonts w:ascii="Arial" w:hAnsi="Arial"/>
          <w:spacing w:val="-19"/>
          <w:w w:val="105"/>
          <w:sz w:val="19"/>
        </w:rPr>
        <w:t xml:space="preserve"> </w:t>
      </w:r>
      <w:r>
        <w:rPr>
          <w:rFonts w:ascii="Arial" w:hAnsi="Arial"/>
          <w:w w:val="105"/>
          <w:sz w:val="19"/>
        </w:rPr>
        <w:t>a</w:t>
      </w:r>
      <w:r>
        <w:rPr>
          <w:rFonts w:ascii="Arial" w:hAnsi="Arial"/>
          <w:spacing w:val="-21"/>
          <w:w w:val="105"/>
          <w:sz w:val="19"/>
        </w:rPr>
        <w:t xml:space="preserve"> </w:t>
      </w:r>
      <w:r>
        <w:rPr>
          <w:rFonts w:ascii="Arial" w:hAnsi="Arial"/>
          <w:w w:val="105"/>
          <w:sz w:val="19"/>
        </w:rPr>
        <w:t>number</w:t>
      </w:r>
      <w:r>
        <w:rPr>
          <w:rFonts w:ascii="Arial" w:hAnsi="Arial"/>
          <w:spacing w:val="-20"/>
          <w:w w:val="105"/>
          <w:sz w:val="19"/>
        </w:rPr>
        <w:t xml:space="preserve"> </w:t>
      </w:r>
      <w:r>
        <w:rPr>
          <w:rFonts w:ascii="Arial" w:hAnsi="Arial"/>
          <w:w w:val="105"/>
          <w:sz w:val="19"/>
        </w:rPr>
        <w:t>of</w:t>
      </w:r>
      <w:r>
        <w:rPr>
          <w:rFonts w:ascii="Arial" w:hAnsi="Arial"/>
          <w:spacing w:val="-18"/>
          <w:w w:val="105"/>
          <w:sz w:val="19"/>
        </w:rPr>
        <w:t xml:space="preserve"> </w:t>
      </w:r>
      <w:r>
        <w:rPr>
          <w:rFonts w:ascii="Arial" w:hAnsi="Arial"/>
          <w:w w:val="105"/>
          <w:sz w:val="19"/>
        </w:rPr>
        <w:t>capsule</w:t>
      </w:r>
      <w:r>
        <w:rPr>
          <w:rFonts w:ascii="Arial" w:hAnsi="Arial"/>
          <w:spacing w:val="-20"/>
          <w:w w:val="105"/>
          <w:sz w:val="19"/>
        </w:rPr>
        <w:t xml:space="preserve"> </w:t>
      </w:r>
      <w:r>
        <w:rPr>
          <w:rFonts w:ascii="Arial" w:hAnsi="Arial"/>
          <w:w w:val="105"/>
          <w:sz w:val="19"/>
        </w:rPr>
        <w:t>products</w:t>
      </w:r>
      <w:r>
        <w:rPr>
          <w:rFonts w:ascii="Arial" w:hAnsi="Arial"/>
          <w:spacing w:val="-22"/>
          <w:w w:val="105"/>
          <w:sz w:val="19"/>
        </w:rPr>
        <w:t xml:space="preserve"> </w:t>
      </w:r>
      <w:r>
        <w:rPr>
          <w:rFonts w:ascii="Arial" w:hAnsi="Arial"/>
          <w:w w:val="105"/>
          <w:sz w:val="19"/>
        </w:rPr>
        <w:t>will</w:t>
      </w:r>
      <w:r>
        <w:rPr>
          <w:rFonts w:ascii="Arial" w:hAnsi="Arial"/>
          <w:spacing w:val="-21"/>
          <w:w w:val="105"/>
          <w:sz w:val="19"/>
        </w:rPr>
        <w:t xml:space="preserve"> </w:t>
      </w:r>
      <w:r>
        <w:rPr>
          <w:rFonts w:ascii="Arial" w:hAnsi="Arial"/>
          <w:w w:val="105"/>
          <w:sz w:val="19"/>
        </w:rPr>
        <w:t>be</w:t>
      </w:r>
      <w:r>
        <w:rPr>
          <w:rFonts w:ascii="Arial" w:hAnsi="Arial"/>
          <w:spacing w:val="-19"/>
          <w:w w:val="105"/>
          <w:sz w:val="19"/>
        </w:rPr>
        <w:t xml:space="preserve"> </w:t>
      </w:r>
      <w:r>
        <w:rPr>
          <w:rFonts w:ascii="Arial" w:hAnsi="Arial"/>
          <w:w w:val="105"/>
          <w:sz w:val="19"/>
        </w:rPr>
        <w:t>withdrawn</w:t>
      </w:r>
      <w:r>
        <w:rPr>
          <w:rFonts w:ascii="Arial" w:hAnsi="Arial"/>
          <w:spacing w:val="-21"/>
          <w:w w:val="105"/>
          <w:sz w:val="19"/>
        </w:rPr>
        <w:t xml:space="preserve"> </w:t>
      </w:r>
      <w:r>
        <w:rPr>
          <w:rFonts w:ascii="Arial" w:hAnsi="Arial"/>
          <w:w w:val="105"/>
          <w:sz w:val="19"/>
        </w:rPr>
        <w:t>rather</w:t>
      </w:r>
      <w:r>
        <w:rPr>
          <w:rFonts w:ascii="Arial" w:hAnsi="Arial"/>
          <w:spacing w:val="-22"/>
          <w:w w:val="105"/>
          <w:sz w:val="19"/>
        </w:rPr>
        <w:t xml:space="preserve"> </w:t>
      </w:r>
      <w:r>
        <w:rPr>
          <w:rFonts w:ascii="Arial" w:hAnsi="Arial"/>
          <w:w w:val="105"/>
          <w:sz w:val="19"/>
        </w:rPr>
        <w:t>than</w:t>
      </w:r>
      <w:r>
        <w:rPr>
          <w:rFonts w:ascii="Arial" w:hAnsi="Arial"/>
          <w:spacing w:val="-20"/>
          <w:w w:val="105"/>
          <w:sz w:val="19"/>
        </w:rPr>
        <w:t xml:space="preserve"> </w:t>
      </w:r>
      <w:r>
        <w:rPr>
          <w:rFonts w:ascii="Arial" w:hAnsi="Arial"/>
          <w:w w:val="105"/>
          <w:sz w:val="19"/>
        </w:rPr>
        <w:t>proceeding</w:t>
      </w:r>
      <w:r>
        <w:rPr>
          <w:rFonts w:ascii="Arial" w:hAnsi="Arial"/>
          <w:spacing w:val="-21"/>
          <w:w w:val="105"/>
          <w:sz w:val="19"/>
        </w:rPr>
        <w:t xml:space="preserve"> </w:t>
      </w:r>
      <w:r>
        <w:rPr>
          <w:rFonts w:ascii="Arial" w:hAnsi="Arial"/>
          <w:w w:val="105"/>
          <w:sz w:val="19"/>
        </w:rPr>
        <w:t>down</w:t>
      </w:r>
      <w:r>
        <w:rPr>
          <w:rFonts w:ascii="Arial" w:hAnsi="Arial"/>
          <w:spacing w:val="-19"/>
          <w:w w:val="105"/>
          <w:sz w:val="19"/>
        </w:rPr>
        <w:t xml:space="preserve"> </w:t>
      </w:r>
      <w:r>
        <w:rPr>
          <w:rFonts w:ascii="Arial" w:hAnsi="Arial"/>
          <w:w w:val="105"/>
          <w:sz w:val="19"/>
        </w:rPr>
        <w:t>an ARTG</w:t>
      </w:r>
      <w:r>
        <w:rPr>
          <w:rFonts w:ascii="Arial" w:hAnsi="Arial"/>
          <w:spacing w:val="-13"/>
          <w:w w:val="105"/>
          <w:sz w:val="19"/>
        </w:rPr>
        <w:t xml:space="preserve"> </w:t>
      </w:r>
      <w:r>
        <w:rPr>
          <w:rFonts w:ascii="Arial" w:hAnsi="Arial"/>
          <w:w w:val="105"/>
          <w:sz w:val="19"/>
        </w:rPr>
        <w:t>pathway</w:t>
      </w:r>
    </w:p>
    <w:p w:rsidR="007D76BB" w:rsidRDefault="00D70D28">
      <w:pPr>
        <w:pStyle w:val="ListParagraph"/>
        <w:numPr>
          <w:ilvl w:val="1"/>
          <w:numId w:val="5"/>
        </w:numPr>
        <w:tabs>
          <w:tab w:val="left" w:pos="766"/>
        </w:tabs>
        <w:spacing w:before="74" w:line="268" w:lineRule="auto"/>
        <w:ind w:right="983"/>
        <w:rPr>
          <w:rFonts w:ascii="Arial" w:hAnsi="Arial"/>
          <w:sz w:val="19"/>
        </w:rPr>
      </w:pPr>
      <w:r>
        <w:rPr>
          <w:rFonts w:ascii="Arial" w:hAnsi="Arial"/>
          <w:w w:val="105"/>
          <w:sz w:val="19"/>
        </w:rPr>
        <w:t>a</w:t>
      </w:r>
      <w:r>
        <w:rPr>
          <w:rFonts w:ascii="Arial" w:hAnsi="Arial"/>
          <w:spacing w:val="-26"/>
          <w:w w:val="105"/>
          <w:sz w:val="19"/>
        </w:rPr>
        <w:t xml:space="preserve"> </w:t>
      </w:r>
      <w:r>
        <w:rPr>
          <w:rFonts w:ascii="Arial" w:hAnsi="Arial"/>
          <w:w w:val="105"/>
          <w:sz w:val="19"/>
        </w:rPr>
        <w:t>small</w:t>
      </w:r>
      <w:r>
        <w:rPr>
          <w:rFonts w:ascii="Arial" w:hAnsi="Arial"/>
          <w:spacing w:val="-25"/>
          <w:w w:val="105"/>
          <w:sz w:val="19"/>
        </w:rPr>
        <w:t xml:space="preserve"> </w:t>
      </w:r>
      <w:r>
        <w:rPr>
          <w:rFonts w:ascii="Arial" w:hAnsi="Arial"/>
          <w:w w:val="105"/>
          <w:sz w:val="19"/>
        </w:rPr>
        <w:t>percentage</w:t>
      </w:r>
      <w:r>
        <w:rPr>
          <w:rFonts w:ascii="Arial" w:hAnsi="Arial"/>
          <w:spacing w:val="-26"/>
          <w:w w:val="105"/>
          <w:sz w:val="19"/>
        </w:rPr>
        <w:t xml:space="preserve"> </w:t>
      </w:r>
      <w:r>
        <w:rPr>
          <w:rFonts w:ascii="Arial" w:hAnsi="Arial"/>
          <w:w w:val="105"/>
          <w:sz w:val="19"/>
        </w:rPr>
        <w:t>of</w:t>
      </w:r>
      <w:r>
        <w:rPr>
          <w:rFonts w:ascii="Arial" w:hAnsi="Arial"/>
          <w:spacing w:val="-27"/>
          <w:w w:val="105"/>
          <w:sz w:val="19"/>
        </w:rPr>
        <w:t xml:space="preserve"> </w:t>
      </w:r>
      <w:r>
        <w:rPr>
          <w:rFonts w:ascii="Arial" w:hAnsi="Arial"/>
          <w:w w:val="105"/>
          <w:sz w:val="19"/>
        </w:rPr>
        <w:t>products</w:t>
      </w:r>
      <w:r>
        <w:rPr>
          <w:rFonts w:ascii="Arial" w:hAnsi="Arial"/>
          <w:spacing w:val="-26"/>
          <w:w w:val="105"/>
          <w:sz w:val="19"/>
        </w:rPr>
        <w:t xml:space="preserve"> </w:t>
      </w:r>
      <w:r>
        <w:rPr>
          <w:rFonts w:ascii="Arial" w:hAnsi="Arial"/>
          <w:w w:val="105"/>
          <w:sz w:val="19"/>
        </w:rPr>
        <w:t>in</w:t>
      </w:r>
      <w:r>
        <w:rPr>
          <w:rFonts w:ascii="Arial" w:hAnsi="Arial"/>
          <w:spacing w:val="-26"/>
          <w:w w:val="105"/>
          <w:sz w:val="19"/>
        </w:rPr>
        <w:t xml:space="preserve"> </w:t>
      </w:r>
      <w:r>
        <w:rPr>
          <w:rFonts w:ascii="Arial" w:hAnsi="Arial"/>
          <w:w w:val="105"/>
          <w:sz w:val="19"/>
        </w:rPr>
        <w:t>the</w:t>
      </w:r>
      <w:r>
        <w:rPr>
          <w:rFonts w:ascii="Arial" w:hAnsi="Arial"/>
          <w:spacing w:val="-27"/>
          <w:w w:val="105"/>
          <w:sz w:val="19"/>
        </w:rPr>
        <w:t xml:space="preserve"> </w:t>
      </w:r>
      <w:r>
        <w:rPr>
          <w:rFonts w:ascii="Arial" w:hAnsi="Arial"/>
          <w:w w:val="105"/>
          <w:sz w:val="19"/>
        </w:rPr>
        <w:t>calculated</w:t>
      </w:r>
      <w:r>
        <w:rPr>
          <w:rFonts w:ascii="Arial" w:hAnsi="Arial"/>
          <w:spacing w:val="-27"/>
          <w:w w:val="105"/>
          <w:sz w:val="19"/>
        </w:rPr>
        <w:t xml:space="preserve"> </w:t>
      </w:r>
      <w:r>
        <w:rPr>
          <w:rFonts w:ascii="Arial" w:hAnsi="Arial"/>
          <w:w w:val="105"/>
          <w:sz w:val="19"/>
        </w:rPr>
        <w:t>populations</w:t>
      </w:r>
      <w:r>
        <w:rPr>
          <w:rFonts w:ascii="Arial" w:hAnsi="Arial"/>
          <w:spacing w:val="-25"/>
          <w:w w:val="105"/>
          <w:sz w:val="19"/>
        </w:rPr>
        <w:t xml:space="preserve"> </w:t>
      </w:r>
      <w:r>
        <w:rPr>
          <w:rFonts w:ascii="Arial" w:hAnsi="Arial"/>
          <w:w w:val="105"/>
          <w:sz w:val="19"/>
        </w:rPr>
        <w:t>are</w:t>
      </w:r>
      <w:r>
        <w:rPr>
          <w:rFonts w:ascii="Arial" w:hAnsi="Arial"/>
          <w:spacing w:val="-26"/>
          <w:w w:val="105"/>
          <w:sz w:val="19"/>
        </w:rPr>
        <w:t xml:space="preserve"> </w:t>
      </w:r>
      <w:r>
        <w:rPr>
          <w:rFonts w:ascii="Arial" w:hAnsi="Arial"/>
          <w:w w:val="105"/>
          <w:sz w:val="19"/>
        </w:rPr>
        <w:t>already</w:t>
      </w:r>
      <w:r>
        <w:rPr>
          <w:rFonts w:ascii="Arial" w:hAnsi="Arial"/>
          <w:spacing w:val="-28"/>
          <w:w w:val="105"/>
          <w:sz w:val="19"/>
        </w:rPr>
        <w:t xml:space="preserve"> </w:t>
      </w:r>
      <w:r>
        <w:rPr>
          <w:rFonts w:ascii="Arial" w:hAnsi="Arial"/>
          <w:w w:val="105"/>
          <w:sz w:val="19"/>
        </w:rPr>
        <w:t>listed</w:t>
      </w:r>
      <w:r>
        <w:rPr>
          <w:rFonts w:ascii="Arial" w:hAnsi="Arial"/>
          <w:spacing w:val="-25"/>
          <w:w w:val="105"/>
          <w:sz w:val="19"/>
        </w:rPr>
        <w:t xml:space="preserve"> </w:t>
      </w:r>
      <w:r>
        <w:rPr>
          <w:rFonts w:ascii="Arial" w:hAnsi="Arial"/>
          <w:w w:val="105"/>
          <w:sz w:val="19"/>
        </w:rPr>
        <w:t>in</w:t>
      </w:r>
      <w:r>
        <w:rPr>
          <w:rFonts w:ascii="Arial" w:hAnsi="Arial"/>
          <w:spacing w:val="-27"/>
          <w:w w:val="105"/>
          <w:sz w:val="19"/>
        </w:rPr>
        <w:t xml:space="preserve"> </w:t>
      </w:r>
      <w:r>
        <w:rPr>
          <w:rFonts w:ascii="Arial" w:hAnsi="Arial"/>
          <w:w w:val="105"/>
          <w:sz w:val="19"/>
        </w:rPr>
        <w:t>the</w:t>
      </w:r>
      <w:r>
        <w:rPr>
          <w:rFonts w:ascii="Arial" w:hAnsi="Arial"/>
          <w:spacing w:val="-27"/>
          <w:w w:val="105"/>
          <w:sz w:val="19"/>
        </w:rPr>
        <w:t xml:space="preserve"> </w:t>
      </w:r>
      <w:r>
        <w:rPr>
          <w:rFonts w:ascii="Arial" w:hAnsi="Arial"/>
          <w:w w:val="105"/>
          <w:sz w:val="19"/>
        </w:rPr>
        <w:t>ARTG</w:t>
      </w:r>
      <w:r>
        <w:rPr>
          <w:rFonts w:ascii="Arial" w:hAnsi="Arial"/>
          <w:spacing w:val="-26"/>
          <w:w w:val="105"/>
          <w:sz w:val="19"/>
        </w:rPr>
        <w:t xml:space="preserve"> </w:t>
      </w:r>
      <w:r>
        <w:rPr>
          <w:rFonts w:ascii="Arial" w:hAnsi="Arial"/>
          <w:w w:val="105"/>
          <w:sz w:val="19"/>
        </w:rPr>
        <w:t>(and therefore</w:t>
      </w:r>
      <w:r>
        <w:rPr>
          <w:rFonts w:ascii="Arial" w:hAnsi="Arial"/>
          <w:spacing w:val="-14"/>
          <w:w w:val="105"/>
          <w:sz w:val="19"/>
        </w:rPr>
        <w:t xml:space="preserve"> </w:t>
      </w:r>
      <w:r>
        <w:rPr>
          <w:rFonts w:ascii="Arial" w:hAnsi="Arial"/>
          <w:w w:val="105"/>
          <w:sz w:val="19"/>
        </w:rPr>
        <w:t>no</w:t>
      </w:r>
      <w:r>
        <w:rPr>
          <w:rFonts w:ascii="Arial" w:hAnsi="Arial"/>
          <w:spacing w:val="-12"/>
          <w:w w:val="105"/>
          <w:sz w:val="19"/>
        </w:rPr>
        <w:t xml:space="preserve"> </w:t>
      </w:r>
      <w:r>
        <w:rPr>
          <w:rFonts w:ascii="Arial" w:hAnsi="Arial"/>
          <w:w w:val="105"/>
          <w:sz w:val="19"/>
        </w:rPr>
        <w:t>action</w:t>
      </w:r>
      <w:r>
        <w:rPr>
          <w:rFonts w:ascii="Arial" w:hAnsi="Arial"/>
          <w:spacing w:val="-13"/>
          <w:w w:val="105"/>
          <w:sz w:val="19"/>
        </w:rPr>
        <w:t xml:space="preserve"> </w:t>
      </w:r>
      <w:r>
        <w:rPr>
          <w:rFonts w:ascii="Arial" w:hAnsi="Arial"/>
          <w:w w:val="105"/>
          <w:sz w:val="19"/>
        </w:rPr>
        <w:t>is</w:t>
      </w:r>
      <w:r>
        <w:rPr>
          <w:rFonts w:ascii="Arial" w:hAnsi="Arial"/>
          <w:spacing w:val="-12"/>
          <w:w w:val="105"/>
          <w:sz w:val="19"/>
        </w:rPr>
        <w:t xml:space="preserve"> </w:t>
      </w:r>
      <w:r>
        <w:rPr>
          <w:rFonts w:ascii="Arial" w:hAnsi="Arial"/>
          <w:w w:val="105"/>
          <w:sz w:val="19"/>
        </w:rPr>
        <w:t>required</w:t>
      </w:r>
      <w:r>
        <w:rPr>
          <w:rFonts w:ascii="Arial" w:hAnsi="Arial"/>
          <w:spacing w:val="-13"/>
          <w:w w:val="105"/>
          <w:sz w:val="19"/>
        </w:rPr>
        <w:t xml:space="preserve"> </w:t>
      </w:r>
      <w:r>
        <w:rPr>
          <w:rFonts w:ascii="Arial" w:hAnsi="Arial"/>
          <w:w w:val="105"/>
          <w:sz w:val="19"/>
        </w:rPr>
        <w:t>in</w:t>
      </w:r>
      <w:r>
        <w:rPr>
          <w:rFonts w:ascii="Arial" w:hAnsi="Arial"/>
          <w:spacing w:val="-11"/>
          <w:w w:val="105"/>
          <w:sz w:val="19"/>
        </w:rPr>
        <w:t xml:space="preserve"> </w:t>
      </w:r>
      <w:r>
        <w:rPr>
          <w:rFonts w:ascii="Arial" w:hAnsi="Arial"/>
          <w:w w:val="105"/>
          <w:sz w:val="19"/>
        </w:rPr>
        <w:t>relation</w:t>
      </w:r>
      <w:r>
        <w:rPr>
          <w:rFonts w:ascii="Arial" w:hAnsi="Arial"/>
          <w:spacing w:val="-13"/>
          <w:w w:val="105"/>
          <w:sz w:val="19"/>
        </w:rPr>
        <w:t xml:space="preserve"> </w:t>
      </w:r>
      <w:r>
        <w:rPr>
          <w:rFonts w:ascii="Arial" w:hAnsi="Arial"/>
          <w:w w:val="105"/>
          <w:sz w:val="19"/>
        </w:rPr>
        <w:t>to</w:t>
      </w:r>
      <w:r>
        <w:rPr>
          <w:rFonts w:ascii="Arial" w:hAnsi="Arial"/>
          <w:spacing w:val="-12"/>
          <w:w w:val="105"/>
          <w:sz w:val="19"/>
        </w:rPr>
        <w:t xml:space="preserve"> </w:t>
      </w:r>
      <w:r>
        <w:rPr>
          <w:rFonts w:ascii="Arial" w:hAnsi="Arial"/>
          <w:w w:val="105"/>
          <w:sz w:val="19"/>
        </w:rPr>
        <w:t>the</w:t>
      </w:r>
      <w:r>
        <w:rPr>
          <w:rFonts w:ascii="Arial" w:hAnsi="Arial"/>
          <w:spacing w:val="-14"/>
          <w:w w:val="105"/>
          <w:sz w:val="19"/>
        </w:rPr>
        <w:t xml:space="preserve"> </w:t>
      </w:r>
      <w:r>
        <w:rPr>
          <w:rFonts w:ascii="Arial" w:hAnsi="Arial"/>
          <w:w w:val="105"/>
          <w:sz w:val="19"/>
        </w:rPr>
        <w:t>proposed</w:t>
      </w:r>
      <w:r>
        <w:rPr>
          <w:rFonts w:ascii="Arial" w:hAnsi="Arial"/>
          <w:spacing w:val="-13"/>
          <w:w w:val="105"/>
          <w:sz w:val="19"/>
        </w:rPr>
        <w:t xml:space="preserve"> </w:t>
      </w:r>
      <w:r>
        <w:rPr>
          <w:rFonts w:ascii="Arial" w:hAnsi="Arial"/>
          <w:w w:val="105"/>
          <w:sz w:val="19"/>
        </w:rPr>
        <w:t>regulatory</w:t>
      </w:r>
      <w:r>
        <w:rPr>
          <w:rFonts w:ascii="Arial" w:hAnsi="Arial"/>
          <w:spacing w:val="-13"/>
          <w:w w:val="105"/>
          <w:sz w:val="19"/>
        </w:rPr>
        <w:t xml:space="preserve"> </w:t>
      </w:r>
      <w:r>
        <w:rPr>
          <w:rFonts w:ascii="Arial" w:hAnsi="Arial"/>
          <w:w w:val="105"/>
          <w:sz w:val="19"/>
        </w:rPr>
        <w:t>clarification)</w:t>
      </w:r>
    </w:p>
    <w:p w:rsidR="007D76BB" w:rsidRDefault="00D70D28">
      <w:pPr>
        <w:pStyle w:val="ListParagraph"/>
        <w:numPr>
          <w:ilvl w:val="1"/>
          <w:numId w:val="5"/>
        </w:numPr>
        <w:tabs>
          <w:tab w:val="left" w:pos="766"/>
        </w:tabs>
        <w:spacing w:before="74"/>
        <w:rPr>
          <w:rFonts w:ascii="Arial" w:hAnsi="Arial"/>
          <w:sz w:val="19"/>
        </w:rPr>
      </w:pPr>
      <w:proofErr w:type="gramStart"/>
      <w:r>
        <w:rPr>
          <w:rFonts w:ascii="Arial" w:hAnsi="Arial"/>
          <w:w w:val="105"/>
          <w:sz w:val="19"/>
        </w:rPr>
        <w:t>capsule</w:t>
      </w:r>
      <w:proofErr w:type="gramEnd"/>
      <w:r>
        <w:rPr>
          <w:rFonts w:ascii="Arial" w:hAnsi="Arial"/>
          <w:spacing w:val="-16"/>
          <w:w w:val="105"/>
          <w:sz w:val="19"/>
        </w:rPr>
        <w:t xml:space="preserve"> </w:t>
      </w:r>
      <w:r>
        <w:rPr>
          <w:rFonts w:ascii="Arial" w:hAnsi="Arial"/>
          <w:w w:val="105"/>
          <w:sz w:val="19"/>
        </w:rPr>
        <w:t>products</w:t>
      </w:r>
      <w:r>
        <w:rPr>
          <w:rFonts w:ascii="Arial" w:hAnsi="Arial"/>
          <w:spacing w:val="-15"/>
          <w:w w:val="105"/>
          <w:sz w:val="19"/>
        </w:rPr>
        <w:t xml:space="preserve"> </w:t>
      </w:r>
      <w:r>
        <w:rPr>
          <w:rFonts w:ascii="Arial" w:hAnsi="Arial"/>
          <w:w w:val="105"/>
          <w:sz w:val="19"/>
        </w:rPr>
        <w:t>are</w:t>
      </w:r>
      <w:r>
        <w:rPr>
          <w:rFonts w:ascii="Arial" w:hAnsi="Arial"/>
          <w:spacing w:val="-15"/>
          <w:w w:val="105"/>
          <w:sz w:val="19"/>
        </w:rPr>
        <w:t xml:space="preserve"> </w:t>
      </w:r>
      <w:r>
        <w:rPr>
          <w:rFonts w:ascii="Arial" w:hAnsi="Arial"/>
          <w:w w:val="105"/>
          <w:sz w:val="19"/>
        </w:rPr>
        <w:t>more</w:t>
      </w:r>
      <w:r>
        <w:rPr>
          <w:rFonts w:ascii="Arial" w:hAnsi="Arial"/>
          <w:spacing w:val="-14"/>
          <w:w w:val="105"/>
          <w:sz w:val="19"/>
        </w:rPr>
        <w:t xml:space="preserve"> </w:t>
      </w:r>
      <w:r>
        <w:rPr>
          <w:rFonts w:ascii="Arial" w:hAnsi="Arial"/>
          <w:w w:val="105"/>
          <w:sz w:val="19"/>
        </w:rPr>
        <w:t>likely</w:t>
      </w:r>
      <w:r>
        <w:rPr>
          <w:rFonts w:ascii="Arial" w:hAnsi="Arial"/>
          <w:spacing w:val="-15"/>
          <w:w w:val="105"/>
          <w:sz w:val="19"/>
        </w:rPr>
        <w:t xml:space="preserve"> </w:t>
      </w:r>
      <w:r>
        <w:rPr>
          <w:rFonts w:ascii="Arial" w:hAnsi="Arial"/>
          <w:w w:val="105"/>
          <w:sz w:val="19"/>
        </w:rPr>
        <w:t>to</w:t>
      </w:r>
      <w:r>
        <w:rPr>
          <w:rFonts w:ascii="Arial" w:hAnsi="Arial"/>
          <w:spacing w:val="-17"/>
          <w:w w:val="105"/>
          <w:sz w:val="19"/>
        </w:rPr>
        <w:t xml:space="preserve"> </w:t>
      </w:r>
      <w:r>
        <w:rPr>
          <w:rFonts w:ascii="Arial" w:hAnsi="Arial"/>
          <w:w w:val="105"/>
          <w:sz w:val="19"/>
        </w:rPr>
        <w:t>be</w:t>
      </w:r>
      <w:r>
        <w:rPr>
          <w:rFonts w:ascii="Arial" w:hAnsi="Arial"/>
          <w:spacing w:val="-14"/>
          <w:w w:val="105"/>
          <w:sz w:val="19"/>
        </w:rPr>
        <w:t xml:space="preserve"> </w:t>
      </w:r>
      <w:r>
        <w:rPr>
          <w:rFonts w:ascii="Arial" w:hAnsi="Arial"/>
          <w:w w:val="105"/>
          <w:sz w:val="19"/>
        </w:rPr>
        <w:t>already</w:t>
      </w:r>
      <w:r>
        <w:rPr>
          <w:rFonts w:ascii="Arial" w:hAnsi="Arial"/>
          <w:spacing w:val="-15"/>
          <w:w w:val="105"/>
          <w:sz w:val="19"/>
        </w:rPr>
        <w:t xml:space="preserve"> </w:t>
      </w:r>
      <w:r>
        <w:rPr>
          <w:rFonts w:ascii="Arial" w:hAnsi="Arial"/>
          <w:w w:val="105"/>
          <w:sz w:val="19"/>
        </w:rPr>
        <w:t>listed</w:t>
      </w:r>
      <w:r>
        <w:rPr>
          <w:rFonts w:ascii="Arial" w:hAnsi="Arial"/>
          <w:spacing w:val="-10"/>
          <w:w w:val="105"/>
          <w:sz w:val="19"/>
        </w:rPr>
        <w:t xml:space="preserve"> </w:t>
      </w:r>
      <w:r>
        <w:rPr>
          <w:rFonts w:ascii="Arial" w:hAnsi="Arial"/>
          <w:w w:val="105"/>
          <w:sz w:val="19"/>
        </w:rPr>
        <w:t>in</w:t>
      </w:r>
      <w:r>
        <w:rPr>
          <w:rFonts w:ascii="Arial" w:hAnsi="Arial"/>
          <w:spacing w:val="-14"/>
          <w:w w:val="105"/>
          <w:sz w:val="19"/>
        </w:rPr>
        <w:t xml:space="preserve"> </w:t>
      </w:r>
      <w:r>
        <w:rPr>
          <w:rFonts w:ascii="Arial" w:hAnsi="Arial"/>
          <w:w w:val="105"/>
          <w:sz w:val="19"/>
        </w:rPr>
        <w:t>the</w:t>
      </w:r>
      <w:r>
        <w:rPr>
          <w:rFonts w:ascii="Arial" w:hAnsi="Arial"/>
          <w:spacing w:val="-15"/>
          <w:w w:val="105"/>
          <w:sz w:val="19"/>
        </w:rPr>
        <w:t xml:space="preserve"> </w:t>
      </w:r>
      <w:r>
        <w:rPr>
          <w:rFonts w:ascii="Arial" w:hAnsi="Arial"/>
          <w:w w:val="105"/>
          <w:sz w:val="19"/>
        </w:rPr>
        <w:t>ARTG</w:t>
      </w:r>
      <w:r>
        <w:rPr>
          <w:rFonts w:ascii="Arial" w:hAnsi="Arial"/>
          <w:spacing w:val="-17"/>
          <w:w w:val="105"/>
          <w:sz w:val="19"/>
        </w:rPr>
        <w:t xml:space="preserve"> </w:t>
      </w:r>
      <w:r>
        <w:rPr>
          <w:rFonts w:ascii="Arial" w:hAnsi="Arial"/>
          <w:w w:val="105"/>
          <w:sz w:val="19"/>
        </w:rPr>
        <w:t>than</w:t>
      </w:r>
      <w:r>
        <w:rPr>
          <w:rFonts w:ascii="Arial" w:hAnsi="Arial"/>
          <w:spacing w:val="-16"/>
          <w:w w:val="105"/>
          <w:sz w:val="19"/>
        </w:rPr>
        <w:t xml:space="preserve"> </w:t>
      </w:r>
      <w:r>
        <w:rPr>
          <w:rFonts w:ascii="Arial" w:hAnsi="Arial"/>
          <w:w w:val="105"/>
          <w:sz w:val="19"/>
        </w:rPr>
        <w:t>powder</w:t>
      </w:r>
      <w:r>
        <w:rPr>
          <w:rFonts w:ascii="Arial" w:hAnsi="Arial"/>
          <w:spacing w:val="-17"/>
          <w:w w:val="105"/>
          <w:sz w:val="19"/>
        </w:rPr>
        <w:t xml:space="preserve"> </w:t>
      </w:r>
      <w:r>
        <w:rPr>
          <w:rFonts w:ascii="Arial" w:hAnsi="Arial"/>
          <w:w w:val="105"/>
          <w:sz w:val="19"/>
        </w:rPr>
        <w:t>products.</w:t>
      </w:r>
    </w:p>
    <w:p w:rsidR="007D76BB" w:rsidRDefault="007D76BB">
      <w:pPr>
        <w:pStyle w:val="BodyText"/>
        <w:spacing w:before="9"/>
        <w:rPr>
          <w:rFonts w:ascii="Arial"/>
        </w:rPr>
      </w:pPr>
    </w:p>
    <w:p w:rsidR="007D76BB" w:rsidRDefault="00D70D28">
      <w:pPr>
        <w:ind w:left="482"/>
        <w:rPr>
          <w:rFonts w:ascii="Arial"/>
          <w:sz w:val="11"/>
        </w:rPr>
      </w:pPr>
      <w:r>
        <w:rPr>
          <w:rFonts w:ascii="Arial"/>
          <w:color w:val="005386"/>
          <w:w w:val="105"/>
          <w:sz w:val="19"/>
        </w:rPr>
        <w:t>Table 6. Reformulation pathway</w:t>
      </w:r>
      <w:r>
        <w:rPr>
          <w:rFonts w:ascii="Arial"/>
          <w:color w:val="005386"/>
          <w:w w:val="105"/>
          <w:position w:val="7"/>
          <w:sz w:val="11"/>
        </w:rPr>
        <w:t>39</w:t>
      </w:r>
    </w:p>
    <w:p w:rsidR="007D76BB" w:rsidRDefault="007D76BB">
      <w:pPr>
        <w:pStyle w:val="BodyText"/>
        <w:spacing w:before="3" w:after="1"/>
        <w:rPr>
          <w:rFonts w:ascii="Arial"/>
          <w:sz w:val="16"/>
        </w:rPr>
      </w:pPr>
    </w:p>
    <w:tbl>
      <w:tblPr>
        <w:tblW w:w="0" w:type="auto"/>
        <w:tblInd w:w="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8"/>
        <w:gridCol w:w="2002"/>
        <w:gridCol w:w="1483"/>
        <w:gridCol w:w="1735"/>
        <w:gridCol w:w="654"/>
      </w:tblGrid>
      <w:tr w:rsidR="007D76BB">
        <w:trPr>
          <w:trHeight w:val="479"/>
        </w:trPr>
        <w:tc>
          <w:tcPr>
            <w:tcW w:w="1598" w:type="dxa"/>
            <w:tcBorders>
              <w:top w:val="nil"/>
              <w:left w:val="nil"/>
            </w:tcBorders>
          </w:tcPr>
          <w:p w:rsidR="007D76BB" w:rsidRDefault="007D76BB">
            <w:pPr>
              <w:pStyle w:val="TableParagraph"/>
              <w:rPr>
                <w:rFonts w:ascii="Times New Roman"/>
                <w:sz w:val="14"/>
              </w:rPr>
            </w:pPr>
          </w:p>
        </w:tc>
        <w:tc>
          <w:tcPr>
            <w:tcW w:w="2002" w:type="dxa"/>
            <w:shd w:val="clear" w:color="auto" w:fill="005386"/>
          </w:tcPr>
          <w:p w:rsidR="007D76BB" w:rsidRDefault="00D70D28">
            <w:pPr>
              <w:pStyle w:val="TableParagraph"/>
              <w:spacing w:before="13"/>
              <w:ind w:right="153"/>
              <w:jc w:val="right"/>
              <w:rPr>
                <w:rFonts w:ascii="Arial"/>
                <w:sz w:val="19"/>
              </w:rPr>
            </w:pPr>
            <w:r>
              <w:rPr>
                <w:rFonts w:ascii="Arial"/>
                <w:color w:val="FFFFFF"/>
                <w:w w:val="105"/>
                <w:sz w:val="19"/>
              </w:rPr>
              <w:t>Fat Burner Products</w:t>
            </w:r>
          </w:p>
        </w:tc>
        <w:tc>
          <w:tcPr>
            <w:tcW w:w="1483" w:type="dxa"/>
            <w:shd w:val="clear" w:color="auto" w:fill="005386"/>
          </w:tcPr>
          <w:p w:rsidR="007D76BB" w:rsidRDefault="00D70D28">
            <w:pPr>
              <w:pStyle w:val="TableParagraph"/>
              <w:spacing w:line="240" w:lineRule="exact"/>
              <w:ind w:left="105"/>
              <w:rPr>
                <w:rFonts w:ascii="Arial"/>
                <w:sz w:val="19"/>
              </w:rPr>
            </w:pPr>
            <w:r>
              <w:rPr>
                <w:rFonts w:ascii="Arial"/>
                <w:color w:val="FFFFFF"/>
                <w:w w:val="105"/>
                <w:sz w:val="19"/>
              </w:rPr>
              <w:t>Post-Workout Products</w:t>
            </w:r>
          </w:p>
        </w:tc>
        <w:tc>
          <w:tcPr>
            <w:tcW w:w="1735" w:type="dxa"/>
            <w:shd w:val="clear" w:color="auto" w:fill="005386"/>
          </w:tcPr>
          <w:p w:rsidR="007D76BB" w:rsidRDefault="00D70D28">
            <w:pPr>
              <w:pStyle w:val="TableParagraph"/>
              <w:spacing w:line="240" w:lineRule="exact"/>
              <w:ind w:left="108"/>
              <w:rPr>
                <w:rFonts w:ascii="Arial"/>
                <w:sz w:val="19"/>
              </w:rPr>
            </w:pPr>
            <w:r>
              <w:rPr>
                <w:rFonts w:ascii="Arial"/>
                <w:color w:val="FFFFFF"/>
                <w:w w:val="105"/>
                <w:sz w:val="19"/>
              </w:rPr>
              <w:t>Pre-Workout Products</w:t>
            </w:r>
          </w:p>
        </w:tc>
        <w:tc>
          <w:tcPr>
            <w:tcW w:w="654" w:type="dxa"/>
            <w:shd w:val="clear" w:color="auto" w:fill="005386"/>
          </w:tcPr>
          <w:p w:rsidR="007D76BB" w:rsidRDefault="00D70D28">
            <w:pPr>
              <w:pStyle w:val="TableParagraph"/>
              <w:spacing w:before="13"/>
              <w:ind w:right="94"/>
              <w:jc w:val="right"/>
              <w:rPr>
                <w:rFonts w:ascii="Arial"/>
                <w:sz w:val="19"/>
              </w:rPr>
            </w:pPr>
            <w:r>
              <w:rPr>
                <w:rFonts w:ascii="Arial"/>
                <w:color w:val="FFFFFF"/>
                <w:w w:val="105"/>
                <w:sz w:val="19"/>
              </w:rPr>
              <w:t>Total</w:t>
            </w:r>
          </w:p>
        </w:tc>
      </w:tr>
      <w:tr w:rsidR="007D76BB">
        <w:trPr>
          <w:trHeight w:val="241"/>
        </w:trPr>
        <w:tc>
          <w:tcPr>
            <w:tcW w:w="1598" w:type="dxa"/>
            <w:tcBorders>
              <w:left w:val="nil"/>
            </w:tcBorders>
          </w:tcPr>
          <w:p w:rsidR="007D76BB" w:rsidRDefault="00D70D28">
            <w:pPr>
              <w:pStyle w:val="TableParagraph"/>
              <w:spacing w:before="13" w:line="208" w:lineRule="exact"/>
              <w:ind w:left="127"/>
              <w:rPr>
                <w:rFonts w:ascii="Arial"/>
                <w:sz w:val="11"/>
              </w:rPr>
            </w:pPr>
            <w:r>
              <w:rPr>
                <w:rFonts w:ascii="Arial"/>
                <w:w w:val="105"/>
                <w:sz w:val="19"/>
              </w:rPr>
              <w:t>Powders +</w:t>
            </w:r>
            <w:r>
              <w:rPr>
                <w:rFonts w:ascii="Arial"/>
                <w:w w:val="105"/>
                <w:position w:val="7"/>
                <w:sz w:val="11"/>
              </w:rPr>
              <w:t>40</w:t>
            </w:r>
          </w:p>
        </w:tc>
        <w:tc>
          <w:tcPr>
            <w:tcW w:w="2002" w:type="dxa"/>
          </w:tcPr>
          <w:p w:rsidR="007D76BB" w:rsidRDefault="00D70D28">
            <w:pPr>
              <w:pStyle w:val="TableParagraph"/>
              <w:spacing w:before="13" w:line="208" w:lineRule="exact"/>
              <w:ind w:right="97"/>
              <w:jc w:val="right"/>
              <w:rPr>
                <w:rFonts w:ascii="Arial"/>
                <w:sz w:val="19"/>
              </w:rPr>
            </w:pPr>
            <w:r>
              <w:rPr>
                <w:rFonts w:ascii="Arial"/>
                <w:w w:val="105"/>
                <w:sz w:val="19"/>
              </w:rPr>
              <w:t>225 (10%</w:t>
            </w:r>
            <w:r>
              <w:rPr>
                <w:rFonts w:ascii="Arial"/>
                <w:w w:val="105"/>
                <w:position w:val="7"/>
                <w:sz w:val="11"/>
              </w:rPr>
              <w:t>41</w:t>
            </w:r>
            <w:r>
              <w:rPr>
                <w:rFonts w:ascii="Arial"/>
                <w:w w:val="105"/>
                <w:sz w:val="19"/>
              </w:rPr>
              <w:t>) = 23</w:t>
            </w:r>
          </w:p>
        </w:tc>
        <w:tc>
          <w:tcPr>
            <w:tcW w:w="1483" w:type="dxa"/>
          </w:tcPr>
          <w:p w:rsidR="007D76BB" w:rsidRDefault="00D70D28">
            <w:pPr>
              <w:pStyle w:val="TableParagraph"/>
              <w:spacing w:before="13" w:line="208" w:lineRule="exact"/>
              <w:ind w:right="97"/>
              <w:jc w:val="right"/>
              <w:rPr>
                <w:rFonts w:ascii="Arial"/>
                <w:sz w:val="19"/>
              </w:rPr>
            </w:pPr>
            <w:r>
              <w:rPr>
                <w:rFonts w:ascii="Arial"/>
                <w:w w:val="105"/>
                <w:sz w:val="19"/>
              </w:rPr>
              <w:t>160 (5%</w:t>
            </w:r>
            <w:r>
              <w:rPr>
                <w:rFonts w:ascii="Arial"/>
                <w:w w:val="105"/>
                <w:position w:val="7"/>
                <w:sz w:val="11"/>
              </w:rPr>
              <w:t>42</w:t>
            </w:r>
            <w:r>
              <w:rPr>
                <w:rFonts w:ascii="Arial"/>
                <w:w w:val="105"/>
                <w:sz w:val="19"/>
              </w:rPr>
              <w:t>) = 8</w:t>
            </w:r>
          </w:p>
        </w:tc>
        <w:tc>
          <w:tcPr>
            <w:tcW w:w="1735" w:type="dxa"/>
          </w:tcPr>
          <w:p w:rsidR="007D76BB" w:rsidRDefault="00D70D28">
            <w:pPr>
              <w:pStyle w:val="TableParagraph"/>
              <w:spacing w:before="13" w:line="208" w:lineRule="exact"/>
              <w:ind w:right="94"/>
              <w:jc w:val="right"/>
              <w:rPr>
                <w:rFonts w:ascii="Arial"/>
                <w:sz w:val="19"/>
              </w:rPr>
            </w:pPr>
            <w:r>
              <w:rPr>
                <w:rFonts w:ascii="Arial"/>
                <w:w w:val="105"/>
                <w:sz w:val="19"/>
              </w:rPr>
              <w:t>271 (20%</w:t>
            </w:r>
            <w:r>
              <w:rPr>
                <w:rFonts w:ascii="Arial"/>
                <w:w w:val="105"/>
                <w:position w:val="7"/>
                <w:sz w:val="11"/>
              </w:rPr>
              <w:t>43</w:t>
            </w:r>
            <w:r>
              <w:rPr>
                <w:rFonts w:ascii="Arial"/>
                <w:w w:val="105"/>
                <w:sz w:val="19"/>
              </w:rPr>
              <w:t>) = 54</w:t>
            </w:r>
          </w:p>
        </w:tc>
        <w:tc>
          <w:tcPr>
            <w:tcW w:w="654" w:type="dxa"/>
          </w:tcPr>
          <w:p w:rsidR="007D76BB" w:rsidRDefault="00D70D28">
            <w:pPr>
              <w:pStyle w:val="TableParagraph"/>
              <w:spacing w:before="13" w:line="208" w:lineRule="exact"/>
              <w:ind w:right="95"/>
              <w:jc w:val="right"/>
              <w:rPr>
                <w:rFonts w:ascii="Arial"/>
                <w:sz w:val="19"/>
              </w:rPr>
            </w:pPr>
            <w:r>
              <w:rPr>
                <w:rFonts w:ascii="Arial"/>
                <w:w w:val="110"/>
                <w:sz w:val="19"/>
              </w:rPr>
              <w:t>85</w:t>
            </w:r>
          </w:p>
        </w:tc>
      </w:tr>
      <w:tr w:rsidR="007D76BB">
        <w:trPr>
          <w:trHeight w:val="240"/>
        </w:trPr>
        <w:tc>
          <w:tcPr>
            <w:tcW w:w="1598" w:type="dxa"/>
            <w:tcBorders>
              <w:left w:val="nil"/>
            </w:tcBorders>
          </w:tcPr>
          <w:p w:rsidR="007D76BB" w:rsidRDefault="00D70D28">
            <w:pPr>
              <w:pStyle w:val="TableParagraph"/>
              <w:spacing w:before="13" w:line="207" w:lineRule="exact"/>
              <w:ind w:left="127"/>
              <w:rPr>
                <w:rFonts w:ascii="Arial"/>
                <w:sz w:val="19"/>
              </w:rPr>
            </w:pPr>
            <w:r>
              <w:rPr>
                <w:rFonts w:ascii="Arial"/>
                <w:w w:val="110"/>
                <w:sz w:val="19"/>
              </w:rPr>
              <w:t>Capsule/tablet</w:t>
            </w:r>
          </w:p>
        </w:tc>
        <w:tc>
          <w:tcPr>
            <w:tcW w:w="2002" w:type="dxa"/>
          </w:tcPr>
          <w:p w:rsidR="007D76BB" w:rsidRDefault="00D70D28">
            <w:pPr>
              <w:pStyle w:val="TableParagraph"/>
              <w:spacing w:before="13" w:line="207" w:lineRule="exact"/>
              <w:ind w:right="98"/>
              <w:jc w:val="right"/>
              <w:rPr>
                <w:rFonts w:ascii="Arial"/>
                <w:sz w:val="19"/>
              </w:rPr>
            </w:pPr>
            <w:r>
              <w:rPr>
                <w:rFonts w:ascii="Arial"/>
                <w:sz w:val="19"/>
              </w:rPr>
              <w:t>114 (5%</w:t>
            </w:r>
            <w:r>
              <w:rPr>
                <w:rFonts w:ascii="Arial"/>
                <w:position w:val="7"/>
                <w:sz w:val="11"/>
              </w:rPr>
              <w:t>44</w:t>
            </w:r>
            <w:r>
              <w:rPr>
                <w:rFonts w:ascii="Arial"/>
                <w:sz w:val="19"/>
              </w:rPr>
              <w:t>) =6</w:t>
            </w:r>
          </w:p>
        </w:tc>
        <w:tc>
          <w:tcPr>
            <w:tcW w:w="1483" w:type="dxa"/>
          </w:tcPr>
          <w:p w:rsidR="007D76BB" w:rsidRDefault="00D70D28">
            <w:pPr>
              <w:pStyle w:val="TableParagraph"/>
              <w:spacing w:before="13" w:line="207" w:lineRule="exact"/>
              <w:ind w:right="99"/>
              <w:jc w:val="right"/>
              <w:rPr>
                <w:rFonts w:ascii="Arial"/>
                <w:sz w:val="19"/>
              </w:rPr>
            </w:pPr>
            <w:r>
              <w:rPr>
                <w:rFonts w:ascii="Arial"/>
                <w:sz w:val="19"/>
              </w:rPr>
              <w:t>9 (5%) =1</w:t>
            </w:r>
          </w:p>
        </w:tc>
        <w:tc>
          <w:tcPr>
            <w:tcW w:w="1735" w:type="dxa"/>
          </w:tcPr>
          <w:p w:rsidR="007D76BB" w:rsidRDefault="00D70D28">
            <w:pPr>
              <w:pStyle w:val="TableParagraph"/>
              <w:spacing w:before="13" w:line="207" w:lineRule="exact"/>
              <w:ind w:right="94"/>
              <w:jc w:val="right"/>
              <w:rPr>
                <w:rFonts w:ascii="Arial"/>
                <w:sz w:val="19"/>
              </w:rPr>
            </w:pPr>
            <w:r>
              <w:rPr>
                <w:rFonts w:ascii="Arial"/>
                <w:sz w:val="19"/>
              </w:rPr>
              <w:t>9 (5%)= 1</w:t>
            </w:r>
          </w:p>
        </w:tc>
        <w:tc>
          <w:tcPr>
            <w:tcW w:w="654" w:type="dxa"/>
          </w:tcPr>
          <w:p w:rsidR="007D76BB" w:rsidRDefault="00D70D28">
            <w:pPr>
              <w:pStyle w:val="TableParagraph"/>
              <w:spacing w:before="13" w:line="207" w:lineRule="exact"/>
              <w:ind w:right="92"/>
              <w:jc w:val="right"/>
              <w:rPr>
                <w:rFonts w:ascii="Arial"/>
                <w:sz w:val="19"/>
              </w:rPr>
            </w:pPr>
            <w:r>
              <w:rPr>
                <w:rFonts w:ascii="Arial"/>
                <w:w w:val="109"/>
                <w:sz w:val="19"/>
              </w:rPr>
              <w:t>8</w:t>
            </w:r>
          </w:p>
        </w:tc>
      </w:tr>
      <w:tr w:rsidR="007D76BB">
        <w:trPr>
          <w:trHeight w:val="241"/>
        </w:trPr>
        <w:tc>
          <w:tcPr>
            <w:tcW w:w="6818" w:type="dxa"/>
            <w:gridSpan w:val="4"/>
            <w:tcBorders>
              <w:left w:val="nil"/>
            </w:tcBorders>
          </w:tcPr>
          <w:p w:rsidR="007D76BB" w:rsidRDefault="00D70D28">
            <w:pPr>
              <w:pStyle w:val="TableParagraph"/>
              <w:spacing w:before="13" w:line="208" w:lineRule="exact"/>
              <w:ind w:right="95"/>
              <w:jc w:val="right"/>
              <w:rPr>
                <w:rFonts w:ascii="Arial"/>
                <w:sz w:val="19"/>
              </w:rPr>
            </w:pPr>
            <w:r>
              <w:rPr>
                <w:rFonts w:ascii="Arial"/>
                <w:w w:val="105"/>
                <w:sz w:val="19"/>
              </w:rPr>
              <w:t>Total</w:t>
            </w:r>
          </w:p>
        </w:tc>
        <w:tc>
          <w:tcPr>
            <w:tcW w:w="654" w:type="dxa"/>
            <w:shd w:val="clear" w:color="auto" w:fill="D9D9D9"/>
          </w:tcPr>
          <w:p w:rsidR="007D76BB" w:rsidRDefault="00D70D28">
            <w:pPr>
              <w:pStyle w:val="TableParagraph"/>
              <w:spacing w:before="13" w:line="208" w:lineRule="exact"/>
              <w:ind w:right="94"/>
              <w:jc w:val="right"/>
              <w:rPr>
                <w:rFonts w:ascii="Arial"/>
                <w:sz w:val="19"/>
              </w:rPr>
            </w:pPr>
            <w:r>
              <w:rPr>
                <w:rFonts w:ascii="Arial"/>
                <w:w w:val="105"/>
                <w:sz w:val="19"/>
              </w:rPr>
              <w:t>93</w:t>
            </w:r>
          </w:p>
        </w:tc>
      </w:tr>
    </w:tbl>
    <w:p w:rsidR="007D76BB" w:rsidRDefault="007D76BB">
      <w:pPr>
        <w:pStyle w:val="BodyText"/>
        <w:rPr>
          <w:rFonts w:ascii="Arial"/>
        </w:rPr>
      </w:pPr>
    </w:p>
    <w:p w:rsidR="007D76BB" w:rsidRDefault="00D70D28">
      <w:pPr>
        <w:spacing w:before="1"/>
        <w:ind w:left="482"/>
        <w:rPr>
          <w:rFonts w:ascii="Arial"/>
          <w:sz w:val="19"/>
        </w:rPr>
      </w:pPr>
      <w:r>
        <w:rPr>
          <w:rFonts w:ascii="Arial"/>
          <w:color w:val="005386"/>
          <w:sz w:val="19"/>
        </w:rPr>
        <w:t>Table 7. ARTG pathway</w:t>
      </w:r>
    </w:p>
    <w:p w:rsidR="007D76BB" w:rsidRDefault="007D76BB">
      <w:pPr>
        <w:pStyle w:val="BodyText"/>
        <w:spacing w:before="3"/>
        <w:rPr>
          <w:rFonts w:ascii="Arial"/>
          <w:sz w:val="16"/>
        </w:rPr>
      </w:pPr>
    </w:p>
    <w:tbl>
      <w:tblPr>
        <w:tblW w:w="0" w:type="auto"/>
        <w:tblInd w:w="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8"/>
        <w:gridCol w:w="2002"/>
        <w:gridCol w:w="1483"/>
        <w:gridCol w:w="1735"/>
        <w:gridCol w:w="654"/>
      </w:tblGrid>
      <w:tr w:rsidR="007D76BB">
        <w:trPr>
          <w:trHeight w:val="479"/>
        </w:trPr>
        <w:tc>
          <w:tcPr>
            <w:tcW w:w="1598" w:type="dxa"/>
            <w:tcBorders>
              <w:top w:val="nil"/>
              <w:left w:val="nil"/>
            </w:tcBorders>
          </w:tcPr>
          <w:p w:rsidR="007D76BB" w:rsidRDefault="007D76BB">
            <w:pPr>
              <w:pStyle w:val="TableParagraph"/>
              <w:rPr>
                <w:rFonts w:ascii="Times New Roman"/>
                <w:sz w:val="14"/>
              </w:rPr>
            </w:pPr>
          </w:p>
        </w:tc>
        <w:tc>
          <w:tcPr>
            <w:tcW w:w="2002" w:type="dxa"/>
            <w:shd w:val="clear" w:color="auto" w:fill="005386"/>
          </w:tcPr>
          <w:p w:rsidR="007D76BB" w:rsidRDefault="00D70D28">
            <w:pPr>
              <w:pStyle w:val="TableParagraph"/>
              <w:spacing w:before="13"/>
              <w:ind w:right="153"/>
              <w:jc w:val="right"/>
              <w:rPr>
                <w:rFonts w:ascii="Arial"/>
                <w:sz w:val="19"/>
              </w:rPr>
            </w:pPr>
            <w:r>
              <w:rPr>
                <w:rFonts w:ascii="Arial"/>
                <w:color w:val="FFFFFF"/>
                <w:w w:val="105"/>
                <w:sz w:val="19"/>
              </w:rPr>
              <w:t>Fat Burner Products</w:t>
            </w:r>
          </w:p>
        </w:tc>
        <w:tc>
          <w:tcPr>
            <w:tcW w:w="1483" w:type="dxa"/>
            <w:shd w:val="clear" w:color="auto" w:fill="005386"/>
          </w:tcPr>
          <w:p w:rsidR="007D76BB" w:rsidRDefault="00D70D28">
            <w:pPr>
              <w:pStyle w:val="TableParagraph"/>
              <w:spacing w:before="13"/>
              <w:ind w:left="105"/>
              <w:rPr>
                <w:rFonts w:ascii="Arial"/>
                <w:sz w:val="19"/>
              </w:rPr>
            </w:pPr>
            <w:r>
              <w:rPr>
                <w:rFonts w:ascii="Arial"/>
                <w:color w:val="FFFFFF"/>
                <w:w w:val="105"/>
                <w:sz w:val="19"/>
              </w:rPr>
              <w:t>Post-Workout</w:t>
            </w:r>
          </w:p>
          <w:p w:rsidR="007D76BB" w:rsidRDefault="00D70D28">
            <w:pPr>
              <w:pStyle w:val="TableParagraph"/>
              <w:spacing w:before="22" w:line="206" w:lineRule="exact"/>
              <w:ind w:left="105"/>
              <w:rPr>
                <w:rFonts w:ascii="Arial"/>
                <w:sz w:val="19"/>
              </w:rPr>
            </w:pPr>
            <w:r>
              <w:rPr>
                <w:rFonts w:ascii="Arial"/>
                <w:color w:val="FFFFFF"/>
                <w:w w:val="105"/>
                <w:sz w:val="19"/>
              </w:rPr>
              <w:t>Products</w:t>
            </w:r>
          </w:p>
        </w:tc>
        <w:tc>
          <w:tcPr>
            <w:tcW w:w="1735" w:type="dxa"/>
            <w:shd w:val="clear" w:color="auto" w:fill="005386"/>
          </w:tcPr>
          <w:p w:rsidR="007D76BB" w:rsidRDefault="00D70D28">
            <w:pPr>
              <w:pStyle w:val="TableParagraph"/>
              <w:spacing w:before="13"/>
              <w:ind w:left="108"/>
              <w:rPr>
                <w:rFonts w:ascii="Arial"/>
                <w:sz w:val="19"/>
              </w:rPr>
            </w:pPr>
            <w:r>
              <w:rPr>
                <w:rFonts w:ascii="Arial"/>
                <w:color w:val="FFFFFF"/>
                <w:w w:val="105"/>
                <w:sz w:val="19"/>
              </w:rPr>
              <w:t>Pre-Workout</w:t>
            </w:r>
          </w:p>
          <w:p w:rsidR="007D76BB" w:rsidRDefault="00D70D28">
            <w:pPr>
              <w:pStyle w:val="TableParagraph"/>
              <w:spacing w:before="22" w:line="206" w:lineRule="exact"/>
              <w:ind w:left="108"/>
              <w:rPr>
                <w:rFonts w:ascii="Arial"/>
                <w:sz w:val="19"/>
              </w:rPr>
            </w:pPr>
            <w:r>
              <w:rPr>
                <w:rFonts w:ascii="Arial"/>
                <w:color w:val="FFFFFF"/>
                <w:w w:val="105"/>
                <w:sz w:val="19"/>
              </w:rPr>
              <w:t>Products</w:t>
            </w:r>
          </w:p>
        </w:tc>
        <w:tc>
          <w:tcPr>
            <w:tcW w:w="654" w:type="dxa"/>
            <w:shd w:val="clear" w:color="auto" w:fill="005386"/>
          </w:tcPr>
          <w:p w:rsidR="007D76BB" w:rsidRDefault="00D70D28">
            <w:pPr>
              <w:pStyle w:val="TableParagraph"/>
              <w:spacing w:before="13"/>
              <w:ind w:right="94"/>
              <w:jc w:val="right"/>
              <w:rPr>
                <w:rFonts w:ascii="Arial"/>
                <w:sz w:val="19"/>
              </w:rPr>
            </w:pPr>
            <w:r>
              <w:rPr>
                <w:rFonts w:ascii="Arial"/>
                <w:color w:val="FFFFFF"/>
                <w:w w:val="105"/>
                <w:sz w:val="19"/>
              </w:rPr>
              <w:t>Total</w:t>
            </w:r>
          </w:p>
        </w:tc>
      </w:tr>
      <w:tr w:rsidR="007D76BB">
        <w:trPr>
          <w:trHeight w:val="242"/>
        </w:trPr>
        <w:tc>
          <w:tcPr>
            <w:tcW w:w="1598" w:type="dxa"/>
            <w:tcBorders>
              <w:left w:val="nil"/>
            </w:tcBorders>
          </w:tcPr>
          <w:p w:rsidR="007D76BB" w:rsidRDefault="00D70D28">
            <w:pPr>
              <w:pStyle w:val="TableParagraph"/>
              <w:spacing w:before="16" w:line="206" w:lineRule="exact"/>
              <w:ind w:left="127"/>
              <w:rPr>
                <w:rFonts w:ascii="Arial"/>
                <w:sz w:val="11"/>
              </w:rPr>
            </w:pPr>
            <w:r>
              <w:rPr>
                <w:rFonts w:ascii="Arial"/>
                <w:w w:val="105"/>
                <w:sz w:val="19"/>
              </w:rPr>
              <w:t>Powders +</w:t>
            </w:r>
            <w:r>
              <w:rPr>
                <w:rFonts w:ascii="Arial"/>
                <w:w w:val="105"/>
                <w:position w:val="7"/>
                <w:sz w:val="11"/>
              </w:rPr>
              <w:t>45</w:t>
            </w:r>
          </w:p>
        </w:tc>
        <w:tc>
          <w:tcPr>
            <w:tcW w:w="2002" w:type="dxa"/>
          </w:tcPr>
          <w:p w:rsidR="007D76BB" w:rsidRDefault="00D70D28">
            <w:pPr>
              <w:pStyle w:val="TableParagraph"/>
              <w:spacing w:before="16" w:line="206" w:lineRule="exact"/>
              <w:ind w:right="96"/>
              <w:jc w:val="right"/>
              <w:rPr>
                <w:rFonts w:ascii="Arial"/>
                <w:sz w:val="19"/>
              </w:rPr>
            </w:pPr>
            <w:r>
              <w:rPr>
                <w:rFonts w:ascii="Arial"/>
                <w:sz w:val="19"/>
              </w:rPr>
              <w:t>225 (5%</w:t>
            </w:r>
            <w:r>
              <w:rPr>
                <w:rFonts w:ascii="Arial"/>
                <w:position w:val="7"/>
                <w:sz w:val="11"/>
              </w:rPr>
              <w:t>46</w:t>
            </w:r>
            <w:r>
              <w:rPr>
                <w:rFonts w:ascii="Arial"/>
                <w:sz w:val="19"/>
              </w:rPr>
              <w:t>) =11</w:t>
            </w:r>
          </w:p>
        </w:tc>
        <w:tc>
          <w:tcPr>
            <w:tcW w:w="1483" w:type="dxa"/>
          </w:tcPr>
          <w:p w:rsidR="007D76BB" w:rsidRDefault="00D70D28">
            <w:pPr>
              <w:pStyle w:val="TableParagraph"/>
              <w:spacing w:before="16" w:line="206" w:lineRule="exact"/>
              <w:ind w:right="94"/>
              <w:jc w:val="right"/>
              <w:rPr>
                <w:rFonts w:ascii="Arial"/>
                <w:sz w:val="19"/>
              </w:rPr>
            </w:pPr>
            <w:r>
              <w:rPr>
                <w:rFonts w:ascii="Arial"/>
                <w:w w:val="105"/>
                <w:sz w:val="19"/>
              </w:rPr>
              <w:t>160 (5%) = 8</w:t>
            </w:r>
          </w:p>
        </w:tc>
        <w:tc>
          <w:tcPr>
            <w:tcW w:w="1735" w:type="dxa"/>
          </w:tcPr>
          <w:p w:rsidR="007D76BB" w:rsidRDefault="00D70D28">
            <w:pPr>
              <w:pStyle w:val="TableParagraph"/>
              <w:spacing w:before="16" w:line="206" w:lineRule="exact"/>
              <w:ind w:right="95"/>
              <w:jc w:val="right"/>
              <w:rPr>
                <w:rFonts w:ascii="Arial"/>
                <w:sz w:val="19"/>
              </w:rPr>
            </w:pPr>
            <w:r>
              <w:rPr>
                <w:rFonts w:ascii="Arial"/>
                <w:sz w:val="19"/>
              </w:rPr>
              <w:t>271 (5%) = 14</w:t>
            </w:r>
          </w:p>
        </w:tc>
        <w:tc>
          <w:tcPr>
            <w:tcW w:w="654" w:type="dxa"/>
          </w:tcPr>
          <w:p w:rsidR="007D76BB" w:rsidRDefault="00D70D28">
            <w:pPr>
              <w:pStyle w:val="TableParagraph"/>
              <w:spacing w:before="16" w:line="206" w:lineRule="exact"/>
              <w:ind w:right="91"/>
              <w:jc w:val="right"/>
              <w:rPr>
                <w:rFonts w:ascii="Arial"/>
                <w:sz w:val="19"/>
              </w:rPr>
            </w:pPr>
            <w:r>
              <w:rPr>
                <w:rFonts w:ascii="Arial"/>
                <w:w w:val="105"/>
                <w:sz w:val="19"/>
              </w:rPr>
              <w:t>33</w:t>
            </w:r>
          </w:p>
        </w:tc>
      </w:tr>
      <w:tr w:rsidR="007D76BB">
        <w:trPr>
          <w:trHeight w:val="239"/>
        </w:trPr>
        <w:tc>
          <w:tcPr>
            <w:tcW w:w="1598" w:type="dxa"/>
            <w:tcBorders>
              <w:left w:val="nil"/>
            </w:tcBorders>
          </w:tcPr>
          <w:p w:rsidR="007D76BB" w:rsidRDefault="00D70D28">
            <w:pPr>
              <w:pStyle w:val="TableParagraph"/>
              <w:spacing w:before="13" w:line="206" w:lineRule="exact"/>
              <w:ind w:left="127"/>
              <w:rPr>
                <w:rFonts w:ascii="Arial"/>
                <w:sz w:val="19"/>
              </w:rPr>
            </w:pPr>
            <w:r>
              <w:rPr>
                <w:rFonts w:ascii="Arial"/>
                <w:w w:val="110"/>
                <w:sz w:val="19"/>
              </w:rPr>
              <w:t>Capsule/tablet</w:t>
            </w:r>
          </w:p>
        </w:tc>
        <w:tc>
          <w:tcPr>
            <w:tcW w:w="2002" w:type="dxa"/>
          </w:tcPr>
          <w:p w:rsidR="007D76BB" w:rsidRDefault="00D70D28">
            <w:pPr>
              <w:pStyle w:val="TableParagraph"/>
              <w:spacing w:before="13" w:line="206" w:lineRule="exact"/>
              <w:ind w:right="99"/>
              <w:jc w:val="right"/>
              <w:rPr>
                <w:rFonts w:ascii="Arial"/>
                <w:sz w:val="19"/>
              </w:rPr>
            </w:pPr>
            <w:r>
              <w:rPr>
                <w:rFonts w:ascii="Arial"/>
                <w:sz w:val="19"/>
              </w:rPr>
              <w:t>114 (40%</w:t>
            </w:r>
            <w:r>
              <w:rPr>
                <w:rFonts w:ascii="Arial"/>
                <w:position w:val="7"/>
                <w:sz w:val="11"/>
              </w:rPr>
              <w:t>47</w:t>
            </w:r>
            <w:r>
              <w:rPr>
                <w:rFonts w:ascii="Arial"/>
                <w:sz w:val="19"/>
              </w:rPr>
              <w:t>) = 46</w:t>
            </w:r>
          </w:p>
        </w:tc>
        <w:tc>
          <w:tcPr>
            <w:tcW w:w="1483" w:type="dxa"/>
          </w:tcPr>
          <w:p w:rsidR="007D76BB" w:rsidRDefault="00D70D28">
            <w:pPr>
              <w:pStyle w:val="TableParagraph"/>
              <w:spacing w:before="13" w:line="206" w:lineRule="exact"/>
              <w:ind w:right="96"/>
              <w:jc w:val="right"/>
              <w:rPr>
                <w:rFonts w:ascii="Arial"/>
                <w:sz w:val="19"/>
              </w:rPr>
            </w:pPr>
            <w:r>
              <w:rPr>
                <w:rFonts w:ascii="Arial"/>
                <w:w w:val="110"/>
                <w:sz w:val="19"/>
              </w:rPr>
              <w:t>9 (40%) = 4</w:t>
            </w:r>
          </w:p>
        </w:tc>
        <w:tc>
          <w:tcPr>
            <w:tcW w:w="1735" w:type="dxa"/>
          </w:tcPr>
          <w:p w:rsidR="007D76BB" w:rsidRDefault="00D70D28">
            <w:pPr>
              <w:pStyle w:val="TableParagraph"/>
              <w:spacing w:before="13" w:line="206" w:lineRule="exact"/>
              <w:ind w:right="93"/>
              <w:jc w:val="right"/>
              <w:rPr>
                <w:rFonts w:ascii="Arial"/>
                <w:sz w:val="19"/>
              </w:rPr>
            </w:pPr>
            <w:r>
              <w:rPr>
                <w:rFonts w:ascii="Arial"/>
                <w:w w:val="110"/>
                <w:sz w:val="19"/>
              </w:rPr>
              <w:t>9 (40%) = 4</w:t>
            </w:r>
          </w:p>
        </w:tc>
        <w:tc>
          <w:tcPr>
            <w:tcW w:w="654" w:type="dxa"/>
          </w:tcPr>
          <w:p w:rsidR="007D76BB" w:rsidRDefault="00D70D28">
            <w:pPr>
              <w:pStyle w:val="TableParagraph"/>
              <w:spacing w:before="13" w:line="206" w:lineRule="exact"/>
              <w:ind w:right="93"/>
              <w:jc w:val="right"/>
              <w:rPr>
                <w:rFonts w:ascii="Arial"/>
                <w:sz w:val="19"/>
              </w:rPr>
            </w:pPr>
            <w:r>
              <w:rPr>
                <w:rFonts w:ascii="Arial"/>
                <w:w w:val="110"/>
                <w:sz w:val="19"/>
              </w:rPr>
              <w:t>54</w:t>
            </w:r>
          </w:p>
        </w:tc>
      </w:tr>
      <w:tr w:rsidR="007D76BB">
        <w:trPr>
          <w:trHeight w:val="242"/>
        </w:trPr>
        <w:tc>
          <w:tcPr>
            <w:tcW w:w="6818" w:type="dxa"/>
            <w:gridSpan w:val="4"/>
            <w:tcBorders>
              <w:left w:val="nil"/>
            </w:tcBorders>
          </w:tcPr>
          <w:p w:rsidR="007D76BB" w:rsidRDefault="00D70D28">
            <w:pPr>
              <w:pStyle w:val="TableParagraph"/>
              <w:spacing w:before="13" w:line="208" w:lineRule="exact"/>
              <w:ind w:right="95"/>
              <w:jc w:val="right"/>
              <w:rPr>
                <w:rFonts w:ascii="Arial"/>
                <w:sz w:val="19"/>
              </w:rPr>
            </w:pPr>
            <w:r>
              <w:rPr>
                <w:rFonts w:ascii="Arial"/>
                <w:w w:val="105"/>
                <w:sz w:val="19"/>
              </w:rPr>
              <w:t>Total</w:t>
            </w:r>
          </w:p>
        </w:tc>
        <w:tc>
          <w:tcPr>
            <w:tcW w:w="654" w:type="dxa"/>
            <w:shd w:val="clear" w:color="auto" w:fill="D9D9D9"/>
          </w:tcPr>
          <w:p w:rsidR="007D76BB" w:rsidRDefault="00D70D28">
            <w:pPr>
              <w:pStyle w:val="TableParagraph"/>
              <w:spacing w:before="14" w:line="208" w:lineRule="exact"/>
              <w:ind w:right="91"/>
              <w:jc w:val="right"/>
              <w:rPr>
                <w:rFonts w:ascii="Arial"/>
                <w:sz w:val="11"/>
              </w:rPr>
            </w:pPr>
            <w:r>
              <w:rPr>
                <w:rFonts w:ascii="Arial"/>
                <w:w w:val="105"/>
                <w:position w:val="-6"/>
                <w:sz w:val="19"/>
              </w:rPr>
              <w:t>87</w:t>
            </w:r>
            <w:r>
              <w:rPr>
                <w:rFonts w:ascii="Arial"/>
                <w:w w:val="105"/>
                <w:sz w:val="11"/>
              </w:rPr>
              <w:t>48</w:t>
            </w:r>
          </w:p>
        </w:tc>
      </w:tr>
    </w:tbl>
    <w:p w:rsidR="007D76BB" w:rsidRDefault="007D76BB">
      <w:pPr>
        <w:pStyle w:val="BodyText"/>
        <w:spacing w:before="10"/>
        <w:rPr>
          <w:rFonts w:ascii="Arial"/>
          <w:sz w:val="25"/>
        </w:rPr>
      </w:pPr>
    </w:p>
    <w:p w:rsidR="007D76BB" w:rsidRDefault="00D70D28">
      <w:pPr>
        <w:ind w:left="482"/>
        <w:rPr>
          <w:rFonts w:ascii="Lucida Sans"/>
          <w:b/>
          <w:sz w:val="20"/>
        </w:rPr>
      </w:pPr>
      <w:r>
        <w:rPr>
          <w:rFonts w:ascii="Lucida Sans"/>
          <w:b/>
          <w:sz w:val="20"/>
        </w:rPr>
        <w:t>Regulatory impact</w:t>
      </w:r>
    </w:p>
    <w:p w:rsidR="007D76BB" w:rsidRDefault="00D70D28">
      <w:pPr>
        <w:spacing w:before="193"/>
        <w:ind w:left="482"/>
        <w:rPr>
          <w:rFonts w:ascii="Arial"/>
          <w:i/>
          <w:sz w:val="20"/>
        </w:rPr>
      </w:pPr>
      <w:r>
        <w:rPr>
          <w:rFonts w:ascii="Arial"/>
          <w:i/>
          <w:sz w:val="20"/>
        </w:rPr>
        <w:t>Reformulation</w:t>
      </w:r>
    </w:p>
    <w:p w:rsidR="007D76BB" w:rsidRDefault="00D70D28">
      <w:pPr>
        <w:spacing w:before="97" w:line="264" w:lineRule="auto"/>
        <w:ind w:left="482" w:right="844"/>
        <w:rPr>
          <w:rFonts w:ascii="Arial"/>
          <w:sz w:val="19"/>
        </w:rPr>
      </w:pPr>
      <w:r>
        <w:rPr>
          <w:rFonts w:ascii="Arial"/>
          <w:w w:val="105"/>
          <w:sz w:val="19"/>
        </w:rPr>
        <w:t>Industry stakeholders estimated that a relatively simple reformulation (one-for-one ingredient swap)</w:t>
      </w:r>
      <w:r>
        <w:rPr>
          <w:rFonts w:ascii="Arial"/>
          <w:spacing w:val="-35"/>
          <w:w w:val="105"/>
          <w:sz w:val="19"/>
        </w:rPr>
        <w:t xml:space="preserve"> </w:t>
      </w:r>
      <w:r>
        <w:rPr>
          <w:rFonts w:ascii="Arial"/>
          <w:w w:val="105"/>
          <w:sz w:val="19"/>
        </w:rPr>
        <w:t>would</w:t>
      </w:r>
      <w:r>
        <w:rPr>
          <w:rFonts w:ascii="Arial"/>
          <w:spacing w:val="-33"/>
          <w:w w:val="105"/>
          <w:sz w:val="19"/>
        </w:rPr>
        <w:t xml:space="preserve"> </w:t>
      </w:r>
      <w:r>
        <w:rPr>
          <w:rFonts w:ascii="Arial"/>
          <w:w w:val="105"/>
          <w:sz w:val="19"/>
        </w:rPr>
        <w:t>involve</w:t>
      </w:r>
      <w:r>
        <w:rPr>
          <w:rFonts w:ascii="Arial"/>
          <w:spacing w:val="-34"/>
          <w:w w:val="105"/>
          <w:sz w:val="19"/>
        </w:rPr>
        <w:t xml:space="preserve"> </w:t>
      </w:r>
      <w:r>
        <w:rPr>
          <w:rFonts w:ascii="Arial"/>
          <w:w w:val="105"/>
          <w:sz w:val="19"/>
        </w:rPr>
        <w:t>two</w:t>
      </w:r>
      <w:r>
        <w:rPr>
          <w:rFonts w:ascii="Arial"/>
          <w:spacing w:val="-33"/>
          <w:w w:val="105"/>
          <w:sz w:val="19"/>
        </w:rPr>
        <w:t xml:space="preserve"> </w:t>
      </w:r>
      <w:r>
        <w:rPr>
          <w:rFonts w:ascii="Arial"/>
          <w:w w:val="105"/>
          <w:sz w:val="19"/>
        </w:rPr>
        <w:t>stages.</w:t>
      </w:r>
      <w:r>
        <w:rPr>
          <w:rFonts w:ascii="Arial"/>
          <w:spacing w:val="-33"/>
          <w:w w:val="105"/>
          <w:sz w:val="19"/>
        </w:rPr>
        <w:t xml:space="preserve"> </w:t>
      </w:r>
      <w:r>
        <w:rPr>
          <w:rFonts w:ascii="Arial"/>
          <w:w w:val="105"/>
          <w:sz w:val="19"/>
        </w:rPr>
        <w:t>The</w:t>
      </w:r>
      <w:r>
        <w:rPr>
          <w:rFonts w:ascii="Arial"/>
          <w:spacing w:val="-33"/>
          <w:w w:val="105"/>
          <w:sz w:val="19"/>
        </w:rPr>
        <w:t xml:space="preserve"> </w:t>
      </w:r>
      <w:r>
        <w:rPr>
          <w:rFonts w:ascii="Arial"/>
          <w:w w:val="105"/>
          <w:sz w:val="19"/>
        </w:rPr>
        <w:t>initial</w:t>
      </w:r>
      <w:r>
        <w:rPr>
          <w:rFonts w:ascii="Arial"/>
          <w:spacing w:val="-33"/>
          <w:w w:val="105"/>
          <w:sz w:val="19"/>
        </w:rPr>
        <w:t xml:space="preserve"> </w:t>
      </w:r>
      <w:r>
        <w:rPr>
          <w:rFonts w:ascii="Arial"/>
          <w:w w:val="105"/>
          <w:sz w:val="19"/>
        </w:rPr>
        <w:t>stage</w:t>
      </w:r>
      <w:r>
        <w:rPr>
          <w:rFonts w:ascii="Arial"/>
          <w:spacing w:val="-34"/>
          <w:w w:val="105"/>
          <w:sz w:val="19"/>
        </w:rPr>
        <w:t xml:space="preserve"> </w:t>
      </w:r>
      <w:r>
        <w:rPr>
          <w:rFonts w:ascii="Arial"/>
          <w:w w:val="105"/>
          <w:sz w:val="19"/>
        </w:rPr>
        <w:t>would</w:t>
      </w:r>
      <w:r>
        <w:rPr>
          <w:rFonts w:ascii="Arial"/>
          <w:spacing w:val="-33"/>
          <w:w w:val="105"/>
          <w:sz w:val="19"/>
        </w:rPr>
        <w:t xml:space="preserve"> </w:t>
      </w:r>
      <w:r>
        <w:rPr>
          <w:rFonts w:ascii="Arial"/>
          <w:w w:val="105"/>
          <w:sz w:val="19"/>
        </w:rPr>
        <w:t>involve</w:t>
      </w:r>
      <w:r>
        <w:rPr>
          <w:rFonts w:ascii="Arial"/>
          <w:spacing w:val="-33"/>
          <w:w w:val="105"/>
          <w:sz w:val="19"/>
        </w:rPr>
        <w:t xml:space="preserve"> </w:t>
      </w:r>
      <w:r>
        <w:rPr>
          <w:rFonts w:ascii="Arial"/>
          <w:w w:val="105"/>
          <w:sz w:val="19"/>
        </w:rPr>
        <w:t>sample</w:t>
      </w:r>
      <w:r>
        <w:rPr>
          <w:rFonts w:ascii="Arial"/>
          <w:spacing w:val="-33"/>
          <w:w w:val="105"/>
          <w:sz w:val="19"/>
        </w:rPr>
        <w:t xml:space="preserve"> </w:t>
      </w:r>
      <w:r>
        <w:rPr>
          <w:rFonts w:ascii="Arial"/>
          <w:w w:val="105"/>
          <w:sz w:val="19"/>
        </w:rPr>
        <w:t>development,</w:t>
      </w:r>
      <w:r>
        <w:rPr>
          <w:rFonts w:ascii="Arial"/>
          <w:spacing w:val="-35"/>
          <w:w w:val="105"/>
          <w:sz w:val="19"/>
        </w:rPr>
        <w:t xml:space="preserve"> </w:t>
      </w:r>
      <w:r>
        <w:rPr>
          <w:rFonts w:ascii="Arial"/>
          <w:w w:val="105"/>
          <w:sz w:val="19"/>
        </w:rPr>
        <w:t>sample</w:t>
      </w:r>
      <w:r>
        <w:rPr>
          <w:rFonts w:ascii="Arial"/>
          <w:spacing w:val="-32"/>
          <w:w w:val="105"/>
          <w:sz w:val="19"/>
        </w:rPr>
        <w:t xml:space="preserve"> </w:t>
      </w:r>
      <w:r>
        <w:rPr>
          <w:rFonts w:ascii="Arial"/>
          <w:w w:val="105"/>
          <w:sz w:val="19"/>
        </w:rPr>
        <w:t>testing, a</w:t>
      </w:r>
      <w:r>
        <w:rPr>
          <w:rFonts w:ascii="Arial"/>
          <w:spacing w:val="-20"/>
          <w:w w:val="105"/>
          <w:sz w:val="19"/>
        </w:rPr>
        <w:t xml:space="preserve"> </w:t>
      </w:r>
      <w:r>
        <w:rPr>
          <w:rFonts w:ascii="Arial"/>
          <w:w w:val="105"/>
          <w:sz w:val="19"/>
        </w:rPr>
        <w:t>re-costing</w:t>
      </w:r>
      <w:r>
        <w:rPr>
          <w:rFonts w:ascii="Arial"/>
          <w:spacing w:val="-22"/>
          <w:w w:val="105"/>
          <w:sz w:val="19"/>
        </w:rPr>
        <w:t xml:space="preserve"> </w:t>
      </w:r>
      <w:r>
        <w:rPr>
          <w:rFonts w:ascii="Arial"/>
          <w:w w:val="105"/>
          <w:sz w:val="19"/>
        </w:rPr>
        <w:t>activity</w:t>
      </w:r>
      <w:r>
        <w:rPr>
          <w:rFonts w:ascii="Arial"/>
          <w:spacing w:val="-20"/>
          <w:w w:val="105"/>
          <w:sz w:val="19"/>
        </w:rPr>
        <w:t xml:space="preserve"> </w:t>
      </w:r>
      <w:r>
        <w:rPr>
          <w:rFonts w:ascii="Arial"/>
          <w:w w:val="105"/>
          <w:sz w:val="19"/>
        </w:rPr>
        <w:t>and</w:t>
      </w:r>
      <w:r>
        <w:rPr>
          <w:rFonts w:ascii="Arial"/>
          <w:spacing w:val="-22"/>
          <w:w w:val="105"/>
          <w:sz w:val="19"/>
        </w:rPr>
        <w:t xml:space="preserve"> </w:t>
      </w:r>
      <w:r>
        <w:rPr>
          <w:rFonts w:ascii="Arial"/>
          <w:w w:val="105"/>
          <w:sz w:val="19"/>
        </w:rPr>
        <w:t>some</w:t>
      </w:r>
      <w:r>
        <w:rPr>
          <w:rFonts w:ascii="Arial"/>
          <w:spacing w:val="-20"/>
          <w:w w:val="105"/>
          <w:sz w:val="19"/>
        </w:rPr>
        <w:t xml:space="preserve"> </w:t>
      </w:r>
      <w:r>
        <w:rPr>
          <w:rFonts w:ascii="Arial"/>
          <w:w w:val="105"/>
          <w:sz w:val="19"/>
        </w:rPr>
        <w:t>additional</w:t>
      </w:r>
      <w:r>
        <w:rPr>
          <w:rFonts w:ascii="Arial"/>
          <w:spacing w:val="-21"/>
          <w:w w:val="105"/>
          <w:sz w:val="19"/>
        </w:rPr>
        <w:t xml:space="preserve"> </w:t>
      </w:r>
      <w:r>
        <w:rPr>
          <w:rFonts w:ascii="Arial"/>
          <w:w w:val="105"/>
          <w:sz w:val="19"/>
        </w:rPr>
        <w:t>paperwork.</w:t>
      </w:r>
      <w:r>
        <w:rPr>
          <w:rFonts w:ascii="Arial"/>
          <w:spacing w:val="-22"/>
          <w:w w:val="105"/>
          <w:sz w:val="19"/>
        </w:rPr>
        <w:t xml:space="preserve"> </w:t>
      </w:r>
      <w:r>
        <w:rPr>
          <w:rFonts w:ascii="Arial"/>
          <w:w w:val="105"/>
          <w:sz w:val="19"/>
        </w:rPr>
        <w:t>It</w:t>
      </w:r>
      <w:r>
        <w:rPr>
          <w:rFonts w:ascii="Arial"/>
          <w:spacing w:val="-21"/>
          <w:w w:val="105"/>
          <w:sz w:val="19"/>
        </w:rPr>
        <w:t xml:space="preserve"> </w:t>
      </w:r>
      <w:r>
        <w:rPr>
          <w:rFonts w:ascii="Arial"/>
          <w:w w:val="105"/>
          <w:sz w:val="19"/>
        </w:rPr>
        <w:t>was</w:t>
      </w:r>
      <w:r>
        <w:rPr>
          <w:rFonts w:ascii="Arial"/>
          <w:spacing w:val="-21"/>
          <w:w w:val="105"/>
          <w:sz w:val="19"/>
        </w:rPr>
        <w:t xml:space="preserve"> </w:t>
      </w:r>
      <w:r>
        <w:rPr>
          <w:rFonts w:ascii="Arial"/>
          <w:w w:val="105"/>
          <w:sz w:val="19"/>
        </w:rPr>
        <w:t>estimated</w:t>
      </w:r>
      <w:r>
        <w:rPr>
          <w:rFonts w:ascii="Arial"/>
          <w:spacing w:val="-21"/>
          <w:w w:val="105"/>
          <w:sz w:val="19"/>
        </w:rPr>
        <w:t xml:space="preserve"> </w:t>
      </w:r>
      <w:r>
        <w:rPr>
          <w:rFonts w:ascii="Arial"/>
          <w:w w:val="105"/>
          <w:sz w:val="19"/>
        </w:rPr>
        <w:t>this</w:t>
      </w:r>
      <w:r>
        <w:rPr>
          <w:rFonts w:ascii="Arial"/>
          <w:spacing w:val="-21"/>
          <w:w w:val="105"/>
          <w:sz w:val="19"/>
        </w:rPr>
        <w:t xml:space="preserve"> </w:t>
      </w:r>
      <w:r>
        <w:rPr>
          <w:rFonts w:ascii="Arial"/>
          <w:w w:val="105"/>
          <w:sz w:val="19"/>
        </w:rPr>
        <w:t>would</w:t>
      </w:r>
      <w:r>
        <w:rPr>
          <w:rFonts w:ascii="Arial"/>
          <w:spacing w:val="-21"/>
          <w:w w:val="105"/>
          <w:sz w:val="19"/>
        </w:rPr>
        <w:t xml:space="preserve"> </w:t>
      </w:r>
      <w:r>
        <w:rPr>
          <w:rFonts w:ascii="Arial"/>
          <w:w w:val="105"/>
          <w:sz w:val="19"/>
        </w:rPr>
        <w:t>take</w:t>
      </w:r>
      <w:r>
        <w:rPr>
          <w:rFonts w:ascii="Arial"/>
          <w:spacing w:val="-20"/>
          <w:w w:val="105"/>
          <w:sz w:val="19"/>
        </w:rPr>
        <w:t xml:space="preserve"> </w:t>
      </w:r>
      <w:r>
        <w:rPr>
          <w:rFonts w:ascii="Arial"/>
          <w:w w:val="105"/>
          <w:sz w:val="19"/>
        </w:rPr>
        <w:t>roughly</w:t>
      </w:r>
      <w:r>
        <w:rPr>
          <w:rFonts w:ascii="Arial"/>
          <w:spacing w:val="-22"/>
          <w:w w:val="105"/>
          <w:sz w:val="19"/>
        </w:rPr>
        <w:t xml:space="preserve"> </w:t>
      </w:r>
      <w:r>
        <w:rPr>
          <w:rFonts w:ascii="Arial"/>
          <w:w w:val="105"/>
          <w:sz w:val="19"/>
        </w:rPr>
        <w:t>half</w:t>
      </w:r>
      <w:r>
        <w:rPr>
          <w:rFonts w:ascii="Arial"/>
          <w:spacing w:val="-22"/>
          <w:w w:val="105"/>
          <w:sz w:val="19"/>
        </w:rPr>
        <w:t xml:space="preserve"> </w:t>
      </w:r>
      <w:r>
        <w:rPr>
          <w:rFonts w:ascii="Arial"/>
          <w:w w:val="105"/>
          <w:sz w:val="19"/>
        </w:rPr>
        <w:t>a</w:t>
      </w:r>
    </w:p>
    <w:p w:rsidR="007D76BB" w:rsidRDefault="00D70D28">
      <w:pPr>
        <w:pStyle w:val="BodyText"/>
        <w:spacing w:before="6"/>
        <w:rPr>
          <w:rFonts w:ascii="Arial"/>
          <w:sz w:val="21"/>
        </w:rPr>
      </w:pPr>
      <w:r>
        <w:rPr>
          <w:noProof/>
          <w:lang w:val="en-AU" w:eastAsia="en-AU"/>
        </w:rPr>
        <mc:AlternateContent>
          <mc:Choice Requires="wps">
            <w:drawing>
              <wp:anchor distT="0" distB="0" distL="0" distR="0" simplePos="0" relativeHeight="251725824" behindDoc="1" locked="0" layoutInCell="1" allowOverlap="1">
                <wp:simplePos x="0" y="0"/>
                <wp:positionH relativeFrom="page">
                  <wp:posOffset>1080770</wp:posOffset>
                </wp:positionH>
                <wp:positionV relativeFrom="paragraph">
                  <wp:posOffset>187960</wp:posOffset>
                </wp:positionV>
                <wp:extent cx="1829435" cy="1270"/>
                <wp:effectExtent l="0" t="0" r="0" b="0"/>
                <wp:wrapTopAndBottom/>
                <wp:docPr id="307"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770D" id="Freeform 163" o:spid="_x0000_s1026" style="position:absolute;margin-left:85.1pt;margin-top:14.8pt;width:144.05pt;height:.1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" path="m,l2880,e" filled="f" strokeweight=".84pt">
                <v:path arrowok="t" o:connecttype="custom" o:connectlocs="0,0;1828800,0" o:connectangles="0,0"/>
                <w10:wrap type="topAndBottom" anchorx="page"/>
              </v:shape>
            </w:pict>
          </mc:Fallback>
        </mc:AlternateContent>
      </w:r>
    </w:p>
    <w:p w:rsidR="007D76BB" w:rsidRDefault="00D70D28">
      <w:pPr>
        <w:spacing w:before="132" w:line="268" w:lineRule="auto"/>
        <w:ind w:left="594" w:right="879" w:hanging="113"/>
        <w:rPr>
          <w:rFonts w:ascii="Arial"/>
          <w:sz w:val="14"/>
        </w:rPr>
      </w:pPr>
      <w:r>
        <w:rPr>
          <w:rFonts w:ascii="Arial"/>
          <w:color w:val="5B6761"/>
          <w:w w:val="105"/>
          <w:position w:val="5"/>
          <w:sz w:val="8"/>
        </w:rPr>
        <w:t xml:space="preserve">39 </w:t>
      </w:r>
      <w:r>
        <w:rPr>
          <w:rFonts w:ascii="Arial"/>
          <w:color w:val="5B6761"/>
          <w:w w:val="105"/>
          <w:sz w:val="14"/>
        </w:rPr>
        <w:t>It is possible that some overseas manufacturers will reformulate their products but they are considered less likely to do so than domestic manufacturers, as the Australian market may comprise only a small portion of the overall market and it may not be economically</w:t>
      </w:r>
      <w:r>
        <w:rPr>
          <w:rFonts w:ascii="Arial"/>
          <w:color w:val="5B6761"/>
          <w:spacing w:val="-18"/>
          <w:w w:val="105"/>
          <w:sz w:val="14"/>
        </w:rPr>
        <w:t xml:space="preserve"> </w:t>
      </w:r>
      <w:r>
        <w:rPr>
          <w:rFonts w:ascii="Arial"/>
          <w:color w:val="5B6761"/>
          <w:w w:val="105"/>
          <w:sz w:val="14"/>
        </w:rPr>
        <w:t>justified</w:t>
      </w:r>
      <w:r>
        <w:rPr>
          <w:rFonts w:ascii="Arial"/>
          <w:color w:val="5B6761"/>
          <w:spacing w:val="-16"/>
          <w:w w:val="105"/>
          <w:sz w:val="14"/>
        </w:rPr>
        <w:t xml:space="preserve"> </w:t>
      </w:r>
      <w:r>
        <w:rPr>
          <w:rFonts w:ascii="Arial"/>
          <w:color w:val="5B6761"/>
          <w:w w:val="105"/>
          <w:sz w:val="14"/>
        </w:rPr>
        <w:t>to</w:t>
      </w:r>
      <w:r>
        <w:rPr>
          <w:rFonts w:ascii="Arial"/>
          <w:color w:val="5B6761"/>
          <w:spacing w:val="-19"/>
          <w:w w:val="105"/>
          <w:sz w:val="14"/>
        </w:rPr>
        <w:t xml:space="preserve"> </w:t>
      </w:r>
      <w:r>
        <w:rPr>
          <w:rFonts w:ascii="Arial"/>
          <w:color w:val="5B6761"/>
          <w:w w:val="105"/>
          <w:sz w:val="14"/>
        </w:rPr>
        <w:t>reformulate.</w:t>
      </w:r>
      <w:r>
        <w:rPr>
          <w:rFonts w:ascii="Arial"/>
          <w:color w:val="5B6761"/>
          <w:spacing w:val="-13"/>
          <w:w w:val="105"/>
          <w:sz w:val="14"/>
        </w:rPr>
        <w:t xml:space="preserve"> </w:t>
      </w:r>
      <w:r>
        <w:rPr>
          <w:rFonts w:ascii="Arial"/>
          <w:color w:val="5B6761"/>
          <w:w w:val="105"/>
          <w:sz w:val="14"/>
        </w:rPr>
        <w:t>However,</w:t>
      </w:r>
      <w:r>
        <w:rPr>
          <w:rFonts w:ascii="Arial"/>
          <w:color w:val="5B6761"/>
          <w:spacing w:val="-17"/>
          <w:w w:val="105"/>
          <w:sz w:val="14"/>
        </w:rPr>
        <w:t xml:space="preserve"> </w:t>
      </w:r>
      <w:r>
        <w:rPr>
          <w:rFonts w:ascii="Arial"/>
          <w:color w:val="5B6761"/>
          <w:w w:val="105"/>
          <w:sz w:val="14"/>
        </w:rPr>
        <w:t>while</w:t>
      </w:r>
      <w:r>
        <w:rPr>
          <w:rFonts w:ascii="Arial"/>
          <w:color w:val="5B6761"/>
          <w:spacing w:val="-18"/>
          <w:w w:val="105"/>
          <w:sz w:val="14"/>
        </w:rPr>
        <w:t xml:space="preserve"> </w:t>
      </w:r>
      <w:r>
        <w:rPr>
          <w:rFonts w:ascii="Arial"/>
          <w:color w:val="5B6761"/>
          <w:w w:val="105"/>
          <w:sz w:val="14"/>
        </w:rPr>
        <w:t>the</w:t>
      </w:r>
      <w:r>
        <w:rPr>
          <w:rFonts w:ascii="Arial"/>
          <w:color w:val="5B6761"/>
          <w:spacing w:val="-18"/>
          <w:w w:val="105"/>
          <w:sz w:val="14"/>
        </w:rPr>
        <w:t xml:space="preserve"> </w:t>
      </w:r>
      <w:r>
        <w:rPr>
          <w:rFonts w:ascii="Arial"/>
          <w:color w:val="5B6761"/>
          <w:w w:val="105"/>
          <w:sz w:val="14"/>
        </w:rPr>
        <w:t>actual</w:t>
      </w:r>
      <w:r>
        <w:rPr>
          <w:rFonts w:ascii="Arial"/>
          <w:color w:val="5B6761"/>
          <w:spacing w:val="-17"/>
          <w:w w:val="105"/>
          <w:sz w:val="14"/>
        </w:rPr>
        <w:t xml:space="preserve"> </w:t>
      </w:r>
      <w:r>
        <w:rPr>
          <w:rFonts w:ascii="Arial"/>
          <w:color w:val="5B6761"/>
          <w:w w:val="105"/>
          <w:sz w:val="14"/>
        </w:rPr>
        <w:t>percentage</w:t>
      </w:r>
      <w:r>
        <w:rPr>
          <w:rFonts w:ascii="Arial"/>
          <w:color w:val="5B6761"/>
          <w:spacing w:val="-20"/>
          <w:w w:val="105"/>
          <w:sz w:val="14"/>
        </w:rPr>
        <w:t xml:space="preserve"> </w:t>
      </w:r>
      <w:r>
        <w:rPr>
          <w:rFonts w:ascii="Arial"/>
          <w:color w:val="5B6761"/>
          <w:w w:val="105"/>
          <w:sz w:val="14"/>
        </w:rPr>
        <w:t>of</w:t>
      </w:r>
      <w:r>
        <w:rPr>
          <w:rFonts w:ascii="Arial"/>
          <w:color w:val="5B6761"/>
          <w:spacing w:val="-18"/>
          <w:w w:val="105"/>
          <w:sz w:val="14"/>
        </w:rPr>
        <w:t xml:space="preserve"> </w:t>
      </w:r>
      <w:r>
        <w:rPr>
          <w:rFonts w:ascii="Arial"/>
          <w:color w:val="5B6761"/>
          <w:w w:val="105"/>
          <w:sz w:val="14"/>
        </w:rPr>
        <w:t>products</w:t>
      </w:r>
      <w:r>
        <w:rPr>
          <w:rFonts w:ascii="Arial"/>
          <w:color w:val="5B6761"/>
          <w:spacing w:val="-17"/>
          <w:w w:val="105"/>
          <w:sz w:val="14"/>
        </w:rPr>
        <w:t xml:space="preserve"> </w:t>
      </w:r>
      <w:r>
        <w:rPr>
          <w:rFonts w:ascii="Arial"/>
          <w:color w:val="5B6761"/>
          <w:w w:val="105"/>
          <w:sz w:val="14"/>
        </w:rPr>
        <w:t>reformulated</w:t>
      </w:r>
      <w:r>
        <w:rPr>
          <w:rFonts w:ascii="Arial"/>
          <w:color w:val="5B6761"/>
          <w:spacing w:val="-17"/>
          <w:w w:val="105"/>
          <w:sz w:val="14"/>
        </w:rPr>
        <w:t xml:space="preserve"> </w:t>
      </w:r>
      <w:r>
        <w:rPr>
          <w:rFonts w:ascii="Arial"/>
          <w:color w:val="5B6761"/>
          <w:w w:val="105"/>
          <w:sz w:val="14"/>
        </w:rPr>
        <w:t>may</w:t>
      </w:r>
      <w:r>
        <w:rPr>
          <w:rFonts w:ascii="Arial"/>
          <w:color w:val="5B6761"/>
          <w:spacing w:val="-17"/>
          <w:w w:val="105"/>
          <w:sz w:val="14"/>
        </w:rPr>
        <w:t xml:space="preserve"> </w:t>
      </w:r>
      <w:r>
        <w:rPr>
          <w:rFonts w:ascii="Arial"/>
          <w:color w:val="5B6761"/>
          <w:w w:val="105"/>
          <w:sz w:val="14"/>
        </w:rPr>
        <w:t>indeed</w:t>
      </w:r>
      <w:r>
        <w:rPr>
          <w:rFonts w:ascii="Arial"/>
          <w:color w:val="5B6761"/>
          <w:spacing w:val="-17"/>
          <w:w w:val="105"/>
          <w:sz w:val="14"/>
        </w:rPr>
        <w:t xml:space="preserve"> </w:t>
      </w:r>
      <w:r>
        <w:rPr>
          <w:rFonts w:ascii="Arial"/>
          <w:color w:val="5B6761"/>
          <w:w w:val="105"/>
          <w:sz w:val="14"/>
        </w:rPr>
        <w:t>be</w:t>
      </w:r>
      <w:r>
        <w:rPr>
          <w:rFonts w:ascii="Arial"/>
          <w:color w:val="5B6761"/>
          <w:spacing w:val="-18"/>
          <w:w w:val="105"/>
          <w:sz w:val="14"/>
        </w:rPr>
        <w:t xml:space="preserve"> </w:t>
      </w:r>
      <w:r>
        <w:rPr>
          <w:rFonts w:ascii="Arial"/>
          <w:color w:val="5B6761"/>
          <w:w w:val="105"/>
          <w:sz w:val="14"/>
        </w:rPr>
        <w:t>higher</w:t>
      </w:r>
      <w:r>
        <w:rPr>
          <w:rFonts w:ascii="Arial"/>
          <w:color w:val="5B6761"/>
          <w:spacing w:val="-10"/>
          <w:w w:val="105"/>
          <w:sz w:val="14"/>
        </w:rPr>
        <w:t xml:space="preserve"> </w:t>
      </w:r>
      <w:r>
        <w:rPr>
          <w:rFonts w:ascii="Arial"/>
          <w:color w:val="5B6761"/>
          <w:w w:val="105"/>
          <w:sz w:val="14"/>
        </w:rPr>
        <w:t>than</w:t>
      </w:r>
      <w:r>
        <w:rPr>
          <w:rFonts w:ascii="Arial"/>
          <w:color w:val="5B6761"/>
          <w:spacing w:val="-17"/>
          <w:w w:val="105"/>
          <w:sz w:val="14"/>
        </w:rPr>
        <w:t xml:space="preserve"> </w:t>
      </w:r>
      <w:r>
        <w:rPr>
          <w:rFonts w:ascii="Arial"/>
          <w:color w:val="5B6761"/>
          <w:w w:val="105"/>
          <w:sz w:val="14"/>
        </w:rPr>
        <w:t>the percentages</w:t>
      </w:r>
      <w:r>
        <w:rPr>
          <w:rFonts w:ascii="Arial"/>
          <w:color w:val="5B6761"/>
          <w:spacing w:val="-17"/>
          <w:w w:val="105"/>
          <w:sz w:val="14"/>
        </w:rPr>
        <w:t xml:space="preserve"> </w:t>
      </w:r>
      <w:r>
        <w:rPr>
          <w:rFonts w:ascii="Arial"/>
          <w:color w:val="5B6761"/>
          <w:w w:val="105"/>
          <w:sz w:val="14"/>
        </w:rPr>
        <w:t>applied,</w:t>
      </w:r>
      <w:r>
        <w:rPr>
          <w:rFonts w:ascii="Arial"/>
          <w:color w:val="5B6761"/>
          <w:spacing w:val="-17"/>
          <w:w w:val="105"/>
          <w:sz w:val="14"/>
        </w:rPr>
        <w:t xml:space="preserve"> </w:t>
      </w:r>
      <w:r>
        <w:rPr>
          <w:rFonts w:ascii="Arial"/>
          <w:color w:val="5B6761"/>
          <w:w w:val="105"/>
          <w:sz w:val="14"/>
        </w:rPr>
        <w:t>for</w:t>
      </w:r>
      <w:r>
        <w:rPr>
          <w:rFonts w:ascii="Arial"/>
          <w:color w:val="5B6761"/>
          <w:spacing w:val="-16"/>
          <w:w w:val="105"/>
          <w:sz w:val="14"/>
        </w:rPr>
        <w:t xml:space="preserve"> </w:t>
      </w:r>
      <w:r>
        <w:rPr>
          <w:rFonts w:ascii="Arial"/>
          <w:color w:val="5B6761"/>
          <w:w w:val="105"/>
          <w:sz w:val="14"/>
        </w:rPr>
        <w:t>the</w:t>
      </w:r>
      <w:r>
        <w:rPr>
          <w:rFonts w:ascii="Arial"/>
          <w:color w:val="5B6761"/>
          <w:spacing w:val="-17"/>
          <w:w w:val="105"/>
          <w:sz w:val="14"/>
        </w:rPr>
        <w:t xml:space="preserve"> </w:t>
      </w:r>
      <w:r>
        <w:rPr>
          <w:rFonts w:ascii="Arial"/>
          <w:color w:val="5B6761"/>
          <w:w w:val="105"/>
          <w:sz w:val="14"/>
        </w:rPr>
        <w:t>purpose</w:t>
      </w:r>
      <w:r>
        <w:rPr>
          <w:rFonts w:ascii="Arial"/>
          <w:color w:val="5B6761"/>
          <w:spacing w:val="-18"/>
          <w:w w:val="105"/>
          <w:sz w:val="14"/>
        </w:rPr>
        <w:t xml:space="preserve"> </w:t>
      </w:r>
      <w:r>
        <w:rPr>
          <w:rFonts w:ascii="Arial"/>
          <w:color w:val="5B6761"/>
          <w:w w:val="105"/>
          <w:sz w:val="14"/>
        </w:rPr>
        <w:t>of</w:t>
      </w:r>
      <w:r>
        <w:rPr>
          <w:rFonts w:ascii="Arial"/>
          <w:color w:val="5B6761"/>
          <w:spacing w:val="-15"/>
          <w:w w:val="105"/>
          <w:sz w:val="14"/>
        </w:rPr>
        <w:t xml:space="preserve"> </w:t>
      </w:r>
      <w:r>
        <w:rPr>
          <w:rFonts w:ascii="Arial"/>
          <w:color w:val="5B6761"/>
          <w:w w:val="105"/>
          <w:sz w:val="14"/>
        </w:rPr>
        <w:t>the</w:t>
      </w:r>
      <w:r>
        <w:rPr>
          <w:rFonts w:ascii="Arial"/>
          <w:color w:val="5B6761"/>
          <w:spacing w:val="-18"/>
          <w:w w:val="105"/>
          <w:sz w:val="14"/>
        </w:rPr>
        <w:t xml:space="preserve"> </w:t>
      </w:r>
      <w:r>
        <w:rPr>
          <w:rFonts w:ascii="Arial"/>
          <w:color w:val="5B6761"/>
          <w:w w:val="105"/>
          <w:sz w:val="14"/>
        </w:rPr>
        <w:t>regulatory</w:t>
      </w:r>
      <w:r>
        <w:rPr>
          <w:rFonts w:ascii="Arial"/>
          <w:color w:val="5B6761"/>
          <w:spacing w:val="-16"/>
          <w:w w:val="105"/>
          <w:sz w:val="14"/>
        </w:rPr>
        <w:t xml:space="preserve"> </w:t>
      </w:r>
      <w:r>
        <w:rPr>
          <w:rFonts w:ascii="Arial"/>
          <w:color w:val="5B6761"/>
          <w:w w:val="105"/>
          <w:sz w:val="14"/>
        </w:rPr>
        <w:t>costing</w:t>
      </w:r>
      <w:r>
        <w:rPr>
          <w:rFonts w:ascii="Arial"/>
          <w:color w:val="5B6761"/>
          <w:spacing w:val="-16"/>
          <w:w w:val="105"/>
          <w:sz w:val="14"/>
        </w:rPr>
        <w:t xml:space="preserve"> </w:t>
      </w:r>
      <w:r>
        <w:rPr>
          <w:rFonts w:ascii="Arial"/>
          <w:color w:val="5B6761"/>
          <w:w w:val="105"/>
          <w:sz w:val="14"/>
        </w:rPr>
        <w:t>only</w:t>
      </w:r>
      <w:r>
        <w:rPr>
          <w:rFonts w:ascii="Arial"/>
          <w:color w:val="5B6761"/>
          <w:spacing w:val="-17"/>
          <w:w w:val="105"/>
          <w:sz w:val="14"/>
        </w:rPr>
        <w:t xml:space="preserve"> </w:t>
      </w:r>
      <w:r>
        <w:rPr>
          <w:rFonts w:ascii="Arial"/>
          <w:color w:val="5B6761"/>
          <w:w w:val="105"/>
          <w:sz w:val="14"/>
        </w:rPr>
        <w:t>the</w:t>
      </w:r>
      <w:r>
        <w:rPr>
          <w:rFonts w:ascii="Arial"/>
          <w:color w:val="5B6761"/>
          <w:spacing w:val="-17"/>
          <w:w w:val="105"/>
          <w:sz w:val="14"/>
        </w:rPr>
        <w:t xml:space="preserve"> </w:t>
      </w:r>
      <w:r>
        <w:rPr>
          <w:rFonts w:ascii="Arial"/>
          <w:color w:val="5B6761"/>
          <w:w w:val="105"/>
          <w:sz w:val="14"/>
        </w:rPr>
        <w:t>regulatory</w:t>
      </w:r>
      <w:r>
        <w:rPr>
          <w:rFonts w:ascii="Arial"/>
          <w:color w:val="5B6761"/>
          <w:spacing w:val="-17"/>
          <w:w w:val="105"/>
          <w:sz w:val="14"/>
        </w:rPr>
        <w:t xml:space="preserve"> </w:t>
      </w:r>
      <w:r>
        <w:rPr>
          <w:rFonts w:ascii="Arial"/>
          <w:color w:val="5B6761"/>
          <w:w w:val="105"/>
          <w:sz w:val="14"/>
        </w:rPr>
        <w:t>impact</w:t>
      </w:r>
      <w:r>
        <w:rPr>
          <w:rFonts w:ascii="Arial"/>
          <w:color w:val="5B6761"/>
          <w:spacing w:val="-16"/>
          <w:w w:val="105"/>
          <w:sz w:val="14"/>
        </w:rPr>
        <w:t xml:space="preserve"> </w:t>
      </w:r>
      <w:r>
        <w:rPr>
          <w:rFonts w:ascii="Arial"/>
          <w:color w:val="5B6761"/>
          <w:w w:val="105"/>
          <w:sz w:val="14"/>
        </w:rPr>
        <w:t>of</w:t>
      </w:r>
      <w:r>
        <w:rPr>
          <w:rFonts w:ascii="Arial"/>
          <w:color w:val="5B6761"/>
          <w:spacing w:val="-18"/>
          <w:w w:val="105"/>
          <w:sz w:val="14"/>
        </w:rPr>
        <w:t xml:space="preserve"> </w:t>
      </w:r>
      <w:r>
        <w:rPr>
          <w:rFonts w:ascii="Arial"/>
          <w:color w:val="5B6761"/>
          <w:w w:val="105"/>
          <w:sz w:val="14"/>
        </w:rPr>
        <w:t>reformulation</w:t>
      </w:r>
      <w:r>
        <w:rPr>
          <w:rFonts w:ascii="Arial"/>
          <w:color w:val="5B6761"/>
          <w:spacing w:val="-16"/>
          <w:w w:val="105"/>
          <w:sz w:val="14"/>
        </w:rPr>
        <w:t xml:space="preserve"> </w:t>
      </w:r>
      <w:r>
        <w:rPr>
          <w:rFonts w:ascii="Arial"/>
          <w:color w:val="5B6761"/>
          <w:w w:val="105"/>
          <w:sz w:val="14"/>
        </w:rPr>
        <w:t>on</w:t>
      </w:r>
      <w:r>
        <w:rPr>
          <w:rFonts w:ascii="Arial"/>
          <w:color w:val="5B6761"/>
          <w:spacing w:val="-16"/>
          <w:w w:val="105"/>
          <w:sz w:val="14"/>
        </w:rPr>
        <w:t xml:space="preserve"> </w:t>
      </w:r>
      <w:r>
        <w:rPr>
          <w:rFonts w:ascii="Arial"/>
          <w:color w:val="5B6761"/>
          <w:w w:val="105"/>
          <w:sz w:val="14"/>
        </w:rPr>
        <w:t>domestic</w:t>
      </w:r>
      <w:r>
        <w:rPr>
          <w:rFonts w:ascii="Arial"/>
          <w:color w:val="5B6761"/>
          <w:spacing w:val="-16"/>
          <w:w w:val="105"/>
          <w:sz w:val="14"/>
        </w:rPr>
        <w:t xml:space="preserve"> </w:t>
      </w:r>
      <w:r>
        <w:rPr>
          <w:rFonts w:ascii="Arial"/>
          <w:color w:val="5B6761"/>
          <w:w w:val="105"/>
          <w:sz w:val="14"/>
        </w:rPr>
        <w:t>manufacturers is</w:t>
      </w:r>
      <w:r>
        <w:rPr>
          <w:rFonts w:ascii="Arial"/>
          <w:color w:val="5B6761"/>
          <w:spacing w:val="-9"/>
          <w:w w:val="105"/>
          <w:sz w:val="14"/>
        </w:rPr>
        <w:t xml:space="preserve"> </w:t>
      </w:r>
      <w:r>
        <w:rPr>
          <w:rFonts w:ascii="Arial"/>
          <w:color w:val="5B6761"/>
          <w:w w:val="105"/>
          <w:sz w:val="14"/>
        </w:rPr>
        <w:t>included</w:t>
      </w:r>
      <w:r>
        <w:rPr>
          <w:rFonts w:ascii="Arial"/>
          <w:color w:val="5B6761"/>
          <w:spacing w:val="-7"/>
          <w:w w:val="105"/>
          <w:sz w:val="14"/>
        </w:rPr>
        <w:t xml:space="preserve"> </w:t>
      </w:r>
      <w:r>
        <w:rPr>
          <w:rFonts w:ascii="Arial"/>
          <w:color w:val="5B6761"/>
          <w:w w:val="105"/>
          <w:sz w:val="14"/>
        </w:rPr>
        <w:t>(therefore</w:t>
      </w:r>
      <w:r>
        <w:rPr>
          <w:rFonts w:ascii="Arial"/>
          <w:color w:val="5B6761"/>
          <w:spacing w:val="-9"/>
          <w:w w:val="105"/>
          <w:sz w:val="14"/>
        </w:rPr>
        <w:t xml:space="preserve"> </w:t>
      </w:r>
      <w:r>
        <w:rPr>
          <w:rFonts w:ascii="Arial"/>
          <w:color w:val="5B6761"/>
          <w:w w:val="105"/>
          <w:sz w:val="14"/>
        </w:rPr>
        <w:t>42%</w:t>
      </w:r>
      <w:r>
        <w:rPr>
          <w:rFonts w:ascii="Arial"/>
          <w:color w:val="5B6761"/>
          <w:spacing w:val="-9"/>
          <w:w w:val="105"/>
          <w:sz w:val="14"/>
        </w:rPr>
        <w:t xml:space="preserve"> </w:t>
      </w:r>
      <w:r>
        <w:rPr>
          <w:rFonts w:ascii="Arial"/>
          <w:color w:val="5B6761"/>
          <w:w w:val="105"/>
          <w:sz w:val="14"/>
        </w:rPr>
        <w:t>of</w:t>
      </w:r>
      <w:r>
        <w:rPr>
          <w:rFonts w:ascii="Arial"/>
          <w:color w:val="5B6761"/>
          <w:spacing w:val="-10"/>
          <w:w w:val="105"/>
          <w:sz w:val="14"/>
        </w:rPr>
        <w:t xml:space="preserve"> </w:t>
      </w:r>
      <w:r>
        <w:rPr>
          <w:rFonts w:ascii="Arial"/>
          <w:color w:val="5B6761"/>
          <w:w w:val="105"/>
          <w:sz w:val="14"/>
        </w:rPr>
        <w:t>distinct</w:t>
      </w:r>
      <w:r>
        <w:rPr>
          <w:rFonts w:ascii="Arial"/>
          <w:color w:val="5B6761"/>
          <w:spacing w:val="-7"/>
          <w:w w:val="105"/>
          <w:sz w:val="14"/>
        </w:rPr>
        <w:t xml:space="preserve"> </w:t>
      </w:r>
      <w:r>
        <w:rPr>
          <w:rFonts w:ascii="Arial"/>
          <w:color w:val="5B6761"/>
          <w:w w:val="105"/>
          <w:sz w:val="14"/>
        </w:rPr>
        <w:t>products).</w:t>
      </w:r>
    </w:p>
    <w:p w:rsidR="007D76BB" w:rsidRDefault="00D70D28">
      <w:pPr>
        <w:spacing w:before="58"/>
        <w:ind w:left="482"/>
        <w:rPr>
          <w:rFonts w:ascii="Arial"/>
          <w:sz w:val="14"/>
        </w:rPr>
      </w:pPr>
      <w:r>
        <w:rPr>
          <w:rFonts w:ascii="Arial"/>
          <w:color w:val="5B6761"/>
          <w:w w:val="105"/>
          <w:position w:val="5"/>
          <w:sz w:val="8"/>
        </w:rPr>
        <w:t xml:space="preserve">40 </w:t>
      </w:r>
      <w:r>
        <w:rPr>
          <w:rFonts w:ascii="Arial"/>
          <w:color w:val="5B6761"/>
          <w:w w:val="105"/>
          <w:sz w:val="14"/>
        </w:rPr>
        <w:t>Population includes powders, liquids and novel foods.</w:t>
      </w:r>
    </w:p>
    <w:p w:rsidR="007D76BB" w:rsidRDefault="00D70D28">
      <w:pPr>
        <w:spacing w:before="79" w:line="268" w:lineRule="auto"/>
        <w:ind w:left="594" w:right="844" w:hanging="113"/>
        <w:rPr>
          <w:rFonts w:ascii="Arial"/>
          <w:sz w:val="14"/>
        </w:rPr>
      </w:pPr>
      <w:r>
        <w:rPr>
          <w:rFonts w:ascii="Arial"/>
          <w:color w:val="5B6761"/>
          <w:w w:val="105"/>
          <w:position w:val="5"/>
          <w:sz w:val="8"/>
        </w:rPr>
        <w:t>41</w:t>
      </w:r>
      <w:r>
        <w:rPr>
          <w:rFonts w:ascii="Arial"/>
          <w:color w:val="5B6761"/>
          <w:spacing w:val="-4"/>
          <w:w w:val="105"/>
          <w:position w:val="5"/>
          <w:sz w:val="8"/>
        </w:rPr>
        <w:t xml:space="preserve"> </w:t>
      </w:r>
      <w:r>
        <w:rPr>
          <w:rFonts w:ascii="Arial"/>
          <w:color w:val="5B6761"/>
          <w:w w:val="105"/>
          <w:sz w:val="14"/>
        </w:rPr>
        <w:t>The</w:t>
      </w:r>
      <w:r>
        <w:rPr>
          <w:rFonts w:ascii="Arial"/>
          <w:color w:val="5B6761"/>
          <w:spacing w:val="-21"/>
          <w:w w:val="105"/>
          <w:sz w:val="14"/>
        </w:rPr>
        <w:t xml:space="preserve"> </w:t>
      </w:r>
      <w:r>
        <w:rPr>
          <w:rFonts w:ascii="Arial"/>
          <w:color w:val="5B6761"/>
          <w:w w:val="105"/>
          <w:sz w:val="14"/>
        </w:rPr>
        <w:t>number</w:t>
      </w:r>
      <w:r>
        <w:rPr>
          <w:rFonts w:ascii="Arial"/>
          <w:color w:val="5B6761"/>
          <w:spacing w:val="-20"/>
          <w:w w:val="105"/>
          <w:sz w:val="14"/>
        </w:rPr>
        <w:t xml:space="preserve"> </w:t>
      </w:r>
      <w:r>
        <w:rPr>
          <w:rFonts w:ascii="Arial"/>
          <w:color w:val="5B6761"/>
          <w:w w:val="105"/>
          <w:sz w:val="14"/>
        </w:rPr>
        <w:t>of</w:t>
      </w:r>
      <w:r>
        <w:rPr>
          <w:rFonts w:ascii="Arial"/>
          <w:color w:val="5B6761"/>
          <w:spacing w:val="-21"/>
          <w:w w:val="105"/>
          <w:sz w:val="14"/>
        </w:rPr>
        <w:t xml:space="preserve"> </w:t>
      </w:r>
      <w:r>
        <w:rPr>
          <w:rFonts w:ascii="Arial"/>
          <w:color w:val="5B6761"/>
          <w:w w:val="105"/>
          <w:sz w:val="14"/>
        </w:rPr>
        <w:t>products</w:t>
      </w:r>
      <w:r>
        <w:rPr>
          <w:rFonts w:ascii="Arial"/>
          <w:color w:val="5B6761"/>
          <w:spacing w:val="-20"/>
          <w:w w:val="105"/>
          <w:sz w:val="14"/>
        </w:rPr>
        <w:t xml:space="preserve"> </w:t>
      </w:r>
      <w:r>
        <w:rPr>
          <w:rFonts w:ascii="Arial"/>
          <w:color w:val="5B6761"/>
          <w:w w:val="105"/>
          <w:sz w:val="14"/>
        </w:rPr>
        <w:t>likely</w:t>
      </w:r>
      <w:r>
        <w:rPr>
          <w:rFonts w:ascii="Arial"/>
          <w:color w:val="5B6761"/>
          <w:spacing w:val="-19"/>
          <w:w w:val="105"/>
          <w:sz w:val="14"/>
        </w:rPr>
        <w:t xml:space="preserve"> </w:t>
      </w:r>
      <w:r>
        <w:rPr>
          <w:rFonts w:ascii="Arial"/>
          <w:color w:val="5B6761"/>
          <w:w w:val="105"/>
          <w:sz w:val="14"/>
        </w:rPr>
        <w:t>to</w:t>
      </w:r>
      <w:r>
        <w:rPr>
          <w:rFonts w:ascii="Arial"/>
          <w:color w:val="5B6761"/>
          <w:spacing w:val="-21"/>
          <w:w w:val="105"/>
          <w:sz w:val="14"/>
        </w:rPr>
        <w:t xml:space="preserve"> </w:t>
      </w:r>
      <w:r>
        <w:rPr>
          <w:rFonts w:ascii="Arial"/>
          <w:color w:val="5B6761"/>
          <w:w w:val="105"/>
          <w:sz w:val="14"/>
        </w:rPr>
        <w:t>reformulate</w:t>
      </w:r>
      <w:r>
        <w:rPr>
          <w:rFonts w:ascii="Arial"/>
          <w:color w:val="5B6761"/>
          <w:spacing w:val="-21"/>
          <w:w w:val="105"/>
          <w:sz w:val="14"/>
        </w:rPr>
        <w:t xml:space="preserve"> </w:t>
      </w:r>
      <w:r>
        <w:rPr>
          <w:rFonts w:ascii="Arial"/>
          <w:color w:val="5B6761"/>
          <w:w w:val="105"/>
          <w:sz w:val="14"/>
        </w:rPr>
        <w:t>is</w:t>
      </w:r>
      <w:r>
        <w:rPr>
          <w:rFonts w:ascii="Arial"/>
          <w:color w:val="5B6761"/>
          <w:spacing w:val="-20"/>
          <w:w w:val="105"/>
          <w:sz w:val="14"/>
        </w:rPr>
        <w:t xml:space="preserve"> </w:t>
      </w:r>
      <w:r>
        <w:rPr>
          <w:rFonts w:ascii="Arial"/>
          <w:color w:val="5B6761"/>
          <w:w w:val="105"/>
          <w:sz w:val="14"/>
        </w:rPr>
        <w:t>assessed</w:t>
      </w:r>
      <w:r>
        <w:rPr>
          <w:rFonts w:ascii="Arial"/>
          <w:color w:val="5B6761"/>
          <w:spacing w:val="-20"/>
          <w:w w:val="105"/>
          <w:sz w:val="14"/>
        </w:rPr>
        <w:t xml:space="preserve"> </w:t>
      </w:r>
      <w:r>
        <w:rPr>
          <w:rFonts w:ascii="Arial"/>
          <w:color w:val="5B6761"/>
          <w:w w:val="105"/>
          <w:sz w:val="14"/>
        </w:rPr>
        <w:t>to</w:t>
      </w:r>
      <w:r>
        <w:rPr>
          <w:rFonts w:ascii="Arial"/>
          <w:color w:val="5B6761"/>
          <w:spacing w:val="-21"/>
          <w:w w:val="105"/>
          <w:sz w:val="14"/>
        </w:rPr>
        <w:t xml:space="preserve"> </w:t>
      </w:r>
      <w:r>
        <w:rPr>
          <w:rFonts w:ascii="Arial"/>
          <w:color w:val="5B6761"/>
          <w:w w:val="105"/>
          <w:sz w:val="14"/>
        </w:rPr>
        <w:t>be</w:t>
      </w:r>
      <w:r>
        <w:rPr>
          <w:rFonts w:ascii="Arial"/>
          <w:color w:val="5B6761"/>
          <w:spacing w:val="-21"/>
          <w:w w:val="105"/>
          <w:sz w:val="14"/>
        </w:rPr>
        <w:t xml:space="preserve"> </w:t>
      </w:r>
      <w:r>
        <w:rPr>
          <w:rFonts w:ascii="Arial"/>
          <w:color w:val="5B6761"/>
          <w:w w:val="105"/>
          <w:sz w:val="14"/>
        </w:rPr>
        <w:t>low</w:t>
      </w:r>
      <w:r>
        <w:rPr>
          <w:rFonts w:ascii="Arial"/>
          <w:color w:val="5B6761"/>
          <w:spacing w:val="-20"/>
          <w:w w:val="105"/>
          <w:sz w:val="14"/>
        </w:rPr>
        <w:t xml:space="preserve"> </w:t>
      </w:r>
      <w:r>
        <w:rPr>
          <w:rFonts w:ascii="Arial"/>
          <w:color w:val="5B6761"/>
          <w:w w:val="105"/>
          <w:sz w:val="14"/>
        </w:rPr>
        <w:t>(10%)</w:t>
      </w:r>
      <w:r>
        <w:rPr>
          <w:rFonts w:ascii="Arial"/>
          <w:color w:val="5B6761"/>
          <w:spacing w:val="-17"/>
          <w:w w:val="105"/>
          <w:sz w:val="14"/>
        </w:rPr>
        <w:t xml:space="preserve"> </w:t>
      </w:r>
      <w:r>
        <w:rPr>
          <w:rFonts w:ascii="Arial"/>
          <w:color w:val="5B6761"/>
          <w:w w:val="105"/>
          <w:sz w:val="14"/>
        </w:rPr>
        <w:t>as</w:t>
      </w:r>
      <w:r>
        <w:rPr>
          <w:rFonts w:ascii="Arial"/>
          <w:color w:val="5B6761"/>
          <w:spacing w:val="-21"/>
          <w:w w:val="105"/>
          <w:sz w:val="14"/>
        </w:rPr>
        <w:t xml:space="preserve"> </w:t>
      </w:r>
      <w:r>
        <w:rPr>
          <w:rFonts w:ascii="Arial"/>
          <w:color w:val="5B6761"/>
          <w:w w:val="105"/>
          <w:sz w:val="14"/>
        </w:rPr>
        <w:t>stakeholders</w:t>
      </w:r>
      <w:r>
        <w:rPr>
          <w:rFonts w:ascii="Arial"/>
          <w:color w:val="5B6761"/>
          <w:spacing w:val="-20"/>
          <w:w w:val="105"/>
          <w:sz w:val="14"/>
        </w:rPr>
        <w:t xml:space="preserve"> </w:t>
      </w:r>
      <w:r>
        <w:rPr>
          <w:rFonts w:ascii="Arial"/>
          <w:color w:val="5B6761"/>
          <w:w w:val="105"/>
          <w:sz w:val="14"/>
        </w:rPr>
        <w:t>identified</w:t>
      </w:r>
      <w:r>
        <w:rPr>
          <w:rFonts w:ascii="Arial"/>
          <w:color w:val="5B6761"/>
          <w:spacing w:val="-20"/>
          <w:w w:val="105"/>
          <w:sz w:val="14"/>
        </w:rPr>
        <w:t xml:space="preserve"> </w:t>
      </w:r>
      <w:r>
        <w:rPr>
          <w:rFonts w:ascii="Arial"/>
          <w:color w:val="5B6761"/>
          <w:w w:val="105"/>
          <w:sz w:val="14"/>
        </w:rPr>
        <w:t>some</w:t>
      </w:r>
      <w:r>
        <w:rPr>
          <w:rFonts w:ascii="Arial"/>
          <w:color w:val="5B6761"/>
          <w:spacing w:val="-21"/>
          <w:w w:val="105"/>
          <w:sz w:val="14"/>
        </w:rPr>
        <w:t xml:space="preserve"> </w:t>
      </w:r>
      <w:r>
        <w:rPr>
          <w:rFonts w:ascii="Arial"/>
          <w:color w:val="5B6761"/>
          <w:w w:val="105"/>
          <w:sz w:val="14"/>
        </w:rPr>
        <w:t>ingredients</w:t>
      </w:r>
      <w:r>
        <w:rPr>
          <w:rFonts w:ascii="Arial"/>
          <w:color w:val="5B6761"/>
          <w:spacing w:val="-20"/>
          <w:w w:val="105"/>
          <w:sz w:val="14"/>
        </w:rPr>
        <w:t xml:space="preserve"> </w:t>
      </w:r>
      <w:r>
        <w:rPr>
          <w:rFonts w:ascii="Arial"/>
          <w:color w:val="5B6761"/>
          <w:w w:val="105"/>
          <w:sz w:val="14"/>
        </w:rPr>
        <w:t>of</w:t>
      </w:r>
      <w:r>
        <w:rPr>
          <w:rFonts w:ascii="Arial"/>
          <w:color w:val="5B6761"/>
          <w:spacing w:val="-22"/>
          <w:w w:val="105"/>
          <w:sz w:val="14"/>
        </w:rPr>
        <w:t xml:space="preserve"> </w:t>
      </w:r>
      <w:r>
        <w:rPr>
          <w:rFonts w:ascii="Arial"/>
          <w:color w:val="5B6761"/>
          <w:w w:val="105"/>
          <w:sz w:val="14"/>
        </w:rPr>
        <w:t>concern,</w:t>
      </w:r>
      <w:r>
        <w:rPr>
          <w:rFonts w:ascii="Arial"/>
          <w:color w:val="5B6761"/>
          <w:spacing w:val="-20"/>
          <w:w w:val="105"/>
          <w:sz w:val="14"/>
        </w:rPr>
        <w:t xml:space="preserve"> </w:t>
      </w:r>
      <w:r>
        <w:rPr>
          <w:rFonts w:ascii="Arial"/>
          <w:color w:val="5B6761"/>
          <w:w w:val="105"/>
          <w:sz w:val="14"/>
        </w:rPr>
        <w:t>but less</w:t>
      </w:r>
      <w:r>
        <w:rPr>
          <w:rFonts w:ascii="Arial"/>
          <w:color w:val="5B6761"/>
          <w:spacing w:val="-9"/>
          <w:w w:val="105"/>
          <w:sz w:val="14"/>
        </w:rPr>
        <w:t xml:space="preserve"> </w:t>
      </w:r>
      <w:r>
        <w:rPr>
          <w:rFonts w:ascii="Arial"/>
          <w:color w:val="5B6761"/>
          <w:w w:val="105"/>
          <w:sz w:val="14"/>
        </w:rPr>
        <w:t>than</w:t>
      </w:r>
      <w:r>
        <w:rPr>
          <w:rFonts w:ascii="Arial"/>
          <w:color w:val="5B6761"/>
          <w:spacing w:val="-7"/>
          <w:w w:val="105"/>
          <w:sz w:val="14"/>
        </w:rPr>
        <w:t xml:space="preserve"> </w:t>
      </w:r>
      <w:r>
        <w:rPr>
          <w:rFonts w:ascii="Arial"/>
          <w:color w:val="5B6761"/>
          <w:w w:val="105"/>
          <w:sz w:val="14"/>
        </w:rPr>
        <w:t>those</w:t>
      </w:r>
      <w:r>
        <w:rPr>
          <w:rFonts w:ascii="Arial"/>
          <w:color w:val="5B6761"/>
          <w:spacing w:val="-10"/>
          <w:w w:val="105"/>
          <w:sz w:val="14"/>
        </w:rPr>
        <w:t xml:space="preserve"> </w:t>
      </w:r>
      <w:r>
        <w:rPr>
          <w:rFonts w:ascii="Arial"/>
          <w:color w:val="5B6761"/>
          <w:w w:val="105"/>
          <w:sz w:val="14"/>
        </w:rPr>
        <w:t>in</w:t>
      </w:r>
      <w:r>
        <w:rPr>
          <w:rFonts w:ascii="Arial"/>
          <w:color w:val="5B6761"/>
          <w:spacing w:val="-7"/>
          <w:w w:val="105"/>
          <w:sz w:val="14"/>
        </w:rPr>
        <w:t xml:space="preserve"> </w:t>
      </w:r>
      <w:r>
        <w:rPr>
          <w:rFonts w:ascii="Arial"/>
          <w:color w:val="5B6761"/>
          <w:w w:val="105"/>
          <w:sz w:val="14"/>
        </w:rPr>
        <w:t>the</w:t>
      </w:r>
      <w:r>
        <w:rPr>
          <w:rFonts w:ascii="Arial"/>
          <w:color w:val="5B6761"/>
          <w:spacing w:val="-10"/>
          <w:w w:val="105"/>
          <w:sz w:val="14"/>
        </w:rPr>
        <w:t xml:space="preserve"> </w:t>
      </w:r>
      <w:r>
        <w:rPr>
          <w:rFonts w:ascii="Arial"/>
          <w:color w:val="5B6761"/>
          <w:w w:val="105"/>
          <w:sz w:val="14"/>
        </w:rPr>
        <w:t>Pre-Workout</w:t>
      </w:r>
      <w:r>
        <w:rPr>
          <w:rFonts w:ascii="Arial"/>
          <w:color w:val="5B6761"/>
          <w:spacing w:val="-7"/>
          <w:w w:val="105"/>
          <w:sz w:val="14"/>
        </w:rPr>
        <w:t xml:space="preserve"> </w:t>
      </w:r>
      <w:r>
        <w:rPr>
          <w:rFonts w:ascii="Arial"/>
          <w:color w:val="5B6761"/>
          <w:w w:val="105"/>
          <w:sz w:val="14"/>
        </w:rPr>
        <w:t>category.</w:t>
      </w:r>
    </w:p>
    <w:p w:rsidR="007D76BB" w:rsidRDefault="00D70D28">
      <w:pPr>
        <w:spacing w:before="59" w:line="268" w:lineRule="auto"/>
        <w:ind w:left="594" w:right="844" w:hanging="113"/>
        <w:rPr>
          <w:rFonts w:ascii="Arial"/>
          <w:sz w:val="14"/>
        </w:rPr>
      </w:pPr>
      <w:r>
        <w:rPr>
          <w:rFonts w:ascii="Arial"/>
          <w:color w:val="5B6761"/>
          <w:w w:val="105"/>
          <w:position w:val="5"/>
          <w:sz w:val="8"/>
        </w:rPr>
        <w:t>42</w:t>
      </w:r>
      <w:r>
        <w:rPr>
          <w:rFonts w:ascii="Arial"/>
          <w:color w:val="5B6761"/>
          <w:spacing w:val="-1"/>
          <w:w w:val="105"/>
          <w:position w:val="5"/>
          <w:sz w:val="8"/>
        </w:rPr>
        <w:t xml:space="preserve"> </w:t>
      </w:r>
      <w:r>
        <w:rPr>
          <w:rFonts w:ascii="Arial"/>
          <w:color w:val="5B6761"/>
          <w:w w:val="105"/>
          <w:sz w:val="14"/>
        </w:rPr>
        <w:t>Given</w:t>
      </w:r>
      <w:r>
        <w:rPr>
          <w:rFonts w:ascii="Arial"/>
          <w:color w:val="5B6761"/>
          <w:spacing w:val="-16"/>
          <w:w w:val="105"/>
          <w:sz w:val="14"/>
        </w:rPr>
        <w:t xml:space="preserve"> </w:t>
      </w:r>
      <w:r>
        <w:rPr>
          <w:rFonts w:ascii="Arial"/>
          <w:color w:val="5B6761"/>
          <w:w w:val="105"/>
          <w:sz w:val="14"/>
        </w:rPr>
        <w:t>that</w:t>
      </w:r>
      <w:r>
        <w:rPr>
          <w:rFonts w:ascii="Arial"/>
          <w:color w:val="5B6761"/>
          <w:spacing w:val="-19"/>
          <w:w w:val="105"/>
          <w:sz w:val="14"/>
        </w:rPr>
        <w:t xml:space="preserve"> </w:t>
      </w:r>
      <w:r>
        <w:rPr>
          <w:rFonts w:ascii="Arial"/>
          <w:color w:val="5B6761"/>
          <w:w w:val="105"/>
          <w:sz w:val="14"/>
        </w:rPr>
        <w:t>Post-Workout</w:t>
      </w:r>
      <w:r>
        <w:rPr>
          <w:rFonts w:ascii="Arial"/>
          <w:color w:val="5B6761"/>
          <w:spacing w:val="-17"/>
          <w:w w:val="105"/>
          <w:sz w:val="14"/>
        </w:rPr>
        <w:t xml:space="preserve"> </w:t>
      </w:r>
      <w:r>
        <w:rPr>
          <w:rFonts w:ascii="Arial"/>
          <w:color w:val="5B6761"/>
          <w:w w:val="105"/>
          <w:sz w:val="14"/>
        </w:rPr>
        <w:t>products</w:t>
      </w:r>
      <w:r>
        <w:rPr>
          <w:rFonts w:ascii="Arial"/>
          <w:color w:val="5B6761"/>
          <w:spacing w:val="-17"/>
          <w:w w:val="105"/>
          <w:sz w:val="14"/>
        </w:rPr>
        <w:t xml:space="preserve"> </w:t>
      </w:r>
      <w:r>
        <w:rPr>
          <w:rFonts w:ascii="Arial"/>
          <w:color w:val="5B6761"/>
          <w:w w:val="105"/>
          <w:sz w:val="14"/>
        </w:rPr>
        <w:t>are</w:t>
      </w:r>
      <w:r>
        <w:rPr>
          <w:rFonts w:ascii="Arial"/>
          <w:color w:val="5B6761"/>
          <w:spacing w:val="-18"/>
          <w:w w:val="105"/>
          <w:sz w:val="14"/>
        </w:rPr>
        <w:t xml:space="preserve"> </w:t>
      </w:r>
      <w:r>
        <w:rPr>
          <w:rFonts w:ascii="Arial"/>
          <w:color w:val="5B6761"/>
          <w:w w:val="105"/>
          <w:sz w:val="14"/>
        </w:rPr>
        <w:t>likely</w:t>
      </w:r>
      <w:r>
        <w:rPr>
          <w:rFonts w:ascii="Arial"/>
          <w:color w:val="5B6761"/>
          <w:spacing w:val="-17"/>
          <w:w w:val="105"/>
          <w:sz w:val="14"/>
        </w:rPr>
        <w:t xml:space="preserve"> </w:t>
      </w:r>
      <w:r>
        <w:rPr>
          <w:rFonts w:ascii="Arial"/>
          <w:color w:val="5B6761"/>
          <w:w w:val="105"/>
          <w:sz w:val="14"/>
        </w:rPr>
        <w:t>to</w:t>
      </w:r>
      <w:r>
        <w:rPr>
          <w:rFonts w:ascii="Arial"/>
          <w:color w:val="5B6761"/>
          <w:spacing w:val="-18"/>
          <w:w w:val="105"/>
          <w:sz w:val="14"/>
        </w:rPr>
        <w:t xml:space="preserve"> </w:t>
      </w:r>
      <w:r>
        <w:rPr>
          <w:rFonts w:ascii="Arial"/>
          <w:color w:val="5B6761"/>
          <w:w w:val="105"/>
          <w:sz w:val="14"/>
        </w:rPr>
        <w:t>contain</w:t>
      </w:r>
      <w:r>
        <w:rPr>
          <w:rFonts w:ascii="Arial"/>
          <w:color w:val="5B6761"/>
          <w:spacing w:val="-17"/>
          <w:w w:val="105"/>
          <w:sz w:val="14"/>
        </w:rPr>
        <w:t xml:space="preserve"> </w:t>
      </w:r>
      <w:r>
        <w:rPr>
          <w:rFonts w:ascii="Arial"/>
          <w:color w:val="5B6761"/>
          <w:w w:val="105"/>
          <w:sz w:val="14"/>
        </w:rPr>
        <w:t>more</w:t>
      </w:r>
      <w:r>
        <w:rPr>
          <w:rFonts w:ascii="Arial"/>
          <w:color w:val="5B6761"/>
          <w:spacing w:val="-18"/>
          <w:w w:val="105"/>
          <w:sz w:val="14"/>
        </w:rPr>
        <w:t xml:space="preserve"> </w:t>
      </w:r>
      <w:r>
        <w:rPr>
          <w:rFonts w:ascii="Arial"/>
          <w:color w:val="5B6761"/>
          <w:w w:val="105"/>
          <w:sz w:val="14"/>
        </w:rPr>
        <w:t>protein</w:t>
      </w:r>
      <w:r>
        <w:rPr>
          <w:rFonts w:ascii="Arial"/>
          <w:color w:val="5B6761"/>
          <w:spacing w:val="-16"/>
          <w:w w:val="105"/>
          <w:sz w:val="14"/>
        </w:rPr>
        <w:t xml:space="preserve"> </w:t>
      </w:r>
      <w:r>
        <w:rPr>
          <w:rFonts w:ascii="Arial"/>
          <w:color w:val="5B6761"/>
          <w:w w:val="105"/>
          <w:sz w:val="14"/>
        </w:rPr>
        <w:t>based</w:t>
      </w:r>
      <w:r>
        <w:rPr>
          <w:rFonts w:ascii="Arial"/>
          <w:color w:val="5B6761"/>
          <w:spacing w:val="-17"/>
          <w:w w:val="105"/>
          <w:sz w:val="14"/>
        </w:rPr>
        <w:t xml:space="preserve"> </w:t>
      </w:r>
      <w:r>
        <w:rPr>
          <w:rFonts w:ascii="Arial"/>
          <w:color w:val="5B6761"/>
          <w:w w:val="105"/>
          <w:sz w:val="14"/>
        </w:rPr>
        <w:t>ingredients</w:t>
      </w:r>
      <w:r>
        <w:rPr>
          <w:rFonts w:ascii="Arial"/>
          <w:color w:val="5B6761"/>
          <w:spacing w:val="-17"/>
          <w:w w:val="105"/>
          <w:sz w:val="14"/>
        </w:rPr>
        <w:t xml:space="preserve"> </w:t>
      </w:r>
      <w:r>
        <w:rPr>
          <w:rFonts w:ascii="Arial"/>
          <w:color w:val="5B6761"/>
          <w:w w:val="105"/>
          <w:sz w:val="14"/>
        </w:rPr>
        <w:t>(such</w:t>
      </w:r>
      <w:r>
        <w:rPr>
          <w:rFonts w:ascii="Arial"/>
          <w:color w:val="5B6761"/>
          <w:spacing w:val="-17"/>
          <w:w w:val="105"/>
          <w:sz w:val="14"/>
        </w:rPr>
        <w:t xml:space="preserve"> </w:t>
      </w:r>
      <w:r>
        <w:rPr>
          <w:rFonts w:ascii="Arial"/>
          <w:color w:val="5B6761"/>
          <w:w w:val="105"/>
          <w:sz w:val="14"/>
        </w:rPr>
        <w:t>as</w:t>
      </w:r>
      <w:r>
        <w:rPr>
          <w:rFonts w:ascii="Arial"/>
          <w:color w:val="5B6761"/>
          <w:spacing w:val="-17"/>
          <w:w w:val="105"/>
          <w:sz w:val="14"/>
        </w:rPr>
        <w:t xml:space="preserve"> </w:t>
      </w:r>
      <w:r>
        <w:rPr>
          <w:rFonts w:ascii="Arial"/>
          <w:color w:val="5B6761"/>
          <w:w w:val="105"/>
          <w:sz w:val="14"/>
        </w:rPr>
        <w:t>whey</w:t>
      </w:r>
      <w:r>
        <w:rPr>
          <w:rFonts w:ascii="Arial"/>
          <w:color w:val="5B6761"/>
          <w:spacing w:val="-17"/>
          <w:w w:val="105"/>
          <w:sz w:val="14"/>
        </w:rPr>
        <w:t xml:space="preserve"> </w:t>
      </w:r>
      <w:r>
        <w:rPr>
          <w:rFonts w:ascii="Arial"/>
          <w:color w:val="5B6761"/>
          <w:w w:val="105"/>
          <w:sz w:val="14"/>
        </w:rPr>
        <w:t>powder)</w:t>
      </w:r>
      <w:r>
        <w:rPr>
          <w:rFonts w:ascii="Arial"/>
          <w:color w:val="5B6761"/>
          <w:spacing w:val="-17"/>
          <w:w w:val="105"/>
          <w:sz w:val="14"/>
        </w:rPr>
        <w:t xml:space="preserve"> </w:t>
      </w:r>
      <w:r>
        <w:rPr>
          <w:rFonts w:ascii="Arial"/>
          <w:color w:val="5B6761"/>
          <w:w w:val="105"/>
          <w:sz w:val="14"/>
        </w:rPr>
        <w:t>only</w:t>
      </w:r>
      <w:r>
        <w:rPr>
          <w:rFonts w:ascii="Arial"/>
          <w:color w:val="5B6761"/>
          <w:spacing w:val="-19"/>
          <w:w w:val="105"/>
          <w:sz w:val="14"/>
        </w:rPr>
        <w:t xml:space="preserve"> </w:t>
      </w:r>
      <w:r>
        <w:rPr>
          <w:rFonts w:ascii="Arial"/>
          <w:color w:val="5B6761"/>
          <w:w w:val="105"/>
          <w:sz w:val="14"/>
        </w:rPr>
        <w:t>a</w:t>
      </w:r>
      <w:r>
        <w:rPr>
          <w:rFonts w:ascii="Arial"/>
          <w:color w:val="5B6761"/>
          <w:spacing w:val="-17"/>
          <w:w w:val="105"/>
          <w:sz w:val="14"/>
        </w:rPr>
        <w:t xml:space="preserve"> </w:t>
      </w:r>
      <w:r>
        <w:rPr>
          <w:rFonts w:ascii="Arial"/>
          <w:color w:val="5B6761"/>
          <w:w w:val="105"/>
          <w:sz w:val="14"/>
        </w:rPr>
        <w:t>small</w:t>
      </w:r>
      <w:r>
        <w:rPr>
          <w:rFonts w:ascii="Arial"/>
          <w:color w:val="5B6761"/>
          <w:spacing w:val="-17"/>
          <w:w w:val="105"/>
          <w:sz w:val="14"/>
        </w:rPr>
        <w:t xml:space="preserve"> </w:t>
      </w:r>
      <w:r>
        <w:rPr>
          <w:rFonts w:ascii="Arial"/>
          <w:color w:val="5B6761"/>
          <w:w w:val="105"/>
          <w:sz w:val="14"/>
        </w:rPr>
        <w:t>portion</w:t>
      </w:r>
      <w:r>
        <w:rPr>
          <w:rFonts w:ascii="Arial"/>
          <w:color w:val="5B6761"/>
          <w:spacing w:val="-16"/>
          <w:w w:val="105"/>
          <w:sz w:val="14"/>
        </w:rPr>
        <w:t xml:space="preserve"> </w:t>
      </w:r>
      <w:r>
        <w:rPr>
          <w:rFonts w:ascii="Arial"/>
          <w:color w:val="5B6761"/>
          <w:w w:val="105"/>
          <w:sz w:val="14"/>
        </w:rPr>
        <w:t>of the population are likely to not be affected by the proposed regulatory clarification, thus the percent of reformulation (out of total population)</w:t>
      </w:r>
      <w:r>
        <w:rPr>
          <w:rFonts w:ascii="Arial"/>
          <w:color w:val="5B6761"/>
          <w:spacing w:val="-9"/>
          <w:w w:val="105"/>
          <w:sz w:val="14"/>
        </w:rPr>
        <w:t xml:space="preserve"> </w:t>
      </w:r>
      <w:r>
        <w:rPr>
          <w:rFonts w:ascii="Arial"/>
          <w:color w:val="5B6761"/>
          <w:w w:val="105"/>
          <w:sz w:val="14"/>
        </w:rPr>
        <w:t>is</w:t>
      </w:r>
      <w:r>
        <w:rPr>
          <w:rFonts w:ascii="Arial"/>
          <w:color w:val="5B6761"/>
          <w:spacing w:val="-9"/>
          <w:w w:val="105"/>
          <w:sz w:val="14"/>
        </w:rPr>
        <w:t xml:space="preserve"> </w:t>
      </w:r>
      <w:r>
        <w:rPr>
          <w:rFonts w:ascii="Arial"/>
          <w:color w:val="5B6761"/>
          <w:w w:val="105"/>
          <w:sz w:val="14"/>
        </w:rPr>
        <w:t>assessed</w:t>
      </w:r>
      <w:r>
        <w:rPr>
          <w:rFonts w:ascii="Arial"/>
          <w:color w:val="5B6761"/>
          <w:spacing w:val="-7"/>
          <w:w w:val="105"/>
          <w:sz w:val="14"/>
        </w:rPr>
        <w:t xml:space="preserve"> </w:t>
      </w:r>
      <w:r>
        <w:rPr>
          <w:rFonts w:ascii="Arial"/>
          <w:color w:val="5B6761"/>
          <w:w w:val="105"/>
          <w:sz w:val="14"/>
        </w:rPr>
        <w:t>to</w:t>
      </w:r>
      <w:r>
        <w:rPr>
          <w:rFonts w:ascii="Arial"/>
          <w:color w:val="5B6761"/>
          <w:spacing w:val="-10"/>
          <w:w w:val="105"/>
          <w:sz w:val="14"/>
        </w:rPr>
        <w:t xml:space="preserve"> </w:t>
      </w:r>
      <w:r>
        <w:rPr>
          <w:rFonts w:ascii="Arial"/>
          <w:color w:val="5B6761"/>
          <w:w w:val="105"/>
          <w:sz w:val="14"/>
        </w:rPr>
        <w:t>be</w:t>
      </w:r>
      <w:r>
        <w:rPr>
          <w:rFonts w:ascii="Arial"/>
          <w:color w:val="5B6761"/>
          <w:spacing w:val="-9"/>
          <w:w w:val="105"/>
          <w:sz w:val="14"/>
        </w:rPr>
        <w:t xml:space="preserve"> </w:t>
      </w:r>
      <w:r>
        <w:rPr>
          <w:rFonts w:ascii="Arial"/>
          <w:color w:val="5B6761"/>
          <w:w w:val="105"/>
          <w:sz w:val="14"/>
        </w:rPr>
        <w:t>low</w:t>
      </w:r>
      <w:r>
        <w:rPr>
          <w:rFonts w:ascii="Arial"/>
          <w:color w:val="5B6761"/>
          <w:spacing w:val="-8"/>
          <w:w w:val="105"/>
          <w:sz w:val="14"/>
        </w:rPr>
        <w:t xml:space="preserve"> </w:t>
      </w:r>
      <w:r>
        <w:rPr>
          <w:rFonts w:ascii="Arial"/>
          <w:color w:val="5B6761"/>
          <w:w w:val="105"/>
          <w:sz w:val="14"/>
        </w:rPr>
        <w:t>(5%)</w:t>
      </w:r>
      <w:r>
        <w:rPr>
          <w:rFonts w:ascii="Arial"/>
          <w:color w:val="5B6761"/>
          <w:spacing w:val="-8"/>
          <w:w w:val="105"/>
          <w:sz w:val="14"/>
        </w:rPr>
        <w:t xml:space="preserve"> </w:t>
      </w:r>
      <w:r>
        <w:rPr>
          <w:rFonts w:ascii="Arial"/>
          <w:color w:val="5B6761"/>
          <w:w w:val="105"/>
          <w:sz w:val="14"/>
        </w:rPr>
        <w:t>.</w:t>
      </w:r>
    </w:p>
    <w:p w:rsidR="007D76BB" w:rsidRDefault="00D70D28">
      <w:pPr>
        <w:spacing w:before="60" w:line="268" w:lineRule="auto"/>
        <w:ind w:left="594" w:right="900" w:hanging="113"/>
        <w:rPr>
          <w:rFonts w:ascii="Arial"/>
          <w:sz w:val="14"/>
        </w:rPr>
      </w:pPr>
      <w:r>
        <w:rPr>
          <w:rFonts w:ascii="Arial"/>
          <w:color w:val="5B6761"/>
          <w:w w:val="105"/>
          <w:position w:val="5"/>
          <w:sz w:val="8"/>
        </w:rPr>
        <w:t>43</w:t>
      </w:r>
      <w:r>
        <w:rPr>
          <w:rFonts w:ascii="Arial"/>
          <w:color w:val="5B6761"/>
          <w:spacing w:val="1"/>
          <w:w w:val="105"/>
          <w:position w:val="5"/>
          <w:sz w:val="8"/>
        </w:rPr>
        <w:t xml:space="preserve"> </w:t>
      </w:r>
      <w:r>
        <w:rPr>
          <w:rFonts w:ascii="Arial"/>
          <w:color w:val="5B6761"/>
          <w:w w:val="105"/>
          <w:sz w:val="14"/>
        </w:rPr>
        <w:t>As</w:t>
      </w:r>
      <w:r>
        <w:rPr>
          <w:rFonts w:ascii="Arial"/>
          <w:color w:val="5B6761"/>
          <w:spacing w:val="-16"/>
          <w:w w:val="105"/>
          <w:sz w:val="14"/>
        </w:rPr>
        <w:t xml:space="preserve"> </w:t>
      </w:r>
      <w:r>
        <w:rPr>
          <w:rFonts w:ascii="Arial"/>
          <w:color w:val="5B6761"/>
          <w:w w:val="105"/>
          <w:sz w:val="14"/>
        </w:rPr>
        <w:t>stakeholders</w:t>
      </w:r>
      <w:r>
        <w:rPr>
          <w:rFonts w:ascii="Arial"/>
          <w:color w:val="5B6761"/>
          <w:spacing w:val="-17"/>
          <w:w w:val="105"/>
          <w:sz w:val="14"/>
        </w:rPr>
        <w:t xml:space="preserve"> </w:t>
      </w:r>
      <w:r>
        <w:rPr>
          <w:rFonts w:ascii="Arial"/>
          <w:color w:val="5B6761"/>
          <w:w w:val="105"/>
          <w:sz w:val="14"/>
        </w:rPr>
        <w:t>indicated</w:t>
      </w:r>
      <w:r>
        <w:rPr>
          <w:rFonts w:ascii="Arial"/>
          <w:color w:val="5B6761"/>
          <w:spacing w:val="-15"/>
          <w:w w:val="105"/>
          <w:sz w:val="14"/>
        </w:rPr>
        <w:t xml:space="preserve"> </w:t>
      </w:r>
      <w:r>
        <w:rPr>
          <w:rFonts w:ascii="Arial"/>
          <w:color w:val="5B6761"/>
          <w:w w:val="105"/>
          <w:sz w:val="14"/>
        </w:rPr>
        <w:t>that</w:t>
      </w:r>
      <w:r>
        <w:rPr>
          <w:rFonts w:ascii="Arial"/>
          <w:color w:val="5B6761"/>
          <w:spacing w:val="-16"/>
          <w:w w:val="105"/>
          <w:sz w:val="14"/>
        </w:rPr>
        <w:t xml:space="preserve"> </w:t>
      </w:r>
      <w:r>
        <w:rPr>
          <w:rFonts w:ascii="Arial"/>
          <w:color w:val="5B6761"/>
          <w:w w:val="105"/>
          <w:sz w:val="14"/>
        </w:rPr>
        <w:t>Pre-Workout</w:t>
      </w:r>
      <w:r>
        <w:rPr>
          <w:rFonts w:ascii="Arial"/>
          <w:color w:val="5B6761"/>
          <w:spacing w:val="-16"/>
          <w:w w:val="105"/>
          <w:sz w:val="14"/>
        </w:rPr>
        <w:t xml:space="preserve"> </w:t>
      </w:r>
      <w:r>
        <w:rPr>
          <w:rFonts w:ascii="Arial"/>
          <w:color w:val="5B6761"/>
          <w:w w:val="105"/>
          <w:sz w:val="14"/>
        </w:rPr>
        <w:t>products</w:t>
      </w:r>
      <w:r>
        <w:rPr>
          <w:rFonts w:ascii="Arial"/>
          <w:color w:val="5B6761"/>
          <w:spacing w:val="-16"/>
          <w:w w:val="105"/>
          <w:sz w:val="14"/>
        </w:rPr>
        <w:t xml:space="preserve"> </w:t>
      </w:r>
      <w:r>
        <w:rPr>
          <w:rFonts w:ascii="Arial"/>
          <w:color w:val="5B6761"/>
          <w:w w:val="105"/>
          <w:sz w:val="14"/>
        </w:rPr>
        <w:t>contain</w:t>
      </w:r>
      <w:r>
        <w:rPr>
          <w:rFonts w:ascii="Arial"/>
          <w:color w:val="5B6761"/>
          <w:spacing w:val="-16"/>
          <w:w w:val="105"/>
          <w:sz w:val="14"/>
        </w:rPr>
        <w:t xml:space="preserve"> </w:t>
      </w:r>
      <w:r>
        <w:rPr>
          <w:rFonts w:ascii="Arial"/>
          <w:color w:val="5B6761"/>
          <w:w w:val="105"/>
          <w:sz w:val="14"/>
        </w:rPr>
        <w:t>the</w:t>
      </w:r>
      <w:r>
        <w:rPr>
          <w:rFonts w:ascii="Arial"/>
          <w:color w:val="5B6761"/>
          <w:spacing w:val="-17"/>
          <w:w w:val="105"/>
          <w:sz w:val="14"/>
        </w:rPr>
        <w:t xml:space="preserve"> </w:t>
      </w:r>
      <w:r>
        <w:rPr>
          <w:rFonts w:ascii="Arial"/>
          <w:color w:val="5B6761"/>
          <w:w w:val="105"/>
          <w:sz w:val="14"/>
        </w:rPr>
        <w:t>most</w:t>
      </w:r>
      <w:r>
        <w:rPr>
          <w:rFonts w:ascii="Arial"/>
          <w:color w:val="5B6761"/>
          <w:spacing w:val="-15"/>
          <w:w w:val="105"/>
          <w:sz w:val="14"/>
        </w:rPr>
        <w:t xml:space="preserve"> </w:t>
      </w:r>
      <w:r>
        <w:rPr>
          <w:rFonts w:ascii="Arial"/>
          <w:color w:val="5B6761"/>
          <w:w w:val="105"/>
          <w:sz w:val="14"/>
        </w:rPr>
        <w:t>ingredients</w:t>
      </w:r>
      <w:r>
        <w:rPr>
          <w:rFonts w:ascii="Arial"/>
          <w:color w:val="5B6761"/>
          <w:spacing w:val="-17"/>
          <w:w w:val="105"/>
          <w:sz w:val="14"/>
        </w:rPr>
        <w:t xml:space="preserve"> </w:t>
      </w:r>
      <w:r>
        <w:rPr>
          <w:rFonts w:ascii="Arial"/>
          <w:color w:val="5B6761"/>
          <w:w w:val="105"/>
          <w:sz w:val="14"/>
        </w:rPr>
        <w:t>of</w:t>
      </w:r>
      <w:r>
        <w:rPr>
          <w:rFonts w:ascii="Arial"/>
          <w:color w:val="5B6761"/>
          <w:spacing w:val="-17"/>
          <w:w w:val="105"/>
          <w:sz w:val="14"/>
        </w:rPr>
        <w:t xml:space="preserve"> </w:t>
      </w:r>
      <w:r>
        <w:rPr>
          <w:rFonts w:ascii="Arial"/>
          <w:color w:val="5B6761"/>
          <w:w w:val="105"/>
          <w:sz w:val="14"/>
        </w:rPr>
        <w:t>concern</w:t>
      </w:r>
      <w:r>
        <w:rPr>
          <w:rFonts w:ascii="Arial"/>
          <w:color w:val="5B6761"/>
          <w:spacing w:val="-12"/>
          <w:w w:val="105"/>
          <w:sz w:val="14"/>
        </w:rPr>
        <w:t xml:space="preserve"> </w:t>
      </w:r>
      <w:r>
        <w:rPr>
          <w:rFonts w:ascii="Arial"/>
          <w:color w:val="5B6761"/>
          <w:w w:val="105"/>
          <w:sz w:val="14"/>
        </w:rPr>
        <w:t>(out</w:t>
      </w:r>
      <w:r>
        <w:rPr>
          <w:rFonts w:ascii="Arial"/>
          <w:color w:val="5B6761"/>
          <w:spacing w:val="-16"/>
          <w:w w:val="105"/>
          <w:sz w:val="14"/>
        </w:rPr>
        <w:t xml:space="preserve"> </w:t>
      </w:r>
      <w:r>
        <w:rPr>
          <w:rFonts w:ascii="Arial"/>
          <w:color w:val="5B6761"/>
          <w:w w:val="105"/>
          <w:sz w:val="14"/>
        </w:rPr>
        <w:t>of</w:t>
      </w:r>
      <w:r>
        <w:rPr>
          <w:rFonts w:ascii="Arial"/>
          <w:color w:val="5B6761"/>
          <w:spacing w:val="-17"/>
          <w:w w:val="105"/>
          <w:sz w:val="14"/>
        </w:rPr>
        <w:t xml:space="preserve"> </w:t>
      </w:r>
      <w:r>
        <w:rPr>
          <w:rFonts w:ascii="Arial"/>
          <w:color w:val="5B6761"/>
          <w:w w:val="105"/>
          <w:sz w:val="14"/>
        </w:rPr>
        <w:t>the</w:t>
      </w:r>
      <w:r>
        <w:rPr>
          <w:rFonts w:ascii="Arial"/>
          <w:color w:val="5B6761"/>
          <w:spacing w:val="-17"/>
          <w:w w:val="105"/>
          <w:sz w:val="14"/>
        </w:rPr>
        <w:t xml:space="preserve"> </w:t>
      </w:r>
      <w:r>
        <w:rPr>
          <w:rFonts w:ascii="Arial"/>
          <w:color w:val="5B6761"/>
          <w:w w:val="105"/>
          <w:sz w:val="14"/>
        </w:rPr>
        <w:t>three</w:t>
      </w:r>
      <w:r>
        <w:rPr>
          <w:rFonts w:ascii="Arial"/>
          <w:color w:val="5B6761"/>
          <w:spacing w:val="-17"/>
          <w:w w:val="105"/>
          <w:sz w:val="14"/>
        </w:rPr>
        <w:t xml:space="preserve"> </w:t>
      </w:r>
      <w:r>
        <w:rPr>
          <w:rFonts w:ascii="Arial"/>
          <w:color w:val="5B6761"/>
          <w:w w:val="105"/>
          <w:sz w:val="14"/>
        </w:rPr>
        <w:t>product</w:t>
      </w:r>
      <w:r>
        <w:rPr>
          <w:rFonts w:ascii="Arial"/>
          <w:color w:val="5B6761"/>
          <w:spacing w:val="-16"/>
          <w:w w:val="105"/>
          <w:sz w:val="14"/>
        </w:rPr>
        <w:t xml:space="preserve"> </w:t>
      </w:r>
      <w:r>
        <w:rPr>
          <w:rFonts w:ascii="Arial"/>
          <w:color w:val="5B6761"/>
          <w:w w:val="105"/>
          <w:sz w:val="14"/>
        </w:rPr>
        <w:t xml:space="preserve">categories), </w:t>
      </w:r>
      <w:r>
        <w:rPr>
          <w:rFonts w:ascii="Arial"/>
          <w:color w:val="5B6761"/>
          <w:w w:val="110"/>
          <w:sz w:val="14"/>
        </w:rPr>
        <w:t>the</w:t>
      </w:r>
      <w:r>
        <w:rPr>
          <w:rFonts w:ascii="Arial"/>
          <w:color w:val="5B6761"/>
          <w:spacing w:val="-17"/>
          <w:w w:val="110"/>
          <w:sz w:val="14"/>
        </w:rPr>
        <w:t xml:space="preserve"> </w:t>
      </w:r>
      <w:r>
        <w:rPr>
          <w:rFonts w:ascii="Arial"/>
          <w:color w:val="5B6761"/>
          <w:w w:val="110"/>
          <w:sz w:val="14"/>
        </w:rPr>
        <w:t>population</w:t>
      </w:r>
      <w:r>
        <w:rPr>
          <w:rFonts w:ascii="Arial"/>
          <w:color w:val="5B6761"/>
          <w:spacing w:val="-14"/>
          <w:w w:val="110"/>
          <w:sz w:val="14"/>
        </w:rPr>
        <w:t xml:space="preserve"> </w:t>
      </w:r>
      <w:r>
        <w:rPr>
          <w:rFonts w:ascii="Arial"/>
          <w:color w:val="5B6761"/>
          <w:w w:val="110"/>
          <w:sz w:val="14"/>
        </w:rPr>
        <w:t>is</w:t>
      </w:r>
      <w:r>
        <w:rPr>
          <w:rFonts w:ascii="Arial"/>
          <w:color w:val="5B6761"/>
          <w:spacing w:val="-15"/>
          <w:w w:val="110"/>
          <w:sz w:val="14"/>
        </w:rPr>
        <w:t xml:space="preserve"> </w:t>
      </w:r>
      <w:r>
        <w:rPr>
          <w:rFonts w:ascii="Arial"/>
          <w:color w:val="5B6761"/>
          <w:w w:val="110"/>
          <w:sz w:val="14"/>
        </w:rPr>
        <w:t>likely</w:t>
      </w:r>
      <w:r>
        <w:rPr>
          <w:rFonts w:ascii="Arial"/>
          <w:color w:val="5B6761"/>
          <w:spacing w:val="-16"/>
          <w:w w:val="110"/>
          <w:sz w:val="14"/>
        </w:rPr>
        <w:t xml:space="preserve"> </w:t>
      </w:r>
      <w:r>
        <w:rPr>
          <w:rFonts w:ascii="Arial"/>
          <w:color w:val="5B6761"/>
          <w:w w:val="110"/>
          <w:sz w:val="14"/>
        </w:rPr>
        <w:t>to</w:t>
      </w:r>
      <w:r>
        <w:rPr>
          <w:rFonts w:ascii="Arial"/>
          <w:color w:val="5B6761"/>
          <w:spacing w:val="-16"/>
          <w:w w:val="110"/>
          <w:sz w:val="14"/>
        </w:rPr>
        <w:t xml:space="preserve"> </w:t>
      </w:r>
      <w:r>
        <w:rPr>
          <w:rFonts w:ascii="Arial"/>
          <w:color w:val="5B6761"/>
          <w:w w:val="110"/>
          <w:sz w:val="14"/>
        </w:rPr>
        <w:t>have</w:t>
      </w:r>
      <w:r>
        <w:rPr>
          <w:rFonts w:ascii="Arial"/>
          <w:color w:val="5B6761"/>
          <w:spacing w:val="-16"/>
          <w:w w:val="110"/>
          <w:sz w:val="14"/>
        </w:rPr>
        <w:t xml:space="preserve"> </w:t>
      </w:r>
      <w:r>
        <w:rPr>
          <w:rFonts w:ascii="Arial"/>
          <w:color w:val="5B6761"/>
          <w:w w:val="110"/>
          <w:sz w:val="14"/>
        </w:rPr>
        <w:t>a</w:t>
      </w:r>
      <w:r>
        <w:rPr>
          <w:rFonts w:ascii="Arial"/>
          <w:color w:val="5B6761"/>
          <w:spacing w:val="-14"/>
          <w:w w:val="110"/>
          <w:sz w:val="14"/>
        </w:rPr>
        <w:t xml:space="preserve"> </w:t>
      </w:r>
      <w:r>
        <w:rPr>
          <w:rFonts w:ascii="Arial"/>
          <w:color w:val="5B6761"/>
          <w:w w:val="110"/>
          <w:sz w:val="14"/>
        </w:rPr>
        <w:t>higher</w:t>
      </w:r>
      <w:r>
        <w:rPr>
          <w:rFonts w:ascii="Arial"/>
          <w:color w:val="5B6761"/>
          <w:spacing w:val="-16"/>
          <w:w w:val="110"/>
          <w:sz w:val="14"/>
        </w:rPr>
        <w:t xml:space="preserve"> </w:t>
      </w:r>
      <w:r>
        <w:rPr>
          <w:rFonts w:ascii="Arial"/>
          <w:color w:val="5B6761"/>
          <w:w w:val="110"/>
          <w:sz w:val="14"/>
        </w:rPr>
        <w:t>rate</w:t>
      </w:r>
      <w:r>
        <w:rPr>
          <w:rFonts w:ascii="Arial"/>
          <w:color w:val="5B6761"/>
          <w:spacing w:val="-16"/>
          <w:w w:val="110"/>
          <w:sz w:val="14"/>
        </w:rPr>
        <w:t xml:space="preserve"> </w:t>
      </w:r>
      <w:r>
        <w:rPr>
          <w:rFonts w:ascii="Arial"/>
          <w:color w:val="5B6761"/>
          <w:w w:val="110"/>
          <w:sz w:val="14"/>
        </w:rPr>
        <w:t>of</w:t>
      </w:r>
      <w:r>
        <w:rPr>
          <w:rFonts w:ascii="Arial"/>
          <w:color w:val="5B6761"/>
          <w:spacing w:val="-17"/>
          <w:w w:val="110"/>
          <w:sz w:val="14"/>
        </w:rPr>
        <w:t xml:space="preserve"> </w:t>
      </w:r>
      <w:r>
        <w:rPr>
          <w:rFonts w:ascii="Arial"/>
          <w:color w:val="5B6761"/>
          <w:w w:val="110"/>
          <w:sz w:val="14"/>
        </w:rPr>
        <w:t>reformulation</w:t>
      </w:r>
      <w:r>
        <w:rPr>
          <w:rFonts w:ascii="Arial"/>
          <w:color w:val="5B6761"/>
          <w:spacing w:val="-14"/>
          <w:w w:val="110"/>
          <w:sz w:val="14"/>
        </w:rPr>
        <w:t xml:space="preserve"> </w:t>
      </w:r>
      <w:r>
        <w:rPr>
          <w:rFonts w:ascii="Arial"/>
          <w:color w:val="5B6761"/>
          <w:w w:val="110"/>
          <w:sz w:val="14"/>
        </w:rPr>
        <w:t>(20%)</w:t>
      </w:r>
      <w:r>
        <w:rPr>
          <w:rFonts w:ascii="Arial"/>
          <w:color w:val="5B6761"/>
          <w:spacing w:val="-15"/>
          <w:w w:val="110"/>
          <w:sz w:val="14"/>
        </w:rPr>
        <w:t xml:space="preserve"> </w:t>
      </w:r>
      <w:r>
        <w:rPr>
          <w:rFonts w:ascii="Arial"/>
          <w:color w:val="5B6761"/>
          <w:w w:val="110"/>
          <w:sz w:val="14"/>
        </w:rPr>
        <w:t>than</w:t>
      </w:r>
      <w:r>
        <w:rPr>
          <w:rFonts w:ascii="Arial"/>
          <w:color w:val="5B6761"/>
          <w:spacing w:val="-15"/>
          <w:w w:val="110"/>
          <w:sz w:val="14"/>
        </w:rPr>
        <w:t xml:space="preserve"> </w:t>
      </w:r>
      <w:r>
        <w:rPr>
          <w:rFonts w:ascii="Arial"/>
          <w:color w:val="5B6761"/>
          <w:w w:val="110"/>
          <w:sz w:val="14"/>
        </w:rPr>
        <w:t>the</w:t>
      </w:r>
      <w:r>
        <w:rPr>
          <w:rFonts w:ascii="Arial"/>
          <w:color w:val="5B6761"/>
          <w:spacing w:val="-16"/>
          <w:w w:val="110"/>
          <w:sz w:val="14"/>
        </w:rPr>
        <w:t xml:space="preserve"> </w:t>
      </w:r>
      <w:r>
        <w:rPr>
          <w:rFonts w:ascii="Arial"/>
          <w:color w:val="5B6761"/>
          <w:w w:val="110"/>
          <w:sz w:val="14"/>
        </w:rPr>
        <w:t>other</w:t>
      </w:r>
      <w:r>
        <w:rPr>
          <w:rFonts w:ascii="Arial"/>
          <w:color w:val="5B6761"/>
          <w:spacing w:val="-14"/>
          <w:w w:val="110"/>
          <w:sz w:val="14"/>
        </w:rPr>
        <w:t xml:space="preserve"> </w:t>
      </w:r>
      <w:r>
        <w:rPr>
          <w:rFonts w:ascii="Arial"/>
          <w:color w:val="5B6761"/>
          <w:w w:val="110"/>
          <w:sz w:val="14"/>
        </w:rPr>
        <w:t>product</w:t>
      </w:r>
      <w:r>
        <w:rPr>
          <w:rFonts w:ascii="Arial"/>
          <w:color w:val="5B6761"/>
          <w:spacing w:val="-15"/>
          <w:w w:val="110"/>
          <w:sz w:val="14"/>
        </w:rPr>
        <w:t xml:space="preserve"> </w:t>
      </w:r>
      <w:r>
        <w:rPr>
          <w:rFonts w:ascii="Arial"/>
          <w:color w:val="5B6761"/>
          <w:w w:val="110"/>
          <w:sz w:val="14"/>
        </w:rPr>
        <w:t>populations.</w:t>
      </w:r>
    </w:p>
    <w:p w:rsidR="007D76BB" w:rsidRDefault="00D70D28">
      <w:pPr>
        <w:spacing w:before="60" w:line="268" w:lineRule="auto"/>
        <w:ind w:left="594" w:right="928" w:hanging="113"/>
        <w:rPr>
          <w:rFonts w:ascii="Arial"/>
          <w:sz w:val="14"/>
        </w:rPr>
      </w:pPr>
      <w:r>
        <w:rPr>
          <w:rFonts w:ascii="Arial"/>
          <w:color w:val="5B6761"/>
          <w:w w:val="105"/>
          <w:position w:val="5"/>
          <w:sz w:val="8"/>
        </w:rPr>
        <w:t>44</w:t>
      </w:r>
      <w:r>
        <w:rPr>
          <w:rFonts w:ascii="Arial"/>
          <w:color w:val="5B6761"/>
          <w:spacing w:val="2"/>
          <w:w w:val="105"/>
          <w:position w:val="5"/>
          <w:sz w:val="8"/>
        </w:rPr>
        <w:t xml:space="preserve"> </w:t>
      </w:r>
      <w:r>
        <w:rPr>
          <w:rFonts w:ascii="Arial"/>
          <w:color w:val="5B6761"/>
          <w:w w:val="105"/>
          <w:sz w:val="14"/>
        </w:rPr>
        <w:t>The</w:t>
      </w:r>
      <w:r>
        <w:rPr>
          <w:rFonts w:ascii="Arial"/>
          <w:color w:val="5B6761"/>
          <w:spacing w:val="-16"/>
          <w:w w:val="105"/>
          <w:sz w:val="14"/>
        </w:rPr>
        <w:t xml:space="preserve"> </w:t>
      </w:r>
      <w:r>
        <w:rPr>
          <w:rFonts w:ascii="Arial"/>
          <w:color w:val="5B6761"/>
          <w:w w:val="105"/>
          <w:sz w:val="14"/>
        </w:rPr>
        <w:t>percentage</w:t>
      </w:r>
      <w:r>
        <w:rPr>
          <w:rFonts w:ascii="Arial"/>
          <w:color w:val="5B6761"/>
          <w:spacing w:val="-17"/>
          <w:w w:val="105"/>
          <w:sz w:val="14"/>
        </w:rPr>
        <w:t xml:space="preserve"> </w:t>
      </w:r>
      <w:r>
        <w:rPr>
          <w:rFonts w:ascii="Arial"/>
          <w:color w:val="5B6761"/>
          <w:w w:val="105"/>
          <w:sz w:val="14"/>
        </w:rPr>
        <w:t>of</w:t>
      </w:r>
      <w:r>
        <w:rPr>
          <w:rFonts w:ascii="Arial"/>
          <w:color w:val="5B6761"/>
          <w:spacing w:val="-16"/>
          <w:w w:val="105"/>
          <w:sz w:val="14"/>
        </w:rPr>
        <w:t xml:space="preserve"> </w:t>
      </w:r>
      <w:r>
        <w:rPr>
          <w:rFonts w:ascii="Arial"/>
          <w:color w:val="5B6761"/>
          <w:w w:val="105"/>
          <w:sz w:val="14"/>
        </w:rPr>
        <w:t>reformulation</w:t>
      </w:r>
      <w:r>
        <w:rPr>
          <w:rFonts w:ascii="Arial"/>
          <w:color w:val="5B6761"/>
          <w:spacing w:val="-15"/>
          <w:w w:val="105"/>
          <w:sz w:val="14"/>
        </w:rPr>
        <w:t xml:space="preserve"> </w:t>
      </w:r>
      <w:r>
        <w:rPr>
          <w:rFonts w:ascii="Arial"/>
          <w:color w:val="5B6761"/>
          <w:w w:val="105"/>
          <w:sz w:val="14"/>
        </w:rPr>
        <w:t>of</w:t>
      </w:r>
      <w:r>
        <w:rPr>
          <w:rFonts w:ascii="Arial"/>
          <w:color w:val="5B6761"/>
          <w:spacing w:val="-17"/>
          <w:w w:val="105"/>
          <w:sz w:val="14"/>
        </w:rPr>
        <w:t xml:space="preserve"> </w:t>
      </w:r>
      <w:r>
        <w:rPr>
          <w:rFonts w:ascii="Arial"/>
          <w:color w:val="5B6761"/>
          <w:w w:val="105"/>
          <w:sz w:val="14"/>
        </w:rPr>
        <w:t>all</w:t>
      </w:r>
      <w:r>
        <w:rPr>
          <w:rFonts w:ascii="Arial"/>
          <w:color w:val="5B6761"/>
          <w:spacing w:val="-12"/>
          <w:w w:val="105"/>
          <w:sz w:val="14"/>
        </w:rPr>
        <w:t xml:space="preserve"> </w:t>
      </w:r>
      <w:r>
        <w:rPr>
          <w:rFonts w:ascii="Arial"/>
          <w:color w:val="5B6761"/>
          <w:w w:val="105"/>
          <w:sz w:val="14"/>
        </w:rPr>
        <w:t>capsule/tablet</w:t>
      </w:r>
      <w:r>
        <w:rPr>
          <w:rFonts w:ascii="Arial"/>
          <w:color w:val="5B6761"/>
          <w:spacing w:val="-16"/>
          <w:w w:val="105"/>
          <w:sz w:val="14"/>
        </w:rPr>
        <w:t xml:space="preserve"> </w:t>
      </w:r>
      <w:r>
        <w:rPr>
          <w:rFonts w:ascii="Arial"/>
          <w:color w:val="5B6761"/>
          <w:w w:val="105"/>
          <w:sz w:val="14"/>
        </w:rPr>
        <w:t>products</w:t>
      </w:r>
      <w:r>
        <w:rPr>
          <w:rFonts w:ascii="Arial"/>
          <w:color w:val="5B6761"/>
          <w:spacing w:val="-14"/>
          <w:w w:val="105"/>
          <w:sz w:val="14"/>
        </w:rPr>
        <w:t xml:space="preserve"> </w:t>
      </w:r>
      <w:r>
        <w:rPr>
          <w:rFonts w:ascii="Arial"/>
          <w:color w:val="5B6761"/>
          <w:w w:val="105"/>
          <w:sz w:val="14"/>
        </w:rPr>
        <w:t>was</w:t>
      </w:r>
      <w:r>
        <w:rPr>
          <w:rFonts w:ascii="Arial"/>
          <w:color w:val="5B6761"/>
          <w:spacing w:val="-16"/>
          <w:w w:val="105"/>
          <w:sz w:val="14"/>
        </w:rPr>
        <w:t xml:space="preserve"> </w:t>
      </w:r>
      <w:r>
        <w:rPr>
          <w:rFonts w:ascii="Arial"/>
          <w:color w:val="5B6761"/>
          <w:w w:val="105"/>
          <w:sz w:val="14"/>
        </w:rPr>
        <w:t>assed</w:t>
      </w:r>
      <w:r>
        <w:rPr>
          <w:rFonts w:ascii="Arial"/>
          <w:color w:val="5B6761"/>
          <w:spacing w:val="-15"/>
          <w:w w:val="105"/>
          <w:sz w:val="14"/>
        </w:rPr>
        <w:t xml:space="preserve"> </w:t>
      </w:r>
      <w:r>
        <w:rPr>
          <w:rFonts w:ascii="Arial"/>
          <w:color w:val="5B6761"/>
          <w:w w:val="105"/>
          <w:sz w:val="14"/>
        </w:rPr>
        <w:t>to</w:t>
      </w:r>
      <w:r>
        <w:rPr>
          <w:rFonts w:ascii="Arial"/>
          <w:color w:val="5B6761"/>
          <w:spacing w:val="-16"/>
          <w:w w:val="105"/>
          <w:sz w:val="14"/>
        </w:rPr>
        <w:t xml:space="preserve"> </w:t>
      </w:r>
      <w:r>
        <w:rPr>
          <w:rFonts w:ascii="Arial"/>
          <w:color w:val="5B6761"/>
          <w:w w:val="105"/>
          <w:sz w:val="14"/>
        </w:rPr>
        <w:t>be</w:t>
      </w:r>
      <w:r>
        <w:rPr>
          <w:rFonts w:ascii="Arial"/>
          <w:color w:val="5B6761"/>
          <w:spacing w:val="-17"/>
          <w:w w:val="105"/>
          <w:sz w:val="14"/>
        </w:rPr>
        <w:t xml:space="preserve"> </w:t>
      </w:r>
      <w:r>
        <w:rPr>
          <w:rFonts w:ascii="Arial"/>
          <w:color w:val="5B6761"/>
          <w:w w:val="105"/>
          <w:sz w:val="14"/>
        </w:rPr>
        <w:t>low</w:t>
      </w:r>
      <w:r>
        <w:rPr>
          <w:rFonts w:ascii="Arial"/>
          <w:color w:val="5B6761"/>
          <w:spacing w:val="-15"/>
          <w:w w:val="105"/>
          <w:sz w:val="14"/>
        </w:rPr>
        <w:t xml:space="preserve"> </w:t>
      </w:r>
      <w:r>
        <w:rPr>
          <w:rFonts w:ascii="Arial"/>
          <w:color w:val="5B6761"/>
          <w:w w:val="105"/>
          <w:sz w:val="14"/>
        </w:rPr>
        <w:t>(5%),</w:t>
      </w:r>
      <w:r>
        <w:rPr>
          <w:rFonts w:ascii="Arial"/>
          <w:color w:val="5B6761"/>
          <w:spacing w:val="-15"/>
          <w:w w:val="105"/>
          <w:sz w:val="14"/>
        </w:rPr>
        <w:t xml:space="preserve"> </w:t>
      </w:r>
      <w:r>
        <w:rPr>
          <w:rFonts w:ascii="Arial"/>
          <w:color w:val="5B6761"/>
          <w:w w:val="105"/>
          <w:sz w:val="14"/>
        </w:rPr>
        <w:t>as</w:t>
      </w:r>
      <w:r>
        <w:rPr>
          <w:rFonts w:ascii="Arial"/>
          <w:color w:val="5B6761"/>
          <w:spacing w:val="-16"/>
          <w:w w:val="105"/>
          <w:sz w:val="14"/>
        </w:rPr>
        <w:t xml:space="preserve"> </w:t>
      </w:r>
      <w:r>
        <w:rPr>
          <w:rFonts w:ascii="Arial"/>
          <w:color w:val="5B6761"/>
          <w:w w:val="105"/>
          <w:sz w:val="14"/>
        </w:rPr>
        <w:t>reformulating</w:t>
      </w:r>
      <w:r>
        <w:rPr>
          <w:rFonts w:ascii="Arial"/>
          <w:color w:val="5B6761"/>
          <w:spacing w:val="-12"/>
          <w:w w:val="105"/>
          <w:sz w:val="14"/>
        </w:rPr>
        <w:t xml:space="preserve"> </w:t>
      </w:r>
      <w:r>
        <w:rPr>
          <w:rFonts w:ascii="Arial"/>
          <w:color w:val="5B6761"/>
          <w:w w:val="105"/>
          <w:sz w:val="14"/>
        </w:rPr>
        <w:t>to</w:t>
      </w:r>
      <w:r>
        <w:rPr>
          <w:rFonts w:ascii="Arial"/>
          <w:color w:val="5B6761"/>
          <w:spacing w:val="-17"/>
          <w:w w:val="105"/>
          <w:sz w:val="14"/>
        </w:rPr>
        <w:t xml:space="preserve"> </w:t>
      </w:r>
      <w:r>
        <w:rPr>
          <w:rFonts w:ascii="Arial"/>
          <w:color w:val="5B6761"/>
          <w:w w:val="105"/>
          <w:sz w:val="14"/>
        </w:rPr>
        <w:t>a</w:t>
      </w:r>
      <w:r>
        <w:rPr>
          <w:rFonts w:ascii="Arial"/>
          <w:color w:val="5B6761"/>
          <w:spacing w:val="-15"/>
          <w:w w:val="105"/>
          <w:sz w:val="14"/>
        </w:rPr>
        <w:t xml:space="preserve"> </w:t>
      </w:r>
      <w:r>
        <w:rPr>
          <w:rFonts w:ascii="Arial"/>
          <w:color w:val="5B6761"/>
          <w:w w:val="105"/>
          <w:sz w:val="14"/>
        </w:rPr>
        <w:t>different</w:t>
      </w:r>
      <w:r>
        <w:rPr>
          <w:rFonts w:ascii="Arial"/>
          <w:color w:val="5B6761"/>
          <w:spacing w:val="-15"/>
          <w:w w:val="105"/>
          <w:sz w:val="14"/>
        </w:rPr>
        <w:t xml:space="preserve"> </w:t>
      </w:r>
      <w:r>
        <w:rPr>
          <w:rFonts w:ascii="Arial"/>
          <w:color w:val="5B6761"/>
          <w:w w:val="105"/>
          <w:sz w:val="14"/>
        </w:rPr>
        <w:t>presentation is</w:t>
      </w:r>
      <w:r>
        <w:rPr>
          <w:rFonts w:ascii="Arial"/>
          <w:color w:val="5B6761"/>
          <w:spacing w:val="-17"/>
          <w:w w:val="105"/>
          <w:sz w:val="14"/>
        </w:rPr>
        <w:t xml:space="preserve"> </w:t>
      </w:r>
      <w:r>
        <w:rPr>
          <w:rFonts w:ascii="Arial"/>
          <w:color w:val="5B6761"/>
          <w:w w:val="105"/>
          <w:sz w:val="14"/>
        </w:rPr>
        <w:t>not</w:t>
      </w:r>
      <w:r>
        <w:rPr>
          <w:rFonts w:ascii="Arial"/>
          <w:color w:val="5B6761"/>
          <w:spacing w:val="-16"/>
          <w:w w:val="105"/>
          <w:sz w:val="14"/>
        </w:rPr>
        <w:t xml:space="preserve"> </w:t>
      </w:r>
      <w:r>
        <w:rPr>
          <w:rFonts w:ascii="Arial"/>
          <w:color w:val="5B6761"/>
          <w:w w:val="105"/>
          <w:sz w:val="14"/>
        </w:rPr>
        <w:t>a</w:t>
      </w:r>
      <w:r>
        <w:rPr>
          <w:rFonts w:ascii="Arial"/>
          <w:color w:val="5B6761"/>
          <w:spacing w:val="-15"/>
          <w:w w:val="105"/>
          <w:sz w:val="14"/>
        </w:rPr>
        <w:t xml:space="preserve"> </w:t>
      </w:r>
      <w:r>
        <w:rPr>
          <w:rFonts w:ascii="Arial"/>
          <w:color w:val="5B6761"/>
          <w:w w:val="105"/>
          <w:sz w:val="14"/>
        </w:rPr>
        <w:t>preferred</w:t>
      </w:r>
      <w:r>
        <w:rPr>
          <w:rFonts w:ascii="Arial"/>
          <w:color w:val="5B6761"/>
          <w:spacing w:val="-16"/>
          <w:w w:val="105"/>
          <w:sz w:val="14"/>
        </w:rPr>
        <w:t xml:space="preserve"> </w:t>
      </w:r>
      <w:r>
        <w:rPr>
          <w:rFonts w:ascii="Arial"/>
          <w:color w:val="5B6761"/>
          <w:w w:val="105"/>
          <w:sz w:val="14"/>
        </w:rPr>
        <w:t>option</w:t>
      </w:r>
      <w:r>
        <w:rPr>
          <w:rFonts w:ascii="Arial"/>
          <w:color w:val="5B6761"/>
          <w:spacing w:val="-16"/>
          <w:w w:val="105"/>
          <w:sz w:val="14"/>
        </w:rPr>
        <w:t xml:space="preserve"> </w:t>
      </w:r>
      <w:r>
        <w:rPr>
          <w:rFonts w:ascii="Arial"/>
          <w:color w:val="5B6761"/>
          <w:w w:val="105"/>
          <w:sz w:val="14"/>
        </w:rPr>
        <w:t>for</w:t>
      </w:r>
      <w:r>
        <w:rPr>
          <w:rFonts w:ascii="Arial"/>
          <w:color w:val="5B6761"/>
          <w:spacing w:val="-15"/>
          <w:w w:val="105"/>
          <w:sz w:val="14"/>
        </w:rPr>
        <w:t xml:space="preserve"> </w:t>
      </w:r>
      <w:r>
        <w:rPr>
          <w:rFonts w:ascii="Arial"/>
          <w:color w:val="5B6761"/>
          <w:w w:val="105"/>
          <w:sz w:val="14"/>
        </w:rPr>
        <w:t>stakeholders</w:t>
      </w:r>
      <w:r>
        <w:rPr>
          <w:rFonts w:ascii="Arial"/>
          <w:color w:val="5B6761"/>
          <w:spacing w:val="-17"/>
          <w:w w:val="105"/>
          <w:sz w:val="14"/>
        </w:rPr>
        <w:t xml:space="preserve"> </w:t>
      </w:r>
      <w:r>
        <w:rPr>
          <w:rFonts w:ascii="Arial"/>
          <w:color w:val="5B6761"/>
          <w:w w:val="105"/>
          <w:sz w:val="14"/>
        </w:rPr>
        <w:t>(as</w:t>
      </w:r>
      <w:r>
        <w:rPr>
          <w:rFonts w:ascii="Arial"/>
          <w:color w:val="5B6761"/>
          <w:spacing w:val="-16"/>
          <w:w w:val="105"/>
          <w:sz w:val="14"/>
        </w:rPr>
        <w:t xml:space="preserve"> </w:t>
      </w:r>
      <w:r>
        <w:rPr>
          <w:rFonts w:ascii="Arial"/>
          <w:color w:val="5B6761"/>
          <w:w w:val="105"/>
          <w:sz w:val="14"/>
        </w:rPr>
        <w:t>capsule/pill</w:t>
      </w:r>
      <w:r>
        <w:rPr>
          <w:rFonts w:ascii="Arial"/>
          <w:color w:val="5B6761"/>
          <w:spacing w:val="-16"/>
          <w:w w:val="105"/>
          <w:sz w:val="14"/>
        </w:rPr>
        <w:t xml:space="preserve"> </w:t>
      </w:r>
      <w:r>
        <w:rPr>
          <w:rFonts w:ascii="Arial"/>
          <w:color w:val="5B6761"/>
          <w:w w:val="105"/>
          <w:sz w:val="14"/>
        </w:rPr>
        <w:t>presentation</w:t>
      </w:r>
      <w:r>
        <w:rPr>
          <w:rFonts w:ascii="Arial"/>
          <w:color w:val="5B6761"/>
          <w:spacing w:val="-16"/>
          <w:w w:val="105"/>
          <w:sz w:val="14"/>
        </w:rPr>
        <w:t xml:space="preserve"> </w:t>
      </w:r>
      <w:r>
        <w:rPr>
          <w:rFonts w:ascii="Arial"/>
          <w:color w:val="5B6761"/>
          <w:w w:val="105"/>
          <w:sz w:val="14"/>
        </w:rPr>
        <w:t>was</w:t>
      </w:r>
      <w:r>
        <w:rPr>
          <w:rFonts w:ascii="Arial"/>
          <w:color w:val="5B6761"/>
          <w:spacing w:val="-16"/>
          <w:w w:val="105"/>
          <w:sz w:val="14"/>
        </w:rPr>
        <w:t xml:space="preserve"> </w:t>
      </w:r>
      <w:r>
        <w:rPr>
          <w:rFonts w:ascii="Arial"/>
          <w:color w:val="5B6761"/>
          <w:w w:val="105"/>
          <w:sz w:val="14"/>
        </w:rPr>
        <w:t>a</w:t>
      </w:r>
      <w:r>
        <w:rPr>
          <w:rFonts w:ascii="Arial"/>
          <w:color w:val="5B6761"/>
          <w:spacing w:val="-16"/>
          <w:w w:val="105"/>
          <w:sz w:val="14"/>
        </w:rPr>
        <w:t xml:space="preserve"> </w:t>
      </w:r>
      <w:r>
        <w:rPr>
          <w:rFonts w:ascii="Arial"/>
          <w:color w:val="5B6761"/>
          <w:w w:val="105"/>
          <w:sz w:val="14"/>
        </w:rPr>
        <w:t>differentiator</w:t>
      </w:r>
      <w:r>
        <w:rPr>
          <w:rFonts w:ascii="Arial"/>
          <w:color w:val="5B6761"/>
          <w:spacing w:val="-16"/>
          <w:w w:val="105"/>
          <w:sz w:val="14"/>
        </w:rPr>
        <w:t xml:space="preserve"> </w:t>
      </w:r>
      <w:r>
        <w:rPr>
          <w:rFonts w:ascii="Arial"/>
          <w:color w:val="5B6761"/>
          <w:w w:val="105"/>
          <w:sz w:val="14"/>
        </w:rPr>
        <w:t>in</w:t>
      </w:r>
      <w:r>
        <w:rPr>
          <w:rFonts w:ascii="Arial"/>
          <w:color w:val="5B6761"/>
          <w:spacing w:val="-15"/>
          <w:w w:val="105"/>
          <w:sz w:val="14"/>
        </w:rPr>
        <w:t xml:space="preserve"> </w:t>
      </w:r>
      <w:r>
        <w:rPr>
          <w:rFonts w:ascii="Arial"/>
          <w:color w:val="5B6761"/>
          <w:w w:val="105"/>
          <w:sz w:val="14"/>
        </w:rPr>
        <w:t>the</w:t>
      </w:r>
      <w:r>
        <w:rPr>
          <w:rFonts w:ascii="Arial"/>
          <w:color w:val="5B6761"/>
          <w:spacing w:val="-18"/>
          <w:w w:val="105"/>
          <w:sz w:val="14"/>
        </w:rPr>
        <w:t xml:space="preserve"> </w:t>
      </w:r>
      <w:r>
        <w:rPr>
          <w:rFonts w:ascii="Arial"/>
          <w:color w:val="5B6761"/>
          <w:w w:val="105"/>
          <w:sz w:val="14"/>
        </w:rPr>
        <w:t>market).</w:t>
      </w:r>
      <w:r>
        <w:rPr>
          <w:rFonts w:ascii="Arial"/>
          <w:color w:val="5B6761"/>
          <w:spacing w:val="-16"/>
          <w:w w:val="105"/>
          <w:sz w:val="14"/>
        </w:rPr>
        <w:t xml:space="preserve"> </w:t>
      </w:r>
      <w:r>
        <w:rPr>
          <w:rFonts w:ascii="Arial"/>
          <w:color w:val="5B6761"/>
          <w:w w:val="105"/>
          <w:sz w:val="14"/>
        </w:rPr>
        <w:t>To</w:t>
      </w:r>
      <w:r>
        <w:rPr>
          <w:rFonts w:ascii="Arial"/>
          <w:color w:val="5B6761"/>
          <w:spacing w:val="-17"/>
          <w:w w:val="105"/>
          <w:sz w:val="14"/>
        </w:rPr>
        <w:t xml:space="preserve"> </w:t>
      </w:r>
      <w:r>
        <w:rPr>
          <w:rFonts w:ascii="Arial"/>
          <w:color w:val="5B6761"/>
          <w:w w:val="105"/>
          <w:sz w:val="14"/>
        </w:rPr>
        <w:t>remain</w:t>
      </w:r>
      <w:r>
        <w:rPr>
          <w:rFonts w:ascii="Arial"/>
          <w:color w:val="5B6761"/>
          <w:spacing w:val="-18"/>
          <w:w w:val="105"/>
          <w:sz w:val="14"/>
        </w:rPr>
        <w:t xml:space="preserve"> </w:t>
      </w:r>
      <w:r>
        <w:rPr>
          <w:rFonts w:ascii="Arial"/>
          <w:color w:val="5B6761"/>
          <w:w w:val="105"/>
          <w:sz w:val="14"/>
        </w:rPr>
        <w:t>in</w:t>
      </w:r>
      <w:r>
        <w:rPr>
          <w:rFonts w:ascii="Arial"/>
          <w:color w:val="5B6761"/>
          <w:spacing w:val="-16"/>
          <w:w w:val="105"/>
          <w:sz w:val="14"/>
        </w:rPr>
        <w:t xml:space="preserve"> </w:t>
      </w:r>
      <w:r>
        <w:rPr>
          <w:rFonts w:ascii="Arial"/>
          <w:color w:val="5B6761"/>
          <w:spacing w:val="4"/>
          <w:w w:val="105"/>
          <w:sz w:val="14"/>
        </w:rPr>
        <w:t>the</w:t>
      </w:r>
      <w:r>
        <w:rPr>
          <w:rFonts w:ascii="Arial"/>
          <w:color w:val="5B6761"/>
          <w:spacing w:val="-17"/>
          <w:w w:val="105"/>
          <w:sz w:val="14"/>
        </w:rPr>
        <w:t xml:space="preserve"> </w:t>
      </w:r>
      <w:r>
        <w:rPr>
          <w:rFonts w:ascii="Arial"/>
          <w:color w:val="5B6761"/>
          <w:w w:val="105"/>
          <w:sz w:val="14"/>
        </w:rPr>
        <w:t>food</w:t>
      </w:r>
      <w:r>
        <w:rPr>
          <w:rFonts w:ascii="Arial"/>
          <w:color w:val="5B6761"/>
          <w:spacing w:val="-15"/>
          <w:w w:val="105"/>
          <w:sz w:val="14"/>
        </w:rPr>
        <w:t xml:space="preserve"> </w:t>
      </w:r>
      <w:r>
        <w:rPr>
          <w:rFonts w:ascii="Arial"/>
          <w:color w:val="5B6761"/>
          <w:w w:val="105"/>
          <w:sz w:val="14"/>
        </w:rPr>
        <w:t>space some</w:t>
      </w:r>
      <w:r>
        <w:rPr>
          <w:rFonts w:ascii="Arial"/>
          <w:color w:val="5B6761"/>
          <w:spacing w:val="-18"/>
          <w:w w:val="105"/>
          <w:sz w:val="14"/>
        </w:rPr>
        <w:t xml:space="preserve"> </w:t>
      </w:r>
      <w:r>
        <w:rPr>
          <w:rFonts w:ascii="Arial"/>
          <w:color w:val="5B6761"/>
          <w:w w:val="105"/>
          <w:sz w:val="14"/>
        </w:rPr>
        <w:t>products</w:t>
      </w:r>
      <w:r>
        <w:rPr>
          <w:rFonts w:ascii="Arial"/>
          <w:color w:val="5B6761"/>
          <w:spacing w:val="-17"/>
          <w:w w:val="105"/>
          <w:sz w:val="14"/>
        </w:rPr>
        <w:t xml:space="preserve"> </w:t>
      </w:r>
      <w:r>
        <w:rPr>
          <w:rFonts w:ascii="Arial"/>
          <w:color w:val="5B6761"/>
          <w:w w:val="105"/>
          <w:sz w:val="14"/>
        </w:rPr>
        <w:t>would</w:t>
      </w:r>
      <w:r>
        <w:rPr>
          <w:rFonts w:ascii="Arial"/>
          <w:color w:val="5B6761"/>
          <w:spacing w:val="-17"/>
          <w:w w:val="105"/>
          <w:sz w:val="14"/>
        </w:rPr>
        <w:t xml:space="preserve"> </w:t>
      </w:r>
      <w:r>
        <w:rPr>
          <w:rFonts w:ascii="Arial"/>
          <w:color w:val="5B6761"/>
          <w:w w:val="105"/>
          <w:sz w:val="14"/>
        </w:rPr>
        <w:t>need</w:t>
      </w:r>
      <w:r>
        <w:rPr>
          <w:rFonts w:ascii="Arial"/>
          <w:color w:val="5B6761"/>
          <w:spacing w:val="-16"/>
          <w:w w:val="105"/>
          <w:sz w:val="14"/>
        </w:rPr>
        <w:t xml:space="preserve"> </w:t>
      </w:r>
      <w:r>
        <w:rPr>
          <w:rFonts w:ascii="Arial"/>
          <w:color w:val="5B6761"/>
          <w:w w:val="105"/>
          <w:sz w:val="14"/>
        </w:rPr>
        <w:t>to</w:t>
      </w:r>
      <w:r>
        <w:rPr>
          <w:rFonts w:ascii="Arial"/>
          <w:color w:val="5B6761"/>
          <w:spacing w:val="-18"/>
          <w:w w:val="105"/>
          <w:sz w:val="14"/>
        </w:rPr>
        <w:t xml:space="preserve"> </w:t>
      </w:r>
      <w:r>
        <w:rPr>
          <w:rFonts w:ascii="Arial"/>
          <w:color w:val="5B6761"/>
          <w:w w:val="105"/>
          <w:sz w:val="14"/>
        </w:rPr>
        <w:t>undergo</w:t>
      </w:r>
      <w:r>
        <w:rPr>
          <w:rFonts w:ascii="Arial"/>
          <w:color w:val="5B6761"/>
          <w:spacing w:val="-18"/>
          <w:w w:val="105"/>
          <w:sz w:val="14"/>
        </w:rPr>
        <w:t xml:space="preserve"> </w:t>
      </w:r>
      <w:r>
        <w:rPr>
          <w:rFonts w:ascii="Arial"/>
          <w:color w:val="5B6761"/>
          <w:w w:val="105"/>
          <w:sz w:val="14"/>
        </w:rPr>
        <w:t>presentation</w:t>
      </w:r>
      <w:r>
        <w:rPr>
          <w:rFonts w:ascii="Arial"/>
          <w:color w:val="5B6761"/>
          <w:spacing w:val="-16"/>
          <w:w w:val="105"/>
          <w:sz w:val="14"/>
        </w:rPr>
        <w:t xml:space="preserve"> </w:t>
      </w:r>
      <w:r>
        <w:rPr>
          <w:rFonts w:ascii="Arial"/>
          <w:color w:val="5B6761"/>
          <w:w w:val="105"/>
          <w:sz w:val="14"/>
        </w:rPr>
        <w:t>and</w:t>
      </w:r>
      <w:r>
        <w:rPr>
          <w:rFonts w:ascii="Arial"/>
          <w:color w:val="5B6761"/>
          <w:spacing w:val="-17"/>
          <w:w w:val="105"/>
          <w:sz w:val="14"/>
        </w:rPr>
        <w:t xml:space="preserve"> </w:t>
      </w:r>
      <w:r>
        <w:rPr>
          <w:rFonts w:ascii="Arial"/>
          <w:color w:val="5B6761"/>
          <w:w w:val="105"/>
          <w:sz w:val="14"/>
        </w:rPr>
        <w:t>ingredient</w:t>
      </w:r>
      <w:r>
        <w:rPr>
          <w:rFonts w:ascii="Arial"/>
          <w:color w:val="5B6761"/>
          <w:spacing w:val="-18"/>
          <w:w w:val="105"/>
          <w:sz w:val="14"/>
        </w:rPr>
        <w:t xml:space="preserve"> </w:t>
      </w:r>
      <w:r>
        <w:rPr>
          <w:rFonts w:ascii="Arial"/>
          <w:color w:val="5B6761"/>
          <w:w w:val="105"/>
          <w:sz w:val="14"/>
        </w:rPr>
        <w:t>reformulation;</w:t>
      </w:r>
      <w:r>
        <w:rPr>
          <w:rFonts w:ascii="Arial"/>
          <w:color w:val="5B6761"/>
          <w:spacing w:val="-18"/>
          <w:w w:val="105"/>
          <w:sz w:val="14"/>
        </w:rPr>
        <w:t xml:space="preserve"> </w:t>
      </w:r>
      <w:r>
        <w:rPr>
          <w:rFonts w:ascii="Arial"/>
          <w:color w:val="5B6761"/>
          <w:w w:val="105"/>
          <w:sz w:val="14"/>
        </w:rPr>
        <w:t>this</w:t>
      </w:r>
      <w:r>
        <w:rPr>
          <w:rFonts w:ascii="Arial"/>
          <w:color w:val="5B6761"/>
          <w:spacing w:val="-17"/>
          <w:w w:val="105"/>
          <w:sz w:val="14"/>
        </w:rPr>
        <w:t xml:space="preserve"> </w:t>
      </w:r>
      <w:r>
        <w:rPr>
          <w:rFonts w:ascii="Arial"/>
          <w:color w:val="5B6761"/>
          <w:w w:val="105"/>
          <w:sz w:val="14"/>
        </w:rPr>
        <w:t>decreases</w:t>
      </w:r>
      <w:r>
        <w:rPr>
          <w:rFonts w:ascii="Arial"/>
          <w:color w:val="5B6761"/>
          <w:spacing w:val="-17"/>
          <w:w w:val="105"/>
          <w:sz w:val="14"/>
        </w:rPr>
        <w:t xml:space="preserve"> </w:t>
      </w:r>
      <w:r>
        <w:rPr>
          <w:rFonts w:ascii="Arial"/>
          <w:color w:val="5B6761"/>
          <w:w w:val="105"/>
          <w:sz w:val="14"/>
        </w:rPr>
        <w:t>the</w:t>
      </w:r>
      <w:r>
        <w:rPr>
          <w:rFonts w:ascii="Arial"/>
          <w:color w:val="5B6761"/>
          <w:spacing w:val="-18"/>
          <w:w w:val="105"/>
          <w:sz w:val="14"/>
        </w:rPr>
        <w:t xml:space="preserve"> </w:t>
      </w:r>
      <w:r>
        <w:rPr>
          <w:rFonts w:ascii="Arial"/>
          <w:color w:val="5B6761"/>
          <w:w w:val="105"/>
          <w:sz w:val="14"/>
        </w:rPr>
        <w:t>likelihood</w:t>
      </w:r>
      <w:r>
        <w:rPr>
          <w:rFonts w:ascii="Arial"/>
          <w:color w:val="5B6761"/>
          <w:spacing w:val="-16"/>
          <w:w w:val="105"/>
          <w:sz w:val="14"/>
        </w:rPr>
        <w:t xml:space="preserve"> </w:t>
      </w:r>
      <w:r>
        <w:rPr>
          <w:rFonts w:ascii="Arial"/>
          <w:color w:val="5B6761"/>
          <w:w w:val="105"/>
          <w:sz w:val="14"/>
        </w:rPr>
        <w:t>of</w:t>
      </w:r>
      <w:r>
        <w:rPr>
          <w:rFonts w:ascii="Arial"/>
          <w:color w:val="5B6761"/>
          <w:spacing w:val="-18"/>
          <w:w w:val="105"/>
          <w:sz w:val="14"/>
        </w:rPr>
        <w:t xml:space="preserve"> </w:t>
      </w:r>
      <w:r>
        <w:rPr>
          <w:rFonts w:ascii="Arial"/>
          <w:color w:val="5B6761"/>
          <w:w w:val="105"/>
          <w:sz w:val="14"/>
        </w:rPr>
        <w:t>reformulation</w:t>
      </w:r>
      <w:r>
        <w:rPr>
          <w:rFonts w:ascii="Arial"/>
          <w:color w:val="5B6761"/>
          <w:spacing w:val="-16"/>
          <w:w w:val="105"/>
          <w:sz w:val="14"/>
        </w:rPr>
        <w:t xml:space="preserve"> </w:t>
      </w:r>
      <w:r>
        <w:rPr>
          <w:rFonts w:ascii="Arial"/>
          <w:color w:val="5B6761"/>
          <w:w w:val="105"/>
          <w:sz w:val="14"/>
        </w:rPr>
        <w:t>as</w:t>
      </w:r>
      <w:r>
        <w:rPr>
          <w:rFonts w:ascii="Arial"/>
          <w:color w:val="5B6761"/>
          <w:spacing w:val="-18"/>
          <w:w w:val="105"/>
          <w:sz w:val="14"/>
        </w:rPr>
        <w:t xml:space="preserve"> </w:t>
      </w:r>
      <w:r>
        <w:rPr>
          <w:rFonts w:ascii="Arial"/>
          <w:color w:val="5B6761"/>
          <w:w w:val="105"/>
          <w:sz w:val="14"/>
        </w:rPr>
        <w:t>it would</w:t>
      </w:r>
      <w:r>
        <w:rPr>
          <w:rFonts w:ascii="Arial"/>
          <w:color w:val="5B6761"/>
          <w:spacing w:val="-8"/>
          <w:w w:val="105"/>
          <w:sz w:val="14"/>
        </w:rPr>
        <w:t xml:space="preserve"> </w:t>
      </w:r>
      <w:r>
        <w:rPr>
          <w:rFonts w:ascii="Arial"/>
          <w:color w:val="5B6761"/>
          <w:w w:val="105"/>
          <w:sz w:val="14"/>
        </w:rPr>
        <w:t>fundamentally</w:t>
      </w:r>
      <w:r>
        <w:rPr>
          <w:rFonts w:ascii="Arial"/>
          <w:color w:val="5B6761"/>
          <w:spacing w:val="-8"/>
          <w:w w:val="105"/>
          <w:sz w:val="14"/>
        </w:rPr>
        <w:t xml:space="preserve"> </w:t>
      </w:r>
      <w:r>
        <w:rPr>
          <w:rFonts w:ascii="Arial"/>
          <w:color w:val="5B6761"/>
          <w:w w:val="105"/>
          <w:sz w:val="14"/>
        </w:rPr>
        <w:t>change</w:t>
      </w:r>
      <w:r>
        <w:rPr>
          <w:rFonts w:ascii="Arial"/>
          <w:color w:val="5B6761"/>
          <w:spacing w:val="-10"/>
          <w:w w:val="105"/>
          <w:sz w:val="14"/>
        </w:rPr>
        <w:t xml:space="preserve"> </w:t>
      </w:r>
      <w:r>
        <w:rPr>
          <w:rFonts w:ascii="Arial"/>
          <w:color w:val="5B6761"/>
          <w:w w:val="105"/>
          <w:sz w:val="14"/>
        </w:rPr>
        <w:t>the</w:t>
      </w:r>
      <w:r>
        <w:rPr>
          <w:rFonts w:ascii="Arial"/>
          <w:color w:val="5B6761"/>
          <w:spacing w:val="-9"/>
          <w:w w:val="105"/>
          <w:sz w:val="14"/>
        </w:rPr>
        <w:t xml:space="preserve"> </w:t>
      </w:r>
      <w:r>
        <w:rPr>
          <w:rFonts w:ascii="Arial"/>
          <w:color w:val="5B6761"/>
          <w:w w:val="105"/>
          <w:sz w:val="14"/>
        </w:rPr>
        <w:t>product.</w:t>
      </w:r>
    </w:p>
    <w:p w:rsidR="007D76BB" w:rsidRDefault="00D70D28">
      <w:pPr>
        <w:spacing w:before="58"/>
        <w:ind w:left="482"/>
        <w:rPr>
          <w:rFonts w:ascii="Arial"/>
          <w:sz w:val="14"/>
        </w:rPr>
      </w:pPr>
      <w:r>
        <w:rPr>
          <w:rFonts w:ascii="Arial"/>
          <w:color w:val="5B6761"/>
          <w:w w:val="105"/>
          <w:position w:val="5"/>
          <w:sz w:val="8"/>
        </w:rPr>
        <w:t xml:space="preserve">45 </w:t>
      </w:r>
      <w:r>
        <w:rPr>
          <w:rFonts w:ascii="Arial"/>
          <w:color w:val="5B6761"/>
          <w:w w:val="105"/>
          <w:sz w:val="14"/>
        </w:rPr>
        <w:t>Population includes powders, liquids and novel foods.</w:t>
      </w:r>
    </w:p>
    <w:p w:rsidR="007D76BB" w:rsidRDefault="00D70D28">
      <w:pPr>
        <w:spacing w:before="79" w:line="268" w:lineRule="auto"/>
        <w:ind w:left="594" w:right="1130" w:hanging="113"/>
        <w:rPr>
          <w:rFonts w:ascii="Arial"/>
          <w:sz w:val="14"/>
        </w:rPr>
      </w:pPr>
      <w:r>
        <w:rPr>
          <w:rFonts w:ascii="Arial"/>
          <w:color w:val="5B6761"/>
          <w:w w:val="105"/>
          <w:position w:val="5"/>
          <w:sz w:val="8"/>
        </w:rPr>
        <w:t>46</w:t>
      </w:r>
      <w:r>
        <w:rPr>
          <w:rFonts w:ascii="Arial"/>
          <w:color w:val="5B6761"/>
          <w:spacing w:val="-4"/>
          <w:w w:val="105"/>
          <w:position w:val="5"/>
          <w:sz w:val="8"/>
        </w:rPr>
        <w:t xml:space="preserve"> </w:t>
      </w:r>
      <w:r>
        <w:rPr>
          <w:rFonts w:ascii="Arial"/>
          <w:color w:val="5B6761"/>
          <w:w w:val="105"/>
          <w:sz w:val="14"/>
        </w:rPr>
        <w:t>The</w:t>
      </w:r>
      <w:r>
        <w:rPr>
          <w:rFonts w:ascii="Arial"/>
          <w:color w:val="5B6761"/>
          <w:spacing w:val="-22"/>
          <w:w w:val="105"/>
          <w:sz w:val="14"/>
        </w:rPr>
        <w:t xml:space="preserve"> </w:t>
      </w:r>
      <w:r>
        <w:rPr>
          <w:rFonts w:ascii="Arial"/>
          <w:color w:val="5B6761"/>
          <w:w w:val="105"/>
          <w:sz w:val="14"/>
        </w:rPr>
        <w:t>number</w:t>
      </w:r>
      <w:r>
        <w:rPr>
          <w:rFonts w:ascii="Arial"/>
          <w:color w:val="5B6761"/>
          <w:spacing w:val="-20"/>
          <w:w w:val="105"/>
          <w:sz w:val="14"/>
        </w:rPr>
        <w:t xml:space="preserve"> </w:t>
      </w:r>
      <w:r>
        <w:rPr>
          <w:rFonts w:ascii="Arial"/>
          <w:color w:val="5B6761"/>
          <w:w w:val="105"/>
          <w:sz w:val="14"/>
        </w:rPr>
        <w:t>of</w:t>
      </w:r>
      <w:r>
        <w:rPr>
          <w:rFonts w:ascii="Arial"/>
          <w:color w:val="5B6761"/>
          <w:spacing w:val="-22"/>
          <w:w w:val="105"/>
          <w:sz w:val="14"/>
        </w:rPr>
        <w:t xml:space="preserve"> </w:t>
      </w:r>
      <w:r>
        <w:rPr>
          <w:rFonts w:ascii="Arial"/>
          <w:color w:val="5B6761"/>
          <w:w w:val="105"/>
          <w:sz w:val="14"/>
        </w:rPr>
        <w:t>powder</w:t>
      </w:r>
      <w:r>
        <w:rPr>
          <w:rFonts w:ascii="Arial"/>
          <w:color w:val="5B6761"/>
          <w:spacing w:val="-21"/>
          <w:w w:val="105"/>
          <w:sz w:val="14"/>
        </w:rPr>
        <w:t xml:space="preserve"> </w:t>
      </w:r>
      <w:r>
        <w:rPr>
          <w:rFonts w:ascii="Arial"/>
          <w:color w:val="5B6761"/>
          <w:w w:val="105"/>
          <w:sz w:val="14"/>
        </w:rPr>
        <w:t>products</w:t>
      </w:r>
      <w:r>
        <w:rPr>
          <w:rFonts w:ascii="Arial"/>
          <w:color w:val="5B6761"/>
          <w:spacing w:val="-21"/>
          <w:w w:val="105"/>
          <w:sz w:val="14"/>
        </w:rPr>
        <w:t xml:space="preserve"> </w:t>
      </w:r>
      <w:r>
        <w:rPr>
          <w:rFonts w:ascii="Arial"/>
          <w:color w:val="5B6761"/>
          <w:w w:val="105"/>
          <w:sz w:val="14"/>
        </w:rPr>
        <w:t>(all</w:t>
      </w:r>
      <w:r>
        <w:rPr>
          <w:rFonts w:ascii="Arial"/>
          <w:color w:val="5B6761"/>
          <w:spacing w:val="-22"/>
          <w:w w:val="105"/>
          <w:sz w:val="14"/>
        </w:rPr>
        <w:t xml:space="preserve"> </w:t>
      </w:r>
      <w:r>
        <w:rPr>
          <w:rFonts w:ascii="Arial"/>
          <w:color w:val="5B6761"/>
          <w:w w:val="105"/>
          <w:sz w:val="14"/>
        </w:rPr>
        <w:t>categories)</w:t>
      </w:r>
      <w:r>
        <w:rPr>
          <w:rFonts w:ascii="Arial"/>
          <w:color w:val="5B6761"/>
          <w:spacing w:val="-21"/>
          <w:w w:val="105"/>
          <w:sz w:val="14"/>
        </w:rPr>
        <w:t xml:space="preserve"> </w:t>
      </w:r>
      <w:r>
        <w:rPr>
          <w:rFonts w:ascii="Arial"/>
          <w:color w:val="5B6761"/>
          <w:w w:val="105"/>
          <w:sz w:val="14"/>
        </w:rPr>
        <w:t>likely</w:t>
      </w:r>
      <w:r>
        <w:rPr>
          <w:rFonts w:ascii="Arial"/>
          <w:color w:val="5B6761"/>
          <w:spacing w:val="-21"/>
          <w:w w:val="105"/>
          <w:sz w:val="14"/>
        </w:rPr>
        <w:t xml:space="preserve"> </w:t>
      </w:r>
      <w:r>
        <w:rPr>
          <w:rFonts w:ascii="Arial"/>
          <w:color w:val="5B6761"/>
          <w:w w:val="105"/>
          <w:sz w:val="14"/>
        </w:rPr>
        <w:t>to</w:t>
      </w:r>
      <w:r>
        <w:rPr>
          <w:rFonts w:ascii="Arial"/>
          <w:color w:val="5B6761"/>
          <w:spacing w:val="-22"/>
          <w:w w:val="105"/>
          <w:sz w:val="14"/>
        </w:rPr>
        <w:t xml:space="preserve"> </w:t>
      </w:r>
      <w:r>
        <w:rPr>
          <w:rFonts w:ascii="Arial"/>
          <w:color w:val="5B6761"/>
          <w:w w:val="105"/>
          <w:sz w:val="14"/>
        </w:rPr>
        <w:t>go</w:t>
      </w:r>
      <w:r>
        <w:rPr>
          <w:rFonts w:ascii="Arial"/>
          <w:color w:val="5B6761"/>
          <w:spacing w:val="-22"/>
          <w:w w:val="105"/>
          <w:sz w:val="14"/>
        </w:rPr>
        <w:t xml:space="preserve"> </w:t>
      </w:r>
      <w:r>
        <w:rPr>
          <w:rFonts w:ascii="Arial"/>
          <w:color w:val="5B6761"/>
          <w:w w:val="105"/>
          <w:sz w:val="14"/>
        </w:rPr>
        <w:t>down</w:t>
      </w:r>
      <w:r>
        <w:rPr>
          <w:rFonts w:ascii="Arial"/>
          <w:color w:val="5B6761"/>
          <w:spacing w:val="-21"/>
          <w:w w:val="105"/>
          <w:sz w:val="14"/>
        </w:rPr>
        <w:t xml:space="preserve"> </w:t>
      </w:r>
      <w:r>
        <w:rPr>
          <w:rFonts w:ascii="Arial"/>
          <w:color w:val="5B6761"/>
          <w:w w:val="105"/>
          <w:sz w:val="14"/>
        </w:rPr>
        <w:t>the</w:t>
      </w:r>
      <w:r>
        <w:rPr>
          <w:rFonts w:ascii="Arial"/>
          <w:color w:val="5B6761"/>
          <w:spacing w:val="-21"/>
          <w:w w:val="105"/>
          <w:sz w:val="14"/>
        </w:rPr>
        <w:t xml:space="preserve"> </w:t>
      </w:r>
      <w:r>
        <w:rPr>
          <w:rFonts w:ascii="Arial"/>
          <w:color w:val="5B6761"/>
          <w:w w:val="105"/>
          <w:sz w:val="14"/>
        </w:rPr>
        <w:t>ARTG</w:t>
      </w:r>
      <w:r>
        <w:rPr>
          <w:rFonts w:ascii="Arial"/>
          <w:color w:val="5B6761"/>
          <w:spacing w:val="-22"/>
          <w:w w:val="105"/>
          <w:sz w:val="14"/>
        </w:rPr>
        <w:t xml:space="preserve"> </w:t>
      </w:r>
      <w:r>
        <w:rPr>
          <w:rFonts w:ascii="Arial"/>
          <w:color w:val="5B6761"/>
          <w:w w:val="105"/>
          <w:sz w:val="14"/>
        </w:rPr>
        <w:t>pathway</w:t>
      </w:r>
      <w:r>
        <w:rPr>
          <w:rFonts w:ascii="Arial"/>
          <w:color w:val="5B6761"/>
          <w:spacing w:val="-22"/>
          <w:w w:val="105"/>
          <w:sz w:val="14"/>
        </w:rPr>
        <w:t xml:space="preserve"> </w:t>
      </w:r>
      <w:r>
        <w:rPr>
          <w:rFonts w:ascii="Arial"/>
          <w:color w:val="5B6761"/>
          <w:w w:val="105"/>
          <w:sz w:val="14"/>
        </w:rPr>
        <w:lastRenderedPageBreak/>
        <w:t>was</w:t>
      </w:r>
      <w:r>
        <w:rPr>
          <w:rFonts w:ascii="Arial"/>
          <w:color w:val="5B6761"/>
          <w:spacing w:val="-21"/>
          <w:w w:val="105"/>
          <w:sz w:val="14"/>
        </w:rPr>
        <w:t xml:space="preserve"> </w:t>
      </w:r>
      <w:r>
        <w:rPr>
          <w:rFonts w:ascii="Arial"/>
          <w:color w:val="5B6761"/>
          <w:w w:val="105"/>
          <w:sz w:val="14"/>
        </w:rPr>
        <w:t>assessed</w:t>
      </w:r>
      <w:r>
        <w:rPr>
          <w:rFonts w:ascii="Arial"/>
          <w:color w:val="5B6761"/>
          <w:spacing w:val="-21"/>
          <w:w w:val="105"/>
          <w:sz w:val="14"/>
        </w:rPr>
        <w:t xml:space="preserve"> </w:t>
      </w:r>
      <w:r>
        <w:rPr>
          <w:rFonts w:ascii="Arial"/>
          <w:color w:val="5B6761"/>
          <w:w w:val="105"/>
          <w:sz w:val="14"/>
        </w:rPr>
        <w:t>to</w:t>
      </w:r>
      <w:r>
        <w:rPr>
          <w:rFonts w:ascii="Arial"/>
          <w:color w:val="5B6761"/>
          <w:spacing w:val="-22"/>
          <w:w w:val="105"/>
          <w:sz w:val="14"/>
        </w:rPr>
        <w:t xml:space="preserve"> </w:t>
      </w:r>
      <w:r>
        <w:rPr>
          <w:rFonts w:ascii="Arial"/>
          <w:color w:val="5B6761"/>
          <w:w w:val="105"/>
          <w:sz w:val="14"/>
        </w:rPr>
        <w:t>be</w:t>
      </w:r>
      <w:r>
        <w:rPr>
          <w:rFonts w:ascii="Arial"/>
          <w:color w:val="5B6761"/>
          <w:spacing w:val="-22"/>
          <w:w w:val="105"/>
          <w:sz w:val="14"/>
        </w:rPr>
        <w:t xml:space="preserve"> </w:t>
      </w:r>
      <w:r>
        <w:rPr>
          <w:rFonts w:ascii="Arial"/>
          <w:color w:val="5B6761"/>
          <w:w w:val="105"/>
          <w:sz w:val="14"/>
        </w:rPr>
        <w:t>low</w:t>
      </w:r>
      <w:r>
        <w:rPr>
          <w:rFonts w:ascii="Arial"/>
          <w:color w:val="5B6761"/>
          <w:spacing w:val="-21"/>
          <w:w w:val="105"/>
          <w:sz w:val="14"/>
        </w:rPr>
        <w:t xml:space="preserve"> </w:t>
      </w:r>
      <w:r>
        <w:rPr>
          <w:rFonts w:ascii="Arial"/>
          <w:color w:val="5B6761"/>
          <w:w w:val="105"/>
          <w:sz w:val="14"/>
        </w:rPr>
        <w:t>(5%)</w:t>
      </w:r>
      <w:r>
        <w:rPr>
          <w:rFonts w:ascii="Arial"/>
          <w:color w:val="5B6761"/>
          <w:spacing w:val="-21"/>
          <w:w w:val="105"/>
          <w:sz w:val="14"/>
        </w:rPr>
        <w:t xml:space="preserve"> </w:t>
      </w:r>
      <w:r>
        <w:rPr>
          <w:rFonts w:ascii="Arial"/>
          <w:color w:val="5B6761"/>
          <w:w w:val="105"/>
          <w:sz w:val="14"/>
        </w:rPr>
        <w:t>as</w:t>
      </w:r>
      <w:r>
        <w:rPr>
          <w:rFonts w:ascii="Arial"/>
          <w:color w:val="5B6761"/>
          <w:spacing w:val="-20"/>
          <w:w w:val="105"/>
          <w:sz w:val="14"/>
        </w:rPr>
        <w:t xml:space="preserve"> </w:t>
      </w:r>
      <w:r>
        <w:rPr>
          <w:rFonts w:ascii="Arial"/>
          <w:color w:val="5B6761"/>
          <w:w w:val="105"/>
          <w:sz w:val="14"/>
        </w:rPr>
        <w:t>stakeholders noted</w:t>
      </w:r>
      <w:r>
        <w:rPr>
          <w:rFonts w:ascii="Arial"/>
          <w:color w:val="5B6761"/>
          <w:spacing w:val="-16"/>
          <w:w w:val="105"/>
          <w:sz w:val="14"/>
        </w:rPr>
        <w:t xml:space="preserve"> </w:t>
      </w:r>
      <w:r>
        <w:rPr>
          <w:rFonts w:ascii="Arial"/>
          <w:color w:val="5B6761"/>
          <w:w w:val="105"/>
          <w:sz w:val="14"/>
        </w:rPr>
        <w:t>several</w:t>
      </w:r>
      <w:r>
        <w:rPr>
          <w:rFonts w:ascii="Arial"/>
          <w:color w:val="5B6761"/>
          <w:spacing w:val="-16"/>
          <w:w w:val="105"/>
          <w:sz w:val="14"/>
        </w:rPr>
        <w:t xml:space="preserve"> </w:t>
      </w:r>
      <w:r>
        <w:rPr>
          <w:rFonts w:ascii="Arial"/>
          <w:color w:val="5B6761"/>
          <w:w w:val="105"/>
          <w:sz w:val="14"/>
        </w:rPr>
        <w:t>challenges</w:t>
      </w:r>
      <w:r>
        <w:rPr>
          <w:rFonts w:ascii="Arial"/>
          <w:color w:val="5B6761"/>
          <w:spacing w:val="-15"/>
          <w:w w:val="105"/>
          <w:sz w:val="14"/>
        </w:rPr>
        <w:t xml:space="preserve"> </w:t>
      </w:r>
      <w:r>
        <w:rPr>
          <w:rFonts w:ascii="Arial"/>
          <w:color w:val="5B6761"/>
          <w:w w:val="105"/>
          <w:sz w:val="14"/>
        </w:rPr>
        <w:t>(including</w:t>
      </w:r>
      <w:r>
        <w:rPr>
          <w:rFonts w:ascii="Arial"/>
          <w:color w:val="5B6761"/>
          <w:spacing w:val="-16"/>
          <w:w w:val="105"/>
          <w:sz w:val="14"/>
        </w:rPr>
        <w:t xml:space="preserve"> </w:t>
      </w:r>
      <w:r>
        <w:rPr>
          <w:rFonts w:ascii="Arial"/>
          <w:color w:val="5B6761"/>
          <w:w w:val="105"/>
          <w:sz w:val="14"/>
        </w:rPr>
        <w:t>expense)</w:t>
      </w:r>
      <w:r>
        <w:rPr>
          <w:rFonts w:ascii="Arial"/>
          <w:color w:val="5B6761"/>
          <w:spacing w:val="-16"/>
          <w:w w:val="105"/>
          <w:sz w:val="14"/>
        </w:rPr>
        <w:t xml:space="preserve"> </w:t>
      </w:r>
      <w:r>
        <w:rPr>
          <w:rFonts w:ascii="Arial"/>
          <w:color w:val="5B6761"/>
          <w:w w:val="105"/>
          <w:sz w:val="14"/>
        </w:rPr>
        <w:t>in</w:t>
      </w:r>
      <w:r>
        <w:rPr>
          <w:rFonts w:ascii="Arial"/>
          <w:color w:val="5B6761"/>
          <w:spacing w:val="-15"/>
          <w:w w:val="105"/>
          <w:sz w:val="14"/>
        </w:rPr>
        <w:t xml:space="preserve"> </w:t>
      </w:r>
      <w:r>
        <w:rPr>
          <w:rFonts w:ascii="Arial"/>
          <w:color w:val="5B6761"/>
          <w:w w:val="105"/>
          <w:sz w:val="14"/>
        </w:rPr>
        <w:t>listing</w:t>
      </w:r>
      <w:r>
        <w:rPr>
          <w:rFonts w:ascii="Arial"/>
          <w:color w:val="5B6761"/>
          <w:spacing w:val="-15"/>
          <w:w w:val="105"/>
          <w:sz w:val="14"/>
        </w:rPr>
        <w:t xml:space="preserve"> </w:t>
      </w:r>
      <w:r>
        <w:rPr>
          <w:rFonts w:ascii="Arial"/>
          <w:color w:val="5B6761"/>
          <w:w w:val="105"/>
          <w:sz w:val="14"/>
        </w:rPr>
        <w:t>these</w:t>
      </w:r>
      <w:r>
        <w:rPr>
          <w:rFonts w:ascii="Arial"/>
          <w:color w:val="5B6761"/>
          <w:spacing w:val="-17"/>
          <w:w w:val="105"/>
          <w:sz w:val="14"/>
        </w:rPr>
        <w:t xml:space="preserve"> </w:t>
      </w:r>
      <w:r>
        <w:rPr>
          <w:rFonts w:ascii="Arial"/>
          <w:color w:val="5B6761"/>
          <w:w w:val="105"/>
          <w:sz w:val="14"/>
        </w:rPr>
        <w:t>products</w:t>
      </w:r>
      <w:r>
        <w:rPr>
          <w:rFonts w:ascii="Arial"/>
          <w:color w:val="5B6761"/>
          <w:spacing w:val="-16"/>
          <w:w w:val="105"/>
          <w:sz w:val="14"/>
        </w:rPr>
        <w:t xml:space="preserve"> </w:t>
      </w:r>
      <w:r>
        <w:rPr>
          <w:rFonts w:ascii="Arial"/>
          <w:color w:val="5B6761"/>
          <w:w w:val="105"/>
          <w:sz w:val="14"/>
        </w:rPr>
        <w:t>on</w:t>
      </w:r>
      <w:r>
        <w:rPr>
          <w:rFonts w:ascii="Arial"/>
          <w:color w:val="5B6761"/>
          <w:spacing w:val="-15"/>
          <w:w w:val="105"/>
          <w:sz w:val="14"/>
        </w:rPr>
        <w:t xml:space="preserve"> </w:t>
      </w:r>
      <w:r>
        <w:rPr>
          <w:rFonts w:ascii="Arial"/>
          <w:color w:val="5B6761"/>
          <w:w w:val="105"/>
          <w:sz w:val="14"/>
        </w:rPr>
        <w:t>the</w:t>
      </w:r>
      <w:r>
        <w:rPr>
          <w:rFonts w:ascii="Arial"/>
          <w:color w:val="5B6761"/>
          <w:spacing w:val="-16"/>
          <w:w w:val="105"/>
          <w:sz w:val="14"/>
        </w:rPr>
        <w:t xml:space="preserve"> </w:t>
      </w:r>
      <w:r>
        <w:rPr>
          <w:rFonts w:ascii="Arial"/>
          <w:color w:val="5B6761"/>
          <w:w w:val="105"/>
          <w:sz w:val="14"/>
        </w:rPr>
        <w:t>ARTG.</w:t>
      </w:r>
      <w:r>
        <w:rPr>
          <w:rFonts w:ascii="Arial"/>
          <w:color w:val="5B6761"/>
          <w:spacing w:val="-16"/>
          <w:w w:val="105"/>
          <w:sz w:val="14"/>
        </w:rPr>
        <w:t xml:space="preserve"> </w:t>
      </w:r>
      <w:r>
        <w:rPr>
          <w:rFonts w:ascii="Arial"/>
          <w:color w:val="5B6761"/>
          <w:w w:val="105"/>
          <w:sz w:val="14"/>
        </w:rPr>
        <w:t>Further</w:t>
      </w:r>
      <w:r>
        <w:rPr>
          <w:rFonts w:ascii="Arial"/>
          <w:color w:val="5B6761"/>
          <w:spacing w:val="-15"/>
          <w:w w:val="105"/>
          <w:sz w:val="14"/>
        </w:rPr>
        <w:t xml:space="preserve"> </w:t>
      </w:r>
      <w:r>
        <w:rPr>
          <w:rFonts w:ascii="Arial"/>
          <w:color w:val="5B6761"/>
          <w:w w:val="105"/>
          <w:sz w:val="14"/>
        </w:rPr>
        <w:t>details</w:t>
      </w:r>
      <w:r>
        <w:rPr>
          <w:rFonts w:ascii="Arial"/>
          <w:color w:val="5B6761"/>
          <w:spacing w:val="-16"/>
          <w:w w:val="105"/>
          <w:sz w:val="14"/>
        </w:rPr>
        <w:t xml:space="preserve"> </w:t>
      </w:r>
      <w:r>
        <w:rPr>
          <w:rFonts w:ascii="Arial"/>
          <w:color w:val="5B6761"/>
          <w:w w:val="105"/>
          <w:sz w:val="14"/>
        </w:rPr>
        <w:t>provided</w:t>
      </w:r>
      <w:r>
        <w:rPr>
          <w:rFonts w:ascii="Arial"/>
          <w:color w:val="5B6761"/>
          <w:spacing w:val="-17"/>
          <w:w w:val="105"/>
          <w:sz w:val="14"/>
        </w:rPr>
        <w:t xml:space="preserve"> </w:t>
      </w:r>
      <w:r>
        <w:rPr>
          <w:rFonts w:ascii="Arial"/>
          <w:color w:val="5B6761"/>
          <w:w w:val="105"/>
          <w:sz w:val="14"/>
        </w:rPr>
        <w:t>in</w:t>
      </w:r>
      <w:r>
        <w:rPr>
          <w:rFonts w:ascii="Arial"/>
          <w:color w:val="5B6761"/>
          <w:spacing w:val="-15"/>
          <w:w w:val="105"/>
          <w:sz w:val="14"/>
        </w:rPr>
        <w:t xml:space="preserve"> </w:t>
      </w:r>
      <w:r>
        <w:rPr>
          <w:rFonts w:ascii="Arial"/>
          <w:color w:val="5B6761"/>
          <w:w w:val="105"/>
          <w:sz w:val="14"/>
        </w:rPr>
        <w:t>footnote</w:t>
      </w:r>
      <w:r>
        <w:rPr>
          <w:rFonts w:ascii="Arial"/>
          <w:color w:val="5B6761"/>
          <w:spacing w:val="-17"/>
          <w:w w:val="105"/>
          <w:sz w:val="14"/>
        </w:rPr>
        <w:t xml:space="preserve"> </w:t>
      </w:r>
      <w:r>
        <w:rPr>
          <w:rFonts w:ascii="Arial"/>
          <w:color w:val="5B6761"/>
          <w:w w:val="105"/>
          <w:sz w:val="14"/>
        </w:rPr>
        <w:t>25.</w:t>
      </w:r>
    </w:p>
    <w:p w:rsidR="007D76BB" w:rsidRDefault="00D70D28">
      <w:pPr>
        <w:spacing w:before="60" w:line="268" w:lineRule="auto"/>
        <w:ind w:left="594" w:right="879" w:hanging="113"/>
        <w:rPr>
          <w:rFonts w:ascii="Arial"/>
          <w:sz w:val="14"/>
        </w:rPr>
      </w:pPr>
      <w:r>
        <w:rPr>
          <w:rFonts w:ascii="Arial"/>
          <w:color w:val="5B6761"/>
          <w:w w:val="105"/>
          <w:position w:val="5"/>
          <w:sz w:val="8"/>
        </w:rPr>
        <w:t>47</w:t>
      </w:r>
      <w:r>
        <w:rPr>
          <w:rFonts w:ascii="Arial"/>
          <w:color w:val="5B6761"/>
          <w:spacing w:val="-1"/>
          <w:w w:val="105"/>
          <w:position w:val="5"/>
          <w:sz w:val="8"/>
        </w:rPr>
        <w:t xml:space="preserve"> </w:t>
      </w:r>
      <w:r>
        <w:rPr>
          <w:rFonts w:ascii="Arial"/>
          <w:color w:val="5B6761"/>
          <w:w w:val="105"/>
          <w:sz w:val="14"/>
        </w:rPr>
        <w:t>Stakeholders</w:t>
      </w:r>
      <w:r>
        <w:rPr>
          <w:rFonts w:ascii="Arial"/>
          <w:color w:val="5B6761"/>
          <w:spacing w:val="-17"/>
          <w:w w:val="105"/>
          <w:sz w:val="14"/>
        </w:rPr>
        <w:t xml:space="preserve"> </w:t>
      </w:r>
      <w:r>
        <w:rPr>
          <w:rFonts w:ascii="Arial"/>
          <w:color w:val="5B6761"/>
          <w:w w:val="105"/>
          <w:sz w:val="14"/>
        </w:rPr>
        <w:t>noted</w:t>
      </w:r>
      <w:r>
        <w:rPr>
          <w:rFonts w:ascii="Arial"/>
          <w:color w:val="5B6761"/>
          <w:spacing w:val="-17"/>
          <w:w w:val="105"/>
          <w:sz w:val="14"/>
        </w:rPr>
        <w:t xml:space="preserve"> </w:t>
      </w:r>
      <w:r>
        <w:rPr>
          <w:rFonts w:ascii="Arial"/>
          <w:color w:val="5B6761"/>
          <w:w w:val="105"/>
          <w:sz w:val="14"/>
        </w:rPr>
        <w:t>that</w:t>
      </w:r>
      <w:r>
        <w:rPr>
          <w:rFonts w:ascii="Arial"/>
          <w:color w:val="5B6761"/>
          <w:spacing w:val="-17"/>
          <w:w w:val="105"/>
          <w:sz w:val="14"/>
        </w:rPr>
        <w:t xml:space="preserve"> </w:t>
      </w:r>
      <w:r>
        <w:rPr>
          <w:rFonts w:ascii="Arial"/>
          <w:color w:val="5B6761"/>
          <w:w w:val="105"/>
          <w:sz w:val="14"/>
        </w:rPr>
        <w:t>capsule/pill</w:t>
      </w:r>
      <w:r>
        <w:rPr>
          <w:rFonts w:ascii="Arial"/>
          <w:color w:val="5B6761"/>
          <w:spacing w:val="-17"/>
          <w:w w:val="105"/>
          <w:sz w:val="14"/>
        </w:rPr>
        <w:t xml:space="preserve"> </w:t>
      </w:r>
      <w:r>
        <w:rPr>
          <w:rFonts w:ascii="Arial"/>
          <w:color w:val="5B6761"/>
          <w:w w:val="105"/>
          <w:sz w:val="14"/>
        </w:rPr>
        <w:t>supplements</w:t>
      </w:r>
      <w:r>
        <w:rPr>
          <w:rFonts w:ascii="Arial"/>
          <w:color w:val="5B6761"/>
          <w:spacing w:val="-18"/>
          <w:w w:val="105"/>
          <w:sz w:val="14"/>
        </w:rPr>
        <w:t xml:space="preserve"> </w:t>
      </w:r>
      <w:r>
        <w:rPr>
          <w:rFonts w:ascii="Arial"/>
          <w:color w:val="5B6761"/>
          <w:w w:val="105"/>
          <w:sz w:val="14"/>
        </w:rPr>
        <w:t>make</w:t>
      </w:r>
      <w:r>
        <w:rPr>
          <w:rFonts w:ascii="Arial"/>
          <w:color w:val="5B6761"/>
          <w:spacing w:val="-18"/>
          <w:w w:val="105"/>
          <w:sz w:val="14"/>
        </w:rPr>
        <w:t xml:space="preserve"> </w:t>
      </w:r>
      <w:r>
        <w:rPr>
          <w:rFonts w:ascii="Arial"/>
          <w:color w:val="5B6761"/>
          <w:w w:val="105"/>
          <w:sz w:val="14"/>
        </w:rPr>
        <w:t>up</w:t>
      </w:r>
      <w:r>
        <w:rPr>
          <w:rFonts w:ascii="Arial"/>
          <w:color w:val="5B6761"/>
          <w:spacing w:val="-17"/>
          <w:w w:val="105"/>
          <w:sz w:val="14"/>
        </w:rPr>
        <w:t xml:space="preserve"> </w:t>
      </w:r>
      <w:r>
        <w:rPr>
          <w:rFonts w:ascii="Arial"/>
          <w:color w:val="5B6761"/>
          <w:w w:val="105"/>
          <w:sz w:val="14"/>
        </w:rPr>
        <w:t>a</w:t>
      </w:r>
      <w:r>
        <w:rPr>
          <w:rFonts w:ascii="Arial"/>
          <w:color w:val="5B6761"/>
          <w:spacing w:val="-17"/>
          <w:w w:val="105"/>
          <w:sz w:val="14"/>
        </w:rPr>
        <w:t xml:space="preserve"> </w:t>
      </w:r>
      <w:r>
        <w:rPr>
          <w:rFonts w:ascii="Arial"/>
          <w:color w:val="5B6761"/>
          <w:w w:val="105"/>
          <w:sz w:val="14"/>
        </w:rPr>
        <w:t>significant</w:t>
      </w:r>
      <w:r>
        <w:rPr>
          <w:rFonts w:ascii="Arial"/>
          <w:color w:val="5B6761"/>
          <w:spacing w:val="-17"/>
          <w:w w:val="105"/>
          <w:sz w:val="14"/>
        </w:rPr>
        <w:t xml:space="preserve"> </w:t>
      </w:r>
      <w:r>
        <w:rPr>
          <w:rFonts w:ascii="Arial"/>
          <w:color w:val="5B6761"/>
          <w:w w:val="105"/>
          <w:sz w:val="14"/>
        </w:rPr>
        <w:t>portion</w:t>
      </w:r>
      <w:r>
        <w:rPr>
          <w:rFonts w:ascii="Arial"/>
          <w:color w:val="5B6761"/>
          <w:spacing w:val="-16"/>
          <w:w w:val="105"/>
          <w:sz w:val="14"/>
        </w:rPr>
        <w:t xml:space="preserve"> </w:t>
      </w:r>
      <w:r>
        <w:rPr>
          <w:rFonts w:ascii="Arial"/>
          <w:color w:val="5B6761"/>
          <w:w w:val="105"/>
          <w:sz w:val="14"/>
        </w:rPr>
        <w:t>of</w:t>
      </w:r>
      <w:r>
        <w:rPr>
          <w:rFonts w:ascii="Arial"/>
          <w:color w:val="5B6761"/>
          <w:spacing w:val="-19"/>
          <w:w w:val="105"/>
          <w:sz w:val="14"/>
        </w:rPr>
        <w:t xml:space="preserve"> </w:t>
      </w:r>
      <w:r>
        <w:rPr>
          <w:rFonts w:ascii="Arial"/>
          <w:color w:val="5B6761"/>
          <w:w w:val="105"/>
          <w:sz w:val="14"/>
        </w:rPr>
        <w:t>their</w:t>
      </w:r>
      <w:r>
        <w:rPr>
          <w:rFonts w:ascii="Arial"/>
          <w:color w:val="5B6761"/>
          <w:spacing w:val="-16"/>
          <w:w w:val="105"/>
          <w:sz w:val="14"/>
        </w:rPr>
        <w:t xml:space="preserve"> </w:t>
      </w:r>
      <w:r>
        <w:rPr>
          <w:rFonts w:ascii="Arial"/>
          <w:color w:val="5B6761"/>
          <w:w w:val="105"/>
          <w:sz w:val="14"/>
        </w:rPr>
        <w:t>revenue</w:t>
      </w:r>
      <w:r>
        <w:rPr>
          <w:rFonts w:ascii="Arial"/>
          <w:color w:val="5B6761"/>
          <w:spacing w:val="-18"/>
          <w:w w:val="105"/>
          <w:sz w:val="14"/>
        </w:rPr>
        <w:t xml:space="preserve"> </w:t>
      </w:r>
      <w:r>
        <w:rPr>
          <w:rFonts w:ascii="Arial"/>
          <w:color w:val="5B6761"/>
          <w:w w:val="105"/>
          <w:sz w:val="14"/>
        </w:rPr>
        <w:t>(around</w:t>
      </w:r>
      <w:r>
        <w:rPr>
          <w:rFonts w:ascii="Arial"/>
          <w:color w:val="5B6761"/>
          <w:spacing w:val="-17"/>
          <w:w w:val="105"/>
          <w:sz w:val="14"/>
        </w:rPr>
        <w:t xml:space="preserve"> </w:t>
      </w:r>
      <w:r>
        <w:rPr>
          <w:rFonts w:ascii="Arial"/>
          <w:color w:val="5B6761"/>
          <w:w w:val="105"/>
          <w:sz w:val="14"/>
        </w:rPr>
        <w:t>40%).</w:t>
      </w:r>
      <w:r>
        <w:rPr>
          <w:rFonts w:ascii="Arial"/>
          <w:color w:val="5B6761"/>
          <w:spacing w:val="-18"/>
          <w:w w:val="105"/>
          <w:sz w:val="14"/>
        </w:rPr>
        <w:t xml:space="preserve"> </w:t>
      </w:r>
      <w:r>
        <w:rPr>
          <w:rFonts w:ascii="Arial"/>
          <w:color w:val="5B6761"/>
          <w:w w:val="105"/>
          <w:sz w:val="14"/>
        </w:rPr>
        <w:t>This</w:t>
      </w:r>
      <w:r>
        <w:rPr>
          <w:rFonts w:ascii="Arial"/>
          <w:color w:val="5B6761"/>
          <w:spacing w:val="-17"/>
          <w:w w:val="105"/>
          <w:sz w:val="14"/>
        </w:rPr>
        <w:t xml:space="preserve"> </w:t>
      </w:r>
      <w:r>
        <w:rPr>
          <w:rFonts w:ascii="Arial"/>
          <w:color w:val="5B6761"/>
          <w:w w:val="105"/>
          <w:sz w:val="14"/>
        </w:rPr>
        <w:t>is</w:t>
      </w:r>
      <w:r>
        <w:rPr>
          <w:rFonts w:ascii="Arial"/>
          <w:color w:val="5B6761"/>
          <w:spacing w:val="-18"/>
          <w:w w:val="105"/>
          <w:sz w:val="14"/>
        </w:rPr>
        <w:t xml:space="preserve"> </w:t>
      </w:r>
      <w:r>
        <w:rPr>
          <w:rFonts w:ascii="Arial"/>
          <w:color w:val="5B6761"/>
          <w:w w:val="105"/>
          <w:sz w:val="14"/>
        </w:rPr>
        <w:t>because</w:t>
      </w:r>
      <w:r>
        <w:rPr>
          <w:rFonts w:ascii="Arial"/>
          <w:color w:val="5B6761"/>
          <w:spacing w:val="-18"/>
          <w:w w:val="105"/>
          <w:sz w:val="14"/>
        </w:rPr>
        <w:t xml:space="preserve"> </w:t>
      </w:r>
      <w:r>
        <w:rPr>
          <w:rFonts w:ascii="Arial"/>
          <w:color w:val="5B6761"/>
          <w:w w:val="105"/>
          <w:sz w:val="14"/>
        </w:rPr>
        <w:t>the consumer</w:t>
      </w:r>
      <w:r>
        <w:rPr>
          <w:rFonts w:ascii="Arial"/>
          <w:color w:val="5B6761"/>
          <w:spacing w:val="-22"/>
          <w:w w:val="105"/>
          <w:sz w:val="14"/>
        </w:rPr>
        <w:t xml:space="preserve"> </w:t>
      </w:r>
      <w:r>
        <w:rPr>
          <w:rFonts w:ascii="Arial"/>
          <w:color w:val="5B6761"/>
          <w:w w:val="105"/>
          <w:sz w:val="14"/>
        </w:rPr>
        <w:t>is</w:t>
      </w:r>
      <w:r>
        <w:rPr>
          <w:rFonts w:ascii="Arial"/>
          <w:color w:val="5B6761"/>
          <w:spacing w:val="-22"/>
          <w:w w:val="105"/>
          <w:sz w:val="14"/>
        </w:rPr>
        <w:t xml:space="preserve"> </w:t>
      </w:r>
      <w:r>
        <w:rPr>
          <w:rFonts w:ascii="Arial"/>
          <w:color w:val="5B6761"/>
          <w:w w:val="105"/>
          <w:sz w:val="14"/>
        </w:rPr>
        <w:t>prepared</w:t>
      </w:r>
      <w:r>
        <w:rPr>
          <w:rFonts w:ascii="Arial"/>
          <w:color w:val="5B6761"/>
          <w:spacing w:val="-21"/>
          <w:w w:val="105"/>
          <w:sz w:val="14"/>
        </w:rPr>
        <w:t xml:space="preserve"> </w:t>
      </w:r>
      <w:r>
        <w:rPr>
          <w:rFonts w:ascii="Arial"/>
          <w:color w:val="5B6761"/>
          <w:w w:val="105"/>
          <w:sz w:val="14"/>
        </w:rPr>
        <w:t>to</w:t>
      </w:r>
      <w:r>
        <w:rPr>
          <w:rFonts w:ascii="Arial"/>
          <w:color w:val="5B6761"/>
          <w:spacing w:val="-23"/>
          <w:w w:val="105"/>
          <w:sz w:val="14"/>
        </w:rPr>
        <w:t xml:space="preserve"> </w:t>
      </w:r>
      <w:r>
        <w:rPr>
          <w:rFonts w:ascii="Arial"/>
          <w:color w:val="5B6761"/>
          <w:w w:val="105"/>
          <w:sz w:val="14"/>
        </w:rPr>
        <w:t>pay</w:t>
      </w:r>
      <w:r>
        <w:rPr>
          <w:rFonts w:ascii="Arial"/>
          <w:color w:val="5B6761"/>
          <w:spacing w:val="-23"/>
          <w:w w:val="105"/>
          <w:sz w:val="14"/>
        </w:rPr>
        <w:t xml:space="preserve"> </w:t>
      </w:r>
      <w:r>
        <w:rPr>
          <w:rFonts w:ascii="Arial"/>
          <w:color w:val="5B6761"/>
          <w:w w:val="105"/>
          <w:sz w:val="14"/>
        </w:rPr>
        <w:t>for</w:t>
      </w:r>
      <w:r>
        <w:rPr>
          <w:rFonts w:ascii="Arial"/>
          <w:color w:val="5B6761"/>
          <w:spacing w:val="-21"/>
          <w:w w:val="105"/>
          <w:sz w:val="14"/>
        </w:rPr>
        <w:t xml:space="preserve"> </w:t>
      </w:r>
      <w:r>
        <w:rPr>
          <w:rFonts w:ascii="Arial"/>
          <w:color w:val="5B6761"/>
          <w:w w:val="105"/>
          <w:sz w:val="14"/>
        </w:rPr>
        <w:t>products</w:t>
      </w:r>
      <w:r>
        <w:rPr>
          <w:rFonts w:ascii="Arial"/>
          <w:color w:val="5B6761"/>
          <w:spacing w:val="-22"/>
          <w:w w:val="105"/>
          <w:sz w:val="14"/>
        </w:rPr>
        <w:t xml:space="preserve"> </w:t>
      </w:r>
      <w:r>
        <w:rPr>
          <w:rFonts w:ascii="Arial"/>
          <w:color w:val="5B6761"/>
          <w:w w:val="105"/>
          <w:sz w:val="14"/>
        </w:rPr>
        <w:t>which</w:t>
      </w:r>
      <w:r>
        <w:rPr>
          <w:rFonts w:ascii="Arial"/>
          <w:color w:val="5B6761"/>
          <w:spacing w:val="-21"/>
          <w:w w:val="105"/>
          <w:sz w:val="14"/>
        </w:rPr>
        <w:t xml:space="preserve"> </w:t>
      </w:r>
      <w:r>
        <w:rPr>
          <w:rFonts w:ascii="Arial"/>
          <w:color w:val="5B6761"/>
          <w:w w:val="105"/>
          <w:sz w:val="14"/>
        </w:rPr>
        <w:t>provide</w:t>
      </w:r>
      <w:r>
        <w:rPr>
          <w:rFonts w:ascii="Arial"/>
          <w:color w:val="5B6761"/>
          <w:spacing w:val="-23"/>
          <w:w w:val="105"/>
          <w:sz w:val="14"/>
        </w:rPr>
        <w:t xml:space="preserve"> </w:t>
      </w:r>
      <w:r>
        <w:rPr>
          <w:rFonts w:ascii="Arial"/>
          <w:color w:val="5B6761"/>
          <w:w w:val="105"/>
          <w:sz w:val="14"/>
        </w:rPr>
        <w:t>higher</w:t>
      </w:r>
      <w:r>
        <w:rPr>
          <w:rFonts w:ascii="Arial"/>
          <w:color w:val="5B6761"/>
          <w:spacing w:val="-21"/>
          <w:w w:val="105"/>
          <w:sz w:val="14"/>
        </w:rPr>
        <w:t xml:space="preserve"> </w:t>
      </w:r>
      <w:r>
        <w:rPr>
          <w:rFonts w:ascii="Arial"/>
          <w:color w:val="5B6761"/>
          <w:w w:val="105"/>
          <w:sz w:val="14"/>
        </w:rPr>
        <w:t>quality,</w:t>
      </w:r>
      <w:r>
        <w:rPr>
          <w:rFonts w:ascii="Arial"/>
          <w:color w:val="5B6761"/>
          <w:spacing w:val="-22"/>
          <w:w w:val="105"/>
          <w:sz w:val="14"/>
        </w:rPr>
        <w:t xml:space="preserve"> </w:t>
      </w:r>
      <w:r>
        <w:rPr>
          <w:rFonts w:ascii="Arial"/>
          <w:color w:val="5B6761"/>
          <w:w w:val="105"/>
          <w:sz w:val="14"/>
        </w:rPr>
        <w:t>convenience,</w:t>
      </w:r>
      <w:r>
        <w:rPr>
          <w:rFonts w:ascii="Arial"/>
          <w:color w:val="5B6761"/>
          <w:spacing w:val="-22"/>
          <w:w w:val="105"/>
          <w:sz w:val="14"/>
        </w:rPr>
        <w:t xml:space="preserve"> </w:t>
      </w:r>
      <w:r>
        <w:rPr>
          <w:rFonts w:ascii="Arial"/>
          <w:color w:val="5B6761"/>
          <w:w w:val="105"/>
          <w:sz w:val="14"/>
        </w:rPr>
        <w:t>dosage</w:t>
      </w:r>
      <w:r>
        <w:rPr>
          <w:rFonts w:ascii="Arial"/>
          <w:color w:val="5B6761"/>
          <w:spacing w:val="-23"/>
          <w:w w:val="105"/>
          <w:sz w:val="14"/>
        </w:rPr>
        <w:t xml:space="preserve"> </w:t>
      </w:r>
      <w:r>
        <w:rPr>
          <w:rFonts w:ascii="Arial"/>
          <w:color w:val="5B6761"/>
          <w:w w:val="105"/>
          <w:sz w:val="14"/>
        </w:rPr>
        <w:t>control</w:t>
      </w:r>
      <w:r>
        <w:rPr>
          <w:rFonts w:ascii="Arial"/>
          <w:color w:val="5B6761"/>
          <w:spacing w:val="-22"/>
          <w:w w:val="105"/>
          <w:sz w:val="14"/>
        </w:rPr>
        <w:t xml:space="preserve"> </w:t>
      </w:r>
      <w:r>
        <w:rPr>
          <w:rFonts w:ascii="Arial"/>
          <w:color w:val="5B6761"/>
          <w:w w:val="105"/>
          <w:sz w:val="14"/>
        </w:rPr>
        <w:t>and</w:t>
      </w:r>
      <w:r>
        <w:rPr>
          <w:rFonts w:ascii="Arial"/>
          <w:color w:val="5B6761"/>
          <w:spacing w:val="-21"/>
          <w:w w:val="105"/>
          <w:sz w:val="14"/>
        </w:rPr>
        <w:t xml:space="preserve"> </w:t>
      </w:r>
      <w:r>
        <w:rPr>
          <w:rFonts w:ascii="Arial"/>
          <w:color w:val="5B6761"/>
          <w:w w:val="105"/>
          <w:sz w:val="14"/>
        </w:rPr>
        <w:t>increased</w:t>
      </w:r>
      <w:r>
        <w:rPr>
          <w:rFonts w:ascii="Arial"/>
          <w:color w:val="5B6761"/>
          <w:spacing w:val="-22"/>
          <w:w w:val="105"/>
          <w:sz w:val="14"/>
        </w:rPr>
        <w:t xml:space="preserve"> </w:t>
      </w:r>
      <w:r>
        <w:rPr>
          <w:rFonts w:ascii="Arial"/>
          <w:color w:val="5B6761"/>
          <w:w w:val="105"/>
          <w:sz w:val="14"/>
        </w:rPr>
        <w:t>shelf</w:t>
      </w:r>
      <w:r>
        <w:rPr>
          <w:rFonts w:ascii="Arial"/>
          <w:color w:val="5B6761"/>
          <w:spacing w:val="-22"/>
          <w:w w:val="105"/>
          <w:sz w:val="14"/>
        </w:rPr>
        <w:t xml:space="preserve"> </w:t>
      </w:r>
      <w:r>
        <w:rPr>
          <w:rFonts w:ascii="Arial"/>
          <w:color w:val="5B6761"/>
          <w:w w:val="105"/>
          <w:sz w:val="14"/>
        </w:rPr>
        <w:t>life.</w:t>
      </w:r>
      <w:r>
        <w:rPr>
          <w:rFonts w:ascii="Arial"/>
          <w:color w:val="5B6761"/>
          <w:spacing w:val="-15"/>
          <w:w w:val="105"/>
          <w:sz w:val="14"/>
        </w:rPr>
        <w:t xml:space="preserve"> </w:t>
      </w:r>
      <w:r>
        <w:rPr>
          <w:rFonts w:ascii="Arial"/>
          <w:color w:val="5B6761"/>
          <w:w w:val="105"/>
          <w:sz w:val="14"/>
        </w:rPr>
        <w:t>Thus,</w:t>
      </w:r>
      <w:r>
        <w:rPr>
          <w:rFonts w:ascii="Arial"/>
          <w:color w:val="5B6761"/>
          <w:spacing w:val="-22"/>
          <w:w w:val="105"/>
          <w:sz w:val="14"/>
        </w:rPr>
        <w:t xml:space="preserve"> </w:t>
      </w:r>
      <w:r>
        <w:rPr>
          <w:rFonts w:ascii="Arial"/>
          <w:color w:val="5B6761"/>
          <w:w w:val="105"/>
          <w:sz w:val="14"/>
        </w:rPr>
        <w:t>it was</w:t>
      </w:r>
      <w:r>
        <w:rPr>
          <w:rFonts w:ascii="Arial"/>
          <w:color w:val="5B6761"/>
          <w:spacing w:val="-16"/>
          <w:w w:val="105"/>
          <w:sz w:val="14"/>
        </w:rPr>
        <w:t xml:space="preserve"> </w:t>
      </w:r>
      <w:r>
        <w:rPr>
          <w:rFonts w:ascii="Arial"/>
          <w:color w:val="5B6761"/>
          <w:w w:val="105"/>
          <w:sz w:val="14"/>
        </w:rPr>
        <w:t>assessed</w:t>
      </w:r>
      <w:r>
        <w:rPr>
          <w:rFonts w:ascii="Arial"/>
          <w:color w:val="5B6761"/>
          <w:spacing w:val="-14"/>
          <w:w w:val="105"/>
          <w:sz w:val="14"/>
        </w:rPr>
        <w:t xml:space="preserve"> </w:t>
      </w:r>
      <w:r>
        <w:rPr>
          <w:rFonts w:ascii="Arial"/>
          <w:color w:val="5B6761"/>
          <w:w w:val="105"/>
          <w:sz w:val="14"/>
        </w:rPr>
        <w:t>that</w:t>
      </w:r>
      <w:r>
        <w:rPr>
          <w:rFonts w:ascii="Arial"/>
          <w:color w:val="5B6761"/>
          <w:spacing w:val="-15"/>
          <w:w w:val="105"/>
          <w:sz w:val="14"/>
        </w:rPr>
        <w:t xml:space="preserve"> </w:t>
      </w:r>
      <w:r>
        <w:rPr>
          <w:rFonts w:ascii="Arial"/>
          <w:color w:val="5B6761"/>
          <w:w w:val="105"/>
          <w:sz w:val="14"/>
        </w:rPr>
        <w:t>40%</w:t>
      </w:r>
      <w:r>
        <w:rPr>
          <w:rFonts w:ascii="Arial"/>
          <w:color w:val="5B6761"/>
          <w:spacing w:val="-16"/>
          <w:w w:val="105"/>
          <w:sz w:val="14"/>
        </w:rPr>
        <w:t xml:space="preserve"> </w:t>
      </w:r>
      <w:r>
        <w:rPr>
          <w:rFonts w:ascii="Arial"/>
          <w:color w:val="5B6761"/>
          <w:w w:val="105"/>
          <w:sz w:val="14"/>
        </w:rPr>
        <w:t>of</w:t>
      </w:r>
      <w:r>
        <w:rPr>
          <w:rFonts w:ascii="Arial"/>
          <w:color w:val="5B6761"/>
          <w:spacing w:val="-16"/>
          <w:w w:val="105"/>
          <w:sz w:val="14"/>
        </w:rPr>
        <w:t xml:space="preserve"> </w:t>
      </w:r>
      <w:r>
        <w:rPr>
          <w:rFonts w:ascii="Arial"/>
          <w:color w:val="5B6761"/>
          <w:w w:val="105"/>
          <w:sz w:val="14"/>
        </w:rPr>
        <w:t>the</w:t>
      </w:r>
      <w:r>
        <w:rPr>
          <w:rFonts w:ascii="Arial"/>
          <w:color w:val="5B6761"/>
          <w:spacing w:val="-16"/>
          <w:w w:val="105"/>
          <w:sz w:val="14"/>
        </w:rPr>
        <w:t xml:space="preserve"> </w:t>
      </w:r>
      <w:r>
        <w:rPr>
          <w:rFonts w:ascii="Arial"/>
          <w:color w:val="5B6761"/>
          <w:w w:val="105"/>
          <w:sz w:val="14"/>
        </w:rPr>
        <w:t>product</w:t>
      </w:r>
      <w:r>
        <w:rPr>
          <w:rFonts w:ascii="Arial"/>
          <w:color w:val="5B6761"/>
          <w:spacing w:val="-15"/>
          <w:w w:val="105"/>
          <w:sz w:val="14"/>
        </w:rPr>
        <w:t xml:space="preserve"> </w:t>
      </w:r>
      <w:r>
        <w:rPr>
          <w:rFonts w:ascii="Arial"/>
          <w:color w:val="5B6761"/>
          <w:w w:val="105"/>
          <w:sz w:val="14"/>
        </w:rPr>
        <w:t>population</w:t>
      </w:r>
      <w:r>
        <w:rPr>
          <w:rFonts w:ascii="Arial"/>
          <w:color w:val="5B6761"/>
          <w:spacing w:val="-14"/>
          <w:w w:val="105"/>
          <w:sz w:val="14"/>
        </w:rPr>
        <w:t xml:space="preserve"> </w:t>
      </w:r>
      <w:r>
        <w:rPr>
          <w:rFonts w:ascii="Arial"/>
          <w:color w:val="5B6761"/>
          <w:w w:val="105"/>
          <w:sz w:val="14"/>
        </w:rPr>
        <w:t>would</w:t>
      </w:r>
      <w:r>
        <w:rPr>
          <w:rFonts w:ascii="Arial"/>
          <w:color w:val="5B6761"/>
          <w:spacing w:val="-15"/>
          <w:w w:val="105"/>
          <w:sz w:val="14"/>
        </w:rPr>
        <w:t xml:space="preserve"> </w:t>
      </w:r>
      <w:r>
        <w:rPr>
          <w:rFonts w:ascii="Arial"/>
          <w:color w:val="5B6761"/>
          <w:w w:val="105"/>
          <w:sz w:val="14"/>
        </w:rPr>
        <w:t>likely</w:t>
      </w:r>
      <w:r>
        <w:rPr>
          <w:rFonts w:ascii="Arial"/>
          <w:color w:val="5B6761"/>
          <w:spacing w:val="-15"/>
          <w:w w:val="105"/>
          <w:sz w:val="14"/>
        </w:rPr>
        <w:t xml:space="preserve"> </w:t>
      </w:r>
      <w:r>
        <w:rPr>
          <w:rFonts w:ascii="Arial"/>
          <w:color w:val="5B6761"/>
          <w:w w:val="105"/>
          <w:sz w:val="14"/>
        </w:rPr>
        <w:t>be</w:t>
      </w:r>
      <w:r>
        <w:rPr>
          <w:rFonts w:ascii="Arial"/>
          <w:color w:val="5B6761"/>
          <w:spacing w:val="-16"/>
          <w:w w:val="105"/>
          <w:sz w:val="14"/>
        </w:rPr>
        <w:t xml:space="preserve"> </w:t>
      </w:r>
      <w:r>
        <w:rPr>
          <w:rFonts w:ascii="Arial"/>
          <w:color w:val="5B6761"/>
          <w:w w:val="105"/>
          <w:sz w:val="14"/>
        </w:rPr>
        <w:t>listed</w:t>
      </w:r>
      <w:r>
        <w:rPr>
          <w:rFonts w:ascii="Arial"/>
          <w:color w:val="5B6761"/>
          <w:spacing w:val="-15"/>
          <w:w w:val="105"/>
          <w:sz w:val="14"/>
        </w:rPr>
        <w:t xml:space="preserve"> </w:t>
      </w:r>
      <w:r>
        <w:rPr>
          <w:rFonts w:ascii="Arial"/>
          <w:color w:val="5B6761"/>
          <w:w w:val="105"/>
          <w:sz w:val="14"/>
        </w:rPr>
        <w:t>on</w:t>
      </w:r>
      <w:r>
        <w:rPr>
          <w:rFonts w:ascii="Arial"/>
          <w:color w:val="5B6761"/>
          <w:spacing w:val="-14"/>
          <w:w w:val="105"/>
          <w:sz w:val="14"/>
        </w:rPr>
        <w:t xml:space="preserve"> </w:t>
      </w:r>
      <w:r>
        <w:rPr>
          <w:rFonts w:ascii="Arial"/>
          <w:color w:val="5B6761"/>
          <w:w w:val="105"/>
          <w:sz w:val="14"/>
        </w:rPr>
        <w:t>the</w:t>
      </w:r>
      <w:r>
        <w:rPr>
          <w:rFonts w:ascii="Arial"/>
          <w:color w:val="5B6761"/>
          <w:spacing w:val="-17"/>
          <w:w w:val="105"/>
          <w:sz w:val="14"/>
        </w:rPr>
        <w:t xml:space="preserve"> </w:t>
      </w:r>
      <w:r>
        <w:rPr>
          <w:rFonts w:ascii="Arial"/>
          <w:color w:val="5B6761"/>
          <w:w w:val="105"/>
          <w:sz w:val="14"/>
        </w:rPr>
        <w:t>ARTG</w:t>
      </w:r>
      <w:r>
        <w:rPr>
          <w:rFonts w:ascii="Arial"/>
          <w:color w:val="5B6761"/>
          <w:spacing w:val="-15"/>
          <w:w w:val="105"/>
          <w:sz w:val="14"/>
        </w:rPr>
        <w:t xml:space="preserve"> </w:t>
      </w:r>
      <w:r>
        <w:rPr>
          <w:rFonts w:ascii="Arial"/>
          <w:color w:val="5B6761"/>
          <w:w w:val="105"/>
          <w:sz w:val="14"/>
        </w:rPr>
        <w:t>as</w:t>
      </w:r>
      <w:r>
        <w:rPr>
          <w:rFonts w:ascii="Arial"/>
          <w:color w:val="5B6761"/>
          <w:spacing w:val="-15"/>
          <w:w w:val="105"/>
          <w:sz w:val="14"/>
        </w:rPr>
        <w:t xml:space="preserve"> </w:t>
      </w:r>
      <w:r>
        <w:rPr>
          <w:rFonts w:ascii="Arial"/>
          <w:color w:val="5B6761"/>
          <w:w w:val="105"/>
          <w:sz w:val="14"/>
        </w:rPr>
        <w:t>they</w:t>
      </w:r>
      <w:r>
        <w:rPr>
          <w:rFonts w:ascii="Arial"/>
          <w:color w:val="5B6761"/>
          <w:spacing w:val="-15"/>
          <w:w w:val="105"/>
          <w:sz w:val="14"/>
        </w:rPr>
        <w:t xml:space="preserve"> </w:t>
      </w:r>
      <w:r>
        <w:rPr>
          <w:rFonts w:ascii="Arial"/>
          <w:color w:val="5B6761"/>
          <w:w w:val="105"/>
          <w:sz w:val="14"/>
        </w:rPr>
        <w:t>would</w:t>
      </w:r>
      <w:r>
        <w:rPr>
          <w:rFonts w:ascii="Arial"/>
          <w:color w:val="5B6761"/>
          <w:spacing w:val="-15"/>
          <w:w w:val="105"/>
          <w:sz w:val="14"/>
        </w:rPr>
        <w:t xml:space="preserve"> </w:t>
      </w:r>
      <w:r>
        <w:rPr>
          <w:rFonts w:ascii="Arial"/>
          <w:color w:val="5B6761"/>
          <w:w w:val="105"/>
          <w:sz w:val="14"/>
        </w:rPr>
        <w:t>not</w:t>
      </w:r>
      <w:r>
        <w:rPr>
          <w:rFonts w:ascii="Arial"/>
          <w:color w:val="5B6761"/>
          <w:spacing w:val="-15"/>
          <w:w w:val="105"/>
          <w:sz w:val="14"/>
        </w:rPr>
        <w:t xml:space="preserve"> </w:t>
      </w:r>
      <w:r>
        <w:rPr>
          <w:rFonts w:ascii="Arial"/>
          <w:color w:val="5B6761"/>
          <w:w w:val="105"/>
          <w:sz w:val="14"/>
        </w:rPr>
        <w:t>want</w:t>
      </w:r>
      <w:r>
        <w:rPr>
          <w:rFonts w:ascii="Arial"/>
          <w:color w:val="5B6761"/>
          <w:spacing w:val="-14"/>
          <w:w w:val="105"/>
          <w:sz w:val="14"/>
        </w:rPr>
        <w:t xml:space="preserve"> </w:t>
      </w:r>
      <w:r>
        <w:rPr>
          <w:rFonts w:ascii="Arial"/>
          <w:color w:val="5B6761"/>
          <w:w w:val="105"/>
          <w:sz w:val="14"/>
        </w:rPr>
        <w:t>to</w:t>
      </w:r>
      <w:r>
        <w:rPr>
          <w:rFonts w:ascii="Arial"/>
          <w:color w:val="5B6761"/>
          <w:spacing w:val="-16"/>
          <w:w w:val="105"/>
          <w:sz w:val="14"/>
        </w:rPr>
        <w:t xml:space="preserve"> </w:t>
      </w:r>
      <w:r>
        <w:rPr>
          <w:rFonts w:ascii="Arial"/>
          <w:color w:val="5B6761"/>
          <w:w w:val="105"/>
          <w:sz w:val="14"/>
        </w:rPr>
        <w:t>lose</w:t>
      </w:r>
      <w:r>
        <w:rPr>
          <w:rFonts w:ascii="Arial"/>
          <w:color w:val="5B6761"/>
          <w:spacing w:val="-16"/>
          <w:w w:val="105"/>
          <w:sz w:val="14"/>
        </w:rPr>
        <w:t xml:space="preserve"> </w:t>
      </w:r>
      <w:r>
        <w:rPr>
          <w:rFonts w:ascii="Arial"/>
          <w:color w:val="5B6761"/>
          <w:w w:val="105"/>
          <w:sz w:val="14"/>
        </w:rPr>
        <w:t>the</w:t>
      </w:r>
      <w:r>
        <w:rPr>
          <w:rFonts w:ascii="Arial"/>
          <w:color w:val="5B6761"/>
          <w:spacing w:val="-16"/>
          <w:w w:val="105"/>
          <w:sz w:val="14"/>
        </w:rPr>
        <w:t xml:space="preserve"> </w:t>
      </w:r>
      <w:r>
        <w:rPr>
          <w:rFonts w:ascii="Arial"/>
          <w:color w:val="5B6761"/>
          <w:w w:val="105"/>
          <w:sz w:val="14"/>
        </w:rPr>
        <w:t>significant portion</w:t>
      </w:r>
      <w:r>
        <w:rPr>
          <w:rFonts w:ascii="Arial"/>
          <w:color w:val="5B6761"/>
          <w:spacing w:val="-9"/>
          <w:w w:val="105"/>
          <w:sz w:val="14"/>
        </w:rPr>
        <w:t xml:space="preserve"> </w:t>
      </w:r>
      <w:r>
        <w:rPr>
          <w:rFonts w:ascii="Arial"/>
          <w:color w:val="5B6761"/>
          <w:w w:val="105"/>
          <w:sz w:val="14"/>
        </w:rPr>
        <w:t>of</w:t>
      </w:r>
      <w:r>
        <w:rPr>
          <w:rFonts w:ascii="Arial"/>
          <w:color w:val="5B6761"/>
          <w:spacing w:val="-11"/>
          <w:w w:val="105"/>
          <w:sz w:val="14"/>
        </w:rPr>
        <w:t xml:space="preserve"> </w:t>
      </w:r>
      <w:r>
        <w:rPr>
          <w:rFonts w:ascii="Arial"/>
          <w:color w:val="5B6761"/>
          <w:w w:val="105"/>
          <w:sz w:val="14"/>
        </w:rPr>
        <w:t>company</w:t>
      </w:r>
      <w:r>
        <w:rPr>
          <w:rFonts w:ascii="Arial"/>
          <w:color w:val="5B6761"/>
          <w:spacing w:val="-10"/>
          <w:w w:val="105"/>
          <w:sz w:val="14"/>
        </w:rPr>
        <w:t xml:space="preserve"> </w:t>
      </w:r>
      <w:r>
        <w:rPr>
          <w:rFonts w:ascii="Arial"/>
          <w:color w:val="5B6761"/>
          <w:w w:val="105"/>
          <w:sz w:val="14"/>
        </w:rPr>
        <w:t>revenue,</w:t>
      </w:r>
      <w:r>
        <w:rPr>
          <w:rFonts w:ascii="Arial"/>
          <w:color w:val="5B6761"/>
          <w:spacing w:val="-9"/>
          <w:w w:val="105"/>
          <w:sz w:val="14"/>
        </w:rPr>
        <w:t xml:space="preserve"> </w:t>
      </w:r>
      <w:r>
        <w:rPr>
          <w:rFonts w:ascii="Arial"/>
          <w:color w:val="5B6761"/>
          <w:w w:val="105"/>
          <w:sz w:val="14"/>
        </w:rPr>
        <w:t>nor</w:t>
      </w:r>
      <w:r>
        <w:rPr>
          <w:rFonts w:ascii="Arial"/>
          <w:color w:val="5B6761"/>
          <w:spacing w:val="-9"/>
          <w:w w:val="105"/>
          <w:sz w:val="14"/>
        </w:rPr>
        <w:t xml:space="preserve"> </w:t>
      </w:r>
      <w:r>
        <w:rPr>
          <w:rFonts w:ascii="Arial"/>
          <w:color w:val="5B6761"/>
          <w:w w:val="105"/>
          <w:sz w:val="14"/>
        </w:rPr>
        <w:t>reformulate</w:t>
      </w:r>
      <w:r>
        <w:rPr>
          <w:rFonts w:ascii="Arial"/>
          <w:color w:val="5B6761"/>
          <w:spacing w:val="-11"/>
          <w:w w:val="105"/>
          <w:sz w:val="14"/>
        </w:rPr>
        <w:t xml:space="preserve"> </w:t>
      </w:r>
      <w:r>
        <w:rPr>
          <w:rFonts w:ascii="Arial"/>
          <w:color w:val="5B6761"/>
          <w:w w:val="105"/>
          <w:sz w:val="14"/>
        </w:rPr>
        <w:t>to</w:t>
      </w:r>
      <w:r>
        <w:rPr>
          <w:rFonts w:ascii="Arial"/>
          <w:color w:val="5B6761"/>
          <w:spacing w:val="-10"/>
          <w:w w:val="105"/>
          <w:sz w:val="14"/>
        </w:rPr>
        <w:t xml:space="preserve"> </w:t>
      </w:r>
      <w:r>
        <w:rPr>
          <w:rFonts w:ascii="Arial"/>
          <w:color w:val="5B6761"/>
          <w:w w:val="105"/>
          <w:sz w:val="14"/>
        </w:rPr>
        <w:t>move</w:t>
      </w:r>
      <w:r>
        <w:rPr>
          <w:rFonts w:ascii="Arial"/>
          <w:color w:val="5B6761"/>
          <w:spacing w:val="-11"/>
          <w:w w:val="105"/>
          <w:sz w:val="14"/>
        </w:rPr>
        <w:t xml:space="preserve"> </w:t>
      </w:r>
      <w:r>
        <w:rPr>
          <w:rFonts w:ascii="Arial"/>
          <w:color w:val="5B6761"/>
          <w:w w:val="105"/>
          <w:sz w:val="14"/>
        </w:rPr>
        <w:t>away</w:t>
      </w:r>
      <w:r>
        <w:rPr>
          <w:rFonts w:ascii="Arial"/>
          <w:color w:val="5B6761"/>
          <w:spacing w:val="-10"/>
          <w:w w:val="105"/>
          <w:sz w:val="14"/>
        </w:rPr>
        <w:t xml:space="preserve"> </w:t>
      </w:r>
      <w:r>
        <w:rPr>
          <w:rFonts w:ascii="Arial"/>
          <w:color w:val="5B6761"/>
          <w:w w:val="105"/>
          <w:sz w:val="14"/>
        </w:rPr>
        <w:t>from</w:t>
      </w:r>
      <w:r>
        <w:rPr>
          <w:rFonts w:ascii="Arial"/>
          <w:color w:val="5B6761"/>
          <w:spacing w:val="-10"/>
          <w:w w:val="105"/>
          <w:sz w:val="14"/>
        </w:rPr>
        <w:t xml:space="preserve"> </w:t>
      </w:r>
      <w:r>
        <w:rPr>
          <w:rFonts w:ascii="Arial"/>
          <w:color w:val="5B6761"/>
          <w:w w:val="105"/>
          <w:sz w:val="14"/>
        </w:rPr>
        <w:t>consumer</w:t>
      </w:r>
      <w:r>
        <w:rPr>
          <w:rFonts w:ascii="Arial"/>
          <w:color w:val="5B6761"/>
          <w:spacing w:val="-8"/>
          <w:w w:val="105"/>
          <w:sz w:val="14"/>
        </w:rPr>
        <w:t xml:space="preserve"> </w:t>
      </w:r>
      <w:r>
        <w:rPr>
          <w:rFonts w:ascii="Arial"/>
          <w:color w:val="5B6761"/>
          <w:w w:val="105"/>
          <w:sz w:val="14"/>
        </w:rPr>
        <w:t>preference.</w:t>
      </w:r>
    </w:p>
    <w:p w:rsidR="007D76BB" w:rsidRDefault="00D70D28">
      <w:pPr>
        <w:spacing w:before="59" w:line="268" w:lineRule="auto"/>
        <w:ind w:left="594" w:right="1245" w:hanging="113"/>
        <w:rPr>
          <w:rFonts w:ascii="Arial"/>
          <w:sz w:val="14"/>
        </w:rPr>
      </w:pPr>
      <w:r>
        <w:rPr>
          <w:rFonts w:ascii="Arial"/>
          <w:color w:val="5B6761"/>
          <w:w w:val="109"/>
          <w:position w:val="5"/>
          <w:sz w:val="8"/>
        </w:rPr>
        <w:t>48</w:t>
      </w:r>
      <w:r>
        <w:rPr>
          <w:rFonts w:ascii="Arial"/>
          <w:color w:val="5B6761"/>
          <w:position w:val="5"/>
          <w:sz w:val="8"/>
        </w:rPr>
        <w:t xml:space="preserve"> </w:t>
      </w:r>
      <w:r>
        <w:rPr>
          <w:rFonts w:ascii="Arial"/>
          <w:color w:val="5B6761"/>
          <w:w w:val="102"/>
          <w:sz w:val="14"/>
        </w:rPr>
        <w:t>I</w:t>
      </w:r>
      <w:r>
        <w:rPr>
          <w:rFonts w:ascii="Arial"/>
          <w:color w:val="5B6761"/>
          <w:sz w:val="14"/>
        </w:rPr>
        <w:t xml:space="preserve">n </w:t>
      </w:r>
      <w:r>
        <w:rPr>
          <w:rFonts w:ascii="Arial"/>
          <w:color w:val="5B6761"/>
          <w:w w:val="109"/>
          <w:sz w:val="14"/>
        </w:rPr>
        <w:t>2</w:t>
      </w:r>
      <w:r>
        <w:rPr>
          <w:rFonts w:ascii="Arial"/>
          <w:color w:val="5B6761"/>
          <w:w w:val="90"/>
          <w:sz w:val="14"/>
        </w:rPr>
        <w:t>01</w:t>
      </w:r>
      <w:r>
        <w:rPr>
          <w:rFonts w:ascii="Arial"/>
          <w:color w:val="5B6761"/>
          <w:w w:val="93"/>
          <w:sz w:val="14"/>
        </w:rPr>
        <w:t>7</w:t>
      </w:r>
      <w:r>
        <w:rPr>
          <w:rFonts w:ascii="Arial"/>
          <w:color w:val="5B6761"/>
          <w:w w:val="175"/>
          <w:sz w:val="14"/>
        </w:rPr>
        <w:t>/</w:t>
      </w:r>
      <w:r>
        <w:rPr>
          <w:rFonts w:ascii="Arial"/>
          <w:color w:val="5B6761"/>
          <w:w w:val="66"/>
          <w:sz w:val="14"/>
        </w:rPr>
        <w:t>1</w:t>
      </w:r>
      <w:r>
        <w:rPr>
          <w:rFonts w:ascii="Arial"/>
          <w:color w:val="5B6761"/>
          <w:w w:val="109"/>
          <w:sz w:val="14"/>
        </w:rPr>
        <w:t>8</w:t>
      </w:r>
      <w:r>
        <w:rPr>
          <w:rFonts w:ascii="Arial"/>
          <w:color w:val="5B6761"/>
          <w:sz w:val="14"/>
        </w:rPr>
        <w:t xml:space="preserve"> </w:t>
      </w:r>
      <w:r>
        <w:rPr>
          <w:rFonts w:ascii="Arial"/>
          <w:color w:val="5B6761"/>
          <w:w w:val="133"/>
          <w:sz w:val="14"/>
        </w:rPr>
        <w:t>t</w:t>
      </w:r>
      <w:r>
        <w:rPr>
          <w:rFonts w:ascii="Arial"/>
          <w:color w:val="5B6761"/>
          <w:sz w:val="14"/>
        </w:rPr>
        <w:t>h</w:t>
      </w:r>
      <w:r>
        <w:rPr>
          <w:rFonts w:ascii="Arial"/>
          <w:color w:val="5B6761"/>
          <w:w w:val="96"/>
          <w:sz w:val="14"/>
        </w:rPr>
        <w:t>e</w:t>
      </w:r>
      <w:r>
        <w:rPr>
          <w:rFonts w:ascii="Arial"/>
          <w:color w:val="5B6761"/>
          <w:w w:val="116"/>
          <w:sz w:val="14"/>
        </w:rPr>
        <w:t>r</w:t>
      </w:r>
      <w:r>
        <w:rPr>
          <w:rFonts w:ascii="Arial"/>
          <w:color w:val="5B6761"/>
          <w:w w:val="96"/>
          <w:sz w:val="14"/>
        </w:rPr>
        <w:t>e</w:t>
      </w:r>
      <w:r>
        <w:rPr>
          <w:rFonts w:ascii="Arial"/>
          <w:color w:val="5B6761"/>
          <w:sz w:val="14"/>
        </w:rPr>
        <w:t xml:space="preserve"> </w:t>
      </w:r>
      <w:r>
        <w:rPr>
          <w:rFonts w:ascii="Arial"/>
          <w:color w:val="5B6761"/>
          <w:w w:val="98"/>
          <w:sz w:val="14"/>
        </w:rPr>
        <w:t>w</w:t>
      </w:r>
      <w:r>
        <w:rPr>
          <w:rFonts w:ascii="Arial"/>
          <w:color w:val="5B6761"/>
          <w:w w:val="96"/>
          <w:sz w:val="14"/>
        </w:rPr>
        <w:t>e</w:t>
      </w:r>
      <w:r>
        <w:rPr>
          <w:rFonts w:ascii="Arial"/>
          <w:color w:val="5B6761"/>
          <w:w w:val="116"/>
          <w:sz w:val="14"/>
        </w:rPr>
        <w:t>r</w:t>
      </w:r>
      <w:r>
        <w:rPr>
          <w:rFonts w:ascii="Arial"/>
          <w:color w:val="5B6761"/>
          <w:w w:val="96"/>
          <w:sz w:val="14"/>
        </w:rPr>
        <w:t>e</w:t>
      </w:r>
      <w:r>
        <w:rPr>
          <w:rFonts w:ascii="Arial"/>
          <w:color w:val="5B6761"/>
          <w:sz w:val="14"/>
        </w:rPr>
        <w:t xml:space="preserve"> </w:t>
      </w:r>
      <w:r>
        <w:rPr>
          <w:rFonts w:ascii="Arial"/>
          <w:color w:val="5B6761"/>
          <w:w w:val="66"/>
          <w:sz w:val="14"/>
        </w:rPr>
        <w:t>1</w:t>
      </w:r>
      <w:r>
        <w:rPr>
          <w:rFonts w:ascii="Arial"/>
          <w:color w:val="5B6761"/>
          <w:w w:val="93"/>
          <w:sz w:val="14"/>
        </w:rPr>
        <w:t>7</w:t>
      </w:r>
      <w:r>
        <w:rPr>
          <w:rFonts w:ascii="Arial"/>
          <w:color w:val="5B6761"/>
          <w:w w:val="106"/>
          <w:sz w:val="14"/>
        </w:rPr>
        <w:t>9</w:t>
      </w:r>
      <w:r>
        <w:rPr>
          <w:rFonts w:ascii="Arial"/>
          <w:color w:val="5B6761"/>
          <w:w w:val="109"/>
          <w:sz w:val="14"/>
        </w:rPr>
        <w:t>2</w:t>
      </w:r>
      <w:r>
        <w:rPr>
          <w:rFonts w:ascii="Arial"/>
          <w:color w:val="5B6761"/>
          <w:sz w:val="14"/>
        </w:rPr>
        <w:t xml:space="preserve"> n</w:t>
      </w:r>
      <w:r>
        <w:rPr>
          <w:rFonts w:ascii="Arial"/>
          <w:color w:val="5B6761"/>
          <w:w w:val="96"/>
          <w:sz w:val="14"/>
        </w:rPr>
        <w:t>e</w:t>
      </w:r>
      <w:r>
        <w:rPr>
          <w:rFonts w:ascii="Arial"/>
          <w:color w:val="5B6761"/>
          <w:w w:val="98"/>
          <w:sz w:val="14"/>
        </w:rPr>
        <w:t>w</w:t>
      </w:r>
      <w:r>
        <w:rPr>
          <w:rFonts w:ascii="Arial"/>
          <w:color w:val="5B6761"/>
          <w:sz w:val="14"/>
        </w:rPr>
        <w:t xml:space="preserve"> </w:t>
      </w:r>
      <w:r>
        <w:rPr>
          <w:rFonts w:ascii="Arial"/>
          <w:color w:val="5B6761"/>
          <w:w w:val="117"/>
          <w:sz w:val="14"/>
        </w:rPr>
        <w:t>l</w:t>
      </w:r>
      <w:r>
        <w:rPr>
          <w:rFonts w:ascii="Arial"/>
          <w:color w:val="5B6761"/>
          <w:w w:val="113"/>
          <w:sz w:val="14"/>
        </w:rPr>
        <w:t>i</w:t>
      </w:r>
      <w:r>
        <w:rPr>
          <w:rFonts w:ascii="Arial"/>
          <w:color w:val="5B6761"/>
          <w:w w:val="93"/>
          <w:sz w:val="14"/>
        </w:rPr>
        <w:t>s</w:t>
      </w:r>
      <w:r>
        <w:rPr>
          <w:rFonts w:ascii="Arial"/>
          <w:color w:val="5B6761"/>
          <w:w w:val="133"/>
          <w:sz w:val="14"/>
        </w:rPr>
        <w:t>t</w:t>
      </w:r>
      <w:r>
        <w:rPr>
          <w:rFonts w:ascii="Arial"/>
          <w:color w:val="5B6761"/>
          <w:w w:val="96"/>
          <w:sz w:val="14"/>
        </w:rPr>
        <w:t>e</w:t>
      </w:r>
      <w:r>
        <w:rPr>
          <w:rFonts w:ascii="Arial"/>
          <w:color w:val="5B6761"/>
          <w:sz w:val="14"/>
        </w:rPr>
        <w:t xml:space="preserve">d </w:t>
      </w:r>
      <w:r>
        <w:rPr>
          <w:rFonts w:ascii="Arial"/>
          <w:color w:val="5B6761"/>
          <w:w w:val="99"/>
          <w:sz w:val="14"/>
        </w:rPr>
        <w:t>me</w:t>
      </w:r>
      <w:r>
        <w:rPr>
          <w:rFonts w:ascii="Arial"/>
          <w:color w:val="5B6761"/>
          <w:sz w:val="14"/>
        </w:rPr>
        <w:t>d</w:t>
      </w:r>
      <w:r>
        <w:rPr>
          <w:rFonts w:ascii="Arial"/>
          <w:color w:val="5B6761"/>
          <w:w w:val="113"/>
          <w:sz w:val="14"/>
        </w:rPr>
        <w:t>i</w:t>
      </w:r>
      <w:r>
        <w:rPr>
          <w:rFonts w:ascii="Arial"/>
          <w:color w:val="5B6761"/>
          <w:w w:val="103"/>
          <w:sz w:val="14"/>
        </w:rPr>
        <w:t>ci</w:t>
      </w:r>
      <w:r>
        <w:rPr>
          <w:rFonts w:ascii="Arial"/>
          <w:color w:val="5B6761"/>
          <w:sz w:val="14"/>
        </w:rPr>
        <w:t>n</w:t>
      </w:r>
      <w:r>
        <w:rPr>
          <w:rFonts w:ascii="Arial"/>
          <w:color w:val="5B6761"/>
          <w:w w:val="96"/>
          <w:sz w:val="14"/>
        </w:rPr>
        <w:t>e</w:t>
      </w:r>
      <w:r>
        <w:rPr>
          <w:rFonts w:ascii="Arial"/>
          <w:color w:val="5B6761"/>
          <w:w w:val="93"/>
          <w:sz w:val="14"/>
        </w:rPr>
        <w:t>s</w:t>
      </w:r>
      <w:r>
        <w:rPr>
          <w:rFonts w:ascii="Arial"/>
          <w:color w:val="5B6761"/>
          <w:sz w:val="14"/>
        </w:rPr>
        <w:t xml:space="preserve"> </w:t>
      </w:r>
      <w:r>
        <w:rPr>
          <w:rFonts w:ascii="Arial"/>
          <w:color w:val="5B6761"/>
          <w:w w:val="99"/>
          <w:sz w:val="14"/>
        </w:rPr>
        <w:t>o</w:t>
      </w:r>
      <w:r>
        <w:rPr>
          <w:rFonts w:ascii="Arial"/>
          <w:color w:val="5B6761"/>
          <w:sz w:val="14"/>
        </w:rPr>
        <w:t xml:space="preserve">n </w:t>
      </w:r>
      <w:r>
        <w:rPr>
          <w:rFonts w:ascii="Arial"/>
          <w:color w:val="5B6761"/>
          <w:w w:val="133"/>
          <w:sz w:val="14"/>
        </w:rPr>
        <w:t>t</w:t>
      </w:r>
      <w:r>
        <w:rPr>
          <w:rFonts w:ascii="Arial"/>
          <w:color w:val="5B6761"/>
          <w:sz w:val="14"/>
        </w:rPr>
        <w:t>h</w:t>
      </w:r>
      <w:r>
        <w:rPr>
          <w:rFonts w:ascii="Arial"/>
          <w:color w:val="5B6761"/>
          <w:w w:val="96"/>
          <w:sz w:val="14"/>
        </w:rPr>
        <w:t>e</w:t>
      </w:r>
      <w:r>
        <w:rPr>
          <w:rFonts w:ascii="Arial"/>
          <w:color w:val="5B6761"/>
          <w:sz w:val="14"/>
        </w:rPr>
        <w:t xml:space="preserve"> </w:t>
      </w:r>
      <w:r>
        <w:rPr>
          <w:rFonts w:ascii="Arial"/>
          <w:color w:val="5B6761"/>
          <w:w w:val="101"/>
          <w:sz w:val="14"/>
        </w:rPr>
        <w:t>A</w:t>
      </w:r>
      <w:r>
        <w:rPr>
          <w:rFonts w:ascii="Arial"/>
          <w:color w:val="5B6761"/>
          <w:w w:val="91"/>
          <w:sz w:val="14"/>
        </w:rPr>
        <w:t>R</w:t>
      </w:r>
      <w:r>
        <w:rPr>
          <w:rFonts w:ascii="Arial"/>
          <w:color w:val="5B6761"/>
          <w:w w:val="94"/>
          <w:sz w:val="14"/>
        </w:rPr>
        <w:t>T</w:t>
      </w:r>
      <w:r>
        <w:rPr>
          <w:rFonts w:ascii="Arial"/>
          <w:color w:val="5B6761"/>
          <w:w w:val="85"/>
          <w:sz w:val="14"/>
        </w:rPr>
        <w:t>G,</w:t>
      </w:r>
      <w:r>
        <w:rPr>
          <w:rFonts w:ascii="Arial"/>
          <w:color w:val="5B6761"/>
          <w:sz w:val="14"/>
        </w:rPr>
        <w:t xml:space="preserve"> </w:t>
      </w:r>
      <w:r>
        <w:rPr>
          <w:rFonts w:ascii="Arial"/>
          <w:color w:val="5B6761"/>
          <w:w w:val="98"/>
          <w:sz w:val="14"/>
        </w:rPr>
        <w:t>w</w:t>
      </w:r>
      <w:r>
        <w:rPr>
          <w:rFonts w:ascii="Arial"/>
          <w:color w:val="5B6761"/>
          <w:w w:val="113"/>
          <w:sz w:val="14"/>
        </w:rPr>
        <w:t>i</w:t>
      </w:r>
      <w:r>
        <w:rPr>
          <w:rFonts w:ascii="Arial"/>
          <w:color w:val="5B6761"/>
          <w:w w:val="133"/>
          <w:sz w:val="14"/>
        </w:rPr>
        <w:t>t</w:t>
      </w:r>
      <w:r>
        <w:rPr>
          <w:rFonts w:ascii="Arial"/>
          <w:color w:val="5B6761"/>
          <w:sz w:val="14"/>
        </w:rPr>
        <w:t xml:space="preserve">h </w:t>
      </w:r>
      <w:r>
        <w:rPr>
          <w:rFonts w:ascii="Arial"/>
          <w:color w:val="5B6761"/>
          <w:w w:val="66"/>
          <w:sz w:val="14"/>
        </w:rPr>
        <w:t>1</w:t>
      </w:r>
      <w:r>
        <w:rPr>
          <w:rFonts w:ascii="Arial"/>
          <w:color w:val="5B6761"/>
          <w:w w:val="109"/>
          <w:sz w:val="14"/>
        </w:rPr>
        <w:t>8</w:t>
      </w:r>
      <w:r>
        <w:rPr>
          <w:rFonts w:ascii="Arial"/>
          <w:color w:val="5B6761"/>
          <w:w w:val="106"/>
          <w:sz w:val="14"/>
        </w:rPr>
        <w:t>9</w:t>
      </w:r>
      <w:r>
        <w:rPr>
          <w:rFonts w:ascii="Arial"/>
          <w:color w:val="5B6761"/>
          <w:w w:val="107"/>
          <w:sz w:val="14"/>
        </w:rPr>
        <w:t>3</w:t>
      </w:r>
      <w:r>
        <w:rPr>
          <w:rFonts w:ascii="Arial"/>
          <w:color w:val="5B6761"/>
          <w:sz w:val="14"/>
        </w:rPr>
        <w:t xml:space="preserve"> n</w:t>
      </w:r>
      <w:r>
        <w:rPr>
          <w:rFonts w:ascii="Arial"/>
          <w:color w:val="5B6761"/>
          <w:w w:val="96"/>
          <w:sz w:val="14"/>
        </w:rPr>
        <w:t>e</w:t>
      </w:r>
      <w:r>
        <w:rPr>
          <w:rFonts w:ascii="Arial"/>
          <w:color w:val="5B6761"/>
          <w:w w:val="98"/>
          <w:sz w:val="14"/>
        </w:rPr>
        <w:t>w</w:t>
      </w:r>
      <w:r>
        <w:rPr>
          <w:rFonts w:ascii="Arial"/>
          <w:color w:val="5B6761"/>
          <w:sz w:val="14"/>
        </w:rPr>
        <w:t xml:space="preserve"> </w:t>
      </w:r>
      <w:r>
        <w:rPr>
          <w:rFonts w:ascii="Arial"/>
          <w:color w:val="5B6761"/>
          <w:w w:val="117"/>
          <w:sz w:val="14"/>
        </w:rPr>
        <w:t>l</w:t>
      </w:r>
      <w:r>
        <w:rPr>
          <w:rFonts w:ascii="Arial"/>
          <w:color w:val="5B6761"/>
          <w:w w:val="113"/>
          <w:sz w:val="14"/>
        </w:rPr>
        <w:t>i</w:t>
      </w:r>
      <w:r>
        <w:rPr>
          <w:rFonts w:ascii="Arial"/>
          <w:color w:val="5B6761"/>
          <w:w w:val="93"/>
          <w:sz w:val="14"/>
        </w:rPr>
        <w:t>s</w:t>
      </w:r>
      <w:r>
        <w:rPr>
          <w:rFonts w:ascii="Arial"/>
          <w:color w:val="5B6761"/>
          <w:w w:val="133"/>
          <w:sz w:val="14"/>
        </w:rPr>
        <w:t>t</w:t>
      </w:r>
      <w:r>
        <w:rPr>
          <w:rFonts w:ascii="Arial"/>
          <w:color w:val="5B6761"/>
          <w:w w:val="96"/>
          <w:sz w:val="14"/>
        </w:rPr>
        <w:t>e</w:t>
      </w:r>
      <w:r>
        <w:rPr>
          <w:rFonts w:ascii="Arial"/>
          <w:color w:val="5B6761"/>
          <w:sz w:val="14"/>
        </w:rPr>
        <w:t>d m</w:t>
      </w:r>
      <w:r>
        <w:rPr>
          <w:rFonts w:ascii="Arial"/>
          <w:color w:val="5B6761"/>
          <w:w w:val="96"/>
          <w:sz w:val="14"/>
        </w:rPr>
        <w:t>e</w:t>
      </w:r>
      <w:r>
        <w:rPr>
          <w:rFonts w:ascii="Arial"/>
          <w:color w:val="5B6761"/>
          <w:sz w:val="14"/>
        </w:rPr>
        <w:t>d</w:t>
      </w:r>
      <w:r>
        <w:rPr>
          <w:rFonts w:ascii="Arial"/>
          <w:color w:val="5B6761"/>
          <w:w w:val="113"/>
          <w:sz w:val="14"/>
        </w:rPr>
        <w:t>i</w:t>
      </w:r>
      <w:r>
        <w:rPr>
          <w:rFonts w:ascii="Arial"/>
          <w:color w:val="5B6761"/>
          <w:w w:val="103"/>
          <w:sz w:val="14"/>
        </w:rPr>
        <w:t>ci</w:t>
      </w:r>
      <w:r>
        <w:rPr>
          <w:rFonts w:ascii="Arial"/>
          <w:color w:val="5B6761"/>
          <w:sz w:val="14"/>
        </w:rPr>
        <w:t>n</w:t>
      </w:r>
      <w:r>
        <w:rPr>
          <w:rFonts w:ascii="Arial"/>
          <w:color w:val="5B6761"/>
          <w:w w:val="96"/>
          <w:sz w:val="14"/>
        </w:rPr>
        <w:t>e</w:t>
      </w:r>
      <w:r>
        <w:rPr>
          <w:rFonts w:ascii="Arial"/>
          <w:color w:val="5B6761"/>
          <w:w w:val="93"/>
          <w:sz w:val="14"/>
        </w:rPr>
        <w:t>s</w:t>
      </w:r>
      <w:r>
        <w:rPr>
          <w:rFonts w:ascii="Arial"/>
          <w:color w:val="5B6761"/>
          <w:sz w:val="14"/>
        </w:rPr>
        <w:t xml:space="preserve"> </w:t>
      </w:r>
      <w:r>
        <w:rPr>
          <w:rFonts w:ascii="Arial"/>
          <w:color w:val="5B6761"/>
          <w:w w:val="113"/>
          <w:sz w:val="14"/>
        </w:rPr>
        <w:t>i</w:t>
      </w:r>
      <w:r>
        <w:rPr>
          <w:rFonts w:ascii="Arial"/>
          <w:color w:val="5B6761"/>
          <w:sz w:val="14"/>
        </w:rPr>
        <w:t xml:space="preserve">n </w:t>
      </w:r>
      <w:r>
        <w:rPr>
          <w:rFonts w:ascii="Arial"/>
          <w:color w:val="5B6761"/>
          <w:w w:val="109"/>
          <w:sz w:val="14"/>
        </w:rPr>
        <w:t>2</w:t>
      </w:r>
      <w:r>
        <w:rPr>
          <w:rFonts w:ascii="Arial"/>
          <w:color w:val="5B6761"/>
          <w:w w:val="90"/>
          <w:sz w:val="14"/>
        </w:rPr>
        <w:t>01</w:t>
      </w:r>
      <w:r>
        <w:rPr>
          <w:rFonts w:ascii="Arial"/>
          <w:color w:val="5B6761"/>
          <w:w w:val="109"/>
          <w:sz w:val="14"/>
        </w:rPr>
        <w:t>8</w:t>
      </w:r>
      <w:r>
        <w:rPr>
          <w:rFonts w:ascii="Arial"/>
          <w:color w:val="5B6761"/>
          <w:w w:val="175"/>
          <w:sz w:val="14"/>
        </w:rPr>
        <w:t>/</w:t>
      </w:r>
      <w:r>
        <w:rPr>
          <w:rFonts w:ascii="Arial"/>
          <w:color w:val="5B6761"/>
          <w:w w:val="66"/>
          <w:sz w:val="14"/>
        </w:rPr>
        <w:t>1</w:t>
      </w:r>
      <w:r>
        <w:rPr>
          <w:rFonts w:ascii="Arial"/>
          <w:color w:val="5B6761"/>
          <w:w w:val="106"/>
          <w:sz w:val="14"/>
        </w:rPr>
        <w:t>9</w:t>
      </w:r>
      <w:r>
        <w:rPr>
          <w:rFonts w:ascii="Arial"/>
          <w:color w:val="5B6761"/>
          <w:sz w:val="14"/>
        </w:rPr>
        <w:t xml:space="preserve"> </w:t>
      </w:r>
      <w:r>
        <w:rPr>
          <w:rFonts w:ascii="Arial"/>
          <w:color w:val="5B6761"/>
          <w:w w:val="116"/>
          <w:sz w:val="14"/>
        </w:rPr>
        <w:t>(t</w:t>
      </w:r>
      <w:r>
        <w:rPr>
          <w:rFonts w:ascii="Arial"/>
          <w:color w:val="5B6761"/>
          <w:sz w:val="14"/>
        </w:rPr>
        <w:t>h</w:t>
      </w:r>
      <w:r>
        <w:rPr>
          <w:rFonts w:ascii="Arial"/>
          <w:color w:val="5B6761"/>
          <w:w w:val="96"/>
          <w:sz w:val="14"/>
        </w:rPr>
        <w:t>e</w:t>
      </w:r>
      <w:r>
        <w:rPr>
          <w:rFonts w:ascii="Arial"/>
          <w:color w:val="5B6761"/>
          <w:w w:val="116"/>
          <w:sz w:val="14"/>
        </w:rPr>
        <w:t>r</w:t>
      </w:r>
      <w:r>
        <w:rPr>
          <w:rFonts w:ascii="Arial"/>
          <w:color w:val="5B6761"/>
          <w:w w:val="96"/>
          <w:sz w:val="14"/>
        </w:rPr>
        <w:t>e</w:t>
      </w:r>
      <w:r>
        <w:rPr>
          <w:rFonts w:ascii="Arial"/>
          <w:color w:val="5B6761"/>
          <w:w w:val="119"/>
          <w:sz w:val="14"/>
        </w:rPr>
        <w:t>f</w:t>
      </w:r>
      <w:r>
        <w:rPr>
          <w:rFonts w:ascii="Arial"/>
          <w:color w:val="5B6761"/>
          <w:w w:val="99"/>
          <w:sz w:val="14"/>
        </w:rPr>
        <w:t>o</w:t>
      </w:r>
      <w:r>
        <w:rPr>
          <w:rFonts w:ascii="Arial"/>
          <w:color w:val="5B6761"/>
          <w:w w:val="116"/>
          <w:sz w:val="14"/>
        </w:rPr>
        <w:t>r</w:t>
      </w:r>
      <w:r>
        <w:rPr>
          <w:rFonts w:ascii="Arial"/>
          <w:color w:val="5B6761"/>
          <w:w w:val="96"/>
          <w:sz w:val="14"/>
        </w:rPr>
        <w:t>e</w:t>
      </w:r>
      <w:r>
        <w:rPr>
          <w:rFonts w:ascii="Arial"/>
          <w:color w:val="5B6761"/>
          <w:sz w:val="14"/>
        </w:rPr>
        <w:t xml:space="preserve"> </w:t>
      </w:r>
      <w:r>
        <w:rPr>
          <w:rFonts w:ascii="Arial"/>
          <w:color w:val="5B6761"/>
          <w:w w:val="94"/>
          <w:sz w:val="14"/>
        </w:rPr>
        <w:t>a</w:t>
      </w:r>
      <w:r>
        <w:rPr>
          <w:rFonts w:ascii="Arial"/>
          <w:color w:val="5B6761"/>
          <w:sz w:val="14"/>
        </w:rPr>
        <w:t xml:space="preserve"> </w:t>
      </w:r>
      <w:r>
        <w:rPr>
          <w:rFonts w:ascii="Arial"/>
          <w:color w:val="5B6761"/>
          <w:w w:val="133"/>
          <w:sz w:val="14"/>
        </w:rPr>
        <w:t>t</w:t>
      </w:r>
      <w:r>
        <w:rPr>
          <w:rFonts w:ascii="Arial"/>
          <w:color w:val="5B6761"/>
          <w:w w:val="98"/>
          <w:sz w:val="14"/>
        </w:rPr>
        <w:t>w</w:t>
      </w:r>
      <w:r>
        <w:rPr>
          <w:rFonts w:ascii="Arial"/>
          <w:color w:val="5B6761"/>
          <w:w w:val="99"/>
          <w:sz w:val="14"/>
        </w:rPr>
        <w:t>o</w:t>
      </w:r>
      <w:r>
        <w:rPr>
          <w:rFonts w:ascii="Arial"/>
          <w:color w:val="5B6761"/>
          <w:w w:val="119"/>
          <w:sz w:val="14"/>
        </w:rPr>
        <w:t>-</w:t>
      </w:r>
      <w:r>
        <w:rPr>
          <w:rFonts w:ascii="Arial"/>
          <w:color w:val="5B6761"/>
          <w:w w:val="105"/>
          <w:sz w:val="14"/>
        </w:rPr>
        <w:t>y</w:t>
      </w:r>
      <w:r>
        <w:rPr>
          <w:rFonts w:ascii="Arial"/>
          <w:color w:val="5B6761"/>
          <w:w w:val="96"/>
          <w:sz w:val="14"/>
        </w:rPr>
        <w:t>e</w:t>
      </w:r>
      <w:r>
        <w:rPr>
          <w:rFonts w:ascii="Arial"/>
          <w:color w:val="5B6761"/>
          <w:w w:val="94"/>
          <w:sz w:val="14"/>
        </w:rPr>
        <w:t>a</w:t>
      </w:r>
      <w:r>
        <w:rPr>
          <w:rFonts w:ascii="Arial"/>
          <w:color w:val="5B6761"/>
          <w:w w:val="116"/>
          <w:sz w:val="14"/>
        </w:rPr>
        <w:t xml:space="preserve">r </w:t>
      </w:r>
      <w:r>
        <w:rPr>
          <w:rFonts w:ascii="Arial"/>
          <w:color w:val="5B6761"/>
          <w:w w:val="105"/>
          <w:sz w:val="14"/>
        </w:rPr>
        <w:t>average of 1842.5). The projected increase of 87 new application therefore represents an uplift of approximately 5%.</w:t>
      </w:r>
    </w:p>
    <w:p w:rsidR="007D76BB" w:rsidRDefault="007D76BB">
      <w:pPr>
        <w:spacing w:line="268" w:lineRule="auto"/>
        <w:rPr>
          <w:rFonts w:ascii="Arial"/>
          <w:sz w:val="14"/>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8"/>
        </w:rPr>
      </w:pPr>
    </w:p>
    <w:p w:rsidR="007D76BB" w:rsidRDefault="00D70D28">
      <w:pPr>
        <w:spacing w:before="108" w:line="264" w:lineRule="auto"/>
        <w:ind w:left="482" w:right="844"/>
        <w:rPr>
          <w:rFonts w:ascii="Arial" w:hAnsi="Arial"/>
          <w:sz w:val="19"/>
        </w:rPr>
      </w:pPr>
      <w:proofErr w:type="gramStart"/>
      <w:r>
        <w:rPr>
          <w:rFonts w:ascii="Arial" w:hAnsi="Arial"/>
          <w:w w:val="105"/>
          <w:sz w:val="19"/>
        </w:rPr>
        <w:t>day’s</w:t>
      </w:r>
      <w:r>
        <w:rPr>
          <w:rFonts w:ascii="Arial" w:hAnsi="Arial"/>
          <w:w w:val="105"/>
          <w:position w:val="7"/>
          <w:sz w:val="11"/>
        </w:rPr>
        <w:t>49</w:t>
      </w:r>
      <w:proofErr w:type="gramEnd"/>
      <w:r>
        <w:rPr>
          <w:rFonts w:ascii="Arial" w:hAnsi="Arial"/>
          <w:w w:val="105"/>
          <w:position w:val="7"/>
          <w:sz w:val="11"/>
        </w:rPr>
        <w:t xml:space="preserve"> </w:t>
      </w:r>
      <w:r>
        <w:rPr>
          <w:rFonts w:ascii="Arial" w:hAnsi="Arial"/>
          <w:w w:val="105"/>
          <w:sz w:val="19"/>
        </w:rPr>
        <w:t>(240 minutes) effort to complete. The second part of this reformulation process would involve</w:t>
      </w:r>
      <w:r>
        <w:rPr>
          <w:rFonts w:ascii="Arial" w:hAnsi="Arial"/>
          <w:spacing w:val="-24"/>
          <w:w w:val="105"/>
          <w:sz w:val="19"/>
        </w:rPr>
        <w:t xml:space="preserve"> </w:t>
      </w:r>
      <w:r>
        <w:rPr>
          <w:rFonts w:ascii="Arial" w:hAnsi="Arial"/>
          <w:w w:val="105"/>
          <w:sz w:val="19"/>
        </w:rPr>
        <w:t>label</w:t>
      </w:r>
      <w:r>
        <w:rPr>
          <w:rFonts w:ascii="Arial" w:hAnsi="Arial"/>
          <w:spacing w:val="-24"/>
          <w:w w:val="105"/>
          <w:sz w:val="19"/>
        </w:rPr>
        <w:t xml:space="preserve"> </w:t>
      </w:r>
      <w:r>
        <w:rPr>
          <w:rFonts w:ascii="Arial" w:hAnsi="Arial"/>
          <w:w w:val="105"/>
          <w:sz w:val="19"/>
        </w:rPr>
        <w:t>design</w:t>
      </w:r>
      <w:r>
        <w:rPr>
          <w:rFonts w:ascii="Arial" w:hAnsi="Arial"/>
          <w:spacing w:val="-26"/>
          <w:w w:val="105"/>
          <w:sz w:val="19"/>
        </w:rPr>
        <w:t xml:space="preserve"> </w:t>
      </w:r>
      <w:r>
        <w:rPr>
          <w:rFonts w:ascii="Arial" w:hAnsi="Arial"/>
          <w:w w:val="105"/>
          <w:sz w:val="19"/>
        </w:rPr>
        <w:t>and</w:t>
      </w:r>
      <w:r>
        <w:rPr>
          <w:rFonts w:ascii="Arial" w:hAnsi="Arial"/>
          <w:spacing w:val="-25"/>
          <w:w w:val="105"/>
          <w:sz w:val="19"/>
        </w:rPr>
        <w:t xml:space="preserve"> </w:t>
      </w:r>
      <w:r>
        <w:rPr>
          <w:rFonts w:ascii="Arial" w:hAnsi="Arial"/>
          <w:w w:val="105"/>
          <w:sz w:val="19"/>
        </w:rPr>
        <w:t>review</w:t>
      </w:r>
      <w:r>
        <w:rPr>
          <w:rFonts w:ascii="Arial" w:hAnsi="Arial"/>
          <w:spacing w:val="-23"/>
          <w:w w:val="105"/>
          <w:sz w:val="19"/>
        </w:rPr>
        <w:t xml:space="preserve"> </w:t>
      </w:r>
      <w:r>
        <w:rPr>
          <w:rFonts w:ascii="Arial" w:hAnsi="Arial"/>
          <w:w w:val="105"/>
          <w:sz w:val="19"/>
        </w:rPr>
        <w:t>and</w:t>
      </w:r>
      <w:r>
        <w:rPr>
          <w:rFonts w:ascii="Arial" w:hAnsi="Arial"/>
          <w:spacing w:val="-25"/>
          <w:w w:val="105"/>
          <w:sz w:val="19"/>
        </w:rPr>
        <w:t xml:space="preserve"> </w:t>
      </w:r>
      <w:r>
        <w:rPr>
          <w:rFonts w:ascii="Arial" w:hAnsi="Arial"/>
          <w:w w:val="105"/>
          <w:sz w:val="19"/>
        </w:rPr>
        <w:t>updates</w:t>
      </w:r>
      <w:r>
        <w:rPr>
          <w:rFonts w:ascii="Arial" w:hAnsi="Arial"/>
          <w:spacing w:val="-26"/>
          <w:w w:val="105"/>
          <w:sz w:val="19"/>
        </w:rPr>
        <w:t xml:space="preserve"> </w:t>
      </w:r>
      <w:r>
        <w:rPr>
          <w:rFonts w:ascii="Arial" w:hAnsi="Arial"/>
          <w:w w:val="105"/>
          <w:sz w:val="19"/>
        </w:rPr>
        <w:t>to</w:t>
      </w:r>
      <w:r>
        <w:rPr>
          <w:rFonts w:ascii="Arial" w:hAnsi="Arial"/>
          <w:spacing w:val="-25"/>
          <w:w w:val="105"/>
          <w:sz w:val="19"/>
        </w:rPr>
        <w:t xml:space="preserve"> </w:t>
      </w:r>
      <w:r>
        <w:rPr>
          <w:rFonts w:ascii="Arial" w:hAnsi="Arial"/>
          <w:w w:val="105"/>
          <w:sz w:val="19"/>
        </w:rPr>
        <w:t>a</w:t>
      </w:r>
      <w:r>
        <w:rPr>
          <w:rFonts w:ascii="Arial" w:hAnsi="Arial"/>
          <w:spacing w:val="-24"/>
          <w:w w:val="105"/>
          <w:sz w:val="19"/>
        </w:rPr>
        <w:t xml:space="preserve"> </w:t>
      </w:r>
      <w:r>
        <w:rPr>
          <w:rFonts w:ascii="Arial" w:hAnsi="Arial"/>
          <w:w w:val="105"/>
          <w:sz w:val="19"/>
        </w:rPr>
        <w:t>range</w:t>
      </w:r>
      <w:r>
        <w:rPr>
          <w:rFonts w:ascii="Arial" w:hAnsi="Arial"/>
          <w:spacing w:val="-24"/>
          <w:w w:val="105"/>
          <w:sz w:val="19"/>
        </w:rPr>
        <w:t xml:space="preserve"> </w:t>
      </w:r>
      <w:r>
        <w:rPr>
          <w:rFonts w:ascii="Arial" w:hAnsi="Arial"/>
          <w:w w:val="105"/>
          <w:sz w:val="19"/>
        </w:rPr>
        <w:t>of</w:t>
      </w:r>
      <w:r>
        <w:rPr>
          <w:rFonts w:ascii="Arial" w:hAnsi="Arial"/>
          <w:spacing w:val="-26"/>
          <w:w w:val="105"/>
          <w:sz w:val="19"/>
        </w:rPr>
        <w:t xml:space="preserve"> </w:t>
      </w:r>
      <w:r>
        <w:rPr>
          <w:rFonts w:ascii="Arial" w:hAnsi="Arial"/>
          <w:w w:val="105"/>
          <w:sz w:val="19"/>
        </w:rPr>
        <w:t>sales</w:t>
      </w:r>
      <w:r>
        <w:rPr>
          <w:rFonts w:ascii="Arial" w:hAnsi="Arial"/>
          <w:spacing w:val="-26"/>
          <w:w w:val="105"/>
          <w:sz w:val="19"/>
        </w:rPr>
        <w:t xml:space="preserve"> </w:t>
      </w:r>
      <w:r>
        <w:rPr>
          <w:rFonts w:ascii="Arial" w:hAnsi="Arial"/>
          <w:w w:val="105"/>
          <w:sz w:val="19"/>
        </w:rPr>
        <w:t>documentation</w:t>
      </w:r>
      <w:r>
        <w:rPr>
          <w:rFonts w:ascii="Arial" w:hAnsi="Arial"/>
          <w:spacing w:val="-24"/>
          <w:w w:val="105"/>
          <w:sz w:val="19"/>
        </w:rPr>
        <w:t xml:space="preserve"> </w:t>
      </w:r>
      <w:r>
        <w:rPr>
          <w:rFonts w:ascii="Arial" w:hAnsi="Arial"/>
          <w:w w:val="105"/>
          <w:sz w:val="19"/>
        </w:rPr>
        <w:t>(sell</w:t>
      </w:r>
      <w:r>
        <w:rPr>
          <w:rFonts w:ascii="Arial" w:hAnsi="Arial"/>
          <w:spacing w:val="-25"/>
          <w:w w:val="105"/>
          <w:sz w:val="19"/>
        </w:rPr>
        <w:t xml:space="preserve"> </w:t>
      </w:r>
      <w:r>
        <w:rPr>
          <w:rFonts w:ascii="Arial" w:hAnsi="Arial"/>
          <w:w w:val="105"/>
          <w:sz w:val="19"/>
        </w:rPr>
        <w:t>and</w:t>
      </w:r>
      <w:r>
        <w:rPr>
          <w:rFonts w:ascii="Arial" w:hAnsi="Arial"/>
          <w:spacing w:val="-26"/>
          <w:w w:val="105"/>
          <w:sz w:val="19"/>
        </w:rPr>
        <w:t xml:space="preserve"> </w:t>
      </w:r>
      <w:r>
        <w:rPr>
          <w:rFonts w:ascii="Arial" w:hAnsi="Arial"/>
          <w:w w:val="105"/>
          <w:sz w:val="19"/>
        </w:rPr>
        <w:t>technical sheets,</w:t>
      </w:r>
      <w:r>
        <w:rPr>
          <w:rFonts w:ascii="Arial" w:hAnsi="Arial"/>
          <w:spacing w:val="-25"/>
          <w:w w:val="105"/>
          <w:sz w:val="19"/>
        </w:rPr>
        <w:t xml:space="preserve"> </w:t>
      </w:r>
      <w:r>
        <w:rPr>
          <w:rFonts w:ascii="Arial" w:hAnsi="Arial"/>
          <w:w w:val="105"/>
          <w:sz w:val="19"/>
        </w:rPr>
        <w:t>websites,</w:t>
      </w:r>
      <w:r>
        <w:rPr>
          <w:rFonts w:ascii="Arial" w:hAnsi="Arial"/>
          <w:spacing w:val="-24"/>
          <w:w w:val="105"/>
          <w:sz w:val="19"/>
        </w:rPr>
        <w:t xml:space="preserve"> </w:t>
      </w:r>
      <w:r>
        <w:rPr>
          <w:rFonts w:ascii="Arial" w:hAnsi="Arial"/>
          <w:w w:val="105"/>
          <w:sz w:val="19"/>
        </w:rPr>
        <w:t>brochures,</w:t>
      </w:r>
      <w:r>
        <w:rPr>
          <w:rFonts w:ascii="Arial" w:hAnsi="Arial"/>
          <w:spacing w:val="-26"/>
          <w:w w:val="105"/>
          <w:sz w:val="19"/>
        </w:rPr>
        <w:t xml:space="preserve"> </w:t>
      </w:r>
      <w:r>
        <w:rPr>
          <w:rFonts w:ascii="Arial" w:hAnsi="Arial"/>
          <w:w w:val="105"/>
          <w:sz w:val="19"/>
        </w:rPr>
        <w:t>price</w:t>
      </w:r>
      <w:r>
        <w:rPr>
          <w:rFonts w:ascii="Arial" w:hAnsi="Arial"/>
          <w:spacing w:val="-23"/>
          <w:w w:val="105"/>
          <w:sz w:val="19"/>
        </w:rPr>
        <w:t xml:space="preserve"> </w:t>
      </w:r>
      <w:r>
        <w:rPr>
          <w:rFonts w:ascii="Arial" w:hAnsi="Arial"/>
          <w:w w:val="105"/>
          <w:sz w:val="19"/>
        </w:rPr>
        <w:t>lists</w:t>
      </w:r>
      <w:r>
        <w:rPr>
          <w:rFonts w:ascii="Arial" w:hAnsi="Arial"/>
          <w:spacing w:val="-26"/>
          <w:w w:val="105"/>
          <w:sz w:val="19"/>
        </w:rPr>
        <w:t xml:space="preserve"> </w:t>
      </w:r>
      <w:r>
        <w:rPr>
          <w:rFonts w:ascii="Arial" w:hAnsi="Arial"/>
          <w:w w:val="105"/>
          <w:sz w:val="19"/>
        </w:rPr>
        <w:t>and</w:t>
      </w:r>
      <w:r>
        <w:rPr>
          <w:rFonts w:ascii="Arial" w:hAnsi="Arial"/>
          <w:spacing w:val="-26"/>
          <w:w w:val="105"/>
          <w:sz w:val="19"/>
        </w:rPr>
        <w:t xml:space="preserve"> </w:t>
      </w:r>
      <w:r>
        <w:rPr>
          <w:rFonts w:ascii="Arial" w:hAnsi="Arial"/>
          <w:w w:val="105"/>
          <w:sz w:val="19"/>
        </w:rPr>
        <w:t>a</w:t>
      </w:r>
      <w:r>
        <w:rPr>
          <w:rFonts w:ascii="Arial" w:hAnsi="Arial"/>
          <w:spacing w:val="-25"/>
          <w:w w:val="105"/>
          <w:sz w:val="19"/>
        </w:rPr>
        <w:t xml:space="preserve"> </w:t>
      </w:r>
      <w:r>
        <w:rPr>
          <w:rFonts w:ascii="Arial" w:hAnsi="Arial"/>
          <w:w w:val="105"/>
          <w:sz w:val="19"/>
        </w:rPr>
        <w:t>notification</w:t>
      </w:r>
      <w:r>
        <w:rPr>
          <w:rFonts w:ascii="Arial" w:hAnsi="Arial"/>
          <w:spacing w:val="-26"/>
          <w:w w:val="105"/>
          <w:sz w:val="19"/>
        </w:rPr>
        <w:t xml:space="preserve"> </w:t>
      </w:r>
      <w:r>
        <w:rPr>
          <w:rFonts w:ascii="Arial" w:hAnsi="Arial"/>
          <w:w w:val="105"/>
          <w:sz w:val="19"/>
        </w:rPr>
        <w:t>to</w:t>
      </w:r>
      <w:r>
        <w:rPr>
          <w:rFonts w:ascii="Arial" w:hAnsi="Arial"/>
          <w:spacing w:val="-24"/>
          <w:w w:val="105"/>
          <w:sz w:val="19"/>
        </w:rPr>
        <w:t xml:space="preserve"> </w:t>
      </w:r>
      <w:r>
        <w:rPr>
          <w:rFonts w:ascii="Arial" w:hAnsi="Arial"/>
          <w:w w:val="105"/>
          <w:sz w:val="19"/>
        </w:rPr>
        <w:t>distributers</w:t>
      </w:r>
      <w:r>
        <w:rPr>
          <w:rFonts w:ascii="Arial" w:hAnsi="Arial"/>
          <w:spacing w:val="-27"/>
          <w:w w:val="105"/>
          <w:sz w:val="19"/>
        </w:rPr>
        <w:t xml:space="preserve"> </w:t>
      </w:r>
      <w:r>
        <w:rPr>
          <w:rFonts w:ascii="Arial" w:hAnsi="Arial"/>
          <w:w w:val="105"/>
          <w:sz w:val="19"/>
        </w:rPr>
        <w:t>and</w:t>
      </w:r>
      <w:r>
        <w:rPr>
          <w:rFonts w:ascii="Arial" w:hAnsi="Arial"/>
          <w:spacing w:val="-25"/>
          <w:w w:val="105"/>
          <w:sz w:val="19"/>
        </w:rPr>
        <w:t xml:space="preserve"> </w:t>
      </w:r>
      <w:r>
        <w:rPr>
          <w:rFonts w:ascii="Arial" w:hAnsi="Arial"/>
          <w:w w:val="105"/>
          <w:sz w:val="19"/>
        </w:rPr>
        <w:t>retailers</w:t>
      </w:r>
      <w:r>
        <w:rPr>
          <w:rFonts w:ascii="Arial" w:hAnsi="Arial"/>
          <w:spacing w:val="-25"/>
          <w:w w:val="105"/>
          <w:sz w:val="19"/>
        </w:rPr>
        <w:t xml:space="preserve"> </w:t>
      </w:r>
      <w:r>
        <w:rPr>
          <w:rFonts w:ascii="Arial" w:hAnsi="Arial"/>
          <w:w w:val="105"/>
          <w:sz w:val="19"/>
        </w:rPr>
        <w:t>of</w:t>
      </w:r>
      <w:r>
        <w:rPr>
          <w:rFonts w:ascii="Arial" w:hAnsi="Arial"/>
          <w:spacing w:val="-25"/>
          <w:w w:val="105"/>
          <w:sz w:val="19"/>
        </w:rPr>
        <w:t xml:space="preserve"> </w:t>
      </w:r>
      <w:r>
        <w:rPr>
          <w:rFonts w:ascii="Arial" w:hAnsi="Arial"/>
          <w:w w:val="105"/>
          <w:sz w:val="19"/>
        </w:rPr>
        <w:t>the</w:t>
      </w:r>
      <w:r>
        <w:rPr>
          <w:rFonts w:ascii="Arial" w:hAnsi="Arial"/>
          <w:spacing w:val="-26"/>
          <w:w w:val="105"/>
          <w:sz w:val="19"/>
        </w:rPr>
        <w:t xml:space="preserve"> </w:t>
      </w:r>
      <w:r>
        <w:rPr>
          <w:rFonts w:ascii="Arial" w:hAnsi="Arial"/>
          <w:w w:val="105"/>
          <w:sz w:val="19"/>
        </w:rPr>
        <w:t>changes made).</w:t>
      </w:r>
      <w:r>
        <w:rPr>
          <w:rFonts w:ascii="Arial" w:hAnsi="Arial"/>
          <w:spacing w:val="-21"/>
          <w:w w:val="105"/>
          <w:sz w:val="19"/>
        </w:rPr>
        <w:t xml:space="preserve"> </w:t>
      </w:r>
      <w:r>
        <w:rPr>
          <w:rFonts w:ascii="Arial" w:hAnsi="Arial"/>
          <w:w w:val="105"/>
          <w:sz w:val="19"/>
        </w:rPr>
        <w:t>It</w:t>
      </w:r>
      <w:r>
        <w:rPr>
          <w:rFonts w:ascii="Arial" w:hAnsi="Arial"/>
          <w:spacing w:val="-22"/>
          <w:w w:val="105"/>
          <w:sz w:val="19"/>
        </w:rPr>
        <w:t xml:space="preserve"> </w:t>
      </w:r>
      <w:r>
        <w:rPr>
          <w:rFonts w:ascii="Arial" w:hAnsi="Arial"/>
          <w:w w:val="105"/>
          <w:sz w:val="19"/>
        </w:rPr>
        <w:t>was</w:t>
      </w:r>
      <w:r>
        <w:rPr>
          <w:rFonts w:ascii="Arial" w:hAnsi="Arial"/>
          <w:spacing w:val="-22"/>
          <w:w w:val="105"/>
          <w:sz w:val="19"/>
        </w:rPr>
        <w:t xml:space="preserve"> </w:t>
      </w:r>
      <w:r>
        <w:rPr>
          <w:rFonts w:ascii="Arial" w:hAnsi="Arial"/>
          <w:w w:val="105"/>
          <w:sz w:val="19"/>
        </w:rPr>
        <w:t>estimated</w:t>
      </w:r>
      <w:r>
        <w:rPr>
          <w:rFonts w:ascii="Arial" w:hAnsi="Arial"/>
          <w:spacing w:val="-22"/>
          <w:w w:val="105"/>
          <w:sz w:val="19"/>
        </w:rPr>
        <w:t xml:space="preserve"> </w:t>
      </w:r>
      <w:r>
        <w:rPr>
          <w:rFonts w:ascii="Arial" w:hAnsi="Arial"/>
          <w:w w:val="105"/>
          <w:sz w:val="19"/>
        </w:rPr>
        <w:t>that</w:t>
      </w:r>
      <w:r>
        <w:rPr>
          <w:rFonts w:ascii="Arial" w:hAnsi="Arial"/>
          <w:spacing w:val="-20"/>
          <w:w w:val="105"/>
          <w:sz w:val="19"/>
        </w:rPr>
        <w:t xml:space="preserve"> </w:t>
      </w:r>
      <w:r>
        <w:rPr>
          <w:rFonts w:ascii="Arial" w:hAnsi="Arial"/>
          <w:w w:val="105"/>
          <w:sz w:val="19"/>
        </w:rPr>
        <w:t>the</w:t>
      </w:r>
      <w:r>
        <w:rPr>
          <w:rFonts w:ascii="Arial" w:hAnsi="Arial"/>
          <w:spacing w:val="-22"/>
          <w:w w:val="105"/>
          <w:sz w:val="19"/>
        </w:rPr>
        <w:t xml:space="preserve"> </w:t>
      </w:r>
      <w:r>
        <w:rPr>
          <w:rFonts w:ascii="Arial" w:hAnsi="Arial"/>
          <w:w w:val="105"/>
          <w:sz w:val="19"/>
        </w:rPr>
        <w:t>effort</w:t>
      </w:r>
      <w:r>
        <w:rPr>
          <w:rFonts w:ascii="Arial" w:hAnsi="Arial"/>
          <w:spacing w:val="-20"/>
          <w:w w:val="105"/>
          <w:sz w:val="19"/>
        </w:rPr>
        <w:t xml:space="preserve"> </w:t>
      </w:r>
      <w:r>
        <w:rPr>
          <w:rFonts w:ascii="Arial" w:hAnsi="Arial"/>
          <w:w w:val="105"/>
          <w:sz w:val="19"/>
        </w:rPr>
        <w:t>required</w:t>
      </w:r>
      <w:r>
        <w:rPr>
          <w:rFonts w:ascii="Arial" w:hAnsi="Arial"/>
          <w:spacing w:val="-22"/>
          <w:w w:val="105"/>
          <w:sz w:val="19"/>
        </w:rPr>
        <w:t xml:space="preserve"> </w:t>
      </w:r>
      <w:r>
        <w:rPr>
          <w:rFonts w:ascii="Arial" w:hAnsi="Arial"/>
          <w:w w:val="105"/>
          <w:sz w:val="19"/>
        </w:rPr>
        <w:t>for</w:t>
      </w:r>
      <w:r>
        <w:rPr>
          <w:rFonts w:ascii="Arial" w:hAnsi="Arial"/>
          <w:spacing w:val="-21"/>
          <w:w w:val="105"/>
          <w:sz w:val="19"/>
        </w:rPr>
        <w:t xml:space="preserve"> </w:t>
      </w:r>
      <w:r>
        <w:rPr>
          <w:rFonts w:ascii="Arial" w:hAnsi="Arial"/>
          <w:w w:val="105"/>
          <w:sz w:val="19"/>
        </w:rPr>
        <w:t>the</w:t>
      </w:r>
      <w:r>
        <w:rPr>
          <w:rFonts w:ascii="Arial" w:hAnsi="Arial"/>
          <w:spacing w:val="-22"/>
          <w:w w:val="105"/>
          <w:sz w:val="19"/>
        </w:rPr>
        <w:t xml:space="preserve"> </w:t>
      </w:r>
      <w:r>
        <w:rPr>
          <w:rFonts w:ascii="Arial" w:hAnsi="Arial"/>
          <w:w w:val="105"/>
          <w:sz w:val="19"/>
        </w:rPr>
        <w:t>second</w:t>
      </w:r>
      <w:r>
        <w:rPr>
          <w:rFonts w:ascii="Arial" w:hAnsi="Arial"/>
          <w:spacing w:val="-22"/>
          <w:w w:val="105"/>
          <w:sz w:val="19"/>
        </w:rPr>
        <w:t xml:space="preserve"> </w:t>
      </w:r>
      <w:r>
        <w:rPr>
          <w:rFonts w:ascii="Arial" w:hAnsi="Arial"/>
          <w:w w:val="105"/>
          <w:sz w:val="19"/>
        </w:rPr>
        <w:t>stage</w:t>
      </w:r>
      <w:r>
        <w:rPr>
          <w:rFonts w:ascii="Arial" w:hAnsi="Arial"/>
          <w:spacing w:val="-22"/>
          <w:w w:val="105"/>
          <w:sz w:val="19"/>
        </w:rPr>
        <w:t xml:space="preserve"> </w:t>
      </w:r>
      <w:r>
        <w:rPr>
          <w:rFonts w:ascii="Arial" w:hAnsi="Arial"/>
          <w:w w:val="105"/>
          <w:sz w:val="19"/>
        </w:rPr>
        <w:t>was</w:t>
      </w:r>
      <w:r>
        <w:rPr>
          <w:rFonts w:ascii="Arial" w:hAnsi="Arial"/>
          <w:spacing w:val="-23"/>
          <w:w w:val="105"/>
          <w:sz w:val="19"/>
        </w:rPr>
        <w:t xml:space="preserve"> </w:t>
      </w:r>
      <w:r>
        <w:rPr>
          <w:rFonts w:ascii="Arial" w:hAnsi="Arial"/>
          <w:w w:val="105"/>
          <w:sz w:val="19"/>
        </w:rPr>
        <w:t>approximately</w:t>
      </w:r>
      <w:r>
        <w:rPr>
          <w:rFonts w:ascii="Arial" w:hAnsi="Arial"/>
          <w:spacing w:val="-18"/>
          <w:w w:val="105"/>
          <w:sz w:val="19"/>
        </w:rPr>
        <w:t xml:space="preserve"> </w:t>
      </w:r>
      <w:r>
        <w:rPr>
          <w:rFonts w:ascii="Arial" w:hAnsi="Arial"/>
          <w:w w:val="105"/>
          <w:sz w:val="19"/>
        </w:rPr>
        <w:t>1.5</w:t>
      </w:r>
      <w:r>
        <w:rPr>
          <w:rFonts w:ascii="Arial" w:hAnsi="Arial"/>
          <w:spacing w:val="-23"/>
          <w:w w:val="105"/>
          <w:sz w:val="19"/>
        </w:rPr>
        <w:t xml:space="preserve"> </w:t>
      </w:r>
      <w:r>
        <w:rPr>
          <w:rFonts w:ascii="Arial" w:hAnsi="Arial"/>
          <w:w w:val="105"/>
          <w:sz w:val="19"/>
        </w:rPr>
        <w:t>days (720</w:t>
      </w:r>
      <w:r>
        <w:rPr>
          <w:rFonts w:ascii="Arial" w:hAnsi="Arial"/>
          <w:spacing w:val="-13"/>
          <w:w w:val="105"/>
          <w:sz w:val="19"/>
        </w:rPr>
        <w:t xml:space="preserve"> </w:t>
      </w:r>
      <w:r>
        <w:rPr>
          <w:rFonts w:ascii="Arial" w:hAnsi="Arial"/>
          <w:w w:val="105"/>
          <w:sz w:val="19"/>
        </w:rPr>
        <w:t>minutes).</w:t>
      </w:r>
      <w:r>
        <w:rPr>
          <w:rFonts w:ascii="Arial" w:hAnsi="Arial"/>
          <w:spacing w:val="-15"/>
          <w:w w:val="105"/>
          <w:sz w:val="19"/>
        </w:rPr>
        <w:t xml:space="preserve"> </w:t>
      </w:r>
      <w:r>
        <w:rPr>
          <w:rFonts w:ascii="Arial" w:hAnsi="Arial"/>
          <w:w w:val="105"/>
          <w:sz w:val="19"/>
        </w:rPr>
        <w:t>Total</w:t>
      </w:r>
      <w:r>
        <w:rPr>
          <w:rFonts w:ascii="Arial" w:hAnsi="Arial"/>
          <w:spacing w:val="-15"/>
          <w:w w:val="105"/>
          <w:sz w:val="19"/>
        </w:rPr>
        <w:t xml:space="preserve"> </w:t>
      </w:r>
      <w:r>
        <w:rPr>
          <w:rFonts w:ascii="Arial" w:hAnsi="Arial"/>
          <w:w w:val="105"/>
          <w:sz w:val="19"/>
        </w:rPr>
        <w:t>time</w:t>
      </w:r>
      <w:r>
        <w:rPr>
          <w:rFonts w:ascii="Arial" w:hAnsi="Arial"/>
          <w:spacing w:val="-12"/>
          <w:w w:val="105"/>
          <w:sz w:val="19"/>
        </w:rPr>
        <w:t xml:space="preserve"> </w:t>
      </w:r>
      <w:r>
        <w:rPr>
          <w:rFonts w:ascii="Arial" w:hAnsi="Arial"/>
          <w:w w:val="105"/>
          <w:sz w:val="19"/>
        </w:rPr>
        <w:t>to</w:t>
      </w:r>
      <w:r>
        <w:rPr>
          <w:rFonts w:ascii="Arial" w:hAnsi="Arial"/>
          <w:spacing w:val="-18"/>
          <w:w w:val="105"/>
          <w:sz w:val="19"/>
        </w:rPr>
        <w:t xml:space="preserve"> </w:t>
      </w:r>
      <w:r>
        <w:rPr>
          <w:rFonts w:ascii="Arial" w:hAnsi="Arial"/>
          <w:w w:val="105"/>
          <w:sz w:val="19"/>
        </w:rPr>
        <w:t>complete</w:t>
      </w:r>
      <w:r>
        <w:rPr>
          <w:rFonts w:ascii="Arial" w:hAnsi="Arial"/>
          <w:spacing w:val="-15"/>
          <w:w w:val="105"/>
          <w:sz w:val="19"/>
        </w:rPr>
        <w:t xml:space="preserve"> </w:t>
      </w:r>
      <w:r>
        <w:rPr>
          <w:rFonts w:ascii="Arial" w:hAnsi="Arial"/>
          <w:w w:val="105"/>
          <w:sz w:val="19"/>
        </w:rPr>
        <w:t>a</w:t>
      </w:r>
      <w:r>
        <w:rPr>
          <w:rFonts w:ascii="Arial" w:hAnsi="Arial"/>
          <w:spacing w:val="-12"/>
          <w:w w:val="105"/>
          <w:sz w:val="19"/>
        </w:rPr>
        <w:t xml:space="preserve"> </w:t>
      </w:r>
      <w:r>
        <w:rPr>
          <w:rFonts w:ascii="Arial" w:hAnsi="Arial"/>
          <w:w w:val="105"/>
          <w:sz w:val="19"/>
        </w:rPr>
        <w:t>simple</w:t>
      </w:r>
      <w:r>
        <w:rPr>
          <w:rFonts w:ascii="Arial" w:hAnsi="Arial"/>
          <w:spacing w:val="-14"/>
          <w:w w:val="105"/>
          <w:sz w:val="19"/>
        </w:rPr>
        <w:t xml:space="preserve"> </w:t>
      </w:r>
      <w:r>
        <w:rPr>
          <w:rFonts w:ascii="Arial" w:hAnsi="Arial"/>
          <w:w w:val="105"/>
          <w:sz w:val="19"/>
        </w:rPr>
        <w:t>reformulation</w:t>
      </w:r>
      <w:r>
        <w:rPr>
          <w:rFonts w:ascii="Arial" w:hAnsi="Arial"/>
          <w:spacing w:val="-13"/>
          <w:w w:val="105"/>
          <w:sz w:val="19"/>
        </w:rPr>
        <w:t xml:space="preserve"> </w:t>
      </w:r>
      <w:r>
        <w:rPr>
          <w:rFonts w:ascii="Arial" w:hAnsi="Arial"/>
          <w:w w:val="105"/>
          <w:sz w:val="19"/>
        </w:rPr>
        <w:t>is</w:t>
      </w:r>
      <w:r>
        <w:rPr>
          <w:rFonts w:ascii="Arial" w:hAnsi="Arial"/>
          <w:spacing w:val="-8"/>
          <w:w w:val="105"/>
          <w:sz w:val="19"/>
        </w:rPr>
        <w:t xml:space="preserve"> </w:t>
      </w:r>
      <w:r>
        <w:rPr>
          <w:rFonts w:ascii="Arial" w:hAnsi="Arial"/>
          <w:w w:val="105"/>
          <w:sz w:val="19"/>
        </w:rPr>
        <w:t>therefore</w:t>
      </w:r>
      <w:r>
        <w:rPr>
          <w:rFonts w:ascii="Arial" w:hAnsi="Arial"/>
          <w:spacing w:val="-10"/>
          <w:w w:val="105"/>
          <w:sz w:val="19"/>
        </w:rPr>
        <w:t xml:space="preserve"> </w:t>
      </w:r>
      <w:r>
        <w:rPr>
          <w:rFonts w:ascii="Arial" w:hAnsi="Arial"/>
          <w:w w:val="105"/>
          <w:sz w:val="19"/>
        </w:rPr>
        <w:t>960</w:t>
      </w:r>
      <w:r>
        <w:rPr>
          <w:rFonts w:ascii="Arial" w:hAnsi="Arial"/>
          <w:spacing w:val="-15"/>
          <w:w w:val="105"/>
          <w:sz w:val="19"/>
        </w:rPr>
        <w:t xml:space="preserve"> </w:t>
      </w:r>
      <w:r>
        <w:rPr>
          <w:rFonts w:ascii="Arial" w:hAnsi="Arial"/>
          <w:w w:val="105"/>
          <w:sz w:val="19"/>
        </w:rPr>
        <w:t>minutes.</w:t>
      </w:r>
    </w:p>
    <w:p w:rsidR="007D76BB" w:rsidRDefault="00D70D28">
      <w:pPr>
        <w:spacing w:before="80" w:line="264" w:lineRule="auto"/>
        <w:ind w:left="482" w:right="688"/>
        <w:rPr>
          <w:rFonts w:ascii="Arial"/>
          <w:sz w:val="19"/>
        </w:rPr>
      </w:pPr>
      <w:r>
        <w:rPr>
          <w:rFonts w:ascii="Arial"/>
          <w:w w:val="105"/>
          <w:sz w:val="19"/>
        </w:rPr>
        <w:t>For</w:t>
      </w:r>
      <w:r>
        <w:rPr>
          <w:rFonts w:ascii="Arial"/>
          <w:spacing w:val="-22"/>
          <w:w w:val="105"/>
          <w:sz w:val="19"/>
        </w:rPr>
        <w:t xml:space="preserve"> </w:t>
      </w:r>
      <w:r>
        <w:rPr>
          <w:rFonts w:ascii="Arial"/>
          <w:w w:val="105"/>
          <w:sz w:val="19"/>
        </w:rPr>
        <w:t>a</w:t>
      </w:r>
      <w:r>
        <w:rPr>
          <w:rFonts w:ascii="Arial"/>
          <w:spacing w:val="-22"/>
          <w:w w:val="105"/>
          <w:sz w:val="19"/>
        </w:rPr>
        <w:t xml:space="preserve"> </w:t>
      </w:r>
      <w:r>
        <w:rPr>
          <w:rFonts w:ascii="Arial"/>
          <w:w w:val="105"/>
          <w:sz w:val="19"/>
        </w:rPr>
        <w:t>more</w:t>
      </w:r>
      <w:r>
        <w:rPr>
          <w:rFonts w:ascii="Arial"/>
          <w:spacing w:val="-23"/>
          <w:w w:val="105"/>
          <w:sz w:val="19"/>
        </w:rPr>
        <w:t xml:space="preserve"> </w:t>
      </w:r>
      <w:r>
        <w:rPr>
          <w:rFonts w:ascii="Arial"/>
          <w:w w:val="105"/>
          <w:sz w:val="19"/>
        </w:rPr>
        <w:t>complex</w:t>
      </w:r>
      <w:r>
        <w:rPr>
          <w:rFonts w:ascii="Arial"/>
          <w:spacing w:val="-23"/>
          <w:w w:val="105"/>
          <w:sz w:val="19"/>
        </w:rPr>
        <w:t xml:space="preserve"> </w:t>
      </w:r>
      <w:r>
        <w:rPr>
          <w:rFonts w:ascii="Arial"/>
          <w:w w:val="105"/>
          <w:sz w:val="19"/>
        </w:rPr>
        <w:t>reformulation</w:t>
      </w:r>
      <w:r>
        <w:rPr>
          <w:rFonts w:ascii="Arial"/>
          <w:spacing w:val="-23"/>
          <w:w w:val="105"/>
          <w:sz w:val="19"/>
        </w:rPr>
        <w:t xml:space="preserve"> </w:t>
      </w:r>
      <w:r>
        <w:rPr>
          <w:rFonts w:ascii="Arial"/>
          <w:w w:val="105"/>
          <w:sz w:val="19"/>
        </w:rPr>
        <w:t>(multiple</w:t>
      </w:r>
      <w:r>
        <w:rPr>
          <w:rFonts w:ascii="Arial"/>
          <w:spacing w:val="-23"/>
          <w:w w:val="105"/>
          <w:sz w:val="19"/>
        </w:rPr>
        <w:t xml:space="preserve"> </w:t>
      </w:r>
      <w:r>
        <w:rPr>
          <w:rFonts w:ascii="Arial"/>
          <w:w w:val="105"/>
          <w:sz w:val="19"/>
        </w:rPr>
        <w:t>ingredient</w:t>
      </w:r>
      <w:r>
        <w:rPr>
          <w:rFonts w:ascii="Arial"/>
          <w:spacing w:val="-23"/>
          <w:w w:val="105"/>
          <w:sz w:val="19"/>
        </w:rPr>
        <w:t xml:space="preserve"> </w:t>
      </w:r>
      <w:r>
        <w:rPr>
          <w:rFonts w:ascii="Arial"/>
          <w:w w:val="105"/>
          <w:sz w:val="19"/>
        </w:rPr>
        <w:t>changes),</w:t>
      </w:r>
      <w:r>
        <w:rPr>
          <w:rFonts w:ascii="Arial"/>
          <w:spacing w:val="-23"/>
          <w:w w:val="105"/>
          <w:sz w:val="19"/>
        </w:rPr>
        <w:t xml:space="preserve"> </w:t>
      </w:r>
      <w:r>
        <w:rPr>
          <w:rFonts w:ascii="Arial"/>
          <w:w w:val="105"/>
          <w:sz w:val="19"/>
        </w:rPr>
        <w:t>this</w:t>
      </w:r>
      <w:r>
        <w:rPr>
          <w:rFonts w:ascii="Arial"/>
          <w:spacing w:val="-22"/>
          <w:w w:val="105"/>
          <w:sz w:val="19"/>
        </w:rPr>
        <w:t xml:space="preserve"> </w:t>
      </w:r>
      <w:r>
        <w:rPr>
          <w:rFonts w:ascii="Arial"/>
          <w:w w:val="105"/>
          <w:sz w:val="19"/>
        </w:rPr>
        <w:t>may</w:t>
      </w:r>
      <w:r>
        <w:rPr>
          <w:rFonts w:ascii="Arial"/>
          <w:spacing w:val="-24"/>
          <w:w w:val="105"/>
          <w:sz w:val="19"/>
        </w:rPr>
        <w:t xml:space="preserve"> </w:t>
      </w:r>
      <w:r>
        <w:rPr>
          <w:rFonts w:ascii="Arial"/>
          <w:w w:val="105"/>
          <w:sz w:val="19"/>
        </w:rPr>
        <w:t>take</w:t>
      </w:r>
      <w:r>
        <w:rPr>
          <w:rFonts w:ascii="Arial"/>
          <w:spacing w:val="-23"/>
          <w:w w:val="105"/>
          <w:sz w:val="19"/>
        </w:rPr>
        <w:t xml:space="preserve"> </w:t>
      </w:r>
      <w:r>
        <w:rPr>
          <w:rFonts w:ascii="Arial"/>
          <w:w w:val="105"/>
          <w:sz w:val="19"/>
        </w:rPr>
        <w:t>up</w:t>
      </w:r>
      <w:r>
        <w:rPr>
          <w:rFonts w:ascii="Arial"/>
          <w:spacing w:val="-23"/>
          <w:w w:val="105"/>
          <w:sz w:val="19"/>
        </w:rPr>
        <w:t xml:space="preserve"> </w:t>
      </w:r>
      <w:r>
        <w:rPr>
          <w:rFonts w:ascii="Arial"/>
          <w:w w:val="105"/>
          <w:sz w:val="19"/>
        </w:rPr>
        <w:t>to</w:t>
      </w:r>
      <w:r>
        <w:rPr>
          <w:rFonts w:ascii="Arial"/>
          <w:spacing w:val="-23"/>
          <w:w w:val="105"/>
          <w:sz w:val="19"/>
        </w:rPr>
        <w:t xml:space="preserve"> </w:t>
      </w:r>
      <w:r>
        <w:rPr>
          <w:rFonts w:ascii="Arial"/>
          <w:w w:val="105"/>
          <w:sz w:val="19"/>
        </w:rPr>
        <w:t>7</w:t>
      </w:r>
      <w:r>
        <w:rPr>
          <w:rFonts w:ascii="Arial"/>
          <w:spacing w:val="-24"/>
          <w:w w:val="105"/>
          <w:sz w:val="19"/>
        </w:rPr>
        <w:t xml:space="preserve"> </w:t>
      </w:r>
      <w:r>
        <w:rPr>
          <w:rFonts w:ascii="Arial"/>
          <w:w w:val="105"/>
          <w:sz w:val="19"/>
        </w:rPr>
        <w:t>days</w:t>
      </w:r>
      <w:r>
        <w:rPr>
          <w:rFonts w:ascii="Arial"/>
          <w:spacing w:val="-23"/>
          <w:w w:val="105"/>
          <w:sz w:val="19"/>
        </w:rPr>
        <w:t xml:space="preserve"> </w:t>
      </w:r>
      <w:r>
        <w:rPr>
          <w:rFonts w:ascii="Arial"/>
          <w:w w:val="105"/>
          <w:sz w:val="19"/>
        </w:rPr>
        <w:t>(3,360 minutes). The increased time is directed towards additional research, product and sample development,</w:t>
      </w:r>
      <w:r>
        <w:rPr>
          <w:rFonts w:ascii="Arial"/>
          <w:spacing w:val="-20"/>
          <w:w w:val="105"/>
          <w:sz w:val="19"/>
        </w:rPr>
        <w:t xml:space="preserve"> </w:t>
      </w:r>
      <w:r>
        <w:rPr>
          <w:rFonts w:ascii="Arial"/>
          <w:w w:val="105"/>
          <w:sz w:val="19"/>
        </w:rPr>
        <w:t>testing,</w:t>
      </w:r>
      <w:r>
        <w:rPr>
          <w:rFonts w:ascii="Arial"/>
          <w:spacing w:val="-21"/>
          <w:w w:val="105"/>
          <w:sz w:val="19"/>
        </w:rPr>
        <w:t xml:space="preserve"> </w:t>
      </w:r>
      <w:r>
        <w:rPr>
          <w:rFonts w:ascii="Arial"/>
          <w:w w:val="105"/>
          <w:sz w:val="19"/>
        </w:rPr>
        <w:t>and</w:t>
      </w:r>
      <w:r>
        <w:rPr>
          <w:rFonts w:ascii="Arial"/>
          <w:spacing w:val="-22"/>
          <w:w w:val="105"/>
          <w:sz w:val="19"/>
        </w:rPr>
        <w:t xml:space="preserve"> </w:t>
      </w:r>
      <w:r>
        <w:rPr>
          <w:rFonts w:ascii="Arial"/>
          <w:w w:val="105"/>
          <w:sz w:val="19"/>
        </w:rPr>
        <w:t>development</w:t>
      </w:r>
      <w:r>
        <w:rPr>
          <w:rFonts w:ascii="Arial"/>
          <w:spacing w:val="-20"/>
          <w:w w:val="105"/>
          <w:sz w:val="19"/>
        </w:rPr>
        <w:t xml:space="preserve"> </w:t>
      </w:r>
      <w:r>
        <w:rPr>
          <w:rFonts w:ascii="Arial"/>
          <w:w w:val="105"/>
          <w:sz w:val="19"/>
        </w:rPr>
        <w:t>of</w:t>
      </w:r>
      <w:r>
        <w:rPr>
          <w:rFonts w:ascii="Arial"/>
          <w:spacing w:val="-20"/>
          <w:w w:val="105"/>
          <w:sz w:val="19"/>
        </w:rPr>
        <w:t xml:space="preserve"> </w:t>
      </w:r>
      <w:r>
        <w:rPr>
          <w:rFonts w:ascii="Arial"/>
          <w:w w:val="105"/>
          <w:sz w:val="19"/>
        </w:rPr>
        <w:t>marketing</w:t>
      </w:r>
      <w:r>
        <w:rPr>
          <w:rFonts w:ascii="Arial"/>
          <w:spacing w:val="-21"/>
          <w:w w:val="105"/>
          <w:sz w:val="19"/>
        </w:rPr>
        <w:t xml:space="preserve"> </w:t>
      </w:r>
      <w:r>
        <w:rPr>
          <w:rFonts w:ascii="Arial"/>
          <w:w w:val="105"/>
          <w:sz w:val="19"/>
        </w:rPr>
        <w:t>collateral.</w:t>
      </w:r>
      <w:r>
        <w:rPr>
          <w:rFonts w:ascii="Arial"/>
          <w:spacing w:val="-23"/>
          <w:w w:val="105"/>
          <w:sz w:val="19"/>
        </w:rPr>
        <w:t xml:space="preserve"> </w:t>
      </w:r>
      <w:r>
        <w:rPr>
          <w:rFonts w:ascii="Arial"/>
          <w:w w:val="105"/>
          <w:sz w:val="19"/>
        </w:rPr>
        <w:t>As</w:t>
      </w:r>
      <w:r>
        <w:rPr>
          <w:rFonts w:ascii="Arial"/>
          <w:spacing w:val="-20"/>
          <w:w w:val="105"/>
          <w:sz w:val="19"/>
        </w:rPr>
        <w:t xml:space="preserve"> </w:t>
      </w:r>
      <w:r>
        <w:rPr>
          <w:rFonts w:ascii="Arial"/>
          <w:w w:val="105"/>
          <w:sz w:val="19"/>
        </w:rPr>
        <w:t>the</w:t>
      </w:r>
      <w:r>
        <w:rPr>
          <w:rFonts w:ascii="Arial"/>
          <w:spacing w:val="-20"/>
          <w:w w:val="105"/>
          <w:sz w:val="19"/>
        </w:rPr>
        <w:t xml:space="preserve"> </w:t>
      </w:r>
      <w:r>
        <w:rPr>
          <w:rFonts w:ascii="Arial"/>
          <w:w w:val="105"/>
          <w:sz w:val="19"/>
        </w:rPr>
        <w:t>proportion</w:t>
      </w:r>
      <w:r>
        <w:rPr>
          <w:rFonts w:ascii="Arial"/>
          <w:spacing w:val="-19"/>
          <w:w w:val="105"/>
          <w:sz w:val="19"/>
        </w:rPr>
        <w:t xml:space="preserve"> </w:t>
      </w:r>
      <w:r>
        <w:rPr>
          <w:rFonts w:ascii="Arial"/>
          <w:w w:val="105"/>
          <w:sz w:val="19"/>
        </w:rPr>
        <w:t>of</w:t>
      </w:r>
      <w:r>
        <w:rPr>
          <w:rFonts w:ascii="Arial"/>
          <w:spacing w:val="-21"/>
          <w:w w:val="105"/>
          <w:sz w:val="19"/>
        </w:rPr>
        <w:t xml:space="preserve"> </w:t>
      </w:r>
      <w:r>
        <w:rPr>
          <w:rFonts w:ascii="Arial"/>
          <w:w w:val="105"/>
          <w:sz w:val="19"/>
        </w:rPr>
        <w:t>simple</w:t>
      </w:r>
      <w:r>
        <w:rPr>
          <w:rFonts w:ascii="Arial"/>
          <w:spacing w:val="-22"/>
          <w:w w:val="105"/>
          <w:sz w:val="19"/>
        </w:rPr>
        <w:t xml:space="preserve"> </w:t>
      </w:r>
      <w:r>
        <w:rPr>
          <w:rFonts w:ascii="Arial"/>
          <w:w w:val="105"/>
          <w:sz w:val="19"/>
        </w:rPr>
        <w:t>and complex reformations needed is unknown, the average reformulation time will be used for the regulatory costing. Therefore, simple reformulation time (960) + complex reformulation time (3,360)/2</w:t>
      </w:r>
      <w:r>
        <w:rPr>
          <w:rFonts w:ascii="Arial"/>
          <w:spacing w:val="-11"/>
          <w:w w:val="105"/>
          <w:sz w:val="19"/>
        </w:rPr>
        <w:t xml:space="preserve"> </w:t>
      </w:r>
      <w:r>
        <w:rPr>
          <w:rFonts w:ascii="Arial"/>
          <w:w w:val="105"/>
          <w:sz w:val="19"/>
        </w:rPr>
        <w:t>=</w:t>
      </w:r>
      <w:r>
        <w:rPr>
          <w:rFonts w:ascii="Arial"/>
          <w:spacing w:val="-10"/>
          <w:w w:val="105"/>
          <w:sz w:val="19"/>
        </w:rPr>
        <w:t xml:space="preserve"> </w:t>
      </w:r>
      <w:r>
        <w:rPr>
          <w:rFonts w:ascii="Arial"/>
          <w:w w:val="105"/>
          <w:sz w:val="19"/>
        </w:rPr>
        <w:t>2,160</w:t>
      </w:r>
      <w:r>
        <w:rPr>
          <w:rFonts w:ascii="Arial"/>
          <w:spacing w:val="-10"/>
          <w:w w:val="105"/>
          <w:sz w:val="19"/>
        </w:rPr>
        <w:t xml:space="preserve"> </w:t>
      </w:r>
      <w:r>
        <w:rPr>
          <w:rFonts w:ascii="Arial"/>
          <w:w w:val="105"/>
          <w:sz w:val="19"/>
        </w:rPr>
        <w:t>minutes</w:t>
      </w:r>
      <w:r>
        <w:rPr>
          <w:rFonts w:ascii="Arial"/>
          <w:spacing w:val="-13"/>
          <w:w w:val="105"/>
          <w:sz w:val="19"/>
        </w:rPr>
        <w:t xml:space="preserve"> </w:t>
      </w:r>
      <w:r>
        <w:rPr>
          <w:rFonts w:ascii="Arial"/>
          <w:w w:val="105"/>
          <w:sz w:val="19"/>
        </w:rPr>
        <w:t>per</w:t>
      </w:r>
      <w:r>
        <w:rPr>
          <w:rFonts w:ascii="Arial"/>
          <w:spacing w:val="-10"/>
          <w:w w:val="105"/>
          <w:sz w:val="19"/>
        </w:rPr>
        <w:t xml:space="preserve"> </w:t>
      </w:r>
      <w:r>
        <w:rPr>
          <w:rFonts w:ascii="Arial"/>
          <w:w w:val="105"/>
          <w:sz w:val="19"/>
        </w:rPr>
        <w:t>product.</w:t>
      </w:r>
    </w:p>
    <w:p w:rsidR="007D76BB" w:rsidRDefault="00D70D28">
      <w:pPr>
        <w:spacing w:before="75"/>
        <w:ind w:left="482"/>
        <w:rPr>
          <w:rFonts w:ascii="Arial"/>
          <w:i/>
          <w:sz w:val="20"/>
        </w:rPr>
      </w:pPr>
      <w:r>
        <w:rPr>
          <w:rFonts w:ascii="Arial"/>
          <w:i/>
          <w:sz w:val="20"/>
        </w:rPr>
        <w:t>List product in the ARTG</w:t>
      </w:r>
    </w:p>
    <w:p w:rsidR="007D76BB" w:rsidRDefault="00D70D28">
      <w:pPr>
        <w:spacing w:before="96" w:line="266" w:lineRule="auto"/>
        <w:ind w:left="482" w:right="950"/>
        <w:rPr>
          <w:rFonts w:ascii="Arial"/>
          <w:sz w:val="19"/>
        </w:rPr>
      </w:pPr>
      <w:r>
        <w:rPr>
          <w:rFonts w:ascii="Arial"/>
          <w:w w:val="105"/>
          <w:sz w:val="19"/>
        </w:rPr>
        <w:t>The</w:t>
      </w:r>
      <w:r>
        <w:rPr>
          <w:rFonts w:ascii="Arial"/>
          <w:spacing w:val="-20"/>
          <w:w w:val="105"/>
          <w:sz w:val="19"/>
        </w:rPr>
        <w:t xml:space="preserve"> </w:t>
      </w:r>
      <w:r>
        <w:rPr>
          <w:rFonts w:ascii="Arial"/>
          <w:w w:val="105"/>
          <w:sz w:val="19"/>
        </w:rPr>
        <w:t>below</w:t>
      </w:r>
      <w:r>
        <w:rPr>
          <w:rFonts w:ascii="Arial"/>
          <w:spacing w:val="-22"/>
          <w:w w:val="105"/>
          <w:sz w:val="19"/>
        </w:rPr>
        <w:t xml:space="preserve"> </w:t>
      </w:r>
      <w:r>
        <w:rPr>
          <w:rFonts w:ascii="Arial"/>
          <w:w w:val="105"/>
          <w:sz w:val="19"/>
        </w:rPr>
        <w:t>table</w:t>
      </w:r>
      <w:r>
        <w:rPr>
          <w:rFonts w:ascii="Arial"/>
          <w:spacing w:val="-21"/>
          <w:w w:val="105"/>
          <w:sz w:val="19"/>
        </w:rPr>
        <w:t xml:space="preserve"> </w:t>
      </w:r>
      <w:r>
        <w:rPr>
          <w:rFonts w:ascii="Arial"/>
          <w:w w:val="105"/>
          <w:sz w:val="19"/>
        </w:rPr>
        <w:t>provides</w:t>
      </w:r>
      <w:r>
        <w:rPr>
          <w:rFonts w:ascii="Arial"/>
          <w:spacing w:val="-21"/>
          <w:w w:val="105"/>
          <w:sz w:val="19"/>
        </w:rPr>
        <w:t xml:space="preserve"> </w:t>
      </w:r>
      <w:r>
        <w:rPr>
          <w:rFonts w:ascii="Arial"/>
          <w:w w:val="105"/>
          <w:sz w:val="19"/>
        </w:rPr>
        <w:t>a</w:t>
      </w:r>
      <w:r>
        <w:rPr>
          <w:rFonts w:ascii="Arial"/>
          <w:spacing w:val="-20"/>
          <w:w w:val="105"/>
          <w:sz w:val="19"/>
        </w:rPr>
        <w:t xml:space="preserve"> </w:t>
      </w:r>
      <w:r>
        <w:rPr>
          <w:rFonts w:ascii="Arial"/>
          <w:w w:val="105"/>
          <w:sz w:val="19"/>
        </w:rPr>
        <w:t>summary</w:t>
      </w:r>
      <w:r>
        <w:rPr>
          <w:rFonts w:ascii="Arial"/>
          <w:spacing w:val="-21"/>
          <w:w w:val="105"/>
          <w:sz w:val="19"/>
        </w:rPr>
        <w:t xml:space="preserve"> </w:t>
      </w:r>
      <w:r>
        <w:rPr>
          <w:rFonts w:ascii="Arial"/>
          <w:w w:val="105"/>
          <w:sz w:val="19"/>
        </w:rPr>
        <w:t>of</w:t>
      </w:r>
      <w:r>
        <w:rPr>
          <w:rFonts w:ascii="Arial"/>
          <w:spacing w:val="-23"/>
          <w:w w:val="105"/>
          <w:sz w:val="19"/>
        </w:rPr>
        <w:t xml:space="preserve"> </w:t>
      </w:r>
      <w:r>
        <w:rPr>
          <w:rFonts w:ascii="Arial"/>
          <w:w w:val="105"/>
          <w:sz w:val="19"/>
        </w:rPr>
        <w:t>all</w:t>
      </w:r>
      <w:r>
        <w:rPr>
          <w:rFonts w:ascii="Arial"/>
          <w:spacing w:val="-21"/>
          <w:w w:val="105"/>
          <w:sz w:val="19"/>
        </w:rPr>
        <w:t xml:space="preserve"> </w:t>
      </w:r>
      <w:r>
        <w:rPr>
          <w:rFonts w:ascii="Arial"/>
          <w:w w:val="105"/>
          <w:sz w:val="19"/>
        </w:rPr>
        <w:t>regulatory</w:t>
      </w:r>
      <w:r>
        <w:rPr>
          <w:rFonts w:ascii="Arial"/>
          <w:spacing w:val="-21"/>
          <w:w w:val="105"/>
          <w:sz w:val="19"/>
        </w:rPr>
        <w:t xml:space="preserve"> </w:t>
      </w:r>
      <w:r>
        <w:rPr>
          <w:rFonts w:ascii="Arial"/>
          <w:w w:val="105"/>
          <w:sz w:val="19"/>
        </w:rPr>
        <w:t>activities</w:t>
      </w:r>
      <w:r>
        <w:rPr>
          <w:rFonts w:ascii="Arial"/>
          <w:spacing w:val="-21"/>
          <w:w w:val="105"/>
          <w:sz w:val="19"/>
        </w:rPr>
        <w:t xml:space="preserve"> </w:t>
      </w:r>
      <w:r>
        <w:rPr>
          <w:rFonts w:ascii="Arial"/>
          <w:w w:val="105"/>
          <w:sz w:val="19"/>
        </w:rPr>
        <w:t>associated</w:t>
      </w:r>
      <w:r>
        <w:rPr>
          <w:rFonts w:ascii="Arial"/>
          <w:spacing w:val="-22"/>
          <w:w w:val="105"/>
          <w:sz w:val="19"/>
        </w:rPr>
        <w:t xml:space="preserve"> </w:t>
      </w:r>
      <w:r>
        <w:rPr>
          <w:rFonts w:ascii="Arial"/>
          <w:w w:val="105"/>
          <w:sz w:val="19"/>
        </w:rPr>
        <w:t>with</w:t>
      </w:r>
      <w:r>
        <w:rPr>
          <w:rFonts w:ascii="Arial"/>
          <w:spacing w:val="-19"/>
          <w:w w:val="105"/>
          <w:sz w:val="19"/>
        </w:rPr>
        <w:t xml:space="preserve"> </w:t>
      </w:r>
      <w:r>
        <w:rPr>
          <w:rFonts w:ascii="Arial"/>
          <w:w w:val="105"/>
          <w:sz w:val="19"/>
        </w:rPr>
        <w:t>listing</w:t>
      </w:r>
      <w:r>
        <w:rPr>
          <w:rFonts w:ascii="Arial"/>
          <w:spacing w:val="-23"/>
          <w:w w:val="105"/>
          <w:sz w:val="19"/>
        </w:rPr>
        <w:t xml:space="preserve"> </w:t>
      </w:r>
      <w:r>
        <w:rPr>
          <w:rFonts w:ascii="Arial"/>
          <w:w w:val="105"/>
          <w:sz w:val="19"/>
        </w:rPr>
        <w:t>a</w:t>
      </w:r>
      <w:r>
        <w:rPr>
          <w:rFonts w:ascii="Arial"/>
          <w:spacing w:val="-20"/>
          <w:w w:val="105"/>
          <w:sz w:val="19"/>
        </w:rPr>
        <w:t xml:space="preserve"> </w:t>
      </w:r>
      <w:r>
        <w:rPr>
          <w:rFonts w:ascii="Arial"/>
          <w:w w:val="105"/>
          <w:sz w:val="19"/>
        </w:rPr>
        <w:t>product</w:t>
      </w:r>
      <w:r>
        <w:rPr>
          <w:rFonts w:ascii="Arial"/>
          <w:spacing w:val="-19"/>
          <w:w w:val="105"/>
          <w:sz w:val="19"/>
        </w:rPr>
        <w:t xml:space="preserve"> </w:t>
      </w:r>
      <w:r>
        <w:rPr>
          <w:rFonts w:ascii="Arial"/>
          <w:w w:val="105"/>
          <w:sz w:val="19"/>
        </w:rPr>
        <w:t>in the</w:t>
      </w:r>
      <w:r>
        <w:rPr>
          <w:rFonts w:ascii="Arial"/>
          <w:spacing w:val="-21"/>
          <w:w w:val="105"/>
          <w:sz w:val="19"/>
        </w:rPr>
        <w:t xml:space="preserve"> </w:t>
      </w:r>
      <w:r>
        <w:rPr>
          <w:rFonts w:ascii="Arial"/>
          <w:w w:val="105"/>
          <w:sz w:val="19"/>
        </w:rPr>
        <w:t>ARTG.</w:t>
      </w:r>
      <w:r>
        <w:rPr>
          <w:rFonts w:ascii="Arial"/>
          <w:w w:val="105"/>
          <w:position w:val="7"/>
          <w:sz w:val="11"/>
        </w:rPr>
        <w:t>50</w:t>
      </w:r>
      <w:r>
        <w:rPr>
          <w:rFonts w:ascii="Arial"/>
          <w:spacing w:val="3"/>
          <w:w w:val="105"/>
          <w:position w:val="7"/>
          <w:sz w:val="11"/>
        </w:rPr>
        <w:t xml:space="preserve"> </w:t>
      </w:r>
      <w:r>
        <w:rPr>
          <w:rFonts w:ascii="Arial"/>
          <w:w w:val="105"/>
          <w:sz w:val="19"/>
        </w:rPr>
        <w:t>It</w:t>
      </w:r>
      <w:r>
        <w:rPr>
          <w:rFonts w:ascii="Arial"/>
          <w:spacing w:val="-20"/>
          <w:w w:val="105"/>
          <w:sz w:val="19"/>
        </w:rPr>
        <w:t xml:space="preserve"> </w:t>
      </w:r>
      <w:r>
        <w:rPr>
          <w:rFonts w:ascii="Arial"/>
          <w:w w:val="105"/>
          <w:sz w:val="19"/>
        </w:rPr>
        <w:t>is</w:t>
      </w:r>
      <w:r>
        <w:rPr>
          <w:rFonts w:ascii="Arial"/>
          <w:spacing w:val="-21"/>
          <w:w w:val="105"/>
          <w:sz w:val="19"/>
        </w:rPr>
        <w:t xml:space="preserve"> </w:t>
      </w:r>
      <w:r>
        <w:rPr>
          <w:rFonts w:ascii="Arial"/>
          <w:w w:val="105"/>
          <w:sz w:val="19"/>
        </w:rPr>
        <w:t>assumed</w:t>
      </w:r>
      <w:r>
        <w:rPr>
          <w:rFonts w:ascii="Arial"/>
          <w:spacing w:val="-23"/>
          <w:w w:val="105"/>
          <w:sz w:val="19"/>
        </w:rPr>
        <w:t xml:space="preserve"> </w:t>
      </w:r>
      <w:r>
        <w:rPr>
          <w:rFonts w:ascii="Arial"/>
          <w:w w:val="105"/>
          <w:sz w:val="19"/>
        </w:rPr>
        <w:t>that</w:t>
      </w:r>
      <w:r>
        <w:rPr>
          <w:rFonts w:ascii="Arial"/>
          <w:spacing w:val="-21"/>
          <w:w w:val="105"/>
          <w:sz w:val="19"/>
        </w:rPr>
        <w:t xml:space="preserve"> </w:t>
      </w:r>
      <w:r>
        <w:rPr>
          <w:rFonts w:ascii="Arial"/>
          <w:w w:val="105"/>
          <w:sz w:val="19"/>
        </w:rPr>
        <w:t>all</w:t>
      </w:r>
      <w:r>
        <w:rPr>
          <w:rFonts w:ascii="Arial"/>
          <w:spacing w:val="-19"/>
          <w:w w:val="105"/>
          <w:sz w:val="19"/>
        </w:rPr>
        <w:t xml:space="preserve"> </w:t>
      </w:r>
      <w:r>
        <w:rPr>
          <w:rFonts w:ascii="Arial"/>
          <w:w w:val="105"/>
          <w:sz w:val="19"/>
        </w:rPr>
        <w:t>potentially</w:t>
      </w:r>
      <w:r>
        <w:rPr>
          <w:rFonts w:ascii="Arial"/>
          <w:spacing w:val="-20"/>
          <w:w w:val="105"/>
          <w:sz w:val="19"/>
        </w:rPr>
        <w:t xml:space="preserve"> </w:t>
      </w:r>
      <w:r>
        <w:rPr>
          <w:rFonts w:ascii="Arial"/>
          <w:w w:val="105"/>
          <w:sz w:val="19"/>
        </w:rPr>
        <w:t>in-scope</w:t>
      </w:r>
      <w:r>
        <w:rPr>
          <w:rFonts w:ascii="Arial"/>
          <w:spacing w:val="-20"/>
          <w:w w:val="105"/>
          <w:sz w:val="19"/>
        </w:rPr>
        <w:t xml:space="preserve"> </w:t>
      </w:r>
      <w:r>
        <w:rPr>
          <w:rFonts w:ascii="Arial"/>
          <w:w w:val="105"/>
          <w:sz w:val="19"/>
        </w:rPr>
        <w:t>products</w:t>
      </w:r>
      <w:r>
        <w:rPr>
          <w:rFonts w:ascii="Arial"/>
          <w:spacing w:val="-22"/>
          <w:w w:val="105"/>
          <w:sz w:val="19"/>
        </w:rPr>
        <w:t xml:space="preserve"> </w:t>
      </w:r>
      <w:r>
        <w:rPr>
          <w:rFonts w:ascii="Arial"/>
          <w:w w:val="105"/>
          <w:sz w:val="19"/>
        </w:rPr>
        <w:t>will</w:t>
      </w:r>
      <w:r>
        <w:rPr>
          <w:rFonts w:ascii="Arial"/>
          <w:spacing w:val="-21"/>
          <w:w w:val="105"/>
          <w:sz w:val="19"/>
        </w:rPr>
        <w:t xml:space="preserve"> </w:t>
      </w:r>
      <w:r>
        <w:rPr>
          <w:rFonts w:ascii="Arial"/>
          <w:w w:val="105"/>
          <w:sz w:val="19"/>
        </w:rPr>
        <w:t>be</w:t>
      </w:r>
      <w:r>
        <w:rPr>
          <w:rFonts w:ascii="Arial"/>
          <w:spacing w:val="-19"/>
          <w:w w:val="105"/>
          <w:sz w:val="19"/>
        </w:rPr>
        <w:t xml:space="preserve"> </w:t>
      </w:r>
      <w:r>
        <w:rPr>
          <w:rFonts w:ascii="Arial"/>
          <w:w w:val="105"/>
          <w:sz w:val="19"/>
        </w:rPr>
        <w:t>listed</w:t>
      </w:r>
      <w:r>
        <w:rPr>
          <w:rFonts w:ascii="Arial"/>
          <w:spacing w:val="-21"/>
          <w:w w:val="105"/>
          <w:sz w:val="19"/>
        </w:rPr>
        <w:t xml:space="preserve"> </w:t>
      </w:r>
      <w:r>
        <w:rPr>
          <w:rFonts w:ascii="Arial"/>
          <w:w w:val="105"/>
          <w:sz w:val="19"/>
        </w:rPr>
        <w:t>rather</w:t>
      </w:r>
      <w:r>
        <w:rPr>
          <w:rFonts w:ascii="Arial"/>
          <w:spacing w:val="-20"/>
          <w:w w:val="105"/>
          <w:sz w:val="19"/>
        </w:rPr>
        <w:t xml:space="preserve"> </w:t>
      </w:r>
      <w:r>
        <w:rPr>
          <w:rFonts w:ascii="Arial"/>
          <w:w w:val="105"/>
          <w:sz w:val="19"/>
        </w:rPr>
        <w:t>than</w:t>
      </w:r>
      <w:r>
        <w:rPr>
          <w:rFonts w:ascii="Arial"/>
          <w:spacing w:val="-19"/>
          <w:w w:val="105"/>
          <w:sz w:val="19"/>
        </w:rPr>
        <w:t xml:space="preserve"> </w:t>
      </w:r>
      <w:r>
        <w:rPr>
          <w:rFonts w:ascii="Arial"/>
          <w:w w:val="105"/>
          <w:sz w:val="19"/>
        </w:rPr>
        <w:t>registered in</w:t>
      </w:r>
      <w:r>
        <w:rPr>
          <w:rFonts w:ascii="Arial"/>
          <w:spacing w:val="-21"/>
          <w:w w:val="105"/>
          <w:sz w:val="19"/>
        </w:rPr>
        <w:t xml:space="preserve"> </w:t>
      </w:r>
      <w:r>
        <w:rPr>
          <w:rFonts w:ascii="Arial"/>
          <w:w w:val="105"/>
          <w:sz w:val="19"/>
        </w:rPr>
        <w:t>the</w:t>
      </w:r>
      <w:r>
        <w:rPr>
          <w:rFonts w:ascii="Arial"/>
          <w:spacing w:val="-23"/>
          <w:w w:val="105"/>
          <w:sz w:val="19"/>
        </w:rPr>
        <w:t xml:space="preserve"> </w:t>
      </w:r>
      <w:r>
        <w:rPr>
          <w:rFonts w:ascii="Arial"/>
          <w:w w:val="105"/>
          <w:sz w:val="19"/>
        </w:rPr>
        <w:t>ARTG</w:t>
      </w:r>
      <w:r>
        <w:rPr>
          <w:rFonts w:ascii="Arial"/>
          <w:spacing w:val="-21"/>
          <w:w w:val="105"/>
          <w:sz w:val="19"/>
        </w:rPr>
        <w:t xml:space="preserve"> </w:t>
      </w:r>
      <w:r>
        <w:rPr>
          <w:rFonts w:ascii="Arial"/>
          <w:w w:val="105"/>
          <w:sz w:val="19"/>
        </w:rPr>
        <w:t>due</w:t>
      </w:r>
      <w:r>
        <w:rPr>
          <w:rFonts w:ascii="Arial"/>
          <w:spacing w:val="-23"/>
          <w:w w:val="105"/>
          <w:sz w:val="19"/>
        </w:rPr>
        <w:t xml:space="preserve"> </w:t>
      </w:r>
      <w:r>
        <w:rPr>
          <w:rFonts w:ascii="Arial"/>
          <w:w w:val="105"/>
          <w:sz w:val="19"/>
        </w:rPr>
        <w:t>to</w:t>
      </w:r>
      <w:r>
        <w:rPr>
          <w:rFonts w:ascii="Arial"/>
          <w:spacing w:val="-21"/>
          <w:w w:val="105"/>
          <w:sz w:val="19"/>
        </w:rPr>
        <w:t xml:space="preserve"> </w:t>
      </w:r>
      <w:r>
        <w:rPr>
          <w:rFonts w:ascii="Arial"/>
          <w:w w:val="105"/>
          <w:sz w:val="19"/>
        </w:rPr>
        <w:t>the</w:t>
      </w:r>
      <w:r>
        <w:rPr>
          <w:rFonts w:ascii="Arial"/>
          <w:spacing w:val="-23"/>
          <w:w w:val="105"/>
          <w:sz w:val="19"/>
        </w:rPr>
        <w:t xml:space="preserve"> </w:t>
      </w:r>
      <w:r>
        <w:rPr>
          <w:rFonts w:ascii="Arial"/>
          <w:w w:val="105"/>
          <w:sz w:val="19"/>
        </w:rPr>
        <w:t>nature</w:t>
      </w:r>
      <w:r>
        <w:rPr>
          <w:rFonts w:ascii="Arial"/>
          <w:spacing w:val="-21"/>
          <w:w w:val="105"/>
          <w:sz w:val="19"/>
        </w:rPr>
        <w:t xml:space="preserve"> </w:t>
      </w:r>
      <w:r>
        <w:rPr>
          <w:rFonts w:ascii="Arial"/>
          <w:w w:val="105"/>
          <w:sz w:val="19"/>
        </w:rPr>
        <w:t>of</w:t>
      </w:r>
      <w:r>
        <w:rPr>
          <w:rFonts w:ascii="Arial"/>
          <w:spacing w:val="-22"/>
          <w:w w:val="105"/>
          <w:sz w:val="19"/>
        </w:rPr>
        <w:t xml:space="preserve"> </w:t>
      </w:r>
      <w:r>
        <w:rPr>
          <w:rFonts w:ascii="Arial"/>
          <w:w w:val="105"/>
          <w:sz w:val="19"/>
        </w:rPr>
        <w:t>the</w:t>
      </w:r>
      <w:r>
        <w:rPr>
          <w:rFonts w:ascii="Arial"/>
          <w:spacing w:val="-23"/>
          <w:w w:val="105"/>
          <w:sz w:val="19"/>
        </w:rPr>
        <w:t xml:space="preserve"> </w:t>
      </w:r>
      <w:r>
        <w:rPr>
          <w:rFonts w:ascii="Arial"/>
          <w:w w:val="105"/>
          <w:sz w:val="19"/>
        </w:rPr>
        <w:t>product</w:t>
      </w:r>
      <w:r>
        <w:rPr>
          <w:rFonts w:ascii="Arial"/>
          <w:spacing w:val="-22"/>
          <w:w w:val="105"/>
          <w:sz w:val="19"/>
        </w:rPr>
        <w:t xml:space="preserve"> </w:t>
      </w:r>
      <w:r>
        <w:rPr>
          <w:rFonts w:ascii="Arial"/>
          <w:w w:val="105"/>
          <w:sz w:val="19"/>
        </w:rPr>
        <w:t>ingredients</w:t>
      </w:r>
      <w:r>
        <w:rPr>
          <w:rFonts w:ascii="Arial"/>
          <w:spacing w:val="-23"/>
          <w:w w:val="105"/>
          <w:sz w:val="19"/>
        </w:rPr>
        <w:t xml:space="preserve"> </w:t>
      </w:r>
      <w:r>
        <w:rPr>
          <w:rFonts w:ascii="Arial"/>
          <w:w w:val="105"/>
          <w:sz w:val="19"/>
        </w:rPr>
        <w:t>and</w:t>
      </w:r>
      <w:r>
        <w:rPr>
          <w:rFonts w:ascii="Arial"/>
          <w:spacing w:val="-23"/>
          <w:w w:val="105"/>
          <w:sz w:val="19"/>
        </w:rPr>
        <w:t xml:space="preserve"> </w:t>
      </w:r>
      <w:r>
        <w:rPr>
          <w:rFonts w:ascii="Arial"/>
          <w:w w:val="105"/>
          <w:sz w:val="19"/>
        </w:rPr>
        <w:t>the</w:t>
      </w:r>
      <w:r>
        <w:rPr>
          <w:rFonts w:ascii="Arial"/>
          <w:spacing w:val="-22"/>
          <w:w w:val="105"/>
          <w:sz w:val="19"/>
        </w:rPr>
        <w:t xml:space="preserve"> </w:t>
      </w:r>
      <w:r>
        <w:rPr>
          <w:rFonts w:ascii="Arial"/>
          <w:w w:val="105"/>
          <w:sz w:val="19"/>
        </w:rPr>
        <w:t>additional</w:t>
      </w:r>
      <w:r>
        <w:rPr>
          <w:rFonts w:ascii="Arial"/>
          <w:spacing w:val="-22"/>
          <w:w w:val="105"/>
          <w:sz w:val="19"/>
        </w:rPr>
        <w:t xml:space="preserve"> </w:t>
      </w:r>
      <w:r>
        <w:rPr>
          <w:rFonts w:ascii="Arial"/>
          <w:w w:val="105"/>
          <w:sz w:val="19"/>
        </w:rPr>
        <w:t>expenses</w:t>
      </w:r>
      <w:r>
        <w:rPr>
          <w:rFonts w:ascii="Arial"/>
          <w:spacing w:val="-23"/>
          <w:w w:val="105"/>
          <w:sz w:val="19"/>
        </w:rPr>
        <w:t xml:space="preserve"> </w:t>
      </w:r>
      <w:r>
        <w:rPr>
          <w:rFonts w:ascii="Arial"/>
          <w:w w:val="105"/>
          <w:sz w:val="19"/>
        </w:rPr>
        <w:t>entailed</w:t>
      </w:r>
      <w:r>
        <w:rPr>
          <w:rFonts w:ascii="Arial"/>
          <w:spacing w:val="-23"/>
          <w:w w:val="105"/>
          <w:sz w:val="19"/>
        </w:rPr>
        <w:t xml:space="preserve"> </w:t>
      </w:r>
      <w:r>
        <w:rPr>
          <w:rFonts w:ascii="Arial"/>
          <w:w w:val="105"/>
          <w:sz w:val="19"/>
        </w:rPr>
        <w:t>with the</w:t>
      </w:r>
      <w:r>
        <w:rPr>
          <w:rFonts w:ascii="Arial"/>
          <w:spacing w:val="-12"/>
          <w:w w:val="105"/>
          <w:sz w:val="19"/>
        </w:rPr>
        <w:t xml:space="preserve"> </w:t>
      </w:r>
      <w:r>
        <w:rPr>
          <w:rFonts w:ascii="Arial"/>
          <w:w w:val="105"/>
          <w:sz w:val="19"/>
        </w:rPr>
        <w:t>registration</w:t>
      </w:r>
      <w:r>
        <w:rPr>
          <w:rFonts w:ascii="Arial"/>
          <w:spacing w:val="-10"/>
          <w:w w:val="105"/>
          <w:sz w:val="19"/>
        </w:rPr>
        <w:t xml:space="preserve"> </w:t>
      </w:r>
      <w:r>
        <w:rPr>
          <w:rFonts w:ascii="Arial"/>
          <w:w w:val="105"/>
          <w:sz w:val="19"/>
        </w:rPr>
        <w:t>of</w:t>
      </w:r>
      <w:r>
        <w:rPr>
          <w:rFonts w:ascii="Arial"/>
          <w:spacing w:val="-14"/>
          <w:w w:val="105"/>
          <w:sz w:val="19"/>
        </w:rPr>
        <w:t xml:space="preserve"> </w:t>
      </w:r>
      <w:r>
        <w:rPr>
          <w:rFonts w:ascii="Arial"/>
          <w:w w:val="105"/>
          <w:sz w:val="19"/>
        </w:rPr>
        <w:t>a</w:t>
      </w:r>
      <w:r>
        <w:rPr>
          <w:rFonts w:ascii="Arial"/>
          <w:spacing w:val="-9"/>
          <w:w w:val="105"/>
          <w:sz w:val="19"/>
        </w:rPr>
        <w:t xml:space="preserve"> </w:t>
      </w:r>
      <w:r>
        <w:rPr>
          <w:rFonts w:ascii="Arial"/>
          <w:w w:val="105"/>
          <w:sz w:val="19"/>
        </w:rPr>
        <w:t>product.</w:t>
      </w:r>
    </w:p>
    <w:p w:rsidR="007D76BB" w:rsidRDefault="007D76BB">
      <w:pPr>
        <w:pStyle w:val="BodyText"/>
        <w:spacing w:before="5"/>
        <w:rPr>
          <w:rFonts w:ascii="Arial"/>
          <w:sz w:val="20"/>
        </w:rPr>
      </w:pPr>
    </w:p>
    <w:p w:rsidR="007D76BB" w:rsidRDefault="00D70D28">
      <w:pPr>
        <w:spacing w:before="1"/>
        <w:ind w:left="482"/>
        <w:rPr>
          <w:rFonts w:ascii="Arial"/>
          <w:sz w:val="19"/>
        </w:rPr>
      </w:pPr>
      <w:r>
        <w:rPr>
          <w:rFonts w:ascii="Arial"/>
          <w:color w:val="005386"/>
          <w:w w:val="105"/>
          <w:sz w:val="19"/>
        </w:rPr>
        <w:t>Table 8. Regulatory activities (and associated time) for listing a product in the ARTG</w:t>
      </w:r>
    </w:p>
    <w:p w:rsidR="007D76BB" w:rsidRDefault="007D76BB">
      <w:pPr>
        <w:pStyle w:val="BodyText"/>
        <w:spacing w:before="3"/>
        <w:rPr>
          <w:rFonts w:ascii="Arial"/>
          <w:sz w:val="16"/>
        </w:rPr>
      </w:pPr>
    </w:p>
    <w:tbl>
      <w:tblPr>
        <w:tblW w:w="0" w:type="auto"/>
        <w:tblInd w:w="5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92"/>
        <w:gridCol w:w="2693"/>
        <w:gridCol w:w="1433"/>
        <w:gridCol w:w="1133"/>
        <w:gridCol w:w="1873"/>
      </w:tblGrid>
      <w:tr w:rsidR="007D76BB">
        <w:trPr>
          <w:trHeight w:val="915"/>
        </w:trPr>
        <w:tc>
          <w:tcPr>
            <w:tcW w:w="1692" w:type="dxa"/>
            <w:shd w:val="clear" w:color="auto" w:fill="005386"/>
          </w:tcPr>
          <w:p w:rsidR="007D76BB" w:rsidRDefault="007D76BB">
            <w:pPr>
              <w:pStyle w:val="TableParagraph"/>
              <w:rPr>
                <w:rFonts w:ascii="Arial"/>
                <w:sz w:val="16"/>
              </w:rPr>
            </w:pPr>
          </w:p>
          <w:p w:rsidR="007D76BB" w:rsidRDefault="007D76BB">
            <w:pPr>
              <w:pStyle w:val="TableParagraph"/>
              <w:spacing w:before="1"/>
              <w:rPr>
                <w:rFonts w:ascii="Arial"/>
                <w:sz w:val="15"/>
              </w:rPr>
            </w:pPr>
          </w:p>
          <w:p w:rsidR="007D76BB" w:rsidRDefault="00D70D28">
            <w:pPr>
              <w:pStyle w:val="TableParagraph"/>
              <w:spacing w:before="1"/>
              <w:ind w:left="676" w:right="657"/>
              <w:jc w:val="center"/>
              <w:rPr>
                <w:rFonts w:ascii="Calibri"/>
                <w:b/>
                <w:sz w:val="16"/>
              </w:rPr>
            </w:pPr>
            <w:r>
              <w:rPr>
                <w:rFonts w:ascii="Calibri"/>
                <w:b/>
                <w:color w:val="FFFFFF"/>
                <w:sz w:val="16"/>
              </w:rPr>
              <w:t>Task</w:t>
            </w:r>
          </w:p>
        </w:tc>
        <w:tc>
          <w:tcPr>
            <w:tcW w:w="2693" w:type="dxa"/>
            <w:shd w:val="clear" w:color="auto" w:fill="005386"/>
          </w:tcPr>
          <w:p w:rsidR="007D76BB" w:rsidRDefault="007D76BB">
            <w:pPr>
              <w:pStyle w:val="TableParagraph"/>
              <w:rPr>
                <w:rFonts w:ascii="Arial"/>
                <w:sz w:val="16"/>
              </w:rPr>
            </w:pPr>
          </w:p>
          <w:p w:rsidR="007D76BB" w:rsidRDefault="007D76BB">
            <w:pPr>
              <w:pStyle w:val="TableParagraph"/>
              <w:spacing w:before="1"/>
              <w:rPr>
                <w:rFonts w:ascii="Arial"/>
                <w:sz w:val="15"/>
              </w:rPr>
            </w:pPr>
          </w:p>
          <w:p w:rsidR="007D76BB" w:rsidRDefault="00D70D28">
            <w:pPr>
              <w:pStyle w:val="TableParagraph"/>
              <w:spacing w:before="1"/>
              <w:ind w:left="1066" w:right="1044"/>
              <w:jc w:val="center"/>
              <w:rPr>
                <w:rFonts w:ascii="Calibri"/>
                <w:b/>
                <w:sz w:val="16"/>
              </w:rPr>
            </w:pPr>
            <w:r>
              <w:rPr>
                <w:rFonts w:ascii="Calibri"/>
                <w:b/>
                <w:color w:val="FFFFFF"/>
                <w:sz w:val="16"/>
              </w:rPr>
              <w:t>Subtask</w:t>
            </w:r>
          </w:p>
        </w:tc>
        <w:tc>
          <w:tcPr>
            <w:tcW w:w="1433" w:type="dxa"/>
            <w:shd w:val="clear" w:color="auto" w:fill="005386"/>
          </w:tcPr>
          <w:p w:rsidR="007D76BB" w:rsidRDefault="007D76BB">
            <w:pPr>
              <w:pStyle w:val="TableParagraph"/>
              <w:spacing w:before="7"/>
              <w:rPr>
                <w:rFonts w:ascii="Arial"/>
              </w:rPr>
            </w:pPr>
          </w:p>
          <w:p w:rsidR="007D76BB" w:rsidRDefault="00D70D28">
            <w:pPr>
              <w:pStyle w:val="TableParagraph"/>
              <w:ind w:left="314" w:right="182" w:hanging="96"/>
              <w:rPr>
                <w:rFonts w:ascii="Calibri"/>
                <w:b/>
                <w:sz w:val="16"/>
              </w:rPr>
            </w:pPr>
            <w:r>
              <w:rPr>
                <w:rFonts w:ascii="Calibri"/>
                <w:b/>
                <w:color w:val="FFFFFF"/>
                <w:sz w:val="16"/>
              </w:rPr>
              <w:t>Application (A) Ongoing (O)</w:t>
            </w:r>
          </w:p>
        </w:tc>
        <w:tc>
          <w:tcPr>
            <w:tcW w:w="1133" w:type="dxa"/>
            <w:shd w:val="clear" w:color="auto" w:fill="005386"/>
          </w:tcPr>
          <w:p w:rsidR="007D76BB" w:rsidRDefault="007D76BB">
            <w:pPr>
              <w:pStyle w:val="TableParagraph"/>
              <w:spacing w:before="3"/>
              <w:rPr>
                <w:rFonts w:ascii="Arial"/>
                <w:sz w:val="14"/>
              </w:rPr>
            </w:pPr>
          </w:p>
          <w:p w:rsidR="007D76BB" w:rsidRDefault="00D70D28">
            <w:pPr>
              <w:pStyle w:val="TableParagraph"/>
              <w:ind w:left="242" w:right="225" w:hanging="2"/>
              <w:jc w:val="center"/>
              <w:rPr>
                <w:rFonts w:ascii="Calibri" w:hAnsi="Calibri"/>
                <w:b/>
                <w:sz w:val="16"/>
              </w:rPr>
            </w:pPr>
            <w:r>
              <w:rPr>
                <w:rFonts w:ascii="Calibri" w:hAnsi="Calibri"/>
                <w:b/>
                <w:color w:val="FFFFFF"/>
                <w:sz w:val="16"/>
              </w:rPr>
              <w:t>Subtask – Time (minutes)</w:t>
            </w:r>
          </w:p>
        </w:tc>
        <w:tc>
          <w:tcPr>
            <w:tcW w:w="1873" w:type="dxa"/>
            <w:shd w:val="clear" w:color="auto" w:fill="005386"/>
          </w:tcPr>
          <w:p w:rsidR="007D76BB" w:rsidRDefault="007D76BB">
            <w:pPr>
              <w:pStyle w:val="TableParagraph"/>
              <w:rPr>
                <w:rFonts w:ascii="Arial"/>
                <w:sz w:val="16"/>
              </w:rPr>
            </w:pPr>
          </w:p>
          <w:p w:rsidR="007D76BB" w:rsidRDefault="007D76BB">
            <w:pPr>
              <w:pStyle w:val="TableParagraph"/>
              <w:spacing w:before="1"/>
              <w:rPr>
                <w:rFonts w:ascii="Arial"/>
                <w:sz w:val="15"/>
              </w:rPr>
            </w:pPr>
          </w:p>
          <w:p w:rsidR="007D76BB" w:rsidRDefault="00D70D28">
            <w:pPr>
              <w:pStyle w:val="TableParagraph"/>
              <w:spacing w:before="1"/>
              <w:ind w:left="627" w:right="608"/>
              <w:jc w:val="center"/>
              <w:rPr>
                <w:rFonts w:ascii="Calibri"/>
                <w:b/>
                <w:sz w:val="16"/>
              </w:rPr>
            </w:pPr>
            <w:r>
              <w:rPr>
                <w:rFonts w:ascii="Calibri"/>
                <w:b/>
                <w:color w:val="FFFFFF"/>
                <w:sz w:val="16"/>
              </w:rPr>
              <w:t>Remarks</w:t>
            </w:r>
          </w:p>
        </w:tc>
      </w:tr>
      <w:tr w:rsidR="007D76BB">
        <w:trPr>
          <w:trHeight w:val="311"/>
        </w:trPr>
        <w:tc>
          <w:tcPr>
            <w:tcW w:w="1692" w:type="dxa"/>
            <w:vMerge w:val="restart"/>
            <w:tcBorders>
              <w:bottom w:val="single" w:sz="4" w:space="0" w:color="000000"/>
            </w:tcBorders>
            <w:shd w:val="clear" w:color="auto" w:fill="D9D9D9"/>
          </w:tcPr>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spacing w:before="3"/>
              <w:rPr>
                <w:rFonts w:ascii="Arial"/>
                <w:sz w:val="16"/>
              </w:rPr>
            </w:pPr>
          </w:p>
          <w:p w:rsidR="007D76BB" w:rsidRDefault="00D70D28">
            <w:pPr>
              <w:pStyle w:val="TableParagraph"/>
              <w:ind w:left="107"/>
              <w:rPr>
                <w:rFonts w:ascii="Calibri"/>
                <w:sz w:val="16"/>
              </w:rPr>
            </w:pPr>
            <w:r>
              <w:rPr>
                <w:rFonts w:ascii="Calibri"/>
                <w:sz w:val="16"/>
              </w:rPr>
              <w:t xml:space="preserve">Create </w:t>
            </w:r>
            <w:proofErr w:type="spellStart"/>
            <w:r>
              <w:rPr>
                <w:rFonts w:ascii="Calibri"/>
                <w:sz w:val="16"/>
              </w:rPr>
              <w:t>eBS</w:t>
            </w:r>
            <w:proofErr w:type="spellEnd"/>
            <w:r>
              <w:rPr>
                <w:rFonts w:ascii="Calibri"/>
                <w:sz w:val="16"/>
              </w:rPr>
              <w:t xml:space="preserve"> Account</w:t>
            </w:r>
          </w:p>
        </w:tc>
        <w:tc>
          <w:tcPr>
            <w:tcW w:w="2693" w:type="dxa"/>
            <w:shd w:val="clear" w:color="auto" w:fill="D9D9D9"/>
          </w:tcPr>
          <w:p w:rsidR="007D76BB" w:rsidRDefault="00D70D28">
            <w:pPr>
              <w:pStyle w:val="TableParagraph"/>
              <w:spacing w:before="56"/>
              <w:ind w:left="107"/>
              <w:rPr>
                <w:rFonts w:ascii="Calibri"/>
                <w:sz w:val="16"/>
              </w:rPr>
            </w:pPr>
            <w:r>
              <w:rPr>
                <w:rFonts w:ascii="Calibri"/>
                <w:sz w:val="16"/>
              </w:rPr>
              <w:t xml:space="preserve">Become familiar with </w:t>
            </w:r>
            <w:proofErr w:type="spellStart"/>
            <w:r>
              <w:rPr>
                <w:rFonts w:ascii="Calibri"/>
                <w:sz w:val="16"/>
              </w:rPr>
              <w:t>eBS</w:t>
            </w:r>
            <w:proofErr w:type="spellEnd"/>
            <w:r>
              <w:rPr>
                <w:rFonts w:ascii="Calibri"/>
                <w:sz w:val="16"/>
              </w:rPr>
              <w:t xml:space="preserve"> Manual</w:t>
            </w:r>
          </w:p>
        </w:tc>
        <w:tc>
          <w:tcPr>
            <w:tcW w:w="1433" w:type="dxa"/>
            <w:shd w:val="clear" w:color="auto" w:fill="D9D9D9"/>
          </w:tcPr>
          <w:p w:rsidR="007D76BB" w:rsidRDefault="00D70D28">
            <w:pPr>
              <w:pStyle w:val="TableParagraph"/>
              <w:spacing w:before="56"/>
              <w:ind w:right="650"/>
              <w:jc w:val="right"/>
              <w:rPr>
                <w:rFonts w:ascii="Calibri"/>
                <w:sz w:val="16"/>
              </w:rPr>
            </w:pPr>
            <w:r>
              <w:rPr>
                <w:rFonts w:ascii="Calibri"/>
                <w:sz w:val="16"/>
              </w:rPr>
              <w:t>A</w:t>
            </w:r>
          </w:p>
        </w:tc>
        <w:tc>
          <w:tcPr>
            <w:tcW w:w="1133" w:type="dxa"/>
            <w:shd w:val="clear" w:color="auto" w:fill="D9D9D9"/>
          </w:tcPr>
          <w:p w:rsidR="007D76BB" w:rsidRDefault="00D70D28">
            <w:pPr>
              <w:pStyle w:val="TableParagraph"/>
              <w:spacing w:before="56"/>
              <w:ind w:right="88"/>
              <w:jc w:val="right"/>
              <w:rPr>
                <w:rFonts w:ascii="Calibri"/>
                <w:sz w:val="16"/>
              </w:rPr>
            </w:pPr>
            <w:r>
              <w:rPr>
                <w:rFonts w:ascii="Calibri"/>
                <w:sz w:val="16"/>
              </w:rPr>
              <w:t>0</w:t>
            </w:r>
          </w:p>
        </w:tc>
        <w:tc>
          <w:tcPr>
            <w:tcW w:w="1873" w:type="dxa"/>
            <w:vMerge w:val="restart"/>
            <w:tcBorders>
              <w:bottom w:val="single" w:sz="4" w:space="0" w:color="000000"/>
            </w:tcBorders>
            <w:shd w:val="clear" w:color="auto" w:fill="D9D9D9"/>
          </w:tcPr>
          <w:p w:rsidR="007D76BB" w:rsidRDefault="007D76BB">
            <w:pPr>
              <w:pStyle w:val="TableParagraph"/>
              <w:rPr>
                <w:rFonts w:ascii="Arial"/>
                <w:sz w:val="16"/>
              </w:rPr>
            </w:pPr>
          </w:p>
          <w:p w:rsidR="007D76BB" w:rsidRDefault="007D76BB">
            <w:pPr>
              <w:pStyle w:val="TableParagraph"/>
              <w:spacing w:before="8"/>
              <w:rPr>
                <w:rFonts w:ascii="Arial"/>
                <w:sz w:val="23"/>
              </w:rPr>
            </w:pPr>
          </w:p>
          <w:p w:rsidR="007D76BB" w:rsidRDefault="00D70D28">
            <w:pPr>
              <w:pStyle w:val="TableParagraph"/>
              <w:ind w:left="108" w:right="144"/>
              <w:rPr>
                <w:rFonts w:ascii="Calibri"/>
                <w:sz w:val="16"/>
              </w:rPr>
            </w:pPr>
            <w:r>
              <w:rPr>
                <w:rFonts w:ascii="Calibri"/>
                <w:sz w:val="16"/>
              </w:rPr>
              <w:t>Captured under sponsor timings</w:t>
            </w:r>
          </w:p>
        </w:tc>
      </w:tr>
      <w:tr w:rsidR="007D76BB">
        <w:trPr>
          <w:trHeight w:val="311"/>
        </w:trPr>
        <w:tc>
          <w:tcPr>
            <w:tcW w:w="1692" w:type="dxa"/>
            <w:vMerge/>
            <w:tcBorders>
              <w:top w:val="nil"/>
              <w:bottom w:val="single" w:sz="4" w:space="0" w:color="000000"/>
            </w:tcBorders>
            <w:shd w:val="clear" w:color="auto" w:fill="D9D9D9"/>
          </w:tcPr>
          <w:p w:rsidR="007D76BB" w:rsidRDefault="007D76BB">
            <w:pPr>
              <w:rPr>
                <w:sz w:val="2"/>
                <w:szCs w:val="2"/>
              </w:rPr>
            </w:pPr>
          </w:p>
        </w:tc>
        <w:tc>
          <w:tcPr>
            <w:tcW w:w="2693" w:type="dxa"/>
            <w:shd w:val="clear" w:color="auto" w:fill="D9D9D9"/>
          </w:tcPr>
          <w:p w:rsidR="007D76BB" w:rsidRDefault="00D70D28">
            <w:pPr>
              <w:pStyle w:val="TableParagraph"/>
              <w:spacing w:before="58"/>
              <w:ind w:left="107"/>
              <w:rPr>
                <w:rFonts w:ascii="Calibri"/>
                <w:sz w:val="16"/>
              </w:rPr>
            </w:pPr>
            <w:proofErr w:type="spellStart"/>
            <w:r>
              <w:rPr>
                <w:rFonts w:ascii="Calibri"/>
                <w:sz w:val="16"/>
              </w:rPr>
              <w:t>Organisation</w:t>
            </w:r>
            <w:proofErr w:type="spellEnd"/>
            <w:r>
              <w:rPr>
                <w:rFonts w:ascii="Calibri"/>
                <w:sz w:val="16"/>
              </w:rPr>
              <w:t xml:space="preserve"> Details Form</w:t>
            </w:r>
          </w:p>
        </w:tc>
        <w:tc>
          <w:tcPr>
            <w:tcW w:w="1433" w:type="dxa"/>
            <w:shd w:val="clear" w:color="auto" w:fill="D9D9D9"/>
          </w:tcPr>
          <w:p w:rsidR="007D76BB" w:rsidRDefault="00D70D28">
            <w:pPr>
              <w:pStyle w:val="TableParagraph"/>
              <w:spacing w:before="58"/>
              <w:ind w:right="650"/>
              <w:jc w:val="right"/>
              <w:rPr>
                <w:rFonts w:ascii="Calibri"/>
                <w:sz w:val="16"/>
              </w:rPr>
            </w:pPr>
            <w:r>
              <w:rPr>
                <w:rFonts w:ascii="Calibri"/>
                <w:sz w:val="16"/>
              </w:rPr>
              <w:t>A</w:t>
            </w:r>
          </w:p>
        </w:tc>
        <w:tc>
          <w:tcPr>
            <w:tcW w:w="1133" w:type="dxa"/>
            <w:shd w:val="clear" w:color="auto" w:fill="D9D9D9"/>
          </w:tcPr>
          <w:p w:rsidR="007D76BB" w:rsidRDefault="00D70D28">
            <w:pPr>
              <w:pStyle w:val="TableParagraph"/>
              <w:spacing w:before="58"/>
              <w:ind w:right="88"/>
              <w:jc w:val="right"/>
              <w:rPr>
                <w:rFonts w:ascii="Calibri"/>
                <w:sz w:val="16"/>
              </w:rPr>
            </w:pPr>
            <w:r>
              <w:rPr>
                <w:rFonts w:ascii="Calibri"/>
                <w:sz w:val="16"/>
              </w:rPr>
              <w:t>0</w:t>
            </w:r>
          </w:p>
        </w:tc>
        <w:tc>
          <w:tcPr>
            <w:tcW w:w="1873" w:type="dxa"/>
            <w:vMerge/>
            <w:tcBorders>
              <w:top w:val="nil"/>
              <w:bottom w:val="single" w:sz="4" w:space="0" w:color="000000"/>
            </w:tcBorders>
            <w:shd w:val="clear" w:color="auto" w:fill="D9D9D9"/>
          </w:tcPr>
          <w:p w:rsidR="007D76BB" w:rsidRDefault="007D76BB">
            <w:pPr>
              <w:rPr>
                <w:sz w:val="2"/>
                <w:szCs w:val="2"/>
              </w:rPr>
            </w:pPr>
          </w:p>
        </w:tc>
      </w:tr>
      <w:tr w:rsidR="007D76BB">
        <w:trPr>
          <w:trHeight w:val="313"/>
        </w:trPr>
        <w:tc>
          <w:tcPr>
            <w:tcW w:w="1692" w:type="dxa"/>
            <w:vMerge/>
            <w:tcBorders>
              <w:top w:val="nil"/>
              <w:bottom w:val="single" w:sz="4" w:space="0" w:color="000000"/>
            </w:tcBorders>
            <w:shd w:val="clear" w:color="auto" w:fill="D9D9D9"/>
          </w:tcPr>
          <w:p w:rsidR="007D76BB" w:rsidRDefault="007D76BB">
            <w:pPr>
              <w:rPr>
                <w:sz w:val="2"/>
                <w:szCs w:val="2"/>
              </w:rPr>
            </w:pPr>
          </w:p>
        </w:tc>
        <w:tc>
          <w:tcPr>
            <w:tcW w:w="2693" w:type="dxa"/>
            <w:shd w:val="clear" w:color="auto" w:fill="D9D9D9"/>
          </w:tcPr>
          <w:p w:rsidR="007D76BB" w:rsidRDefault="00D70D28">
            <w:pPr>
              <w:pStyle w:val="TableParagraph"/>
              <w:spacing w:before="58"/>
              <w:ind w:left="107"/>
              <w:rPr>
                <w:rFonts w:ascii="Calibri"/>
                <w:sz w:val="16"/>
              </w:rPr>
            </w:pPr>
            <w:proofErr w:type="spellStart"/>
            <w:r>
              <w:rPr>
                <w:rFonts w:ascii="Calibri"/>
                <w:sz w:val="16"/>
              </w:rPr>
              <w:t>eBS</w:t>
            </w:r>
            <w:proofErr w:type="spellEnd"/>
            <w:r>
              <w:rPr>
                <w:rFonts w:ascii="Calibri"/>
                <w:sz w:val="16"/>
              </w:rPr>
              <w:t xml:space="preserve"> Access Form</w:t>
            </w:r>
          </w:p>
        </w:tc>
        <w:tc>
          <w:tcPr>
            <w:tcW w:w="1433" w:type="dxa"/>
            <w:shd w:val="clear" w:color="auto" w:fill="D9D9D9"/>
          </w:tcPr>
          <w:p w:rsidR="007D76BB" w:rsidRDefault="00D70D28">
            <w:pPr>
              <w:pStyle w:val="TableParagraph"/>
              <w:spacing w:before="58"/>
              <w:ind w:right="650"/>
              <w:jc w:val="right"/>
              <w:rPr>
                <w:rFonts w:ascii="Calibri"/>
                <w:sz w:val="16"/>
              </w:rPr>
            </w:pPr>
            <w:r>
              <w:rPr>
                <w:rFonts w:ascii="Calibri"/>
                <w:sz w:val="16"/>
              </w:rPr>
              <w:t>A</w:t>
            </w:r>
          </w:p>
        </w:tc>
        <w:tc>
          <w:tcPr>
            <w:tcW w:w="1133" w:type="dxa"/>
            <w:shd w:val="clear" w:color="auto" w:fill="D9D9D9"/>
          </w:tcPr>
          <w:p w:rsidR="007D76BB" w:rsidRDefault="00D70D28">
            <w:pPr>
              <w:pStyle w:val="TableParagraph"/>
              <w:spacing w:before="58"/>
              <w:ind w:right="88"/>
              <w:jc w:val="right"/>
              <w:rPr>
                <w:rFonts w:ascii="Calibri"/>
                <w:sz w:val="16"/>
              </w:rPr>
            </w:pPr>
            <w:r>
              <w:rPr>
                <w:rFonts w:ascii="Calibri"/>
                <w:sz w:val="16"/>
              </w:rPr>
              <w:t>0</w:t>
            </w:r>
          </w:p>
        </w:tc>
        <w:tc>
          <w:tcPr>
            <w:tcW w:w="1873" w:type="dxa"/>
            <w:vMerge/>
            <w:tcBorders>
              <w:top w:val="nil"/>
              <w:bottom w:val="single" w:sz="4" w:space="0" w:color="000000"/>
            </w:tcBorders>
            <w:shd w:val="clear" w:color="auto" w:fill="D9D9D9"/>
          </w:tcPr>
          <w:p w:rsidR="007D76BB" w:rsidRDefault="007D76BB">
            <w:pPr>
              <w:rPr>
                <w:sz w:val="2"/>
                <w:szCs w:val="2"/>
              </w:rPr>
            </w:pPr>
          </w:p>
        </w:tc>
      </w:tr>
      <w:tr w:rsidR="007D76BB">
        <w:trPr>
          <w:trHeight w:val="311"/>
        </w:trPr>
        <w:tc>
          <w:tcPr>
            <w:tcW w:w="1692" w:type="dxa"/>
            <w:vMerge/>
            <w:tcBorders>
              <w:top w:val="nil"/>
              <w:bottom w:val="single" w:sz="4" w:space="0" w:color="000000"/>
            </w:tcBorders>
            <w:shd w:val="clear" w:color="auto" w:fill="D9D9D9"/>
          </w:tcPr>
          <w:p w:rsidR="007D76BB" w:rsidRDefault="007D76BB">
            <w:pPr>
              <w:rPr>
                <w:sz w:val="2"/>
                <w:szCs w:val="2"/>
              </w:rPr>
            </w:pPr>
          </w:p>
        </w:tc>
        <w:tc>
          <w:tcPr>
            <w:tcW w:w="2693" w:type="dxa"/>
            <w:shd w:val="clear" w:color="auto" w:fill="D9D9D9"/>
          </w:tcPr>
          <w:p w:rsidR="007D76BB" w:rsidRDefault="00D70D28">
            <w:pPr>
              <w:pStyle w:val="TableParagraph"/>
              <w:spacing w:before="56"/>
              <w:ind w:left="107"/>
              <w:rPr>
                <w:rFonts w:ascii="Calibri"/>
                <w:sz w:val="16"/>
              </w:rPr>
            </w:pPr>
            <w:r>
              <w:rPr>
                <w:rFonts w:ascii="Calibri"/>
                <w:sz w:val="16"/>
              </w:rPr>
              <w:t>Wait for account creation</w:t>
            </w:r>
          </w:p>
        </w:tc>
        <w:tc>
          <w:tcPr>
            <w:tcW w:w="1433" w:type="dxa"/>
            <w:shd w:val="clear" w:color="auto" w:fill="D9D9D9"/>
          </w:tcPr>
          <w:p w:rsidR="007D76BB" w:rsidRDefault="00D70D28">
            <w:pPr>
              <w:pStyle w:val="TableParagraph"/>
              <w:spacing w:before="56"/>
              <w:ind w:right="650"/>
              <w:jc w:val="right"/>
              <w:rPr>
                <w:rFonts w:ascii="Calibri"/>
                <w:sz w:val="16"/>
              </w:rPr>
            </w:pPr>
            <w:r>
              <w:rPr>
                <w:rFonts w:ascii="Calibri"/>
                <w:sz w:val="16"/>
              </w:rPr>
              <w:t>A</w:t>
            </w:r>
          </w:p>
        </w:tc>
        <w:tc>
          <w:tcPr>
            <w:tcW w:w="1133" w:type="dxa"/>
            <w:shd w:val="clear" w:color="auto" w:fill="D9D9D9"/>
          </w:tcPr>
          <w:p w:rsidR="007D76BB" w:rsidRDefault="00D70D28">
            <w:pPr>
              <w:pStyle w:val="TableParagraph"/>
              <w:spacing w:before="56"/>
              <w:ind w:right="88"/>
              <w:jc w:val="right"/>
              <w:rPr>
                <w:rFonts w:ascii="Calibri"/>
                <w:sz w:val="16"/>
              </w:rPr>
            </w:pPr>
            <w:r>
              <w:rPr>
                <w:rFonts w:ascii="Calibri"/>
                <w:sz w:val="16"/>
              </w:rPr>
              <w:t>0</w:t>
            </w:r>
          </w:p>
        </w:tc>
        <w:tc>
          <w:tcPr>
            <w:tcW w:w="1873" w:type="dxa"/>
            <w:vMerge/>
            <w:tcBorders>
              <w:top w:val="nil"/>
              <w:bottom w:val="single" w:sz="4" w:space="0" w:color="000000"/>
            </w:tcBorders>
            <w:shd w:val="clear" w:color="auto" w:fill="D9D9D9"/>
          </w:tcPr>
          <w:p w:rsidR="007D76BB" w:rsidRDefault="007D76BB">
            <w:pPr>
              <w:rPr>
                <w:sz w:val="2"/>
                <w:szCs w:val="2"/>
              </w:rPr>
            </w:pPr>
          </w:p>
        </w:tc>
      </w:tr>
      <w:tr w:rsidR="007D76BB">
        <w:trPr>
          <w:trHeight w:val="311"/>
        </w:trPr>
        <w:tc>
          <w:tcPr>
            <w:tcW w:w="1692" w:type="dxa"/>
            <w:vMerge w:val="restart"/>
            <w:tcBorders>
              <w:top w:val="single" w:sz="4" w:space="0" w:color="000000"/>
            </w:tcBorders>
          </w:tcPr>
          <w:p w:rsidR="007D76BB" w:rsidRDefault="007D76BB">
            <w:pPr>
              <w:pStyle w:val="TableParagraph"/>
              <w:rPr>
                <w:rFonts w:ascii="Arial"/>
                <w:sz w:val="17"/>
              </w:rPr>
            </w:pPr>
          </w:p>
          <w:p w:rsidR="007D76BB" w:rsidRDefault="00D70D28">
            <w:pPr>
              <w:pStyle w:val="TableParagraph"/>
              <w:ind w:left="107" w:right="76"/>
              <w:rPr>
                <w:rFonts w:ascii="Calibri"/>
                <w:sz w:val="16"/>
              </w:rPr>
            </w:pPr>
            <w:r>
              <w:rPr>
                <w:rFonts w:ascii="Calibri"/>
                <w:sz w:val="16"/>
              </w:rPr>
              <w:t>Determine Application Category</w:t>
            </w:r>
          </w:p>
        </w:tc>
        <w:tc>
          <w:tcPr>
            <w:tcW w:w="2693" w:type="dxa"/>
          </w:tcPr>
          <w:p w:rsidR="007D76BB" w:rsidRDefault="00D70D28">
            <w:pPr>
              <w:pStyle w:val="TableParagraph"/>
              <w:spacing w:before="59"/>
              <w:ind w:left="107"/>
              <w:rPr>
                <w:rFonts w:ascii="Calibri"/>
                <w:sz w:val="16"/>
              </w:rPr>
            </w:pPr>
            <w:r>
              <w:rPr>
                <w:rFonts w:ascii="Calibri"/>
                <w:sz w:val="16"/>
              </w:rPr>
              <w:t>Review category rules</w:t>
            </w:r>
          </w:p>
        </w:tc>
        <w:tc>
          <w:tcPr>
            <w:tcW w:w="1433" w:type="dxa"/>
          </w:tcPr>
          <w:p w:rsidR="007D76BB" w:rsidRDefault="00D70D28">
            <w:pPr>
              <w:pStyle w:val="TableParagraph"/>
              <w:spacing w:before="59"/>
              <w:ind w:right="650"/>
              <w:jc w:val="right"/>
              <w:rPr>
                <w:rFonts w:ascii="Calibri"/>
                <w:sz w:val="16"/>
              </w:rPr>
            </w:pPr>
            <w:r>
              <w:rPr>
                <w:rFonts w:ascii="Calibri"/>
                <w:sz w:val="16"/>
              </w:rPr>
              <w:t>A</w:t>
            </w:r>
          </w:p>
        </w:tc>
        <w:tc>
          <w:tcPr>
            <w:tcW w:w="1133" w:type="dxa"/>
          </w:tcPr>
          <w:p w:rsidR="007D76BB" w:rsidRDefault="00D70D28">
            <w:pPr>
              <w:pStyle w:val="TableParagraph"/>
              <w:spacing w:before="59"/>
              <w:ind w:right="88"/>
              <w:jc w:val="right"/>
              <w:rPr>
                <w:rFonts w:ascii="Calibri"/>
                <w:sz w:val="16"/>
              </w:rPr>
            </w:pPr>
            <w:r>
              <w:rPr>
                <w:rFonts w:ascii="Calibri"/>
                <w:sz w:val="16"/>
              </w:rPr>
              <w:t>0</w:t>
            </w:r>
          </w:p>
        </w:tc>
        <w:tc>
          <w:tcPr>
            <w:tcW w:w="1873" w:type="dxa"/>
            <w:vMerge w:val="restart"/>
            <w:tcBorders>
              <w:top w:val="single" w:sz="4" w:space="0" w:color="000000"/>
            </w:tcBorders>
          </w:tcPr>
          <w:p w:rsidR="007D76BB" w:rsidRDefault="00D70D28">
            <w:pPr>
              <w:pStyle w:val="TableParagraph"/>
              <w:ind w:left="108" w:right="286"/>
              <w:rPr>
                <w:rFonts w:ascii="Calibri"/>
                <w:sz w:val="16"/>
              </w:rPr>
            </w:pPr>
            <w:r>
              <w:rPr>
                <w:rFonts w:ascii="Calibri"/>
                <w:sz w:val="16"/>
              </w:rPr>
              <w:t>Assumed that all products will be listed rather than registered</w:t>
            </w:r>
          </w:p>
          <w:p w:rsidR="007D76BB" w:rsidRDefault="00D70D28">
            <w:pPr>
              <w:pStyle w:val="TableParagraph"/>
              <w:spacing w:line="177" w:lineRule="exact"/>
              <w:ind w:left="108"/>
              <w:rPr>
                <w:rFonts w:ascii="Calibri"/>
                <w:sz w:val="16"/>
              </w:rPr>
            </w:pPr>
            <w:r>
              <w:rPr>
                <w:rFonts w:ascii="Calibri"/>
                <w:sz w:val="16"/>
              </w:rPr>
              <w:t>medicines</w:t>
            </w:r>
          </w:p>
        </w:tc>
      </w:tr>
      <w:tr w:rsidR="007D76BB">
        <w:trPr>
          <w:trHeight w:val="450"/>
        </w:trPr>
        <w:tc>
          <w:tcPr>
            <w:tcW w:w="1692" w:type="dxa"/>
            <w:vMerge/>
            <w:tcBorders>
              <w:top w:val="nil"/>
            </w:tcBorders>
          </w:tcPr>
          <w:p w:rsidR="007D76BB" w:rsidRDefault="007D76BB">
            <w:pPr>
              <w:rPr>
                <w:sz w:val="2"/>
                <w:szCs w:val="2"/>
              </w:rPr>
            </w:pPr>
          </w:p>
        </w:tc>
        <w:tc>
          <w:tcPr>
            <w:tcW w:w="2693" w:type="dxa"/>
          </w:tcPr>
          <w:p w:rsidR="007D76BB" w:rsidRDefault="00D70D28">
            <w:pPr>
              <w:pStyle w:val="TableParagraph"/>
              <w:spacing w:before="125"/>
              <w:ind w:left="107"/>
              <w:rPr>
                <w:rFonts w:ascii="Calibri"/>
                <w:sz w:val="16"/>
              </w:rPr>
            </w:pPr>
            <w:r>
              <w:rPr>
                <w:rFonts w:ascii="Calibri"/>
                <w:sz w:val="16"/>
              </w:rPr>
              <w:t>Review product</w:t>
            </w:r>
          </w:p>
        </w:tc>
        <w:tc>
          <w:tcPr>
            <w:tcW w:w="1433" w:type="dxa"/>
          </w:tcPr>
          <w:p w:rsidR="007D76BB" w:rsidRDefault="00D70D28">
            <w:pPr>
              <w:pStyle w:val="TableParagraph"/>
              <w:spacing w:before="125"/>
              <w:ind w:right="650"/>
              <w:jc w:val="right"/>
              <w:rPr>
                <w:rFonts w:ascii="Calibri"/>
                <w:sz w:val="16"/>
              </w:rPr>
            </w:pPr>
            <w:r>
              <w:rPr>
                <w:rFonts w:ascii="Calibri"/>
                <w:sz w:val="16"/>
              </w:rPr>
              <w:t>A</w:t>
            </w:r>
          </w:p>
        </w:tc>
        <w:tc>
          <w:tcPr>
            <w:tcW w:w="1133" w:type="dxa"/>
          </w:tcPr>
          <w:p w:rsidR="007D76BB" w:rsidRDefault="00D70D28">
            <w:pPr>
              <w:pStyle w:val="TableParagraph"/>
              <w:spacing w:before="125"/>
              <w:ind w:right="88"/>
              <w:jc w:val="right"/>
              <w:rPr>
                <w:rFonts w:ascii="Calibri"/>
                <w:sz w:val="16"/>
              </w:rPr>
            </w:pPr>
            <w:r>
              <w:rPr>
                <w:rFonts w:ascii="Calibri"/>
                <w:sz w:val="16"/>
              </w:rPr>
              <w:t>0</w:t>
            </w:r>
          </w:p>
        </w:tc>
        <w:tc>
          <w:tcPr>
            <w:tcW w:w="1873" w:type="dxa"/>
            <w:vMerge/>
            <w:tcBorders>
              <w:top w:val="nil"/>
            </w:tcBorders>
          </w:tcPr>
          <w:p w:rsidR="007D76BB" w:rsidRDefault="007D76BB">
            <w:pPr>
              <w:rPr>
                <w:sz w:val="2"/>
                <w:szCs w:val="2"/>
              </w:rPr>
            </w:pPr>
          </w:p>
        </w:tc>
      </w:tr>
      <w:tr w:rsidR="007D76BB">
        <w:trPr>
          <w:trHeight w:val="390"/>
        </w:trPr>
        <w:tc>
          <w:tcPr>
            <w:tcW w:w="1692" w:type="dxa"/>
            <w:vMerge w:val="restart"/>
            <w:tcBorders>
              <w:bottom w:val="single" w:sz="4" w:space="0" w:color="000000"/>
            </w:tcBorders>
            <w:shd w:val="clear" w:color="auto" w:fill="D9D9D9"/>
          </w:tcPr>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spacing w:before="11"/>
              <w:rPr>
                <w:rFonts w:ascii="Arial"/>
                <w:sz w:val="12"/>
              </w:rPr>
            </w:pPr>
          </w:p>
          <w:p w:rsidR="007D76BB" w:rsidRDefault="00D70D28">
            <w:pPr>
              <w:pStyle w:val="TableParagraph"/>
              <w:ind w:left="107"/>
              <w:rPr>
                <w:rFonts w:ascii="Calibri"/>
                <w:sz w:val="16"/>
              </w:rPr>
            </w:pPr>
            <w:r>
              <w:rPr>
                <w:rFonts w:ascii="Calibri"/>
                <w:sz w:val="16"/>
              </w:rPr>
              <w:t>Product Evidence</w:t>
            </w:r>
          </w:p>
        </w:tc>
        <w:tc>
          <w:tcPr>
            <w:tcW w:w="2693" w:type="dxa"/>
            <w:shd w:val="clear" w:color="auto" w:fill="D9D9D9"/>
          </w:tcPr>
          <w:p w:rsidR="007D76BB" w:rsidRDefault="00D70D28">
            <w:pPr>
              <w:pStyle w:val="TableParagraph"/>
              <w:spacing w:line="193" w:lineRule="exact"/>
              <w:ind w:left="107"/>
              <w:rPr>
                <w:rFonts w:ascii="Calibri"/>
                <w:sz w:val="16"/>
              </w:rPr>
            </w:pPr>
            <w:r>
              <w:rPr>
                <w:rFonts w:ascii="Calibri"/>
                <w:sz w:val="16"/>
              </w:rPr>
              <w:t>Review listed medicines evidence</w:t>
            </w:r>
          </w:p>
          <w:p w:rsidR="007D76BB" w:rsidRDefault="00D70D28">
            <w:pPr>
              <w:pStyle w:val="TableParagraph"/>
              <w:spacing w:line="177" w:lineRule="exact"/>
              <w:ind w:left="107"/>
              <w:rPr>
                <w:rFonts w:ascii="Calibri"/>
                <w:sz w:val="10"/>
              </w:rPr>
            </w:pPr>
            <w:r>
              <w:rPr>
                <w:rFonts w:ascii="Calibri"/>
                <w:sz w:val="16"/>
              </w:rPr>
              <w:t>package checklists (6)</w:t>
            </w:r>
            <w:r>
              <w:rPr>
                <w:rFonts w:ascii="Calibri"/>
                <w:position w:val="5"/>
                <w:sz w:val="10"/>
              </w:rPr>
              <w:t>51</w:t>
            </w:r>
          </w:p>
        </w:tc>
        <w:tc>
          <w:tcPr>
            <w:tcW w:w="1433" w:type="dxa"/>
            <w:shd w:val="clear" w:color="auto" w:fill="D9D9D9"/>
          </w:tcPr>
          <w:p w:rsidR="007D76BB" w:rsidRDefault="00D70D28">
            <w:pPr>
              <w:pStyle w:val="TableParagraph"/>
              <w:spacing w:before="97"/>
              <w:ind w:right="650"/>
              <w:jc w:val="right"/>
              <w:rPr>
                <w:rFonts w:ascii="Calibri"/>
                <w:sz w:val="16"/>
              </w:rPr>
            </w:pPr>
            <w:r>
              <w:rPr>
                <w:rFonts w:ascii="Calibri"/>
                <w:sz w:val="16"/>
              </w:rPr>
              <w:t>A</w:t>
            </w:r>
          </w:p>
        </w:tc>
        <w:tc>
          <w:tcPr>
            <w:tcW w:w="1133" w:type="dxa"/>
            <w:shd w:val="clear" w:color="auto" w:fill="D9D9D9"/>
          </w:tcPr>
          <w:p w:rsidR="007D76BB" w:rsidRDefault="00D70D28">
            <w:pPr>
              <w:pStyle w:val="TableParagraph"/>
              <w:spacing w:before="97"/>
              <w:ind w:right="88"/>
              <w:jc w:val="right"/>
              <w:rPr>
                <w:rFonts w:ascii="Calibri"/>
                <w:sz w:val="16"/>
              </w:rPr>
            </w:pPr>
            <w:r>
              <w:rPr>
                <w:rFonts w:ascii="Calibri"/>
                <w:sz w:val="16"/>
              </w:rPr>
              <w:t>30</w:t>
            </w:r>
          </w:p>
        </w:tc>
        <w:tc>
          <w:tcPr>
            <w:tcW w:w="1873" w:type="dxa"/>
            <w:vMerge w:val="restart"/>
            <w:tcBorders>
              <w:bottom w:val="single" w:sz="4" w:space="0" w:color="000000"/>
            </w:tcBorders>
            <w:shd w:val="clear" w:color="auto" w:fill="D9D9D9"/>
          </w:tcPr>
          <w:p w:rsidR="007D76BB" w:rsidRDefault="007D76BB">
            <w:pPr>
              <w:pStyle w:val="TableParagraph"/>
              <w:rPr>
                <w:rFonts w:ascii="Times New Roman"/>
                <w:sz w:val="16"/>
              </w:rPr>
            </w:pPr>
          </w:p>
        </w:tc>
      </w:tr>
      <w:tr w:rsidR="007D76BB">
        <w:trPr>
          <w:trHeight w:val="390"/>
        </w:trPr>
        <w:tc>
          <w:tcPr>
            <w:tcW w:w="1692" w:type="dxa"/>
            <w:vMerge/>
            <w:tcBorders>
              <w:top w:val="nil"/>
              <w:bottom w:val="single" w:sz="4" w:space="0" w:color="000000"/>
            </w:tcBorders>
            <w:shd w:val="clear" w:color="auto" w:fill="D9D9D9"/>
          </w:tcPr>
          <w:p w:rsidR="007D76BB" w:rsidRDefault="007D76BB">
            <w:pPr>
              <w:rPr>
                <w:sz w:val="2"/>
                <w:szCs w:val="2"/>
              </w:rPr>
            </w:pPr>
          </w:p>
        </w:tc>
        <w:tc>
          <w:tcPr>
            <w:tcW w:w="2693" w:type="dxa"/>
            <w:shd w:val="clear" w:color="auto" w:fill="D9D9D9"/>
          </w:tcPr>
          <w:p w:rsidR="007D76BB" w:rsidRDefault="00D70D28">
            <w:pPr>
              <w:pStyle w:val="TableParagraph"/>
              <w:spacing w:line="194" w:lineRule="exact"/>
              <w:ind w:left="107"/>
              <w:rPr>
                <w:rFonts w:ascii="Calibri"/>
                <w:sz w:val="16"/>
              </w:rPr>
            </w:pPr>
            <w:r>
              <w:rPr>
                <w:rFonts w:ascii="Calibri"/>
                <w:sz w:val="16"/>
              </w:rPr>
              <w:t>Complete Checklist 1 - Evidence</w:t>
            </w:r>
          </w:p>
          <w:p w:rsidR="007D76BB" w:rsidRDefault="00D70D28">
            <w:pPr>
              <w:pStyle w:val="TableParagraph"/>
              <w:spacing w:before="1" w:line="175" w:lineRule="exact"/>
              <w:ind w:left="107"/>
              <w:rPr>
                <w:rFonts w:ascii="Calibri"/>
                <w:sz w:val="16"/>
              </w:rPr>
            </w:pPr>
            <w:r>
              <w:rPr>
                <w:rFonts w:ascii="Calibri"/>
                <w:sz w:val="16"/>
              </w:rPr>
              <w:t>Package Cover Page</w:t>
            </w:r>
          </w:p>
        </w:tc>
        <w:tc>
          <w:tcPr>
            <w:tcW w:w="1433" w:type="dxa"/>
            <w:shd w:val="clear" w:color="auto" w:fill="D9D9D9"/>
          </w:tcPr>
          <w:p w:rsidR="007D76BB" w:rsidRDefault="00D70D28">
            <w:pPr>
              <w:pStyle w:val="TableParagraph"/>
              <w:spacing w:before="97"/>
              <w:ind w:right="650"/>
              <w:jc w:val="right"/>
              <w:rPr>
                <w:rFonts w:ascii="Calibri"/>
                <w:sz w:val="16"/>
              </w:rPr>
            </w:pPr>
            <w:r>
              <w:rPr>
                <w:rFonts w:ascii="Calibri"/>
                <w:sz w:val="16"/>
              </w:rPr>
              <w:t>A</w:t>
            </w:r>
          </w:p>
        </w:tc>
        <w:tc>
          <w:tcPr>
            <w:tcW w:w="1133" w:type="dxa"/>
            <w:shd w:val="clear" w:color="auto" w:fill="D9D9D9"/>
          </w:tcPr>
          <w:p w:rsidR="007D76BB" w:rsidRDefault="00D70D28">
            <w:pPr>
              <w:pStyle w:val="TableParagraph"/>
              <w:spacing w:before="97"/>
              <w:ind w:right="88"/>
              <w:jc w:val="right"/>
              <w:rPr>
                <w:rFonts w:ascii="Calibri"/>
                <w:sz w:val="16"/>
              </w:rPr>
            </w:pPr>
            <w:r>
              <w:rPr>
                <w:rFonts w:ascii="Calibri"/>
                <w:sz w:val="16"/>
              </w:rPr>
              <w:t>60</w:t>
            </w:r>
          </w:p>
        </w:tc>
        <w:tc>
          <w:tcPr>
            <w:tcW w:w="1873" w:type="dxa"/>
            <w:vMerge/>
            <w:tcBorders>
              <w:top w:val="nil"/>
              <w:bottom w:val="single" w:sz="4" w:space="0" w:color="000000"/>
            </w:tcBorders>
            <w:shd w:val="clear" w:color="auto" w:fill="D9D9D9"/>
          </w:tcPr>
          <w:p w:rsidR="007D76BB" w:rsidRDefault="007D76BB">
            <w:pPr>
              <w:rPr>
                <w:sz w:val="2"/>
                <w:szCs w:val="2"/>
              </w:rPr>
            </w:pPr>
          </w:p>
        </w:tc>
      </w:tr>
      <w:tr w:rsidR="007D76BB">
        <w:trPr>
          <w:trHeight w:val="390"/>
        </w:trPr>
        <w:tc>
          <w:tcPr>
            <w:tcW w:w="1692" w:type="dxa"/>
            <w:vMerge/>
            <w:tcBorders>
              <w:top w:val="nil"/>
              <w:bottom w:val="single" w:sz="4" w:space="0" w:color="000000"/>
            </w:tcBorders>
            <w:shd w:val="clear" w:color="auto" w:fill="D9D9D9"/>
          </w:tcPr>
          <w:p w:rsidR="007D76BB" w:rsidRDefault="007D76BB">
            <w:pPr>
              <w:rPr>
                <w:sz w:val="2"/>
                <w:szCs w:val="2"/>
              </w:rPr>
            </w:pPr>
          </w:p>
        </w:tc>
        <w:tc>
          <w:tcPr>
            <w:tcW w:w="2693" w:type="dxa"/>
            <w:shd w:val="clear" w:color="auto" w:fill="D9D9D9"/>
          </w:tcPr>
          <w:p w:rsidR="007D76BB" w:rsidRDefault="00D70D28">
            <w:pPr>
              <w:pStyle w:val="TableParagraph"/>
              <w:spacing w:line="194" w:lineRule="exact"/>
              <w:ind w:left="107"/>
              <w:rPr>
                <w:rFonts w:ascii="Calibri" w:hAnsi="Calibri"/>
                <w:sz w:val="16"/>
              </w:rPr>
            </w:pPr>
            <w:r>
              <w:rPr>
                <w:rFonts w:ascii="Calibri" w:hAnsi="Calibri"/>
                <w:sz w:val="16"/>
              </w:rPr>
              <w:t>Complete Checklist 2 – Traditional</w:t>
            </w:r>
          </w:p>
          <w:p w:rsidR="007D76BB" w:rsidRDefault="00D70D28">
            <w:pPr>
              <w:pStyle w:val="TableParagraph"/>
              <w:spacing w:before="1" w:line="175" w:lineRule="exact"/>
              <w:ind w:left="107"/>
              <w:rPr>
                <w:rFonts w:ascii="Calibri"/>
                <w:sz w:val="16"/>
              </w:rPr>
            </w:pPr>
            <w:r>
              <w:rPr>
                <w:rFonts w:ascii="Calibri"/>
                <w:sz w:val="16"/>
              </w:rPr>
              <w:t>Use Literature Review</w:t>
            </w:r>
          </w:p>
        </w:tc>
        <w:tc>
          <w:tcPr>
            <w:tcW w:w="1433" w:type="dxa"/>
            <w:shd w:val="clear" w:color="auto" w:fill="D9D9D9"/>
          </w:tcPr>
          <w:p w:rsidR="007D76BB" w:rsidRDefault="00D70D28">
            <w:pPr>
              <w:pStyle w:val="TableParagraph"/>
              <w:spacing w:before="97"/>
              <w:ind w:right="650"/>
              <w:jc w:val="right"/>
              <w:rPr>
                <w:rFonts w:ascii="Calibri"/>
                <w:sz w:val="16"/>
              </w:rPr>
            </w:pPr>
            <w:r>
              <w:rPr>
                <w:rFonts w:ascii="Calibri"/>
                <w:sz w:val="16"/>
              </w:rPr>
              <w:t>A</w:t>
            </w:r>
          </w:p>
        </w:tc>
        <w:tc>
          <w:tcPr>
            <w:tcW w:w="1133" w:type="dxa"/>
            <w:shd w:val="clear" w:color="auto" w:fill="D9D9D9"/>
          </w:tcPr>
          <w:p w:rsidR="007D76BB" w:rsidRDefault="00D70D28">
            <w:pPr>
              <w:pStyle w:val="TableParagraph"/>
              <w:spacing w:before="97"/>
              <w:ind w:right="86"/>
              <w:jc w:val="right"/>
              <w:rPr>
                <w:rFonts w:ascii="Calibri"/>
                <w:sz w:val="16"/>
              </w:rPr>
            </w:pPr>
            <w:r>
              <w:rPr>
                <w:rFonts w:ascii="Calibri"/>
                <w:sz w:val="16"/>
              </w:rPr>
              <w:t>720</w:t>
            </w:r>
          </w:p>
        </w:tc>
        <w:tc>
          <w:tcPr>
            <w:tcW w:w="1873" w:type="dxa"/>
            <w:vMerge/>
            <w:tcBorders>
              <w:top w:val="nil"/>
              <w:bottom w:val="single" w:sz="4" w:space="0" w:color="000000"/>
            </w:tcBorders>
            <w:shd w:val="clear" w:color="auto" w:fill="D9D9D9"/>
          </w:tcPr>
          <w:p w:rsidR="007D76BB" w:rsidRDefault="007D76BB">
            <w:pPr>
              <w:rPr>
                <w:sz w:val="2"/>
                <w:szCs w:val="2"/>
              </w:rPr>
            </w:pPr>
          </w:p>
        </w:tc>
      </w:tr>
      <w:tr w:rsidR="007D76BB">
        <w:trPr>
          <w:trHeight w:val="390"/>
        </w:trPr>
        <w:tc>
          <w:tcPr>
            <w:tcW w:w="1692" w:type="dxa"/>
            <w:vMerge/>
            <w:tcBorders>
              <w:top w:val="nil"/>
              <w:bottom w:val="single" w:sz="4" w:space="0" w:color="000000"/>
            </w:tcBorders>
            <w:shd w:val="clear" w:color="auto" w:fill="D9D9D9"/>
          </w:tcPr>
          <w:p w:rsidR="007D76BB" w:rsidRDefault="007D76BB">
            <w:pPr>
              <w:rPr>
                <w:sz w:val="2"/>
                <w:szCs w:val="2"/>
              </w:rPr>
            </w:pPr>
          </w:p>
        </w:tc>
        <w:tc>
          <w:tcPr>
            <w:tcW w:w="2693" w:type="dxa"/>
            <w:shd w:val="clear" w:color="auto" w:fill="D9D9D9"/>
          </w:tcPr>
          <w:p w:rsidR="007D76BB" w:rsidRDefault="00D70D28">
            <w:pPr>
              <w:pStyle w:val="TableParagraph"/>
              <w:spacing w:line="194" w:lineRule="exact"/>
              <w:ind w:left="107"/>
              <w:rPr>
                <w:rFonts w:ascii="Calibri" w:hAnsi="Calibri"/>
                <w:sz w:val="16"/>
              </w:rPr>
            </w:pPr>
            <w:r>
              <w:rPr>
                <w:rFonts w:ascii="Calibri" w:hAnsi="Calibri"/>
                <w:sz w:val="16"/>
              </w:rPr>
              <w:t>Complete Checklist 3 – Literature</w:t>
            </w:r>
          </w:p>
          <w:p w:rsidR="007D76BB" w:rsidRDefault="00D70D28">
            <w:pPr>
              <w:pStyle w:val="TableParagraph"/>
              <w:spacing w:before="1" w:line="175" w:lineRule="exact"/>
              <w:ind w:left="107"/>
              <w:rPr>
                <w:rFonts w:ascii="Calibri"/>
                <w:sz w:val="16"/>
              </w:rPr>
            </w:pPr>
            <w:r>
              <w:rPr>
                <w:rFonts w:ascii="Calibri"/>
                <w:sz w:val="16"/>
              </w:rPr>
              <w:t>Review Evidence</w:t>
            </w:r>
          </w:p>
        </w:tc>
        <w:tc>
          <w:tcPr>
            <w:tcW w:w="1433" w:type="dxa"/>
            <w:shd w:val="clear" w:color="auto" w:fill="D9D9D9"/>
          </w:tcPr>
          <w:p w:rsidR="007D76BB" w:rsidRDefault="00D70D28">
            <w:pPr>
              <w:pStyle w:val="TableParagraph"/>
              <w:spacing w:before="97"/>
              <w:ind w:right="650"/>
              <w:jc w:val="right"/>
              <w:rPr>
                <w:rFonts w:ascii="Calibri"/>
                <w:sz w:val="16"/>
              </w:rPr>
            </w:pPr>
            <w:r>
              <w:rPr>
                <w:rFonts w:ascii="Calibri"/>
                <w:sz w:val="16"/>
              </w:rPr>
              <w:t>A</w:t>
            </w:r>
          </w:p>
        </w:tc>
        <w:tc>
          <w:tcPr>
            <w:tcW w:w="1133" w:type="dxa"/>
            <w:shd w:val="clear" w:color="auto" w:fill="D9D9D9"/>
          </w:tcPr>
          <w:p w:rsidR="007D76BB" w:rsidRDefault="00D70D28">
            <w:pPr>
              <w:pStyle w:val="TableParagraph"/>
              <w:spacing w:before="97"/>
              <w:ind w:right="86"/>
              <w:jc w:val="right"/>
              <w:rPr>
                <w:rFonts w:ascii="Calibri"/>
                <w:sz w:val="16"/>
              </w:rPr>
            </w:pPr>
            <w:r>
              <w:rPr>
                <w:rFonts w:ascii="Calibri"/>
                <w:sz w:val="16"/>
              </w:rPr>
              <w:t>960</w:t>
            </w:r>
          </w:p>
        </w:tc>
        <w:tc>
          <w:tcPr>
            <w:tcW w:w="1873" w:type="dxa"/>
            <w:vMerge/>
            <w:tcBorders>
              <w:top w:val="nil"/>
              <w:bottom w:val="single" w:sz="4" w:space="0" w:color="000000"/>
            </w:tcBorders>
            <w:shd w:val="clear" w:color="auto" w:fill="D9D9D9"/>
          </w:tcPr>
          <w:p w:rsidR="007D76BB" w:rsidRDefault="007D76BB">
            <w:pPr>
              <w:rPr>
                <w:sz w:val="2"/>
                <w:szCs w:val="2"/>
              </w:rPr>
            </w:pPr>
          </w:p>
        </w:tc>
      </w:tr>
      <w:tr w:rsidR="007D76BB">
        <w:trPr>
          <w:trHeight w:val="390"/>
        </w:trPr>
        <w:tc>
          <w:tcPr>
            <w:tcW w:w="1692" w:type="dxa"/>
            <w:vMerge/>
            <w:tcBorders>
              <w:top w:val="nil"/>
              <w:bottom w:val="single" w:sz="4" w:space="0" w:color="000000"/>
            </w:tcBorders>
            <w:shd w:val="clear" w:color="auto" w:fill="D9D9D9"/>
          </w:tcPr>
          <w:p w:rsidR="007D76BB" w:rsidRDefault="007D76BB">
            <w:pPr>
              <w:rPr>
                <w:sz w:val="2"/>
                <w:szCs w:val="2"/>
              </w:rPr>
            </w:pPr>
          </w:p>
        </w:tc>
        <w:tc>
          <w:tcPr>
            <w:tcW w:w="2693" w:type="dxa"/>
            <w:shd w:val="clear" w:color="auto" w:fill="D9D9D9"/>
          </w:tcPr>
          <w:p w:rsidR="007D76BB" w:rsidRDefault="00D70D28">
            <w:pPr>
              <w:pStyle w:val="TableParagraph"/>
              <w:spacing w:line="194" w:lineRule="exact"/>
              <w:ind w:left="107"/>
              <w:rPr>
                <w:rFonts w:ascii="Calibri" w:hAnsi="Calibri"/>
                <w:sz w:val="16"/>
              </w:rPr>
            </w:pPr>
            <w:r>
              <w:rPr>
                <w:rFonts w:ascii="Calibri" w:hAnsi="Calibri"/>
                <w:sz w:val="16"/>
              </w:rPr>
              <w:t>Complete Checklist 4 – Scientific</w:t>
            </w:r>
          </w:p>
          <w:p w:rsidR="007D76BB" w:rsidRDefault="00D70D28">
            <w:pPr>
              <w:pStyle w:val="TableParagraph"/>
              <w:spacing w:before="1" w:line="175" w:lineRule="exact"/>
              <w:ind w:left="107"/>
              <w:rPr>
                <w:rFonts w:ascii="Calibri"/>
                <w:sz w:val="10"/>
              </w:rPr>
            </w:pPr>
            <w:r>
              <w:rPr>
                <w:rFonts w:ascii="Calibri"/>
                <w:sz w:val="16"/>
              </w:rPr>
              <w:t>Literature Review</w:t>
            </w:r>
            <w:r>
              <w:rPr>
                <w:rFonts w:ascii="Calibri"/>
                <w:position w:val="5"/>
                <w:sz w:val="10"/>
              </w:rPr>
              <w:t>52</w:t>
            </w:r>
          </w:p>
        </w:tc>
        <w:tc>
          <w:tcPr>
            <w:tcW w:w="1433" w:type="dxa"/>
            <w:shd w:val="clear" w:color="auto" w:fill="D9D9D9"/>
          </w:tcPr>
          <w:p w:rsidR="007D76BB" w:rsidRDefault="00D70D28">
            <w:pPr>
              <w:pStyle w:val="TableParagraph"/>
              <w:spacing w:before="97"/>
              <w:ind w:right="650"/>
              <w:jc w:val="right"/>
              <w:rPr>
                <w:rFonts w:ascii="Calibri"/>
                <w:sz w:val="16"/>
              </w:rPr>
            </w:pPr>
            <w:r>
              <w:rPr>
                <w:rFonts w:ascii="Calibri"/>
                <w:sz w:val="16"/>
              </w:rPr>
              <w:t>A</w:t>
            </w:r>
          </w:p>
        </w:tc>
        <w:tc>
          <w:tcPr>
            <w:tcW w:w="1133" w:type="dxa"/>
            <w:shd w:val="clear" w:color="auto" w:fill="D9D9D9"/>
          </w:tcPr>
          <w:p w:rsidR="007D76BB" w:rsidRDefault="00D70D28">
            <w:pPr>
              <w:pStyle w:val="TableParagraph"/>
              <w:spacing w:before="97"/>
              <w:ind w:right="86"/>
              <w:jc w:val="right"/>
              <w:rPr>
                <w:rFonts w:ascii="Calibri"/>
                <w:sz w:val="16"/>
              </w:rPr>
            </w:pPr>
            <w:r>
              <w:rPr>
                <w:rFonts w:ascii="Calibri"/>
                <w:sz w:val="16"/>
              </w:rPr>
              <w:t>960</w:t>
            </w:r>
          </w:p>
        </w:tc>
        <w:tc>
          <w:tcPr>
            <w:tcW w:w="1873" w:type="dxa"/>
            <w:vMerge/>
            <w:tcBorders>
              <w:top w:val="nil"/>
              <w:bottom w:val="single" w:sz="4" w:space="0" w:color="000000"/>
            </w:tcBorders>
            <w:shd w:val="clear" w:color="auto" w:fill="D9D9D9"/>
          </w:tcPr>
          <w:p w:rsidR="007D76BB" w:rsidRDefault="007D76BB">
            <w:pPr>
              <w:rPr>
                <w:sz w:val="2"/>
                <w:szCs w:val="2"/>
              </w:rPr>
            </w:pPr>
          </w:p>
        </w:tc>
      </w:tr>
      <w:tr w:rsidR="007D76BB">
        <w:trPr>
          <w:trHeight w:val="390"/>
        </w:trPr>
        <w:tc>
          <w:tcPr>
            <w:tcW w:w="1692" w:type="dxa"/>
            <w:vMerge/>
            <w:tcBorders>
              <w:top w:val="nil"/>
              <w:bottom w:val="single" w:sz="4" w:space="0" w:color="000000"/>
            </w:tcBorders>
            <w:shd w:val="clear" w:color="auto" w:fill="D9D9D9"/>
          </w:tcPr>
          <w:p w:rsidR="007D76BB" w:rsidRDefault="007D76BB">
            <w:pPr>
              <w:rPr>
                <w:sz w:val="2"/>
                <w:szCs w:val="2"/>
              </w:rPr>
            </w:pPr>
          </w:p>
        </w:tc>
        <w:tc>
          <w:tcPr>
            <w:tcW w:w="2693" w:type="dxa"/>
            <w:shd w:val="clear" w:color="auto" w:fill="D9D9D9"/>
          </w:tcPr>
          <w:p w:rsidR="007D76BB" w:rsidRDefault="00D70D28">
            <w:pPr>
              <w:pStyle w:val="TableParagraph"/>
              <w:spacing w:before="1" w:line="195" w:lineRule="exact"/>
              <w:ind w:left="107"/>
              <w:rPr>
                <w:rFonts w:ascii="Calibri" w:hAnsi="Calibri"/>
                <w:sz w:val="16"/>
              </w:rPr>
            </w:pPr>
            <w:r>
              <w:rPr>
                <w:rFonts w:ascii="Calibri" w:hAnsi="Calibri"/>
                <w:sz w:val="16"/>
              </w:rPr>
              <w:t>Complete Checklist 5 – Evidence of</w:t>
            </w:r>
          </w:p>
          <w:p w:rsidR="007D76BB" w:rsidRDefault="00D70D28">
            <w:pPr>
              <w:pStyle w:val="TableParagraph"/>
              <w:spacing w:line="175" w:lineRule="exact"/>
              <w:ind w:left="107"/>
              <w:rPr>
                <w:rFonts w:ascii="Calibri"/>
                <w:sz w:val="16"/>
              </w:rPr>
            </w:pPr>
            <w:r>
              <w:rPr>
                <w:rFonts w:ascii="Calibri"/>
                <w:sz w:val="16"/>
              </w:rPr>
              <w:t>Traditional Use Summary</w:t>
            </w:r>
          </w:p>
        </w:tc>
        <w:tc>
          <w:tcPr>
            <w:tcW w:w="1433" w:type="dxa"/>
            <w:shd w:val="clear" w:color="auto" w:fill="D9D9D9"/>
          </w:tcPr>
          <w:p w:rsidR="007D76BB" w:rsidRDefault="00D70D28">
            <w:pPr>
              <w:pStyle w:val="TableParagraph"/>
              <w:spacing w:before="97"/>
              <w:ind w:right="650"/>
              <w:jc w:val="right"/>
              <w:rPr>
                <w:rFonts w:ascii="Calibri"/>
                <w:sz w:val="16"/>
              </w:rPr>
            </w:pPr>
            <w:r>
              <w:rPr>
                <w:rFonts w:ascii="Calibri"/>
                <w:sz w:val="16"/>
              </w:rPr>
              <w:t>A</w:t>
            </w:r>
          </w:p>
        </w:tc>
        <w:tc>
          <w:tcPr>
            <w:tcW w:w="1133" w:type="dxa"/>
            <w:shd w:val="clear" w:color="auto" w:fill="D9D9D9"/>
          </w:tcPr>
          <w:p w:rsidR="007D76BB" w:rsidRDefault="00D70D28">
            <w:pPr>
              <w:pStyle w:val="TableParagraph"/>
              <w:spacing w:before="97"/>
              <w:ind w:right="86"/>
              <w:jc w:val="right"/>
              <w:rPr>
                <w:rFonts w:ascii="Calibri"/>
                <w:sz w:val="16"/>
              </w:rPr>
            </w:pPr>
            <w:r>
              <w:rPr>
                <w:rFonts w:ascii="Calibri"/>
                <w:sz w:val="16"/>
              </w:rPr>
              <w:t>120</w:t>
            </w:r>
          </w:p>
        </w:tc>
        <w:tc>
          <w:tcPr>
            <w:tcW w:w="1873" w:type="dxa"/>
            <w:vMerge/>
            <w:tcBorders>
              <w:top w:val="nil"/>
              <w:bottom w:val="single" w:sz="4" w:space="0" w:color="000000"/>
            </w:tcBorders>
            <w:shd w:val="clear" w:color="auto" w:fill="D9D9D9"/>
          </w:tcPr>
          <w:p w:rsidR="007D76BB" w:rsidRDefault="007D76BB">
            <w:pPr>
              <w:rPr>
                <w:sz w:val="2"/>
                <w:szCs w:val="2"/>
              </w:rPr>
            </w:pPr>
          </w:p>
        </w:tc>
      </w:tr>
      <w:tr w:rsidR="007D76BB">
        <w:trPr>
          <w:trHeight w:val="979"/>
        </w:trPr>
        <w:tc>
          <w:tcPr>
            <w:tcW w:w="1692" w:type="dxa"/>
            <w:vMerge/>
            <w:tcBorders>
              <w:top w:val="nil"/>
              <w:bottom w:val="single" w:sz="4" w:space="0" w:color="000000"/>
            </w:tcBorders>
            <w:shd w:val="clear" w:color="auto" w:fill="D9D9D9"/>
          </w:tcPr>
          <w:p w:rsidR="007D76BB" w:rsidRDefault="007D76BB">
            <w:pPr>
              <w:rPr>
                <w:sz w:val="2"/>
                <w:szCs w:val="2"/>
              </w:rPr>
            </w:pPr>
          </w:p>
        </w:tc>
        <w:tc>
          <w:tcPr>
            <w:tcW w:w="2693" w:type="dxa"/>
            <w:shd w:val="clear" w:color="auto" w:fill="D9D9D9"/>
          </w:tcPr>
          <w:p w:rsidR="007D76BB" w:rsidRDefault="007D76BB">
            <w:pPr>
              <w:pStyle w:val="TableParagraph"/>
              <w:rPr>
                <w:rFonts w:ascii="Arial"/>
                <w:sz w:val="17"/>
              </w:rPr>
            </w:pPr>
          </w:p>
          <w:p w:rsidR="007D76BB" w:rsidRDefault="00D70D28">
            <w:pPr>
              <w:pStyle w:val="TableParagraph"/>
              <w:ind w:left="107"/>
              <w:rPr>
                <w:rFonts w:ascii="Calibri" w:hAnsi="Calibri"/>
                <w:sz w:val="16"/>
              </w:rPr>
            </w:pPr>
            <w:r>
              <w:rPr>
                <w:rFonts w:ascii="Calibri" w:hAnsi="Calibri"/>
                <w:sz w:val="16"/>
              </w:rPr>
              <w:t>Complete Checklist 6 – Evidence Summary for Scientific Indications</w:t>
            </w:r>
          </w:p>
        </w:tc>
        <w:tc>
          <w:tcPr>
            <w:tcW w:w="1433" w:type="dxa"/>
            <w:shd w:val="clear" w:color="auto" w:fill="D9D9D9"/>
          </w:tcPr>
          <w:p w:rsidR="007D76BB" w:rsidRDefault="007D76BB">
            <w:pPr>
              <w:pStyle w:val="TableParagraph"/>
              <w:rPr>
                <w:rFonts w:ascii="Arial"/>
                <w:sz w:val="16"/>
              </w:rPr>
            </w:pPr>
          </w:p>
          <w:p w:rsidR="007D76BB" w:rsidRDefault="007D76BB">
            <w:pPr>
              <w:pStyle w:val="TableParagraph"/>
              <w:rPr>
                <w:rFonts w:ascii="Arial"/>
                <w:sz w:val="16"/>
              </w:rPr>
            </w:pPr>
          </w:p>
          <w:p w:rsidR="007D76BB" w:rsidRDefault="00D70D28">
            <w:pPr>
              <w:pStyle w:val="TableParagraph"/>
              <w:spacing w:before="120"/>
              <w:ind w:right="650"/>
              <w:jc w:val="right"/>
              <w:rPr>
                <w:rFonts w:ascii="Calibri"/>
                <w:sz w:val="16"/>
              </w:rPr>
            </w:pPr>
            <w:r>
              <w:rPr>
                <w:rFonts w:ascii="Calibri"/>
                <w:sz w:val="16"/>
              </w:rPr>
              <w:t>A</w:t>
            </w:r>
          </w:p>
        </w:tc>
        <w:tc>
          <w:tcPr>
            <w:tcW w:w="1133" w:type="dxa"/>
            <w:shd w:val="clear" w:color="auto" w:fill="D9D9D9"/>
          </w:tcPr>
          <w:p w:rsidR="007D76BB" w:rsidRDefault="007D76BB">
            <w:pPr>
              <w:pStyle w:val="TableParagraph"/>
              <w:rPr>
                <w:rFonts w:ascii="Arial"/>
                <w:sz w:val="16"/>
              </w:rPr>
            </w:pPr>
          </w:p>
          <w:p w:rsidR="007D76BB" w:rsidRDefault="007D76BB">
            <w:pPr>
              <w:pStyle w:val="TableParagraph"/>
              <w:rPr>
                <w:rFonts w:ascii="Arial"/>
                <w:sz w:val="16"/>
              </w:rPr>
            </w:pPr>
          </w:p>
          <w:p w:rsidR="007D76BB" w:rsidRDefault="00D70D28">
            <w:pPr>
              <w:pStyle w:val="TableParagraph"/>
              <w:spacing w:before="120"/>
              <w:ind w:right="86"/>
              <w:jc w:val="right"/>
              <w:rPr>
                <w:rFonts w:ascii="Calibri"/>
                <w:sz w:val="16"/>
              </w:rPr>
            </w:pPr>
            <w:r>
              <w:rPr>
                <w:rFonts w:ascii="Calibri"/>
                <w:sz w:val="16"/>
              </w:rPr>
              <w:t>120</w:t>
            </w:r>
          </w:p>
        </w:tc>
        <w:tc>
          <w:tcPr>
            <w:tcW w:w="1873" w:type="dxa"/>
            <w:vMerge/>
            <w:tcBorders>
              <w:top w:val="nil"/>
              <w:bottom w:val="single" w:sz="4" w:space="0" w:color="000000"/>
            </w:tcBorders>
            <w:shd w:val="clear" w:color="auto" w:fill="D9D9D9"/>
          </w:tcPr>
          <w:p w:rsidR="007D76BB" w:rsidRDefault="007D76BB">
            <w:pPr>
              <w:rPr>
                <w:sz w:val="2"/>
                <w:szCs w:val="2"/>
              </w:rPr>
            </w:pPr>
          </w:p>
        </w:tc>
      </w:tr>
    </w:tbl>
    <w:p w:rsidR="007D76BB" w:rsidRDefault="007D76BB">
      <w:pPr>
        <w:pStyle w:val="BodyText"/>
        <w:rPr>
          <w:rFonts w:ascii="Arial"/>
          <w:sz w:val="20"/>
        </w:rPr>
      </w:pPr>
    </w:p>
    <w:p w:rsidR="007D76BB" w:rsidRDefault="00D70D28">
      <w:pPr>
        <w:pStyle w:val="BodyText"/>
        <w:spacing w:before="3"/>
        <w:rPr>
          <w:rFonts w:ascii="Arial"/>
          <w:sz w:val="23"/>
        </w:rPr>
      </w:pPr>
      <w:r>
        <w:rPr>
          <w:noProof/>
          <w:lang w:val="en-AU" w:eastAsia="en-AU"/>
        </w:rPr>
        <mc:AlternateContent>
          <mc:Choice Requires="wps">
            <w:drawing>
              <wp:anchor distT="0" distB="0" distL="0" distR="0" simplePos="0" relativeHeight="251726848" behindDoc="1" locked="0" layoutInCell="1" allowOverlap="1">
                <wp:simplePos x="0" y="0"/>
                <wp:positionH relativeFrom="page">
                  <wp:posOffset>1080770</wp:posOffset>
                </wp:positionH>
                <wp:positionV relativeFrom="paragraph">
                  <wp:posOffset>200660</wp:posOffset>
                </wp:positionV>
                <wp:extent cx="1829435" cy="1270"/>
                <wp:effectExtent l="0" t="0" r="0" b="0"/>
                <wp:wrapTopAndBottom/>
                <wp:docPr id="306"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50B5D" id="Freeform 162" o:spid="_x0000_s1026" style="position:absolute;margin-left:85.1pt;margin-top:15.8pt;width:144.05pt;height:.1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" path="m,l2880,e" filled="f" strokeweight=".84pt">
                <v:path arrowok="t" o:connecttype="custom" o:connectlocs="0,0;1828800,0" o:connectangles="0,0"/>
                <w10:wrap type="topAndBottom" anchorx="page"/>
              </v:shape>
            </w:pict>
          </mc:Fallback>
        </mc:AlternateContent>
      </w:r>
    </w:p>
    <w:p w:rsidR="007D76BB" w:rsidRDefault="00D70D28">
      <w:pPr>
        <w:spacing w:before="132"/>
        <w:ind w:left="482"/>
        <w:rPr>
          <w:rFonts w:ascii="Arial"/>
          <w:sz w:val="14"/>
        </w:rPr>
      </w:pPr>
      <w:r>
        <w:rPr>
          <w:rFonts w:ascii="Arial"/>
          <w:color w:val="5B6761"/>
          <w:w w:val="105"/>
          <w:position w:val="5"/>
          <w:sz w:val="8"/>
        </w:rPr>
        <w:t xml:space="preserve">49 </w:t>
      </w:r>
      <w:r>
        <w:rPr>
          <w:rFonts w:ascii="Arial"/>
          <w:color w:val="5B6761"/>
          <w:w w:val="105"/>
          <w:sz w:val="14"/>
        </w:rPr>
        <w:t>Working days (8 hours) used consistently throughout the document.</w:t>
      </w:r>
    </w:p>
    <w:p w:rsidR="007D76BB" w:rsidRDefault="00D70D28">
      <w:pPr>
        <w:spacing w:before="79" w:line="268" w:lineRule="auto"/>
        <w:ind w:left="594" w:right="844" w:hanging="113"/>
        <w:rPr>
          <w:rFonts w:ascii="Arial"/>
          <w:sz w:val="14"/>
        </w:rPr>
      </w:pPr>
      <w:r>
        <w:rPr>
          <w:rFonts w:ascii="Arial"/>
          <w:color w:val="5B6761"/>
          <w:w w:val="105"/>
          <w:position w:val="5"/>
          <w:sz w:val="8"/>
        </w:rPr>
        <w:t>50</w:t>
      </w:r>
      <w:r>
        <w:rPr>
          <w:rFonts w:ascii="Arial"/>
          <w:color w:val="5B6761"/>
          <w:spacing w:val="-1"/>
          <w:w w:val="105"/>
          <w:position w:val="5"/>
          <w:sz w:val="8"/>
        </w:rPr>
        <w:t xml:space="preserve"> </w:t>
      </w:r>
      <w:r>
        <w:rPr>
          <w:rFonts w:ascii="Arial"/>
          <w:color w:val="5B6761"/>
          <w:w w:val="105"/>
          <w:sz w:val="14"/>
        </w:rPr>
        <w:t>The</w:t>
      </w:r>
      <w:r>
        <w:rPr>
          <w:rFonts w:ascii="Arial"/>
          <w:color w:val="5B6761"/>
          <w:spacing w:val="-18"/>
          <w:w w:val="105"/>
          <w:sz w:val="14"/>
        </w:rPr>
        <w:t xml:space="preserve"> </w:t>
      </w:r>
      <w:r>
        <w:rPr>
          <w:rFonts w:ascii="Arial"/>
          <w:color w:val="5B6761"/>
          <w:w w:val="105"/>
          <w:sz w:val="14"/>
        </w:rPr>
        <w:t>format</w:t>
      </w:r>
      <w:r>
        <w:rPr>
          <w:rFonts w:ascii="Arial"/>
          <w:color w:val="5B6761"/>
          <w:spacing w:val="-17"/>
          <w:w w:val="105"/>
          <w:sz w:val="14"/>
        </w:rPr>
        <w:t xml:space="preserve"> </w:t>
      </w:r>
      <w:r>
        <w:rPr>
          <w:rFonts w:ascii="Arial"/>
          <w:color w:val="5B6761"/>
          <w:w w:val="105"/>
          <w:sz w:val="14"/>
        </w:rPr>
        <w:t>of</w:t>
      </w:r>
      <w:r>
        <w:rPr>
          <w:rFonts w:ascii="Arial"/>
          <w:color w:val="5B6761"/>
          <w:spacing w:val="-18"/>
          <w:w w:val="105"/>
          <w:sz w:val="14"/>
        </w:rPr>
        <w:t xml:space="preserve"> </w:t>
      </w:r>
      <w:r>
        <w:rPr>
          <w:rFonts w:ascii="Arial"/>
          <w:color w:val="5B6761"/>
          <w:w w:val="105"/>
          <w:sz w:val="14"/>
        </w:rPr>
        <w:t>this</w:t>
      </w:r>
      <w:r>
        <w:rPr>
          <w:rFonts w:ascii="Arial"/>
          <w:color w:val="5B6761"/>
          <w:spacing w:val="-18"/>
          <w:w w:val="105"/>
          <w:sz w:val="14"/>
        </w:rPr>
        <w:t xml:space="preserve"> </w:t>
      </w:r>
      <w:r>
        <w:rPr>
          <w:rFonts w:ascii="Arial"/>
          <w:color w:val="5B6761"/>
          <w:w w:val="105"/>
          <w:sz w:val="14"/>
        </w:rPr>
        <w:t>table</w:t>
      </w:r>
      <w:r>
        <w:rPr>
          <w:rFonts w:ascii="Arial"/>
          <w:color w:val="5B6761"/>
          <w:spacing w:val="-18"/>
          <w:w w:val="105"/>
          <w:sz w:val="14"/>
        </w:rPr>
        <w:t xml:space="preserve"> </w:t>
      </w:r>
      <w:r>
        <w:rPr>
          <w:rFonts w:ascii="Arial"/>
          <w:color w:val="5B6761"/>
          <w:w w:val="105"/>
          <w:sz w:val="14"/>
        </w:rPr>
        <w:t>was</w:t>
      </w:r>
      <w:r>
        <w:rPr>
          <w:rFonts w:ascii="Arial"/>
          <w:color w:val="5B6761"/>
          <w:spacing w:val="-18"/>
          <w:w w:val="105"/>
          <w:sz w:val="14"/>
        </w:rPr>
        <w:t xml:space="preserve"> </w:t>
      </w:r>
      <w:r>
        <w:rPr>
          <w:rFonts w:ascii="Arial"/>
          <w:color w:val="5B6761"/>
          <w:w w:val="105"/>
          <w:sz w:val="14"/>
        </w:rPr>
        <w:t>based</w:t>
      </w:r>
      <w:r>
        <w:rPr>
          <w:rFonts w:ascii="Arial"/>
          <w:color w:val="5B6761"/>
          <w:spacing w:val="-17"/>
          <w:w w:val="105"/>
          <w:sz w:val="14"/>
        </w:rPr>
        <w:t xml:space="preserve"> </w:t>
      </w:r>
      <w:r>
        <w:rPr>
          <w:rFonts w:ascii="Arial"/>
          <w:color w:val="5B6761"/>
          <w:w w:val="105"/>
          <w:sz w:val="14"/>
        </w:rPr>
        <w:t>on</w:t>
      </w:r>
      <w:r>
        <w:rPr>
          <w:rFonts w:ascii="Arial"/>
          <w:color w:val="5B6761"/>
          <w:spacing w:val="-19"/>
          <w:w w:val="105"/>
          <w:sz w:val="14"/>
        </w:rPr>
        <w:t xml:space="preserve"> </w:t>
      </w:r>
      <w:r>
        <w:rPr>
          <w:rFonts w:ascii="Arial"/>
          <w:color w:val="5B6761"/>
          <w:w w:val="105"/>
          <w:sz w:val="14"/>
        </w:rPr>
        <w:t>an</w:t>
      </w:r>
      <w:r>
        <w:rPr>
          <w:rFonts w:ascii="Arial"/>
          <w:color w:val="5B6761"/>
          <w:spacing w:val="-17"/>
          <w:w w:val="105"/>
          <w:sz w:val="14"/>
        </w:rPr>
        <w:t xml:space="preserve"> </w:t>
      </w:r>
      <w:r>
        <w:rPr>
          <w:rFonts w:ascii="Arial"/>
          <w:color w:val="5B6761"/>
          <w:w w:val="105"/>
          <w:sz w:val="14"/>
        </w:rPr>
        <w:t>assessment</w:t>
      </w:r>
      <w:r>
        <w:rPr>
          <w:rFonts w:ascii="Arial"/>
          <w:color w:val="5B6761"/>
          <w:spacing w:val="-17"/>
          <w:w w:val="105"/>
          <w:sz w:val="14"/>
        </w:rPr>
        <w:t xml:space="preserve"> </w:t>
      </w:r>
      <w:r>
        <w:rPr>
          <w:rFonts w:ascii="Arial"/>
          <w:color w:val="5B6761"/>
          <w:w w:val="105"/>
          <w:sz w:val="14"/>
        </w:rPr>
        <w:t>of</w:t>
      </w:r>
      <w:r>
        <w:rPr>
          <w:rFonts w:ascii="Arial"/>
          <w:color w:val="5B6761"/>
          <w:spacing w:val="-19"/>
          <w:w w:val="105"/>
          <w:sz w:val="14"/>
        </w:rPr>
        <w:t xml:space="preserve"> </w:t>
      </w:r>
      <w:r>
        <w:rPr>
          <w:rFonts w:ascii="Arial"/>
          <w:color w:val="5B6761"/>
          <w:w w:val="105"/>
          <w:sz w:val="14"/>
        </w:rPr>
        <w:t>the</w:t>
      </w:r>
      <w:r>
        <w:rPr>
          <w:rFonts w:ascii="Arial"/>
          <w:color w:val="5B6761"/>
          <w:spacing w:val="-18"/>
          <w:w w:val="105"/>
          <w:sz w:val="14"/>
        </w:rPr>
        <w:t xml:space="preserve"> </w:t>
      </w:r>
      <w:r>
        <w:rPr>
          <w:rFonts w:ascii="Arial"/>
          <w:color w:val="5B6761"/>
          <w:w w:val="105"/>
          <w:sz w:val="14"/>
        </w:rPr>
        <w:t>activities</w:t>
      </w:r>
      <w:r>
        <w:rPr>
          <w:rFonts w:ascii="Arial"/>
          <w:color w:val="5B6761"/>
          <w:spacing w:val="-18"/>
          <w:w w:val="105"/>
          <w:sz w:val="14"/>
        </w:rPr>
        <w:t xml:space="preserve"> </w:t>
      </w:r>
      <w:r>
        <w:rPr>
          <w:rFonts w:ascii="Arial"/>
          <w:color w:val="5B6761"/>
          <w:w w:val="105"/>
          <w:sz w:val="14"/>
        </w:rPr>
        <w:t>(and</w:t>
      </w:r>
      <w:r>
        <w:rPr>
          <w:rFonts w:ascii="Arial"/>
          <w:color w:val="5B6761"/>
          <w:spacing w:val="-18"/>
          <w:w w:val="105"/>
          <w:sz w:val="14"/>
        </w:rPr>
        <w:t xml:space="preserve"> </w:t>
      </w:r>
      <w:r>
        <w:rPr>
          <w:rFonts w:ascii="Arial"/>
          <w:color w:val="5B6761"/>
          <w:w w:val="105"/>
          <w:sz w:val="14"/>
        </w:rPr>
        <w:t>associated</w:t>
      </w:r>
      <w:r>
        <w:rPr>
          <w:rFonts w:ascii="Arial"/>
          <w:color w:val="5B6761"/>
          <w:spacing w:val="-17"/>
          <w:w w:val="105"/>
          <w:sz w:val="14"/>
        </w:rPr>
        <w:t xml:space="preserve"> </w:t>
      </w:r>
      <w:r>
        <w:rPr>
          <w:rFonts w:ascii="Arial"/>
          <w:color w:val="5B6761"/>
          <w:w w:val="105"/>
          <w:sz w:val="14"/>
        </w:rPr>
        <w:t>time)</w:t>
      </w:r>
      <w:r>
        <w:rPr>
          <w:rFonts w:ascii="Arial"/>
          <w:color w:val="5B6761"/>
          <w:spacing w:val="-18"/>
          <w:w w:val="105"/>
          <w:sz w:val="14"/>
        </w:rPr>
        <w:t xml:space="preserve"> </w:t>
      </w:r>
      <w:r>
        <w:rPr>
          <w:rFonts w:ascii="Arial"/>
          <w:color w:val="5B6761"/>
          <w:w w:val="105"/>
          <w:sz w:val="14"/>
        </w:rPr>
        <w:t>required</w:t>
      </w:r>
      <w:r>
        <w:rPr>
          <w:rFonts w:ascii="Arial"/>
          <w:color w:val="5B6761"/>
          <w:spacing w:val="-17"/>
          <w:w w:val="105"/>
          <w:sz w:val="14"/>
        </w:rPr>
        <w:t xml:space="preserve"> </w:t>
      </w:r>
      <w:r>
        <w:rPr>
          <w:rFonts w:ascii="Arial"/>
          <w:color w:val="5B6761"/>
          <w:w w:val="105"/>
          <w:sz w:val="14"/>
        </w:rPr>
        <w:t>to</w:t>
      </w:r>
      <w:r>
        <w:rPr>
          <w:rFonts w:ascii="Arial"/>
          <w:color w:val="5B6761"/>
          <w:spacing w:val="-19"/>
          <w:w w:val="105"/>
          <w:sz w:val="14"/>
        </w:rPr>
        <w:t xml:space="preserve"> </w:t>
      </w:r>
      <w:r>
        <w:rPr>
          <w:rFonts w:ascii="Arial"/>
          <w:color w:val="5B6761"/>
          <w:w w:val="105"/>
          <w:sz w:val="14"/>
        </w:rPr>
        <w:t>list</w:t>
      </w:r>
      <w:r>
        <w:rPr>
          <w:rFonts w:ascii="Arial"/>
          <w:color w:val="5B6761"/>
          <w:spacing w:val="-17"/>
          <w:w w:val="105"/>
          <w:sz w:val="14"/>
        </w:rPr>
        <w:t xml:space="preserve"> </w:t>
      </w:r>
      <w:r>
        <w:rPr>
          <w:rFonts w:ascii="Arial"/>
          <w:color w:val="5B6761"/>
          <w:w w:val="105"/>
          <w:sz w:val="14"/>
        </w:rPr>
        <w:t>a</w:t>
      </w:r>
      <w:r>
        <w:rPr>
          <w:rFonts w:ascii="Arial"/>
          <w:color w:val="5B6761"/>
          <w:spacing w:val="-17"/>
          <w:w w:val="105"/>
          <w:sz w:val="14"/>
        </w:rPr>
        <w:t xml:space="preserve"> </w:t>
      </w:r>
      <w:r>
        <w:rPr>
          <w:rFonts w:ascii="Arial"/>
          <w:color w:val="5B6761"/>
          <w:w w:val="105"/>
          <w:sz w:val="14"/>
        </w:rPr>
        <w:t>medical</w:t>
      </w:r>
      <w:r>
        <w:rPr>
          <w:rFonts w:ascii="Arial"/>
          <w:color w:val="5B6761"/>
          <w:spacing w:val="-17"/>
          <w:w w:val="105"/>
          <w:sz w:val="14"/>
        </w:rPr>
        <w:t xml:space="preserve"> </w:t>
      </w:r>
      <w:r>
        <w:rPr>
          <w:rFonts w:ascii="Arial"/>
          <w:color w:val="5B6761"/>
          <w:w w:val="105"/>
          <w:sz w:val="14"/>
        </w:rPr>
        <w:t>device</w:t>
      </w:r>
      <w:r>
        <w:rPr>
          <w:rFonts w:ascii="Arial"/>
          <w:color w:val="5B6761"/>
          <w:spacing w:val="-19"/>
          <w:w w:val="105"/>
          <w:sz w:val="14"/>
        </w:rPr>
        <w:t xml:space="preserve"> </w:t>
      </w:r>
      <w:r>
        <w:rPr>
          <w:rFonts w:ascii="Arial"/>
          <w:color w:val="5B6761"/>
          <w:w w:val="105"/>
          <w:sz w:val="14"/>
        </w:rPr>
        <w:t>on</w:t>
      </w:r>
      <w:r>
        <w:rPr>
          <w:rFonts w:ascii="Arial"/>
          <w:color w:val="5B6761"/>
          <w:spacing w:val="-17"/>
          <w:w w:val="105"/>
          <w:sz w:val="14"/>
        </w:rPr>
        <w:t xml:space="preserve"> </w:t>
      </w:r>
      <w:r>
        <w:rPr>
          <w:rFonts w:ascii="Arial"/>
          <w:color w:val="5B6761"/>
          <w:w w:val="105"/>
          <w:sz w:val="14"/>
        </w:rPr>
        <w:t>the ARTG previously agreed by OBPR (and TGA) and modified in accordance with the Australian Regulatory Guidelines for Complementary</w:t>
      </w:r>
      <w:r>
        <w:rPr>
          <w:rFonts w:ascii="Arial"/>
          <w:color w:val="5B6761"/>
          <w:spacing w:val="-25"/>
          <w:w w:val="105"/>
          <w:sz w:val="14"/>
        </w:rPr>
        <w:t xml:space="preserve"> </w:t>
      </w:r>
      <w:r>
        <w:rPr>
          <w:rFonts w:ascii="Arial"/>
          <w:color w:val="5B6761"/>
          <w:w w:val="105"/>
          <w:sz w:val="14"/>
        </w:rPr>
        <w:t>Medicines</w:t>
      </w:r>
      <w:r>
        <w:rPr>
          <w:rFonts w:ascii="Arial"/>
          <w:color w:val="5B6761"/>
          <w:spacing w:val="-24"/>
          <w:w w:val="105"/>
          <w:sz w:val="14"/>
        </w:rPr>
        <w:t xml:space="preserve"> </w:t>
      </w:r>
      <w:r>
        <w:rPr>
          <w:rFonts w:ascii="Arial"/>
          <w:color w:val="5B6761"/>
          <w:w w:val="105"/>
          <w:sz w:val="14"/>
        </w:rPr>
        <w:t>(ARGCM).</w:t>
      </w:r>
      <w:r>
        <w:rPr>
          <w:rFonts w:ascii="Arial"/>
          <w:color w:val="5B6761"/>
          <w:spacing w:val="-25"/>
          <w:w w:val="105"/>
          <w:sz w:val="14"/>
        </w:rPr>
        <w:t xml:space="preserve"> </w:t>
      </w:r>
      <w:r>
        <w:rPr>
          <w:rFonts w:ascii="Arial"/>
          <w:color w:val="5B6761"/>
          <w:w w:val="105"/>
          <w:sz w:val="14"/>
        </w:rPr>
        <w:t>This</w:t>
      </w:r>
      <w:r>
        <w:rPr>
          <w:rFonts w:ascii="Arial"/>
          <w:color w:val="5B6761"/>
          <w:spacing w:val="-24"/>
          <w:w w:val="105"/>
          <w:sz w:val="14"/>
        </w:rPr>
        <w:t xml:space="preserve"> </w:t>
      </w:r>
      <w:r>
        <w:rPr>
          <w:rFonts w:ascii="Arial"/>
          <w:color w:val="5B6761"/>
          <w:w w:val="105"/>
          <w:sz w:val="14"/>
        </w:rPr>
        <w:t>table</w:t>
      </w:r>
      <w:r>
        <w:rPr>
          <w:rFonts w:ascii="Arial"/>
          <w:color w:val="5B6761"/>
          <w:spacing w:val="-26"/>
          <w:w w:val="105"/>
          <w:sz w:val="14"/>
        </w:rPr>
        <w:t xml:space="preserve"> </w:t>
      </w:r>
      <w:r>
        <w:rPr>
          <w:rFonts w:ascii="Arial"/>
          <w:color w:val="5B6761"/>
          <w:w w:val="105"/>
          <w:sz w:val="14"/>
        </w:rPr>
        <w:t>has</w:t>
      </w:r>
      <w:r>
        <w:rPr>
          <w:rFonts w:ascii="Arial"/>
          <w:color w:val="5B6761"/>
          <w:spacing w:val="-24"/>
          <w:w w:val="105"/>
          <w:sz w:val="14"/>
        </w:rPr>
        <w:t xml:space="preserve"> </w:t>
      </w:r>
      <w:r>
        <w:rPr>
          <w:rFonts w:ascii="Arial"/>
          <w:color w:val="5B6761"/>
          <w:w w:val="105"/>
          <w:sz w:val="14"/>
        </w:rPr>
        <w:t>been</w:t>
      </w:r>
      <w:r>
        <w:rPr>
          <w:rFonts w:ascii="Arial"/>
          <w:color w:val="5B6761"/>
          <w:spacing w:val="-25"/>
          <w:w w:val="105"/>
          <w:sz w:val="14"/>
        </w:rPr>
        <w:t xml:space="preserve"> </w:t>
      </w:r>
      <w:r>
        <w:rPr>
          <w:rFonts w:ascii="Arial"/>
          <w:color w:val="5B6761"/>
          <w:w w:val="105"/>
          <w:sz w:val="14"/>
        </w:rPr>
        <w:t>reviewed</w:t>
      </w:r>
      <w:r>
        <w:rPr>
          <w:rFonts w:ascii="Arial"/>
          <w:color w:val="5B6761"/>
          <w:spacing w:val="-24"/>
          <w:w w:val="105"/>
          <w:sz w:val="14"/>
        </w:rPr>
        <w:t xml:space="preserve"> </w:t>
      </w:r>
      <w:r>
        <w:rPr>
          <w:rFonts w:ascii="Arial"/>
          <w:color w:val="5B6761"/>
          <w:w w:val="105"/>
          <w:sz w:val="14"/>
        </w:rPr>
        <w:t>by</w:t>
      </w:r>
      <w:r>
        <w:rPr>
          <w:rFonts w:ascii="Arial"/>
          <w:color w:val="5B6761"/>
          <w:spacing w:val="-26"/>
          <w:w w:val="105"/>
          <w:sz w:val="14"/>
        </w:rPr>
        <w:t xml:space="preserve"> </w:t>
      </w:r>
      <w:r>
        <w:rPr>
          <w:rFonts w:ascii="Arial"/>
          <w:color w:val="5B6761"/>
          <w:w w:val="105"/>
          <w:sz w:val="14"/>
        </w:rPr>
        <w:t>the</w:t>
      </w:r>
      <w:r>
        <w:rPr>
          <w:rFonts w:ascii="Arial"/>
          <w:color w:val="5B6761"/>
          <w:spacing w:val="-25"/>
          <w:w w:val="105"/>
          <w:sz w:val="14"/>
        </w:rPr>
        <w:t xml:space="preserve"> </w:t>
      </w:r>
      <w:r>
        <w:rPr>
          <w:rFonts w:ascii="Arial"/>
          <w:color w:val="5B6761"/>
          <w:w w:val="105"/>
          <w:sz w:val="14"/>
        </w:rPr>
        <w:t>TGA</w:t>
      </w:r>
      <w:r>
        <w:rPr>
          <w:rFonts w:ascii="Arial"/>
          <w:color w:val="5B6761"/>
          <w:spacing w:val="-25"/>
          <w:w w:val="105"/>
          <w:sz w:val="14"/>
        </w:rPr>
        <w:t xml:space="preserve"> </w:t>
      </w:r>
      <w:r>
        <w:rPr>
          <w:rFonts w:ascii="Arial"/>
          <w:color w:val="5B6761"/>
          <w:w w:val="105"/>
          <w:sz w:val="14"/>
        </w:rPr>
        <w:t>and</w:t>
      </w:r>
      <w:r>
        <w:rPr>
          <w:rFonts w:ascii="Arial"/>
          <w:color w:val="5B6761"/>
          <w:spacing w:val="-24"/>
          <w:w w:val="105"/>
          <w:sz w:val="14"/>
        </w:rPr>
        <w:t xml:space="preserve"> </w:t>
      </w:r>
      <w:r>
        <w:rPr>
          <w:rFonts w:ascii="Arial"/>
          <w:color w:val="5B6761"/>
          <w:w w:val="105"/>
          <w:sz w:val="14"/>
        </w:rPr>
        <w:t>modified</w:t>
      </w:r>
      <w:r>
        <w:rPr>
          <w:rFonts w:ascii="Arial"/>
          <w:color w:val="5B6761"/>
          <w:spacing w:val="-25"/>
          <w:w w:val="105"/>
          <w:sz w:val="14"/>
        </w:rPr>
        <w:t xml:space="preserve"> </w:t>
      </w:r>
      <w:r>
        <w:rPr>
          <w:rFonts w:ascii="Arial"/>
          <w:color w:val="5B6761"/>
          <w:w w:val="105"/>
          <w:sz w:val="14"/>
        </w:rPr>
        <w:t>in</w:t>
      </w:r>
      <w:r>
        <w:rPr>
          <w:rFonts w:ascii="Arial"/>
          <w:color w:val="5B6761"/>
          <w:spacing w:val="-25"/>
          <w:w w:val="105"/>
          <w:sz w:val="14"/>
        </w:rPr>
        <w:t xml:space="preserve"> </w:t>
      </w:r>
      <w:r>
        <w:rPr>
          <w:rFonts w:ascii="Arial"/>
          <w:color w:val="5B6761"/>
          <w:w w:val="105"/>
          <w:sz w:val="14"/>
        </w:rPr>
        <w:t>accordance</w:t>
      </w:r>
      <w:r>
        <w:rPr>
          <w:rFonts w:ascii="Arial"/>
          <w:color w:val="5B6761"/>
          <w:spacing w:val="-26"/>
          <w:w w:val="105"/>
          <w:sz w:val="14"/>
        </w:rPr>
        <w:t xml:space="preserve"> </w:t>
      </w:r>
      <w:r>
        <w:rPr>
          <w:rFonts w:ascii="Arial"/>
          <w:color w:val="5B6761"/>
          <w:w w:val="105"/>
          <w:sz w:val="14"/>
        </w:rPr>
        <w:t>with</w:t>
      </w:r>
      <w:r>
        <w:rPr>
          <w:rFonts w:ascii="Arial"/>
          <w:color w:val="5B6761"/>
          <w:spacing w:val="-25"/>
          <w:w w:val="105"/>
          <w:sz w:val="14"/>
        </w:rPr>
        <w:t xml:space="preserve"> </w:t>
      </w:r>
      <w:r>
        <w:rPr>
          <w:rFonts w:ascii="Arial"/>
          <w:color w:val="5B6761"/>
          <w:w w:val="105"/>
          <w:sz w:val="14"/>
        </w:rPr>
        <w:t>the</w:t>
      </w:r>
      <w:r>
        <w:rPr>
          <w:rFonts w:ascii="Arial"/>
          <w:color w:val="5B6761"/>
          <w:spacing w:val="-26"/>
          <w:w w:val="105"/>
          <w:sz w:val="14"/>
        </w:rPr>
        <w:t xml:space="preserve"> </w:t>
      </w:r>
      <w:r>
        <w:rPr>
          <w:rFonts w:ascii="Arial"/>
          <w:color w:val="5B6761"/>
          <w:w w:val="105"/>
          <w:sz w:val="14"/>
        </w:rPr>
        <w:t>advice</w:t>
      </w:r>
      <w:r>
        <w:rPr>
          <w:rFonts w:ascii="Arial"/>
          <w:color w:val="5B6761"/>
          <w:spacing w:val="-25"/>
          <w:w w:val="105"/>
          <w:sz w:val="14"/>
        </w:rPr>
        <w:t xml:space="preserve"> </w:t>
      </w:r>
      <w:r>
        <w:rPr>
          <w:rFonts w:ascii="Arial"/>
          <w:color w:val="5B6761"/>
          <w:w w:val="105"/>
          <w:sz w:val="14"/>
        </w:rPr>
        <w:t>given.</w:t>
      </w:r>
    </w:p>
    <w:p w:rsidR="007D76BB" w:rsidRDefault="00D70D28">
      <w:pPr>
        <w:spacing w:before="59"/>
        <w:ind w:left="482"/>
        <w:rPr>
          <w:rFonts w:ascii="Arial"/>
          <w:sz w:val="14"/>
        </w:rPr>
      </w:pPr>
      <w:r>
        <w:rPr>
          <w:rFonts w:ascii="Arial"/>
          <w:color w:val="5B6761"/>
          <w:spacing w:val="1"/>
          <w:w w:val="88"/>
          <w:position w:val="5"/>
          <w:sz w:val="8"/>
        </w:rPr>
        <w:t>5</w:t>
      </w:r>
      <w:r>
        <w:rPr>
          <w:rFonts w:ascii="Arial"/>
          <w:color w:val="5B6761"/>
          <w:w w:val="88"/>
          <w:position w:val="5"/>
          <w:sz w:val="8"/>
        </w:rPr>
        <w:t>1</w:t>
      </w:r>
      <w:r>
        <w:rPr>
          <w:rFonts w:ascii="Arial"/>
          <w:color w:val="5B6761"/>
          <w:spacing w:val="10"/>
          <w:position w:val="5"/>
          <w:sz w:val="8"/>
        </w:rPr>
        <w:t xml:space="preserve"> </w:t>
      </w:r>
      <w:r>
        <w:rPr>
          <w:rFonts w:ascii="Arial"/>
          <w:color w:val="5B6761"/>
          <w:w w:val="89"/>
          <w:sz w:val="14"/>
        </w:rPr>
        <w:t>S</w:t>
      </w:r>
      <w:r>
        <w:rPr>
          <w:rFonts w:ascii="Arial"/>
          <w:color w:val="5B6761"/>
          <w:spacing w:val="-1"/>
          <w:w w:val="96"/>
          <w:sz w:val="14"/>
        </w:rPr>
        <w:t>e</w:t>
      </w:r>
      <w:r>
        <w:rPr>
          <w:rFonts w:ascii="Arial"/>
          <w:color w:val="5B6761"/>
          <w:w w:val="96"/>
          <w:sz w:val="14"/>
        </w:rPr>
        <w:t>e</w:t>
      </w:r>
      <w:r>
        <w:rPr>
          <w:rFonts w:ascii="Arial"/>
          <w:color w:val="5B6761"/>
          <w:spacing w:val="-7"/>
          <w:sz w:val="14"/>
        </w:rPr>
        <w:t xml:space="preserve"> </w:t>
      </w:r>
      <w:r>
        <w:rPr>
          <w:rFonts w:ascii="Arial"/>
          <w:color w:val="5B6761"/>
          <w:spacing w:val="-1"/>
          <w:w w:val="109"/>
          <w:sz w:val="14"/>
        </w:rPr>
        <w:t>&lt;</w:t>
      </w:r>
      <w:hyperlink r:id="rId214">
        <w:r>
          <w:rPr>
            <w:rFonts w:ascii="Arial"/>
            <w:sz w:val="14"/>
            <w:u w:val="single" w:color="006FC0"/>
          </w:rPr>
          <w:t>h</w:t>
        </w:r>
        <w:r>
          <w:rPr>
            <w:rFonts w:ascii="Arial"/>
            <w:w w:val="133"/>
            <w:sz w:val="14"/>
            <w:u w:val="single" w:color="006FC0"/>
          </w:rPr>
          <w:t>tt</w:t>
        </w:r>
        <w:r>
          <w:rPr>
            <w:rFonts w:ascii="Arial"/>
            <w:sz w:val="14"/>
            <w:u w:val="single" w:color="006FC0"/>
          </w:rPr>
          <w:t>p</w:t>
        </w:r>
        <w:r>
          <w:rPr>
            <w:rFonts w:ascii="Arial"/>
            <w:spacing w:val="-1"/>
            <w:w w:val="93"/>
            <w:sz w:val="14"/>
            <w:u w:val="single" w:color="006FC0"/>
          </w:rPr>
          <w:t>s</w:t>
        </w:r>
        <w:r>
          <w:rPr>
            <w:rFonts w:ascii="Arial"/>
            <w:w w:val="127"/>
            <w:sz w:val="14"/>
            <w:u w:val="single" w:color="006FC0"/>
          </w:rPr>
          <w:t>:</w:t>
        </w:r>
        <w:r>
          <w:rPr>
            <w:rFonts w:ascii="Arial"/>
            <w:spacing w:val="1"/>
            <w:w w:val="127"/>
            <w:sz w:val="14"/>
            <w:u w:val="single" w:color="006FC0"/>
          </w:rPr>
          <w:t>/</w:t>
        </w:r>
        <w:r>
          <w:rPr>
            <w:rFonts w:ascii="Arial"/>
            <w:spacing w:val="-1"/>
            <w:w w:val="175"/>
            <w:sz w:val="14"/>
            <w:u w:val="single" w:color="006FC0"/>
          </w:rPr>
          <w:t>/</w:t>
        </w:r>
        <w:r>
          <w:rPr>
            <w:rFonts w:ascii="Arial"/>
            <w:spacing w:val="1"/>
            <w:w w:val="98"/>
            <w:sz w:val="14"/>
            <w:u w:val="single" w:color="006FC0"/>
          </w:rPr>
          <w:t>www</w:t>
        </w:r>
        <w:r>
          <w:rPr>
            <w:rFonts w:ascii="Arial"/>
            <w:w w:val="107"/>
            <w:sz w:val="14"/>
            <w:u w:val="single" w:color="006FC0"/>
          </w:rPr>
          <w:t>.t</w:t>
        </w:r>
        <w:r>
          <w:rPr>
            <w:rFonts w:ascii="Arial"/>
            <w:sz w:val="14"/>
            <w:u w:val="single" w:color="006FC0"/>
          </w:rPr>
          <w:t>g</w:t>
        </w:r>
        <w:r>
          <w:rPr>
            <w:rFonts w:ascii="Arial"/>
            <w:w w:val="94"/>
            <w:sz w:val="14"/>
            <w:u w:val="single" w:color="006FC0"/>
          </w:rPr>
          <w:t>a</w:t>
        </w:r>
        <w:r>
          <w:rPr>
            <w:rFonts w:ascii="Arial"/>
            <w:w w:val="93"/>
            <w:sz w:val="14"/>
            <w:u w:val="single" w:color="006FC0"/>
          </w:rPr>
          <w:t>.g</w:t>
        </w:r>
        <w:r>
          <w:rPr>
            <w:rFonts w:ascii="Arial"/>
            <w:spacing w:val="-1"/>
            <w:w w:val="99"/>
            <w:sz w:val="14"/>
            <w:u w:val="single" w:color="006FC0"/>
          </w:rPr>
          <w:t>o</w:t>
        </w:r>
        <w:r>
          <w:rPr>
            <w:rFonts w:ascii="Arial"/>
            <w:w w:val="101"/>
            <w:sz w:val="14"/>
            <w:u w:val="single" w:color="006FC0"/>
          </w:rPr>
          <w:t>v</w:t>
        </w:r>
        <w:r>
          <w:rPr>
            <w:rFonts w:ascii="Arial"/>
            <w:w w:val="89"/>
            <w:sz w:val="14"/>
            <w:u w:val="single" w:color="006FC0"/>
          </w:rPr>
          <w:t>.a</w:t>
        </w:r>
        <w:r>
          <w:rPr>
            <w:rFonts w:ascii="Arial"/>
            <w:sz w:val="14"/>
            <w:u w:val="single" w:color="006FC0"/>
          </w:rPr>
          <w:t>u</w:t>
        </w:r>
        <w:r>
          <w:rPr>
            <w:rFonts w:ascii="Arial"/>
            <w:spacing w:val="-1"/>
            <w:w w:val="175"/>
            <w:sz w:val="14"/>
            <w:u w:val="single" w:color="006FC0"/>
          </w:rPr>
          <w:t>/</w:t>
        </w:r>
        <w:r>
          <w:rPr>
            <w:rFonts w:ascii="Arial"/>
            <w:spacing w:val="-1"/>
            <w:w w:val="119"/>
            <w:sz w:val="14"/>
            <w:u w:val="single" w:color="006FC0"/>
          </w:rPr>
          <w:t>f</w:t>
        </w:r>
        <w:r>
          <w:rPr>
            <w:rFonts w:ascii="Arial"/>
            <w:spacing w:val="-1"/>
            <w:w w:val="99"/>
            <w:sz w:val="14"/>
            <w:u w:val="single" w:color="006FC0"/>
          </w:rPr>
          <w:t>o</w:t>
        </w:r>
        <w:r>
          <w:rPr>
            <w:rFonts w:ascii="Arial"/>
            <w:w w:val="116"/>
            <w:sz w:val="14"/>
            <w:u w:val="single" w:color="006FC0"/>
          </w:rPr>
          <w:t>r</w:t>
        </w:r>
        <w:r>
          <w:rPr>
            <w:rFonts w:ascii="Arial"/>
            <w:spacing w:val="2"/>
            <w:sz w:val="14"/>
            <w:u w:val="single" w:color="006FC0"/>
          </w:rPr>
          <w:t>m</w:t>
        </w:r>
        <w:r>
          <w:rPr>
            <w:rFonts w:ascii="Arial"/>
            <w:spacing w:val="-1"/>
            <w:w w:val="175"/>
            <w:sz w:val="14"/>
            <w:u w:val="single" w:color="006FC0"/>
          </w:rPr>
          <w:t>/</w:t>
        </w:r>
        <w:r>
          <w:rPr>
            <w:rFonts w:ascii="Arial"/>
            <w:spacing w:val="-1"/>
            <w:w w:val="117"/>
            <w:sz w:val="14"/>
            <w:u w:val="single" w:color="006FC0"/>
          </w:rPr>
          <w:t>l</w:t>
        </w:r>
        <w:r>
          <w:rPr>
            <w:rFonts w:ascii="Arial"/>
            <w:w w:val="113"/>
            <w:sz w:val="14"/>
            <w:u w:val="single" w:color="006FC0"/>
          </w:rPr>
          <w:t>i</w:t>
        </w:r>
        <w:r>
          <w:rPr>
            <w:rFonts w:ascii="Arial"/>
            <w:spacing w:val="1"/>
            <w:w w:val="93"/>
            <w:sz w:val="14"/>
            <w:u w:val="single" w:color="006FC0"/>
          </w:rPr>
          <w:t>s</w:t>
        </w:r>
        <w:r>
          <w:rPr>
            <w:rFonts w:ascii="Arial"/>
            <w:w w:val="133"/>
            <w:sz w:val="14"/>
            <w:u w:val="single" w:color="006FC0"/>
          </w:rPr>
          <w:t>t</w:t>
        </w:r>
        <w:r>
          <w:rPr>
            <w:rFonts w:ascii="Arial"/>
            <w:spacing w:val="-1"/>
            <w:w w:val="96"/>
            <w:sz w:val="14"/>
            <w:u w:val="single" w:color="006FC0"/>
          </w:rPr>
          <w:t>e</w:t>
        </w:r>
        <w:r>
          <w:rPr>
            <w:rFonts w:ascii="Arial"/>
            <w:spacing w:val="4"/>
            <w:sz w:val="14"/>
            <w:u w:val="single" w:color="006FC0"/>
          </w:rPr>
          <w:t>d</w:t>
        </w:r>
        <w:r>
          <w:rPr>
            <w:rFonts w:ascii="Arial"/>
            <w:spacing w:val="-1"/>
            <w:w w:val="119"/>
            <w:sz w:val="14"/>
            <w:u w:val="single" w:color="006FC0"/>
          </w:rPr>
          <w:t>-</w:t>
        </w:r>
        <w:r>
          <w:rPr>
            <w:rFonts w:ascii="Arial"/>
            <w:w w:val="99"/>
            <w:sz w:val="14"/>
            <w:u w:val="single" w:color="006FC0"/>
          </w:rPr>
          <w:t>m</w:t>
        </w:r>
        <w:r>
          <w:rPr>
            <w:rFonts w:ascii="Arial"/>
            <w:spacing w:val="-1"/>
            <w:w w:val="99"/>
            <w:sz w:val="14"/>
            <w:u w:val="single" w:color="006FC0"/>
          </w:rPr>
          <w:t>e</w:t>
        </w:r>
        <w:r>
          <w:rPr>
            <w:rFonts w:ascii="Arial"/>
            <w:sz w:val="14"/>
            <w:u w:val="single" w:color="006FC0"/>
          </w:rPr>
          <w:t>d</w:t>
        </w:r>
        <w:r>
          <w:rPr>
            <w:rFonts w:ascii="Arial"/>
            <w:w w:val="113"/>
            <w:sz w:val="14"/>
            <w:u w:val="single" w:color="006FC0"/>
          </w:rPr>
          <w:t>i</w:t>
        </w:r>
        <w:r>
          <w:rPr>
            <w:rFonts w:ascii="Arial"/>
            <w:w w:val="103"/>
            <w:sz w:val="14"/>
            <w:u w:val="single" w:color="006FC0"/>
          </w:rPr>
          <w:t>ci</w:t>
        </w:r>
        <w:r>
          <w:rPr>
            <w:rFonts w:ascii="Arial"/>
            <w:sz w:val="14"/>
            <w:u w:val="single" w:color="006FC0"/>
          </w:rPr>
          <w:t>n</w:t>
        </w:r>
        <w:r>
          <w:rPr>
            <w:rFonts w:ascii="Arial"/>
            <w:spacing w:val="-1"/>
            <w:w w:val="96"/>
            <w:sz w:val="14"/>
            <w:u w:val="single" w:color="006FC0"/>
          </w:rPr>
          <w:t>e</w:t>
        </w:r>
        <w:r>
          <w:rPr>
            <w:rFonts w:ascii="Arial"/>
            <w:w w:val="93"/>
            <w:sz w:val="14"/>
            <w:u w:val="single" w:color="006FC0"/>
          </w:rPr>
          <w:t>s</w:t>
        </w:r>
        <w:r>
          <w:rPr>
            <w:rFonts w:ascii="Arial"/>
            <w:spacing w:val="2"/>
            <w:w w:val="119"/>
            <w:sz w:val="14"/>
            <w:u w:val="single" w:color="006FC0"/>
          </w:rPr>
          <w:t>-</w:t>
        </w:r>
        <w:r>
          <w:rPr>
            <w:rFonts w:ascii="Arial"/>
            <w:spacing w:val="-1"/>
            <w:w w:val="96"/>
            <w:sz w:val="14"/>
            <w:u w:val="single" w:color="006FC0"/>
          </w:rPr>
          <w:t>e</w:t>
        </w:r>
        <w:r>
          <w:rPr>
            <w:rFonts w:ascii="Arial"/>
            <w:w w:val="101"/>
            <w:sz w:val="14"/>
            <w:u w:val="single" w:color="006FC0"/>
          </w:rPr>
          <w:t>v</w:t>
        </w:r>
        <w:r>
          <w:rPr>
            <w:rFonts w:ascii="Arial"/>
            <w:w w:val="113"/>
            <w:sz w:val="14"/>
            <w:u w:val="single" w:color="006FC0"/>
          </w:rPr>
          <w:t>i</w:t>
        </w:r>
        <w:r>
          <w:rPr>
            <w:rFonts w:ascii="Arial"/>
            <w:sz w:val="14"/>
            <w:u w:val="single" w:color="006FC0"/>
          </w:rPr>
          <w:t>d</w:t>
        </w:r>
        <w:r>
          <w:rPr>
            <w:rFonts w:ascii="Arial"/>
            <w:spacing w:val="-1"/>
            <w:w w:val="96"/>
            <w:sz w:val="14"/>
            <w:u w:val="single" w:color="006FC0"/>
          </w:rPr>
          <w:t>e</w:t>
        </w:r>
        <w:r>
          <w:rPr>
            <w:rFonts w:ascii="Arial"/>
            <w:sz w:val="14"/>
            <w:u w:val="single" w:color="006FC0"/>
          </w:rPr>
          <w:t>n</w:t>
        </w:r>
        <w:r>
          <w:rPr>
            <w:rFonts w:ascii="Arial"/>
            <w:w w:val="97"/>
            <w:sz w:val="14"/>
            <w:u w:val="single" w:color="006FC0"/>
          </w:rPr>
          <w:t>ce</w:t>
        </w:r>
        <w:r>
          <w:rPr>
            <w:rFonts w:ascii="Arial"/>
            <w:spacing w:val="-1"/>
            <w:w w:val="119"/>
            <w:sz w:val="14"/>
            <w:u w:val="single" w:color="006FC0"/>
          </w:rPr>
          <w:t>-</w:t>
        </w:r>
        <w:r>
          <w:rPr>
            <w:rFonts w:ascii="Arial"/>
            <w:sz w:val="14"/>
            <w:u w:val="single" w:color="006FC0"/>
          </w:rPr>
          <w:t>p</w:t>
        </w:r>
        <w:r>
          <w:rPr>
            <w:rFonts w:ascii="Arial"/>
            <w:w w:val="94"/>
            <w:sz w:val="14"/>
            <w:u w:val="single" w:color="006FC0"/>
          </w:rPr>
          <w:t>a</w:t>
        </w:r>
        <w:r>
          <w:rPr>
            <w:rFonts w:ascii="Arial"/>
            <w:w w:val="102"/>
            <w:sz w:val="14"/>
            <w:u w:val="single" w:color="006FC0"/>
          </w:rPr>
          <w:t>ck</w:t>
        </w:r>
        <w:r>
          <w:rPr>
            <w:rFonts w:ascii="Arial"/>
            <w:w w:val="94"/>
            <w:sz w:val="14"/>
            <w:u w:val="single" w:color="006FC0"/>
          </w:rPr>
          <w:t>a</w:t>
        </w:r>
        <w:r>
          <w:rPr>
            <w:rFonts w:ascii="Arial"/>
            <w:sz w:val="14"/>
            <w:u w:val="single" w:color="006FC0"/>
          </w:rPr>
          <w:t>g</w:t>
        </w:r>
        <w:r>
          <w:rPr>
            <w:rFonts w:ascii="Arial"/>
            <w:w w:val="96"/>
            <w:sz w:val="14"/>
            <w:u w:val="single" w:color="006FC0"/>
          </w:rPr>
          <w:t>e</w:t>
        </w:r>
        <w:r>
          <w:rPr>
            <w:rFonts w:ascii="Arial"/>
            <w:spacing w:val="-1"/>
            <w:w w:val="119"/>
            <w:sz w:val="14"/>
            <w:u w:val="single" w:color="006FC0"/>
          </w:rPr>
          <w:t>-</w:t>
        </w:r>
        <w:r>
          <w:rPr>
            <w:rFonts w:ascii="Arial"/>
            <w:sz w:val="14"/>
            <w:u w:val="single" w:color="006FC0"/>
          </w:rPr>
          <w:t>c</w:t>
        </w:r>
        <w:r>
          <w:rPr>
            <w:rFonts w:ascii="Arial"/>
            <w:spacing w:val="3"/>
            <w:sz w:val="14"/>
            <w:u w:val="single" w:color="006FC0"/>
          </w:rPr>
          <w:t>h</w:t>
        </w:r>
        <w:r>
          <w:rPr>
            <w:rFonts w:ascii="Arial"/>
            <w:spacing w:val="-1"/>
            <w:w w:val="96"/>
            <w:sz w:val="14"/>
            <w:u w:val="single" w:color="006FC0"/>
          </w:rPr>
          <w:t>e</w:t>
        </w:r>
        <w:r>
          <w:rPr>
            <w:rFonts w:ascii="Arial"/>
            <w:spacing w:val="2"/>
            <w:w w:val="99"/>
            <w:sz w:val="14"/>
            <w:u w:val="single" w:color="006FC0"/>
          </w:rPr>
          <w:t>c</w:t>
        </w:r>
        <w:r>
          <w:rPr>
            <w:rFonts w:ascii="Arial"/>
            <w:w w:val="105"/>
            <w:sz w:val="14"/>
            <w:u w:val="single" w:color="006FC0"/>
          </w:rPr>
          <w:t>k</w:t>
        </w:r>
        <w:r>
          <w:rPr>
            <w:rFonts w:ascii="Arial"/>
            <w:w w:val="117"/>
            <w:sz w:val="14"/>
            <w:u w:val="single" w:color="006FC0"/>
          </w:rPr>
          <w:t>l</w:t>
        </w:r>
        <w:r>
          <w:rPr>
            <w:rFonts w:ascii="Arial"/>
            <w:w w:val="113"/>
            <w:sz w:val="14"/>
            <w:u w:val="single" w:color="006FC0"/>
          </w:rPr>
          <w:t>i</w:t>
        </w:r>
        <w:r>
          <w:rPr>
            <w:rFonts w:ascii="Arial"/>
            <w:spacing w:val="-1"/>
            <w:w w:val="93"/>
            <w:sz w:val="14"/>
            <w:u w:val="single" w:color="006FC0"/>
          </w:rPr>
          <w:t>s</w:t>
        </w:r>
        <w:r>
          <w:rPr>
            <w:rFonts w:ascii="Arial"/>
            <w:w w:val="133"/>
            <w:sz w:val="14"/>
            <w:u w:val="single" w:color="006FC0"/>
          </w:rPr>
          <w:t>t</w:t>
        </w:r>
        <w:r>
          <w:rPr>
            <w:rFonts w:ascii="Arial"/>
            <w:spacing w:val="-1"/>
            <w:w w:val="93"/>
            <w:sz w:val="14"/>
            <w:u w:val="single" w:color="006FC0"/>
          </w:rPr>
          <w:t>s</w:t>
        </w:r>
      </w:hyperlink>
      <w:r>
        <w:rPr>
          <w:rFonts w:ascii="Arial"/>
          <w:spacing w:val="-1"/>
          <w:w w:val="109"/>
          <w:sz w:val="14"/>
          <w:u w:val="single" w:color="006FC0"/>
        </w:rPr>
        <w:t>&gt;</w:t>
      </w:r>
      <w:r>
        <w:rPr>
          <w:rFonts w:ascii="Arial"/>
          <w:spacing w:val="-1"/>
          <w:w w:val="80"/>
          <w:sz w:val="14"/>
        </w:rPr>
        <w:t>.</w:t>
      </w:r>
    </w:p>
    <w:p w:rsidR="007D76BB" w:rsidRDefault="00D70D28">
      <w:pPr>
        <w:spacing w:before="79" w:line="268" w:lineRule="auto"/>
        <w:ind w:left="594" w:right="928" w:hanging="113"/>
        <w:rPr>
          <w:rFonts w:ascii="Arial"/>
          <w:sz w:val="14"/>
        </w:rPr>
      </w:pPr>
      <w:r>
        <w:rPr>
          <w:rFonts w:ascii="Arial"/>
          <w:color w:val="5B6761"/>
          <w:w w:val="105"/>
          <w:position w:val="5"/>
          <w:sz w:val="8"/>
        </w:rPr>
        <w:t>52</w:t>
      </w:r>
      <w:r>
        <w:rPr>
          <w:rFonts w:ascii="Arial"/>
          <w:color w:val="5B6761"/>
          <w:spacing w:val="1"/>
          <w:w w:val="105"/>
          <w:position w:val="5"/>
          <w:sz w:val="8"/>
        </w:rPr>
        <w:t xml:space="preserve"> </w:t>
      </w:r>
      <w:r>
        <w:rPr>
          <w:rFonts w:ascii="Arial"/>
          <w:color w:val="5B6761"/>
          <w:w w:val="105"/>
          <w:sz w:val="14"/>
        </w:rPr>
        <w:t>This</w:t>
      </w:r>
      <w:r>
        <w:rPr>
          <w:rFonts w:ascii="Arial"/>
          <w:color w:val="5B6761"/>
          <w:spacing w:val="-16"/>
          <w:w w:val="105"/>
          <w:sz w:val="14"/>
        </w:rPr>
        <w:t xml:space="preserve"> </w:t>
      </w:r>
      <w:r>
        <w:rPr>
          <w:rFonts w:ascii="Arial"/>
          <w:color w:val="5B6761"/>
          <w:w w:val="105"/>
          <w:sz w:val="14"/>
        </w:rPr>
        <w:t>checklist</w:t>
      </w:r>
      <w:r>
        <w:rPr>
          <w:rFonts w:ascii="Arial"/>
          <w:color w:val="5B6761"/>
          <w:spacing w:val="-15"/>
          <w:w w:val="105"/>
          <w:sz w:val="14"/>
        </w:rPr>
        <w:t xml:space="preserve"> </w:t>
      </w:r>
      <w:r>
        <w:rPr>
          <w:rFonts w:ascii="Arial"/>
          <w:color w:val="5B6761"/>
          <w:w w:val="105"/>
          <w:sz w:val="14"/>
        </w:rPr>
        <w:t>could</w:t>
      </w:r>
      <w:r>
        <w:rPr>
          <w:rFonts w:ascii="Arial"/>
          <w:color w:val="5B6761"/>
          <w:spacing w:val="-15"/>
          <w:w w:val="105"/>
          <w:sz w:val="14"/>
        </w:rPr>
        <w:t xml:space="preserve"> </w:t>
      </w:r>
      <w:r>
        <w:rPr>
          <w:rFonts w:ascii="Arial"/>
          <w:color w:val="5B6761"/>
          <w:w w:val="105"/>
          <w:sz w:val="14"/>
        </w:rPr>
        <w:t>contain</w:t>
      </w:r>
      <w:r>
        <w:rPr>
          <w:rFonts w:ascii="Arial"/>
          <w:color w:val="5B6761"/>
          <w:spacing w:val="10"/>
          <w:w w:val="105"/>
          <w:sz w:val="14"/>
        </w:rPr>
        <w:t xml:space="preserve"> </w:t>
      </w:r>
      <w:r>
        <w:rPr>
          <w:rFonts w:ascii="Arial"/>
          <w:color w:val="5B6761"/>
          <w:w w:val="105"/>
          <w:sz w:val="14"/>
        </w:rPr>
        <w:t>the</w:t>
      </w:r>
      <w:r>
        <w:rPr>
          <w:rFonts w:ascii="Arial"/>
          <w:color w:val="5B6761"/>
          <w:spacing w:val="-16"/>
          <w:w w:val="105"/>
          <w:sz w:val="14"/>
        </w:rPr>
        <w:t xml:space="preserve"> </w:t>
      </w:r>
      <w:r>
        <w:rPr>
          <w:rFonts w:ascii="Arial"/>
          <w:color w:val="5B6761"/>
          <w:w w:val="105"/>
          <w:sz w:val="14"/>
        </w:rPr>
        <w:t>results</w:t>
      </w:r>
      <w:r>
        <w:rPr>
          <w:rFonts w:ascii="Arial"/>
          <w:color w:val="5B6761"/>
          <w:spacing w:val="-16"/>
          <w:w w:val="105"/>
          <w:sz w:val="14"/>
        </w:rPr>
        <w:t xml:space="preserve"> </w:t>
      </w:r>
      <w:r>
        <w:rPr>
          <w:rFonts w:ascii="Arial"/>
          <w:color w:val="5B6761"/>
          <w:w w:val="105"/>
          <w:sz w:val="14"/>
        </w:rPr>
        <w:t>of</w:t>
      </w:r>
      <w:r>
        <w:rPr>
          <w:rFonts w:ascii="Arial"/>
          <w:color w:val="5B6761"/>
          <w:spacing w:val="-16"/>
          <w:w w:val="105"/>
          <w:sz w:val="14"/>
        </w:rPr>
        <w:t xml:space="preserve"> </w:t>
      </w:r>
      <w:r>
        <w:rPr>
          <w:rFonts w:ascii="Arial"/>
          <w:color w:val="5B6761"/>
          <w:w w:val="105"/>
          <w:sz w:val="14"/>
        </w:rPr>
        <w:t>clinical</w:t>
      </w:r>
      <w:r>
        <w:rPr>
          <w:rFonts w:ascii="Arial"/>
          <w:color w:val="5B6761"/>
          <w:spacing w:val="-16"/>
          <w:w w:val="105"/>
          <w:sz w:val="14"/>
        </w:rPr>
        <w:t xml:space="preserve"> </w:t>
      </w:r>
      <w:r>
        <w:rPr>
          <w:rFonts w:ascii="Arial"/>
          <w:color w:val="5B6761"/>
          <w:w w:val="105"/>
          <w:sz w:val="14"/>
        </w:rPr>
        <w:t>trials</w:t>
      </w:r>
      <w:r>
        <w:rPr>
          <w:rFonts w:ascii="Arial"/>
          <w:color w:val="5B6761"/>
          <w:spacing w:val="-16"/>
          <w:w w:val="105"/>
          <w:sz w:val="14"/>
        </w:rPr>
        <w:t xml:space="preserve"> </w:t>
      </w:r>
      <w:r>
        <w:rPr>
          <w:rFonts w:ascii="Arial"/>
          <w:color w:val="5B6761"/>
          <w:w w:val="105"/>
          <w:sz w:val="14"/>
        </w:rPr>
        <w:t>if</w:t>
      </w:r>
      <w:r>
        <w:rPr>
          <w:rFonts w:ascii="Arial"/>
          <w:color w:val="5B6761"/>
          <w:spacing w:val="-16"/>
          <w:w w:val="105"/>
          <w:sz w:val="14"/>
        </w:rPr>
        <w:t xml:space="preserve"> </w:t>
      </w:r>
      <w:r>
        <w:rPr>
          <w:rFonts w:ascii="Arial"/>
          <w:color w:val="5B6761"/>
          <w:w w:val="105"/>
          <w:sz w:val="14"/>
        </w:rPr>
        <w:t>conducted;</w:t>
      </w:r>
      <w:r>
        <w:rPr>
          <w:rFonts w:ascii="Arial"/>
          <w:color w:val="5B6761"/>
          <w:spacing w:val="-16"/>
          <w:w w:val="105"/>
          <w:sz w:val="14"/>
        </w:rPr>
        <w:t xml:space="preserve"> </w:t>
      </w:r>
      <w:r>
        <w:rPr>
          <w:rFonts w:ascii="Arial"/>
          <w:color w:val="5B6761"/>
          <w:w w:val="105"/>
          <w:sz w:val="14"/>
        </w:rPr>
        <w:t>however,</w:t>
      </w:r>
      <w:r>
        <w:rPr>
          <w:rFonts w:ascii="Arial"/>
          <w:color w:val="5B6761"/>
          <w:spacing w:val="-16"/>
          <w:w w:val="105"/>
          <w:sz w:val="14"/>
        </w:rPr>
        <w:t xml:space="preserve"> </w:t>
      </w:r>
      <w:r>
        <w:rPr>
          <w:rFonts w:ascii="Arial"/>
          <w:color w:val="5B6761"/>
          <w:w w:val="105"/>
          <w:sz w:val="14"/>
        </w:rPr>
        <w:t>due</w:t>
      </w:r>
      <w:r>
        <w:rPr>
          <w:rFonts w:ascii="Arial"/>
          <w:color w:val="5B6761"/>
          <w:spacing w:val="-16"/>
          <w:w w:val="105"/>
          <w:sz w:val="14"/>
        </w:rPr>
        <w:t xml:space="preserve"> </w:t>
      </w:r>
      <w:r>
        <w:rPr>
          <w:rFonts w:ascii="Arial"/>
          <w:color w:val="5B6761"/>
          <w:w w:val="105"/>
          <w:sz w:val="14"/>
        </w:rPr>
        <w:t>to</w:t>
      </w:r>
      <w:r>
        <w:rPr>
          <w:rFonts w:ascii="Arial"/>
          <w:color w:val="5B6761"/>
          <w:spacing w:val="-17"/>
          <w:w w:val="105"/>
          <w:sz w:val="14"/>
        </w:rPr>
        <w:t xml:space="preserve"> </w:t>
      </w:r>
      <w:r>
        <w:rPr>
          <w:rFonts w:ascii="Arial"/>
          <w:color w:val="5B6761"/>
          <w:w w:val="105"/>
          <w:sz w:val="14"/>
        </w:rPr>
        <w:t>the</w:t>
      </w:r>
      <w:r>
        <w:rPr>
          <w:rFonts w:ascii="Arial"/>
          <w:color w:val="5B6761"/>
          <w:spacing w:val="-16"/>
          <w:w w:val="105"/>
          <w:sz w:val="14"/>
        </w:rPr>
        <w:t xml:space="preserve"> </w:t>
      </w:r>
      <w:r>
        <w:rPr>
          <w:rFonts w:ascii="Arial"/>
          <w:color w:val="5B6761"/>
          <w:w w:val="105"/>
          <w:sz w:val="14"/>
        </w:rPr>
        <w:t>expected</w:t>
      </w:r>
      <w:r>
        <w:rPr>
          <w:rFonts w:ascii="Arial"/>
          <w:color w:val="5B6761"/>
          <w:spacing w:val="-15"/>
          <w:w w:val="105"/>
          <w:sz w:val="14"/>
        </w:rPr>
        <w:t xml:space="preserve"> </w:t>
      </w:r>
      <w:r>
        <w:rPr>
          <w:rFonts w:ascii="Arial"/>
          <w:color w:val="5B6761"/>
          <w:w w:val="105"/>
          <w:sz w:val="14"/>
        </w:rPr>
        <w:t>level</w:t>
      </w:r>
      <w:r>
        <w:rPr>
          <w:rFonts w:ascii="Arial"/>
          <w:color w:val="5B6761"/>
          <w:spacing w:val="-16"/>
          <w:w w:val="105"/>
          <w:sz w:val="14"/>
        </w:rPr>
        <w:t xml:space="preserve"> </w:t>
      </w:r>
      <w:r>
        <w:rPr>
          <w:rFonts w:ascii="Arial"/>
          <w:color w:val="5B6761"/>
          <w:w w:val="105"/>
          <w:sz w:val="14"/>
        </w:rPr>
        <w:t>of</w:t>
      </w:r>
      <w:r>
        <w:rPr>
          <w:rFonts w:ascii="Arial"/>
          <w:color w:val="5B6761"/>
          <w:spacing w:val="-16"/>
          <w:w w:val="105"/>
          <w:sz w:val="14"/>
        </w:rPr>
        <w:t xml:space="preserve"> </w:t>
      </w:r>
      <w:r>
        <w:rPr>
          <w:rFonts w:ascii="Arial"/>
          <w:color w:val="5B6761"/>
          <w:w w:val="105"/>
          <w:sz w:val="14"/>
        </w:rPr>
        <w:t>indications,</w:t>
      </w:r>
      <w:r>
        <w:rPr>
          <w:rFonts w:ascii="Arial"/>
          <w:color w:val="5B6761"/>
          <w:spacing w:val="-16"/>
          <w:w w:val="105"/>
          <w:sz w:val="14"/>
        </w:rPr>
        <w:t xml:space="preserve"> </w:t>
      </w:r>
      <w:r>
        <w:rPr>
          <w:rFonts w:ascii="Arial"/>
          <w:color w:val="5B6761"/>
          <w:w w:val="105"/>
          <w:sz w:val="14"/>
        </w:rPr>
        <w:t>clinical</w:t>
      </w:r>
      <w:r>
        <w:rPr>
          <w:rFonts w:ascii="Arial"/>
          <w:color w:val="5B6761"/>
          <w:spacing w:val="-16"/>
          <w:w w:val="105"/>
          <w:sz w:val="14"/>
        </w:rPr>
        <w:t xml:space="preserve"> </w:t>
      </w:r>
      <w:r>
        <w:rPr>
          <w:rFonts w:ascii="Arial"/>
          <w:color w:val="5B6761"/>
          <w:w w:val="105"/>
          <w:sz w:val="14"/>
        </w:rPr>
        <w:t>trials are</w:t>
      </w:r>
      <w:r>
        <w:rPr>
          <w:rFonts w:ascii="Arial"/>
          <w:color w:val="5B6761"/>
          <w:spacing w:val="-10"/>
          <w:w w:val="105"/>
          <w:sz w:val="14"/>
        </w:rPr>
        <w:t xml:space="preserve"> </w:t>
      </w:r>
      <w:r>
        <w:rPr>
          <w:rFonts w:ascii="Arial"/>
          <w:color w:val="5B6761"/>
          <w:w w:val="105"/>
          <w:sz w:val="14"/>
        </w:rPr>
        <w:t>not</w:t>
      </w:r>
      <w:r>
        <w:rPr>
          <w:rFonts w:ascii="Arial"/>
          <w:color w:val="5B6761"/>
          <w:spacing w:val="-7"/>
          <w:w w:val="105"/>
          <w:sz w:val="14"/>
        </w:rPr>
        <w:t xml:space="preserve"> </w:t>
      </w:r>
      <w:r>
        <w:rPr>
          <w:rFonts w:ascii="Arial"/>
          <w:color w:val="5B6761"/>
          <w:w w:val="105"/>
          <w:sz w:val="14"/>
        </w:rPr>
        <w:t>likely</w:t>
      </w:r>
      <w:r>
        <w:rPr>
          <w:rFonts w:ascii="Arial"/>
          <w:color w:val="5B6761"/>
          <w:spacing w:val="-8"/>
          <w:w w:val="105"/>
          <w:sz w:val="14"/>
        </w:rPr>
        <w:t xml:space="preserve"> </w:t>
      </w:r>
      <w:r>
        <w:rPr>
          <w:rFonts w:ascii="Arial"/>
          <w:color w:val="5B6761"/>
          <w:w w:val="105"/>
          <w:sz w:val="14"/>
        </w:rPr>
        <w:t>to</w:t>
      </w:r>
      <w:r>
        <w:rPr>
          <w:rFonts w:ascii="Arial"/>
          <w:color w:val="5B6761"/>
          <w:spacing w:val="-7"/>
          <w:w w:val="105"/>
          <w:sz w:val="14"/>
        </w:rPr>
        <w:t xml:space="preserve"> </w:t>
      </w:r>
      <w:r>
        <w:rPr>
          <w:rFonts w:ascii="Arial"/>
          <w:color w:val="5B6761"/>
          <w:w w:val="105"/>
          <w:sz w:val="14"/>
        </w:rPr>
        <w:t>be</w:t>
      </w:r>
      <w:r>
        <w:rPr>
          <w:rFonts w:ascii="Arial"/>
          <w:color w:val="5B6761"/>
          <w:spacing w:val="-9"/>
          <w:w w:val="105"/>
          <w:sz w:val="14"/>
        </w:rPr>
        <w:t xml:space="preserve"> </w:t>
      </w:r>
      <w:r>
        <w:rPr>
          <w:rFonts w:ascii="Arial"/>
          <w:color w:val="5B6761"/>
          <w:w w:val="105"/>
          <w:sz w:val="14"/>
        </w:rPr>
        <w:t>conducted.</w:t>
      </w:r>
    </w:p>
    <w:p w:rsidR="007D76BB" w:rsidRDefault="007D76BB">
      <w:pPr>
        <w:spacing w:line="268" w:lineRule="auto"/>
        <w:rPr>
          <w:rFonts w:ascii="Arial"/>
          <w:sz w:val="14"/>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spacing w:before="2"/>
        <w:rPr>
          <w:rFonts w:ascii="Arial"/>
          <w:sz w:val="16"/>
        </w:rPr>
      </w:pPr>
    </w:p>
    <w:tbl>
      <w:tblPr>
        <w:tblW w:w="0" w:type="auto"/>
        <w:tblInd w:w="5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92"/>
        <w:gridCol w:w="2693"/>
        <w:gridCol w:w="1433"/>
        <w:gridCol w:w="1133"/>
        <w:gridCol w:w="1873"/>
      </w:tblGrid>
      <w:tr w:rsidR="007D76BB">
        <w:trPr>
          <w:trHeight w:val="916"/>
        </w:trPr>
        <w:tc>
          <w:tcPr>
            <w:tcW w:w="1692" w:type="dxa"/>
            <w:shd w:val="clear" w:color="auto" w:fill="005386"/>
          </w:tcPr>
          <w:p w:rsidR="007D76BB" w:rsidRDefault="007D76BB">
            <w:pPr>
              <w:pStyle w:val="TableParagraph"/>
              <w:rPr>
                <w:rFonts w:ascii="Arial"/>
                <w:sz w:val="16"/>
              </w:rPr>
            </w:pPr>
          </w:p>
          <w:p w:rsidR="007D76BB" w:rsidRDefault="007D76BB">
            <w:pPr>
              <w:pStyle w:val="TableParagraph"/>
              <w:spacing w:before="2"/>
              <w:rPr>
                <w:rFonts w:ascii="Arial"/>
                <w:sz w:val="15"/>
              </w:rPr>
            </w:pPr>
          </w:p>
          <w:p w:rsidR="007D76BB" w:rsidRDefault="00D70D28">
            <w:pPr>
              <w:pStyle w:val="TableParagraph"/>
              <w:ind w:left="676" w:right="657"/>
              <w:jc w:val="center"/>
              <w:rPr>
                <w:rFonts w:ascii="Calibri"/>
                <w:b/>
                <w:sz w:val="16"/>
              </w:rPr>
            </w:pPr>
            <w:r>
              <w:rPr>
                <w:rFonts w:ascii="Calibri"/>
                <w:b/>
                <w:color w:val="FFFFFF"/>
                <w:sz w:val="16"/>
              </w:rPr>
              <w:t>Task</w:t>
            </w:r>
          </w:p>
        </w:tc>
        <w:tc>
          <w:tcPr>
            <w:tcW w:w="2693" w:type="dxa"/>
            <w:shd w:val="clear" w:color="auto" w:fill="005386"/>
          </w:tcPr>
          <w:p w:rsidR="007D76BB" w:rsidRDefault="007D76BB">
            <w:pPr>
              <w:pStyle w:val="TableParagraph"/>
              <w:rPr>
                <w:rFonts w:ascii="Arial"/>
                <w:sz w:val="16"/>
              </w:rPr>
            </w:pPr>
          </w:p>
          <w:p w:rsidR="007D76BB" w:rsidRDefault="007D76BB">
            <w:pPr>
              <w:pStyle w:val="TableParagraph"/>
              <w:spacing w:before="2"/>
              <w:rPr>
                <w:rFonts w:ascii="Arial"/>
                <w:sz w:val="15"/>
              </w:rPr>
            </w:pPr>
          </w:p>
          <w:p w:rsidR="007D76BB" w:rsidRDefault="00D70D28">
            <w:pPr>
              <w:pStyle w:val="TableParagraph"/>
              <w:ind w:left="1066" w:right="1044"/>
              <w:jc w:val="center"/>
              <w:rPr>
                <w:rFonts w:ascii="Calibri"/>
                <w:b/>
                <w:sz w:val="16"/>
              </w:rPr>
            </w:pPr>
            <w:r>
              <w:rPr>
                <w:rFonts w:ascii="Calibri"/>
                <w:b/>
                <w:color w:val="FFFFFF"/>
                <w:sz w:val="16"/>
              </w:rPr>
              <w:t>Subtask</w:t>
            </w:r>
          </w:p>
        </w:tc>
        <w:tc>
          <w:tcPr>
            <w:tcW w:w="1433" w:type="dxa"/>
            <w:shd w:val="clear" w:color="auto" w:fill="005386"/>
          </w:tcPr>
          <w:p w:rsidR="007D76BB" w:rsidRDefault="007D76BB">
            <w:pPr>
              <w:pStyle w:val="TableParagraph"/>
              <w:spacing w:before="9"/>
              <w:rPr>
                <w:rFonts w:ascii="Arial"/>
              </w:rPr>
            </w:pPr>
          </w:p>
          <w:p w:rsidR="007D76BB" w:rsidRDefault="00D70D28">
            <w:pPr>
              <w:pStyle w:val="TableParagraph"/>
              <w:spacing w:before="1"/>
              <w:ind w:left="314" w:right="182" w:hanging="96"/>
              <w:rPr>
                <w:rFonts w:ascii="Calibri"/>
                <w:b/>
                <w:sz w:val="16"/>
              </w:rPr>
            </w:pPr>
            <w:r>
              <w:rPr>
                <w:rFonts w:ascii="Calibri"/>
                <w:b/>
                <w:color w:val="FFFFFF"/>
                <w:sz w:val="16"/>
              </w:rPr>
              <w:t>Application (A) Ongoing (O)</w:t>
            </w:r>
          </w:p>
        </w:tc>
        <w:tc>
          <w:tcPr>
            <w:tcW w:w="1133" w:type="dxa"/>
            <w:shd w:val="clear" w:color="auto" w:fill="005386"/>
          </w:tcPr>
          <w:p w:rsidR="007D76BB" w:rsidRDefault="007D76BB">
            <w:pPr>
              <w:pStyle w:val="TableParagraph"/>
              <w:spacing w:before="3"/>
              <w:rPr>
                <w:rFonts w:ascii="Arial"/>
                <w:sz w:val="14"/>
              </w:rPr>
            </w:pPr>
          </w:p>
          <w:p w:rsidR="007D76BB" w:rsidRDefault="00D70D28">
            <w:pPr>
              <w:pStyle w:val="TableParagraph"/>
              <w:ind w:left="242" w:right="225" w:hanging="2"/>
              <w:jc w:val="center"/>
              <w:rPr>
                <w:rFonts w:ascii="Calibri" w:hAnsi="Calibri"/>
                <w:b/>
                <w:sz w:val="16"/>
              </w:rPr>
            </w:pPr>
            <w:r>
              <w:rPr>
                <w:rFonts w:ascii="Calibri" w:hAnsi="Calibri"/>
                <w:b/>
                <w:color w:val="FFFFFF"/>
                <w:sz w:val="16"/>
              </w:rPr>
              <w:t>Subtask – Time (minutes)</w:t>
            </w:r>
          </w:p>
        </w:tc>
        <w:tc>
          <w:tcPr>
            <w:tcW w:w="1873" w:type="dxa"/>
            <w:tcBorders>
              <w:bottom w:val="single" w:sz="4" w:space="0" w:color="000000"/>
            </w:tcBorders>
            <w:shd w:val="clear" w:color="auto" w:fill="005386"/>
          </w:tcPr>
          <w:p w:rsidR="007D76BB" w:rsidRDefault="007D76BB">
            <w:pPr>
              <w:pStyle w:val="TableParagraph"/>
              <w:rPr>
                <w:rFonts w:ascii="Arial"/>
                <w:sz w:val="16"/>
              </w:rPr>
            </w:pPr>
          </w:p>
          <w:p w:rsidR="007D76BB" w:rsidRDefault="007D76BB">
            <w:pPr>
              <w:pStyle w:val="TableParagraph"/>
              <w:spacing w:before="2"/>
              <w:rPr>
                <w:rFonts w:ascii="Arial"/>
                <w:sz w:val="15"/>
              </w:rPr>
            </w:pPr>
          </w:p>
          <w:p w:rsidR="007D76BB" w:rsidRDefault="00D70D28">
            <w:pPr>
              <w:pStyle w:val="TableParagraph"/>
              <w:ind w:left="627" w:right="608"/>
              <w:jc w:val="center"/>
              <w:rPr>
                <w:rFonts w:ascii="Calibri"/>
                <w:b/>
                <w:sz w:val="16"/>
              </w:rPr>
            </w:pPr>
            <w:r>
              <w:rPr>
                <w:rFonts w:ascii="Calibri"/>
                <w:b/>
                <w:color w:val="FFFFFF"/>
                <w:sz w:val="16"/>
              </w:rPr>
              <w:t>Remarks</w:t>
            </w:r>
          </w:p>
        </w:tc>
      </w:tr>
      <w:tr w:rsidR="007D76BB">
        <w:trPr>
          <w:trHeight w:val="390"/>
        </w:trPr>
        <w:tc>
          <w:tcPr>
            <w:tcW w:w="1692" w:type="dxa"/>
            <w:vMerge w:val="restart"/>
          </w:tcPr>
          <w:p w:rsidR="007D76BB" w:rsidRDefault="007D76BB">
            <w:pPr>
              <w:pStyle w:val="TableParagraph"/>
              <w:spacing w:before="9"/>
              <w:rPr>
                <w:rFonts w:ascii="Arial"/>
              </w:rPr>
            </w:pPr>
          </w:p>
          <w:p w:rsidR="007D76BB" w:rsidRDefault="00D70D28">
            <w:pPr>
              <w:pStyle w:val="TableParagraph"/>
              <w:ind w:left="107"/>
              <w:rPr>
                <w:rFonts w:ascii="Calibri"/>
                <w:sz w:val="16"/>
              </w:rPr>
            </w:pPr>
            <w:r>
              <w:rPr>
                <w:rFonts w:ascii="Calibri"/>
                <w:sz w:val="16"/>
              </w:rPr>
              <w:t>Other Activities</w:t>
            </w:r>
          </w:p>
        </w:tc>
        <w:tc>
          <w:tcPr>
            <w:tcW w:w="2693" w:type="dxa"/>
          </w:tcPr>
          <w:p w:rsidR="007D76BB" w:rsidRDefault="00D70D28">
            <w:pPr>
              <w:pStyle w:val="TableParagraph"/>
              <w:spacing w:line="193" w:lineRule="exact"/>
              <w:ind w:left="107"/>
              <w:rPr>
                <w:rFonts w:ascii="Calibri"/>
                <w:sz w:val="16"/>
              </w:rPr>
            </w:pPr>
            <w:r>
              <w:rPr>
                <w:rFonts w:ascii="Calibri"/>
                <w:sz w:val="16"/>
              </w:rPr>
              <w:t>Develop relation with manufacturer</w:t>
            </w:r>
          </w:p>
          <w:p w:rsidR="007D76BB" w:rsidRDefault="00D70D28">
            <w:pPr>
              <w:pStyle w:val="TableParagraph"/>
              <w:spacing w:line="177" w:lineRule="exact"/>
              <w:ind w:left="107"/>
              <w:rPr>
                <w:rFonts w:ascii="Calibri"/>
                <w:sz w:val="16"/>
              </w:rPr>
            </w:pPr>
            <w:r>
              <w:rPr>
                <w:rFonts w:ascii="Calibri"/>
                <w:sz w:val="16"/>
              </w:rPr>
              <w:t>(if applicable)</w:t>
            </w:r>
          </w:p>
        </w:tc>
        <w:tc>
          <w:tcPr>
            <w:tcW w:w="1433" w:type="dxa"/>
          </w:tcPr>
          <w:p w:rsidR="007D76BB" w:rsidRDefault="00D70D28">
            <w:pPr>
              <w:pStyle w:val="TableParagraph"/>
              <w:spacing w:before="97"/>
              <w:ind w:left="15"/>
              <w:jc w:val="center"/>
              <w:rPr>
                <w:rFonts w:ascii="Calibri"/>
                <w:sz w:val="16"/>
              </w:rPr>
            </w:pPr>
            <w:r>
              <w:rPr>
                <w:rFonts w:ascii="Calibri"/>
                <w:sz w:val="16"/>
              </w:rPr>
              <w:t>A</w:t>
            </w:r>
          </w:p>
        </w:tc>
        <w:tc>
          <w:tcPr>
            <w:tcW w:w="1133" w:type="dxa"/>
          </w:tcPr>
          <w:p w:rsidR="007D76BB" w:rsidRDefault="00D70D28">
            <w:pPr>
              <w:pStyle w:val="TableParagraph"/>
              <w:spacing w:before="97"/>
              <w:ind w:right="88"/>
              <w:jc w:val="right"/>
              <w:rPr>
                <w:rFonts w:ascii="Calibri"/>
                <w:sz w:val="16"/>
              </w:rPr>
            </w:pPr>
            <w:r>
              <w:rPr>
                <w:rFonts w:ascii="Calibri"/>
                <w:sz w:val="16"/>
              </w:rPr>
              <w:t>60</w:t>
            </w:r>
          </w:p>
        </w:tc>
        <w:tc>
          <w:tcPr>
            <w:tcW w:w="1873" w:type="dxa"/>
            <w:vMerge w:val="restart"/>
            <w:tcBorders>
              <w:top w:val="single" w:sz="4" w:space="0" w:color="000000"/>
            </w:tcBorders>
          </w:tcPr>
          <w:p w:rsidR="007D76BB" w:rsidRDefault="007D76BB">
            <w:pPr>
              <w:pStyle w:val="TableParagraph"/>
              <w:rPr>
                <w:rFonts w:ascii="Times New Roman"/>
                <w:sz w:val="14"/>
              </w:rPr>
            </w:pPr>
          </w:p>
        </w:tc>
      </w:tr>
      <w:tr w:rsidR="007D76BB">
        <w:trPr>
          <w:trHeight w:val="311"/>
        </w:trPr>
        <w:tc>
          <w:tcPr>
            <w:tcW w:w="1692" w:type="dxa"/>
            <w:vMerge/>
            <w:tcBorders>
              <w:top w:val="nil"/>
            </w:tcBorders>
          </w:tcPr>
          <w:p w:rsidR="007D76BB" w:rsidRDefault="007D76BB">
            <w:pPr>
              <w:rPr>
                <w:sz w:val="2"/>
                <w:szCs w:val="2"/>
              </w:rPr>
            </w:pPr>
          </w:p>
        </w:tc>
        <w:tc>
          <w:tcPr>
            <w:tcW w:w="2693" w:type="dxa"/>
          </w:tcPr>
          <w:p w:rsidR="007D76BB" w:rsidRDefault="00D70D28">
            <w:pPr>
              <w:pStyle w:val="TableParagraph"/>
              <w:spacing w:before="56"/>
              <w:ind w:left="107"/>
              <w:rPr>
                <w:rFonts w:ascii="Calibri"/>
                <w:sz w:val="16"/>
              </w:rPr>
            </w:pPr>
            <w:r>
              <w:rPr>
                <w:rFonts w:ascii="Calibri"/>
                <w:sz w:val="16"/>
              </w:rPr>
              <w:t>Label development and review</w:t>
            </w:r>
          </w:p>
        </w:tc>
        <w:tc>
          <w:tcPr>
            <w:tcW w:w="1433" w:type="dxa"/>
          </w:tcPr>
          <w:p w:rsidR="007D76BB" w:rsidRDefault="00D70D28">
            <w:pPr>
              <w:pStyle w:val="TableParagraph"/>
              <w:spacing w:before="56"/>
              <w:ind w:left="15"/>
              <w:jc w:val="center"/>
              <w:rPr>
                <w:rFonts w:ascii="Calibri"/>
                <w:sz w:val="16"/>
              </w:rPr>
            </w:pPr>
            <w:r>
              <w:rPr>
                <w:rFonts w:ascii="Calibri"/>
                <w:sz w:val="16"/>
              </w:rPr>
              <w:t>A</w:t>
            </w:r>
          </w:p>
        </w:tc>
        <w:tc>
          <w:tcPr>
            <w:tcW w:w="1133" w:type="dxa"/>
          </w:tcPr>
          <w:p w:rsidR="007D76BB" w:rsidRDefault="00D70D28">
            <w:pPr>
              <w:pStyle w:val="TableParagraph"/>
              <w:spacing w:before="56"/>
              <w:ind w:right="88"/>
              <w:jc w:val="right"/>
              <w:rPr>
                <w:rFonts w:ascii="Calibri"/>
                <w:sz w:val="10"/>
              </w:rPr>
            </w:pPr>
            <w:r>
              <w:rPr>
                <w:rFonts w:ascii="Calibri"/>
                <w:sz w:val="16"/>
              </w:rPr>
              <w:t>720</w:t>
            </w:r>
            <w:r>
              <w:rPr>
                <w:rFonts w:ascii="Calibri"/>
                <w:position w:val="5"/>
                <w:sz w:val="10"/>
              </w:rPr>
              <w:t>53</w:t>
            </w:r>
          </w:p>
        </w:tc>
        <w:tc>
          <w:tcPr>
            <w:tcW w:w="1873" w:type="dxa"/>
            <w:vMerge/>
            <w:tcBorders>
              <w:top w:val="nil"/>
            </w:tcBorders>
          </w:tcPr>
          <w:p w:rsidR="007D76BB" w:rsidRDefault="007D76BB">
            <w:pPr>
              <w:rPr>
                <w:sz w:val="2"/>
                <w:szCs w:val="2"/>
              </w:rPr>
            </w:pPr>
          </w:p>
        </w:tc>
      </w:tr>
      <w:tr w:rsidR="007D76BB">
        <w:trPr>
          <w:trHeight w:val="313"/>
        </w:trPr>
        <w:tc>
          <w:tcPr>
            <w:tcW w:w="1692" w:type="dxa"/>
            <w:vMerge w:val="restart"/>
            <w:shd w:val="clear" w:color="auto" w:fill="D9D9D9"/>
          </w:tcPr>
          <w:p w:rsidR="007D76BB" w:rsidRDefault="00D70D28">
            <w:pPr>
              <w:pStyle w:val="TableParagraph"/>
              <w:spacing w:before="125"/>
              <w:ind w:left="107" w:right="582"/>
              <w:rPr>
                <w:rFonts w:ascii="Calibri"/>
                <w:sz w:val="16"/>
              </w:rPr>
            </w:pPr>
            <w:r>
              <w:rPr>
                <w:rFonts w:ascii="Calibri"/>
                <w:sz w:val="16"/>
              </w:rPr>
              <w:t>Application for Inclusion</w:t>
            </w:r>
          </w:p>
        </w:tc>
        <w:tc>
          <w:tcPr>
            <w:tcW w:w="2693" w:type="dxa"/>
            <w:shd w:val="clear" w:color="auto" w:fill="D9D9D9"/>
          </w:tcPr>
          <w:p w:rsidR="007D76BB" w:rsidRDefault="00D70D28">
            <w:pPr>
              <w:pStyle w:val="TableParagraph"/>
              <w:spacing w:before="58"/>
              <w:ind w:left="107"/>
              <w:rPr>
                <w:rFonts w:ascii="Calibri"/>
                <w:sz w:val="16"/>
              </w:rPr>
            </w:pPr>
            <w:r>
              <w:rPr>
                <w:rFonts w:ascii="Calibri"/>
                <w:sz w:val="16"/>
              </w:rPr>
              <w:t>Review instructions</w:t>
            </w:r>
          </w:p>
        </w:tc>
        <w:tc>
          <w:tcPr>
            <w:tcW w:w="1433" w:type="dxa"/>
            <w:shd w:val="clear" w:color="auto" w:fill="D9D9D9"/>
          </w:tcPr>
          <w:p w:rsidR="007D76BB" w:rsidRDefault="00D70D28">
            <w:pPr>
              <w:pStyle w:val="TableParagraph"/>
              <w:spacing w:before="58"/>
              <w:ind w:left="15"/>
              <w:jc w:val="center"/>
              <w:rPr>
                <w:rFonts w:ascii="Calibri"/>
                <w:sz w:val="16"/>
              </w:rPr>
            </w:pPr>
            <w:r>
              <w:rPr>
                <w:rFonts w:ascii="Calibri"/>
                <w:sz w:val="16"/>
              </w:rPr>
              <w:t>A</w:t>
            </w:r>
          </w:p>
        </w:tc>
        <w:tc>
          <w:tcPr>
            <w:tcW w:w="1133" w:type="dxa"/>
            <w:shd w:val="clear" w:color="auto" w:fill="D9D9D9"/>
          </w:tcPr>
          <w:p w:rsidR="007D76BB" w:rsidRDefault="00D70D28">
            <w:pPr>
              <w:pStyle w:val="TableParagraph"/>
              <w:spacing w:before="58"/>
              <w:ind w:right="86"/>
              <w:jc w:val="right"/>
              <w:rPr>
                <w:rFonts w:ascii="Calibri"/>
                <w:sz w:val="16"/>
              </w:rPr>
            </w:pPr>
            <w:r>
              <w:rPr>
                <w:rFonts w:ascii="Calibri"/>
                <w:sz w:val="16"/>
              </w:rPr>
              <w:t>120</w:t>
            </w:r>
          </w:p>
        </w:tc>
        <w:tc>
          <w:tcPr>
            <w:tcW w:w="1873" w:type="dxa"/>
            <w:vMerge w:val="restart"/>
            <w:shd w:val="clear" w:color="auto" w:fill="D9D9D9"/>
          </w:tcPr>
          <w:p w:rsidR="007D76BB" w:rsidRDefault="007D76BB">
            <w:pPr>
              <w:pStyle w:val="TableParagraph"/>
              <w:rPr>
                <w:rFonts w:ascii="Times New Roman"/>
                <w:sz w:val="14"/>
              </w:rPr>
            </w:pPr>
          </w:p>
        </w:tc>
      </w:tr>
      <w:tr w:rsidR="007D76BB">
        <w:trPr>
          <w:trHeight w:val="311"/>
        </w:trPr>
        <w:tc>
          <w:tcPr>
            <w:tcW w:w="1692" w:type="dxa"/>
            <w:vMerge/>
            <w:tcBorders>
              <w:top w:val="nil"/>
            </w:tcBorders>
            <w:shd w:val="clear" w:color="auto" w:fill="D9D9D9"/>
          </w:tcPr>
          <w:p w:rsidR="007D76BB" w:rsidRDefault="007D76BB">
            <w:pPr>
              <w:rPr>
                <w:sz w:val="2"/>
                <w:szCs w:val="2"/>
              </w:rPr>
            </w:pPr>
          </w:p>
        </w:tc>
        <w:tc>
          <w:tcPr>
            <w:tcW w:w="2693" w:type="dxa"/>
            <w:shd w:val="clear" w:color="auto" w:fill="D9D9D9"/>
          </w:tcPr>
          <w:p w:rsidR="007D76BB" w:rsidRDefault="00D70D28">
            <w:pPr>
              <w:pStyle w:val="TableParagraph"/>
              <w:spacing w:before="56"/>
              <w:ind w:left="107"/>
              <w:rPr>
                <w:rFonts w:ascii="Calibri"/>
                <w:sz w:val="16"/>
              </w:rPr>
            </w:pPr>
            <w:r>
              <w:rPr>
                <w:rFonts w:ascii="Calibri"/>
                <w:sz w:val="16"/>
              </w:rPr>
              <w:t>Complete form</w:t>
            </w:r>
          </w:p>
        </w:tc>
        <w:tc>
          <w:tcPr>
            <w:tcW w:w="1433" w:type="dxa"/>
            <w:shd w:val="clear" w:color="auto" w:fill="D9D9D9"/>
          </w:tcPr>
          <w:p w:rsidR="007D76BB" w:rsidRDefault="00D70D28">
            <w:pPr>
              <w:pStyle w:val="TableParagraph"/>
              <w:spacing w:before="56"/>
              <w:ind w:left="15"/>
              <w:jc w:val="center"/>
              <w:rPr>
                <w:rFonts w:ascii="Calibri"/>
                <w:sz w:val="16"/>
              </w:rPr>
            </w:pPr>
            <w:r>
              <w:rPr>
                <w:rFonts w:ascii="Calibri"/>
                <w:sz w:val="16"/>
              </w:rPr>
              <w:t>A</w:t>
            </w:r>
          </w:p>
        </w:tc>
        <w:tc>
          <w:tcPr>
            <w:tcW w:w="1133" w:type="dxa"/>
            <w:shd w:val="clear" w:color="auto" w:fill="D9D9D9"/>
          </w:tcPr>
          <w:p w:rsidR="007D76BB" w:rsidRDefault="00D70D28">
            <w:pPr>
              <w:pStyle w:val="TableParagraph"/>
              <w:spacing w:before="56"/>
              <w:ind w:right="86"/>
              <w:jc w:val="right"/>
              <w:rPr>
                <w:rFonts w:ascii="Calibri"/>
                <w:sz w:val="16"/>
              </w:rPr>
            </w:pPr>
            <w:r>
              <w:rPr>
                <w:rFonts w:ascii="Calibri"/>
                <w:sz w:val="16"/>
              </w:rPr>
              <w:t>240</w:t>
            </w:r>
          </w:p>
        </w:tc>
        <w:tc>
          <w:tcPr>
            <w:tcW w:w="1873" w:type="dxa"/>
            <w:vMerge/>
            <w:tcBorders>
              <w:top w:val="nil"/>
            </w:tcBorders>
            <w:shd w:val="clear" w:color="auto" w:fill="D9D9D9"/>
          </w:tcPr>
          <w:p w:rsidR="007D76BB" w:rsidRDefault="007D76BB">
            <w:pPr>
              <w:rPr>
                <w:sz w:val="2"/>
                <w:szCs w:val="2"/>
              </w:rPr>
            </w:pPr>
          </w:p>
        </w:tc>
      </w:tr>
      <w:tr w:rsidR="007D76BB">
        <w:trPr>
          <w:trHeight w:val="311"/>
        </w:trPr>
        <w:tc>
          <w:tcPr>
            <w:tcW w:w="1692" w:type="dxa"/>
            <w:vMerge w:val="restart"/>
          </w:tcPr>
          <w:p w:rsidR="007D76BB" w:rsidRDefault="007D76BB">
            <w:pPr>
              <w:pStyle w:val="TableParagraph"/>
              <w:rPr>
                <w:rFonts w:ascii="Arial"/>
                <w:sz w:val="16"/>
              </w:rPr>
            </w:pPr>
          </w:p>
          <w:p w:rsidR="007D76BB" w:rsidRDefault="007D76BB">
            <w:pPr>
              <w:pStyle w:val="TableParagraph"/>
              <w:spacing w:before="10"/>
              <w:rPr>
                <w:rFonts w:ascii="Arial"/>
                <w:sz w:val="17"/>
              </w:rPr>
            </w:pPr>
          </w:p>
          <w:p w:rsidR="007D76BB" w:rsidRDefault="00D70D28">
            <w:pPr>
              <w:pStyle w:val="TableParagraph"/>
              <w:ind w:left="107"/>
              <w:rPr>
                <w:rFonts w:ascii="Calibri"/>
                <w:sz w:val="16"/>
              </w:rPr>
            </w:pPr>
            <w:r>
              <w:rPr>
                <w:rFonts w:ascii="Calibri"/>
                <w:sz w:val="16"/>
              </w:rPr>
              <w:t>Fees (initial)</w:t>
            </w:r>
          </w:p>
        </w:tc>
        <w:tc>
          <w:tcPr>
            <w:tcW w:w="2693" w:type="dxa"/>
          </w:tcPr>
          <w:p w:rsidR="007D76BB" w:rsidRDefault="00D70D28">
            <w:pPr>
              <w:pStyle w:val="TableParagraph"/>
              <w:spacing w:before="56"/>
              <w:ind w:left="107"/>
              <w:rPr>
                <w:rFonts w:ascii="Calibri"/>
                <w:sz w:val="16"/>
              </w:rPr>
            </w:pPr>
            <w:r>
              <w:rPr>
                <w:rFonts w:ascii="Calibri"/>
                <w:sz w:val="16"/>
              </w:rPr>
              <w:t>Receive invoice</w:t>
            </w:r>
          </w:p>
        </w:tc>
        <w:tc>
          <w:tcPr>
            <w:tcW w:w="1433" w:type="dxa"/>
          </w:tcPr>
          <w:p w:rsidR="007D76BB" w:rsidRDefault="00D70D28">
            <w:pPr>
              <w:pStyle w:val="TableParagraph"/>
              <w:spacing w:before="56"/>
              <w:ind w:left="15"/>
              <w:jc w:val="center"/>
              <w:rPr>
                <w:rFonts w:ascii="Calibri"/>
                <w:sz w:val="16"/>
              </w:rPr>
            </w:pPr>
            <w:r>
              <w:rPr>
                <w:rFonts w:ascii="Calibri"/>
                <w:sz w:val="16"/>
              </w:rPr>
              <w:t>A</w:t>
            </w:r>
          </w:p>
        </w:tc>
        <w:tc>
          <w:tcPr>
            <w:tcW w:w="1133" w:type="dxa"/>
          </w:tcPr>
          <w:p w:rsidR="007D76BB" w:rsidRDefault="00D70D28">
            <w:pPr>
              <w:pStyle w:val="TableParagraph"/>
              <w:spacing w:before="56"/>
              <w:ind w:right="88"/>
              <w:jc w:val="right"/>
              <w:rPr>
                <w:rFonts w:ascii="Calibri"/>
                <w:sz w:val="16"/>
              </w:rPr>
            </w:pPr>
            <w:r>
              <w:rPr>
                <w:rFonts w:ascii="Calibri"/>
                <w:sz w:val="16"/>
              </w:rPr>
              <w:t>5</w:t>
            </w:r>
          </w:p>
        </w:tc>
        <w:tc>
          <w:tcPr>
            <w:tcW w:w="1873" w:type="dxa"/>
            <w:vMerge w:val="restart"/>
          </w:tcPr>
          <w:p w:rsidR="007D76BB" w:rsidRDefault="007D76BB">
            <w:pPr>
              <w:pStyle w:val="TableParagraph"/>
              <w:rPr>
                <w:rFonts w:ascii="Times New Roman"/>
                <w:sz w:val="14"/>
              </w:rPr>
            </w:pPr>
          </w:p>
        </w:tc>
      </w:tr>
      <w:tr w:rsidR="007D76BB">
        <w:trPr>
          <w:trHeight w:val="313"/>
        </w:trPr>
        <w:tc>
          <w:tcPr>
            <w:tcW w:w="1692" w:type="dxa"/>
            <w:vMerge/>
            <w:tcBorders>
              <w:top w:val="nil"/>
            </w:tcBorders>
          </w:tcPr>
          <w:p w:rsidR="007D76BB" w:rsidRDefault="007D76BB">
            <w:pPr>
              <w:rPr>
                <w:sz w:val="2"/>
                <w:szCs w:val="2"/>
              </w:rPr>
            </w:pPr>
          </w:p>
        </w:tc>
        <w:tc>
          <w:tcPr>
            <w:tcW w:w="2693" w:type="dxa"/>
          </w:tcPr>
          <w:p w:rsidR="007D76BB" w:rsidRDefault="00D70D28">
            <w:pPr>
              <w:pStyle w:val="TableParagraph"/>
              <w:spacing w:before="58"/>
              <w:ind w:left="107"/>
              <w:rPr>
                <w:rFonts w:ascii="Calibri"/>
                <w:sz w:val="16"/>
              </w:rPr>
            </w:pPr>
            <w:r>
              <w:rPr>
                <w:rFonts w:ascii="Calibri"/>
                <w:sz w:val="16"/>
              </w:rPr>
              <w:t>Check invoice</w:t>
            </w:r>
          </w:p>
        </w:tc>
        <w:tc>
          <w:tcPr>
            <w:tcW w:w="1433" w:type="dxa"/>
          </w:tcPr>
          <w:p w:rsidR="007D76BB" w:rsidRDefault="00D70D28">
            <w:pPr>
              <w:pStyle w:val="TableParagraph"/>
              <w:spacing w:before="58"/>
              <w:ind w:left="15"/>
              <w:jc w:val="center"/>
              <w:rPr>
                <w:rFonts w:ascii="Calibri"/>
                <w:sz w:val="16"/>
              </w:rPr>
            </w:pPr>
            <w:r>
              <w:rPr>
                <w:rFonts w:ascii="Calibri"/>
                <w:sz w:val="16"/>
              </w:rPr>
              <w:t>A</w:t>
            </w:r>
          </w:p>
        </w:tc>
        <w:tc>
          <w:tcPr>
            <w:tcW w:w="1133" w:type="dxa"/>
          </w:tcPr>
          <w:p w:rsidR="007D76BB" w:rsidRDefault="00D70D28">
            <w:pPr>
              <w:pStyle w:val="TableParagraph"/>
              <w:spacing w:before="58"/>
              <w:ind w:right="88"/>
              <w:jc w:val="right"/>
              <w:rPr>
                <w:rFonts w:ascii="Calibri"/>
                <w:sz w:val="16"/>
              </w:rPr>
            </w:pPr>
            <w:r>
              <w:rPr>
                <w:rFonts w:ascii="Calibri"/>
                <w:sz w:val="16"/>
              </w:rPr>
              <w:t>20</w:t>
            </w:r>
          </w:p>
        </w:tc>
        <w:tc>
          <w:tcPr>
            <w:tcW w:w="1873" w:type="dxa"/>
            <w:vMerge/>
            <w:tcBorders>
              <w:top w:val="nil"/>
            </w:tcBorders>
          </w:tcPr>
          <w:p w:rsidR="007D76BB" w:rsidRDefault="007D76BB">
            <w:pPr>
              <w:rPr>
                <w:sz w:val="2"/>
                <w:szCs w:val="2"/>
              </w:rPr>
            </w:pPr>
          </w:p>
        </w:tc>
      </w:tr>
      <w:tr w:rsidR="007D76BB">
        <w:trPr>
          <w:trHeight w:val="311"/>
        </w:trPr>
        <w:tc>
          <w:tcPr>
            <w:tcW w:w="1692" w:type="dxa"/>
            <w:vMerge/>
            <w:tcBorders>
              <w:top w:val="nil"/>
            </w:tcBorders>
          </w:tcPr>
          <w:p w:rsidR="007D76BB" w:rsidRDefault="007D76BB">
            <w:pPr>
              <w:rPr>
                <w:sz w:val="2"/>
                <w:szCs w:val="2"/>
              </w:rPr>
            </w:pPr>
          </w:p>
        </w:tc>
        <w:tc>
          <w:tcPr>
            <w:tcW w:w="2693" w:type="dxa"/>
          </w:tcPr>
          <w:p w:rsidR="007D76BB" w:rsidRDefault="00D70D28">
            <w:pPr>
              <w:pStyle w:val="TableParagraph"/>
              <w:spacing w:before="56"/>
              <w:ind w:left="107"/>
              <w:rPr>
                <w:rFonts w:ascii="Calibri"/>
                <w:sz w:val="16"/>
              </w:rPr>
            </w:pPr>
            <w:r>
              <w:rPr>
                <w:rFonts w:ascii="Calibri"/>
                <w:sz w:val="16"/>
              </w:rPr>
              <w:t>Process invoice</w:t>
            </w:r>
          </w:p>
        </w:tc>
        <w:tc>
          <w:tcPr>
            <w:tcW w:w="1433" w:type="dxa"/>
          </w:tcPr>
          <w:p w:rsidR="007D76BB" w:rsidRDefault="00D70D28">
            <w:pPr>
              <w:pStyle w:val="TableParagraph"/>
              <w:spacing w:before="56"/>
              <w:ind w:left="15"/>
              <w:jc w:val="center"/>
              <w:rPr>
                <w:rFonts w:ascii="Calibri"/>
                <w:sz w:val="16"/>
              </w:rPr>
            </w:pPr>
            <w:r>
              <w:rPr>
                <w:rFonts w:ascii="Calibri"/>
                <w:sz w:val="16"/>
              </w:rPr>
              <w:t>A</w:t>
            </w:r>
          </w:p>
        </w:tc>
        <w:tc>
          <w:tcPr>
            <w:tcW w:w="1133" w:type="dxa"/>
          </w:tcPr>
          <w:p w:rsidR="007D76BB" w:rsidRDefault="00D70D28">
            <w:pPr>
              <w:pStyle w:val="TableParagraph"/>
              <w:spacing w:before="56"/>
              <w:ind w:right="88"/>
              <w:jc w:val="right"/>
              <w:rPr>
                <w:rFonts w:ascii="Calibri"/>
                <w:sz w:val="16"/>
              </w:rPr>
            </w:pPr>
            <w:r>
              <w:rPr>
                <w:rFonts w:ascii="Calibri"/>
                <w:sz w:val="16"/>
              </w:rPr>
              <w:t>5</w:t>
            </w:r>
          </w:p>
        </w:tc>
        <w:tc>
          <w:tcPr>
            <w:tcW w:w="1873" w:type="dxa"/>
            <w:vMerge/>
            <w:tcBorders>
              <w:top w:val="nil"/>
            </w:tcBorders>
          </w:tcPr>
          <w:p w:rsidR="007D76BB" w:rsidRDefault="007D76BB">
            <w:pPr>
              <w:rPr>
                <w:sz w:val="2"/>
                <w:szCs w:val="2"/>
              </w:rPr>
            </w:pPr>
          </w:p>
        </w:tc>
      </w:tr>
      <w:tr w:rsidR="007D76BB">
        <w:trPr>
          <w:trHeight w:val="311"/>
        </w:trPr>
        <w:tc>
          <w:tcPr>
            <w:tcW w:w="1692" w:type="dxa"/>
            <w:vMerge w:val="restart"/>
            <w:shd w:val="clear" w:color="auto" w:fill="D9D9D9"/>
          </w:tcPr>
          <w:p w:rsidR="007D76BB" w:rsidRDefault="007D76BB">
            <w:pPr>
              <w:pStyle w:val="TableParagraph"/>
              <w:rPr>
                <w:rFonts w:ascii="Arial"/>
                <w:sz w:val="16"/>
              </w:rPr>
            </w:pPr>
          </w:p>
          <w:p w:rsidR="007D76BB" w:rsidRDefault="007D76BB">
            <w:pPr>
              <w:pStyle w:val="TableParagraph"/>
              <w:spacing w:before="10"/>
              <w:rPr>
                <w:rFonts w:ascii="Arial"/>
                <w:sz w:val="17"/>
              </w:rPr>
            </w:pPr>
          </w:p>
          <w:p w:rsidR="007D76BB" w:rsidRDefault="00D70D28">
            <w:pPr>
              <w:pStyle w:val="TableParagraph"/>
              <w:ind w:left="107"/>
              <w:rPr>
                <w:rFonts w:ascii="Calibri"/>
                <w:sz w:val="16"/>
              </w:rPr>
            </w:pPr>
            <w:r>
              <w:rPr>
                <w:rFonts w:ascii="Calibri"/>
                <w:sz w:val="16"/>
              </w:rPr>
              <w:t>ARTG Issued</w:t>
            </w:r>
          </w:p>
        </w:tc>
        <w:tc>
          <w:tcPr>
            <w:tcW w:w="2693" w:type="dxa"/>
            <w:shd w:val="clear" w:color="auto" w:fill="D9D9D9"/>
          </w:tcPr>
          <w:p w:rsidR="007D76BB" w:rsidRDefault="00D70D28">
            <w:pPr>
              <w:pStyle w:val="TableParagraph"/>
              <w:spacing w:before="56"/>
              <w:ind w:left="107"/>
              <w:rPr>
                <w:rFonts w:ascii="Calibri"/>
                <w:sz w:val="16"/>
              </w:rPr>
            </w:pPr>
            <w:r>
              <w:rPr>
                <w:rFonts w:ascii="Calibri"/>
                <w:sz w:val="16"/>
              </w:rPr>
              <w:t>Log-in/download certificate</w:t>
            </w:r>
          </w:p>
        </w:tc>
        <w:tc>
          <w:tcPr>
            <w:tcW w:w="1433" w:type="dxa"/>
            <w:shd w:val="clear" w:color="auto" w:fill="D9D9D9"/>
          </w:tcPr>
          <w:p w:rsidR="007D76BB" w:rsidRDefault="00D70D28">
            <w:pPr>
              <w:pStyle w:val="TableParagraph"/>
              <w:spacing w:before="56"/>
              <w:ind w:left="15"/>
              <w:jc w:val="center"/>
              <w:rPr>
                <w:rFonts w:ascii="Calibri"/>
                <w:sz w:val="16"/>
              </w:rPr>
            </w:pPr>
            <w:r>
              <w:rPr>
                <w:rFonts w:ascii="Calibri"/>
                <w:sz w:val="16"/>
              </w:rPr>
              <w:t>A</w:t>
            </w:r>
          </w:p>
        </w:tc>
        <w:tc>
          <w:tcPr>
            <w:tcW w:w="1133" w:type="dxa"/>
            <w:shd w:val="clear" w:color="auto" w:fill="D9D9D9"/>
          </w:tcPr>
          <w:p w:rsidR="007D76BB" w:rsidRDefault="00D70D28">
            <w:pPr>
              <w:pStyle w:val="TableParagraph"/>
              <w:spacing w:before="56"/>
              <w:ind w:right="88"/>
              <w:jc w:val="right"/>
              <w:rPr>
                <w:rFonts w:ascii="Calibri"/>
                <w:sz w:val="16"/>
              </w:rPr>
            </w:pPr>
            <w:r>
              <w:rPr>
                <w:rFonts w:ascii="Calibri"/>
                <w:sz w:val="16"/>
              </w:rPr>
              <w:t>10</w:t>
            </w:r>
          </w:p>
        </w:tc>
        <w:tc>
          <w:tcPr>
            <w:tcW w:w="1873" w:type="dxa"/>
            <w:vMerge w:val="restart"/>
            <w:shd w:val="clear" w:color="auto" w:fill="D9D9D9"/>
          </w:tcPr>
          <w:p w:rsidR="007D76BB" w:rsidRDefault="007D76BB">
            <w:pPr>
              <w:pStyle w:val="TableParagraph"/>
              <w:rPr>
                <w:rFonts w:ascii="Times New Roman"/>
                <w:sz w:val="14"/>
              </w:rPr>
            </w:pPr>
          </w:p>
        </w:tc>
      </w:tr>
      <w:tr w:rsidR="007D76BB">
        <w:trPr>
          <w:trHeight w:val="313"/>
        </w:trPr>
        <w:tc>
          <w:tcPr>
            <w:tcW w:w="1692" w:type="dxa"/>
            <w:vMerge/>
            <w:tcBorders>
              <w:top w:val="nil"/>
            </w:tcBorders>
            <w:shd w:val="clear" w:color="auto" w:fill="D9D9D9"/>
          </w:tcPr>
          <w:p w:rsidR="007D76BB" w:rsidRDefault="007D76BB">
            <w:pPr>
              <w:rPr>
                <w:sz w:val="2"/>
                <w:szCs w:val="2"/>
              </w:rPr>
            </w:pPr>
          </w:p>
        </w:tc>
        <w:tc>
          <w:tcPr>
            <w:tcW w:w="2693" w:type="dxa"/>
            <w:shd w:val="clear" w:color="auto" w:fill="D9D9D9"/>
          </w:tcPr>
          <w:p w:rsidR="007D76BB" w:rsidRDefault="00D70D28">
            <w:pPr>
              <w:pStyle w:val="TableParagraph"/>
              <w:spacing w:before="58"/>
              <w:ind w:left="107"/>
              <w:rPr>
                <w:rFonts w:ascii="Calibri"/>
                <w:sz w:val="16"/>
              </w:rPr>
            </w:pPr>
            <w:r>
              <w:rPr>
                <w:rFonts w:ascii="Calibri"/>
                <w:sz w:val="16"/>
              </w:rPr>
              <w:t>Review certificate</w:t>
            </w:r>
          </w:p>
        </w:tc>
        <w:tc>
          <w:tcPr>
            <w:tcW w:w="1433" w:type="dxa"/>
            <w:shd w:val="clear" w:color="auto" w:fill="D9D9D9"/>
          </w:tcPr>
          <w:p w:rsidR="007D76BB" w:rsidRDefault="00D70D28">
            <w:pPr>
              <w:pStyle w:val="TableParagraph"/>
              <w:spacing w:before="58"/>
              <w:ind w:left="15"/>
              <w:jc w:val="center"/>
              <w:rPr>
                <w:rFonts w:ascii="Calibri"/>
                <w:sz w:val="16"/>
              </w:rPr>
            </w:pPr>
            <w:r>
              <w:rPr>
                <w:rFonts w:ascii="Calibri"/>
                <w:sz w:val="16"/>
              </w:rPr>
              <w:t>A</w:t>
            </w:r>
          </w:p>
        </w:tc>
        <w:tc>
          <w:tcPr>
            <w:tcW w:w="1133" w:type="dxa"/>
            <w:shd w:val="clear" w:color="auto" w:fill="D9D9D9"/>
          </w:tcPr>
          <w:p w:rsidR="007D76BB" w:rsidRDefault="00D70D28">
            <w:pPr>
              <w:pStyle w:val="TableParagraph"/>
              <w:spacing w:before="58"/>
              <w:ind w:right="88"/>
              <w:jc w:val="right"/>
              <w:rPr>
                <w:rFonts w:ascii="Calibri"/>
                <w:sz w:val="16"/>
              </w:rPr>
            </w:pPr>
            <w:r>
              <w:rPr>
                <w:rFonts w:ascii="Calibri"/>
                <w:sz w:val="16"/>
              </w:rPr>
              <w:t>30</w:t>
            </w:r>
          </w:p>
        </w:tc>
        <w:tc>
          <w:tcPr>
            <w:tcW w:w="1873" w:type="dxa"/>
            <w:vMerge/>
            <w:tcBorders>
              <w:top w:val="nil"/>
            </w:tcBorders>
            <w:shd w:val="clear" w:color="auto" w:fill="D9D9D9"/>
          </w:tcPr>
          <w:p w:rsidR="007D76BB" w:rsidRDefault="007D76BB">
            <w:pPr>
              <w:rPr>
                <w:sz w:val="2"/>
                <w:szCs w:val="2"/>
              </w:rPr>
            </w:pPr>
          </w:p>
        </w:tc>
      </w:tr>
      <w:tr w:rsidR="007D76BB">
        <w:trPr>
          <w:trHeight w:val="311"/>
        </w:trPr>
        <w:tc>
          <w:tcPr>
            <w:tcW w:w="1692" w:type="dxa"/>
            <w:vMerge/>
            <w:tcBorders>
              <w:top w:val="nil"/>
            </w:tcBorders>
            <w:shd w:val="clear" w:color="auto" w:fill="D9D9D9"/>
          </w:tcPr>
          <w:p w:rsidR="007D76BB" w:rsidRDefault="007D76BB">
            <w:pPr>
              <w:rPr>
                <w:sz w:val="2"/>
                <w:szCs w:val="2"/>
              </w:rPr>
            </w:pPr>
          </w:p>
        </w:tc>
        <w:tc>
          <w:tcPr>
            <w:tcW w:w="2693" w:type="dxa"/>
            <w:shd w:val="clear" w:color="auto" w:fill="D9D9D9"/>
          </w:tcPr>
          <w:p w:rsidR="007D76BB" w:rsidRDefault="00D70D28">
            <w:pPr>
              <w:pStyle w:val="TableParagraph"/>
              <w:spacing w:before="56"/>
              <w:ind w:left="107"/>
              <w:rPr>
                <w:rFonts w:ascii="Calibri"/>
                <w:sz w:val="16"/>
              </w:rPr>
            </w:pPr>
            <w:r>
              <w:rPr>
                <w:rFonts w:ascii="Calibri"/>
                <w:sz w:val="16"/>
              </w:rPr>
              <w:t>File/distribute certificate</w:t>
            </w:r>
          </w:p>
        </w:tc>
        <w:tc>
          <w:tcPr>
            <w:tcW w:w="1433" w:type="dxa"/>
            <w:shd w:val="clear" w:color="auto" w:fill="D9D9D9"/>
          </w:tcPr>
          <w:p w:rsidR="007D76BB" w:rsidRDefault="00D70D28">
            <w:pPr>
              <w:pStyle w:val="TableParagraph"/>
              <w:spacing w:before="56"/>
              <w:ind w:left="15"/>
              <w:jc w:val="center"/>
              <w:rPr>
                <w:rFonts w:ascii="Calibri"/>
                <w:sz w:val="16"/>
              </w:rPr>
            </w:pPr>
            <w:r>
              <w:rPr>
                <w:rFonts w:ascii="Calibri"/>
                <w:sz w:val="16"/>
              </w:rPr>
              <w:t>A</w:t>
            </w:r>
          </w:p>
        </w:tc>
        <w:tc>
          <w:tcPr>
            <w:tcW w:w="1133" w:type="dxa"/>
            <w:shd w:val="clear" w:color="auto" w:fill="D9D9D9"/>
          </w:tcPr>
          <w:p w:rsidR="007D76BB" w:rsidRDefault="00D70D28">
            <w:pPr>
              <w:pStyle w:val="TableParagraph"/>
              <w:spacing w:before="56"/>
              <w:ind w:right="88"/>
              <w:jc w:val="right"/>
              <w:rPr>
                <w:rFonts w:ascii="Calibri"/>
                <w:sz w:val="16"/>
              </w:rPr>
            </w:pPr>
            <w:r>
              <w:rPr>
                <w:rFonts w:ascii="Calibri"/>
                <w:sz w:val="16"/>
              </w:rPr>
              <w:t>30</w:t>
            </w:r>
          </w:p>
        </w:tc>
        <w:tc>
          <w:tcPr>
            <w:tcW w:w="1873" w:type="dxa"/>
            <w:vMerge/>
            <w:tcBorders>
              <w:top w:val="nil"/>
            </w:tcBorders>
            <w:shd w:val="clear" w:color="auto" w:fill="D9D9D9"/>
          </w:tcPr>
          <w:p w:rsidR="007D76BB" w:rsidRDefault="007D76BB">
            <w:pPr>
              <w:rPr>
                <w:sz w:val="2"/>
                <w:szCs w:val="2"/>
              </w:rPr>
            </w:pPr>
          </w:p>
        </w:tc>
      </w:tr>
      <w:tr w:rsidR="007D76BB">
        <w:trPr>
          <w:trHeight w:val="196"/>
        </w:trPr>
        <w:tc>
          <w:tcPr>
            <w:tcW w:w="1692" w:type="dxa"/>
            <w:vMerge w:val="restart"/>
          </w:tcPr>
          <w:p w:rsidR="007D76BB" w:rsidRDefault="007D76BB">
            <w:pPr>
              <w:pStyle w:val="TableParagraph"/>
              <w:spacing w:before="10"/>
              <w:rPr>
                <w:rFonts w:ascii="Arial"/>
                <w:sz w:val="19"/>
              </w:rPr>
            </w:pPr>
          </w:p>
          <w:p w:rsidR="007D76BB" w:rsidRDefault="00D70D28">
            <w:pPr>
              <w:pStyle w:val="TableParagraph"/>
              <w:ind w:left="107"/>
              <w:rPr>
                <w:rFonts w:ascii="Calibri"/>
                <w:sz w:val="16"/>
              </w:rPr>
            </w:pPr>
            <w:r>
              <w:rPr>
                <w:rFonts w:ascii="Calibri"/>
                <w:sz w:val="16"/>
              </w:rPr>
              <w:t>Fees (ongoing)</w:t>
            </w:r>
          </w:p>
        </w:tc>
        <w:tc>
          <w:tcPr>
            <w:tcW w:w="2693" w:type="dxa"/>
          </w:tcPr>
          <w:p w:rsidR="007D76BB" w:rsidRDefault="00D70D28">
            <w:pPr>
              <w:pStyle w:val="TableParagraph"/>
              <w:spacing w:line="176" w:lineRule="exact"/>
              <w:ind w:left="107"/>
              <w:rPr>
                <w:rFonts w:ascii="Calibri"/>
                <w:sz w:val="16"/>
              </w:rPr>
            </w:pPr>
            <w:r>
              <w:rPr>
                <w:rFonts w:ascii="Calibri"/>
                <w:sz w:val="16"/>
              </w:rPr>
              <w:t>Receive invoice</w:t>
            </w:r>
          </w:p>
        </w:tc>
        <w:tc>
          <w:tcPr>
            <w:tcW w:w="1433" w:type="dxa"/>
          </w:tcPr>
          <w:p w:rsidR="007D76BB" w:rsidRDefault="00D70D28">
            <w:pPr>
              <w:pStyle w:val="TableParagraph"/>
              <w:spacing w:line="176" w:lineRule="exact"/>
              <w:ind w:left="15"/>
              <w:jc w:val="center"/>
              <w:rPr>
                <w:rFonts w:ascii="Calibri"/>
                <w:sz w:val="16"/>
              </w:rPr>
            </w:pPr>
            <w:r>
              <w:rPr>
                <w:rFonts w:ascii="Calibri"/>
                <w:sz w:val="16"/>
              </w:rPr>
              <w:t>A</w:t>
            </w:r>
          </w:p>
        </w:tc>
        <w:tc>
          <w:tcPr>
            <w:tcW w:w="1133" w:type="dxa"/>
          </w:tcPr>
          <w:p w:rsidR="007D76BB" w:rsidRDefault="00D70D28">
            <w:pPr>
              <w:pStyle w:val="TableParagraph"/>
              <w:spacing w:line="176" w:lineRule="exact"/>
              <w:ind w:right="88"/>
              <w:jc w:val="right"/>
              <w:rPr>
                <w:rFonts w:ascii="Calibri"/>
                <w:sz w:val="16"/>
              </w:rPr>
            </w:pPr>
            <w:r>
              <w:rPr>
                <w:rFonts w:ascii="Calibri"/>
                <w:sz w:val="16"/>
              </w:rPr>
              <w:t>5</w:t>
            </w:r>
          </w:p>
        </w:tc>
        <w:tc>
          <w:tcPr>
            <w:tcW w:w="1873" w:type="dxa"/>
            <w:vMerge w:val="restart"/>
          </w:tcPr>
          <w:p w:rsidR="007D76BB" w:rsidRDefault="007D76BB">
            <w:pPr>
              <w:pStyle w:val="TableParagraph"/>
              <w:rPr>
                <w:rFonts w:ascii="Times New Roman"/>
                <w:sz w:val="14"/>
              </w:rPr>
            </w:pPr>
          </w:p>
        </w:tc>
      </w:tr>
      <w:tr w:rsidR="007D76BB">
        <w:trPr>
          <w:trHeight w:val="193"/>
        </w:trPr>
        <w:tc>
          <w:tcPr>
            <w:tcW w:w="1692" w:type="dxa"/>
            <w:vMerge/>
            <w:tcBorders>
              <w:top w:val="nil"/>
            </w:tcBorders>
          </w:tcPr>
          <w:p w:rsidR="007D76BB" w:rsidRDefault="007D76BB">
            <w:pPr>
              <w:rPr>
                <w:sz w:val="2"/>
                <w:szCs w:val="2"/>
              </w:rPr>
            </w:pPr>
          </w:p>
        </w:tc>
        <w:tc>
          <w:tcPr>
            <w:tcW w:w="2693" w:type="dxa"/>
          </w:tcPr>
          <w:p w:rsidR="007D76BB" w:rsidRDefault="00D70D28">
            <w:pPr>
              <w:pStyle w:val="TableParagraph"/>
              <w:spacing w:line="174" w:lineRule="exact"/>
              <w:ind w:left="107"/>
              <w:rPr>
                <w:rFonts w:ascii="Calibri"/>
                <w:sz w:val="16"/>
              </w:rPr>
            </w:pPr>
            <w:r>
              <w:rPr>
                <w:rFonts w:ascii="Calibri"/>
                <w:sz w:val="16"/>
              </w:rPr>
              <w:t>Check invoice</w:t>
            </w:r>
          </w:p>
        </w:tc>
        <w:tc>
          <w:tcPr>
            <w:tcW w:w="1433" w:type="dxa"/>
          </w:tcPr>
          <w:p w:rsidR="007D76BB" w:rsidRDefault="00D70D28">
            <w:pPr>
              <w:pStyle w:val="TableParagraph"/>
              <w:spacing w:line="174" w:lineRule="exact"/>
              <w:ind w:left="15"/>
              <w:jc w:val="center"/>
              <w:rPr>
                <w:rFonts w:ascii="Calibri"/>
                <w:sz w:val="16"/>
              </w:rPr>
            </w:pPr>
            <w:r>
              <w:rPr>
                <w:rFonts w:ascii="Calibri"/>
                <w:sz w:val="16"/>
              </w:rPr>
              <w:t>A</w:t>
            </w:r>
          </w:p>
        </w:tc>
        <w:tc>
          <w:tcPr>
            <w:tcW w:w="1133" w:type="dxa"/>
          </w:tcPr>
          <w:p w:rsidR="007D76BB" w:rsidRDefault="00D70D28">
            <w:pPr>
              <w:pStyle w:val="TableParagraph"/>
              <w:spacing w:line="174" w:lineRule="exact"/>
              <w:ind w:right="88"/>
              <w:jc w:val="right"/>
              <w:rPr>
                <w:rFonts w:ascii="Calibri"/>
                <w:sz w:val="16"/>
              </w:rPr>
            </w:pPr>
            <w:r>
              <w:rPr>
                <w:rFonts w:ascii="Calibri"/>
                <w:sz w:val="16"/>
              </w:rPr>
              <w:t>20</w:t>
            </w:r>
          </w:p>
        </w:tc>
        <w:tc>
          <w:tcPr>
            <w:tcW w:w="1873" w:type="dxa"/>
            <w:vMerge/>
            <w:tcBorders>
              <w:top w:val="nil"/>
            </w:tcBorders>
          </w:tcPr>
          <w:p w:rsidR="007D76BB" w:rsidRDefault="007D76BB">
            <w:pPr>
              <w:rPr>
                <w:sz w:val="2"/>
                <w:szCs w:val="2"/>
              </w:rPr>
            </w:pPr>
          </w:p>
        </w:tc>
      </w:tr>
      <w:tr w:rsidR="007D76BB">
        <w:trPr>
          <w:trHeight w:val="224"/>
        </w:trPr>
        <w:tc>
          <w:tcPr>
            <w:tcW w:w="1692" w:type="dxa"/>
            <w:vMerge/>
            <w:tcBorders>
              <w:top w:val="nil"/>
            </w:tcBorders>
          </w:tcPr>
          <w:p w:rsidR="007D76BB" w:rsidRDefault="007D76BB">
            <w:pPr>
              <w:rPr>
                <w:sz w:val="2"/>
                <w:szCs w:val="2"/>
              </w:rPr>
            </w:pPr>
          </w:p>
        </w:tc>
        <w:tc>
          <w:tcPr>
            <w:tcW w:w="2693" w:type="dxa"/>
          </w:tcPr>
          <w:p w:rsidR="007D76BB" w:rsidRDefault="00D70D28">
            <w:pPr>
              <w:pStyle w:val="TableParagraph"/>
              <w:spacing w:before="15" w:line="190" w:lineRule="exact"/>
              <w:ind w:left="107"/>
              <w:rPr>
                <w:rFonts w:ascii="Calibri"/>
                <w:sz w:val="16"/>
              </w:rPr>
            </w:pPr>
            <w:r>
              <w:rPr>
                <w:rFonts w:ascii="Calibri"/>
                <w:sz w:val="16"/>
              </w:rPr>
              <w:t>Process invoice</w:t>
            </w:r>
          </w:p>
        </w:tc>
        <w:tc>
          <w:tcPr>
            <w:tcW w:w="1433" w:type="dxa"/>
          </w:tcPr>
          <w:p w:rsidR="007D76BB" w:rsidRDefault="00D70D28">
            <w:pPr>
              <w:pStyle w:val="TableParagraph"/>
              <w:spacing w:before="15" w:line="190" w:lineRule="exact"/>
              <w:ind w:left="15"/>
              <w:jc w:val="center"/>
              <w:rPr>
                <w:rFonts w:ascii="Calibri"/>
                <w:sz w:val="16"/>
              </w:rPr>
            </w:pPr>
            <w:r>
              <w:rPr>
                <w:rFonts w:ascii="Calibri"/>
                <w:sz w:val="16"/>
              </w:rPr>
              <w:t>A</w:t>
            </w:r>
          </w:p>
        </w:tc>
        <w:tc>
          <w:tcPr>
            <w:tcW w:w="1133" w:type="dxa"/>
          </w:tcPr>
          <w:p w:rsidR="007D76BB" w:rsidRDefault="00D70D28">
            <w:pPr>
              <w:pStyle w:val="TableParagraph"/>
              <w:spacing w:before="15" w:line="190" w:lineRule="exact"/>
              <w:ind w:right="88"/>
              <w:jc w:val="right"/>
              <w:rPr>
                <w:rFonts w:ascii="Calibri"/>
                <w:sz w:val="16"/>
              </w:rPr>
            </w:pPr>
            <w:r>
              <w:rPr>
                <w:rFonts w:ascii="Calibri"/>
                <w:sz w:val="16"/>
              </w:rPr>
              <w:t>5</w:t>
            </w:r>
          </w:p>
        </w:tc>
        <w:tc>
          <w:tcPr>
            <w:tcW w:w="1873" w:type="dxa"/>
            <w:vMerge/>
            <w:tcBorders>
              <w:top w:val="nil"/>
            </w:tcBorders>
          </w:tcPr>
          <w:p w:rsidR="007D76BB" w:rsidRDefault="007D76BB">
            <w:pPr>
              <w:rPr>
                <w:sz w:val="2"/>
                <w:szCs w:val="2"/>
              </w:rPr>
            </w:pPr>
          </w:p>
        </w:tc>
      </w:tr>
      <w:tr w:rsidR="007D76BB">
        <w:trPr>
          <w:trHeight w:val="390"/>
        </w:trPr>
        <w:tc>
          <w:tcPr>
            <w:tcW w:w="1692" w:type="dxa"/>
            <w:vMerge w:val="restart"/>
            <w:shd w:val="clear" w:color="auto" w:fill="D9D9D9"/>
          </w:tcPr>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spacing w:before="2"/>
              <w:rPr>
                <w:rFonts w:ascii="Arial"/>
                <w:sz w:val="14"/>
              </w:rPr>
            </w:pPr>
          </w:p>
          <w:p w:rsidR="007D76BB" w:rsidRDefault="00D70D28">
            <w:pPr>
              <w:pStyle w:val="TableParagraph"/>
              <w:spacing w:before="1"/>
              <w:ind w:left="107"/>
              <w:rPr>
                <w:rFonts w:ascii="Calibri"/>
                <w:sz w:val="16"/>
              </w:rPr>
            </w:pPr>
            <w:r>
              <w:rPr>
                <w:rFonts w:ascii="Calibri"/>
                <w:sz w:val="16"/>
              </w:rPr>
              <w:t>Post-market activities</w:t>
            </w:r>
          </w:p>
        </w:tc>
        <w:tc>
          <w:tcPr>
            <w:tcW w:w="2693" w:type="dxa"/>
            <w:shd w:val="clear" w:color="auto" w:fill="D9D9D9"/>
          </w:tcPr>
          <w:p w:rsidR="007D76BB" w:rsidRDefault="00D70D28">
            <w:pPr>
              <w:pStyle w:val="TableParagraph"/>
              <w:spacing w:before="1" w:line="195" w:lineRule="exact"/>
              <w:ind w:left="107"/>
              <w:rPr>
                <w:rFonts w:ascii="Calibri"/>
                <w:sz w:val="16"/>
              </w:rPr>
            </w:pPr>
            <w:r>
              <w:rPr>
                <w:rFonts w:ascii="Calibri"/>
                <w:sz w:val="16"/>
              </w:rPr>
              <w:t>Maintain relationship with</w:t>
            </w:r>
          </w:p>
          <w:p w:rsidR="007D76BB" w:rsidRDefault="00D70D28">
            <w:pPr>
              <w:pStyle w:val="TableParagraph"/>
              <w:spacing w:line="175" w:lineRule="exact"/>
              <w:ind w:left="107"/>
              <w:rPr>
                <w:rFonts w:ascii="Calibri"/>
                <w:sz w:val="16"/>
              </w:rPr>
            </w:pPr>
            <w:r>
              <w:rPr>
                <w:rFonts w:ascii="Calibri"/>
                <w:sz w:val="16"/>
              </w:rPr>
              <w:t>manufacturer</w:t>
            </w:r>
          </w:p>
        </w:tc>
        <w:tc>
          <w:tcPr>
            <w:tcW w:w="1433" w:type="dxa"/>
            <w:shd w:val="clear" w:color="auto" w:fill="D9D9D9"/>
          </w:tcPr>
          <w:p w:rsidR="007D76BB" w:rsidRDefault="00D70D28">
            <w:pPr>
              <w:pStyle w:val="TableParagraph"/>
              <w:spacing w:before="97"/>
              <w:ind w:left="18"/>
              <w:jc w:val="center"/>
              <w:rPr>
                <w:rFonts w:ascii="Calibri"/>
                <w:sz w:val="16"/>
              </w:rPr>
            </w:pPr>
            <w:r>
              <w:rPr>
                <w:rFonts w:ascii="Calibri"/>
                <w:sz w:val="16"/>
              </w:rPr>
              <w:t>O</w:t>
            </w:r>
          </w:p>
        </w:tc>
        <w:tc>
          <w:tcPr>
            <w:tcW w:w="1133" w:type="dxa"/>
            <w:shd w:val="clear" w:color="auto" w:fill="D9D9D9"/>
          </w:tcPr>
          <w:p w:rsidR="007D76BB" w:rsidRDefault="00D70D28">
            <w:pPr>
              <w:pStyle w:val="TableParagraph"/>
              <w:spacing w:before="97"/>
              <w:ind w:right="88"/>
              <w:jc w:val="right"/>
              <w:rPr>
                <w:rFonts w:ascii="Calibri"/>
                <w:sz w:val="16"/>
              </w:rPr>
            </w:pPr>
            <w:r>
              <w:rPr>
                <w:rFonts w:ascii="Calibri"/>
                <w:sz w:val="16"/>
              </w:rPr>
              <w:t>30</w:t>
            </w:r>
          </w:p>
        </w:tc>
        <w:tc>
          <w:tcPr>
            <w:tcW w:w="1873" w:type="dxa"/>
            <w:vMerge w:val="restart"/>
            <w:shd w:val="clear" w:color="auto" w:fill="D9D9D9"/>
          </w:tcPr>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rPr>
                <w:rFonts w:ascii="Arial"/>
                <w:sz w:val="16"/>
              </w:rPr>
            </w:pPr>
          </w:p>
          <w:p w:rsidR="007D76BB" w:rsidRDefault="007D76BB">
            <w:pPr>
              <w:pStyle w:val="TableParagraph"/>
              <w:spacing w:before="6"/>
              <w:rPr>
                <w:rFonts w:ascii="Arial"/>
                <w:sz w:val="13"/>
              </w:rPr>
            </w:pPr>
          </w:p>
          <w:p w:rsidR="007D76BB" w:rsidRDefault="00D70D28">
            <w:pPr>
              <w:pStyle w:val="TableParagraph"/>
              <w:ind w:left="108"/>
              <w:rPr>
                <w:rFonts w:ascii="Calibri"/>
                <w:sz w:val="16"/>
              </w:rPr>
            </w:pPr>
            <w:r>
              <w:rPr>
                <w:rFonts w:ascii="Calibri"/>
                <w:sz w:val="16"/>
              </w:rPr>
              <w:t>.</w:t>
            </w:r>
          </w:p>
        </w:tc>
      </w:tr>
      <w:tr w:rsidR="007D76BB">
        <w:trPr>
          <w:trHeight w:val="781"/>
        </w:trPr>
        <w:tc>
          <w:tcPr>
            <w:tcW w:w="1692" w:type="dxa"/>
            <w:vMerge/>
            <w:tcBorders>
              <w:top w:val="nil"/>
            </w:tcBorders>
            <w:shd w:val="clear" w:color="auto" w:fill="D9D9D9"/>
          </w:tcPr>
          <w:p w:rsidR="007D76BB" w:rsidRDefault="007D76BB">
            <w:pPr>
              <w:rPr>
                <w:sz w:val="2"/>
                <w:szCs w:val="2"/>
              </w:rPr>
            </w:pPr>
          </w:p>
        </w:tc>
        <w:tc>
          <w:tcPr>
            <w:tcW w:w="2693" w:type="dxa"/>
            <w:shd w:val="clear" w:color="auto" w:fill="D9D9D9"/>
          </w:tcPr>
          <w:p w:rsidR="007D76BB" w:rsidRDefault="00D70D28">
            <w:pPr>
              <w:pStyle w:val="TableParagraph"/>
              <w:spacing w:before="1"/>
              <w:ind w:left="107" w:right="530"/>
              <w:jc w:val="both"/>
              <w:rPr>
                <w:rFonts w:ascii="Calibri"/>
                <w:sz w:val="16"/>
              </w:rPr>
            </w:pPr>
            <w:r>
              <w:rPr>
                <w:rFonts w:ascii="Calibri"/>
                <w:sz w:val="16"/>
              </w:rPr>
              <w:t xml:space="preserve">Ensure information is available (maintaining accurate records), </w:t>
            </w:r>
            <w:proofErr w:type="spellStart"/>
            <w:r>
              <w:rPr>
                <w:rFonts w:ascii="Calibri"/>
                <w:sz w:val="16"/>
              </w:rPr>
              <w:t>cognisant</w:t>
            </w:r>
            <w:proofErr w:type="spellEnd"/>
            <w:r>
              <w:rPr>
                <w:rFonts w:ascii="Calibri"/>
                <w:sz w:val="16"/>
              </w:rPr>
              <w:t xml:space="preserve"> of any changes to</w:t>
            </w:r>
          </w:p>
          <w:p w:rsidR="007D76BB" w:rsidRDefault="00D70D28">
            <w:pPr>
              <w:pStyle w:val="TableParagraph"/>
              <w:spacing w:line="175" w:lineRule="exact"/>
              <w:ind w:left="107"/>
              <w:rPr>
                <w:rFonts w:ascii="Calibri"/>
                <w:sz w:val="16"/>
              </w:rPr>
            </w:pPr>
            <w:r>
              <w:rPr>
                <w:rFonts w:ascii="Calibri"/>
                <w:sz w:val="16"/>
              </w:rPr>
              <w:t>legislation/guidance</w:t>
            </w:r>
          </w:p>
        </w:tc>
        <w:tc>
          <w:tcPr>
            <w:tcW w:w="1433" w:type="dxa"/>
            <w:shd w:val="clear" w:color="auto" w:fill="D9D9D9"/>
          </w:tcPr>
          <w:p w:rsidR="007D76BB" w:rsidRDefault="007D76BB">
            <w:pPr>
              <w:pStyle w:val="TableParagraph"/>
              <w:rPr>
                <w:rFonts w:ascii="Arial"/>
                <w:sz w:val="16"/>
              </w:rPr>
            </w:pPr>
          </w:p>
          <w:p w:rsidR="007D76BB" w:rsidRDefault="00D70D28">
            <w:pPr>
              <w:pStyle w:val="TableParagraph"/>
              <w:spacing w:before="109"/>
              <w:ind w:left="18"/>
              <w:jc w:val="center"/>
              <w:rPr>
                <w:rFonts w:ascii="Calibri"/>
                <w:sz w:val="16"/>
              </w:rPr>
            </w:pPr>
            <w:r>
              <w:rPr>
                <w:rFonts w:ascii="Calibri"/>
                <w:sz w:val="16"/>
              </w:rPr>
              <w:t>O</w:t>
            </w:r>
          </w:p>
        </w:tc>
        <w:tc>
          <w:tcPr>
            <w:tcW w:w="1133" w:type="dxa"/>
            <w:shd w:val="clear" w:color="auto" w:fill="D9D9D9"/>
          </w:tcPr>
          <w:p w:rsidR="007D76BB" w:rsidRDefault="007D76BB">
            <w:pPr>
              <w:pStyle w:val="TableParagraph"/>
              <w:rPr>
                <w:rFonts w:ascii="Arial"/>
                <w:sz w:val="16"/>
              </w:rPr>
            </w:pPr>
          </w:p>
          <w:p w:rsidR="007D76BB" w:rsidRDefault="00D70D28">
            <w:pPr>
              <w:pStyle w:val="TableParagraph"/>
              <w:spacing w:before="109"/>
              <w:ind w:right="88"/>
              <w:jc w:val="right"/>
              <w:rPr>
                <w:rFonts w:ascii="Calibri"/>
                <w:sz w:val="16"/>
              </w:rPr>
            </w:pPr>
            <w:r>
              <w:rPr>
                <w:rFonts w:ascii="Calibri"/>
                <w:sz w:val="16"/>
              </w:rPr>
              <w:t>30</w:t>
            </w:r>
          </w:p>
        </w:tc>
        <w:tc>
          <w:tcPr>
            <w:tcW w:w="1873" w:type="dxa"/>
            <w:vMerge/>
            <w:tcBorders>
              <w:top w:val="nil"/>
            </w:tcBorders>
            <w:shd w:val="clear" w:color="auto" w:fill="D9D9D9"/>
          </w:tcPr>
          <w:p w:rsidR="007D76BB" w:rsidRDefault="007D76BB">
            <w:pPr>
              <w:rPr>
                <w:sz w:val="2"/>
                <w:szCs w:val="2"/>
              </w:rPr>
            </w:pPr>
          </w:p>
        </w:tc>
      </w:tr>
      <w:tr w:rsidR="007D76BB">
        <w:trPr>
          <w:trHeight w:val="390"/>
        </w:trPr>
        <w:tc>
          <w:tcPr>
            <w:tcW w:w="1692" w:type="dxa"/>
            <w:vMerge/>
            <w:tcBorders>
              <w:top w:val="nil"/>
            </w:tcBorders>
            <w:shd w:val="clear" w:color="auto" w:fill="D9D9D9"/>
          </w:tcPr>
          <w:p w:rsidR="007D76BB" w:rsidRDefault="007D76BB">
            <w:pPr>
              <w:rPr>
                <w:sz w:val="2"/>
                <w:szCs w:val="2"/>
              </w:rPr>
            </w:pPr>
          </w:p>
        </w:tc>
        <w:tc>
          <w:tcPr>
            <w:tcW w:w="2693" w:type="dxa"/>
            <w:shd w:val="clear" w:color="auto" w:fill="D9D9D9"/>
          </w:tcPr>
          <w:p w:rsidR="007D76BB" w:rsidRDefault="00D70D28">
            <w:pPr>
              <w:pStyle w:val="TableParagraph"/>
              <w:spacing w:before="1" w:line="195" w:lineRule="exact"/>
              <w:ind w:left="107"/>
              <w:rPr>
                <w:rFonts w:ascii="Calibri"/>
                <w:sz w:val="16"/>
              </w:rPr>
            </w:pPr>
            <w:r>
              <w:rPr>
                <w:rFonts w:ascii="Calibri"/>
                <w:sz w:val="16"/>
              </w:rPr>
              <w:t>Meet labelling/advertising</w:t>
            </w:r>
          </w:p>
          <w:p w:rsidR="007D76BB" w:rsidRDefault="00D70D28">
            <w:pPr>
              <w:pStyle w:val="TableParagraph"/>
              <w:spacing w:line="175" w:lineRule="exact"/>
              <w:ind w:left="107"/>
              <w:rPr>
                <w:rFonts w:ascii="Calibri"/>
                <w:sz w:val="16"/>
              </w:rPr>
            </w:pPr>
            <w:r>
              <w:rPr>
                <w:rFonts w:ascii="Calibri"/>
                <w:sz w:val="16"/>
              </w:rPr>
              <w:t>requirements</w:t>
            </w:r>
          </w:p>
        </w:tc>
        <w:tc>
          <w:tcPr>
            <w:tcW w:w="1433" w:type="dxa"/>
            <w:shd w:val="clear" w:color="auto" w:fill="D9D9D9"/>
          </w:tcPr>
          <w:p w:rsidR="007D76BB" w:rsidRDefault="00D70D28">
            <w:pPr>
              <w:pStyle w:val="TableParagraph"/>
              <w:spacing w:before="97"/>
              <w:ind w:left="18"/>
              <w:jc w:val="center"/>
              <w:rPr>
                <w:rFonts w:ascii="Calibri"/>
                <w:sz w:val="16"/>
              </w:rPr>
            </w:pPr>
            <w:r>
              <w:rPr>
                <w:rFonts w:ascii="Calibri"/>
                <w:sz w:val="16"/>
              </w:rPr>
              <w:t>O</w:t>
            </w:r>
          </w:p>
        </w:tc>
        <w:tc>
          <w:tcPr>
            <w:tcW w:w="1133" w:type="dxa"/>
            <w:shd w:val="clear" w:color="auto" w:fill="D9D9D9"/>
          </w:tcPr>
          <w:p w:rsidR="007D76BB" w:rsidRDefault="00D70D28">
            <w:pPr>
              <w:pStyle w:val="TableParagraph"/>
              <w:spacing w:before="97"/>
              <w:ind w:right="88"/>
              <w:jc w:val="right"/>
              <w:rPr>
                <w:rFonts w:ascii="Calibri"/>
                <w:sz w:val="16"/>
              </w:rPr>
            </w:pPr>
            <w:r>
              <w:rPr>
                <w:rFonts w:ascii="Calibri"/>
                <w:sz w:val="16"/>
              </w:rPr>
              <w:t>30</w:t>
            </w:r>
          </w:p>
        </w:tc>
        <w:tc>
          <w:tcPr>
            <w:tcW w:w="1873" w:type="dxa"/>
            <w:vMerge/>
            <w:tcBorders>
              <w:top w:val="nil"/>
            </w:tcBorders>
            <w:shd w:val="clear" w:color="auto" w:fill="D9D9D9"/>
          </w:tcPr>
          <w:p w:rsidR="007D76BB" w:rsidRDefault="007D76BB">
            <w:pPr>
              <w:rPr>
                <w:sz w:val="2"/>
                <w:szCs w:val="2"/>
              </w:rPr>
            </w:pPr>
          </w:p>
        </w:tc>
      </w:tr>
      <w:tr w:rsidR="007D76BB">
        <w:trPr>
          <w:trHeight w:val="313"/>
        </w:trPr>
        <w:tc>
          <w:tcPr>
            <w:tcW w:w="1692" w:type="dxa"/>
            <w:vMerge/>
            <w:tcBorders>
              <w:top w:val="nil"/>
            </w:tcBorders>
            <w:shd w:val="clear" w:color="auto" w:fill="D9D9D9"/>
          </w:tcPr>
          <w:p w:rsidR="007D76BB" w:rsidRDefault="007D76BB">
            <w:pPr>
              <w:rPr>
                <w:sz w:val="2"/>
                <w:szCs w:val="2"/>
              </w:rPr>
            </w:pPr>
          </w:p>
        </w:tc>
        <w:tc>
          <w:tcPr>
            <w:tcW w:w="2693" w:type="dxa"/>
            <w:shd w:val="clear" w:color="auto" w:fill="D9D9D9"/>
          </w:tcPr>
          <w:p w:rsidR="007D76BB" w:rsidRDefault="00D70D28">
            <w:pPr>
              <w:pStyle w:val="TableParagraph"/>
              <w:spacing w:before="58"/>
              <w:ind w:left="107"/>
              <w:rPr>
                <w:rFonts w:ascii="Calibri"/>
                <w:sz w:val="16"/>
              </w:rPr>
            </w:pPr>
            <w:r>
              <w:rPr>
                <w:rFonts w:ascii="Calibri"/>
                <w:sz w:val="16"/>
              </w:rPr>
              <w:t>Post-market surveillance</w:t>
            </w:r>
          </w:p>
        </w:tc>
        <w:tc>
          <w:tcPr>
            <w:tcW w:w="1433" w:type="dxa"/>
            <w:shd w:val="clear" w:color="auto" w:fill="D9D9D9"/>
          </w:tcPr>
          <w:p w:rsidR="007D76BB" w:rsidRDefault="00D70D28">
            <w:pPr>
              <w:pStyle w:val="TableParagraph"/>
              <w:spacing w:before="58"/>
              <w:ind w:left="18"/>
              <w:jc w:val="center"/>
              <w:rPr>
                <w:rFonts w:ascii="Calibri"/>
                <w:sz w:val="16"/>
              </w:rPr>
            </w:pPr>
            <w:r>
              <w:rPr>
                <w:rFonts w:ascii="Calibri"/>
                <w:sz w:val="16"/>
              </w:rPr>
              <w:t>O</w:t>
            </w:r>
          </w:p>
        </w:tc>
        <w:tc>
          <w:tcPr>
            <w:tcW w:w="1133" w:type="dxa"/>
            <w:shd w:val="clear" w:color="auto" w:fill="D9D9D9"/>
          </w:tcPr>
          <w:p w:rsidR="007D76BB" w:rsidRDefault="00D70D28">
            <w:pPr>
              <w:pStyle w:val="TableParagraph"/>
              <w:spacing w:before="58"/>
              <w:ind w:right="86"/>
              <w:jc w:val="right"/>
              <w:rPr>
                <w:rFonts w:ascii="Calibri"/>
                <w:sz w:val="16"/>
              </w:rPr>
            </w:pPr>
            <w:r>
              <w:rPr>
                <w:rFonts w:ascii="Calibri"/>
                <w:sz w:val="16"/>
              </w:rPr>
              <w:t>120</w:t>
            </w:r>
          </w:p>
        </w:tc>
        <w:tc>
          <w:tcPr>
            <w:tcW w:w="1873" w:type="dxa"/>
            <w:vMerge/>
            <w:tcBorders>
              <w:top w:val="nil"/>
            </w:tcBorders>
            <w:shd w:val="clear" w:color="auto" w:fill="D9D9D9"/>
          </w:tcPr>
          <w:p w:rsidR="007D76BB" w:rsidRDefault="007D76BB">
            <w:pPr>
              <w:rPr>
                <w:sz w:val="2"/>
                <w:szCs w:val="2"/>
              </w:rPr>
            </w:pPr>
          </w:p>
        </w:tc>
      </w:tr>
      <w:tr w:rsidR="007D76BB">
        <w:trPr>
          <w:trHeight w:val="311"/>
        </w:trPr>
        <w:tc>
          <w:tcPr>
            <w:tcW w:w="1692" w:type="dxa"/>
            <w:vMerge/>
            <w:tcBorders>
              <w:top w:val="nil"/>
            </w:tcBorders>
            <w:shd w:val="clear" w:color="auto" w:fill="D9D9D9"/>
          </w:tcPr>
          <w:p w:rsidR="007D76BB" w:rsidRDefault="007D76BB">
            <w:pPr>
              <w:rPr>
                <w:sz w:val="2"/>
                <w:szCs w:val="2"/>
              </w:rPr>
            </w:pPr>
          </w:p>
        </w:tc>
        <w:tc>
          <w:tcPr>
            <w:tcW w:w="2693" w:type="dxa"/>
            <w:shd w:val="clear" w:color="auto" w:fill="D9D9D9"/>
          </w:tcPr>
          <w:p w:rsidR="007D76BB" w:rsidRDefault="00D70D28">
            <w:pPr>
              <w:pStyle w:val="TableParagraph"/>
              <w:spacing w:before="56"/>
              <w:ind w:left="107"/>
              <w:rPr>
                <w:rFonts w:ascii="Calibri"/>
                <w:sz w:val="16"/>
              </w:rPr>
            </w:pPr>
            <w:r>
              <w:rPr>
                <w:rFonts w:ascii="Calibri"/>
                <w:sz w:val="16"/>
              </w:rPr>
              <w:t>Report adverse events</w:t>
            </w:r>
          </w:p>
        </w:tc>
        <w:tc>
          <w:tcPr>
            <w:tcW w:w="1433" w:type="dxa"/>
            <w:shd w:val="clear" w:color="auto" w:fill="D9D9D9"/>
          </w:tcPr>
          <w:p w:rsidR="007D76BB" w:rsidRDefault="00D70D28">
            <w:pPr>
              <w:pStyle w:val="TableParagraph"/>
              <w:spacing w:before="56"/>
              <w:ind w:left="18"/>
              <w:jc w:val="center"/>
              <w:rPr>
                <w:rFonts w:ascii="Calibri"/>
                <w:sz w:val="16"/>
              </w:rPr>
            </w:pPr>
            <w:r>
              <w:rPr>
                <w:rFonts w:ascii="Calibri"/>
                <w:sz w:val="16"/>
              </w:rPr>
              <w:t>O</w:t>
            </w:r>
          </w:p>
        </w:tc>
        <w:tc>
          <w:tcPr>
            <w:tcW w:w="1133" w:type="dxa"/>
            <w:shd w:val="clear" w:color="auto" w:fill="D9D9D9"/>
          </w:tcPr>
          <w:p w:rsidR="007D76BB" w:rsidRDefault="00D70D28">
            <w:pPr>
              <w:pStyle w:val="TableParagraph"/>
              <w:spacing w:before="56"/>
              <w:ind w:right="88"/>
              <w:jc w:val="right"/>
              <w:rPr>
                <w:rFonts w:ascii="Calibri"/>
                <w:sz w:val="16"/>
              </w:rPr>
            </w:pPr>
            <w:r>
              <w:rPr>
                <w:rFonts w:ascii="Calibri"/>
                <w:sz w:val="16"/>
              </w:rPr>
              <w:t>30</w:t>
            </w:r>
          </w:p>
        </w:tc>
        <w:tc>
          <w:tcPr>
            <w:tcW w:w="1873" w:type="dxa"/>
            <w:vMerge/>
            <w:tcBorders>
              <w:top w:val="nil"/>
            </w:tcBorders>
            <w:shd w:val="clear" w:color="auto" w:fill="D9D9D9"/>
          </w:tcPr>
          <w:p w:rsidR="007D76BB" w:rsidRDefault="007D76BB">
            <w:pPr>
              <w:rPr>
                <w:sz w:val="2"/>
                <w:szCs w:val="2"/>
              </w:rPr>
            </w:pPr>
          </w:p>
        </w:tc>
      </w:tr>
      <w:tr w:rsidR="007D76BB">
        <w:trPr>
          <w:trHeight w:val="390"/>
        </w:trPr>
        <w:tc>
          <w:tcPr>
            <w:tcW w:w="1692" w:type="dxa"/>
            <w:vMerge/>
            <w:tcBorders>
              <w:top w:val="nil"/>
            </w:tcBorders>
            <w:shd w:val="clear" w:color="auto" w:fill="D9D9D9"/>
          </w:tcPr>
          <w:p w:rsidR="007D76BB" w:rsidRDefault="007D76BB">
            <w:pPr>
              <w:rPr>
                <w:sz w:val="2"/>
                <w:szCs w:val="2"/>
              </w:rPr>
            </w:pPr>
          </w:p>
        </w:tc>
        <w:tc>
          <w:tcPr>
            <w:tcW w:w="2693" w:type="dxa"/>
            <w:shd w:val="clear" w:color="auto" w:fill="D9D9D9"/>
          </w:tcPr>
          <w:p w:rsidR="007D76BB" w:rsidRDefault="00D70D28">
            <w:pPr>
              <w:pStyle w:val="TableParagraph"/>
              <w:spacing w:line="194" w:lineRule="exact"/>
              <w:ind w:left="107"/>
              <w:rPr>
                <w:rFonts w:ascii="Calibri"/>
                <w:sz w:val="16"/>
              </w:rPr>
            </w:pPr>
            <w:r>
              <w:rPr>
                <w:rFonts w:ascii="Calibri"/>
                <w:sz w:val="16"/>
              </w:rPr>
              <w:t>Assist in investigations of adverse</w:t>
            </w:r>
          </w:p>
          <w:p w:rsidR="007D76BB" w:rsidRDefault="00D70D28">
            <w:pPr>
              <w:pStyle w:val="TableParagraph"/>
              <w:spacing w:before="1" w:line="175" w:lineRule="exact"/>
              <w:ind w:left="107"/>
              <w:rPr>
                <w:rFonts w:ascii="Calibri"/>
                <w:sz w:val="16"/>
              </w:rPr>
            </w:pPr>
            <w:r>
              <w:rPr>
                <w:rFonts w:ascii="Calibri"/>
                <w:sz w:val="16"/>
              </w:rPr>
              <w:t>events</w:t>
            </w:r>
          </w:p>
        </w:tc>
        <w:tc>
          <w:tcPr>
            <w:tcW w:w="1433" w:type="dxa"/>
            <w:shd w:val="clear" w:color="auto" w:fill="D9D9D9"/>
          </w:tcPr>
          <w:p w:rsidR="007D76BB" w:rsidRDefault="00D70D28">
            <w:pPr>
              <w:pStyle w:val="TableParagraph"/>
              <w:spacing w:before="97"/>
              <w:ind w:left="18"/>
              <w:jc w:val="center"/>
              <w:rPr>
                <w:rFonts w:ascii="Calibri"/>
                <w:sz w:val="16"/>
              </w:rPr>
            </w:pPr>
            <w:r>
              <w:rPr>
                <w:rFonts w:ascii="Calibri"/>
                <w:sz w:val="16"/>
              </w:rPr>
              <w:t>O</w:t>
            </w:r>
          </w:p>
        </w:tc>
        <w:tc>
          <w:tcPr>
            <w:tcW w:w="1133" w:type="dxa"/>
            <w:shd w:val="clear" w:color="auto" w:fill="D9D9D9"/>
          </w:tcPr>
          <w:p w:rsidR="007D76BB" w:rsidRDefault="00D70D28">
            <w:pPr>
              <w:pStyle w:val="TableParagraph"/>
              <w:spacing w:before="97"/>
              <w:ind w:right="88"/>
              <w:jc w:val="right"/>
              <w:rPr>
                <w:rFonts w:ascii="Calibri"/>
                <w:sz w:val="16"/>
              </w:rPr>
            </w:pPr>
            <w:r>
              <w:rPr>
                <w:rFonts w:ascii="Calibri"/>
                <w:sz w:val="16"/>
              </w:rPr>
              <w:t>30</w:t>
            </w:r>
          </w:p>
        </w:tc>
        <w:tc>
          <w:tcPr>
            <w:tcW w:w="1873" w:type="dxa"/>
            <w:vMerge/>
            <w:tcBorders>
              <w:top w:val="nil"/>
            </w:tcBorders>
            <w:shd w:val="clear" w:color="auto" w:fill="D9D9D9"/>
          </w:tcPr>
          <w:p w:rsidR="007D76BB" w:rsidRDefault="007D76BB">
            <w:pPr>
              <w:rPr>
                <w:sz w:val="2"/>
                <w:szCs w:val="2"/>
              </w:rPr>
            </w:pPr>
          </w:p>
        </w:tc>
      </w:tr>
      <w:tr w:rsidR="007D76BB">
        <w:trPr>
          <w:trHeight w:val="390"/>
        </w:trPr>
        <w:tc>
          <w:tcPr>
            <w:tcW w:w="1692" w:type="dxa"/>
            <w:vMerge/>
            <w:tcBorders>
              <w:top w:val="nil"/>
            </w:tcBorders>
            <w:shd w:val="clear" w:color="auto" w:fill="D9D9D9"/>
          </w:tcPr>
          <w:p w:rsidR="007D76BB" w:rsidRDefault="007D76BB">
            <w:pPr>
              <w:rPr>
                <w:sz w:val="2"/>
                <w:szCs w:val="2"/>
              </w:rPr>
            </w:pPr>
          </w:p>
        </w:tc>
        <w:tc>
          <w:tcPr>
            <w:tcW w:w="2693" w:type="dxa"/>
            <w:shd w:val="clear" w:color="auto" w:fill="D9D9D9"/>
          </w:tcPr>
          <w:p w:rsidR="007D76BB" w:rsidRDefault="00D70D28">
            <w:pPr>
              <w:pStyle w:val="TableParagraph"/>
              <w:spacing w:line="194" w:lineRule="exact"/>
              <w:ind w:left="107"/>
              <w:rPr>
                <w:rFonts w:ascii="Calibri"/>
                <w:sz w:val="16"/>
              </w:rPr>
            </w:pPr>
            <w:r>
              <w:rPr>
                <w:rFonts w:ascii="Calibri"/>
                <w:sz w:val="16"/>
              </w:rPr>
              <w:t>Take corrective action as applicable</w:t>
            </w:r>
          </w:p>
          <w:p w:rsidR="007D76BB" w:rsidRDefault="00D70D28">
            <w:pPr>
              <w:pStyle w:val="TableParagraph"/>
              <w:spacing w:before="1" w:line="175" w:lineRule="exact"/>
              <w:ind w:left="107"/>
              <w:rPr>
                <w:rFonts w:ascii="Calibri"/>
                <w:sz w:val="16"/>
              </w:rPr>
            </w:pPr>
            <w:r>
              <w:rPr>
                <w:rFonts w:ascii="Calibri"/>
                <w:sz w:val="16"/>
              </w:rPr>
              <w:t>to fulfil compliance requirements</w:t>
            </w:r>
          </w:p>
        </w:tc>
        <w:tc>
          <w:tcPr>
            <w:tcW w:w="1433" w:type="dxa"/>
            <w:shd w:val="clear" w:color="auto" w:fill="D9D9D9"/>
          </w:tcPr>
          <w:p w:rsidR="007D76BB" w:rsidRDefault="00D70D28">
            <w:pPr>
              <w:pStyle w:val="TableParagraph"/>
              <w:spacing w:before="97"/>
              <w:ind w:left="18"/>
              <w:jc w:val="center"/>
              <w:rPr>
                <w:rFonts w:ascii="Calibri"/>
                <w:sz w:val="16"/>
              </w:rPr>
            </w:pPr>
            <w:r>
              <w:rPr>
                <w:rFonts w:ascii="Calibri"/>
                <w:sz w:val="16"/>
              </w:rPr>
              <w:t>O</w:t>
            </w:r>
          </w:p>
        </w:tc>
        <w:tc>
          <w:tcPr>
            <w:tcW w:w="1133" w:type="dxa"/>
            <w:shd w:val="clear" w:color="auto" w:fill="D9D9D9"/>
          </w:tcPr>
          <w:p w:rsidR="007D76BB" w:rsidRDefault="00D70D28">
            <w:pPr>
              <w:pStyle w:val="TableParagraph"/>
              <w:spacing w:before="97"/>
              <w:ind w:right="88"/>
              <w:jc w:val="right"/>
              <w:rPr>
                <w:rFonts w:ascii="Calibri"/>
                <w:sz w:val="16"/>
              </w:rPr>
            </w:pPr>
            <w:r>
              <w:rPr>
                <w:rFonts w:ascii="Calibri"/>
                <w:sz w:val="16"/>
              </w:rPr>
              <w:t>30</w:t>
            </w:r>
          </w:p>
        </w:tc>
        <w:tc>
          <w:tcPr>
            <w:tcW w:w="1873" w:type="dxa"/>
            <w:vMerge/>
            <w:tcBorders>
              <w:top w:val="nil"/>
            </w:tcBorders>
            <w:shd w:val="clear" w:color="auto" w:fill="D9D9D9"/>
          </w:tcPr>
          <w:p w:rsidR="007D76BB" w:rsidRDefault="007D76BB">
            <w:pPr>
              <w:rPr>
                <w:sz w:val="2"/>
                <w:szCs w:val="2"/>
              </w:rPr>
            </w:pPr>
          </w:p>
        </w:tc>
      </w:tr>
      <w:tr w:rsidR="007D76BB">
        <w:trPr>
          <w:trHeight w:val="781"/>
        </w:trPr>
        <w:tc>
          <w:tcPr>
            <w:tcW w:w="1692" w:type="dxa"/>
            <w:vMerge/>
            <w:tcBorders>
              <w:top w:val="nil"/>
            </w:tcBorders>
            <w:shd w:val="clear" w:color="auto" w:fill="D9D9D9"/>
          </w:tcPr>
          <w:p w:rsidR="007D76BB" w:rsidRDefault="007D76BB">
            <w:pPr>
              <w:rPr>
                <w:sz w:val="2"/>
                <w:szCs w:val="2"/>
              </w:rPr>
            </w:pPr>
          </w:p>
        </w:tc>
        <w:tc>
          <w:tcPr>
            <w:tcW w:w="2693" w:type="dxa"/>
            <w:shd w:val="clear" w:color="auto" w:fill="D9D9D9"/>
          </w:tcPr>
          <w:p w:rsidR="007D76BB" w:rsidRDefault="00D70D28">
            <w:pPr>
              <w:pStyle w:val="TableParagraph"/>
              <w:spacing w:before="1"/>
              <w:ind w:left="107" w:right="80"/>
              <w:rPr>
                <w:rFonts w:ascii="Calibri"/>
                <w:sz w:val="16"/>
              </w:rPr>
            </w:pPr>
            <w:r>
              <w:rPr>
                <w:rFonts w:ascii="Calibri"/>
                <w:sz w:val="16"/>
              </w:rPr>
              <w:t>Provide information as required by the TGA for a post market compliance review (including provision of</w:t>
            </w:r>
          </w:p>
          <w:p w:rsidR="007D76BB" w:rsidRDefault="00D70D28">
            <w:pPr>
              <w:pStyle w:val="TableParagraph"/>
              <w:spacing w:line="175" w:lineRule="exact"/>
              <w:ind w:left="107"/>
              <w:rPr>
                <w:rFonts w:ascii="Calibri"/>
                <w:sz w:val="16"/>
              </w:rPr>
            </w:pPr>
            <w:r>
              <w:rPr>
                <w:rFonts w:ascii="Calibri"/>
                <w:sz w:val="16"/>
              </w:rPr>
              <w:t>samples)</w:t>
            </w:r>
          </w:p>
        </w:tc>
        <w:tc>
          <w:tcPr>
            <w:tcW w:w="1433" w:type="dxa"/>
            <w:shd w:val="clear" w:color="auto" w:fill="D9D9D9"/>
          </w:tcPr>
          <w:p w:rsidR="007D76BB" w:rsidRDefault="007D76BB">
            <w:pPr>
              <w:pStyle w:val="TableParagraph"/>
              <w:rPr>
                <w:rFonts w:ascii="Arial"/>
                <w:sz w:val="16"/>
              </w:rPr>
            </w:pPr>
          </w:p>
          <w:p w:rsidR="007D76BB" w:rsidRDefault="00D70D28">
            <w:pPr>
              <w:pStyle w:val="TableParagraph"/>
              <w:spacing w:before="109"/>
              <w:ind w:left="18"/>
              <w:jc w:val="center"/>
              <w:rPr>
                <w:rFonts w:ascii="Calibri"/>
                <w:sz w:val="16"/>
              </w:rPr>
            </w:pPr>
            <w:r>
              <w:rPr>
                <w:rFonts w:ascii="Calibri"/>
                <w:sz w:val="16"/>
              </w:rPr>
              <w:t>O</w:t>
            </w:r>
          </w:p>
        </w:tc>
        <w:tc>
          <w:tcPr>
            <w:tcW w:w="1133" w:type="dxa"/>
            <w:shd w:val="clear" w:color="auto" w:fill="D9D9D9"/>
          </w:tcPr>
          <w:p w:rsidR="007D76BB" w:rsidRDefault="007D76BB">
            <w:pPr>
              <w:pStyle w:val="TableParagraph"/>
              <w:rPr>
                <w:rFonts w:ascii="Arial"/>
                <w:sz w:val="16"/>
              </w:rPr>
            </w:pPr>
          </w:p>
          <w:p w:rsidR="007D76BB" w:rsidRDefault="00D70D28">
            <w:pPr>
              <w:pStyle w:val="TableParagraph"/>
              <w:spacing w:before="109"/>
              <w:ind w:right="88"/>
              <w:jc w:val="right"/>
              <w:rPr>
                <w:rFonts w:ascii="Calibri"/>
                <w:sz w:val="10"/>
              </w:rPr>
            </w:pPr>
            <w:r>
              <w:rPr>
                <w:rFonts w:ascii="Calibri"/>
                <w:position w:val="-4"/>
                <w:sz w:val="16"/>
              </w:rPr>
              <w:t>0</w:t>
            </w:r>
            <w:r>
              <w:rPr>
                <w:rFonts w:ascii="Calibri"/>
                <w:sz w:val="10"/>
              </w:rPr>
              <w:t>54</w:t>
            </w:r>
          </w:p>
        </w:tc>
        <w:tc>
          <w:tcPr>
            <w:tcW w:w="1873" w:type="dxa"/>
            <w:vMerge/>
            <w:tcBorders>
              <w:top w:val="nil"/>
            </w:tcBorders>
            <w:shd w:val="clear" w:color="auto" w:fill="D9D9D9"/>
          </w:tcPr>
          <w:p w:rsidR="007D76BB" w:rsidRDefault="007D76BB">
            <w:pPr>
              <w:rPr>
                <w:sz w:val="2"/>
                <w:szCs w:val="2"/>
              </w:rPr>
            </w:pPr>
          </w:p>
        </w:tc>
      </w:tr>
      <w:tr w:rsidR="007D76BB">
        <w:trPr>
          <w:trHeight w:val="390"/>
        </w:trPr>
        <w:tc>
          <w:tcPr>
            <w:tcW w:w="1692" w:type="dxa"/>
            <w:vMerge/>
            <w:tcBorders>
              <w:top w:val="nil"/>
            </w:tcBorders>
            <w:shd w:val="clear" w:color="auto" w:fill="D9D9D9"/>
          </w:tcPr>
          <w:p w:rsidR="007D76BB" w:rsidRDefault="007D76BB">
            <w:pPr>
              <w:rPr>
                <w:sz w:val="2"/>
                <w:szCs w:val="2"/>
              </w:rPr>
            </w:pPr>
          </w:p>
        </w:tc>
        <w:tc>
          <w:tcPr>
            <w:tcW w:w="2693" w:type="dxa"/>
            <w:shd w:val="clear" w:color="auto" w:fill="D9D9D9"/>
          </w:tcPr>
          <w:p w:rsidR="007D76BB" w:rsidRDefault="00D70D28">
            <w:pPr>
              <w:pStyle w:val="TableParagraph"/>
              <w:spacing w:line="194" w:lineRule="exact"/>
              <w:ind w:left="107"/>
              <w:rPr>
                <w:rFonts w:ascii="Calibri"/>
                <w:sz w:val="16"/>
              </w:rPr>
            </w:pPr>
            <w:r>
              <w:rPr>
                <w:rFonts w:ascii="Calibri"/>
                <w:sz w:val="16"/>
              </w:rPr>
              <w:t>Maintain distribution records and</w:t>
            </w:r>
          </w:p>
          <w:p w:rsidR="007D76BB" w:rsidRDefault="00D70D28">
            <w:pPr>
              <w:pStyle w:val="TableParagraph"/>
              <w:spacing w:before="1" w:line="175" w:lineRule="exact"/>
              <w:ind w:left="107"/>
              <w:rPr>
                <w:rFonts w:ascii="Calibri"/>
                <w:sz w:val="10"/>
              </w:rPr>
            </w:pPr>
            <w:r>
              <w:rPr>
                <w:rFonts w:ascii="Calibri"/>
                <w:sz w:val="16"/>
              </w:rPr>
              <w:t>other additional conditions of listing</w:t>
            </w:r>
            <w:r>
              <w:rPr>
                <w:rFonts w:ascii="Calibri"/>
                <w:position w:val="5"/>
                <w:sz w:val="10"/>
              </w:rPr>
              <w:t>55</w:t>
            </w:r>
          </w:p>
        </w:tc>
        <w:tc>
          <w:tcPr>
            <w:tcW w:w="1433" w:type="dxa"/>
            <w:shd w:val="clear" w:color="auto" w:fill="D9D9D9"/>
          </w:tcPr>
          <w:p w:rsidR="007D76BB" w:rsidRDefault="00D70D28">
            <w:pPr>
              <w:pStyle w:val="TableParagraph"/>
              <w:spacing w:before="97"/>
              <w:ind w:left="18"/>
              <w:jc w:val="center"/>
              <w:rPr>
                <w:rFonts w:ascii="Calibri"/>
                <w:sz w:val="16"/>
              </w:rPr>
            </w:pPr>
            <w:r>
              <w:rPr>
                <w:rFonts w:ascii="Calibri"/>
                <w:sz w:val="16"/>
              </w:rPr>
              <w:t>O</w:t>
            </w:r>
          </w:p>
        </w:tc>
        <w:tc>
          <w:tcPr>
            <w:tcW w:w="1133" w:type="dxa"/>
            <w:shd w:val="clear" w:color="auto" w:fill="D9D9D9"/>
          </w:tcPr>
          <w:p w:rsidR="007D76BB" w:rsidRDefault="00D70D28">
            <w:pPr>
              <w:pStyle w:val="TableParagraph"/>
              <w:spacing w:before="97"/>
              <w:ind w:right="88"/>
              <w:jc w:val="right"/>
              <w:rPr>
                <w:rFonts w:ascii="Calibri"/>
                <w:sz w:val="16"/>
              </w:rPr>
            </w:pPr>
            <w:r>
              <w:rPr>
                <w:rFonts w:ascii="Calibri"/>
                <w:sz w:val="16"/>
              </w:rPr>
              <w:t>0</w:t>
            </w:r>
          </w:p>
        </w:tc>
        <w:tc>
          <w:tcPr>
            <w:tcW w:w="1873" w:type="dxa"/>
            <w:vMerge/>
            <w:tcBorders>
              <w:top w:val="nil"/>
            </w:tcBorders>
            <w:shd w:val="clear" w:color="auto" w:fill="D9D9D9"/>
          </w:tcPr>
          <w:p w:rsidR="007D76BB" w:rsidRDefault="007D76BB">
            <w:pPr>
              <w:rPr>
                <w:sz w:val="2"/>
                <w:szCs w:val="2"/>
              </w:rPr>
            </w:pPr>
          </w:p>
        </w:tc>
      </w:tr>
      <w:tr w:rsidR="007D76BB">
        <w:trPr>
          <w:trHeight w:val="251"/>
        </w:trPr>
        <w:tc>
          <w:tcPr>
            <w:tcW w:w="1692" w:type="dxa"/>
            <w:vMerge/>
            <w:tcBorders>
              <w:top w:val="nil"/>
            </w:tcBorders>
            <w:shd w:val="clear" w:color="auto" w:fill="D9D9D9"/>
          </w:tcPr>
          <w:p w:rsidR="007D76BB" w:rsidRDefault="007D76BB">
            <w:pPr>
              <w:rPr>
                <w:sz w:val="2"/>
                <w:szCs w:val="2"/>
              </w:rPr>
            </w:pPr>
          </w:p>
        </w:tc>
        <w:tc>
          <w:tcPr>
            <w:tcW w:w="2693" w:type="dxa"/>
            <w:shd w:val="clear" w:color="auto" w:fill="D9D9D9"/>
          </w:tcPr>
          <w:p w:rsidR="007D76BB" w:rsidRDefault="00D70D28">
            <w:pPr>
              <w:pStyle w:val="TableParagraph"/>
              <w:spacing w:before="27"/>
              <w:ind w:left="107"/>
              <w:rPr>
                <w:rFonts w:ascii="Calibri"/>
                <w:sz w:val="16"/>
              </w:rPr>
            </w:pPr>
            <w:r>
              <w:rPr>
                <w:rFonts w:ascii="Calibri"/>
                <w:sz w:val="16"/>
              </w:rPr>
              <w:t>Adhere to conditions of inclusion</w:t>
            </w:r>
          </w:p>
        </w:tc>
        <w:tc>
          <w:tcPr>
            <w:tcW w:w="1433" w:type="dxa"/>
            <w:shd w:val="clear" w:color="auto" w:fill="D9D9D9"/>
          </w:tcPr>
          <w:p w:rsidR="007D76BB" w:rsidRDefault="00D70D28">
            <w:pPr>
              <w:pStyle w:val="TableParagraph"/>
              <w:spacing w:before="27"/>
              <w:ind w:left="18"/>
              <w:jc w:val="center"/>
              <w:rPr>
                <w:rFonts w:ascii="Calibri"/>
                <w:sz w:val="16"/>
              </w:rPr>
            </w:pPr>
            <w:r>
              <w:rPr>
                <w:rFonts w:ascii="Calibri"/>
                <w:sz w:val="16"/>
              </w:rPr>
              <w:t>O</w:t>
            </w:r>
          </w:p>
        </w:tc>
        <w:tc>
          <w:tcPr>
            <w:tcW w:w="1133" w:type="dxa"/>
            <w:shd w:val="clear" w:color="auto" w:fill="D9D9D9"/>
          </w:tcPr>
          <w:p w:rsidR="007D76BB" w:rsidRDefault="00D70D28">
            <w:pPr>
              <w:pStyle w:val="TableParagraph"/>
              <w:spacing w:before="27"/>
              <w:ind w:right="88"/>
              <w:jc w:val="right"/>
              <w:rPr>
                <w:rFonts w:ascii="Calibri"/>
                <w:sz w:val="16"/>
              </w:rPr>
            </w:pPr>
            <w:r>
              <w:rPr>
                <w:rFonts w:ascii="Calibri"/>
                <w:sz w:val="16"/>
              </w:rPr>
              <w:t>30</w:t>
            </w:r>
          </w:p>
        </w:tc>
        <w:tc>
          <w:tcPr>
            <w:tcW w:w="1873" w:type="dxa"/>
            <w:vMerge/>
            <w:tcBorders>
              <w:top w:val="nil"/>
            </w:tcBorders>
            <w:shd w:val="clear" w:color="auto" w:fill="D9D9D9"/>
          </w:tcPr>
          <w:p w:rsidR="007D76BB" w:rsidRDefault="007D76BB">
            <w:pPr>
              <w:rPr>
                <w:sz w:val="2"/>
                <w:szCs w:val="2"/>
              </w:rPr>
            </w:pPr>
          </w:p>
        </w:tc>
      </w:tr>
      <w:tr w:rsidR="007D76BB">
        <w:trPr>
          <w:trHeight w:val="311"/>
        </w:trPr>
        <w:tc>
          <w:tcPr>
            <w:tcW w:w="5818" w:type="dxa"/>
            <w:gridSpan w:val="3"/>
          </w:tcPr>
          <w:p w:rsidR="007D76BB" w:rsidRDefault="00D70D28">
            <w:pPr>
              <w:pStyle w:val="TableParagraph"/>
              <w:spacing w:before="56"/>
              <w:ind w:left="3681"/>
              <w:rPr>
                <w:rFonts w:ascii="Calibri"/>
                <w:b/>
                <w:sz w:val="16"/>
              </w:rPr>
            </w:pPr>
            <w:r>
              <w:rPr>
                <w:rFonts w:ascii="Calibri"/>
                <w:b/>
                <w:sz w:val="16"/>
              </w:rPr>
              <w:t>Total (minutes) for application</w:t>
            </w:r>
          </w:p>
        </w:tc>
        <w:tc>
          <w:tcPr>
            <w:tcW w:w="1133" w:type="dxa"/>
          </w:tcPr>
          <w:p w:rsidR="007D76BB" w:rsidRDefault="00D70D28">
            <w:pPr>
              <w:pStyle w:val="TableParagraph"/>
              <w:spacing w:line="194" w:lineRule="exact"/>
              <w:ind w:right="86"/>
              <w:jc w:val="right"/>
              <w:rPr>
                <w:rFonts w:ascii="Calibri"/>
                <w:sz w:val="16"/>
              </w:rPr>
            </w:pPr>
            <w:r>
              <w:rPr>
                <w:rFonts w:ascii="Calibri"/>
                <w:sz w:val="16"/>
              </w:rPr>
              <w:t>4,210</w:t>
            </w:r>
          </w:p>
        </w:tc>
        <w:tc>
          <w:tcPr>
            <w:tcW w:w="1873" w:type="dxa"/>
            <w:vMerge w:val="restart"/>
          </w:tcPr>
          <w:p w:rsidR="007D76BB" w:rsidRDefault="007D76BB">
            <w:pPr>
              <w:pStyle w:val="TableParagraph"/>
              <w:rPr>
                <w:rFonts w:ascii="Times New Roman"/>
                <w:sz w:val="14"/>
              </w:rPr>
            </w:pPr>
          </w:p>
        </w:tc>
      </w:tr>
      <w:tr w:rsidR="007D76BB">
        <w:trPr>
          <w:trHeight w:val="311"/>
        </w:trPr>
        <w:tc>
          <w:tcPr>
            <w:tcW w:w="5818" w:type="dxa"/>
            <w:gridSpan w:val="3"/>
          </w:tcPr>
          <w:p w:rsidR="007D76BB" w:rsidRDefault="00D70D28">
            <w:pPr>
              <w:pStyle w:val="TableParagraph"/>
              <w:spacing w:before="58"/>
              <w:ind w:left="3844"/>
              <w:rPr>
                <w:rFonts w:ascii="Calibri"/>
                <w:b/>
                <w:sz w:val="16"/>
              </w:rPr>
            </w:pPr>
            <w:r>
              <w:rPr>
                <w:rFonts w:ascii="Calibri"/>
                <w:b/>
                <w:sz w:val="16"/>
              </w:rPr>
              <w:t>Total (hours) for application</w:t>
            </w:r>
          </w:p>
        </w:tc>
        <w:tc>
          <w:tcPr>
            <w:tcW w:w="1133" w:type="dxa"/>
          </w:tcPr>
          <w:p w:rsidR="007D76BB" w:rsidRDefault="00D70D28">
            <w:pPr>
              <w:pStyle w:val="TableParagraph"/>
              <w:spacing w:line="194" w:lineRule="exact"/>
              <w:ind w:right="86"/>
              <w:jc w:val="right"/>
              <w:rPr>
                <w:rFonts w:ascii="Calibri"/>
                <w:sz w:val="16"/>
              </w:rPr>
            </w:pPr>
            <w:r>
              <w:rPr>
                <w:rFonts w:ascii="Calibri"/>
                <w:sz w:val="16"/>
              </w:rPr>
              <w:t>70.17</w:t>
            </w:r>
          </w:p>
        </w:tc>
        <w:tc>
          <w:tcPr>
            <w:tcW w:w="1873" w:type="dxa"/>
            <w:vMerge/>
            <w:tcBorders>
              <w:top w:val="nil"/>
            </w:tcBorders>
          </w:tcPr>
          <w:p w:rsidR="007D76BB" w:rsidRDefault="007D76BB">
            <w:pPr>
              <w:rPr>
                <w:sz w:val="2"/>
                <w:szCs w:val="2"/>
              </w:rPr>
            </w:pPr>
          </w:p>
        </w:tc>
      </w:tr>
      <w:tr w:rsidR="007D76BB">
        <w:trPr>
          <w:trHeight w:val="314"/>
        </w:trPr>
        <w:tc>
          <w:tcPr>
            <w:tcW w:w="5818" w:type="dxa"/>
            <w:gridSpan w:val="3"/>
          </w:tcPr>
          <w:p w:rsidR="007D76BB" w:rsidRDefault="00D70D28">
            <w:pPr>
              <w:pStyle w:val="TableParagraph"/>
              <w:spacing w:before="58"/>
              <w:ind w:right="88"/>
              <w:jc w:val="right"/>
              <w:rPr>
                <w:rFonts w:ascii="Calibri"/>
                <w:b/>
                <w:sz w:val="16"/>
              </w:rPr>
            </w:pPr>
            <w:r>
              <w:rPr>
                <w:rFonts w:ascii="Calibri"/>
                <w:b/>
                <w:sz w:val="16"/>
              </w:rPr>
              <w:t>Cost application</w:t>
            </w:r>
          </w:p>
        </w:tc>
        <w:tc>
          <w:tcPr>
            <w:tcW w:w="1133" w:type="dxa"/>
          </w:tcPr>
          <w:p w:rsidR="007D76BB" w:rsidRDefault="00D70D28">
            <w:pPr>
              <w:pStyle w:val="TableParagraph"/>
              <w:spacing w:before="1"/>
              <w:ind w:right="86"/>
              <w:jc w:val="right"/>
              <w:rPr>
                <w:rFonts w:ascii="Calibri"/>
                <w:sz w:val="16"/>
              </w:rPr>
            </w:pPr>
            <w:r>
              <w:rPr>
                <w:rFonts w:ascii="Calibri"/>
                <w:sz w:val="16"/>
              </w:rPr>
              <w:t>$5,952.94</w:t>
            </w:r>
          </w:p>
        </w:tc>
        <w:tc>
          <w:tcPr>
            <w:tcW w:w="1873" w:type="dxa"/>
            <w:vMerge/>
            <w:tcBorders>
              <w:top w:val="nil"/>
            </w:tcBorders>
          </w:tcPr>
          <w:p w:rsidR="007D76BB" w:rsidRDefault="007D76BB">
            <w:pPr>
              <w:rPr>
                <w:sz w:val="2"/>
                <w:szCs w:val="2"/>
              </w:rPr>
            </w:pPr>
          </w:p>
        </w:tc>
      </w:tr>
      <w:tr w:rsidR="007D76BB">
        <w:trPr>
          <w:trHeight w:val="311"/>
        </w:trPr>
        <w:tc>
          <w:tcPr>
            <w:tcW w:w="5818" w:type="dxa"/>
            <w:gridSpan w:val="3"/>
          </w:tcPr>
          <w:p w:rsidR="007D76BB" w:rsidRDefault="00D70D28">
            <w:pPr>
              <w:pStyle w:val="TableParagraph"/>
              <w:spacing w:before="56"/>
              <w:ind w:right="88"/>
              <w:jc w:val="right"/>
              <w:rPr>
                <w:rFonts w:ascii="Calibri"/>
                <w:b/>
                <w:sz w:val="16"/>
              </w:rPr>
            </w:pPr>
            <w:r>
              <w:rPr>
                <w:rFonts w:ascii="Calibri"/>
                <w:b/>
                <w:sz w:val="16"/>
              </w:rPr>
              <w:t>Total (minutes) for ongoing</w:t>
            </w:r>
          </w:p>
        </w:tc>
        <w:tc>
          <w:tcPr>
            <w:tcW w:w="1133" w:type="dxa"/>
          </w:tcPr>
          <w:p w:rsidR="007D76BB" w:rsidRDefault="00D70D28">
            <w:pPr>
              <w:pStyle w:val="TableParagraph"/>
              <w:spacing w:line="194" w:lineRule="exact"/>
              <w:ind w:right="86"/>
              <w:jc w:val="right"/>
              <w:rPr>
                <w:rFonts w:ascii="Calibri"/>
                <w:sz w:val="16"/>
              </w:rPr>
            </w:pPr>
            <w:r>
              <w:rPr>
                <w:rFonts w:ascii="Calibri"/>
                <w:sz w:val="16"/>
              </w:rPr>
              <w:t>240</w:t>
            </w:r>
          </w:p>
        </w:tc>
        <w:tc>
          <w:tcPr>
            <w:tcW w:w="1873" w:type="dxa"/>
            <w:vMerge/>
            <w:tcBorders>
              <w:top w:val="nil"/>
            </w:tcBorders>
          </w:tcPr>
          <w:p w:rsidR="007D76BB" w:rsidRDefault="007D76BB">
            <w:pPr>
              <w:rPr>
                <w:sz w:val="2"/>
                <w:szCs w:val="2"/>
              </w:rPr>
            </w:pPr>
          </w:p>
        </w:tc>
      </w:tr>
      <w:tr w:rsidR="007D76BB">
        <w:trPr>
          <w:trHeight w:val="311"/>
        </w:trPr>
        <w:tc>
          <w:tcPr>
            <w:tcW w:w="5818" w:type="dxa"/>
            <w:gridSpan w:val="3"/>
          </w:tcPr>
          <w:p w:rsidR="007D76BB" w:rsidRDefault="00D70D28">
            <w:pPr>
              <w:pStyle w:val="TableParagraph"/>
              <w:spacing w:before="58"/>
              <w:ind w:right="89"/>
              <w:jc w:val="right"/>
              <w:rPr>
                <w:rFonts w:ascii="Calibri"/>
                <w:b/>
                <w:sz w:val="16"/>
              </w:rPr>
            </w:pPr>
            <w:r>
              <w:rPr>
                <w:rFonts w:ascii="Calibri"/>
                <w:b/>
                <w:sz w:val="16"/>
              </w:rPr>
              <w:t>Total (hours) for ongoing</w:t>
            </w:r>
          </w:p>
        </w:tc>
        <w:tc>
          <w:tcPr>
            <w:tcW w:w="1133" w:type="dxa"/>
          </w:tcPr>
          <w:p w:rsidR="007D76BB" w:rsidRDefault="00D70D28">
            <w:pPr>
              <w:pStyle w:val="TableParagraph"/>
              <w:spacing w:line="194" w:lineRule="exact"/>
              <w:ind w:right="88"/>
              <w:jc w:val="right"/>
              <w:rPr>
                <w:rFonts w:ascii="Calibri"/>
                <w:sz w:val="16"/>
              </w:rPr>
            </w:pPr>
            <w:r>
              <w:rPr>
                <w:rFonts w:ascii="Calibri"/>
                <w:sz w:val="16"/>
              </w:rPr>
              <w:t>4</w:t>
            </w:r>
          </w:p>
        </w:tc>
        <w:tc>
          <w:tcPr>
            <w:tcW w:w="1873" w:type="dxa"/>
            <w:vMerge/>
            <w:tcBorders>
              <w:top w:val="nil"/>
            </w:tcBorders>
          </w:tcPr>
          <w:p w:rsidR="007D76BB" w:rsidRDefault="007D76BB">
            <w:pPr>
              <w:rPr>
                <w:sz w:val="2"/>
                <w:szCs w:val="2"/>
              </w:rPr>
            </w:pPr>
          </w:p>
        </w:tc>
      </w:tr>
      <w:tr w:rsidR="007D76BB">
        <w:trPr>
          <w:trHeight w:val="313"/>
        </w:trPr>
        <w:tc>
          <w:tcPr>
            <w:tcW w:w="5818" w:type="dxa"/>
            <w:gridSpan w:val="3"/>
          </w:tcPr>
          <w:p w:rsidR="007D76BB" w:rsidRDefault="00D70D28">
            <w:pPr>
              <w:pStyle w:val="TableParagraph"/>
              <w:spacing w:before="58"/>
              <w:ind w:right="89"/>
              <w:jc w:val="right"/>
              <w:rPr>
                <w:rFonts w:ascii="Calibri"/>
                <w:b/>
                <w:sz w:val="16"/>
              </w:rPr>
            </w:pPr>
            <w:r>
              <w:rPr>
                <w:rFonts w:ascii="Calibri"/>
                <w:b/>
                <w:sz w:val="16"/>
              </w:rPr>
              <w:t>Cost ongoing</w:t>
            </w:r>
          </w:p>
        </w:tc>
        <w:tc>
          <w:tcPr>
            <w:tcW w:w="1133" w:type="dxa"/>
          </w:tcPr>
          <w:p w:rsidR="007D76BB" w:rsidRDefault="00D70D28">
            <w:pPr>
              <w:pStyle w:val="TableParagraph"/>
              <w:spacing w:before="1"/>
              <w:ind w:right="86"/>
              <w:jc w:val="right"/>
              <w:rPr>
                <w:rFonts w:ascii="Calibri"/>
                <w:sz w:val="16"/>
              </w:rPr>
            </w:pPr>
            <w:r>
              <w:rPr>
                <w:rFonts w:ascii="Calibri"/>
                <w:sz w:val="16"/>
              </w:rPr>
              <w:t>$339.36</w:t>
            </w:r>
          </w:p>
        </w:tc>
        <w:tc>
          <w:tcPr>
            <w:tcW w:w="1873" w:type="dxa"/>
            <w:vMerge/>
            <w:tcBorders>
              <w:top w:val="nil"/>
            </w:tcBorders>
          </w:tcPr>
          <w:p w:rsidR="007D76BB" w:rsidRDefault="007D76BB">
            <w:pPr>
              <w:rPr>
                <w:sz w:val="2"/>
                <w:szCs w:val="2"/>
              </w:rPr>
            </w:pPr>
          </w:p>
        </w:tc>
      </w:tr>
    </w:tbl>
    <w:p w:rsidR="007D76BB" w:rsidRDefault="007D76BB">
      <w:pPr>
        <w:pStyle w:val="BodyText"/>
        <w:rPr>
          <w:rFonts w:ascii="Arial"/>
          <w:sz w:val="20"/>
        </w:rPr>
      </w:pPr>
    </w:p>
    <w:p w:rsidR="007D76BB" w:rsidRDefault="007D76BB">
      <w:pPr>
        <w:pStyle w:val="BodyText"/>
        <w:rPr>
          <w:rFonts w:ascii="Arial"/>
          <w:sz w:val="20"/>
        </w:rPr>
      </w:pPr>
    </w:p>
    <w:p w:rsidR="007D76BB" w:rsidRDefault="00D70D28">
      <w:pPr>
        <w:pStyle w:val="BodyText"/>
        <w:spacing w:before="3"/>
        <w:rPr>
          <w:rFonts w:ascii="Arial"/>
          <w:sz w:val="12"/>
        </w:rPr>
      </w:pPr>
      <w:r>
        <w:rPr>
          <w:noProof/>
          <w:lang w:val="en-AU" w:eastAsia="en-AU"/>
        </w:rPr>
        <mc:AlternateContent>
          <mc:Choice Requires="wps">
            <w:drawing>
              <wp:anchor distT="0" distB="0" distL="0" distR="0" simplePos="0" relativeHeight="251727872" behindDoc="1" locked="0" layoutInCell="1" allowOverlap="1">
                <wp:simplePos x="0" y="0"/>
                <wp:positionH relativeFrom="page">
                  <wp:posOffset>1080770</wp:posOffset>
                </wp:positionH>
                <wp:positionV relativeFrom="paragraph">
                  <wp:posOffset>120015</wp:posOffset>
                </wp:positionV>
                <wp:extent cx="1829435" cy="1270"/>
                <wp:effectExtent l="0" t="0" r="0" b="0"/>
                <wp:wrapTopAndBottom/>
                <wp:docPr id="305"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99278" id="Freeform 161" o:spid="_x0000_s1026" style="position:absolute;margin-left:85.1pt;margin-top:9.45pt;width:144.05pt;height:.1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" path="m,l2880,e" filled="f" strokeweight=".84pt">
                <v:path arrowok="t" o:connecttype="custom" o:connectlocs="0,0;1828800,0" o:connectangles="0,0"/>
                <w10:wrap type="topAndBottom" anchorx="page"/>
              </v:shape>
            </w:pict>
          </mc:Fallback>
        </mc:AlternateContent>
      </w:r>
    </w:p>
    <w:p w:rsidR="007D76BB" w:rsidRDefault="00D70D28">
      <w:pPr>
        <w:spacing w:before="132" w:line="268" w:lineRule="auto"/>
        <w:ind w:left="594" w:right="844" w:hanging="113"/>
        <w:rPr>
          <w:rFonts w:ascii="Arial"/>
          <w:sz w:val="14"/>
        </w:rPr>
      </w:pPr>
      <w:r>
        <w:rPr>
          <w:rFonts w:ascii="Arial"/>
          <w:color w:val="5B6761"/>
          <w:w w:val="105"/>
          <w:position w:val="5"/>
          <w:sz w:val="8"/>
        </w:rPr>
        <w:t>53</w:t>
      </w:r>
      <w:r>
        <w:rPr>
          <w:rFonts w:ascii="Arial"/>
          <w:color w:val="5B6761"/>
          <w:spacing w:val="1"/>
          <w:w w:val="105"/>
          <w:position w:val="5"/>
          <w:sz w:val="8"/>
        </w:rPr>
        <w:t xml:space="preserve"> </w:t>
      </w:r>
      <w:r>
        <w:rPr>
          <w:rFonts w:ascii="Arial"/>
          <w:color w:val="5B6761"/>
          <w:w w:val="105"/>
          <w:sz w:val="14"/>
        </w:rPr>
        <w:t>Likely</w:t>
      </w:r>
      <w:r>
        <w:rPr>
          <w:rFonts w:ascii="Arial"/>
          <w:color w:val="5B6761"/>
          <w:spacing w:val="-16"/>
          <w:w w:val="105"/>
          <w:sz w:val="14"/>
        </w:rPr>
        <w:t xml:space="preserve"> </w:t>
      </w:r>
      <w:r>
        <w:rPr>
          <w:rFonts w:ascii="Arial"/>
          <w:color w:val="5B6761"/>
          <w:w w:val="105"/>
          <w:sz w:val="14"/>
        </w:rPr>
        <w:t>label</w:t>
      </w:r>
      <w:r>
        <w:rPr>
          <w:rFonts w:ascii="Arial"/>
          <w:color w:val="5B6761"/>
          <w:spacing w:val="-17"/>
          <w:w w:val="105"/>
          <w:sz w:val="14"/>
        </w:rPr>
        <w:t xml:space="preserve"> </w:t>
      </w:r>
      <w:r>
        <w:rPr>
          <w:rFonts w:ascii="Arial"/>
          <w:color w:val="5B6761"/>
          <w:w w:val="105"/>
          <w:sz w:val="14"/>
        </w:rPr>
        <w:t>changes</w:t>
      </w:r>
      <w:r>
        <w:rPr>
          <w:rFonts w:ascii="Arial"/>
          <w:color w:val="5B6761"/>
          <w:spacing w:val="-16"/>
          <w:w w:val="105"/>
          <w:sz w:val="14"/>
        </w:rPr>
        <w:t xml:space="preserve"> </w:t>
      </w:r>
      <w:r>
        <w:rPr>
          <w:rFonts w:ascii="Arial"/>
          <w:color w:val="5B6761"/>
          <w:w w:val="105"/>
          <w:sz w:val="14"/>
        </w:rPr>
        <w:t>include</w:t>
      </w:r>
      <w:r>
        <w:rPr>
          <w:rFonts w:ascii="Arial"/>
          <w:color w:val="5B6761"/>
          <w:spacing w:val="-17"/>
          <w:w w:val="105"/>
          <w:sz w:val="14"/>
        </w:rPr>
        <w:t xml:space="preserve"> </w:t>
      </w:r>
      <w:r>
        <w:rPr>
          <w:rFonts w:ascii="Arial"/>
          <w:color w:val="5B6761"/>
          <w:w w:val="105"/>
          <w:sz w:val="14"/>
        </w:rPr>
        <w:t>the</w:t>
      </w:r>
      <w:r>
        <w:rPr>
          <w:rFonts w:ascii="Arial"/>
          <w:color w:val="5B6761"/>
          <w:spacing w:val="-18"/>
          <w:w w:val="105"/>
          <w:sz w:val="14"/>
        </w:rPr>
        <w:t xml:space="preserve"> </w:t>
      </w:r>
      <w:r>
        <w:rPr>
          <w:rFonts w:ascii="Arial"/>
          <w:color w:val="5B6761"/>
          <w:w w:val="105"/>
          <w:sz w:val="14"/>
        </w:rPr>
        <w:t>addition</w:t>
      </w:r>
      <w:r>
        <w:rPr>
          <w:rFonts w:ascii="Arial"/>
          <w:color w:val="5B6761"/>
          <w:spacing w:val="-15"/>
          <w:w w:val="105"/>
          <w:sz w:val="14"/>
        </w:rPr>
        <w:t xml:space="preserve"> </w:t>
      </w:r>
      <w:r>
        <w:rPr>
          <w:rFonts w:ascii="Arial"/>
          <w:color w:val="5B6761"/>
          <w:w w:val="105"/>
          <w:sz w:val="14"/>
        </w:rPr>
        <w:t>of</w:t>
      </w:r>
      <w:r>
        <w:rPr>
          <w:rFonts w:ascii="Arial"/>
          <w:color w:val="5B6761"/>
          <w:spacing w:val="-17"/>
          <w:w w:val="105"/>
          <w:sz w:val="14"/>
        </w:rPr>
        <w:t xml:space="preserve"> </w:t>
      </w:r>
      <w:r>
        <w:rPr>
          <w:rFonts w:ascii="Arial"/>
          <w:color w:val="5B6761"/>
          <w:w w:val="105"/>
          <w:sz w:val="14"/>
        </w:rPr>
        <w:t>an</w:t>
      </w:r>
      <w:r>
        <w:rPr>
          <w:rFonts w:ascii="Arial"/>
          <w:color w:val="5B6761"/>
          <w:spacing w:val="-16"/>
          <w:w w:val="105"/>
          <w:sz w:val="14"/>
        </w:rPr>
        <w:t xml:space="preserve"> </w:t>
      </w:r>
      <w:r>
        <w:rPr>
          <w:rFonts w:ascii="Arial"/>
          <w:color w:val="5B6761"/>
          <w:w w:val="105"/>
          <w:sz w:val="14"/>
        </w:rPr>
        <w:t>AUST</w:t>
      </w:r>
      <w:r>
        <w:rPr>
          <w:rFonts w:ascii="Arial"/>
          <w:color w:val="5B6761"/>
          <w:spacing w:val="-16"/>
          <w:w w:val="105"/>
          <w:sz w:val="14"/>
        </w:rPr>
        <w:t xml:space="preserve"> </w:t>
      </w:r>
      <w:r>
        <w:rPr>
          <w:rFonts w:ascii="Arial"/>
          <w:color w:val="5B6761"/>
          <w:w w:val="105"/>
          <w:sz w:val="14"/>
        </w:rPr>
        <w:t>L</w:t>
      </w:r>
      <w:r>
        <w:rPr>
          <w:rFonts w:ascii="Arial"/>
          <w:color w:val="5B6761"/>
          <w:spacing w:val="-18"/>
          <w:w w:val="105"/>
          <w:sz w:val="14"/>
        </w:rPr>
        <w:t xml:space="preserve"> </w:t>
      </w:r>
      <w:r>
        <w:rPr>
          <w:rFonts w:ascii="Arial"/>
          <w:color w:val="5B6761"/>
          <w:w w:val="105"/>
          <w:sz w:val="14"/>
        </w:rPr>
        <w:t>number,</w:t>
      </w:r>
      <w:r>
        <w:rPr>
          <w:rFonts w:ascii="Arial"/>
          <w:color w:val="5B6761"/>
          <w:spacing w:val="-16"/>
          <w:w w:val="105"/>
          <w:sz w:val="14"/>
        </w:rPr>
        <w:t xml:space="preserve"> </w:t>
      </w:r>
      <w:r>
        <w:rPr>
          <w:rFonts w:ascii="Arial"/>
          <w:color w:val="5B6761"/>
          <w:w w:val="105"/>
          <w:sz w:val="14"/>
        </w:rPr>
        <w:t>the</w:t>
      </w:r>
      <w:r>
        <w:rPr>
          <w:rFonts w:ascii="Arial"/>
          <w:color w:val="5B6761"/>
          <w:spacing w:val="-17"/>
          <w:w w:val="105"/>
          <w:sz w:val="14"/>
        </w:rPr>
        <w:t xml:space="preserve"> </w:t>
      </w:r>
      <w:r>
        <w:rPr>
          <w:rFonts w:ascii="Arial"/>
          <w:color w:val="5B6761"/>
          <w:w w:val="105"/>
          <w:sz w:val="14"/>
        </w:rPr>
        <w:t>removal</w:t>
      </w:r>
      <w:r>
        <w:rPr>
          <w:rFonts w:ascii="Arial"/>
          <w:color w:val="5B6761"/>
          <w:spacing w:val="-17"/>
          <w:w w:val="105"/>
          <w:sz w:val="14"/>
        </w:rPr>
        <w:t xml:space="preserve"> </w:t>
      </w:r>
      <w:r>
        <w:rPr>
          <w:rFonts w:ascii="Arial"/>
          <w:color w:val="5B6761"/>
          <w:w w:val="105"/>
          <w:sz w:val="14"/>
        </w:rPr>
        <w:t>of</w:t>
      </w:r>
      <w:r>
        <w:rPr>
          <w:rFonts w:ascii="Arial"/>
          <w:color w:val="5B6761"/>
          <w:spacing w:val="-17"/>
          <w:w w:val="105"/>
          <w:sz w:val="14"/>
        </w:rPr>
        <w:t xml:space="preserve"> </w:t>
      </w:r>
      <w:r>
        <w:rPr>
          <w:rFonts w:ascii="Arial"/>
          <w:color w:val="5B6761"/>
          <w:w w:val="105"/>
          <w:sz w:val="14"/>
        </w:rPr>
        <w:t>nutritional</w:t>
      </w:r>
      <w:r>
        <w:rPr>
          <w:rFonts w:ascii="Arial"/>
          <w:color w:val="5B6761"/>
          <w:spacing w:val="-16"/>
          <w:w w:val="105"/>
          <w:sz w:val="14"/>
        </w:rPr>
        <w:t xml:space="preserve"> </w:t>
      </w:r>
      <w:r>
        <w:rPr>
          <w:rFonts w:ascii="Arial"/>
          <w:color w:val="5B6761"/>
          <w:w w:val="105"/>
          <w:sz w:val="14"/>
        </w:rPr>
        <w:t>information,</w:t>
      </w:r>
      <w:r>
        <w:rPr>
          <w:rFonts w:ascii="Arial"/>
          <w:color w:val="5B6761"/>
          <w:spacing w:val="-17"/>
          <w:w w:val="105"/>
          <w:sz w:val="14"/>
        </w:rPr>
        <w:t xml:space="preserve"> </w:t>
      </w:r>
      <w:r>
        <w:rPr>
          <w:rFonts w:ascii="Arial"/>
          <w:color w:val="5B6761"/>
          <w:w w:val="105"/>
          <w:sz w:val="14"/>
        </w:rPr>
        <w:t>additions</w:t>
      </w:r>
      <w:r>
        <w:rPr>
          <w:rFonts w:ascii="Arial"/>
          <w:color w:val="5B6761"/>
          <w:spacing w:val="-16"/>
          <w:w w:val="105"/>
          <w:sz w:val="14"/>
        </w:rPr>
        <w:t xml:space="preserve"> </w:t>
      </w:r>
      <w:r>
        <w:rPr>
          <w:rFonts w:ascii="Arial"/>
          <w:color w:val="5B6761"/>
          <w:w w:val="105"/>
          <w:sz w:val="14"/>
        </w:rPr>
        <w:t>to</w:t>
      </w:r>
      <w:r>
        <w:rPr>
          <w:rFonts w:ascii="Arial"/>
          <w:color w:val="5B6761"/>
          <w:spacing w:val="-17"/>
          <w:w w:val="105"/>
          <w:sz w:val="14"/>
        </w:rPr>
        <w:t xml:space="preserve"> </w:t>
      </w:r>
      <w:r>
        <w:rPr>
          <w:rFonts w:ascii="Arial"/>
          <w:color w:val="5B6761"/>
          <w:w w:val="105"/>
          <w:sz w:val="14"/>
        </w:rPr>
        <w:t>ingredients</w:t>
      </w:r>
      <w:r>
        <w:rPr>
          <w:rFonts w:ascii="Arial"/>
          <w:color w:val="5B6761"/>
          <w:spacing w:val="-17"/>
          <w:w w:val="105"/>
          <w:sz w:val="14"/>
        </w:rPr>
        <w:t xml:space="preserve"> </w:t>
      </w:r>
      <w:r>
        <w:rPr>
          <w:rFonts w:ascii="Arial"/>
          <w:color w:val="5B6761"/>
          <w:w w:val="105"/>
          <w:sz w:val="14"/>
        </w:rPr>
        <w:t>list</w:t>
      </w:r>
      <w:r>
        <w:rPr>
          <w:rFonts w:ascii="Arial"/>
          <w:color w:val="5B6761"/>
          <w:spacing w:val="-15"/>
          <w:w w:val="105"/>
          <w:sz w:val="14"/>
        </w:rPr>
        <w:t xml:space="preserve"> </w:t>
      </w:r>
      <w:r>
        <w:rPr>
          <w:rFonts w:ascii="Arial"/>
          <w:color w:val="5B6761"/>
          <w:w w:val="105"/>
          <w:sz w:val="14"/>
        </w:rPr>
        <w:t>etc. Internal</w:t>
      </w:r>
      <w:r>
        <w:rPr>
          <w:rFonts w:ascii="Arial"/>
          <w:color w:val="5B6761"/>
          <w:spacing w:val="-20"/>
          <w:w w:val="105"/>
          <w:sz w:val="14"/>
        </w:rPr>
        <w:t xml:space="preserve"> </w:t>
      </w:r>
      <w:r>
        <w:rPr>
          <w:rFonts w:ascii="Arial"/>
          <w:color w:val="5B6761"/>
          <w:w w:val="105"/>
          <w:sz w:val="14"/>
        </w:rPr>
        <w:t>staff</w:t>
      </w:r>
      <w:r>
        <w:rPr>
          <w:rFonts w:ascii="Arial"/>
          <w:color w:val="5B6761"/>
          <w:spacing w:val="-20"/>
          <w:w w:val="105"/>
          <w:sz w:val="14"/>
        </w:rPr>
        <w:t xml:space="preserve"> </w:t>
      </w:r>
      <w:r>
        <w:rPr>
          <w:rFonts w:ascii="Arial"/>
          <w:color w:val="5B6761"/>
          <w:w w:val="105"/>
          <w:sz w:val="14"/>
        </w:rPr>
        <w:t>involved</w:t>
      </w:r>
      <w:r>
        <w:rPr>
          <w:rFonts w:ascii="Arial"/>
          <w:color w:val="5B6761"/>
          <w:spacing w:val="-19"/>
          <w:w w:val="105"/>
          <w:sz w:val="14"/>
        </w:rPr>
        <w:t xml:space="preserve"> </w:t>
      </w:r>
      <w:r>
        <w:rPr>
          <w:rFonts w:ascii="Arial"/>
          <w:color w:val="5B6761"/>
          <w:w w:val="105"/>
          <w:sz w:val="14"/>
        </w:rPr>
        <w:t>include</w:t>
      </w:r>
      <w:r>
        <w:rPr>
          <w:rFonts w:ascii="Arial"/>
          <w:color w:val="5B6761"/>
          <w:spacing w:val="-20"/>
          <w:w w:val="105"/>
          <w:sz w:val="14"/>
        </w:rPr>
        <w:t xml:space="preserve"> </w:t>
      </w:r>
      <w:r>
        <w:rPr>
          <w:rFonts w:ascii="Arial"/>
          <w:color w:val="5B6761"/>
          <w:w w:val="105"/>
          <w:sz w:val="14"/>
        </w:rPr>
        <w:t>marketing</w:t>
      </w:r>
      <w:r>
        <w:rPr>
          <w:rFonts w:ascii="Arial"/>
          <w:color w:val="5B6761"/>
          <w:spacing w:val="-19"/>
          <w:w w:val="105"/>
          <w:sz w:val="14"/>
        </w:rPr>
        <w:t xml:space="preserve"> </w:t>
      </w:r>
      <w:r>
        <w:rPr>
          <w:rFonts w:ascii="Arial"/>
          <w:color w:val="5B6761"/>
          <w:w w:val="105"/>
          <w:sz w:val="14"/>
        </w:rPr>
        <w:t>team,</w:t>
      </w:r>
      <w:r>
        <w:rPr>
          <w:rFonts w:ascii="Arial"/>
          <w:color w:val="5B6761"/>
          <w:spacing w:val="-19"/>
          <w:w w:val="105"/>
          <w:sz w:val="14"/>
        </w:rPr>
        <w:t xml:space="preserve"> </w:t>
      </w:r>
      <w:r>
        <w:rPr>
          <w:rFonts w:ascii="Arial"/>
          <w:color w:val="5B6761"/>
          <w:w w:val="105"/>
          <w:sz w:val="14"/>
        </w:rPr>
        <w:t>senior</w:t>
      </w:r>
      <w:r>
        <w:rPr>
          <w:rFonts w:ascii="Arial"/>
          <w:color w:val="5B6761"/>
          <w:spacing w:val="-19"/>
          <w:w w:val="105"/>
          <w:sz w:val="14"/>
        </w:rPr>
        <w:t xml:space="preserve"> </w:t>
      </w:r>
      <w:r>
        <w:rPr>
          <w:rFonts w:ascii="Arial"/>
          <w:color w:val="5B6761"/>
          <w:w w:val="105"/>
          <w:sz w:val="14"/>
        </w:rPr>
        <w:t>general</w:t>
      </w:r>
      <w:r>
        <w:rPr>
          <w:rFonts w:ascii="Arial"/>
          <w:color w:val="5B6761"/>
          <w:spacing w:val="-20"/>
          <w:w w:val="105"/>
          <w:sz w:val="14"/>
        </w:rPr>
        <w:t xml:space="preserve"> </w:t>
      </w:r>
      <w:r>
        <w:rPr>
          <w:rFonts w:ascii="Arial"/>
          <w:color w:val="5B6761"/>
          <w:w w:val="105"/>
          <w:sz w:val="14"/>
        </w:rPr>
        <w:t>managers</w:t>
      </w:r>
      <w:r>
        <w:rPr>
          <w:rFonts w:ascii="Arial"/>
          <w:color w:val="5B6761"/>
          <w:spacing w:val="-19"/>
          <w:w w:val="105"/>
          <w:sz w:val="14"/>
        </w:rPr>
        <w:t xml:space="preserve"> </w:t>
      </w:r>
      <w:r>
        <w:rPr>
          <w:rFonts w:ascii="Arial"/>
          <w:color w:val="5B6761"/>
          <w:w w:val="105"/>
          <w:sz w:val="14"/>
        </w:rPr>
        <w:t>(GMs),</w:t>
      </w:r>
      <w:r>
        <w:rPr>
          <w:rFonts w:ascii="Arial"/>
          <w:color w:val="5B6761"/>
          <w:spacing w:val="-19"/>
          <w:w w:val="105"/>
          <w:sz w:val="14"/>
        </w:rPr>
        <w:t xml:space="preserve"> </w:t>
      </w:r>
      <w:r>
        <w:rPr>
          <w:rFonts w:ascii="Arial"/>
          <w:color w:val="5B6761"/>
          <w:w w:val="105"/>
          <w:sz w:val="14"/>
        </w:rPr>
        <w:t>graphics</w:t>
      </w:r>
      <w:r>
        <w:rPr>
          <w:rFonts w:ascii="Arial"/>
          <w:color w:val="5B6761"/>
          <w:spacing w:val="-20"/>
          <w:w w:val="105"/>
          <w:sz w:val="14"/>
        </w:rPr>
        <w:t xml:space="preserve"> </w:t>
      </w:r>
      <w:r>
        <w:rPr>
          <w:rFonts w:ascii="Arial"/>
          <w:color w:val="5B6761"/>
          <w:w w:val="105"/>
          <w:sz w:val="14"/>
        </w:rPr>
        <w:t>team,</w:t>
      </w:r>
      <w:r>
        <w:rPr>
          <w:rFonts w:ascii="Arial"/>
          <w:color w:val="5B6761"/>
          <w:spacing w:val="-19"/>
          <w:w w:val="105"/>
          <w:sz w:val="14"/>
        </w:rPr>
        <w:t xml:space="preserve"> </w:t>
      </w:r>
      <w:r>
        <w:rPr>
          <w:rFonts w:ascii="Arial"/>
          <w:color w:val="5B6761"/>
          <w:w w:val="105"/>
          <w:sz w:val="14"/>
        </w:rPr>
        <w:t>regulatory</w:t>
      </w:r>
      <w:r>
        <w:rPr>
          <w:rFonts w:ascii="Arial"/>
          <w:color w:val="5B6761"/>
          <w:spacing w:val="-20"/>
          <w:w w:val="105"/>
          <w:sz w:val="14"/>
        </w:rPr>
        <w:t xml:space="preserve"> </w:t>
      </w:r>
      <w:r>
        <w:rPr>
          <w:rFonts w:ascii="Arial"/>
          <w:color w:val="5B6761"/>
          <w:w w:val="105"/>
          <w:sz w:val="14"/>
        </w:rPr>
        <w:t>and</w:t>
      </w:r>
      <w:r>
        <w:rPr>
          <w:rFonts w:ascii="Arial"/>
          <w:color w:val="5B6761"/>
          <w:spacing w:val="-20"/>
          <w:w w:val="105"/>
          <w:sz w:val="14"/>
        </w:rPr>
        <w:t xml:space="preserve"> </w:t>
      </w:r>
      <w:r>
        <w:rPr>
          <w:rFonts w:ascii="Arial"/>
          <w:color w:val="5B6761"/>
          <w:w w:val="105"/>
          <w:sz w:val="14"/>
        </w:rPr>
        <w:t>scientific</w:t>
      </w:r>
      <w:r>
        <w:rPr>
          <w:rFonts w:ascii="Arial"/>
          <w:color w:val="5B6761"/>
          <w:spacing w:val="-19"/>
          <w:w w:val="105"/>
          <w:sz w:val="14"/>
        </w:rPr>
        <w:t xml:space="preserve"> </w:t>
      </w:r>
      <w:r>
        <w:rPr>
          <w:rFonts w:ascii="Arial"/>
          <w:color w:val="5B6761"/>
          <w:w w:val="105"/>
          <w:sz w:val="14"/>
        </w:rPr>
        <w:t>teams,</w:t>
      </w:r>
      <w:r>
        <w:rPr>
          <w:rFonts w:ascii="Arial"/>
          <w:color w:val="5B6761"/>
          <w:spacing w:val="-20"/>
          <w:w w:val="105"/>
          <w:sz w:val="14"/>
        </w:rPr>
        <w:t xml:space="preserve"> </w:t>
      </w:r>
      <w:r>
        <w:rPr>
          <w:rFonts w:ascii="Arial"/>
          <w:color w:val="5B6761"/>
          <w:w w:val="105"/>
          <w:sz w:val="14"/>
        </w:rPr>
        <w:t>QA team and legal</w:t>
      </w:r>
      <w:r>
        <w:rPr>
          <w:rFonts w:ascii="Arial"/>
          <w:color w:val="5B6761"/>
          <w:spacing w:val="-24"/>
          <w:w w:val="105"/>
          <w:sz w:val="14"/>
        </w:rPr>
        <w:t xml:space="preserve"> </w:t>
      </w:r>
      <w:r>
        <w:rPr>
          <w:rFonts w:ascii="Arial"/>
          <w:color w:val="5B6761"/>
          <w:w w:val="105"/>
          <w:sz w:val="14"/>
        </w:rPr>
        <w:t>sign-off.</w:t>
      </w:r>
    </w:p>
    <w:p w:rsidR="007D76BB" w:rsidRDefault="00D70D28">
      <w:pPr>
        <w:spacing w:before="59"/>
        <w:ind w:left="482"/>
        <w:rPr>
          <w:rFonts w:ascii="Arial"/>
          <w:sz w:val="14"/>
        </w:rPr>
      </w:pPr>
      <w:r>
        <w:rPr>
          <w:rFonts w:ascii="Arial"/>
          <w:color w:val="5B6761"/>
          <w:w w:val="105"/>
          <w:position w:val="5"/>
          <w:sz w:val="8"/>
        </w:rPr>
        <w:t xml:space="preserve">54 </w:t>
      </w:r>
      <w:r>
        <w:rPr>
          <w:rFonts w:ascii="Arial"/>
          <w:color w:val="5B6761"/>
          <w:w w:val="105"/>
          <w:sz w:val="14"/>
        </w:rPr>
        <w:t>See following paragraph regarding likelihood of selection for post-market compliance review.</w:t>
      </w:r>
    </w:p>
    <w:p w:rsidR="007D76BB" w:rsidRDefault="00D70D28">
      <w:pPr>
        <w:spacing w:before="79"/>
        <w:ind w:left="482"/>
        <w:rPr>
          <w:rFonts w:ascii="Arial" w:hAnsi="Arial"/>
          <w:sz w:val="14"/>
        </w:rPr>
      </w:pPr>
      <w:r>
        <w:rPr>
          <w:rFonts w:ascii="Arial" w:hAnsi="Arial"/>
          <w:color w:val="5B6761"/>
          <w:w w:val="105"/>
          <w:position w:val="5"/>
          <w:sz w:val="8"/>
        </w:rPr>
        <w:t xml:space="preserve">55 </w:t>
      </w:r>
      <w:r>
        <w:rPr>
          <w:rFonts w:ascii="Arial" w:hAnsi="Arial"/>
          <w:color w:val="5B6761"/>
          <w:w w:val="105"/>
          <w:sz w:val="14"/>
        </w:rPr>
        <w:t>Assumed that ‘Additional Conditions of Listing’ have not been applied as low risk products.</w:t>
      </w:r>
    </w:p>
    <w:p w:rsidR="007D76BB" w:rsidRDefault="007D76BB">
      <w:pPr>
        <w:rPr>
          <w:rFonts w:ascii="Arial" w:hAnsi="Arial"/>
          <w:sz w:val="14"/>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8"/>
        </w:rPr>
      </w:pPr>
    </w:p>
    <w:p w:rsidR="007D76BB" w:rsidRDefault="00D70D28">
      <w:pPr>
        <w:spacing w:before="108" w:line="264" w:lineRule="auto"/>
        <w:ind w:left="482" w:right="844"/>
        <w:rPr>
          <w:rFonts w:ascii="Arial"/>
          <w:sz w:val="19"/>
        </w:rPr>
      </w:pPr>
      <w:r>
        <w:rPr>
          <w:rFonts w:ascii="Arial"/>
          <w:w w:val="105"/>
          <w:sz w:val="19"/>
        </w:rPr>
        <w:t>Listed</w:t>
      </w:r>
      <w:r>
        <w:rPr>
          <w:rFonts w:ascii="Arial"/>
          <w:spacing w:val="-28"/>
          <w:w w:val="105"/>
          <w:sz w:val="19"/>
        </w:rPr>
        <w:t xml:space="preserve"> </w:t>
      </w:r>
      <w:r>
        <w:rPr>
          <w:rFonts w:ascii="Arial"/>
          <w:w w:val="105"/>
          <w:sz w:val="19"/>
        </w:rPr>
        <w:t>medicines</w:t>
      </w:r>
      <w:r>
        <w:rPr>
          <w:rFonts w:ascii="Arial"/>
          <w:spacing w:val="-26"/>
          <w:w w:val="105"/>
          <w:sz w:val="19"/>
        </w:rPr>
        <w:t xml:space="preserve"> </w:t>
      </w:r>
      <w:r>
        <w:rPr>
          <w:rFonts w:ascii="Arial"/>
          <w:w w:val="105"/>
          <w:sz w:val="19"/>
        </w:rPr>
        <w:t>may</w:t>
      </w:r>
      <w:r>
        <w:rPr>
          <w:rFonts w:ascii="Arial"/>
          <w:spacing w:val="-26"/>
          <w:w w:val="105"/>
          <w:sz w:val="19"/>
        </w:rPr>
        <w:t xml:space="preserve"> </w:t>
      </w:r>
      <w:r>
        <w:rPr>
          <w:rFonts w:ascii="Arial"/>
          <w:w w:val="105"/>
          <w:sz w:val="19"/>
        </w:rPr>
        <w:t>be</w:t>
      </w:r>
      <w:r>
        <w:rPr>
          <w:rFonts w:ascii="Arial"/>
          <w:spacing w:val="-28"/>
          <w:w w:val="105"/>
          <w:sz w:val="19"/>
        </w:rPr>
        <w:t xml:space="preserve"> </w:t>
      </w:r>
      <w:r>
        <w:rPr>
          <w:rFonts w:ascii="Arial"/>
          <w:w w:val="105"/>
          <w:sz w:val="19"/>
        </w:rPr>
        <w:t>selected</w:t>
      </w:r>
      <w:r>
        <w:rPr>
          <w:rFonts w:ascii="Arial"/>
          <w:spacing w:val="-27"/>
          <w:w w:val="105"/>
          <w:sz w:val="19"/>
        </w:rPr>
        <w:t xml:space="preserve"> </w:t>
      </w:r>
      <w:r>
        <w:rPr>
          <w:rFonts w:ascii="Arial"/>
          <w:w w:val="105"/>
          <w:sz w:val="19"/>
        </w:rPr>
        <w:t>for</w:t>
      </w:r>
      <w:r>
        <w:rPr>
          <w:rFonts w:ascii="Arial"/>
          <w:spacing w:val="-25"/>
          <w:w w:val="105"/>
          <w:sz w:val="19"/>
        </w:rPr>
        <w:t xml:space="preserve"> </w:t>
      </w:r>
      <w:r>
        <w:rPr>
          <w:rFonts w:ascii="Arial"/>
          <w:w w:val="105"/>
          <w:sz w:val="19"/>
        </w:rPr>
        <w:t>a</w:t>
      </w:r>
      <w:r>
        <w:rPr>
          <w:rFonts w:ascii="Arial"/>
          <w:spacing w:val="-27"/>
          <w:w w:val="105"/>
          <w:sz w:val="19"/>
        </w:rPr>
        <w:t xml:space="preserve"> </w:t>
      </w:r>
      <w:r>
        <w:rPr>
          <w:rFonts w:ascii="Arial"/>
          <w:w w:val="105"/>
          <w:sz w:val="19"/>
        </w:rPr>
        <w:t>post-market</w:t>
      </w:r>
      <w:r>
        <w:rPr>
          <w:rFonts w:ascii="Arial"/>
          <w:spacing w:val="-26"/>
          <w:w w:val="105"/>
          <w:sz w:val="19"/>
        </w:rPr>
        <w:t xml:space="preserve"> </w:t>
      </w:r>
      <w:r>
        <w:rPr>
          <w:rFonts w:ascii="Arial"/>
          <w:w w:val="105"/>
          <w:sz w:val="19"/>
        </w:rPr>
        <w:t>compliance</w:t>
      </w:r>
      <w:r>
        <w:rPr>
          <w:rFonts w:ascii="Arial"/>
          <w:spacing w:val="-27"/>
          <w:w w:val="105"/>
          <w:sz w:val="19"/>
        </w:rPr>
        <w:t xml:space="preserve"> </w:t>
      </w:r>
      <w:r>
        <w:rPr>
          <w:rFonts w:ascii="Arial"/>
          <w:w w:val="105"/>
          <w:sz w:val="19"/>
        </w:rPr>
        <w:t>review</w:t>
      </w:r>
      <w:r>
        <w:rPr>
          <w:rFonts w:ascii="Arial"/>
          <w:spacing w:val="-27"/>
          <w:w w:val="105"/>
          <w:sz w:val="19"/>
        </w:rPr>
        <w:t xml:space="preserve"> </w:t>
      </w:r>
      <w:r>
        <w:rPr>
          <w:rFonts w:ascii="Arial"/>
          <w:w w:val="105"/>
          <w:sz w:val="19"/>
        </w:rPr>
        <w:t>to</w:t>
      </w:r>
      <w:r>
        <w:rPr>
          <w:rFonts w:ascii="Arial"/>
          <w:spacing w:val="-27"/>
          <w:w w:val="105"/>
          <w:sz w:val="19"/>
        </w:rPr>
        <w:t xml:space="preserve"> </w:t>
      </w:r>
      <w:r>
        <w:rPr>
          <w:rFonts w:ascii="Arial"/>
          <w:w w:val="105"/>
          <w:sz w:val="19"/>
        </w:rPr>
        <w:t>determine</w:t>
      </w:r>
      <w:r>
        <w:rPr>
          <w:rFonts w:ascii="Arial"/>
          <w:spacing w:val="-24"/>
          <w:w w:val="105"/>
          <w:sz w:val="19"/>
        </w:rPr>
        <w:t xml:space="preserve"> </w:t>
      </w:r>
      <w:r>
        <w:rPr>
          <w:rFonts w:ascii="Arial"/>
          <w:w w:val="105"/>
          <w:sz w:val="19"/>
        </w:rPr>
        <w:t>whether</w:t>
      </w:r>
      <w:r>
        <w:rPr>
          <w:rFonts w:ascii="Arial"/>
          <w:spacing w:val="-25"/>
          <w:w w:val="105"/>
          <w:sz w:val="19"/>
        </w:rPr>
        <w:t xml:space="preserve"> </w:t>
      </w:r>
      <w:r>
        <w:rPr>
          <w:rFonts w:ascii="Arial"/>
          <w:w w:val="105"/>
          <w:sz w:val="19"/>
        </w:rPr>
        <w:t>these medicines</w:t>
      </w:r>
      <w:r>
        <w:rPr>
          <w:rFonts w:ascii="Arial"/>
          <w:spacing w:val="-27"/>
          <w:w w:val="105"/>
          <w:sz w:val="19"/>
        </w:rPr>
        <w:t xml:space="preserve"> </w:t>
      </w:r>
      <w:r>
        <w:rPr>
          <w:rFonts w:ascii="Arial"/>
          <w:w w:val="105"/>
          <w:sz w:val="19"/>
        </w:rPr>
        <w:t>comply</w:t>
      </w:r>
      <w:r>
        <w:rPr>
          <w:rFonts w:ascii="Arial"/>
          <w:spacing w:val="-26"/>
          <w:w w:val="105"/>
          <w:sz w:val="19"/>
        </w:rPr>
        <w:t xml:space="preserve"> </w:t>
      </w:r>
      <w:r>
        <w:rPr>
          <w:rFonts w:ascii="Arial"/>
          <w:w w:val="105"/>
          <w:sz w:val="19"/>
        </w:rPr>
        <w:t>with</w:t>
      </w:r>
      <w:r>
        <w:rPr>
          <w:rFonts w:ascii="Arial"/>
          <w:spacing w:val="-25"/>
          <w:w w:val="105"/>
          <w:sz w:val="19"/>
        </w:rPr>
        <w:t xml:space="preserve"> </w:t>
      </w:r>
      <w:r>
        <w:rPr>
          <w:rFonts w:ascii="Arial"/>
          <w:w w:val="105"/>
          <w:sz w:val="19"/>
        </w:rPr>
        <w:t>the</w:t>
      </w:r>
      <w:r>
        <w:rPr>
          <w:rFonts w:ascii="Arial"/>
          <w:spacing w:val="-26"/>
          <w:w w:val="105"/>
          <w:sz w:val="19"/>
        </w:rPr>
        <w:t xml:space="preserve"> </w:t>
      </w:r>
      <w:r>
        <w:rPr>
          <w:rFonts w:ascii="Arial"/>
          <w:w w:val="105"/>
          <w:sz w:val="19"/>
        </w:rPr>
        <w:t>relevant</w:t>
      </w:r>
      <w:r>
        <w:rPr>
          <w:rFonts w:ascii="Arial"/>
          <w:spacing w:val="-24"/>
          <w:w w:val="105"/>
          <w:sz w:val="19"/>
        </w:rPr>
        <w:t xml:space="preserve"> </w:t>
      </w:r>
      <w:r>
        <w:rPr>
          <w:rFonts w:ascii="Arial"/>
          <w:w w:val="105"/>
          <w:sz w:val="19"/>
        </w:rPr>
        <w:t>regulatory</w:t>
      </w:r>
      <w:r>
        <w:rPr>
          <w:rFonts w:ascii="Arial"/>
          <w:spacing w:val="-25"/>
          <w:w w:val="105"/>
          <w:sz w:val="19"/>
        </w:rPr>
        <w:t xml:space="preserve"> </w:t>
      </w:r>
      <w:r>
        <w:rPr>
          <w:rFonts w:ascii="Arial"/>
          <w:w w:val="105"/>
          <w:sz w:val="19"/>
        </w:rPr>
        <w:t>requirements.</w:t>
      </w:r>
      <w:r>
        <w:rPr>
          <w:rFonts w:ascii="Arial"/>
          <w:spacing w:val="-21"/>
          <w:w w:val="105"/>
          <w:sz w:val="19"/>
        </w:rPr>
        <w:t xml:space="preserve"> </w:t>
      </w:r>
      <w:r>
        <w:rPr>
          <w:rFonts w:ascii="Arial"/>
          <w:w w:val="105"/>
          <w:sz w:val="19"/>
        </w:rPr>
        <w:t>In</w:t>
      </w:r>
      <w:r>
        <w:rPr>
          <w:rFonts w:ascii="Arial"/>
          <w:spacing w:val="-26"/>
          <w:w w:val="105"/>
          <w:sz w:val="19"/>
        </w:rPr>
        <w:t xml:space="preserve"> </w:t>
      </w:r>
      <w:r>
        <w:rPr>
          <w:rFonts w:ascii="Arial"/>
          <w:w w:val="105"/>
          <w:sz w:val="19"/>
        </w:rPr>
        <w:t>2018-19,</w:t>
      </w:r>
      <w:r>
        <w:rPr>
          <w:rFonts w:ascii="Arial"/>
          <w:spacing w:val="-25"/>
          <w:w w:val="105"/>
          <w:sz w:val="19"/>
        </w:rPr>
        <w:t xml:space="preserve"> </w:t>
      </w:r>
      <w:r>
        <w:rPr>
          <w:rFonts w:ascii="Arial"/>
          <w:w w:val="105"/>
          <w:sz w:val="19"/>
        </w:rPr>
        <w:t>139</w:t>
      </w:r>
      <w:r>
        <w:rPr>
          <w:rFonts w:ascii="Arial"/>
          <w:spacing w:val="-26"/>
          <w:w w:val="105"/>
          <w:sz w:val="19"/>
        </w:rPr>
        <w:t xml:space="preserve"> </w:t>
      </w:r>
      <w:r>
        <w:rPr>
          <w:rFonts w:ascii="Arial"/>
          <w:w w:val="105"/>
          <w:sz w:val="19"/>
        </w:rPr>
        <w:t>compliance</w:t>
      </w:r>
      <w:r>
        <w:rPr>
          <w:rFonts w:ascii="Arial"/>
          <w:spacing w:val="-25"/>
          <w:w w:val="105"/>
          <w:sz w:val="19"/>
        </w:rPr>
        <w:t xml:space="preserve"> </w:t>
      </w:r>
      <w:r>
        <w:rPr>
          <w:rFonts w:ascii="Arial"/>
          <w:w w:val="105"/>
          <w:sz w:val="19"/>
        </w:rPr>
        <w:t>review were</w:t>
      </w:r>
      <w:r>
        <w:rPr>
          <w:rFonts w:ascii="Arial"/>
          <w:spacing w:val="-23"/>
          <w:w w:val="105"/>
          <w:sz w:val="19"/>
        </w:rPr>
        <w:t xml:space="preserve"> </w:t>
      </w:r>
      <w:r>
        <w:rPr>
          <w:rFonts w:ascii="Arial"/>
          <w:w w:val="105"/>
          <w:sz w:val="19"/>
        </w:rPr>
        <w:t>undertaken</w:t>
      </w:r>
      <w:r>
        <w:rPr>
          <w:rFonts w:ascii="Arial"/>
          <w:spacing w:val="-22"/>
          <w:w w:val="105"/>
          <w:sz w:val="19"/>
        </w:rPr>
        <w:t xml:space="preserve"> </w:t>
      </w:r>
      <w:r>
        <w:rPr>
          <w:rFonts w:ascii="Arial"/>
          <w:w w:val="105"/>
          <w:sz w:val="19"/>
        </w:rPr>
        <w:t>for</w:t>
      </w:r>
      <w:r>
        <w:rPr>
          <w:rFonts w:ascii="Arial"/>
          <w:spacing w:val="-21"/>
          <w:w w:val="105"/>
          <w:sz w:val="19"/>
        </w:rPr>
        <w:t xml:space="preserve"> </w:t>
      </w:r>
      <w:r>
        <w:rPr>
          <w:rFonts w:ascii="Arial"/>
          <w:w w:val="105"/>
          <w:sz w:val="19"/>
        </w:rPr>
        <w:t>a</w:t>
      </w:r>
      <w:r>
        <w:rPr>
          <w:rFonts w:ascii="Arial"/>
          <w:spacing w:val="-23"/>
          <w:w w:val="105"/>
          <w:sz w:val="19"/>
        </w:rPr>
        <w:t xml:space="preserve"> </w:t>
      </w:r>
      <w:r>
        <w:rPr>
          <w:rFonts w:ascii="Arial"/>
          <w:w w:val="105"/>
          <w:sz w:val="19"/>
        </w:rPr>
        <w:t>population</w:t>
      </w:r>
      <w:r>
        <w:rPr>
          <w:rFonts w:ascii="Arial"/>
          <w:spacing w:val="-21"/>
          <w:w w:val="105"/>
          <w:sz w:val="19"/>
        </w:rPr>
        <w:t xml:space="preserve"> </w:t>
      </w:r>
      <w:r>
        <w:rPr>
          <w:rFonts w:ascii="Arial"/>
          <w:w w:val="105"/>
          <w:sz w:val="19"/>
        </w:rPr>
        <w:t>of</w:t>
      </w:r>
      <w:r>
        <w:rPr>
          <w:rFonts w:ascii="Arial"/>
          <w:spacing w:val="-23"/>
          <w:w w:val="105"/>
          <w:sz w:val="19"/>
        </w:rPr>
        <w:t xml:space="preserve"> </w:t>
      </w:r>
      <w:r>
        <w:rPr>
          <w:rFonts w:ascii="Arial"/>
          <w:w w:val="105"/>
          <w:sz w:val="19"/>
        </w:rPr>
        <w:t>over</w:t>
      </w:r>
      <w:r>
        <w:rPr>
          <w:rFonts w:ascii="Arial"/>
          <w:spacing w:val="-24"/>
          <w:w w:val="105"/>
          <w:sz w:val="19"/>
        </w:rPr>
        <w:t xml:space="preserve"> </w:t>
      </w:r>
      <w:r>
        <w:rPr>
          <w:rFonts w:ascii="Arial"/>
          <w:w w:val="105"/>
          <w:sz w:val="19"/>
        </w:rPr>
        <w:t>10,000</w:t>
      </w:r>
      <w:r>
        <w:rPr>
          <w:rFonts w:ascii="Arial"/>
          <w:spacing w:val="-21"/>
          <w:w w:val="105"/>
          <w:sz w:val="19"/>
        </w:rPr>
        <w:t xml:space="preserve"> </w:t>
      </w:r>
      <w:r>
        <w:rPr>
          <w:rFonts w:ascii="Arial"/>
          <w:w w:val="105"/>
          <w:sz w:val="19"/>
        </w:rPr>
        <w:t>ARTG</w:t>
      </w:r>
      <w:r>
        <w:rPr>
          <w:rFonts w:ascii="Arial"/>
          <w:spacing w:val="-23"/>
          <w:w w:val="105"/>
          <w:sz w:val="19"/>
        </w:rPr>
        <w:t xml:space="preserve"> </w:t>
      </w:r>
      <w:r>
        <w:rPr>
          <w:rFonts w:ascii="Arial"/>
          <w:w w:val="105"/>
          <w:sz w:val="19"/>
        </w:rPr>
        <w:t>listings</w:t>
      </w:r>
      <w:r>
        <w:rPr>
          <w:rFonts w:ascii="Arial"/>
          <w:spacing w:val="-22"/>
          <w:w w:val="105"/>
          <w:sz w:val="19"/>
        </w:rPr>
        <w:t xml:space="preserve"> </w:t>
      </w:r>
      <w:r>
        <w:rPr>
          <w:rFonts w:ascii="Arial"/>
          <w:w w:val="105"/>
          <w:sz w:val="19"/>
        </w:rPr>
        <w:t>(therefore</w:t>
      </w:r>
      <w:r>
        <w:rPr>
          <w:rFonts w:ascii="Arial"/>
          <w:spacing w:val="-21"/>
          <w:w w:val="105"/>
          <w:sz w:val="19"/>
        </w:rPr>
        <w:t xml:space="preserve"> </w:t>
      </w:r>
      <w:r>
        <w:rPr>
          <w:rFonts w:ascii="Arial"/>
          <w:w w:val="105"/>
          <w:sz w:val="19"/>
        </w:rPr>
        <w:t>slightly</w:t>
      </w:r>
      <w:r>
        <w:rPr>
          <w:rFonts w:ascii="Arial"/>
          <w:spacing w:val="-18"/>
          <w:w w:val="105"/>
          <w:sz w:val="19"/>
        </w:rPr>
        <w:t xml:space="preserve"> </w:t>
      </w:r>
      <w:r>
        <w:rPr>
          <w:rFonts w:ascii="Arial"/>
          <w:w w:val="105"/>
          <w:sz w:val="19"/>
        </w:rPr>
        <w:t>more</w:t>
      </w:r>
      <w:r>
        <w:rPr>
          <w:rFonts w:ascii="Arial"/>
          <w:spacing w:val="-21"/>
          <w:w w:val="105"/>
          <w:sz w:val="19"/>
        </w:rPr>
        <w:t xml:space="preserve"> </w:t>
      </w:r>
      <w:r>
        <w:rPr>
          <w:rFonts w:ascii="Arial"/>
          <w:w w:val="105"/>
          <w:sz w:val="19"/>
        </w:rPr>
        <w:t>than</w:t>
      </w:r>
      <w:r>
        <w:rPr>
          <w:rFonts w:ascii="Arial"/>
          <w:spacing w:val="-20"/>
          <w:w w:val="105"/>
          <w:sz w:val="19"/>
        </w:rPr>
        <w:t xml:space="preserve"> </w:t>
      </w:r>
      <w:r>
        <w:rPr>
          <w:rFonts w:ascii="Arial"/>
          <w:w w:val="105"/>
          <w:sz w:val="19"/>
        </w:rPr>
        <w:t>a</w:t>
      </w:r>
      <w:r>
        <w:rPr>
          <w:rFonts w:ascii="Arial"/>
          <w:spacing w:val="-23"/>
          <w:w w:val="105"/>
          <w:sz w:val="19"/>
        </w:rPr>
        <w:t xml:space="preserve"> </w:t>
      </w:r>
      <w:r>
        <w:rPr>
          <w:rFonts w:ascii="Arial"/>
          <w:w w:val="105"/>
          <w:sz w:val="19"/>
        </w:rPr>
        <w:t>1% probability</w:t>
      </w:r>
      <w:r>
        <w:rPr>
          <w:rFonts w:ascii="Arial"/>
          <w:spacing w:val="-24"/>
          <w:w w:val="105"/>
          <w:sz w:val="19"/>
        </w:rPr>
        <w:t xml:space="preserve"> </w:t>
      </w:r>
      <w:r>
        <w:rPr>
          <w:rFonts w:ascii="Arial"/>
          <w:w w:val="105"/>
          <w:sz w:val="19"/>
        </w:rPr>
        <w:t>of</w:t>
      </w:r>
      <w:r>
        <w:rPr>
          <w:rFonts w:ascii="Arial"/>
          <w:spacing w:val="-25"/>
          <w:w w:val="105"/>
          <w:sz w:val="19"/>
        </w:rPr>
        <w:t xml:space="preserve"> </w:t>
      </w:r>
      <w:r>
        <w:rPr>
          <w:rFonts w:ascii="Arial"/>
          <w:w w:val="105"/>
          <w:sz w:val="19"/>
        </w:rPr>
        <w:t>any</w:t>
      </w:r>
      <w:r>
        <w:rPr>
          <w:rFonts w:ascii="Arial"/>
          <w:spacing w:val="-25"/>
          <w:w w:val="105"/>
          <w:sz w:val="19"/>
        </w:rPr>
        <w:t xml:space="preserve"> </w:t>
      </w:r>
      <w:r>
        <w:rPr>
          <w:rFonts w:ascii="Arial"/>
          <w:w w:val="105"/>
          <w:sz w:val="19"/>
        </w:rPr>
        <w:t>single</w:t>
      </w:r>
      <w:r>
        <w:rPr>
          <w:rFonts w:ascii="Arial"/>
          <w:spacing w:val="-25"/>
          <w:w w:val="105"/>
          <w:sz w:val="19"/>
        </w:rPr>
        <w:t xml:space="preserve"> </w:t>
      </w:r>
      <w:r>
        <w:rPr>
          <w:rFonts w:ascii="Arial"/>
          <w:w w:val="105"/>
          <w:sz w:val="19"/>
        </w:rPr>
        <w:t>listing</w:t>
      </w:r>
      <w:r>
        <w:rPr>
          <w:rFonts w:ascii="Arial"/>
          <w:spacing w:val="-23"/>
          <w:w w:val="105"/>
          <w:sz w:val="19"/>
        </w:rPr>
        <w:t xml:space="preserve"> </w:t>
      </w:r>
      <w:r>
        <w:rPr>
          <w:rFonts w:ascii="Arial"/>
          <w:w w:val="105"/>
          <w:sz w:val="19"/>
        </w:rPr>
        <w:t>being</w:t>
      </w:r>
      <w:r>
        <w:rPr>
          <w:rFonts w:ascii="Arial"/>
          <w:spacing w:val="-23"/>
          <w:w w:val="105"/>
          <w:sz w:val="19"/>
        </w:rPr>
        <w:t xml:space="preserve"> </w:t>
      </w:r>
      <w:r>
        <w:rPr>
          <w:rFonts w:ascii="Arial"/>
          <w:w w:val="105"/>
          <w:sz w:val="19"/>
        </w:rPr>
        <w:t>selected</w:t>
      </w:r>
      <w:r>
        <w:rPr>
          <w:rFonts w:ascii="Arial"/>
          <w:spacing w:val="-25"/>
          <w:w w:val="105"/>
          <w:sz w:val="19"/>
        </w:rPr>
        <w:t xml:space="preserve"> </w:t>
      </w:r>
      <w:r>
        <w:rPr>
          <w:rFonts w:ascii="Arial"/>
          <w:w w:val="105"/>
          <w:sz w:val="19"/>
        </w:rPr>
        <w:t>for</w:t>
      </w:r>
      <w:r>
        <w:rPr>
          <w:rFonts w:ascii="Arial"/>
          <w:spacing w:val="-25"/>
          <w:w w:val="105"/>
          <w:sz w:val="19"/>
        </w:rPr>
        <w:t xml:space="preserve"> </w:t>
      </w:r>
      <w:r>
        <w:rPr>
          <w:rFonts w:ascii="Arial"/>
          <w:w w:val="105"/>
          <w:sz w:val="19"/>
        </w:rPr>
        <w:t>review).</w:t>
      </w:r>
      <w:r>
        <w:rPr>
          <w:rFonts w:ascii="Arial"/>
          <w:w w:val="105"/>
          <w:position w:val="7"/>
          <w:sz w:val="11"/>
        </w:rPr>
        <w:t xml:space="preserve">56 </w:t>
      </w:r>
      <w:r>
        <w:rPr>
          <w:rFonts w:ascii="Arial"/>
          <w:w w:val="105"/>
          <w:sz w:val="19"/>
        </w:rPr>
        <w:t>It</w:t>
      </w:r>
      <w:r>
        <w:rPr>
          <w:rFonts w:ascii="Arial"/>
          <w:spacing w:val="-24"/>
          <w:w w:val="105"/>
          <w:sz w:val="19"/>
        </w:rPr>
        <w:t xml:space="preserve"> </w:t>
      </w:r>
      <w:r>
        <w:rPr>
          <w:rFonts w:ascii="Arial"/>
          <w:w w:val="105"/>
          <w:sz w:val="19"/>
        </w:rPr>
        <w:t>has</w:t>
      </w:r>
      <w:r>
        <w:rPr>
          <w:rFonts w:ascii="Arial"/>
          <w:spacing w:val="-26"/>
          <w:w w:val="105"/>
          <w:sz w:val="19"/>
        </w:rPr>
        <w:t xml:space="preserve"> </w:t>
      </w:r>
      <w:r>
        <w:rPr>
          <w:rFonts w:ascii="Arial"/>
          <w:w w:val="105"/>
          <w:sz w:val="19"/>
        </w:rPr>
        <w:t>been</w:t>
      </w:r>
      <w:r>
        <w:rPr>
          <w:rFonts w:ascii="Arial"/>
          <w:spacing w:val="-24"/>
          <w:w w:val="105"/>
          <w:sz w:val="19"/>
        </w:rPr>
        <w:t xml:space="preserve"> </w:t>
      </w:r>
      <w:r>
        <w:rPr>
          <w:rFonts w:ascii="Arial"/>
          <w:w w:val="105"/>
          <w:sz w:val="19"/>
        </w:rPr>
        <w:t>assessed</w:t>
      </w:r>
      <w:r>
        <w:rPr>
          <w:rFonts w:ascii="Arial"/>
          <w:spacing w:val="-26"/>
          <w:w w:val="105"/>
          <w:sz w:val="19"/>
        </w:rPr>
        <w:t xml:space="preserve"> </w:t>
      </w:r>
      <w:r>
        <w:rPr>
          <w:rFonts w:ascii="Arial"/>
          <w:w w:val="105"/>
          <w:sz w:val="19"/>
        </w:rPr>
        <w:t>that</w:t>
      </w:r>
      <w:r>
        <w:rPr>
          <w:rFonts w:ascii="Arial"/>
          <w:spacing w:val="-25"/>
          <w:w w:val="105"/>
          <w:sz w:val="19"/>
        </w:rPr>
        <w:t xml:space="preserve"> </w:t>
      </w:r>
      <w:r>
        <w:rPr>
          <w:rFonts w:ascii="Arial"/>
          <w:w w:val="105"/>
          <w:sz w:val="19"/>
        </w:rPr>
        <w:t>less</w:t>
      </w:r>
      <w:r>
        <w:rPr>
          <w:rFonts w:ascii="Arial"/>
          <w:spacing w:val="-24"/>
          <w:w w:val="105"/>
          <w:sz w:val="19"/>
        </w:rPr>
        <w:t xml:space="preserve"> </w:t>
      </w:r>
      <w:r>
        <w:rPr>
          <w:rFonts w:ascii="Arial"/>
          <w:w w:val="105"/>
          <w:sz w:val="19"/>
        </w:rPr>
        <w:t>than</w:t>
      </w:r>
      <w:r>
        <w:rPr>
          <w:rFonts w:ascii="Arial"/>
          <w:spacing w:val="-24"/>
          <w:w w:val="105"/>
          <w:sz w:val="19"/>
        </w:rPr>
        <w:t xml:space="preserve"> </w:t>
      </w:r>
      <w:r>
        <w:rPr>
          <w:rFonts w:ascii="Arial"/>
          <w:w w:val="105"/>
          <w:sz w:val="19"/>
        </w:rPr>
        <w:t>100 additional ARTG listings (a less than 1% increase of the current population) will arise from the proposed</w:t>
      </w:r>
      <w:r>
        <w:rPr>
          <w:rFonts w:ascii="Arial"/>
          <w:spacing w:val="-19"/>
          <w:w w:val="105"/>
          <w:sz w:val="19"/>
        </w:rPr>
        <w:t xml:space="preserve"> </w:t>
      </w:r>
      <w:r>
        <w:rPr>
          <w:rFonts w:ascii="Arial"/>
          <w:w w:val="105"/>
          <w:sz w:val="19"/>
        </w:rPr>
        <w:t>regulatory</w:t>
      </w:r>
      <w:r>
        <w:rPr>
          <w:rFonts w:ascii="Arial"/>
          <w:spacing w:val="-18"/>
          <w:w w:val="105"/>
          <w:sz w:val="19"/>
        </w:rPr>
        <w:t xml:space="preserve"> </w:t>
      </w:r>
      <w:r>
        <w:rPr>
          <w:rFonts w:ascii="Arial"/>
          <w:w w:val="105"/>
          <w:sz w:val="19"/>
        </w:rPr>
        <w:t>clarification.</w:t>
      </w:r>
      <w:r>
        <w:rPr>
          <w:rFonts w:ascii="Arial"/>
          <w:spacing w:val="-16"/>
          <w:w w:val="105"/>
          <w:sz w:val="19"/>
        </w:rPr>
        <w:t xml:space="preserve"> </w:t>
      </w:r>
      <w:r>
        <w:rPr>
          <w:rFonts w:ascii="Arial"/>
          <w:w w:val="105"/>
          <w:sz w:val="19"/>
        </w:rPr>
        <w:t>It</w:t>
      </w:r>
      <w:r>
        <w:rPr>
          <w:rFonts w:ascii="Arial"/>
          <w:spacing w:val="-16"/>
          <w:w w:val="105"/>
          <w:sz w:val="19"/>
        </w:rPr>
        <w:t xml:space="preserve"> </w:t>
      </w:r>
      <w:r>
        <w:rPr>
          <w:rFonts w:ascii="Arial"/>
          <w:w w:val="105"/>
          <w:sz w:val="19"/>
        </w:rPr>
        <w:t>is</w:t>
      </w:r>
      <w:r>
        <w:rPr>
          <w:rFonts w:ascii="Arial"/>
          <w:spacing w:val="-19"/>
          <w:w w:val="105"/>
          <w:sz w:val="19"/>
        </w:rPr>
        <w:t xml:space="preserve"> </w:t>
      </w:r>
      <w:r>
        <w:rPr>
          <w:rFonts w:ascii="Arial"/>
          <w:w w:val="105"/>
          <w:sz w:val="19"/>
        </w:rPr>
        <w:t>therefore</w:t>
      </w:r>
      <w:r>
        <w:rPr>
          <w:rFonts w:ascii="Arial"/>
          <w:spacing w:val="-18"/>
          <w:w w:val="105"/>
          <w:sz w:val="19"/>
        </w:rPr>
        <w:t xml:space="preserve"> </w:t>
      </w:r>
      <w:r>
        <w:rPr>
          <w:rFonts w:ascii="Arial"/>
          <w:w w:val="105"/>
          <w:sz w:val="19"/>
        </w:rPr>
        <w:t>considered</w:t>
      </w:r>
      <w:r>
        <w:rPr>
          <w:rFonts w:ascii="Arial"/>
          <w:spacing w:val="-18"/>
          <w:w w:val="105"/>
          <w:sz w:val="19"/>
        </w:rPr>
        <w:t xml:space="preserve"> </w:t>
      </w:r>
      <w:r>
        <w:rPr>
          <w:rFonts w:ascii="Arial"/>
          <w:w w:val="105"/>
          <w:sz w:val="19"/>
        </w:rPr>
        <w:t>unlikely</w:t>
      </w:r>
      <w:r>
        <w:rPr>
          <w:rFonts w:ascii="Arial"/>
          <w:spacing w:val="-17"/>
          <w:w w:val="105"/>
          <w:sz w:val="19"/>
        </w:rPr>
        <w:t xml:space="preserve"> </w:t>
      </w:r>
      <w:r>
        <w:rPr>
          <w:rFonts w:ascii="Arial"/>
          <w:w w:val="105"/>
          <w:sz w:val="19"/>
        </w:rPr>
        <w:t>that</w:t>
      </w:r>
      <w:r>
        <w:rPr>
          <w:rFonts w:ascii="Arial"/>
          <w:spacing w:val="-17"/>
          <w:w w:val="105"/>
          <w:sz w:val="19"/>
        </w:rPr>
        <w:t xml:space="preserve"> </w:t>
      </w:r>
      <w:r>
        <w:rPr>
          <w:rFonts w:ascii="Arial"/>
          <w:w w:val="105"/>
          <w:sz w:val="19"/>
        </w:rPr>
        <w:t>there</w:t>
      </w:r>
      <w:r>
        <w:rPr>
          <w:rFonts w:ascii="Arial"/>
          <w:spacing w:val="-18"/>
          <w:w w:val="105"/>
          <w:sz w:val="19"/>
        </w:rPr>
        <w:t xml:space="preserve"> </w:t>
      </w:r>
      <w:r>
        <w:rPr>
          <w:rFonts w:ascii="Arial"/>
          <w:w w:val="105"/>
          <w:sz w:val="19"/>
        </w:rPr>
        <w:t>will</w:t>
      </w:r>
      <w:r>
        <w:rPr>
          <w:rFonts w:ascii="Arial"/>
          <w:spacing w:val="-16"/>
          <w:w w:val="105"/>
          <w:sz w:val="19"/>
        </w:rPr>
        <w:t xml:space="preserve"> </w:t>
      </w:r>
      <w:r>
        <w:rPr>
          <w:rFonts w:ascii="Arial"/>
          <w:w w:val="105"/>
          <w:sz w:val="19"/>
        </w:rPr>
        <w:t>be</w:t>
      </w:r>
      <w:r>
        <w:rPr>
          <w:rFonts w:ascii="Arial"/>
          <w:spacing w:val="-18"/>
          <w:w w:val="105"/>
          <w:sz w:val="19"/>
        </w:rPr>
        <w:t xml:space="preserve"> </w:t>
      </w:r>
      <w:r>
        <w:rPr>
          <w:rFonts w:ascii="Arial"/>
          <w:w w:val="105"/>
          <w:sz w:val="19"/>
        </w:rPr>
        <w:t>any</w:t>
      </w:r>
      <w:r>
        <w:rPr>
          <w:rFonts w:ascii="Arial"/>
          <w:spacing w:val="-17"/>
          <w:w w:val="105"/>
          <w:sz w:val="19"/>
        </w:rPr>
        <w:t xml:space="preserve"> </w:t>
      </w:r>
      <w:r>
        <w:rPr>
          <w:rFonts w:ascii="Arial"/>
          <w:w w:val="105"/>
          <w:sz w:val="19"/>
        </w:rPr>
        <w:t>material increase</w:t>
      </w:r>
      <w:r>
        <w:rPr>
          <w:rFonts w:ascii="Arial"/>
          <w:spacing w:val="-19"/>
          <w:w w:val="105"/>
          <w:sz w:val="19"/>
        </w:rPr>
        <w:t xml:space="preserve"> </w:t>
      </w:r>
      <w:r>
        <w:rPr>
          <w:rFonts w:ascii="Arial"/>
          <w:w w:val="105"/>
          <w:sz w:val="19"/>
        </w:rPr>
        <w:t>in</w:t>
      </w:r>
      <w:r>
        <w:rPr>
          <w:rFonts w:ascii="Arial"/>
          <w:spacing w:val="-18"/>
          <w:w w:val="105"/>
          <w:sz w:val="19"/>
        </w:rPr>
        <w:t xml:space="preserve"> </w:t>
      </w:r>
      <w:r>
        <w:rPr>
          <w:rFonts w:ascii="Arial"/>
          <w:w w:val="105"/>
          <w:sz w:val="19"/>
        </w:rPr>
        <w:t>the</w:t>
      </w:r>
      <w:r>
        <w:rPr>
          <w:rFonts w:ascii="Arial"/>
          <w:spacing w:val="-20"/>
          <w:w w:val="105"/>
          <w:sz w:val="19"/>
        </w:rPr>
        <w:t xml:space="preserve"> </w:t>
      </w:r>
      <w:r>
        <w:rPr>
          <w:rFonts w:ascii="Arial"/>
          <w:w w:val="105"/>
          <w:sz w:val="19"/>
        </w:rPr>
        <w:t>regulatory</w:t>
      </w:r>
      <w:r>
        <w:rPr>
          <w:rFonts w:ascii="Arial"/>
          <w:spacing w:val="-20"/>
          <w:w w:val="105"/>
          <w:sz w:val="19"/>
        </w:rPr>
        <w:t xml:space="preserve"> </w:t>
      </w:r>
      <w:r>
        <w:rPr>
          <w:rFonts w:ascii="Arial"/>
          <w:w w:val="105"/>
          <w:sz w:val="19"/>
        </w:rPr>
        <w:t>burden</w:t>
      </w:r>
      <w:r>
        <w:rPr>
          <w:rFonts w:ascii="Arial"/>
          <w:spacing w:val="-18"/>
          <w:w w:val="105"/>
          <w:sz w:val="19"/>
        </w:rPr>
        <w:t xml:space="preserve"> </w:t>
      </w:r>
      <w:r>
        <w:rPr>
          <w:rFonts w:ascii="Arial"/>
          <w:w w:val="105"/>
          <w:sz w:val="19"/>
        </w:rPr>
        <w:t>directly</w:t>
      </w:r>
      <w:r>
        <w:rPr>
          <w:rFonts w:ascii="Arial"/>
          <w:spacing w:val="-21"/>
          <w:w w:val="105"/>
          <w:sz w:val="19"/>
        </w:rPr>
        <w:t xml:space="preserve"> </w:t>
      </w:r>
      <w:r>
        <w:rPr>
          <w:rFonts w:ascii="Arial"/>
          <w:w w:val="105"/>
          <w:sz w:val="19"/>
        </w:rPr>
        <w:t>related</w:t>
      </w:r>
      <w:r>
        <w:rPr>
          <w:rFonts w:ascii="Arial"/>
          <w:spacing w:val="-22"/>
          <w:w w:val="105"/>
          <w:sz w:val="19"/>
        </w:rPr>
        <w:t xml:space="preserve"> </w:t>
      </w:r>
      <w:r>
        <w:rPr>
          <w:rFonts w:ascii="Arial"/>
          <w:w w:val="105"/>
          <w:sz w:val="19"/>
        </w:rPr>
        <w:t>to</w:t>
      </w:r>
      <w:r>
        <w:rPr>
          <w:rFonts w:ascii="Arial"/>
          <w:spacing w:val="-19"/>
          <w:w w:val="105"/>
          <w:sz w:val="19"/>
        </w:rPr>
        <w:t xml:space="preserve"> </w:t>
      </w:r>
      <w:r>
        <w:rPr>
          <w:rFonts w:ascii="Arial"/>
          <w:w w:val="105"/>
          <w:sz w:val="19"/>
        </w:rPr>
        <w:t>post-market</w:t>
      </w:r>
      <w:r>
        <w:rPr>
          <w:rFonts w:ascii="Arial"/>
          <w:spacing w:val="-20"/>
          <w:w w:val="105"/>
          <w:sz w:val="19"/>
        </w:rPr>
        <w:t xml:space="preserve"> </w:t>
      </w:r>
      <w:r>
        <w:rPr>
          <w:rFonts w:ascii="Arial"/>
          <w:w w:val="105"/>
          <w:sz w:val="19"/>
        </w:rPr>
        <w:t>compliance</w:t>
      </w:r>
      <w:r>
        <w:rPr>
          <w:rFonts w:ascii="Arial"/>
          <w:spacing w:val="-20"/>
          <w:w w:val="105"/>
          <w:sz w:val="19"/>
        </w:rPr>
        <w:t xml:space="preserve"> </w:t>
      </w:r>
      <w:r>
        <w:rPr>
          <w:rFonts w:ascii="Arial"/>
          <w:w w:val="105"/>
          <w:sz w:val="19"/>
        </w:rPr>
        <w:t>reviews</w:t>
      </w:r>
      <w:r>
        <w:rPr>
          <w:rFonts w:ascii="Arial"/>
          <w:spacing w:val="-23"/>
          <w:w w:val="105"/>
          <w:sz w:val="19"/>
        </w:rPr>
        <w:t xml:space="preserve"> </w:t>
      </w:r>
      <w:r>
        <w:rPr>
          <w:rFonts w:ascii="Arial"/>
          <w:w w:val="105"/>
          <w:sz w:val="19"/>
        </w:rPr>
        <w:t>of</w:t>
      </w:r>
      <w:r>
        <w:rPr>
          <w:rFonts w:ascii="Arial"/>
          <w:spacing w:val="-20"/>
          <w:w w:val="105"/>
          <w:sz w:val="19"/>
        </w:rPr>
        <w:t xml:space="preserve"> </w:t>
      </w:r>
      <w:r>
        <w:rPr>
          <w:rFonts w:ascii="Arial"/>
          <w:w w:val="105"/>
          <w:sz w:val="19"/>
        </w:rPr>
        <w:t>the</w:t>
      </w:r>
      <w:r>
        <w:rPr>
          <w:rFonts w:ascii="Arial"/>
          <w:spacing w:val="-20"/>
          <w:w w:val="105"/>
          <w:sz w:val="19"/>
        </w:rPr>
        <w:t xml:space="preserve"> </w:t>
      </w:r>
      <w:r>
        <w:rPr>
          <w:rFonts w:ascii="Arial"/>
          <w:w w:val="105"/>
          <w:sz w:val="19"/>
        </w:rPr>
        <w:t>arising additional ARTG</w:t>
      </w:r>
      <w:r>
        <w:rPr>
          <w:rFonts w:ascii="Arial"/>
          <w:spacing w:val="-23"/>
          <w:w w:val="105"/>
          <w:sz w:val="19"/>
        </w:rPr>
        <w:t xml:space="preserve"> </w:t>
      </w:r>
      <w:r>
        <w:rPr>
          <w:rFonts w:ascii="Arial"/>
          <w:w w:val="105"/>
          <w:sz w:val="19"/>
        </w:rPr>
        <w:t>listings.</w:t>
      </w:r>
    </w:p>
    <w:p w:rsidR="007D76BB" w:rsidRDefault="00D70D28">
      <w:pPr>
        <w:spacing w:before="175"/>
        <w:ind w:left="482"/>
        <w:rPr>
          <w:rFonts w:ascii="Arial"/>
          <w:i/>
          <w:sz w:val="20"/>
        </w:rPr>
      </w:pPr>
      <w:r>
        <w:rPr>
          <w:rFonts w:ascii="Arial"/>
          <w:i/>
          <w:sz w:val="20"/>
        </w:rPr>
        <w:t>Future population considerations</w:t>
      </w:r>
    </w:p>
    <w:p w:rsidR="007D76BB" w:rsidRDefault="00D70D28">
      <w:pPr>
        <w:spacing w:before="197" w:line="264" w:lineRule="auto"/>
        <w:ind w:left="482" w:right="877"/>
        <w:rPr>
          <w:rFonts w:ascii="Arial"/>
          <w:sz w:val="19"/>
        </w:rPr>
      </w:pPr>
      <w:r>
        <w:rPr>
          <w:rFonts w:ascii="Arial"/>
          <w:w w:val="105"/>
          <w:sz w:val="19"/>
        </w:rPr>
        <w:t>The regulatory costing has a default duration of ten years, which incorporates the proposed transition period of up to three years. Industry stakeholders commented that the sports supplements market is dynamic with a relatively high changeover of products due to consumers seeking</w:t>
      </w:r>
      <w:r>
        <w:rPr>
          <w:rFonts w:ascii="Arial"/>
          <w:spacing w:val="-23"/>
          <w:w w:val="105"/>
          <w:sz w:val="19"/>
        </w:rPr>
        <w:t xml:space="preserve"> </w:t>
      </w:r>
      <w:r>
        <w:rPr>
          <w:rFonts w:ascii="Arial"/>
          <w:w w:val="105"/>
          <w:sz w:val="19"/>
        </w:rPr>
        <w:t>out</w:t>
      </w:r>
      <w:r>
        <w:rPr>
          <w:rFonts w:ascii="Arial"/>
          <w:spacing w:val="-23"/>
          <w:w w:val="105"/>
          <w:sz w:val="19"/>
        </w:rPr>
        <w:t xml:space="preserve"> </w:t>
      </w:r>
      <w:r>
        <w:rPr>
          <w:rFonts w:ascii="Arial"/>
          <w:w w:val="105"/>
          <w:sz w:val="19"/>
        </w:rPr>
        <w:t>new</w:t>
      </w:r>
      <w:r>
        <w:rPr>
          <w:rFonts w:ascii="Arial"/>
          <w:spacing w:val="-23"/>
          <w:w w:val="105"/>
          <w:sz w:val="19"/>
        </w:rPr>
        <w:t xml:space="preserve"> </w:t>
      </w:r>
      <w:r>
        <w:rPr>
          <w:rFonts w:ascii="Arial"/>
          <w:w w:val="105"/>
          <w:sz w:val="19"/>
        </w:rPr>
        <w:t>products</w:t>
      </w:r>
      <w:r>
        <w:rPr>
          <w:rFonts w:ascii="Arial"/>
          <w:spacing w:val="-23"/>
          <w:w w:val="105"/>
          <w:sz w:val="19"/>
        </w:rPr>
        <w:t xml:space="preserve"> </w:t>
      </w:r>
      <w:r>
        <w:rPr>
          <w:rFonts w:ascii="Arial"/>
          <w:w w:val="105"/>
          <w:sz w:val="19"/>
        </w:rPr>
        <w:t>(usually</w:t>
      </w:r>
      <w:r>
        <w:rPr>
          <w:rFonts w:ascii="Arial"/>
          <w:spacing w:val="-23"/>
          <w:w w:val="105"/>
          <w:sz w:val="19"/>
        </w:rPr>
        <w:t xml:space="preserve"> </w:t>
      </w:r>
      <w:r>
        <w:rPr>
          <w:rFonts w:ascii="Arial"/>
          <w:w w:val="105"/>
          <w:sz w:val="19"/>
        </w:rPr>
        <w:t>on</w:t>
      </w:r>
      <w:r>
        <w:rPr>
          <w:rFonts w:ascii="Arial"/>
          <w:spacing w:val="-23"/>
          <w:w w:val="105"/>
          <w:sz w:val="19"/>
        </w:rPr>
        <w:t xml:space="preserve"> </w:t>
      </w:r>
      <w:r>
        <w:rPr>
          <w:rFonts w:ascii="Arial"/>
          <w:w w:val="105"/>
          <w:sz w:val="19"/>
        </w:rPr>
        <w:t>the</w:t>
      </w:r>
      <w:r>
        <w:rPr>
          <w:rFonts w:ascii="Arial"/>
          <w:spacing w:val="-23"/>
          <w:w w:val="105"/>
          <w:sz w:val="19"/>
        </w:rPr>
        <w:t xml:space="preserve"> </w:t>
      </w:r>
      <w:r>
        <w:rPr>
          <w:rFonts w:ascii="Arial"/>
          <w:w w:val="105"/>
          <w:sz w:val="19"/>
        </w:rPr>
        <w:t>expectation</w:t>
      </w:r>
      <w:r>
        <w:rPr>
          <w:rFonts w:ascii="Arial"/>
          <w:spacing w:val="-22"/>
          <w:w w:val="105"/>
          <w:sz w:val="19"/>
        </w:rPr>
        <w:t xml:space="preserve"> </w:t>
      </w:r>
      <w:r>
        <w:rPr>
          <w:rFonts w:ascii="Arial"/>
          <w:w w:val="105"/>
          <w:sz w:val="19"/>
        </w:rPr>
        <w:t>of</w:t>
      </w:r>
      <w:r>
        <w:rPr>
          <w:rFonts w:ascii="Arial"/>
          <w:spacing w:val="-23"/>
          <w:w w:val="105"/>
          <w:sz w:val="19"/>
        </w:rPr>
        <w:t xml:space="preserve"> </w:t>
      </w:r>
      <w:r>
        <w:rPr>
          <w:rFonts w:ascii="Arial"/>
          <w:w w:val="105"/>
          <w:sz w:val="19"/>
        </w:rPr>
        <w:t>improved</w:t>
      </w:r>
      <w:r>
        <w:rPr>
          <w:rFonts w:ascii="Arial"/>
          <w:spacing w:val="-21"/>
          <w:w w:val="105"/>
          <w:sz w:val="19"/>
        </w:rPr>
        <w:t xml:space="preserve"> </w:t>
      </w:r>
      <w:r>
        <w:rPr>
          <w:rFonts w:ascii="Arial"/>
          <w:w w:val="105"/>
          <w:sz w:val="19"/>
        </w:rPr>
        <w:t>physiological</w:t>
      </w:r>
      <w:r>
        <w:rPr>
          <w:rFonts w:ascii="Arial"/>
          <w:spacing w:val="-23"/>
          <w:w w:val="105"/>
          <w:sz w:val="19"/>
        </w:rPr>
        <w:t xml:space="preserve"> </w:t>
      </w:r>
      <w:r>
        <w:rPr>
          <w:rFonts w:ascii="Arial"/>
          <w:w w:val="105"/>
          <w:sz w:val="19"/>
        </w:rPr>
        <w:t>effects).</w:t>
      </w:r>
      <w:r>
        <w:rPr>
          <w:rFonts w:ascii="Arial"/>
          <w:spacing w:val="-21"/>
          <w:w w:val="105"/>
          <w:sz w:val="19"/>
        </w:rPr>
        <w:t xml:space="preserve"> </w:t>
      </w:r>
      <w:r>
        <w:rPr>
          <w:rFonts w:ascii="Arial"/>
          <w:w w:val="105"/>
          <w:sz w:val="19"/>
        </w:rPr>
        <w:t>Due</w:t>
      </w:r>
      <w:r>
        <w:rPr>
          <w:rFonts w:ascii="Arial"/>
          <w:spacing w:val="-23"/>
          <w:w w:val="105"/>
          <w:sz w:val="19"/>
        </w:rPr>
        <w:t xml:space="preserve"> </w:t>
      </w:r>
      <w:r>
        <w:rPr>
          <w:rFonts w:ascii="Arial"/>
          <w:w w:val="105"/>
          <w:sz w:val="19"/>
        </w:rPr>
        <w:t>to</w:t>
      </w:r>
      <w:r>
        <w:rPr>
          <w:rFonts w:ascii="Arial"/>
          <w:spacing w:val="-24"/>
          <w:w w:val="105"/>
          <w:sz w:val="19"/>
        </w:rPr>
        <w:t xml:space="preserve"> </w:t>
      </w:r>
      <w:r>
        <w:rPr>
          <w:rFonts w:ascii="Arial"/>
          <w:w w:val="105"/>
          <w:sz w:val="19"/>
        </w:rPr>
        <w:t>the point-in-time</w:t>
      </w:r>
      <w:r>
        <w:rPr>
          <w:rFonts w:ascii="Arial"/>
          <w:spacing w:val="-20"/>
          <w:w w:val="105"/>
          <w:sz w:val="19"/>
        </w:rPr>
        <w:t xml:space="preserve"> </w:t>
      </w:r>
      <w:r>
        <w:rPr>
          <w:rFonts w:ascii="Arial"/>
          <w:w w:val="105"/>
          <w:sz w:val="19"/>
        </w:rPr>
        <w:t>method</w:t>
      </w:r>
      <w:r>
        <w:rPr>
          <w:rFonts w:ascii="Arial"/>
          <w:spacing w:val="-20"/>
          <w:w w:val="105"/>
          <w:sz w:val="19"/>
        </w:rPr>
        <w:t xml:space="preserve"> </w:t>
      </w:r>
      <w:r>
        <w:rPr>
          <w:rFonts w:ascii="Arial"/>
          <w:w w:val="105"/>
          <w:sz w:val="19"/>
        </w:rPr>
        <w:t>for</w:t>
      </w:r>
      <w:r>
        <w:rPr>
          <w:rFonts w:ascii="Arial"/>
          <w:spacing w:val="-22"/>
          <w:w w:val="105"/>
          <w:sz w:val="19"/>
        </w:rPr>
        <w:t xml:space="preserve"> </w:t>
      </w:r>
      <w:r>
        <w:rPr>
          <w:rFonts w:ascii="Arial"/>
          <w:w w:val="105"/>
          <w:sz w:val="19"/>
        </w:rPr>
        <w:t>establishing</w:t>
      </w:r>
      <w:r>
        <w:rPr>
          <w:rFonts w:ascii="Arial"/>
          <w:spacing w:val="-21"/>
          <w:w w:val="105"/>
          <w:sz w:val="19"/>
        </w:rPr>
        <w:t xml:space="preserve"> </w:t>
      </w:r>
      <w:r>
        <w:rPr>
          <w:rFonts w:ascii="Arial"/>
          <w:w w:val="105"/>
          <w:sz w:val="19"/>
        </w:rPr>
        <w:t>the</w:t>
      </w:r>
      <w:r>
        <w:rPr>
          <w:rFonts w:ascii="Arial"/>
          <w:spacing w:val="-19"/>
          <w:w w:val="105"/>
          <w:sz w:val="19"/>
        </w:rPr>
        <w:t xml:space="preserve"> </w:t>
      </w:r>
      <w:r>
        <w:rPr>
          <w:rFonts w:ascii="Arial"/>
          <w:w w:val="105"/>
          <w:sz w:val="19"/>
        </w:rPr>
        <w:t>product</w:t>
      </w:r>
      <w:r>
        <w:rPr>
          <w:rFonts w:ascii="Arial"/>
          <w:spacing w:val="-21"/>
          <w:w w:val="105"/>
          <w:sz w:val="19"/>
        </w:rPr>
        <w:t xml:space="preserve"> </w:t>
      </w:r>
      <w:r>
        <w:rPr>
          <w:rFonts w:ascii="Arial"/>
          <w:w w:val="105"/>
          <w:sz w:val="19"/>
        </w:rPr>
        <w:t>population,</w:t>
      </w:r>
      <w:r>
        <w:rPr>
          <w:rFonts w:ascii="Arial"/>
          <w:spacing w:val="-19"/>
          <w:w w:val="105"/>
          <w:sz w:val="19"/>
        </w:rPr>
        <w:t xml:space="preserve"> </w:t>
      </w:r>
      <w:r>
        <w:rPr>
          <w:rFonts w:ascii="Arial"/>
          <w:w w:val="105"/>
          <w:sz w:val="19"/>
        </w:rPr>
        <w:t>Noetic</w:t>
      </w:r>
      <w:r>
        <w:rPr>
          <w:rFonts w:ascii="Arial"/>
          <w:spacing w:val="-20"/>
          <w:w w:val="105"/>
          <w:sz w:val="19"/>
        </w:rPr>
        <w:t xml:space="preserve"> </w:t>
      </w:r>
      <w:r>
        <w:rPr>
          <w:rFonts w:ascii="Arial"/>
          <w:w w:val="105"/>
          <w:sz w:val="19"/>
        </w:rPr>
        <w:t>has</w:t>
      </w:r>
      <w:r>
        <w:rPr>
          <w:rFonts w:ascii="Arial"/>
          <w:spacing w:val="-20"/>
          <w:w w:val="105"/>
          <w:sz w:val="19"/>
        </w:rPr>
        <w:t xml:space="preserve"> </w:t>
      </w:r>
      <w:r>
        <w:rPr>
          <w:rFonts w:ascii="Arial"/>
          <w:w w:val="105"/>
          <w:sz w:val="19"/>
        </w:rPr>
        <w:t>been</w:t>
      </w:r>
      <w:r>
        <w:rPr>
          <w:rFonts w:ascii="Arial"/>
          <w:spacing w:val="-16"/>
          <w:w w:val="105"/>
          <w:sz w:val="19"/>
        </w:rPr>
        <w:t xml:space="preserve"> </w:t>
      </w:r>
      <w:r>
        <w:rPr>
          <w:rFonts w:ascii="Arial"/>
          <w:w w:val="105"/>
          <w:sz w:val="19"/>
        </w:rPr>
        <w:t>unable</w:t>
      </w:r>
      <w:r>
        <w:rPr>
          <w:rFonts w:ascii="Arial"/>
          <w:spacing w:val="-20"/>
          <w:w w:val="105"/>
          <w:sz w:val="19"/>
        </w:rPr>
        <w:t xml:space="preserve"> </w:t>
      </w:r>
      <w:r>
        <w:rPr>
          <w:rFonts w:ascii="Arial"/>
          <w:w w:val="105"/>
          <w:sz w:val="19"/>
        </w:rPr>
        <w:t>to</w:t>
      </w:r>
      <w:r>
        <w:rPr>
          <w:rFonts w:ascii="Arial"/>
          <w:spacing w:val="-20"/>
          <w:w w:val="105"/>
          <w:sz w:val="19"/>
        </w:rPr>
        <w:t xml:space="preserve"> </w:t>
      </w:r>
      <w:r>
        <w:rPr>
          <w:rFonts w:ascii="Arial"/>
          <w:w w:val="105"/>
          <w:sz w:val="19"/>
        </w:rPr>
        <w:t>determine longitudinal</w:t>
      </w:r>
      <w:r>
        <w:rPr>
          <w:rFonts w:ascii="Arial"/>
          <w:spacing w:val="-22"/>
          <w:w w:val="105"/>
          <w:sz w:val="19"/>
        </w:rPr>
        <w:t xml:space="preserve"> </w:t>
      </w:r>
      <w:r>
        <w:rPr>
          <w:rFonts w:ascii="Arial"/>
          <w:w w:val="105"/>
          <w:sz w:val="19"/>
        </w:rPr>
        <w:t>changes</w:t>
      </w:r>
      <w:r>
        <w:rPr>
          <w:rFonts w:ascii="Arial"/>
          <w:spacing w:val="-20"/>
          <w:w w:val="105"/>
          <w:sz w:val="19"/>
        </w:rPr>
        <w:t xml:space="preserve"> </w:t>
      </w:r>
      <w:r>
        <w:rPr>
          <w:rFonts w:ascii="Arial"/>
          <w:w w:val="105"/>
          <w:sz w:val="19"/>
        </w:rPr>
        <w:t>in</w:t>
      </w:r>
      <w:r>
        <w:rPr>
          <w:rFonts w:ascii="Arial"/>
          <w:spacing w:val="-20"/>
          <w:w w:val="105"/>
          <w:sz w:val="19"/>
        </w:rPr>
        <w:t xml:space="preserve"> </w:t>
      </w:r>
      <w:r>
        <w:rPr>
          <w:rFonts w:ascii="Arial"/>
          <w:w w:val="105"/>
          <w:sz w:val="19"/>
        </w:rPr>
        <w:t>the</w:t>
      </w:r>
      <w:r>
        <w:rPr>
          <w:rFonts w:ascii="Arial"/>
          <w:spacing w:val="-21"/>
          <w:w w:val="105"/>
          <w:sz w:val="19"/>
        </w:rPr>
        <w:t xml:space="preserve"> </w:t>
      </w:r>
      <w:r>
        <w:rPr>
          <w:rFonts w:ascii="Arial"/>
          <w:w w:val="105"/>
          <w:sz w:val="19"/>
        </w:rPr>
        <w:t>overall</w:t>
      </w:r>
      <w:r>
        <w:rPr>
          <w:rFonts w:ascii="Arial"/>
          <w:spacing w:val="-22"/>
          <w:w w:val="105"/>
          <w:sz w:val="19"/>
        </w:rPr>
        <w:t xml:space="preserve"> </w:t>
      </w:r>
      <w:r>
        <w:rPr>
          <w:rFonts w:ascii="Arial"/>
          <w:w w:val="105"/>
          <w:sz w:val="19"/>
        </w:rPr>
        <w:t>product</w:t>
      </w:r>
      <w:r>
        <w:rPr>
          <w:rFonts w:ascii="Arial"/>
          <w:spacing w:val="-21"/>
          <w:w w:val="105"/>
          <w:sz w:val="19"/>
        </w:rPr>
        <w:t xml:space="preserve"> </w:t>
      </w:r>
      <w:r>
        <w:rPr>
          <w:rFonts w:ascii="Arial"/>
          <w:w w:val="105"/>
          <w:sz w:val="19"/>
        </w:rPr>
        <w:t>population.</w:t>
      </w:r>
      <w:r>
        <w:rPr>
          <w:rFonts w:ascii="Arial"/>
          <w:w w:val="105"/>
          <w:position w:val="7"/>
          <w:sz w:val="11"/>
        </w:rPr>
        <w:t>57</w:t>
      </w:r>
      <w:r>
        <w:rPr>
          <w:rFonts w:ascii="Arial"/>
          <w:spacing w:val="3"/>
          <w:w w:val="105"/>
          <w:position w:val="7"/>
          <w:sz w:val="11"/>
        </w:rPr>
        <w:t xml:space="preserve"> </w:t>
      </w:r>
      <w:r>
        <w:rPr>
          <w:rFonts w:ascii="Arial"/>
          <w:w w:val="105"/>
          <w:sz w:val="19"/>
        </w:rPr>
        <w:t>However,</w:t>
      </w:r>
      <w:r>
        <w:rPr>
          <w:rFonts w:ascii="Arial"/>
          <w:spacing w:val="-19"/>
          <w:w w:val="105"/>
          <w:sz w:val="19"/>
        </w:rPr>
        <w:t xml:space="preserve"> </w:t>
      </w:r>
      <w:r>
        <w:rPr>
          <w:rFonts w:ascii="Arial"/>
          <w:w w:val="105"/>
          <w:sz w:val="19"/>
        </w:rPr>
        <w:t>industry</w:t>
      </w:r>
      <w:r>
        <w:rPr>
          <w:rFonts w:ascii="Arial"/>
          <w:spacing w:val="-22"/>
          <w:w w:val="105"/>
          <w:sz w:val="19"/>
        </w:rPr>
        <w:t xml:space="preserve"> </w:t>
      </w:r>
      <w:r>
        <w:rPr>
          <w:rFonts w:ascii="Arial"/>
          <w:w w:val="105"/>
          <w:sz w:val="19"/>
        </w:rPr>
        <w:t>reports</w:t>
      </w:r>
      <w:r>
        <w:rPr>
          <w:rFonts w:ascii="Arial"/>
          <w:w w:val="105"/>
          <w:position w:val="7"/>
          <w:sz w:val="11"/>
        </w:rPr>
        <w:t>58</w:t>
      </w:r>
      <w:r>
        <w:rPr>
          <w:rFonts w:ascii="Arial"/>
          <w:spacing w:val="2"/>
          <w:w w:val="105"/>
          <w:position w:val="7"/>
          <w:sz w:val="11"/>
        </w:rPr>
        <w:t xml:space="preserve"> </w:t>
      </w:r>
      <w:r>
        <w:rPr>
          <w:rFonts w:ascii="Arial"/>
          <w:w w:val="105"/>
          <w:sz w:val="19"/>
        </w:rPr>
        <w:t>note</w:t>
      </w:r>
      <w:r>
        <w:rPr>
          <w:rFonts w:ascii="Arial"/>
          <w:spacing w:val="-20"/>
          <w:w w:val="105"/>
          <w:sz w:val="19"/>
        </w:rPr>
        <w:t xml:space="preserve"> </w:t>
      </w:r>
      <w:r>
        <w:rPr>
          <w:rFonts w:ascii="Arial"/>
          <w:w w:val="105"/>
          <w:sz w:val="19"/>
        </w:rPr>
        <w:t>that</w:t>
      </w:r>
      <w:r>
        <w:rPr>
          <w:rFonts w:ascii="Arial"/>
          <w:spacing w:val="-21"/>
          <w:w w:val="105"/>
          <w:sz w:val="19"/>
        </w:rPr>
        <w:t xml:space="preserve"> </w:t>
      </w:r>
      <w:r>
        <w:rPr>
          <w:rFonts w:ascii="Arial"/>
          <w:w w:val="105"/>
          <w:sz w:val="19"/>
        </w:rPr>
        <w:t>this</w:t>
      </w:r>
      <w:r>
        <w:rPr>
          <w:rFonts w:ascii="Arial"/>
          <w:spacing w:val="-20"/>
          <w:w w:val="105"/>
          <w:sz w:val="19"/>
        </w:rPr>
        <w:t xml:space="preserve"> </w:t>
      </w:r>
      <w:r>
        <w:rPr>
          <w:rFonts w:ascii="Arial"/>
          <w:w w:val="105"/>
          <w:sz w:val="19"/>
        </w:rPr>
        <w:t>is a growing retail sector driven by rising health consciousness among consumers and associated wellness</w:t>
      </w:r>
      <w:r>
        <w:rPr>
          <w:rFonts w:ascii="Arial"/>
          <w:spacing w:val="-13"/>
          <w:w w:val="105"/>
          <w:sz w:val="19"/>
        </w:rPr>
        <w:t xml:space="preserve"> </w:t>
      </w:r>
      <w:r>
        <w:rPr>
          <w:rFonts w:ascii="Arial"/>
          <w:w w:val="105"/>
          <w:sz w:val="19"/>
        </w:rPr>
        <w:t>trends.</w:t>
      </w:r>
    </w:p>
    <w:p w:rsidR="007D76BB" w:rsidRDefault="00D70D28">
      <w:pPr>
        <w:spacing w:before="183" w:line="266" w:lineRule="auto"/>
        <w:ind w:left="482" w:right="688"/>
        <w:rPr>
          <w:rFonts w:ascii="Arial"/>
          <w:sz w:val="19"/>
        </w:rPr>
      </w:pPr>
      <w:r>
        <w:rPr>
          <w:rFonts w:ascii="Arial"/>
          <w:w w:val="105"/>
          <w:sz w:val="19"/>
        </w:rPr>
        <w:t>In</w:t>
      </w:r>
      <w:r>
        <w:rPr>
          <w:rFonts w:ascii="Arial"/>
          <w:spacing w:val="-14"/>
          <w:w w:val="105"/>
          <w:sz w:val="19"/>
        </w:rPr>
        <w:t xml:space="preserve"> </w:t>
      </w:r>
      <w:r>
        <w:rPr>
          <w:rFonts w:ascii="Arial"/>
          <w:w w:val="105"/>
          <w:sz w:val="19"/>
        </w:rPr>
        <w:t>relation</w:t>
      </w:r>
      <w:r>
        <w:rPr>
          <w:rFonts w:ascii="Arial"/>
          <w:spacing w:val="-15"/>
          <w:w w:val="105"/>
          <w:sz w:val="19"/>
        </w:rPr>
        <w:t xml:space="preserve"> </w:t>
      </w:r>
      <w:r>
        <w:rPr>
          <w:rFonts w:ascii="Arial"/>
          <w:w w:val="105"/>
          <w:sz w:val="19"/>
        </w:rPr>
        <w:t>to</w:t>
      </w:r>
      <w:r>
        <w:rPr>
          <w:rFonts w:ascii="Arial"/>
          <w:spacing w:val="-14"/>
          <w:w w:val="105"/>
          <w:sz w:val="19"/>
        </w:rPr>
        <w:t xml:space="preserve"> </w:t>
      </w:r>
      <w:r>
        <w:rPr>
          <w:rFonts w:ascii="Arial"/>
          <w:w w:val="105"/>
          <w:sz w:val="19"/>
        </w:rPr>
        <w:t>the</w:t>
      </w:r>
      <w:r>
        <w:rPr>
          <w:rFonts w:ascii="Arial"/>
          <w:spacing w:val="-14"/>
          <w:w w:val="105"/>
          <w:sz w:val="19"/>
        </w:rPr>
        <w:t xml:space="preserve"> </w:t>
      </w:r>
      <w:r>
        <w:rPr>
          <w:rFonts w:ascii="Arial"/>
          <w:w w:val="105"/>
          <w:sz w:val="19"/>
        </w:rPr>
        <w:t>impact</w:t>
      </w:r>
      <w:r>
        <w:rPr>
          <w:rFonts w:ascii="Arial"/>
          <w:spacing w:val="-13"/>
          <w:w w:val="105"/>
          <w:sz w:val="19"/>
        </w:rPr>
        <w:t xml:space="preserve"> </w:t>
      </w:r>
      <w:r>
        <w:rPr>
          <w:rFonts w:ascii="Arial"/>
          <w:w w:val="105"/>
          <w:sz w:val="19"/>
        </w:rPr>
        <w:t>of</w:t>
      </w:r>
      <w:r>
        <w:rPr>
          <w:rFonts w:ascii="Arial"/>
          <w:spacing w:val="-17"/>
          <w:w w:val="105"/>
          <w:sz w:val="19"/>
        </w:rPr>
        <w:t xml:space="preserve"> </w:t>
      </w:r>
      <w:r>
        <w:rPr>
          <w:rFonts w:ascii="Arial"/>
          <w:w w:val="105"/>
          <w:sz w:val="19"/>
        </w:rPr>
        <w:t>the</w:t>
      </w:r>
      <w:r>
        <w:rPr>
          <w:rFonts w:ascii="Arial"/>
          <w:spacing w:val="-15"/>
          <w:w w:val="105"/>
          <w:sz w:val="19"/>
        </w:rPr>
        <w:t xml:space="preserve"> </w:t>
      </w:r>
      <w:r>
        <w:rPr>
          <w:rFonts w:ascii="Arial"/>
          <w:w w:val="105"/>
          <w:sz w:val="19"/>
        </w:rPr>
        <w:t>proposed</w:t>
      </w:r>
      <w:r>
        <w:rPr>
          <w:rFonts w:ascii="Arial"/>
          <w:spacing w:val="-15"/>
          <w:w w:val="105"/>
          <w:sz w:val="19"/>
        </w:rPr>
        <w:t xml:space="preserve"> </w:t>
      </w:r>
      <w:r>
        <w:rPr>
          <w:rFonts w:ascii="Arial"/>
          <w:w w:val="105"/>
          <w:sz w:val="19"/>
        </w:rPr>
        <w:t>regulatory</w:t>
      </w:r>
      <w:r>
        <w:rPr>
          <w:rFonts w:ascii="Arial"/>
          <w:spacing w:val="-15"/>
          <w:w w:val="105"/>
          <w:sz w:val="19"/>
        </w:rPr>
        <w:t xml:space="preserve"> </w:t>
      </w:r>
      <w:r>
        <w:rPr>
          <w:rFonts w:ascii="Arial"/>
          <w:w w:val="105"/>
          <w:sz w:val="19"/>
        </w:rPr>
        <w:t>clarification</w:t>
      </w:r>
      <w:r>
        <w:rPr>
          <w:rFonts w:ascii="Arial"/>
          <w:spacing w:val="-14"/>
          <w:w w:val="105"/>
          <w:sz w:val="19"/>
        </w:rPr>
        <w:t xml:space="preserve"> </w:t>
      </w:r>
      <w:r>
        <w:rPr>
          <w:rFonts w:ascii="Arial"/>
          <w:w w:val="105"/>
          <w:sz w:val="19"/>
        </w:rPr>
        <w:t>on</w:t>
      </w:r>
      <w:r>
        <w:rPr>
          <w:rFonts w:ascii="Arial"/>
          <w:spacing w:val="-15"/>
          <w:w w:val="105"/>
          <w:sz w:val="19"/>
        </w:rPr>
        <w:t xml:space="preserve"> </w:t>
      </w:r>
      <w:r>
        <w:rPr>
          <w:rFonts w:ascii="Arial"/>
          <w:w w:val="105"/>
          <w:sz w:val="19"/>
        </w:rPr>
        <w:t>future</w:t>
      </w:r>
      <w:r>
        <w:rPr>
          <w:rFonts w:ascii="Arial"/>
          <w:spacing w:val="-15"/>
          <w:w w:val="105"/>
          <w:sz w:val="19"/>
        </w:rPr>
        <w:t xml:space="preserve"> </w:t>
      </w:r>
      <w:r>
        <w:rPr>
          <w:rFonts w:ascii="Arial"/>
          <w:w w:val="105"/>
          <w:sz w:val="19"/>
        </w:rPr>
        <w:t>products</w:t>
      </w:r>
      <w:r>
        <w:rPr>
          <w:rFonts w:ascii="Arial"/>
          <w:spacing w:val="-16"/>
          <w:w w:val="105"/>
          <w:sz w:val="19"/>
        </w:rPr>
        <w:t xml:space="preserve"> </w:t>
      </w:r>
      <w:r>
        <w:rPr>
          <w:rFonts w:ascii="Arial"/>
          <w:w w:val="105"/>
          <w:sz w:val="19"/>
        </w:rPr>
        <w:t>the</w:t>
      </w:r>
      <w:r>
        <w:rPr>
          <w:rFonts w:ascii="Arial"/>
          <w:spacing w:val="-13"/>
          <w:w w:val="105"/>
          <w:sz w:val="19"/>
        </w:rPr>
        <w:t xml:space="preserve"> </w:t>
      </w:r>
      <w:r>
        <w:rPr>
          <w:rFonts w:ascii="Arial"/>
          <w:w w:val="105"/>
          <w:sz w:val="19"/>
        </w:rPr>
        <w:t>following assumptions have been</w:t>
      </w:r>
      <w:r>
        <w:rPr>
          <w:rFonts w:ascii="Arial"/>
          <w:spacing w:val="-40"/>
          <w:w w:val="105"/>
          <w:sz w:val="19"/>
        </w:rPr>
        <w:t xml:space="preserve"> </w:t>
      </w:r>
      <w:r>
        <w:rPr>
          <w:rFonts w:ascii="Arial"/>
          <w:w w:val="105"/>
          <w:sz w:val="19"/>
        </w:rPr>
        <w:t>made:</w:t>
      </w:r>
    </w:p>
    <w:p w:rsidR="007D76BB" w:rsidRDefault="00D70D28">
      <w:pPr>
        <w:pStyle w:val="ListParagraph"/>
        <w:numPr>
          <w:ilvl w:val="1"/>
          <w:numId w:val="5"/>
        </w:numPr>
        <w:tabs>
          <w:tab w:val="left" w:pos="766"/>
        </w:tabs>
        <w:spacing w:before="74" w:line="268" w:lineRule="auto"/>
        <w:ind w:right="923"/>
        <w:rPr>
          <w:rFonts w:ascii="Arial" w:hAnsi="Arial"/>
          <w:sz w:val="19"/>
        </w:rPr>
      </w:pPr>
      <w:r>
        <w:rPr>
          <w:rFonts w:ascii="Arial" w:hAnsi="Arial"/>
          <w:w w:val="105"/>
          <w:sz w:val="19"/>
        </w:rPr>
        <w:t>no</w:t>
      </w:r>
      <w:r>
        <w:rPr>
          <w:rFonts w:ascii="Arial" w:hAnsi="Arial"/>
          <w:spacing w:val="-24"/>
          <w:w w:val="105"/>
          <w:sz w:val="19"/>
        </w:rPr>
        <w:t xml:space="preserve"> </w:t>
      </w:r>
      <w:r>
        <w:rPr>
          <w:rFonts w:ascii="Arial" w:hAnsi="Arial"/>
          <w:w w:val="105"/>
          <w:sz w:val="19"/>
        </w:rPr>
        <w:t>new</w:t>
      </w:r>
      <w:r>
        <w:rPr>
          <w:rFonts w:ascii="Arial" w:hAnsi="Arial"/>
          <w:spacing w:val="-25"/>
          <w:w w:val="105"/>
          <w:sz w:val="19"/>
        </w:rPr>
        <w:t xml:space="preserve"> </w:t>
      </w:r>
      <w:r>
        <w:rPr>
          <w:rFonts w:ascii="Arial" w:hAnsi="Arial"/>
          <w:w w:val="105"/>
          <w:sz w:val="19"/>
        </w:rPr>
        <w:t>Australian</w:t>
      </w:r>
      <w:r>
        <w:rPr>
          <w:rFonts w:ascii="Arial" w:hAnsi="Arial"/>
          <w:spacing w:val="-23"/>
          <w:w w:val="105"/>
          <w:sz w:val="19"/>
        </w:rPr>
        <w:t xml:space="preserve"> </w:t>
      </w:r>
      <w:r>
        <w:rPr>
          <w:rFonts w:ascii="Arial" w:hAnsi="Arial"/>
          <w:w w:val="105"/>
          <w:sz w:val="19"/>
        </w:rPr>
        <w:t>manufactured</w:t>
      </w:r>
      <w:r>
        <w:rPr>
          <w:rFonts w:ascii="Arial" w:hAnsi="Arial"/>
          <w:spacing w:val="-24"/>
          <w:w w:val="105"/>
          <w:sz w:val="19"/>
        </w:rPr>
        <w:t xml:space="preserve"> </w:t>
      </w:r>
      <w:r>
        <w:rPr>
          <w:rFonts w:ascii="Arial" w:hAnsi="Arial"/>
          <w:w w:val="105"/>
          <w:sz w:val="19"/>
        </w:rPr>
        <w:t>sports</w:t>
      </w:r>
      <w:r>
        <w:rPr>
          <w:rFonts w:ascii="Arial" w:hAnsi="Arial"/>
          <w:spacing w:val="-24"/>
          <w:w w:val="105"/>
          <w:sz w:val="19"/>
        </w:rPr>
        <w:t xml:space="preserve"> </w:t>
      </w:r>
      <w:r>
        <w:rPr>
          <w:rFonts w:ascii="Arial" w:hAnsi="Arial"/>
          <w:w w:val="105"/>
          <w:sz w:val="19"/>
        </w:rPr>
        <w:t>supplement</w:t>
      </w:r>
      <w:r>
        <w:rPr>
          <w:rFonts w:ascii="Arial" w:hAnsi="Arial"/>
          <w:spacing w:val="-23"/>
          <w:w w:val="105"/>
          <w:sz w:val="19"/>
        </w:rPr>
        <w:t xml:space="preserve"> </w:t>
      </w:r>
      <w:r>
        <w:rPr>
          <w:rFonts w:ascii="Arial" w:hAnsi="Arial"/>
          <w:w w:val="105"/>
          <w:sz w:val="19"/>
        </w:rPr>
        <w:t>products</w:t>
      </w:r>
      <w:r>
        <w:rPr>
          <w:rFonts w:ascii="Arial" w:hAnsi="Arial"/>
          <w:spacing w:val="-24"/>
          <w:w w:val="105"/>
          <w:sz w:val="19"/>
        </w:rPr>
        <w:t xml:space="preserve"> </w:t>
      </w:r>
      <w:r>
        <w:rPr>
          <w:rFonts w:ascii="Arial" w:hAnsi="Arial"/>
          <w:w w:val="105"/>
          <w:sz w:val="19"/>
        </w:rPr>
        <w:t>will</w:t>
      </w:r>
      <w:r>
        <w:rPr>
          <w:rFonts w:ascii="Arial" w:hAnsi="Arial"/>
          <w:spacing w:val="-23"/>
          <w:w w:val="105"/>
          <w:sz w:val="19"/>
        </w:rPr>
        <w:t xml:space="preserve"> </w:t>
      </w:r>
      <w:r>
        <w:rPr>
          <w:rFonts w:ascii="Arial" w:hAnsi="Arial"/>
          <w:w w:val="105"/>
          <w:sz w:val="19"/>
        </w:rPr>
        <w:t>be</w:t>
      </w:r>
      <w:r>
        <w:rPr>
          <w:rFonts w:ascii="Arial" w:hAnsi="Arial"/>
          <w:spacing w:val="-25"/>
          <w:w w:val="105"/>
          <w:sz w:val="19"/>
        </w:rPr>
        <w:t xml:space="preserve"> </w:t>
      </w:r>
      <w:r>
        <w:rPr>
          <w:rFonts w:ascii="Arial" w:hAnsi="Arial"/>
          <w:w w:val="105"/>
          <w:sz w:val="19"/>
        </w:rPr>
        <w:t>required</w:t>
      </w:r>
      <w:r>
        <w:rPr>
          <w:rFonts w:ascii="Arial" w:hAnsi="Arial"/>
          <w:spacing w:val="-26"/>
          <w:w w:val="105"/>
          <w:sz w:val="19"/>
        </w:rPr>
        <w:t xml:space="preserve"> </w:t>
      </w:r>
      <w:r>
        <w:rPr>
          <w:rFonts w:ascii="Arial" w:hAnsi="Arial"/>
          <w:w w:val="105"/>
          <w:sz w:val="19"/>
        </w:rPr>
        <w:t>to</w:t>
      </w:r>
      <w:r>
        <w:rPr>
          <w:rFonts w:ascii="Arial" w:hAnsi="Arial"/>
          <w:spacing w:val="-23"/>
          <w:w w:val="105"/>
          <w:sz w:val="19"/>
        </w:rPr>
        <w:t xml:space="preserve"> </w:t>
      </w:r>
      <w:r>
        <w:rPr>
          <w:rFonts w:ascii="Arial" w:hAnsi="Arial"/>
          <w:w w:val="105"/>
          <w:sz w:val="19"/>
        </w:rPr>
        <w:t>be</w:t>
      </w:r>
      <w:r>
        <w:rPr>
          <w:rFonts w:ascii="Arial" w:hAnsi="Arial"/>
          <w:spacing w:val="-23"/>
          <w:w w:val="105"/>
          <w:sz w:val="19"/>
        </w:rPr>
        <w:t xml:space="preserve"> </w:t>
      </w:r>
      <w:r>
        <w:rPr>
          <w:rFonts w:ascii="Arial" w:hAnsi="Arial"/>
          <w:w w:val="105"/>
          <w:sz w:val="19"/>
        </w:rPr>
        <w:t>reformulated as</w:t>
      </w:r>
      <w:r>
        <w:rPr>
          <w:rFonts w:ascii="Arial" w:hAnsi="Arial"/>
          <w:spacing w:val="-13"/>
          <w:w w:val="105"/>
          <w:sz w:val="19"/>
        </w:rPr>
        <w:t xml:space="preserve"> </w:t>
      </w:r>
      <w:r>
        <w:rPr>
          <w:rFonts w:ascii="Arial" w:hAnsi="Arial"/>
          <w:w w:val="105"/>
          <w:sz w:val="19"/>
        </w:rPr>
        <w:t>the</w:t>
      </w:r>
      <w:r>
        <w:rPr>
          <w:rFonts w:ascii="Arial" w:hAnsi="Arial"/>
          <w:spacing w:val="-14"/>
          <w:w w:val="105"/>
          <w:sz w:val="19"/>
        </w:rPr>
        <w:t xml:space="preserve"> </w:t>
      </w:r>
      <w:r>
        <w:rPr>
          <w:rFonts w:ascii="Arial" w:hAnsi="Arial"/>
          <w:w w:val="105"/>
          <w:sz w:val="19"/>
        </w:rPr>
        <w:t>existing</w:t>
      </w:r>
      <w:r>
        <w:rPr>
          <w:rFonts w:ascii="Arial" w:hAnsi="Arial"/>
          <w:spacing w:val="-12"/>
          <w:w w:val="105"/>
          <w:sz w:val="19"/>
        </w:rPr>
        <w:t xml:space="preserve"> </w:t>
      </w:r>
      <w:r>
        <w:rPr>
          <w:rFonts w:ascii="Arial" w:hAnsi="Arial"/>
          <w:w w:val="105"/>
          <w:sz w:val="19"/>
        </w:rPr>
        <w:t>ambiguity</w:t>
      </w:r>
      <w:r>
        <w:rPr>
          <w:rFonts w:ascii="Arial" w:hAnsi="Arial"/>
          <w:spacing w:val="-13"/>
          <w:w w:val="105"/>
          <w:sz w:val="19"/>
        </w:rPr>
        <w:t xml:space="preserve"> </w:t>
      </w:r>
      <w:r>
        <w:rPr>
          <w:rFonts w:ascii="Arial" w:hAnsi="Arial"/>
          <w:w w:val="105"/>
          <w:sz w:val="19"/>
        </w:rPr>
        <w:t>in</w:t>
      </w:r>
      <w:r>
        <w:rPr>
          <w:rFonts w:ascii="Arial" w:hAnsi="Arial"/>
          <w:spacing w:val="-13"/>
          <w:w w:val="105"/>
          <w:sz w:val="19"/>
        </w:rPr>
        <w:t xml:space="preserve"> </w:t>
      </w:r>
      <w:r>
        <w:rPr>
          <w:rFonts w:ascii="Arial" w:hAnsi="Arial"/>
          <w:w w:val="105"/>
          <w:sz w:val="19"/>
        </w:rPr>
        <w:t>relation</w:t>
      </w:r>
      <w:r>
        <w:rPr>
          <w:rFonts w:ascii="Arial" w:hAnsi="Arial"/>
          <w:spacing w:val="-12"/>
          <w:w w:val="105"/>
          <w:sz w:val="19"/>
        </w:rPr>
        <w:t xml:space="preserve"> </w:t>
      </w:r>
      <w:r>
        <w:rPr>
          <w:rFonts w:ascii="Arial" w:hAnsi="Arial"/>
          <w:w w:val="105"/>
          <w:sz w:val="19"/>
        </w:rPr>
        <w:t>to</w:t>
      </w:r>
      <w:r>
        <w:rPr>
          <w:rFonts w:ascii="Arial" w:hAnsi="Arial"/>
          <w:spacing w:val="-14"/>
          <w:w w:val="105"/>
          <w:sz w:val="19"/>
        </w:rPr>
        <w:t xml:space="preserve"> </w:t>
      </w:r>
      <w:r>
        <w:rPr>
          <w:rFonts w:ascii="Arial" w:hAnsi="Arial"/>
          <w:w w:val="105"/>
          <w:sz w:val="19"/>
        </w:rPr>
        <w:t>the</w:t>
      </w:r>
      <w:r>
        <w:rPr>
          <w:rFonts w:ascii="Arial" w:hAnsi="Arial"/>
          <w:spacing w:val="-12"/>
          <w:w w:val="105"/>
          <w:sz w:val="19"/>
        </w:rPr>
        <w:t xml:space="preserve"> </w:t>
      </w:r>
      <w:r>
        <w:rPr>
          <w:rFonts w:ascii="Arial" w:hAnsi="Arial"/>
          <w:w w:val="105"/>
          <w:sz w:val="19"/>
        </w:rPr>
        <w:t>FMI</w:t>
      </w:r>
      <w:r>
        <w:rPr>
          <w:rFonts w:ascii="Arial" w:hAnsi="Arial"/>
          <w:spacing w:val="-13"/>
          <w:w w:val="105"/>
          <w:sz w:val="19"/>
        </w:rPr>
        <w:t xml:space="preserve"> </w:t>
      </w:r>
      <w:r>
        <w:rPr>
          <w:rFonts w:ascii="Arial" w:hAnsi="Arial"/>
          <w:w w:val="105"/>
          <w:sz w:val="19"/>
        </w:rPr>
        <w:t>will</w:t>
      </w:r>
      <w:r>
        <w:rPr>
          <w:rFonts w:ascii="Arial" w:hAnsi="Arial"/>
          <w:spacing w:val="-12"/>
          <w:w w:val="105"/>
          <w:sz w:val="19"/>
        </w:rPr>
        <w:t xml:space="preserve"> </w:t>
      </w:r>
      <w:r>
        <w:rPr>
          <w:rFonts w:ascii="Arial" w:hAnsi="Arial"/>
          <w:w w:val="105"/>
          <w:sz w:val="19"/>
        </w:rPr>
        <w:t>have</w:t>
      </w:r>
      <w:r>
        <w:rPr>
          <w:rFonts w:ascii="Arial" w:hAnsi="Arial"/>
          <w:spacing w:val="-12"/>
          <w:w w:val="105"/>
          <w:sz w:val="19"/>
        </w:rPr>
        <w:t xml:space="preserve"> </w:t>
      </w:r>
      <w:r>
        <w:rPr>
          <w:rFonts w:ascii="Arial" w:hAnsi="Arial"/>
          <w:w w:val="105"/>
          <w:sz w:val="19"/>
        </w:rPr>
        <w:t>been</w:t>
      </w:r>
      <w:r>
        <w:rPr>
          <w:rFonts w:ascii="Arial" w:hAnsi="Arial"/>
          <w:spacing w:val="-14"/>
          <w:w w:val="105"/>
          <w:sz w:val="19"/>
        </w:rPr>
        <w:t xml:space="preserve"> </w:t>
      </w:r>
      <w:r>
        <w:rPr>
          <w:rFonts w:ascii="Arial" w:hAnsi="Arial"/>
          <w:w w:val="105"/>
          <w:sz w:val="19"/>
        </w:rPr>
        <w:t>removed</w:t>
      </w:r>
    </w:p>
    <w:p w:rsidR="007D76BB" w:rsidRDefault="00D70D28">
      <w:pPr>
        <w:pStyle w:val="ListParagraph"/>
        <w:numPr>
          <w:ilvl w:val="1"/>
          <w:numId w:val="5"/>
        </w:numPr>
        <w:tabs>
          <w:tab w:val="left" w:pos="766"/>
        </w:tabs>
        <w:spacing w:before="72" w:line="264" w:lineRule="auto"/>
        <w:ind w:right="993"/>
        <w:rPr>
          <w:rFonts w:ascii="Arial" w:hAnsi="Arial"/>
          <w:sz w:val="19"/>
        </w:rPr>
      </w:pPr>
      <w:r>
        <w:rPr>
          <w:rFonts w:ascii="Arial" w:hAnsi="Arial"/>
          <w:w w:val="105"/>
          <w:sz w:val="19"/>
        </w:rPr>
        <w:t>to</w:t>
      </w:r>
      <w:r>
        <w:rPr>
          <w:rFonts w:ascii="Arial" w:hAnsi="Arial"/>
          <w:spacing w:val="-19"/>
          <w:w w:val="105"/>
          <w:sz w:val="19"/>
        </w:rPr>
        <w:t xml:space="preserve"> </w:t>
      </w:r>
      <w:r>
        <w:rPr>
          <w:rFonts w:ascii="Arial" w:hAnsi="Arial"/>
          <w:w w:val="105"/>
          <w:sz w:val="19"/>
        </w:rPr>
        <w:t>the</w:t>
      </w:r>
      <w:r>
        <w:rPr>
          <w:rFonts w:ascii="Arial" w:hAnsi="Arial"/>
          <w:spacing w:val="-19"/>
          <w:w w:val="105"/>
          <w:sz w:val="19"/>
        </w:rPr>
        <w:t xml:space="preserve"> </w:t>
      </w:r>
      <w:r>
        <w:rPr>
          <w:rFonts w:ascii="Arial" w:hAnsi="Arial"/>
          <w:w w:val="105"/>
          <w:sz w:val="19"/>
        </w:rPr>
        <w:t>extent</w:t>
      </w:r>
      <w:r>
        <w:rPr>
          <w:rFonts w:ascii="Arial" w:hAnsi="Arial"/>
          <w:spacing w:val="-19"/>
          <w:w w:val="105"/>
          <w:sz w:val="19"/>
        </w:rPr>
        <w:t xml:space="preserve"> </w:t>
      </w:r>
      <w:r>
        <w:rPr>
          <w:rFonts w:ascii="Arial" w:hAnsi="Arial"/>
          <w:w w:val="105"/>
          <w:sz w:val="19"/>
        </w:rPr>
        <w:t>that</w:t>
      </w:r>
      <w:r>
        <w:rPr>
          <w:rFonts w:ascii="Arial" w:hAnsi="Arial"/>
          <w:spacing w:val="-19"/>
          <w:w w:val="105"/>
          <w:sz w:val="19"/>
        </w:rPr>
        <w:t xml:space="preserve"> </w:t>
      </w:r>
      <w:r>
        <w:rPr>
          <w:rFonts w:ascii="Arial" w:hAnsi="Arial"/>
          <w:w w:val="105"/>
          <w:sz w:val="19"/>
        </w:rPr>
        <w:t>overseas</w:t>
      </w:r>
      <w:r>
        <w:rPr>
          <w:rFonts w:ascii="Arial" w:hAnsi="Arial"/>
          <w:spacing w:val="-20"/>
          <w:w w:val="105"/>
          <w:sz w:val="19"/>
        </w:rPr>
        <w:t xml:space="preserve"> </w:t>
      </w:r>
      <w:r>
        <w:rPr>
          <w:rFonts w:ascii="Arial" w:hAnsi="Arial"/>
          <w:w w:val="105"/>
          <w:sz w:val="19"/>
        </w:rPr>
        <w:t>regulations</w:t>
      </w:r>
      <w:r>
        <w:rPr>
          <w:rFonts w:ascii="Arial" w:hAnsi="Arial"/>
          <w:spacing w:val="-20"/>
          <w:w w:val="105"/>
          <w:sz w:val="19"/>
        </w:rPr>
        <w:t xml:space="preserve"> </w:t>
      </w:r>
      <w:r>
        <w:rPr>
          <w:rFonts w:ascii="Arial" w:hAnsi="Arial"/>
          <w:w w:val="105"/>
          <w:sz w:val="19"/>
        </w:rPr>
        <w:t>(in</w:t>
      </w:r>
      <w:r>
        <w:rPr>
          <w:rFonts w:ascii="Arial" w:hAnsi="Arial"/>
          <w:spacing w:val="-19"/>
          <w:w w:val="105"/>
          <w:sz w:val="19"/>
        </w:rPr>
        <w:t xml:space="preserve"> </w:t>
      </w:r>
      <w:r>
        <w:rPr>
          <w:rFonts w:ascii="Arial" w:hAnsi="Arial"/>
          <w:w w:val="105"/>
          <w:sz w:val="19"/>
        </w:rPr>
        <w:t>particular</w:t>
      </w:r>
      <w:r>
        <w:rPr>
          <w:rFonts w:ascii="Arial" w:hAnsi="Arial"/>
          <w:spacing w:val="-20"/>
          <w:w w:val="105"/>
          <w:sz w:val="19"/>
        </w:rPr>
        <w:t xml:space="preserve"> </w:t>
      </w:r>
      <w:r>
        <w:rPr>
          <w:rFonts w:ascii="Arial" w:hAnsi="Arial"/>
          <w:w w:val="105"/>
          <w:sz w:val="19"/>
        </w:rPr>
        <w:t>the</w:t>
      </w:r>
      <w:r>
        <w:rPr>
          <w:rFonts w:ascii="Arial" w:hAnsi="Arial"/>
          <w:spacing w:val="-19"/>
          <w:w w:val="105"/>
          <w:sz w:val="19"/>
        </w:rPr>
        <w:t xml:space="preserve"> </w:t>
      </w:r>
      <w:r>
        <w:rPr>
          <w:rFonts w:ascii="Arial" w:hAnsi="Arial"/>
          <w:w w:val="105"/>
          <w:sz w:val="19"/>
        </w:rPr>
        <w:t>United</w:t>
      </w:r>
      <w:r>
        <w:rPr>
          <w:rFonts w:ascii="Arial" w:hAnsi="Arial"/>
          <w:spacing w:val="-19"/>
          <w:w w:val="105"/>
          <w:sz w:val="19"/>
        </w:rPr>
        <w:t xml:space="preserve"> </w:t>
      </w:r>
      <w:r>
        <w:rPr>
          <w:rFonts w:ascii="Arial" w:hAnsi="Arial"/>
          <w:w w:val="105"/>
          <w:sz w:val="19"/>
        </w:rPr>
        <w:t>States)</w:t>
      </w:r>
      <w:r>
        <w:rPr>
          <w:rFonts w:ascii="Arial" w:hAnsi="Arial"/>
          <w:spacing w:val="-19"/>
          <w:w w:val="105"/>
          <w:sz w:val="19"/>
        </w:rPr>
        <w:t xml:space="preserve"> </w:t>
      </w:r>
      <w:r>
        <w:rPr>
          <w:rFonts w:ascii="Arial" w:hAnsi="Arial"/>
          <w:w w:val="105"/>
          <w:sz w:val="19"/>
        </w:rPr>
        <w:t>differ</w:t>
      </w:r>
      <w:r>
        <w:rPr>
          <w:rFonts w:ascii="Arial" w:hAnsi="Arial"/>
          <w:spacing w:val="-17"/>
          <w:w w:val="105"/>
          <w:sz w:val="19"/>
        </w:rPr>
        <w:t xml:space="preserve"> </w:t>
      </w:r>
      <w:r>
        <w:rPr>
          <w:rFonts w:ascii="Arial" w:hAnsi="Arial"/>
          <w:w w:val="105"/>
          <w:sz w:val="19"/>
        </w:rPr>
        <w:t>to</w:t>
      </w:r>
      <w:r>
        <w:rPr>
          <w:rFonts w:ascii="Arial" w:hAnsi="Arial"/>
          <w:spacing w:val="-18"/>
          <w:w w:val="105"/>
          <w:sz w:val="19"/>
        </w:rPr>
        <w:t xml:space="preserve"> </w:t>
      </w:r>
      <w:r>
        <w:rPr>
          <w:rFonts w:ascii="Arial" w:hAnsi="Arial"/>
          <w:w w:val="105"/>
          <w:sz w:val="19"/>
        </w:rPr>
        <w:t>Australia,</w:t>
      </w:r>
      <w:r>
        <w:rPr>
          <w:rFonts w:ascii="Arial" w:hAnsi="Arial"/>
          <w:spacing w:val="-20"/>
          <w:w w:val="105"/>
          <w:sz w:val="19"/>
        </w:rPr>
        <w:t xml:space="preserve"> </w:t>
      </w:r>
      <w:r>
        <w:rPr>
          <w:rFonts w:ascii="Arial" w:hAnsi="Arial"/>
          <w:w w:val="105"/>
          <w:sz w:val="19"/>
        </w:rPr>
        <w:t>some imported products will be required to be reformulated (which would not have occurred in the absence of the proposed regulatory clarification) – however, as this reformulation occurs external to Australia it is excluded from the regulatory costing (noting that the reformulation cost</w:t>
      </w:r>
      <w:r>
        <w:rPr>
          <w:rFonts w:ascii="Arial" w:hAnsi="Arial"/>
          <w:spacing w:val="-12"/>
          <w:w w:val="105"/>
          <w:sz w:val="19"/>
        </w:rPr>
        <w:t xml:space="preserve"> </w:t>
      </w:r>
      <w:r>
        <w:rPr>
          <w:rFonts w:ascii="Arial" w:hAnsi="Arial"/>
          <w:w w:val="105"/>
          <w:sz w:val="19"/>
        </w:rPr>
        <w:t>is</w:t>
      </w:r>
      <w:r>
        <w:rPr>
          <w:rFonts w:ascii="Arial" w:hAnsi="Arial"/>
          <w:spacing w:val="-13"/>
          <w:w w:val="105"/>
          <w:sz w:val="19"/>
        </w:rPr>
        <w:t xml:space="preserve"> </w:t>
      </w:r>
      <w:r>
        <w:rPr>
          <w:rFonts w:ascii="Arial" w:hAnsi="Arial"/>
          <w:w w:val="105"/>
          <w:sz w:val="19"/>
        </w:rPr>
        <w:t>likely</w:t>
      </w:r>
      <w:r>
        <w:rPr>
          <w:rFonts w:ascii="Arial" w:hAnsi="Arial"/>
          <w:spacing w:val="-15"/>
          <w:w w:val="105"/>
          <w:sz w:val="19"/>
        </w:rPr>
        <w:t xml:space="preserve"> </w:t>
      </w:r>
      <w:r>
        <w:rPr>
          <w:rFonts w:ascii="Arial" w:hAnsi="Arial"/>
          <w:w w:val="105"/>
          <w:sz w:val="19"/>
        </w:rPr>
        <w:t>to</w:t>
      </w:r>
      <w:r>
        <w:rPr>
          <w:rFonts w:ascii="Arial" w:hAnsi="Arial"/>
          <w:spacing w:val="-12"/>
          <w:w w:val="105"/>
          <w:sz w:val="19"/>
        </w:rPr>
        <w:t xml:space="preserve"> </w:t>
      </w:r>
      <w:r>
        <w:rPr>
          <w:rFonts w:ascii="Arial" w:hAnsi="Arial"/>
          <w:w w:val="105"/>
          <w:sz w:val="19"/>
        </w:rPr>
        <w:t>be</w:t>
      </w:r>
      <w:r>
        <w:rPr>
          <w:rFonts w:ascii="Arial" w:hAnsi="Arial"/>
          <w:spacing w:val="-14"/>
          <w:w w:val="105"/>
          <w:sz w:val="19"/>
        </w:rPr>
        <w:t xml:space="preserve"> </w:t>
      </w:r>
      <w:r>
        <w:rPr>
          <w:rFonts w:ascii="Arial" w:hAnsi="Arial"/>
          <w:w w:val="105"/>
          <w:sz w:val="19"/>
        </w:rPr>
        <w:t>passed</w:t>
      </w:r>
      <w:r>
        <w:rPr>
          <w:rFonts w:ascii="Arial" w:hAnsi="Arial"/>
          <w:spacing w:val="-14"/>
          <w:w w:val="105"/>
          <w:sz w:val="19"/>
        </w:rPr>
        <w:t xml:space="preserve"> </w:t>
      </w:r>
      <w:r>
        <w:rPr>
          <w:rFonts w:ascii="Arial" w:hAnsi="Arial"/>
          <w:w w:val="105"/>
          <w:sz w:val="19"/>
        </w:rPr>
        <w:t>onto</w:t>
      </w:r>
      <w:r>
        <w:rPr>
          <w:rFonts w:ascii="Arial" w:hAnsi="Arial"/>
          <w:spacing w:val="-13"/>
          <w:w w:val="105"/>
          <w:sz w:val="19"/>
        </w:rPr>
        <w:t xml:space="preserve"> </w:t>
      </w:r>
      <w:r>
        <w:rPr>
          <w:rFonts w:ascii="Arial" w:hAnsi="Arial"/>
          <w:w w:val="105"/>
          <w:sz w:val="19"/>
        </w:rPr>
        <w:t>Australian</w:t>
      </w:r>
      <w:r>
        <w:rPr>
          <w:rFonts w:ascii="Arial" w:hAnsi="Arial"/>
          <w:spacing w:val="-13"/>
          <w:w w:val="105"/>
          <w:sz w:val="19"/>
        </w:rPr>
        <w:t xml:space="preserve"> </w:t>
      </w:r>
      <w:r>
        <w:rPr>
          <w:rFonts w:ascii="Arial" w:hAnsi="Arial"/>
          <w:w w:val="105"/>
          <w:sz w:val="19"/>
        </w:rPr>
        <w:t>retailers</w:t>
      </w:r>
      <w:r>
        <w:rPr>
          <w:rFonts w:ascii="Arial" w:hAnsi="Arial"/>
          <w:spacing w:val="-13"/>
          <w:w w:val="105"/>
          <w:sz w:val="19"/>
        </w:rPr>
        <w:t xml:space="preserve"> </w:t>
      </w:r>
      <w:r>
        <w:rPr>
          <w:rFonts w:ascii="Arial" w:hAnsi="Arial"/>
          <w:w w:val="105"/>
          <w:sz w:val="19"/>
        </w:rPr>
        <w:t>via</w:t>
      </w:r>
      <w:r>
        <w:rPr>
          <w:rFonts w:ascii="Arial" w:hAnsi="Arial"/>
          <w:spacing w:val="-12"/>
          <w:w w:val="105"/>
          <w:sz w:val="19"/>
        </w:rPr>
        <w:t xml:space="preserve"> </w:t>
      </w:r>
      <w:r>
        <w:rPr>
          <w:rFonts w:ascii="Arial" w:hAnsi="Arial"/>
          <w:w w:val="105"/>
          <w:sz w:val="19"/>
        </w:rPr>
        <w:t>higher</w:t>
      </w:r>
      <w:r>
        <w:rPr>
          <w:rFonts w:ascii="Arial" w:hAnsi="Arial"/>
          <w:spacing w:val="-15"/>
          <w:w w:val="105"/>
          <w:sz w:val="19"/>
        </w:rPr>
        <w:t xml:space="preserve"> </w:t>
      </w:r>
      <w:r>
        <w:rPr>
          <w:rFonts w:ascii="Arial" w:hAnsi="Arial"/>
          <w:w w:val="105"/>
          <w:sz w:val="19"/>
        </w:rPr>
        <w:t>unit</w:t>
      </w:r>
      <w:r>
        <w:rPr>
          <w:rFonts w:ascii="Arial" w:hAnsi="Arial"/>
          <w:spacing w:val="-11"/>
          <w:w w:val="105"/>
          <w:sz w:val="19"/>
        </w:rPr>
        <w:t xml:space="preserve"> </w:t>
      </w:r>
      <w:r>
        <w:rPr>
          <w:rFonts w:ascii="Arial" w:hAnsi="Arial"/>
          <w:w w:val="105"/>
          <w:sz w:val="19"/>
        </w:rPr>
        <w:t>prices)</w:t>
      </w:r>
    </w:p>
    <w:p w:rsidR="007D76BB" w:rsidRDefault="00D70D28">
      <w:pPr>
        <w:pStyle w:val="ListParagraph"/>
        <w:numPr>
          <w:ilvl w:val="1"/>
          <w:numId w:val="5"/>
        </w:numPr>
        <w:tabs>
          <w:tab w:val="left" w:pos="766"/>
        </w:tabs>
        <w:spacing w:before="83" w:line="266" w:lineRule="auto"/>
        <w:ind w:right="972"/>
        <w:rPr>
          <w:rFonts w:ascii="Arial" w:hAnsi="Arial"/>
          <w:sz w:val="19"/>
        </w:rPr>
      </w:pPr>
      <w:proofErr w:type="gramStart"/>
      <w:r>
        <w:rPr>
          <w:rFonts w:ascii="Arial" w:hAnsi="Arial"/>
          <w:w w:val="105"/>
          <w:sz w:val="19"/>
        </w:rPr>
        <w:t>there</w:t>
      </w:r>
      <w:proofErr w:type="gramEnd"/>
      <w:r>
        <w:rPr>
          <w:rFonts w:ascii="Arial" w:hAnsi="Arial"/>
          <w:spacing w:val="-23"/>
          <w:w w:val="105"/>
          <w:sz w:val="19"/>
        </w:rPr>
        <w:t xml:space="preserve"> </w:t>
      </w:r>
      <w:r>
        <w:rPr>
          <w:rFonts w:ascii="Arial" w:hAnsi="Arial"/>
          <w:w w:val="105"/>
          <w:sz w:val="19"/>
        </w:rPr>
        <w:t>is</w:t>
      </w:r>
      <w:r>
        <w:rPr>
          <w:rFonts w:ascii="Arial" w:hAnsi="Arial"/>
          <w:spacing w:val="-24"/>
          <w:w w:val="105"/>
          <w:sz w:val="19"/>
        </w:rPr>
        <w:t xml:space="preserve"> </w:t>
      </w:r>
      <w:r>
        <w:rPr>
          <w:rFonts w:ascii="Arial" w:hAnsi="Arial"/>
          <w:w w:val="105"/>
          <w:sz w:val="19"/>
        </w:rPr>
        <w:t>assessed</w:t>
      </w:r>
      <w:r>
        <w:rPr>
          <w:rFonts w:ascii="Arial" w:hAnsi="Arial"/>
          <w:spacing w:val="-24"/>
          <w:w w:val="105"/>
          <w:sz w:val="19"/>
        </w:rPr>
        <w:t xml:space="preserve"> </w:t>
      </w:r>
      <w:r>
        <w:rPr>
          <w:rFonts w:ascii="Arial" w:hAnsi="Arial"/>
          <w:w w:val="105"/>
          <w:sz w:val="19"/>
        </w:rPr>
        <w:t>to</w:t>
      </w:r>
      <w:r>
        <w:rPr>
          <w:rFonts w:ascii="Arial" w:hAnsi="Arial"/>
          <w:spacing w:val="-25"/>
          <w:w w:val="105"/>
          <w:sz w:val="19"/>
        </w:rPr>
        <w:t xml:space="preserve"> </w:t>
      </w:r>
      <w:r>
        <w:rPr>
          <w:rFonts w:ascii="Arial" w:hAnsi="Arial"/>
          <w:w w:val="105"/>
          <w:sz w:val="19"/>
        </w:rPr>
        <w:t>be</w:t>
      </w:r>
      <w:r>
        <w:rPr>
          <w:rFonts w:ascii="Arial" w:hAnsi="Arial"/>
          <w:spacing w:val="-22"/>
          <w:w w:val="105"/>
          <w:sz w:val="19"/>
        </w:rPr>
        <w:t xml:space="preserve"> </w:t>
      </w:r>
      <w:r>
        <w:rPr>
          <w:rFonts w:ascii="Arial" w:hAnsi="Arial"/>
          <w:w w:val="105"/>
          <w:sz w:val="19"/>
        </w:rPr>
        <w:t>a</w:t>
      </w:r>
      <w:r>
        <w:rPr>
          <w:rFonts w:ascii="Arial" w:hAnsi="Arial"/>
          <w:spacing w:val="-24"/>
          <w:w w:val="105"/>
          <w:sz w:val="19"/>
        </w:rPr>
        <w:t xml:space="preserve"> </w:t>
      </w:r>
      <w:r>
        <w:rPr>
          <w:rFonts w:ascii="Arial" w:hAnsi="Arial"/>
          <w:w w:val="105"/>
          <w:sz w:val="19"/>
        </w:rPr>
        <w:t>10%</w:t>
      </w:r>
      <w:r>
        <w:rPr>
          <w:rFonts w:ascii="Arial" w:hAnsi="Arial"/>
          <w:spacing w:val="-23"/>
          <w:w w:val="105"/>
          <w:sz w:val="19"/>
        </w:rPr>
        <w:t xml:space="preserve"> </w:t>
      </w:r>
      <w:r>
        <w:rPr>
          <w:rFonts w:ascii="Arial" w:hAnsi="Arial"/>
          <w:w w:val="105"/>
          <w:sz w:val="19"/>
        </w:rPr>
        <w:t>year-on-year</w:t>
      </w:r>
      <w:r>
        <w:rPr>
          <w:rFonts w:ascii="Arial" w:hAnsi="Arial"/>
          <w:spacing w:val="-22"/>
          <w:w w:val="105"/>
          <w:sz w:val="19"/>
        </w:rPr>
        <w:t xml:space="preserve"> </w:t>
      </w:r>
      <w:r>
        <w:rPr>
          <w:rFonts w:ascii="Arial" w:hAnsi="Arial"/>
          <w:w w:val="105"/>
          <w:sz w:val="19"/>
        </w:rPr>
        <w:t>growth</w:t>
      </w:r>
      <w:r>
        <w:rPr>
          <w:rFonts w:ascii="Arial" w:hAnsi="Arial"/>
          <w:spacing w:val="-21"/>
          <w:w w:val="105"/>
          <w:sz w:val="19"/>
        </w:rPr>
        <w:t xml:space="preserve"> </w:t>
      </w:r>
      <w:r>
        <w:rPr>
          <w:rFonts w:ascii="Arial" w:hAnsi="Arial"/>
          <w:w w:val="105"/>
          <w:sz w:val="19"/>
        </w:rPr>
        <w:t>in</w:t>
      </w:r>
      <w:r>
        <w:rPr>
          <w:rFonts w:ascii="Arial" w:hAnsi="Arial"/>
          <w:spacing w:val="-24"/>
          <w:w w:val="105"/>
          <w:sz w:val="19"/>
        </w:rPr>
        <w:t xml:space="preserve"> </w:t>
      </w:r>
      <w:r>
        <w:rPr>
          <w:rFonts w:ascii="Arial" w:hAnsi="Arial"/>
          <w:w w:val="105"/>
          <w:sz w:val="19"/>
        </w:rPr>
        <w:t>the</w:t>
      </w:r>
      <w:r>
        <w:rPr>
          <w:rFonts w:ascii="Arial" w:hAnsi="Arial"/>
          <w:spacing w:val="-22"/>
          <w:w w:val="105"/>
          <w:sz w:val="19"/>
        </w:rPr>
        <w:t xml:space="preserve"> </w:t>
      </w:r>
      <w:r>
        <w:rPr>
          <w:rFonts w:ascii="Arial" w:hAnsi="Arial"/>
          <w:w w:val="105"/>
          <w:sz w:val="19"/>
        </w:rPr>
        <w:t>number</w:t>
      </w:r>
      <w:r>
        <w:rPr>
          <w:rFonts w:ascii="Arial" w:hAnsi="Arial"/>
          <w:spacing w:val="-23"/>
          <w:w w:val="105"/>
          <w:sz w:val="19"/>
        </w:rPr>
        <w:t xml:space="preserve"> </w:t>
      </w:r>
      <w:r>
        <w:rPr>
          <w:rFonts w:ascii="Arial" w:hAnsi="Arial"/>
          <w:w w:val="105"/>
          <w:sz w:val="19"/>
        </w:rPr>
        <w:t>of</w:t>
      </w:r>
      <w:r>
        <w:rPr>
          <w:rFonts w:ascii="Arial" w:hAnsi="Arial"/>
          <w:spacing w:val="-23"/>
          <w:w w:val="105"/>
          <w:sz w:val="19"/>
        </w:rPr>
        <w:t xml:space="preserve"> </w:t>
      </w:r>
      <w:r>
        <w:rPr>
          <w:rFonts w:ascii="Arial" w:hAnsi="Arial"/>
          <w:w w:val="105"/>
          <w:sz w:val="19"/>
        </w:rPr>
        <w:t>additional</w:t>
      </w:r>
      <w:r>
        <w:rPr>
          <w:rFonts w:ascii="Arial" w:hAnsi="Arial"/>
          <w:spacing w:val="-24"/>
          <w:w w:val="105"/>
          <w:sz w:val="19"/>
        </w:rPr>
        <w:t xml:space="preserve"> </w:t>
      </w:r>
      <w:r>
        <w:rPr>
          <w:rFonts w:ascii="Arial" w:hAnsi="Arial"/>
          <w:w w:val="105"/>
          <w:sz w:val="19"/>
        </w:rPr>
        <w:t>products</w:t>
      </w:r>
      <w:r>
        <w:rPr>
          <w:rFonts w:ascii="Arial" w:hAnsi="Arial"/>
          <w:spacing w:val="-23"/>
          <w:w w:val="105"/>
          <w:sz w:val="19"/>
        </w:rPr>
        <w:t xml:space="preserve"> </w:t>
      </w:r>
      <w:r>
        <w:rPr>
          <w:rFonts w:ascii="Arial" w:hAnsi="Arial"/>
          <w:w w:val="105"/>
          <w:sz w:val="19"/>
        </w:rPr>
        <w:t>listed</w:t>
      </w:r>
      <w:r>
        <w:rPr>
          <w:rFonts w:ascii="Arial" w:hAnsi="Arial"/>
          <w:spacing w:val="-21"/>
          <w:w w:val="105"/>
          <w:sz w:val="19"/>
        </w:rPr>
        <w:t xml:space="preserve"> </w:t>
      </w:r>
      <w:r>
        <w:rPr>
          <w:rFonts w:ascii="Arial" w:hAnsi="Arial"/>
          <w:w w:val="105"/>
          <w:sz w:val="19"/>
        </w:rPr>
        <w:t>in the</w:t>
      </w:r>
      <w:r>
        <w:rPr>
          <w:rFonts w:ascii="Arial" w:hAnsi="Arial"/>
          <w:spacing w:val="-14"/>
          <w:w w:val="105"/>
          <w:sz w:val="19"/>
        </w:rPr>
        <w:t xml:space="preserve"> </w:t>
      </w:r>
      <w:r>
        <w:rPr>
          <w:rFonts w:ascii="Arial" w:hAnsi="Arial"/>
          <w:w w:val="105"/>
          <w:sz w:val="19"/>
        </w:rPr>
        <w:t>ARTG</w:t>
      </w:r>
      <w:r>
        <w:rPr>
          <w:rFonts w:ascii="Arial" w:hAnsi="Arial"/>
          <w:spacing w:val="-13"/>
          <w:w w:val="105"/>
          <w:sz w:val="19"/>
        </w:rPr>
        <w:t xml:space="preserve"> </w:t>
      </w:r>
      <w:r>
        <w:rPr>
          <w:rFonts w:ascii="Arial" w:hAnsi="Arial"/>
          <w:w w:val="105"/>
          <w:sz w:val="19"/>
        </w:rPr>
        <w:t>arising</w:t>
      </w:r>
      <w:r>
        <w:rPr>
          <w:rFonts w:ascii="Arial" w:hAnsi="Arial"/>
          <w:spacing w:val="-11"/>
          <w:w w:val="105"/>
          <w:sz w:val="19"/>
        </w:rPr>
        <w:t xml:space="preserve"> </w:t>
      </w:r>
      <w:r>
        <w:rPr>
          <w:rFonts w:ascii="Arial" w:hAnsi="Arial"/>
          <w:w w:val="105"/>
          <w:sz w:val="19"/>
        </w:rPr>
        <w:t>from</w:t>
      </w:r>
      <w:r>
        <w:rPr>
          <w:rFonts w:ascii="Arial" w:hAnsi="Arial"/>
          <w:spacing w:val="-14"/>
          <w:w w:val="105"/>
          <w:sz w:val="19"/>
        </w:rPr>
        <w:t xml:space="preserve"> </w:t>
      </w:r>
      <w:r>
        <w:rPr>
          <w:rFonts w:ascii="Arial" w:hAnsi="Arial"/>
          <w:w w:val="105"/>
          <w:sz w:val="19"/>
        </w:rPr>
        <w:t>the</w:t>
      </w:r>
      <w:r>
        <w:rPr>
          <w:rFonts w:ascii="Arial" w:hAnsi="Arial"/>
          <w:spacing w:val="-12"/>
          <w:w w:val="105"/>
          <w:sz w:val="19"/>
        </w:rPr>
        <w:t xml:space="preserve"> </w:t>
      </w:r>
      <w:r>
        <w:rPr>
          <w:rFonts w:ascii="Arial" w:hAnsi="Arial"/>
          <w:w w:val="105"/>
          <w:sz w:val="19"/>
        </w:rPr>
        <w:t>proposed</w:t>
      </w:r>
      <w:r>
        <w:rPr>
          <w:rFonts w:ascii="Arial" w:hAnsi="Arial"/>
          <w:spacing w:val="-13"/>
          <w:w w:val="105"/>
          <w:sz w:val="19"/>
        </w:rPr>
        <w:t xml:space="preserve"> </w:t>
      </w:r>
      <w:r>
        <w:rPr>
          <w:rFonts w:ascii="Arial" w:hAnsi="Arial"/>
          <w:w w:val="105"/>
          <w:sz w:val="19"/>
        </w:rPr>
        <w:t>regulatory</w:t>
      </w:r>
      <w:r>
        <w:rPr>
          <w:rFonts w:ascii="Arial" w:hAnsi="Arial"/>
          <w:spacing w:val="-13"/>
          <w:w w:val="105"/>
          <w:sz w:val="19"/>
        </w:rPr>
        <w:t xml:space="preserve"> </w:t>
      </w:r>
      <w:r>
        <w:rPr>
          <w:rFonts w:ascii="Arial" w:hAnsi="Arial"/>
          <w:w w:val="105"/>
          <w:sz w:val="19"/>
        </w:rPr>
        <w:t>clarification.</w:t>
      </w:r>
    </w:p>
    <w:p w:rsidR="007D76BB" w:rsidRDefault="00D70D28">
      <w:pPr>
        <w:spacing w:before="74" w:line="268" w:lineRule="auto"/>
        <w:ind w:left="482" w:right="879"/>
        <w:rPr>
          <w:rFonts w:ascii="Arial"/>
          <w:sz w:val="19"/>
        </w:rPr>
      </w:pPr>
      <w:r>
        <w:rPr>
          <w:rFonts w:ascii="Arial"/>
          <w:w w:val="105"/>
          <w:sz w:val="19"/>
        </w:rPr>
        <w:t>The</w:t>
      </w:r>
      <w:r>
        <w:rPr>
          <w:rFonts w:ascii="Arial"/>
          <w:spacing w:val="-21"/>
          <w:w w:val="105"/>
          <w:sz w:val="19"/>
        </w:rPr>
        <w:t xml:space="preserve"> </w:t>
      </w:r>
      <w:r>
        <w:rPr>
          <w:rFonts w:ascii="Arial"/>
          <w:w w:val="105"/>
          <w:sz w:val="19"/>
        </w:rPr>
        <w:t>current</w:t>
      </w:r>
      <w:r>
        <w:rPr>
          <w:rFonts w:ascii="Arial"/>
          <w:spacing w:val="-21"/>
          <w:w w:val="105"/>
          <w:sz w:val="19"/>
        </w:rPr>
        <w:t xml:space="preserve"> </w:t>
      </w:r>
      <w:r>
        <w:rPr>
          <w:rFonts w:ascii="Arial"/>
          <w:w w:val="105"/>
          <w:sz w:val="19"/>
        </w:rPr>
        <w:t>population</w:t>
      </w:r>
      <w:r>
        <w:rPr>
          <w:rFonts w:ascii="Arial"/>
          <w:spacing w:val="-21"/>
          <w:w w:val="105"/>
          <w:sz w:val="19"/>
        </w:rPr>
        <w:t xml:space="preserve"> </w:t>
      </w:r>
      <w:r>
        <w:rPr>
          <w:rFonts w:ascii="Arial"/>
          <w:w w:val="105"/>
          <w:sz w:val="19"/>
        </w:rPr>
        <w:t>is</w:t>
      </w:r>
      <w:r>
        <w:rPr>
          <w:rFonts w:ascii="Arial"/>
          <w:spacing w:val="-23"/>
          <w:w w:val="105"/>
          <w:sz w:val="19"/>
        </w:rPr>
        <w:t xml:space="preserve"> </w:t>
      </w:r>
      <w:r>
        <w:rPr>
          <w:rFonts w:ascii="Arial"/>
          <w:w w:val="105"/>
          <w:sz w:val="19"/>
        </w:rPr>
        <w:t>assessed</w:t>
      </w:r>
      <w:r>
        <w:rPr>
          <w:rFonts w:ascii="Arial"/>
          <w:spacing w:val="-23"/>
          <w:w w:val="105"/>
          <w:sz w:val="19"/>
        </w:rPr>
        <w:t xml:space="preserve"> </w:t>
      </w:r>
      <w:r>
        <w:rPr>
          <w:rFonts w:ascii="Arial"/>
          <w:w w:val="105"/>
          <w:sz w:val="19"/>
        </w:rPr>
        <w:t>to</w:t>
      </w:r>
      <w:r>
        <w:rPr>
          <w:rFonts w:ascii="Arial"/>
          <w:spacing w:val="-21"/>
          <w:w w:val="105"/>
          <w:sz w:val="19"/>
        </w:rPr>
        <w:t xml:space="preserve"> </w:t>
      </w:r>
      <w:r>
        <w:rPr>
          <w:rFonts w:ascii="Arial"/>
          <w:w w:val="105"/>
          <w:sz w:val="19"/>
        </w:rPr>
        <w:t>transition</w:t>
      </w:r>
      <w:r>
        <w:rPr>
          <w:rFonts w:ascii="Arial"/>
          <w:spacing w:val="-21"/>
          <w:w w:val="105"/>
          <w:sz w:val="19"/>
        </w:rPr>
        <w:t xml:space="preserve"> </w:t>
      </w:r>
      <w:r>
        <w:rPr>
          <w:rFonts w:ascii="Arial"/>
          <w:w w:val="105"/>
          <w:sz w:val="19"/>
        </w:rPr>
        <w:t>over</w:t>
      </w:r>
      <w:r>
        <w:rPr>
          <w:rFonts w:ascii="Arial"/>
          <w:spacing w:val="-23"/>
          <w:w w:val="105"/>
          <w:sz w:val="19"/>
        </w:rPr>
        <w:t xml:space="preserve"> </w:t>
      </w:r>
      <w:r>
        <w:rPr>
          <w:rFonts w:ascii="Arial"/>
          <w:w w:val="105"/>
          <w:sz w:val="19"/>
        </w:rPr>
        <w:t>a</w:t>
      </w:r>
      <w:r>
        <w:rPr>
          <w:rFonts w:ascii="Arial"/>
          <w:spacing w:val="-23"/>
          <w:w w:val="105"/>
          <w:sz w:val="19"/>
        </w:rPr>
        <w:t xml:space="preserve"> </w:t>
      </w:r>
      <w:r>
        <w:rPr>
          <w:rFonts w:ascii="Arial"/>
          <w:w w:val="105"/>
          <w:sz w:val="19"/>
        </w:rPr>
        <w:t>three-year</w:t>
      </w:r>
      <w:r>
        <w:rPr>
          <w:rFonts w:ascii="Arial"/>
          <w:spacing w:val="-22"/>
          <w:w w:val="105"/>
          <w:sz w:val="19"/>
        </w:rPr>
        <w:t xml:space="preserve"> </w:t>
      </w:r>
      <w:r>
        <w:rPr>
          <w:rFonts w:ascii="Arial"/>
          <w:w w:val="105"/>
          <w:sz w:val="19"/>
        </w:rPr>
        <w:t>period,</w:t>
      </w:r>
      <w:r>
        <w:rPr>
          <w:rFonts w:ascii="Arial"/>
          <w:spacing w:val="-21"/>
          <w:w w:val="105"/>
          <w:sz w:val="19"/>
        </w:rPr>
        <w:t xml:space="preserve"> </w:t>
      </w:r>
      <w:r>
        <w:rPr>
          <w:rFonts w:ascii="Arial"/>
          <w:w w:val="105"/>
          <w:sz w:val="19"/>
        </w:rPr>
        <w:t>with</w:t>
      </w:r>
      <w:r>
        <w:rPr>
          <w:rFonts w:ascii="Arial"/>
          <w:spacing w:val="-22"/>
          <w:w w:val="105"/>
          <w:sz w:val="19"/>
        </w:rPr>
        <w:t xml:space="preserve"> </w:t>
      </w:r>
      <w:r>
        <w:rPr>
          <w:rFonts w:ascii="Arial"/>
          <w:w w:val="105"/>
          <w:sz w:val="19"/>
        </w:rPr>
        <w:t>the</w:t>
      </w:r>
      <w:r>
        <w:rPr>
          <w:rFonts w:ascii="Arial"/>
          <w:spacing w:val="-23"/>
          <w:w w:val="105"/>
          <w:sz w:val="19"/>
        </w:rPr>
        <w:t xml:space="preserve"> </w:t>
      </w:r>
      <w:r>
        <w:rPr>
          <w:rFonts w:ascii="Arial"/>
          <w:w w:val="105"/>
          <w:sz w:val="19"/>
        </w:rPr>
        <w:t>projected</w:t>
      </w:r>
      <w:r>
        <w:rPr>
          <w:rFonts w:ascii="Arial"/>
          <w:spacing w:val="-22"/>
          <w:w w:val="105"/>
          <w:sz w:val="19"/>
        </w:rPr>
        <w:t xml:space="preserve"> </w:t>
      </w:r>
      <w:r>
        <w:rPr>
          <w:rFonts w:ascii="Arial"/>
          <w:w w:val="105"/>
          <w:sz w:val="19"/>
        </w:rPr>
        <w:t>growth in</w:t>
      </w:r>
      <w:r>
        <w:rPr>
          <w:rFonts w:ascii="Arial"/>
          <w:spacing w:val="-12"/>
          <w:w w:val="105"/>
          <w:sz w:val="19"/>
        </w:rPr>
        <w:t xml:space="preserve"> </w:t>
      </w:r>
      <w:r>
        <w:rPr>
          <w:rFonts w:ascii="Arial"/>
          <w:w w:val="105"/>
          <w:sz w:val="19"/>
        </w:rPr>
        <w:t>products</w:t>
      </w:r>
      <w:r>
        <w:rPr>
          <w:rFonts w:ascii="Arial"/>
          <w:spacing w:val="-12"/>
          <w:w w:val="105"/>
          <w:sz w:val="19"/>
        </w:rPr>
        <w:t xml:space="preserve"> </w:t>
      </w:r>
      <w:r>
        <w:rPr>
          <w:rFonts w:ascii="Arial"/>
          <w:w w:val="105"/>
          <w:sz w:val="19"/>
        </w:rPr>
        <w:t>listed</w:t>
      </w:r>
      <w:r>
        <w:rPr>
          <w:rFonts w:ascii="Arial"/>
          <w:spacing w:val="-14"/>
          <w:w w:val="105"/>
          <w:sz w:val="19"/>
        </w:rPr>
        <w:t xml:space="preserve"> </w:t>
      </w:r>
      <w:r>
        <w:rPr>
          <w:rFonts w:ascii="Arial"/>
          <w:w w:val="105"/>
          <w:sz w:val="19"/>
        </w:rPr>
        <w:t>on</w:t>
      </w:r>
      <w:r>
        <w:rPr>
          <w:rFonts w:ascii="Arial"/>
          <w:spacing w:val="-13"/>
          <w:w w:val="105"/>
          <w:sz w:val="19"/>
        </w:rPr>
        <w:t xml:space="preserve"> </w:t>
      </w:r>
      <w:r>
        <w:rPr>
          <w:rFonts w:ascii="Arial"/>
          <w:w w:val="105"/>
          <w:sz w:val="19"/>
        </w:rPr>
        <w:t>the</w:t>
      </w:r>
      <w:r>
        <w:rPr>
          <w:rFonts w:ascii="Arial"/>
          <w:spacing w:val="-11"/>
          <w:w w:val="105"/>
          <w:sz w:val="19"/>
        </w:rPr>
        <w:t xml:space="preserve"> </w:t>
      </w:r>
      <w:r>
        <w:rPr>
          <w:rFonts w:ascii="Arial"/>
          <w:w w:val="105"/>
          <w:sz w:val="19"/>
        </w:rPr>
        <w:t>ARTG</w:t>
      </w:r>
      <w:r>
        <w:rPr>
          <w:rFonts w:ascii="Arial"/>
          <w:spacing w:val="-11"/>
          <w:w w:val="105"/>
          <w:sz w:val="19"/>
        </w:rPr>
        <w:t xml:space="preserve"> </w:t>
      </w:r>
      <w:r>
        <w:rPr>
          <w:rFonts w:ascii="Arial"/>
          <w:w w:val="105"/>
          <w:sz w:val="19"/>
        </w:rPr>
        <w:t>shown</w:t>
      </w:r>
      <w:r>
        <w:rPr>
          <w:rFonts w:ascii="Arial"/>
          <w:spacing w:val="-11"/>
          <w:w w:val="105"/>
          <w:sz w:val="19"/>
        </w:rPr>
        <w:t xml:space="preserve"> </w:t>
      </w:r>
      <w:r>
        <w:rPr>
          <w:rFonts w:ascii="Arial"/>
          <w:w w:val="105"/>
          <w:sz w:val="19"/>
        </w:rPr>
        <w:t>in</w:t>
      </w:r>
      <w:r>
        <w:rPr>
          <w:rFonts w:ascii="Arial"/>
          <w:spacing w:val="-14"/>
          <w:w w:val="105"/>
          <w:sz w:val="19"/>
        </w:rPr>
        <w:t xml:space="preserve"> </w:t>
      </w:r>
      <w:r>
        <w:rPr>
          <w:rFonts w:ascii="Arial"/>
          <w:w w:val="105"/>
          <w:sz w:val="19"/>
        </w:rPr>
        <w:t>the</w:t>
      </w:r>
      <w:r>
        <w:rPr>
          <w:rFonts w:ascii="Arial"/>
          <w:spacing w:val="-13"/>
          <w:w w:val="105"/>
          <w:sz w:val="19"/>
        </w:rPr>
        <w:t xml:space="preserve"> </w:t>
      </w:r>
      <w:r>
        <w:rPr>
          <w:rFonts w:ascii="Arial"/>
          <w:w w:val="105"/>
          <w:sz w:val="19"/>
        </w:rPr>
        <w:t>table</w:t>
      </w:r>
      <w:r>
        <w:rPr>
          <w:rFonts w:ascii="Arial"/>
          <w:spacing w:val="-13"/>
          <w:w w:val="105"/>
          <w:sz w:val="19"/>
        </w:rPr>
        <w:t xml:space="preserve"> </w:t>
      </w:r>
      <w:r>
        <w:rPr>
          <w:rFonts w:ascii="Arial"/>
          <w:w w:val="105"/>
          <w:sz w:val="19"/>
        </w:rPr>
        <w:t>below.</w:t>
      </w:r>
    </w:p>
    <w:p w:rsidR="007D76BB" w:rsidRDefault="007D76BB">
      <w:pPr>
        <w:pStyle w:val="BodyText"/>
        <w:spacing w:before="3"/>
        <w:rPr>
          <w:rFonts w:ascii="Arial"/>
          <w:sz w:val="20"/>
        </w:rPr>
      </w:pPr>
    </w:p>
    <w:p w:rsidR="007D76BB" w:rsidRDefault="00D70D28">
      <w:pPr>
        <w:ind w:left="482"/>
        <w:rPr>
          <w:rFonts w:ascii="Arial"/>
          <w:sz w:val="19"/>
        </w:rPr>
      </w:pPr>
      <w:r>
        <w:rPr>
          <w:rFonts w:ascii="Arial"/>
          <w:color w:val="005386"/>
          <w:w w:val="105"/>
          <w:sz w:val="19"/>
        </w:rPr>
        <w:t>Table 9. Projected growth in the number of products listed on the ARTG</w:t>
      </w:r>
    </w:p>
    <w:p w:rsidR="007D76BB" w:rsidRDefault="007D76BB">
      <w:pPr>
        <w:pStyle w:val="BodyText"/>
        <w:spacing w:before="4"/>
        <w:rPr>
          <w:rFonts w:ascii="Arial"/>
          <w:sz w:val="16"/>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4"/>
        <w:gridCol w:w="880"/>
        <w:gridCol w:w="773"/>
        <w:gridCol w:w="816"/>
        <w:gridCol w:w="778"/>
        <w:gridCol w:w="775"/>
        <w:gridCol w:w="755"/>
        <w:gridCol w:w="757"/>
        <w:gridCol w:w="772"/>
        <w:gridCol w:w="732"/>
        <w:gridCol w:w="883"/>
      </w:tblGrid>
      <w:tr w:rsidR="007D76BB">
        <w:trPr>
          <w:trHeight w:val="962"/>
        </w:trPr>
        <w:tc>
          <w:tcPr>
            <w:tcW w:w="734" w:type="dxa"/>
            <w:shd w:val="clear" w:color="auto" w:fill="005386"/>
          </w:tcPr>
          <w:p w:rsidR="007D76BB" w:rsidRDefault="007D76BB">
            <w:pPr>
              <w:pStyle w:val="TableParagraph"/>
              <w:rPr>
                <w:rFonts w:ascii="Arial"/>
              </w:rPr>
            </w:pPr>
          </w:p>
          <w:p w:rsidR="007D76BB" w:rsidRDefault="00D70D28">
            <w:pPr>
              <w:pStyle w:val="TableParagraph"/>
              <w:ind w:left="107"/>
              <w:rPr>
                <w:rFonts w:ascii="Arial"/>
                <w:sz w:val="19"/>
              </w:rPr>
            </w:pPr>
            <w:proofErr w:type="spellStart"/>
            <w:r>
              <w:rPr>
                <w:rFonts w:ascii="Arial"/>
                <w:color w:val="FFFFFF"/>
                <w:sz w:val="19"/>
              </w:rPr>
              <w:t>Yr</w:t>
            </w:r>
            <w:proofErr w:type="spellEnd"/>
            <w:r>
              <w:rPr>
                <w:rFonts w:ascii="Arial"/>
                <w:color w:val="FFFFFF"/>
                <w:sz w:val="19"/>
              </w:rPr>
              <w:t xml:space="preserve"> 1</w:t>
            </w:r>
          </w:p>
        </w:tc>
        <w:tc>
          <w:tcPr>
            <w:tcW w:w="880" w:type="dxa"/>
            <w:shd w:val="clear" w:color="auto" w:fill="005386"/>
          </w:tcPr>
          <w:p w:rsidR="007D76BB" w:rsidRDefault="007D76BB">
            <w:pPr>
              <w:pStyle w:val="TableParagraph"/>
              <w:rPr>
                <w:rFonts w:ascii="Arial"/>
              </w:rPr>
            </w:pPr>
          </w:p>
          <w:p w:rsidR="007D76BB" w:rsidRDefault="00D70D28">
            <w:pPr>
              <w:pStyle w:val="TableParagraph"/>
              <w:ind w:left="108"/>
              <w:rPr>
                <w:rFonts w:ascii="Arial"/>
                <w:sz w:val="19"/>
              </w:rPr>
            </w:pPr>
            <w:proofErr w:type="spellStart"/>
            <w:r>
              <w:rPr>
                <w:rFonts w:ascii="Arial"/>
                <w:color w:val="FFFFFF"/>
                <w:w w:val="110"/>
                <w:sz w:val="19"/>
              </w:rPr>
              <w:t>Yr</w:t>
            </w:r>
            <w:proofErr w:type="spellEnd"/>
            <w:r>
              <w:rPr>
                <w:rFonts w:ascii="Arial"/>
                <w:color w:val="FFFFFF"/>
                <w:w w:val="110"/>
                <w:sz w:val="19"/>
              </w:rPr>
              <w:t xml:space="preserve"> 2</w:t>
            </w:r>
          </w:p>
        </w:tc>
        <w:tc>
          <w:tcPr>
            <w:tcW w:w="773" w:type="dxa"/>
            <w:shd w:val="clear" w:color="auto" w:fill="005386"/>
          </w:tcPr>
          <w:p w:rsidR="007D76BB" w:rsidRDefault="007D76BB">
            <w:pPr>
              <w:pStyle w:val="TableParagraph"/>
              <w:rPr>
                <w:rFonts w:ascii="Arial"/>
              </w:rPr>
            </w:pPr>
          </w:p>
          <w:p w:rsidR="007D76BB" w:rsidRDefault="00D70D28">
            <w:pPr>
              <w:pStyle w:val="TableParagraph"/>
              <w:ind w:left="108"/>
              <w:rPr>
                <w:rFonts w:ascii="Arial"/>
                <w:sz w:val="19"/>
              </w:rPr>
            </w:pPr>
            <w:proofErr w:type="spellStart"/>
            <w:r>
              <w:rPr>
                <w:rFonts w:ascii="Arial"/>
                <w:color w:val="FFFFFF"/>
                <w:w w:val="105"/>
                <w:sz w:val="19"/>
              </w:rPr>
              <w:t>Yr</w:t>
            </w:r>
            <w:proofErr w:type="spellEnd"/>
            <w:r>
              <w:rPr>
                <w:rFonts w:ascii="Arial"/>
                <w:color w:val="FFFFFF"/>
                <w:w w:val="105"/>
                <w:sz w:val="19"/>
              </w:rPr>
              <w:t xml:space="preserve"> 3</w:t>
            </w:r>
          </w:p>
        </w:tc>
        <w:tc>
          <w:tcPr>
            <w:tcW w:w="816" w:type="dxa"/>
            <w:shd w:val="clear" w:color="auto" w:fill="005386"/>
          </w:tcPr>
          <w:p w:rsidR="007D76BB" w:rsidRDefault="007D76BB">
            <w:pPr>
              <w:pStyle w:val="TableParagraph"/>
              <w:rPr>
                <w:rFonts w:ascii="Arial"/>
              </w:rPr>
            </w:pPr>
          </w:p>
          <w:p w:rsidR="007D76BB" w:rsidRDefault="00D70D28">
            <w:pPr>
              <w:pStyle w:val="TableParagraph"/>
              <w:ind w:left="109"/>
              <w:rPr>
                <w:rFonts w:ascii="Arial"/>
                <w:sz w:val="19"/>
              </w:rPr>
            </w:pPr>
            <w:proofErr w:type="spellStart"/>
            <w:r>
              <w:rPr>
                <w:rFonts w:ascii="Arial"/>
                <w:color w:val="FFFFFF"/>
                <w:w w:val="110"/>
                <w:sz w:val="19"/>
              </w:rPr>
              <w:t>Yr</w:t>
            </w:r>
            <w:proofErr w:type="spellEnd"/>
            <w:r>
              <w:rPr>
                <w:rFonts w:ascii="Arial"/>
                <w:color w:val="FFFFFF"/>
                <w:w w:val="110"/>
                <w:sz w:val="19"/>
              </w:rPr>
              <w:t xml:space="preserve"> 4</w:t>
            </w:r>
          </w:p>
        </w:tc>
        <w:tc>
          <w:tcPr>
            <w:tcW w:w="778" w:type="dxa"/>
            <w:shd w:val="clear" w:color="auto" w:fill="005386"/>
          </w:tcPr>
          <w:p w:rsidR="007D76BB" w:rsidRDefault="007D76BB">
            <w:pPr>
              <w:pStyle w:val="TableParagraph"/>
              <w:rPr>
                <w:rFonts w:ascii="Arial"/>
              </w:rPr>
            </w:pPr>
          </w:p>
          <w:p w:rsidR="007D76BB" w:rsidRDefault="00D70D28">
            <w:pPr>
              <w:pStyle w:val="TableParagraph"/>
              <w:ind w:left="106"/>
              <w:rPr>
                <w:rFonts w:ascii="Arial"/>
                <w:sz w:val="19"/>
              </w:rPr>
            </w:pPr>
            <w:proofErr w:type="spellStart"/>
            <w:r>
              <w:rPr>
                <w:rFonts w:ascii="Arial"/>
                <w:color w:val="FFFFFF"/>
                <w:w w:val="110"/>
                <w:sz w:val="19"/>
              </w:rPr>
              <w:t>Yr</w:t>
            </w:r>
            <w:proofErr w:type="spellEnd"/>
            <w:r>
              <w:rPr>
                <w:rFonts w:ascii="Arial"/>
                <w:color w:val="FFFFFF"/>
                <w:w w:val="110"/>
                <w:sz w:val="19"/>
              </w:rPr>
              <w:t xml:space="preserve"> 5</w:t>
            </w:r>
          </w:p>
        </w:tc>
        <w:tc>
          <w:tcPr>
            <w:tcW w:w="775" w:type="dxa"/>
            <w:tcBorders>
              <w:right w:val="single" w:sz="6" w:space="0" w:color="000000"/>
            </w:tcBorders>
            <w:shd w:val="clear" w:color="auto" w:fill="005386"/>
          </w:tcPr>
          <w:p w:rsidR="007D76BB" w:rsidRDefault="007D76BB">
            <w:pPr>
              <w:pStyle w:val="TableParagraph"/>
              <w:rPr>
                <w:rFonts w:ascii="Arial"/>
              </w:rPr>
            </w:pPr>
          </w:p>
          <w:p w:rsidR="007D76BB" w:rsidRDefault="00D70D28">
            <w:pPr>
              <w:pStyle w:val="TableParagraph"/>
              <w:ind w:left="108"/>
              <w:rPr>
                <w:rFonts w:ascii="Arial"/>
                <w:sz w:val="19"/>
              </w:rPr>
            </w:pPr>
            <w:proofErr w:type="spellStart"/>
            <w:r>
              <w:rPr>
                <w:rFonts w:ascii="Arial"/>
                <w:color w:val="FFFFFF"/>
                <w:w w:val="105"/>
                <w:sz w:val="19"/>
              </w:rPr>
              <w:t>Yr</w:t>
            </w:r>
            <w:proofErr w:type="spellEnd"/>
            <w:r>
              <w:rPr>
                <w:rFonts w:ascii="Arial"/>
                <w:color w:val="FFFFFF"/>
                <w:w w:val="105"/>
                <w:sz w:val="19"/>
              </w:rPr>
              <w:t xml:space="preserve"> 6</w:t>
            </w:r>
          </w:p>
        </w:tc>
        <w:tc>
          <w:tcPr>
            <w:tcW w:w="755" w:type="dxa"/>
            <w:tcBorders>
              <w:left w:val="single" w:sz="6" w:space="0" w:color="000000"/>
            </w:tcBorders>
            <w:shd w:val="clear" w:color="auto" w:fill="005386"/>
          </w:tcPr>
          <w:p w:rsidR="007D76BB" w:rsidRDefault="007D76BB">
            <w:pPr>
              <w:pStyle w:val="TableParagraph"/>
              <w:rPr>
                <w:rFonts w:ascii="Arial"/>
              </w:rPr>
            </w:pPr>
          </w:p>
          <w:p w:rsidR="007D76BB" w:rsidRDefault="00D70D28">
            <w:pPr>
              <w:pStyle w:val="TableParagraph"/>
              <w:ind w:left="104"/>
              <w:rPr>
                <w:rFonts w:ascii="Arial"/>
                <w:sz w:val="19"/>
              </w:rPr>
            </w:pPr>
            <w:proofErr w:type="spellStart"/>
            <w:r>
              <w:rPr>
                <w:rFonts w:ascii="Arial"/>
                <w:color w:val="FFFFFF"/>
                <w:w w:val="105"/>
                <w:sz w:val="19"/>
              </w:rPr>
              <w:t>Yr</w:t>
            </w:r>
            <w:proofErr w:type="spellEnd"/>
            <w:r>
              <w:rPr>
                <w:rFonts w:ascii="Arial"/>
                <w:color w:val="FFFFFF"/>
                <w:w w:val="105"/>
                <w:sz w:val="19"/>
              </w:rPr>
              <w:t xml:space="preserve"> 7</w:t>
            </w:r>
          </w:p>
        </w:tc>
        <w:tc>
          <w:tcPr>
            <w:tcW w:w="757" w:type="dxa"/>
            <w:tcBorders>
              <w:right w:val="single" w:sz="6" w:space="0" w:color="000000"/>
            </w:tcBorders>
            <w:shd w:val="clear" w:color="auto" w:fill="005386"/>
          </w:tcPr>
          <w:p w:rsidR="007D76BB" w:rsidRDefault="007D76BB">
            <w:pPr>
              <w:pStyle w:val="TableParagraph"/>
              <w:rPr>
                <w:rFonts w:ascii="Arial"/>
              </w:rPr>
            </w:pPr>
          </w:p>
          <w:p w:rsidR="007D76BB" w:rsidRDefault="00D70D28">
            <w:pPr>
              <w:pStyle w:val="TableParagraph"/>
              <w:ind w:left="108"/>
              <w:rPr>
                <w:rFonts w:ascii="Arial"/>
                <w:sz w:val="19"/>
              </w:rPr>
            </w:pPr>
            <w:proofErr w:type="spellStart"/>
            <w:r>
              <w:rPr>
                <w:rFonts w:ascii="Arial"/>
                <w:color w:val="FFFFFF"/>
                <w:w w:val="110"/>
                <w:sz w:val="19"/>
              </w:rPr>
              <w:t>Yr</w:t>
            </w:r>
            <w:proofErr w:type="spellEnd"/>
            <w:r>
              <w:rPr>
                <w:rFonts w:ascii="Arial"/>
                <w:color w:val="FFFFFF"/>
                <w:w w:val="110"/>
                <w:sz w:val="19"/>
              </w:rPr>
              <w:t xml:space="preserve"> 8</w:t>
            </w:r>
          </w:p>
        </w:tc>
        <w:tc>
          <w:tcPr>
            <w:tcW w:w="772" w:type="dxa"/>
            <w:tcBorders>
              <w:left w:val="single" w:sz="6" w:space="0" w:color="000000"/>
            </w:tcBorders>
            <w:shd w:val="clear" w:color="auto" w:fill="005386"/>
          </w:tcPr>
          <w:p w:rsidR="007D76BB" w:rsidRDefault="007D76BB">
            <w:pPr>
              <w:pStyle w:val="TableParagraph"/>
              <w:rPr>
                <w:rFonts w:ascii="Arial"/>
              </w:rPr>
            </w:pPr>
          </w:p>
          <w:p w:rsidR="007D76BB" w:rsidRDefault="00D70D28">
            <w:pPr>
              <w:pStyle w:val="TableParagraph"/>
              <w:ind w:left="104"/>
              <w:rPr>
                <w:rFonts w:ascii="Arial"/>
                <w:sz w:val="19"/>
              </w:rPr>
            </w:pPr>
            <w:proofErr w:type="spellStart"/>
            <w:r>
              <w:rPr>
                <w:rFonts w:ascii="Arial"/>
                <w:color w:val="FFFFFF"/>
                <w:w w:val="105"/>
                <w:sz w:val="19"/>
              </w:rPr>
              <w:t>Yr</w:t>
            </w:r>
            <w:proofErr w:type="spellEnd"/>
            <w:r>
              <w:rPr>
                <w:rFonts w:ascii="Arial"/>
                <w:color w:val="FFFFFF"/>
                <w:w w:val="105"/>
                <w:sz w:val="19"/>
              </w:rPr>
              <w:t xml:space="preserve"> 9</w:t>
            </w:r>
          </w:p>
        </w:tc>
        <w:tc>
          <w:tcPr>
            <w:tcW w:w="732" w:type="dxa"/>
            <w:shd w:val="clear" w:color="auto" w:fill="005386"/>
          </w:tcPr>
          <w:p w:rsidR="007D76BB" w:rsidRDefault="007D76BB">
            <w:pPr>
              <w:pStyle w:val="TableParagraph"/>
              <w:rPr>
                <w:rFonts w:ascii="Arial"/>
              </w:rPr>
            </w:pPr>
          </w:p>
          <w:p w:rsidR="007D76BB" w:rsidRDefault="00D70D28">
            <w:pPr>
              <w:pStyle w:val="TableParagraph"/>
              <w:ind w:left="108"/>
              <w:rPr>
                <w:rFonts w:ascii="Arial"/>
                <w:sz w:val="19"/>
              </w:rPr>
            </w:pPr>
            <w:proofErr w:type="spellStart"/>
            <w:r>
              <w:rPr>
                <w:rFonts w:ascii="Arial"/>
                <w:color w:val="FFFFFF"/>
                <w:sz w:val="19"/>
              </w:rPr>
              <w:t>Yr</w:t>
            </w:r>
            <w:proofErr w:type="spellEnd"/>
            <w:r>
              <w:rPr>
                <w:rFonts w:ascii="Arial"/>
                <w:color w:val="FFFFFF"/>
                <w:sz w:val="19"/>
              </w:rPr>
              <w:t xml:space="preserve"> 10</w:t>
            </w:r>
          </w:p>
        </w:tc>
        <w:tc>
          <w:tcPr>
            <w:tcW w:w="883" w:type="dxa"/>
            <w:shd w:val="clear" w:color="auto" w:fill="005386"/>
          </w:tcPr>
          <w:p w:rsidR="007D76BB" w:rsidRDefault="00D70D28">
            <w:pPr>
              <w:pStyle w:val="TableParagraph"/>
              <w:spacing w:before="13" w:line="264" w:lineRule="auto"/>
              <w:ind w:left="106" w:right="133"/>
              <w:rPr>
                <w:rFonts w:ascii="Arial"/>
                <w:sz w:val="19"/>
              </w:rPr>
            </w:pPr>
            <w:r>
              <w:rPr>
                <w:rFonts w:ascii="Arial"/>
                <w:color w:val="FFFFFF"/>
                <w:w w:val="105"/>
                <w:sz w:val="19"/>
              </w:rPr>
              <w:t xml:space="preserve">Total </w:t>
            </w:r>
            <w:r>
              <w:rPr>
                <w:rFonts w:ascii="Arial"/>
                <w:color w:val="FFFFFF"/>
                <w:spacing w:val="-5"/>
                <w:w w:val="105"/>
                <w:sz w:val="19"/>
              </w:rPr>
              <w:t xml:space="preserve">Growth </w:t>
            </w:r>
            <w:r>
              <w:rPr>
                <w:rFonts w:ascii="Arial"/>
                <w:color w:val="FFFFFF"/>
                <w:w w:val="105"/>
                <w:sz w:val="19"/>
              </w:rPr>
              <w:t>from</w:t>
            </w:r>
          </w:p>
          <w:p w:rsidR="007D76BB" w:rsidRDefault="00D70D28">
            <w:pPr>
              <w:pStyle w:val="TableParagraph"/>
              <w:spacing w:before="2" w:line="206" w:lineRule="exact"/>
              <w:ind w:left="106"/>
              <w:rPr>
                <w:rFonts w:ascii="Arial"/>
                <w:sz w:val="19"/>
              </w:rPr>
            </w:pPr>
            <w:r>
              <w:rPr>
                <w:rFonts w:ascii="Arial"/>
                <w:color w:val="FFFFFF"/>
                <w:sz w:val="19"/>
              </w:rPr>
              <w:t>Base</w:t>
            </w:r>
          </w:p>
        </w:tc>
      </w:tr>
      <w:tr w:rsidR="007D76BB">
        <w:trPr>
          <w:trHeight w:val="241"/>
        </w:trPr>
        <w:tc>
          <w:tcPr>
            <w:tcW w:w="734" w:type="dxa"/>
          </w:tcPr>
          <w:p w:rsidR="007D76BB" w:rsidRDefault="00D70D28">
            <w:pPr>
              <w:pStyle w:val="TableParagraph"/>
              <w:spacing w:before="13" w:line="208" w:lineRule="exact"/>
              <w:ind w:left="107"/>
              <w:rPr>
                <w:rFonts w:ascii="Arial"/>
                <w:sz w:val="19"/>
              </w:rPr>
            </w:pPr>
            <w:r>
              <w:rPr>
                <w:rFonts w:ascii="Arial"/>
                <w:spacing w:val="-1"/>
                <w:w w:val="109"/>
                <w:sz w:val="19"/>
              </w:rPr>
              <w:t>2</w:t>
            </w:r>
            <w:r>
              <w:rPr>
                <w:rFonts w:ascii="Arial"/>
                <w:spacing w:val="1"/>
                <w:w w:val="114"/>
                <w:sz w:val="19"/>
              </w:rPr>
              <w:t>0</w:t>
            </w:r>
            <w:r>
              <w:rPr>
                <w:rFonts w:ascii="Arial"/>
                <w:w w:val="175"/>
                <w:sz w:val="19"/>
              </w:rPr>
              <w:t>/</w:t>
            </w:r>
            <w:r>
              <w:rPr>
                <w:rFonts w:ascii="Arial"/>
                <w:spacing w:val="-1"/>
                <w:w w:val="109"/>
                <w:sz w:val="19"/>
              </w:rPr>
              <w:t>2</w:t>
            </w:r>
            <w:r>
              <w:rPr>
                <w:rFonts w:ascii="Arial"/>
                <w:w w:val="66"/>
                <w:sz w:val="19"/>
              </w:rPr>
              <w:t>1</w:t>
            </w:r>
          </w:p>
        </w:tc>
        <w:tc>
          <w:tcPr>
            <w:tcW w:w="880" w:type="dxa"/>
          </w:tcPr>
          <w:p w:rsidR="007D76BB" w:rsidRDefault="00D70D28">
            <w:pPr>
              <w:pStyle w:val="TableParagraph"/>
              <w:spacing w:before="13" w:line="208" w:lineRule="exact"/>
              <w:ind w:left="108"/>
              <w:rPr>
                <w:rFonts w:ascii="Arial"/>
                <w:sz w:val="19"/>
              </w:rPr>
            </w:pPr>
            <w:r>
              <w:rPr>
                <w:rFonts w:ascii="Arial"/>
                <w:spacing w:val="-1"/>
                <w:w w:val="109"/>
                <w:sz w:val="19"/>
              </w:rPr>
              <w:t>2</w:t>
            </w:r>
            <w:r>
              <w:rPr>
                <w:rFonts w:ascii="Arial"/>
                <w:spacing w:val="1"/>
                <w:w w:val="66"/>
                <w:sz w:val="19"/>
              </w:rPr>
              <w:t>1</w:t>
            </w:r>
            <w:r>
              <w:rPr>
                <w:rFonts w:ascii="Arial"/>
                <w:w w:val="175"/>
                <w:sz w:val="19"/>
              </w:rPr>
              <w:t>/</w:t>
            </w:r>
            <w:r>
              <w:rPr>
                <w:rFonts w:ascii="Arial"/>
                <w:spacing w:val="-1"/>
                <w:w w:val="109"/>
                <w:sz w:val="19"/>
              </w:rPr>
              <w:t>2</w:t>
            </w:r>
            <w:r>
              <w:rPr>
                <w:rFonts w:ascii="Arial"/>
                <w:w w:val="109"/>
                <w:sz w:val="19"/>
              </w:rPr>
              <w:t>2</w:t>
            </w:r>
          </w:p>
        </w:tc>
        <w:tc>
          <w:tcPr>
            <w:tcW w:w="773" w:type="dxa"/>
          </w:tcPr>
          <w:p w:rsidR="007D76BB" w:rsidRDefault="00D70D28">
            <w:pPr>
              <w:pStyle w:val="TableParagraph"/>
              <w:spacing w:before="13" w:line="208" w:lineRule="exact"/>
              <w:ind w:left="108"/>
              <w:rPr>
                <w:rFonts w:ascii="Arial"/>
                <w:sz w:val="19"/>
              </w:rPr>
            </w:pPr>
            <w:r>
              <w:rPr>
                <w:rFonts w:ascii="Arial"/>
                <w:w w:val="125"/>
                <w:sz w:val="19"/>
              </w:rPr>
              <w:t>22/23</w:t>
            </w:r>
          </w:p>
        </w:tc>
        <w:tc>
          <w:tcPr>
            <w:tcW w:w="816" w:type="dxa"/>
          </w:tcPr>
          <w:p w:rsidR="007D76BB" w:rsidRDefault="00D70D28">
            <w:pPr>
              <w:pStyle w:val="TableParagraph"/>
              <w:spacing w:before="13" w:line="208" w:lineRule="exact"/>
              <w:ind w:left="109"/>
              <w:rPr>
                <w:rFonts w:ascii="Arial"/>
                <w:sz w:val="19"/>
              </w:rPr>
            </w:pPr>
            <w:r>
              <w:rPr>
                <w:rFonts w:ascii="Arial"/>
                <w:w w:val="125"/>
                <w:sz w:val="19"/>
              </w:rPr>
              <w:t>23/24</w:t>
            </w:r>
          </w:p>
        </w:tc>
        <w:tc>
          <w:tcPr>
            <w:tcW w:w="778" w:type="dxa"/>
          </w:tcPr>
          <w:p w:rsidR="007D76BB" w:rsidRDefault="00D70D28">
            <w:pPr>
              <w:pStyle w:val="TableParagraph"/>
              <w:spacing w:before="13" w:line="208" w:lineRule="exact"/>
              <w:ind w:left="106"/>
              <w:rPr>
                <w:rFonts w:ascii="Arial"/>
                <w:sz w:val="19"/>
              </w:rPr>
            </w:pPr>
            <w:r>
              <w:rPr>
                <w:rFonts w:ascii="Arial"/>
                <w:w w:val="120"/>
                <w:sz w:val="19"/>
              </w:rPr>
              <w:t>24/25</w:t>
            </w:r>
          </w:p>
        </w:tc>
        <w:tc>
          <w:tcPr>
            <w:tcW w:w="775" w:type="dxa"/>
            <w:tcBorders>
              <w:right w:val="single" w:sz="6" w:space="0" w:color="000000"/>
            </w:tcBorders>
          </w:tcPr>
          <w:p w:rsidR="007D76BB" w:rsidRDefault="00D70D28">
            <w:pPr>
              <w:pStyle w:val="TableParagraph"/>
              <w:spacing w:before="13" w:line="208" w:lineRule="exact"/>
              <w:ind w:left="108"/>
              <w:rPr>
                <w:rFonts w:ascii="Arial"/>
                <w:sz w:val="19"/>
              </w:rPr>
            </w:pPr>
            <w:r>
              <w:rPr>
                <w:rFonts w:ascii="Arial"/>
                <w:w w:val="115"/>
                <w:sz w:val="19"/>
              </w:rPr>
              <w:t>25/26</w:t>
            </w:r>
          </w:p>
        </w:tc>
        <w:tc>
          <w:tcPr>
            <w:tcW w:w="755" w:type="dxa"/>
            <w:tcBorders>
              <w:left w:val="single" w:sz="6" w:space="0" w:color="000000"/>
            </w:tcBorders>
          </w:tcPr>
          <w:p w:rsidR="007D76BB" w:rsidRDefault="00D70D28">
            <w:pPr>
              <w:pStyle w:val="TableParagraph"/>
              <w:spacing w:before="13" w:line="208" w:lineRule="exact"/>
              <w:ind w:left="104"/>
              <w:rPr>
                <w:rFonts w:ascii="Arial"/>
                <w:sz w:val="19"/>
              </w:rPr>
            </w:pPr>
            <w:r>
              <w:rPr>
                <w:rFonts w:ascii="Arial"/>
                <w:w w:val="115"/>
                <w:sz w:val="19"/>
              </w:rPr>
              <w:t>26/27</w:t>
            </w:r>
          </w:p>
        </w:tc>
        <w:tc>
          <w:tcPr>
            <w:tcW w:w="757" w:type="dxa"/>
            <w:tcBorders>
              <w:right w:val="single" w:sz="6" w:space="0" w:color="000000"/>
            </w:tcBorders>
          </w:tcPr>
          <w:p w:rsidR="007D76BB" w:rsidRDefault="00D70D28">
            <w:pPr>
              <w:pStyle w:val="TableParagraph"/>
              <w:spacing w:before="13" w:line="208" w:lineRule="exact"/>
              <w:ind w:left="108"/>
              <w:rPr>
                <w:rFonts w:ascii="Arial"/>
                <w:sz w:val="19"/>
              </w:rPr>
            </w:pPr>
            <w:r>
              <w:rPr>
                <w:rFonts w:ascii="Arial"/>
                <w:w w:val="120"/>
                <w:sz w:val="19"/>
              </w:rPr>
              <w:t>27/28</w:t>
            </w:r>
          </w:p>
        </w:tc>
        <w:tc>
          <w:tcPr>
            <w:tcW w:w="772" w:type="dxa"/>
            <w:tcBorders>
              <w:left w:val="single" w:sz="6" w:space="0" w:color="000000"/>
            </w:tcBorders>
          </w:tcPr>
          <w:p w:rsidR="007D76BB" w:rsidRDefault="00D70D28">
            <w:pPr>
              <w:pStyle w:val="TableParagraph"/>
              <w:spacing w:before="13" w:line="208" w:lineRule="exact"/>
              <w:ind w:left="104"/>
              <w:rPr>
                <w:rFonts w:ascii="Arial"/>
                <w:sz w:val="19"/>
              </w:rPr>
            </w:pPr>
            <w:r>
              <w:rPr>
                <w:rFonts w:ascii="Arial"/>
                <w:w w:val="120"/>
                <w:sz w:val="19"/>
              </w:rPr>
              <w:t>28/29</w:t>
            </w:r>
          </w:p>
        </w:tc>
        <w:tc>
          <w:tcPr>
            <w:tcW w:w="732" w:type="dxa"/>
          </w:tcPr>
          <w:p w:rsidR="007D76BB" w:rsidRDefault="00D70D28">
            <w:pPr>
              <w:pStyle w:val="TableParagraph"/>
              <w:spacing w:before="13" w:line="208" w:lineRule="exact"/>
              <w:ind w:left="108"/>
              <w:rPr>
                <w:rFonts w:ascii="Arial"/>
                <w:sz w:val="19"/>
              </w:rPr>
            </w:pPr>
            <w:r>
              <w:rPr>
                <w:rFonts w:ascii="Arial"/>
                <w:w w:val="108"/>
                <w:sz w:val="19"/>
              </w:rPr>
              <w:t>3</w:t>
            </w:r>
            <w:r>
              <w:rPr>
                <w:rFonts w:ascii="Arial"/>
                <w:spacing w:val="1"/>
                <w:w w:val="114"/>
                <w:sz w:val="19"/>
              </w:rPr>
              <w:t>0</w:t>
            </w:r>
            <w:r>
              <w:rPr>
                <w:rFonts w:ascii="Arial"/>
                <w:w w:val="175"/>
                <w:sz w:val="19"/>
              </w:rPr>
              <w:t>/</w:t>
            </w:r>
            <w:r>
              <w:rPr>
                <w:rFonts w:ascii="Arial"/>
                <w:spacing w:val="-2"/>
                <w:w w:val="108"/>
                <w:sz w:val="19"/>
              </w:rPr>
              <w:t>3</w:t>
            </w:r>
            <w:r>
              <w:rPr>
                <w:rFonts w:ascii="Arial"/>
                <w:w w:val="66"/>
                <w:sz w:val="19"/>
              </w:rPr>
              <w:t>1</w:t>
            </w:r>
          </w:p>
        </w:tc>
        <w:tc>
          <w:tcPr>
            <w:tcW w:w="883" w:type="dxa"/>
          </w:tcPr>
          <w:p w:rsidR="007D76BB" w:rsidRDefault="007D76BB">
            <w:pPr>
              <w:pStyle w:val="TableParagraph"/>
              <w:rPr>
                <w:rFonts w:ascii="Times New Roman"/>
                <w:sz w:val="16"/>
              </w:rPr>
            </w:pPr>
          </w:p>
        </w:tc>
      </w:tr>
      <w:tr w:rsidR="007D76BB">
        <w:trPr>
          <w:trHeight w:val="239"/>
        </w:trPr>
        <w:tc>
          <w:tcPr>
            <w:tcW w:w="2387" w:type="dxa"/>
            <w:gridSpan w:val="3"/>
          </w:tcPr>
          <w:p w:rsidR="007D76BB" w:rsidRDefault="00D70D28">
            <w:pPr>
              <w:pStyle w:val="TableParagraph"/>
              <w:spacing w:before="13" w:line="206" w:lineRule="exact"/>
              <w:ind w:left="1044" w:right="1046"/>
              <w:jc w:val="center"/>
              <w:rPr>
                <w:rFonts w:ascii="Arial"/>
                <w:sz w:val="19"/>
              </w:rPr>
            </w:pPr>
            <w:r>
              <w:rPr>
                <w:rFonts w:ascii="Arial"/>
                <w:sz w:val="19"/>
              </w:rPr>
              <w:t>87</w:t>
            </w:r>
          </w:p>
        </w:tc>
        <w:tc>
          <w:tcPr>
            <w:tcW w:w="816" w:type="dxa"/>
          </w:tcPr>
          <w:p w:rsidR="007D76BB" w:rsidRDefault="00D70D28">
            <w:pPr>
              <w:pStyle w:val="TableParagraph"/>
              <w:spacing w:before="13" w:line="206" w:lineRule="exact"/>
              <w:ind w:left="266" w:right="267"/>
              <w:jc w:val="center"/>
              <w:rPr>
                <w:rFonts w:ascii="Arial"/>
                <w:sz w:val="19"/>
              </w:rPr>
            </w:pPr>
            <w:r>
              <w:rPr>
                <w:rFonts w:ascii="Arial"/>
                <w:w w:val="105"/>
                <w:sz w:val="19"/>
              </w:rPr>
              <w:t>96</w:t>
            </w:r>
          </w:p>
        </w:tc>
        <w:tc>
          <w:tcPr>
            <w:tcW w:w="778" w:type="dxa"/>
          </w:tcPr>
          <w:p w:rsidR="007D76BB" w:rsidRDefault="00D70D28">
            <w:pPr>
              <w:pStyle w:val="TableParagraph"/>
              <w:spacing w:before="13" w:line="206" w:lineRule="exact"/>
              <w:ind w:left="229"/>
              <w:rPr>
                <w:rFonts w:ascii="Arial"/>
                <w:sz w:val="19"/>
              </w:rPr>
            </w:pPr>
            <w:r>
              <w:rPr>
                <w:rFonts w:ascii="Arial"/>
                <w:sz w:val="19"/>
              </w:rPr>
              <w:t>106</w:t>
            </w:r>
          </w:p>
        </w:tc>
        <w:tc>
          <w:tcPr>
            <w:tcW w:w="775" w:type="dxa"/>
          </w:tcPr>
          <w:p w:rsidR="007D76BB" w:rsidRDefault="00D70D28">
            <w:pPr>
              <w:pStyle w:val="TableParagraph"/>
              <w:spacing w:before="13" w:line="206" w:lineRule="exact"/>
              <w:ind w:left="226" w:right="229"/>
              <w:jc w:val="center"/>
              <w:rPr>
                <w:rFonts w:ascii="Arial"/>
                <w:sz w:val="19"/>
              </w:rPr>
            </w:pPr>
            <w:r>
              <w:rPr>
                <w:rFonts w:ascii="Arial"/>
                <w:w w:val="85"/>
                <w:sz w:val="19"/>
              </w:rPr>
              <w:t>117</w:t>
            </w:r>
          </w:p>
        </w:tc>
        <w:tc>
          <w:tcPr>
            <w:tcW w:w="755" w:type="dxa"/>
          </w:tcPr>
          <w:p w:rsidR="007D76BB" w:rsidRDefault="00D70D28">
            <w:pPr>
              <w:pStyle w:val="TableParagraph"/>
              <w:spacing w:before="13" w:line="206" w:lineRule="exact"/>
              <w:ind w:left="217"/>
              <w:rPr>
                <w:rFonts w:ascii="Arial"/>
                <w:sz w:val="19"/>
              </w:rPr>
            </w:pPr>
            <w:r>
              <w:rPr>
                <w:rFonts w:ascii="Arial"/>
                <w:sz w:val="19"/>
              </w:rPr>
              <w:t>129</w:t>
            </w:r>
          </w:p>
        </w:tc>
        <w:tc>
          <w:tcPr>
            <w:tcW w:w="757" w:type="dxa"/>
          </w:tcPr>
          <w:p w:rsidR="007D76BB" w:rsidRDefault="00D70D28">
            <w:pPr>
              <w:pStyle w:val="TableParagraph"/>
              <w:spacing w:before="13" w:line="206" w:lineRule="exact"/>
              <w:ind w:left="216"/>
              <w:rPr>
                <w:rFonts w:ascii="Arial"/>
                <w:sz w:val="19"/>
              </w:rPr>
            </w:pPr>
            <w:r>
              <w:rPr>
                <w:rFonts w:ascii="Arial"/>
                <w:sz w:val="19"/>
              </w:rPr>
              <w:t>142</w:t>
            </w:r>
          </w:p>
        </w:tc>
        <w:tc>
          <w:tcPr>
            <w:tcW w:w="772" w:type="dxa"/>
          </w:tcPr>
          <w:p w:rsidR="007D76BB" w:rsidRDefault="00D70D28">
            <w:pPr>
              <w:pStyle w:val="TableParagraph"/>
              <w:spacing w:before="13" w:line="206" w:lineRule="exact"/>
              <w:ind w:left="224"/>
              <w:rPr>
                <w:rFonts w:ascii="Arial"/>
                <w:sz w:val="19"/>
              </w:rPr>
            </w:pPr>
            <w:r>
              <w:rPr>
                <w:rFonts w:ascii="Arial"/>
                <w:sz w:val="19"/>
              </w:rPr>
              <w:t>156</w:t>
            </w:r>
          </w:p>
        </w:tc>
        <w:tc>
          <w:tcPr>
            <w:tcW w:w="732" w:type="dxa"/>
          </w:tcPr>
          <w:p w:rsidR="007D76BB" w:rsidRDefault="00D70D28">
            <w:pPr>
              <w:pStyle w:val="TableParagraph"/>
              <w:spacing w:before="13" w:line="206" w:lineRule="exact"/>
              <w:ind w:left="216"/>
              <w:rPr>
                <w:rFonts w:ascii="Arial"/>
                <w:sz w:val="19"/>
              </w:rPr>
            </w:pPr>
            <w:r>
              <w:rPr>
                <w:rFonts w:ascii="Arial"/>
                <w:sz w:val="19"/>
              </w:rPr>
              <w:t>172</w:t>
            </w:r>
          </w:p>
        </w:tc>
        <w:tc>
          <w:tcPr>
            <w:tcW w:w="883" w:type="dxa"/>
            <w:shd w:val="clear" w:color="auto" w:fill="D9D9D9"/>
          </w:tcPr>
          <w:p w:rsidR="007D76BB" w:rsidRDefault="00D70D28">
            <w:pPr>
              <w:pStyle w:val="TableParagraph"/>
              <w:spacing w:before="13" w:line="206" w:lineRule="exact"/>
              <w:ind w:left="317"/>
              <w:rPr>
                <w:rFonts w:ascii="Arial"/>
                <w:sz w:val="19"/>
              </w:rPr>
            </w:pPr>
            <w:r>
              <w:rPr>
                <w:rFonts w:ascii="Arial"/>
                <w:w w:val="110"/>
                <w:sz w:val="19"/>
              </w:rPr>
              <w:t>85</w:t>
            </w:r>
          </w:p>
        </w:tc>
      </w:tr>
      <w:tr w:rsidR="007D76BB">
        <w:trPr>
          <w:trHeight w:val="239"/>
        </w:trPr>
        <w:tc>
          <w:tcPr>
            <w:tcW w:w="2387" w:type="dxa"/>
            <w:gridSpan w:val="3"/>
          </w:tcPr>
          <w:p w:rsidR="007D76BB" w:rsidRDefault="00D70D28">
            <w:pPr>
              <w:pStyle w:val="TableParagraph"/>
              <w:spacing w:before="13" w:line="206" w:lineRule="exact"/>
              <w:ind w:left="450"/>
              <w:rPr>
                <w:rFonts w:ascii="Arial"/>
                <w:sz w:val="19"/>
              </w:rPr>
            </w:pPr>
            <w:r>
              <w:rPr>
                <w:rFonts w:ascii="Arial"/>
                <w:w w:val="105"/>
                <w:sz w:val="19"/>
              </w:rPr>
              <w:t>Increase per year</w:t>
            </w:r>
          </w:p>
        </w:tc>
        <w:tc>
          <w:tcPr>
            <w:tcW w:w="816" w:type="dxa"/>
          </w:tcPr>
          <w:p w:rsidR="007D76BB" w:rsidRDefault="00D70D28">
            <w:pPr>
              <w:pStyle w:val="TableParagraph"/>
              <w:spacing w:before="13" w:line="206" w:lineRule="exact"/>
              <w:ind w:left="1"/>
              <w:jc w:val="center"/>
              <w:rPr>
                <w:rFonts w:ascii="Arial"/>
                <w:sz w:val="19"/>
              </w:rPr>
            </w:pPr>
            <w:r>
              <w:rPr>
                <w:rFonts w:ascii="Arial"/>
                <w:w w:val="107"/>
                <w:sz w:val="19"/>
              </w:rPr>
              <w:t>9</w:t>
            </w:r>
          </w:p>
        </w:tc>
        <w:tc>
          <w:tcPr>
            <w:tcW w:w="778" w:type="dxa"/>
          </w:tcPr>
          <w:p w:rsidR="007D76BB" w:rsidRDefault="00D70D28">
            <w:pPr>
              <w:pStyle w:val="TableParagraph"/>
              <w:spacing w:before="13" w:line="206" w:lineRule="exact"/>
              <w:ind w:left="247" w:right="247"/>
              <w:jc w:val="center"/>
              <w:rPr>
                <w:rFonts w:ascii="Arial"/>
                <w:sz w:val="19"/>
              </w:rPr>
            </w:pPr>
            <w:r>
              <w:rPr>
                <w:rFonts w:ascii="Arial"/>
                <w:sz w:val="19"/>
              </w:rPr>
              <w:t>10</w:t>
            </w:r>
          </w:p>
        </w:tc>
        <w:tc>
          <w:tcPr>
            <w:tcW w:w="775" w:type="dxa"/>
          </w:tcPr>
          <w:p w:rsidR="007D76BB" w:rsidRDefault="00D70D28">
            <w:pPr>
              <w:pStyle w:val="TableParagraph"/>
              <w:spacing w:before="13" w:line="206" w:lineRule="exact"/>
              <w:ind w:left="222" w:right="229"/>
              <w:jc w:val="center"/>
              <w:rPr>
                <w:rFonts w:ascii="Arial"/>
                <w:sz w:val="19"/>
              </w:rPr>
            </w:pPr>
            <w:r>
              <w:rPr>
                <w:rFonts w:ascii="Arial"/>
                <w:w w:val="75"/>
                <w:sz w:val="19"/>
              </w:rPr>
              <w:t>11</w:t>
            </w:r>
          </w:p>
        </w:tc>
        <w:tc>
          <w:tcPr>
            <w:tcW w:w="755" w:type="dxa"/>
          </w:tcPr>
          <w:p w:rsidR="007D76BB" w:rsidRDefault="00D70D28">
            <w:pPr>
              <w:pStyle w:val="TableParagraph"/>
              <w:spacing w:before="13" w:line="206" w:lineRule="exact"/>
              <w:ind w:left="230" w:right="238"/>
              <w:jc w:val="center"/>
              <w:rPr>
                <w:rFonts w:ascii="Arial"/>
                <w:sz w:val="19"/>
              </w:rPr>
            </w:pPr>
            <w:r>
              <w:rPr>
                <w:rFonts w:ascii="Arial"/>
                <w:sz w:val="19"/>
              </w:rPr>
              <w:t>12</w:t>
            </w:r>
          </w:p>
        </w:tc>
        <w:tc>
          <w:tcPr>
            <w:tcW w:w="757" w:type="dxa"/>
          </w:tcPr>
          <w:p w:rsidR="007D76BB" w:rsidRDefault="00D70D28">
            <w:pPr>
              <w:pStyle w:val="TableParagraph"/>
              <w:spacing w:before="13" w:line="206" w:lineRule="exact"/>
              <w:ind w:left="232" w:right="237"/>
              <w:jc w:val="center"/>
              <w:rPr>
                <w:rFonts w:ascii="Arial"/>
                <w:sz w:val="19"/>
              </w:rPr>
            </w:pPr>
            <w:r>
              <w:rPr>
                <w:rFonts w:ascii="Arial"/>
                <w:w w:val="95"/>
                <w:sz w:val="19"/>
              </w:rPr>
              <w:t>13</w:t>
            </w:r>
          </w:p>
        </w:tc>
        <w:tc>
          <w:tcPr>
            <w:tcW w:w="772" w:type="dxa"/>
          </w:tcPr>
          <w:p w:rsidR="007D76BB" w:rsidRDefault="00D70D28">
            <w:pPr>
              <w:pStyle w:val="TableParagraph"/>
              <w:spacing w:before="13" w:line="206" w:lineRule="exact"/>
              <w:ind w:left="245" w:right="254"/>
              <w:jc w:val="center"/>
              <w:rPr>
                <w:rFonts w:ascii="Arial"/>
                <w:sz w:val="19"/>
              </w:rPr>
            </w:pPr>
            <w:r>
              <w:rPr>
                <w:rFonts w:ascii="Arial"/>
                <w:sz w:val="19"/>
              </w:rPr>
              <w:t>14</w:t>
            </w:r>
          </w:p>
        </w:tc>
        <w:tc>
          <w:tcPr>
            <w:tcW w:w="732" w:type="dxa"/>
          </w:tcPr>
          <w:p w:rsidR="007D76BB" w:rsidRDefault="00D70D28">
            <w:pPr>
              <w:pStyle w:val="TableParagraph"/>
              <w:spacing w:before="13" w:line="206" w:lineRule="exact"/>
              <w:ind w:left="233" w:right="234"/>
              <w:jc w:val="center"/>
              <w:rPr>
                <w:rFonts w:ascii="Arial"/>
                <w:sz w:val="19"/>
              </w:rPr>
            </w:pPr>
            <w:r>
              <w:rPr>
                <w:rFonts w:ascii="Arial"/>
                <w:w w:val="95"/>
                <w:sz w:val="19"/>
              </w:rPr>
              <w:t>16</w:t>
            </w:r>
          </w:p>
        </w:tc>
        <w:tc>
          <w:tcPr>
            <w:tcW w:w="883" w:type="dxa"/>
            <w:shd w:val="clear" w:color="auto" w:fill="D9D9D9"/>
          </w:tcPr>
          <w:p w:rsidR="007D76BB" w:rsidRDefault="00D70D28">
            <w:pPr>
              <w:pStyle w:val="TableParagraph"/>
              <w:spacing w:before="13" w:line="206" w:lineRule="exact"/>
              <w:ind w:left="317"/>
              <w:rPr>
                <w:rFonts w:ascii="Arial"/>
                <w:sz w:val="19"/>
              </w:rPr>
            </w:pPr>
            <w:r>
              <w:rPr>
                <w:rFonts w:ascii="Arial"/>
                <w:w w:val="110"/>
                <w:sz w:val="19"/>
              </w:rPr>
              <w:t>85</w:t>
            </w:r>
          </w:p>
        </w:tc>
      </w:tr>
    </w:tbl>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D70D28">
      <w:pPr>
        <w:pStyle w:val="BodyText"/>
        <w:spacing w:before="11"/>
        <w:rPr>
          <w:rFonts w:ascii="Arial"/>
        </w:rPr>
      </w:pPr>
      <w:r>
        <w:rPr>
          <w:noProof/>
          <w:lang w:val="en-AU" w:eastAsia="en-AU"/>
        </w:rPr>
        <mc:AlternateContent>
          <mc:Choice Requires="wps">
            <w:drawing>
              <wp:anchor distT="0" distB="0" distL="0" distR="0" simplePos="0" relativeHeight="251728896" behindDoc="1" locked="0" layoutInCell="1" allowOverlap="1">
                <wp:simplePos x="0" y="0"/>
                <wp:positionH relativeFrom="page">
                  <wp:posOffset>1080770</wp:posOffset>
                </wp:positionH>
                <wp:positionV relativeFrom="paragraph">
                  <wp:posOffset>198120</wp:posOffset>
                </wp:positionV>
                <wp:extent cx="1829435" cy="1270"/>
                <wp:effectExtent l="0" t="0" r="0" b="0"/>
                <wp:wrapTopAndBottom/>
                <wp:docPr id="304"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6455E" id="Freeform 160" o:spid="_x0000_s1026" style="position:absolute;margin-left:85.1pt;margin-top:15.6pt;width:144.05pt;height:.1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" path="m,l2880,e" filled="f" strokeweight=".84pt">
                <v:path arrowok="t" o:connecttype="custom" o:connectlocs="0,0;1828800,0" o:connectangles="0,0"/>
                <w10:wrap type="topAndBottom" anchorx="page"/>
              </v:shape>
            </w:pict>
          </mc:Fallback>
        </mc:AlternateContent>
      </w:r>
    </w:p>
    <w:p w:rsidR="007D76BB" w:rsidRDefault="00D70D28">
      <w:pPr>
        <w:spacing w:before="132"/>
        <w:ind w:left="482"/>
        <w:rPr>
          <w:rFonts w:ascii="Arial"/>
          <w:sz w:val="14"/>
        </w:rPr>
      </w:pPr>
      <w:r>
        <w:rPr>
          <w:rFonts w:ascii="Arial"/>
          <w:color w:val="5B6761"/>
          <w:w w:val="105"/>
          <w:position w:val="5"/>
          <w:sz w:val="8"/>
        </w:rPr>
        <w:t xml:space="preserve">56 </w:t>
      </w:r>
      <w:r>
        <w:rPr>
          <w:rFonts w:ascii="Arial"/>
          <w:color w:val="5B6761"/>
          <w:w w:val="105"/>
          <w:sz w:val="14"/>
        </w:rPr>
        <w:t>TGA, Annual Performance Statistics Report: July 2018 to June 2019, p.30.</w:t>
      </w:r>
    </w:p>
    <w:p w:rsidR="007D76BB" w:rsidRDefault="00D70D28">
      <w:pPr>
        <w:spacing w:before="79"/>
        <w:ind w:left="482"/>
        <w:rPr>
          <w:rFonts w:ascii="Arial"/>
          <w:sz w:val="14"/>
        </w:rPr>
      </w:pPr>
      <w:r>
        <w:rPr>
          <w:rFonts w:ascii="Arial"/>
          <w:color w:val="5B6761"/>
          <w:w w:val="105"/>
          <w:position w:val="5"/>
          <w:sz w:val="8"/>
        </w:rPr>
        <w:t xml:space="preserve">57 </w:t>
      </w:r>
      <w:r>
        <w:rPr>
          <w:rFonts w:ascii="Arial"/>
          <w:color w:val="5B6761"/>
          <w:w w:val="105"/>
          <w:sz w:val="14"/>
        </w:rPr>
        <w:t>Industry reports focus on changes in the value of sales rather than the volume of products.</w:t>
      </w:r>
    </w:p>
    <w:p w:rsidR="007D76BB" w:rsidRDefault="00D70D28">
      <w:pPr>
        <w:spacing w:before="79"/>
        <w:ind w:left="482"/>
        <w:rPr>
          <w:rFonts w:ascii="Arial"/>
          <w:sz w:val="14"/>
        </w:rPr>
      </w:pPr>
      <w:r>
        <w:rPr>
          <w:rFonts w:ascii="Arial"/>
          <w:color w:val="5B6761"/>
          <w:w w:val="105"/>
          <w:position w:val="5"/>
          <w:sz w:val="8"/>
        </w:rPr>
        <w:t xml:space="preserve">58 </w:t>
      </w:r>
      <w:r>
        <w:rPr>
          <w:rFonts w:ascii="Arial"/>
          <w:color w:val="5B6761"/>
          <w:w w:val="105"/>
          <w:sz w:val="14"/>
        </w:rPr>
        <w:t>See footnote 19 for the list of reviewed industry reports.</w:t>
      </w:r>
    </w:p>
    <w:p w:rsidR="007D76BB" w:rsidRDefault="007D76BB">
      <w:pPr>
        <w:rPr>
          <w:rFonts w:ascii="Arial"/>
          <w:sz w:val="14"/>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spacing w:before="2"/>
        <w:rPr>
          <w:rFonts w:ascii="Arial"/>
          <w:sz w:val="21"/>
        </w:rPr>
      </w:pPr>
    </w:p>
    <w:p w:rsidR="007D76BB" w:rsidRDefault="00D70D28">
      <w:pPr>
        <w:ind w:left="482"/>
        <w:jc w:val="both"/>
        <w:rPr>
          <w:rFonts w:ascii="Lucida Sans"/>
          <w:b/>
          <w:sz w:val="20"/>
        </w:rPr>
      </w:pPr>
      <w:r>
        <w:rPr>
          <w:rFonts w:ascii="Lucida Sans"/>
          <w:b/>
          <w:sz w:val="20"/>
        </w:rPr>
        <w:t>Regulatory costing</w:t>
      </w:r>
    </w:p>
    <w:p w:rsidR="007D76BB" w:rsidRDefault="00D70D28">
      <w:pPr>
        <w:spacing w:before="194"/>
        <w:ind w:left="482"/>
        <w:jc w:val="both"/>
        <w:rPr>
          <w:rFonts w:ascii="Arial"/>
          <w:i/>
          <w:sz w:val="20"/>
        </w:rPr>
      </w:pPr>
      <w:r>
        <w:rPr>
          <w:rFonts w:ascii="Arial"/>
          <w:i/>
          <w:sz w:val="20"/>
        </w:rPr>
        <w:t>Key assumptions</w:t>
      </w:r>
    </w:p>
    <w:p w:rsidR="007D76BB" w:rsidRDefault="00D70D28">
      <w:pPr>
        <w:pStyle w:val="ListParagraph"/>
        <w:numPr>
          <w:ilvl w:val="1"/>
          <w:numId w:val="5"/>
        </w:numPr>
        <w:tabs>
          <w:tab w:val="left" w:pos="766"/>
        </w:tabs>
        <w:spacing w:before="96" w:line="266" w:lineRule="auto"/>
        <w:ind w:right="1095"/>
        <w:jc w:val="both"/>
        <w:rPr>
          <w:rFonts w:ascii="Arial" w:hAnsi="Arial"/>
          <w:sz w:val="19"/>
        </w:rPr>
      </w:pPr>
      <w:r>
        <w:rPr>
          <w:rFonts w:ascii="Arial" w:hAnsi="Arial"/>
          <w:w w:val="105"/>
          <w:sz w:val="19"/>
        </w:rPr>
        <w:t>Labelling</w:t>
      </w:r>
      <w:r>
        <w:rPr>
          <w:rFonts w:ascii="Arial" w:hAnsi="Arial"/>
          <w:spacing w:val="-23"/>
          <w:w w:val="105"/>
          <w:sz w:val="19"/>
        </w:rPr>
        <w:t xml:space="preserve"> </w:t>
      </w:r>
      <w:r>
        <w:rPr>
          <w:rFonts w:ascii="Arial" w:hAnsi="Arial"/>
          <w:w w:val="105"/>
          <w:sz w:val="19"/>
        </w:rPr>
        <w:t>design</w:t>
      </w:r>
      <w:r>
        <w:rPr>
          <w:rFonts w:ascii="Arial" w:hAnsi="Arial"/>
          <w:spacing w:val="-22"/>
          <w:w w:val="105"/>
          <w:sz w:val="19"/>
        </w:rPr>
        <w:t xml:space="preserve"> </w:t>
      </w:r>
      <w:r>
        <w:rPr>
          <w:rFonts w:ascii="Arial" w:hAnsi="Arial"/>
          <w:w w:val="105"/>
          <w:sz w:val="19"/>
        </w:rPr>
        <w:t>and</w:t>
      </w:r>
      <w:r>
        <w:rPr>
          <w:rFonts w:ascii="Arial" w:hAnsi="Arial"/>
          <w:spacing w:val="-22"/>
          <w:w w:val="105"/>
          <w:sz w:val="19"/>
        </w:rPr>
        <w:t xml:space="preserve"> </w:t>
      </w:r>
      <w:r>
        <w:rPr>
          <w:rFonts w:ascii="Arial" w:hAnsi="Arial"/>
          <w:w w:val="105"/>
          <w:sz w:val="19"/>
        </w:rPr>
        <w:t>re-print</w:t>
      </w:r>
      <w:r>
        <w:rPr>
          <w:rFonts w:ascii="Arial" w:hAnsi="Arial"/>
          <w:spacing w:val="-22"/>
          <w:w w:val="105"/>
          <w:sz w:val="19"/>
        </w:rPr>
        <w:t xml:space="preserve"> </w:t>
      </w:r>
      <w:r>
        <w:rPr>
          <w:rFonts w:ascii="Arial" w:hAnsi="Arial"/>
          <w:w w:val="105"/>
          <w:sz w:val="19"/>
        </w:rPr>
        <w:t>is</w:t>
      </w:r>
      <w:r>
        <w:rPr>
          <w:rFonts w:ascii="Arial" w:hAnsi="Arial"/>
          <w:spacing w:val="-22"/>
          <w:w w:val="105"/>
          <w:sz w:val="19"/>
        </w:rPr>
        <w:t xml:space="preserve"> </w:t>
      </w:r>
      <w:r>
        <w:rPr>
          <w:rFonts w:ascii="Arial" w:hAnsi="Arial"/>
          <w:w w:val="105"/>
          <w:sz w:val="19"/>
        </w:rPr>
        <w:t>included</w:t>
      </w:r>
      <w:r>
        <w:rPr>
          <w:rFonts w:ascii="Arial" w:hAnsi="Arial"/>
          <w:spacing w:val="-22"/>
          <w:w w:val="105"/>
          <w:sz w:val="19"/>
        </w:rPr>
        <w:t xml:space="preserve"> </w:t>
      </w:r>
      <w:r>
        <w:rPr>
          <w:rFonts w:ascii="Arial" w:hAnsi="Arial"/>
          <w:w w:val="105"/>
          <w:sz w:val="19"/>
        </w:rPr>
        <w:t>in</w:t>
      </w:r>
      <w:r>
        <w:rPr>
          <w:rFonts w:ascii="Arial" w:hAnsi="Arial"/>
          <w:spacing w:val="-22"/>
          <w:w w:val="105"/>
          <w:sz w:val="19"/>
        </w:rPr>
        <w:t xml:space="preserve"> </w:t>
      </w:r>
      <w:r>
        <w:rPr>
          <w:rFonts w:ascii="Arial" w:hAnsi="Arial"/>
          <w:w w:val="105"/>
          <w:sz w:val="19"/>
        </w:rPr>
        <w:t>the</w:t>
      </w:r>
      <w:r>
        <w:rPr>
          <w:rFonts w:ascii="Arial" w:hAnsi="Arial"/>
          <w:spacing w:val="-21"/>
          <w:w w:val="105"/>
          <w:sz w:val="19"/>
        </w:rPr>
        <w:t xml:space="preserve"> </w:t>
      </w:r>
      <w:r>
        <w:rPr>
          <w:rFonts w:ascii="Arial" w:hAnsi="Arial"/>
          <w:w w:val="105"/>
          <w:sz w:val="19"/>
        </w:rPr>
        <w:t>regulatory</w:t>
      </w:r>
      <w:r>
        <w:rPr>
          <w:rFonts w:ascii="Arial" w:hAnsi="Arial"/>
          <w:spacing w:val="-22"/>
          <w:w w:val="105"/>
          <w:sz w:val="19"/>
        </w:rPr>
        <w:t xml:space="preserve"> </w:t>
      </w:r>
      <w:r>
        <w:rPr>
          <w:rFonts w:ascii="Arial" w:hAnsi="Arial"/>
          <w:w w:val="105"/>
          <w:sz w:val="19"/>
        </w:rPr>
        <w:t>costing</w:t>
      </w:r>
      <w:r>
        <w:rPr>
          <w:rFonts w:ascii="Arial" w:hAnsi="Arial"/>
          <w:spacing w:val="-23"/>
          <w:w w:val="105"/>
          <w:sz w:val="19"/>
        </w:rPr>
        <w:t xml:space="preserve"> </w:t>
      </w:r>
      <w:r>
        <w:rPr>
          <w:rFonts w:ascii="Arial" w:hAnsi="Arial"/>
          <w:w w:val="105"/>
          <w:sz w:val="19"/>
        </w:rPr>
        <w:t>as</w:t>
      </w:r>
      <w:r>
        <w:rPr>
          <w:rFonts w:ascii="Arial" w:hAnsi="Arial"/>
          <w:spacing w:val="-21"/>
          <w:w w:val="105"/>
          <w:sz w:val="19"/>
        </w:rPr>
        <w:t xml:space="preserve"> </w:t>
      </w:r>
      <w:r>
        <w:rPr>
          <w:rFonts w:ascii="Arial" w:hAnsi="Arial"/>
          <w:w w:val="105"/>
          <w:sz w:val="19"/>
        </w:rPr>
        <w:t>sport</w:t>
      </w:r>
      <w:r>
        <w:rPr>
          <w:rFonts w:ascii="Arial" w:hAnsi="Arial"/>
          <w:spacing w:val="-21"/>
          <w:w w:val="105"/>
          <w:sz w:val="19"/>
        </w:rPr>
        <w:t xml:space="preserve"> </w:t>
      </w:r>
      <w:r>
        <w:rPr>
          <w:rFonts w:ascii="Arial" w:hAnsi="Arial"/>
          <w:w w:val="105"/>
          <w:sz w:val="19"/>
        </w:rPr>
        <w:t>supplement</w:t>
      </w:r>
      <w:r>
        <w:rPr>
          <w:rFonts w:ascii="Arial" w:hAnsi="Arial"/>
          <w:spacing w:val="-24"/>
          <w:w w:val="105"/>
          <w:sz w:val="19"/>
        </w:rPr>
        <w:t xml:space="preserve"> </w:t>
      </w:r>
      <w:r>
        <w:rPr>
          <w:rFonts w:ascii="Arial" w:hAnsi="Arial"/>
          <w:w w:val="105"/>
          <w:sz w:val="19"/>
        </w:rPr>
        <w:t>product labels</w:t>
      </w:r>
      <w:r>
        <w:rPr>
          <w:rFonts w:ascii="Arial" w:hAnsi="Arial"/>
          <w:spacing w:val="-22"/>
          <w:w w:val="105"/>
          <w:sz w:val="19"/>
        </w:rPr>
        <w:t xml:space="preserve"> </w:t>
      </w:r>
      <w:r>
        <w:rPr>
          <w:rFonts w:ascii="Arial" w:hAnsi="Arial"/>
          <w:w w:val="105"/>
          <w:sz w:val="19"/>
        </w:rPr>
        <w:t>are</w:t>
      </w:r>
      <w:r>
        <w:rPr>
          <w:rFonts w:ascii="Arial" w:hAnsi="Arial"/>
          <w:spacing w:val="-22"/>
          <w:w w:val="105"/>
          <w:sz w:val="19"/>
        </w:rPr>
        <w:t xml:space="preserve"> </w:t>
      </w:r>
      <w:r>
        <w:rPr>
          <w:rFonts w:ascii="Arial" w:hAnsi="Arial"/>
          <w:w w:val="105"/>
          <w:sz w:val="19"/>
        </w:rPr>
        <w:t>refreshed</w:t>
      </w:r>
      <w:r>
        <w:rPr>
          <w:rFonts w:ascii="Arial" w:hAnsi="Arial"/>
          <w:spacing w:val="-22"/>
          <w:w w:val="105"/>
          <w:sz w:val="19"/>
        </w:rPr>
        <w:t xml:space="preserve"> </w:t>
      </w:r>
      <w:r>
        <w:rPr>
          <w:rFonts w:ascii="Arial" w:hAnsi="Arial"/>
          <w:w w:val="105"/>
          <w:sz w:val="19"/>
        </w:rPr>
        <w:t>every</w:t>
      </w:r>
      <w:r>
        <w:rPr>
          <w:rFonts w:ascii="Arial" w:hAnsi="Arial"/>
          <w:spacing w:val="-23"/>
          <w:w w:val="105"/>
          <w:sz w:val="19"/>
        </w:rPr>
        <w:t xml:space="preserve"> </w:t>
      </w:r>
      <w:r>
        <w:rPr>
          <w:rFonts w:ascii="Arial" w:hAnsi="Arial"/>
          <w:w w:val="105"/>
          <w:sz w:val="19"/>
        </w:rPr>
        <w:t>5-10</w:t>
      </w:r>
      <w:r>
        <w:rPr>
          <w:rFonts w:ascii="Arial" w:hAnsi="Arial"/>
          <w:spacing w:val="-21"/>
          <w:w w:val="105"/>
          <w:sz w:val="19"/>
        </w:rPr>
        <w:t xml:space="preserve"> </w:t>
      </w:r>
      <w:r>
        <w:rPr>
          <w:rFonts w:ascii="Arial" w:hAnsi="Arial"/>
          <w:w w:val="105"/>
          <w:sz w:val="19"/>
        </w:rPr>
        <w:t>years</w:t>
      </w:r>
      <w:r>
        <w:rPr>
          <w:rFonts w:ascii="Arial" w:hAnsi="Arial"/>
          <w:w w:val="105"/>
          <w:position w:val="7"/>
          <w:sz w:val="11"/>
        </w:rPr>
        <w:t>59</w:t>
      </w:r>
      <w:r>
        <w:rPr>
          <w:rFonts w:ascii="Arial" w:hAnsi="Arial"/>
          <w:spacing w:val="3"/>
          <w:w w:val="105"/>
          <w:position w:val="7"/>
          <w:sz w:val="11"/>
        </w:rPr>
        <w:t xml:space="preserve"> </w:t>
      </w:r>
      <w:r>
        <w:rPr>
          <w:rFonts w:ascii="Arial" w:hAnsi="Arial"/>
          <w:w w:val="105"/>
          <w:sz w:val="19"/>
        </w:rPr>
        <w:t>and</w:t>
      </w:r>
      <w:r>
        <w:rPr>
          <w:rFonts w:ascii="Arial" w:hAnsi="Arial"/>
          <w:spacing w:val="-24"/>
          <w:w w:val="105"/>
          <w:sz w:val="19"/>
        </w:rPr>
        <w:t xml:space="preserve"> </w:t>
      </w:r>
      <w:r>
        <w:rPr>
          <w:rFonts w:ascii="Arial" w:hAnsi="Arial"/>
          <w:w w:val="105"/>
          <w:sz w:val="19"/>
        </w:rPr>
        <w:t>this</w:t>
      </w:r>
      <w:r>
        <w:rPr>
          <w:rFonts w:ascii="Arial" w:hAnsi="Arial"/>
          <w:spacing w:val="-23"/>
          <w:w w:val="105"/>
          <w:sz w:val="19"/>
        </w:rPr>
        <w:t xml:space="preserve"> </w:t>
      </w:r>
      <w:r>
        <w:rPr>
          <w:rFonts w:ascii="Arial" w:hAnsi="Arial"/>
          <w:w w:val="105"/>
          <w:sz w:val="19"/>
        </w:rPr>
        <w:t>period</w:t>
      </w:r>
      <w:r>
        <w:rPr>
          <w:rFonts w:ascii="Arial" w:hAnsi="Arial"/>
          <w:spacing w:val="-22"/>
          <w:w w:val="105"/>
          <w:sz w:val="19"/>
        </w:rPr>
        <w:t xml:space="preserve"> </w:t>
      </w:r>
      <w:r>
        <w:rPr>
          <w:rFonts w:ascii="Arial" w:hAnsi="Arial"/>
          <w:w w:val="105"/>
          <w:sz w:val="19"/>
        </w:rPr>
        <w:t>is</w:t>
      </w:r>
      <w:r>
        <w:rPr>
          <w:rFonts w:ascii="Arial" w:hAnsi="Arial"/>
          <w:spacing w:val="-22"/>
          <w:w w:val="105"/>
          <w:sz w:val="19"/>
        </w:rPr>
        <w:t xml:space="preserve"> </w:t>
      </w:r>
      <w:r>
        <w:rPr>
          <w:rFonts w:ascii="Arial" w:hAnsi="Arial"/>
          <w:w w:val="105"/>
          <w:sz w:val="19"/>
        </w:rPr>
        <w:t>longer</w:t>
      </w:r>
      <w:r>
        <w:rPr>
          <w:rFonts w:ascii="Arial" w:hAnsi="Arial"/>
          <w:spacing w:val="-22"/>
          <w:w w:val="105"/>
          <w:sz w:val="19"/>
        </w:rPr>
        <w:t xml:space="preserve"> </w:t>
      </w:r>
      <w:r>
        <w:rPr>
          <w:rFonts w:ascii="Arial" w:hAnsi="Arial"/>
          <w:w w:val="105"/>
          <w:sz w:val="19"/>
        </w:rPr>
        <w:t>than</w:t>
      </w:r>
      <w:r>
        <w:rPr>
          <w:rFonts w:ascii="Arial" w:hAnsi="Arial"/>
          <w:spacing w:val="-22"/>
          <w:w w:val="105"/>
          <w:sz w:val="19"/>
        </w:rPr>
        <w:t xml:space="preserve"> </w:t>
      </w:r>
      <w:r>
        <w:rPr>
          <w:rFonts w:ascii="Arial" w:hAnsi="Arial"/>
          <w:w w:val="105"/>
          <w:sz w:val="19"/>
        </w:rPr>
        <w:t>the</w:t>
      </w:r>
      <w:r>
        <w:rPr>
          <w:rFonts w:ascii="Arial" w:hAnsi="Arial"/>
          <w:spacing w:val="-20"/>
          <w:w w:val="105"/>
          <w:sz w:val="19"/>
        </w:rPr>
        <w:t xml:space="preserve"> </w:t>
      </w:r>
      <w:r>
        <w:rPr>
          <w:rFonts w:ascii="Arial" w:hAnsi="Arial"/>
          <w:w w:val="105"/>
          <w:sz w:val="19"/>
        </w:rPr>
        <w:t>anticipated</w:t>
      </w:r>
      <w:r>
        <w:rPr>
          <w:rFonts w:ascii="Arial" w:hAnsi="Arial"/>
          <w:spacing w:val="-23"/>
          <w:w w:val="105"/>
          <w:sz w:val="19"/>
        </w:rPr>
        <w:t xml:space="preserve"> </w:t>
      </w:r>
      <w:r>
        <w:rPr>
          <w:rFonts w:ascii="Arial" w:hAnsi="Arial"/>
          <w:w w:val="105"/>
          <w:sz w:val="19"/>
        </w:rPr>
        <w:t>transition period</w:t>
      </w:r>
      <w:r>
        <w:rPr>
          <w:rFonts w:ascii="Arial" w:hAnsi="Arial"/>
          <w:spacing w:val="-13"/>
          <w:w w:val="105"/>
          <w:sz w:val="19"/>
        </w:rPr>
        <w:t xml:space="preserve"> </w:t>
      </w:r>
      <w:r>
        <w:rPr>
          <w:rFonts w:ascii="Arial" w:hAnsi="Arial"/>
          <w:w w:val="105"/>
          <w:sz w:val="19"/>
        </w:rPr>
        <w:t>(expected</w:t>
      </w:r>
      <w:r>
        <w:rPr>
          <w:rFonts w:ascii="Arial" w:hAnsi="Arial"/>
          <w:spacing w:val="-12"/>
          <w:w w:val="105"/>
          <w:sz w:val="19"/>
        </w:rPr>
        <w:t xml:space="preserve"> </w:t>
      </w:r>
      <w:r>
        <w:rPr>
          <w:rFonts w:ascii="Arial" w:hAnsi="Arial"/>
          <w:w w:val="105"/>
          <w:sz w:val="19"/>
        </w:rPr>
        <w:t>to</w:t>
      </w:r>
      <w:r>
        <w:rPr>
          <w:rFonts w:ascii="Arial" w:hAnsi="Arial"/>
          <w:spacing w:val="-12"/>
          <w:w w:val="105"/>
          <w:sz w:val="19"/>
        </w:rPr>
        <w:t xml:space="preserve"> </w:t>
      </w:r>
      <w:r>
        <w:rPr>
          <w:rFonts w:ascii="Arial" w:hAnsi="Arial"/>
          <w:w w:val="105"/>
          <w:sz w:val="19"/>
        </w:rPr>
        <w:t>be</w:t>
      </w:r>
      <w:r>
        <w:rPr>
          <w:rFonts w:ascii="Arial" w:hAnsi="Arial"/>
          <w:spacing w:val="-9"/>
          <w:w w:val="105"/>
          <w:sz w:val="19"/>
        </w:rPr>
        <w:t xml:space="preserve"> </w:t>
      </w:r>
      <w:r>
        <w:rPr>
          <w:rFonts w:ascii="Arial" w:hAnsi="Arial"/>
          <w:w w:val="105"/>
          <w:sz w:val="19"/>
        </w:rPr>
        <w:t>up</w:t>
      </w:r>
      <w:r>
        <w:rPr>
          <w:rFonts w:ascii="Arial" w:hAnsi="Arial"/>
          <w:spacing w:val="-11"/>
          <w:w w:val="105"/>
          <w:sz w:val="19"/>
        </w:rPr>
        <w:t xml:space="preserve"> </w:t>
      </w:r>
      <w:r>
        <w:rPr>
          <w:rFonts w:ascii="Arial" w:hAnsi="Arial"/>
          <w:w w:val="105"/>
          <w:sz w:val="19"/>
        </w:rPr>
        <w:t>to</w:t>
      </w:r>
      <w:r>
        <w:rPr>
          <w:rFonts w:ascii="Arial" w:hAnsi="Arial"/>
          <w:spacing w:val="-16"/>
          <w:w w:val="105"/>
          <w:sz w:val="19"/>
        </w:rPr>
        <w:t xml:space="preserve"> </w:t>
      </w:r>
      <w:r>
        <w:rPr>
          <w:rFonts w:ascii="Arial" w:hAnsi="Arial"/>
          <w:w w:val="105"/>
          <w:sz w:val="19"/>
        </w:rPr>
        <w:t>three</w:t>
      </w:r>
      <w:r>
        <w:rPr>
          <w:rFonts w:ascii="Arial" w:hAnsi="Arial"/>
          <w:spacing w:val="-10"/>
          <w:w w:val="105"/>
          <w:sz w:val="19"/>
        </w:rPr>
        <w:t xml:space="preserve"> </w:t>
      </w:r>
      <w:r>
        <w:rPr>
          <w:rFonts w:ascii="Arial" w:hAnsi="Arial"/>
          <w:w w:val="105"/>
          <w:sz w:val="19"/>
        </w:rPr>
        <w:t>years).</w:t>
      </w:r>
    </w:p>
    <w:p w:rsidR="007D76BB" w:rsidRDefault="00D70D28">
      <w:pPr>
        <w:pStyle w:val="ListParagraph"/>
        <w:numPr>
          <w:ilvl w:val="1"/>
          <w:numId w:val="5"/>
        </w:numPr>
        <w:tabs>
          <w:tab w:val="left" w:pos="766"/>
        </w:tabs>
        <w:spacing w:before="74" w:line="268" w:lineRule="auto"/>
        <w:ind w:right="1271"/>
        <w:rPr>
          <w:rFonts w:ascii="Arial" w:hAnsi="Arial"/>
          <w:sz w:val="19"/>
        </w:rPr>
      </w:pPr>
      <w:r>
        <w:rPr>
          <w:rFonts w:ascii="Arial" w:hAnsi="Arial"/>
          <w:w w:val="105"/>
          <w:sz w:val="19"/>
        </w:rPr>
        <w:t>All</w:t>
      </w:r>
      <w:r>
        <w:rPr>
          <w:rFonts w:ascii="Arial" w:hAnsi="Arial"/>
          <w:spacing w:val="-24"/>
          <w:w w:val="105"/>
          <w:sz w:val="19"/>
        </w:rPr>
        <w:t xml:space="preserve"> </w:t>
      </w:r>
      <w:r>
        <w:rPr>
          <w:rFonts w:ascii="Arial" w:hAnsi="Arial"/>
          <w:w w:val="105"/>
          <w:sz w:val="19"/>
        </w:rPr>
        <w:t>potentially</w:t>
      </w:r>
      <w:r>
        <w:rPr>
          <w:rFonts w:ascii="Arial" w:hAnsi="Arial"/>
          <w:spacing w:val="-23"/>
          <w:w w:val="105"/>
          <w:sz w:val="19"/>
        </w:rPr>
        <w:t xml:space="preserve"> </w:t>
      </w:r>
      <w:r>
        <w:rPr>
          <w:rFonts w:ascii="Arial" w:hAnsi="Arial"/>
          <w:w w:val="105"/>
          <w:sz w:val="19"/>
        </w:rPr>
        <w:t>in-scope</w:t>
      </w:r>
      <w:r>
        <w:rPr>
          <w:rFonts w:ascii="Arial" w:hAnsi="Arial"/>
          <w:spacing w:val="-23"/>
          <w:w w:val="105"/>
          <w:sz w:val="19"/>
        </w:rPr>
        <w:t xml:space="preserve"> </w:t>
      </w:r>
      <w:r>
        <w:rPr>
          <w:rFonts w:ascii="Arial" w:hAnsi="Arial"/>
          <w:w w:val="105"/>
          <w:sz w:val="19"/>
        </w:rPr>
        <w:t>products</w:t>
      </w:r>
      <w:r>
        <w:rPr>
          <w:rFonts w:ascii="Arial" w:hAnsi="Arial"/>
          <w:spacing w:val="-24"/>
          <w:w w:val="105"/>
          <w:sz w:val="19"/>
        </w:rPr>
        <w:t xml:space="preserve"> </w:t>
      </w:r>
      <w:r>
        <w:rPr>
          <w:rFonts w:ascii="Arial" w:hAnsi="Arial"/>
          <w:w w:val="105"/>
          <w:sz w:val="19"/>
        </w:rPr>
        <w:t>will</w:t>
      </w:r>
      <w:r>
        <w:rPr>
          <w:rFonts w:ascii="Arial" w:hAnsi="Arial"/>
          <w:spacing w:val="-24"/>
          <w:w w:val="105"/>
          <w:sz w:val="19"/>
        </w:rPr>
        <w:t xml:space="preserve"> </w:t>
      </w:r>
      <w:r>
        <w:rPr>
          <w:rFonts w:ascii="Arial" w:hAnsi="Arial"/>
          <w:w w:val="105"/>
          <w:sz w:val="19"/>
        </w:rPr>
        <w:t>be</w:t>
      </w:r>
      <w:r>
        <w:rPr>
          <w:rFonts w:ascii="Arial" w:hAnsi="Arial"/>
          <w:spacing w:val="-21"/>
          <w:w w:val="105"/>
          <w:sz w:val="19"/>
        </w:rPr>
        <w:t xml:space="preserve"> </w:t>
      </w:r>
      <w:r>
        <w:rPr>
          <w:rFonts w:ascii="Arial" w:hAnsi="Arial"/>
          <w:w w:val="105"/>
          <w:sz w:val="19"/>
        </w:rPr>
        <w:t>included</w:t>
      </w:r>
      <w:r>
        <w:rPr>
          <w:rFonts w:ascii="Arial" w:hAnsi="Arial"/>
          <w:spacing w:val="-23"/>
          <w:w w:val="105"/>
          <w:sz w:val="19"/>
        </w:rPr>
        <w:t xml:space="preserve"> </w:t>
      </w:r>
      <w:r>
        <w:rPr>
          <w:rFonts w:ascii="Arial" w:hAnsi="Arial"/>
          <w:w w:val="105"/>
          <w:sz w:val="19"/>
        </w:rPr>
        <w:t>in</w:t>
      </w:r>
      <w:r>
        <w:rPr>
          <w:rFonts w:ascii="Arial" w:hAnsi="Arial"/>
          <w:spacing w:val="-23"/>
          <w:w w:val="105"/>
          <w:sz w:val="19"/>
        </w:rPr>
        <w:t xml:space="preserve"> </w:t>
      </w:r>
      <w:r>
        <w:rPr>
          <w:rFonts w:ascii="Arial" w:hAnsi="Arial"/>
          <w:w w:val="105"/>
          <w:sz w:val="19"/>
        </w:rPr>
        <w:t>the</w:t>
      </w:r>
      <w:r>
        <w:rPr>
          <w:rFonts w:ascii="Arial" w:hAnsi="Arial"/>
          <w:spacing w:val="-24"/>
          <w:w w:val="105"/>
          <w:sz w:val="19"/>
        </w:rPr>
        <w:t xml:space="preserve"> </w:t>
      </w:r>
      <w:r>
        <w:rPr>
          <w:rFonts w:ascii="Arial" w:hAnsi="Arial"/>
          <w:w w:val="105"/>
          <w:sz w:val="19"/>
        </w:rPr>
        <w:t>ARTG</w:t>
      </w:r>
      <w:r>
        <w:rPr>
          <w:rFonts w:ascii="Arial" w:hAnsi="Arial"/>
          <w:spacing w:val="-23"/>
          <w:w w:val="105"/>
          <w:sz w:val="19"/>
        </w:rPr>
        <w:t xml:space="preserve"> </w:t>
      </w:r>
      <w:r>
        <w:rPr>
          <w:rFonts w:ascii="Arial" w:hAnsi="Arial"/>
          <w:w w:val="105"/>
          <w:sz w:val="19"/>
        </w:rPr>
        <w:t>as</w:t>
      </w:r>
      <w:r>
        <w:rPr>
          <w:rFonts w:ascii="Arial" w:hAnsi="Arial"/>
          <w:spacing w:val="-23"/>
          <w:w w:val="105"/>
          <w:sz w:val="19"/>
        </w:rPr>
        <w:t xml:space="preserve"> </w:t>
      </w:r>
      <w:r>
        <w:rPr>
          <w:rFonts w:ascii="Arial" w:hAnsi="Arial"/>
          <w:w w:val="105"/>
          <w:sz w:val="19"/>
        </w:rPr>
        <w:t>listed</w:t>
      </w:r>
      <w:r>
        <w:rPr>
          <w:rFonts w:ascii="Arial" w:hAnsi="Arial"/>
          <w:spacing w:val="-24"/>
          <w:w w:val="105"/>
          <w:sz w:val="19"/>
        </w:rPr>
        <w:t xml:space="preserve"> </w:t>
      </w:r>
      <w:r>
        <w:rPr>
          <w:rFonts w:ascii="Arial" w:hAnsi="Arial"/>
          <w:w w:val="105"/>
          <w:sz w:val="19"/>
        </w:rPr>
        <w:t>medicines</w:t>
      </w:r>
      <w:r>
        <w:rPr>
          <w:rFonts w:ascii="Arial" w:hAnsi="Arial"/>
          <w:spacing w:val="-25"/>
          <w:w w:val="105"/>
          <w:sz w:val="19"/>
        </w:rPr>
        <w:t xml:space="preserve"> </w:t>
      </w:r>
      <w:r>
        <w:rPr>
          <w:rFonts w:ascii="Arial" w:hAnsi="Arial"/>
          <w:w w:val="105"/>
          <w:sz w:val="19"/>
        </w:rPr>
        <w:t>rather</w:t>
      </w:r>
      <w:r>
        <w:rPr>
          <w:rFonts w:ascii="Arial" w:hAnsi="Arial"/>
          <w:spacing w:val="-23"/>
          <w:w w:val="105"/>
          <w:sz w:val="19"/>
        </w:rPr>
        <w:t xml:space="preserve"> </w:t>
      </w:r>
      <w:r>
        <w:rPr>
          <w:rFonts w:ascii="Arial" w:hAnsi="Arial"/>
          <w:w w:val="105"/>
          <w:sz w:val="19"/>
        </w:rPr>
        <w:t>than registered</w:t>
      </w:r>
      <w:r>
        <w:rPr>
          <w:rFonts w:ascii="Arial" w:hAnsi="Arial"/>
          <w:spacing w:val="-13"/>
          <w:w w:val="105"/>
          <w:sz w:val="19"/>
        </w:rPr>
        <w:t xml:space="preserve"> </w:t>
      </w:r>
      <w:r>
        <w:rPr>
          <w:rFonts w:ascii="Arial" w:hAnsi="Arial"/>
          <w:w w:val="105"/>
          <w:sz w:val="19"/>
        </w:rPr>
        <w:t>medicines.</w:t>
      </w:r>
    </w:p>
    <w:p w:rsidR="007D76BB" w:rsidRDefault="00D70D28">
      <w:pPr>
        <w:pStyle w:val="ListParagraph"/>
        <w:numPr>
          <w:ilvl w:val="1"/>
          <w:numId w:val="5"/>
        </w:numPr>
        <w:tabs>
          <w:tab w:val="left" w:pos="766"/>
        </w:tabs>
        <w:spacing w:before="72" w:line="266" w:lineRule="auto"/>
        <w:ind w:right="1619"/>
        <w:rPr>
          <w:rFonts w:ascii="Arial" w:hAnsi="Arial"/>
          <w:sz w:val="19"/>
        </w:rPr>
      </w:pPr>
      <w:r>
        <w:rPr>
          <w:rFonts w:ascii="Arial" w:hAnsi="Arial"/>
          <w:w w:val="105"/>
          <w:sz w:val="19"/>
        </w:rPr>
        <w:t>Withdrawing</w:t>
      </w:r>
      <w:r>
        <w:rPr>
          <w:rFonts w:ascii="Arial" w:hAnsi="Arial"/>
          <w:spacing w:val="-23"/>
          <w:w w:val="105"/>
          <w:sz w:val="19"/>
        </w:rPr>
        <w:t xml:space="preserve"> </w:t>
      </w:r>
      <w:r>
        <w:rPr>
          <w:rFonts w:ascii="Arial" w:hAnsi="Arial"/>
          <w:w w:val="105"/>
          <w:sz w:val="19"/>
        </w:rPr>
        <w:t>a</w:t>
      </w:r>
      <w:r>
        <w:rPr>
          <w:rFonts w:ascii="Arial" w:hAnsi="Arial"/>
          <w:spacing w:val="-23"/>
          <w:w w:val="105"/>
          <w:sz w:val="19"/>
        </w:rPr>
        <w:t xml:space="preserve"> </w:t>
      </w:r>
      <w:r>
        <w:rPr>
          <w:rFonts w:ascii="Arial" w:hAnsi="Arial"/>
          <w:w w:val="105"/>
          <w:sz w:val="19"/>
        </w:rPr>
        <w:t>product</w:t>
      </w:r>
      <w:r>
        <w:rPr>
          <w:rFonts w:ascii="Arial" w:hAnsi="Arial"/>
          <w:spacing w:val="-21"/>
          <w:w w:val="105"/>
          <w:sz w:val="19"/>
        </w:rPr>
        <w:t xml:space="preserve"> </w:t>
      </w:r>
      <w:r>
        <w:rPr>
          <w:rFonts w:ascii="Arial" w:hAnsi="Arial"/>
          <w:w w:val="105"/>
          <w:sz w:val="19"/>
        </w:rPr>
        <w:t>from</w:t>
      </w:r>
      <w:r>
        <w:rPr>
          <w:rFonts w:ascii="Arial" w:hAnsi="Arial"/>
          <w:spacing w:val="-23"/>
          <w:w w:val="105"/>
          <w:sz w:val="19"/>
        </w:rPr>
        <w:t xml:space="preserve"> </w:t>
      </w:r>
      <w:r>
        <w:rPr>
          <w:rFonts w:ascii="Arial" w:hAnsi="Arial"/>
          <w:w w:val="105"/>
          <w:sz w:val="19"/>
        </w:rPr>
        <w:t>the</w:t>
      </w:r>
      <w:r>
        <w:rPr>
          <w:rFonts w:ascii="Arial" w:hAnsi="Arial"/>
          <w:spacing w:val="-23"/>
          <w:w w:val="105"/>
          <w:sz w:val="19"/>
        </w:rPr>
        <w:t xml:space="preserve"> </w:t>
      </w:r>
      <w:r>
        <w:rPr>
          <w:rFonts w:ascii="Arial" w:hAnsi="Arial"/>
          <w:w w:val="105"/>
          <w:sz w:val="19"/>
        </w:rPr>
        <w:t>market</w:t>
      </w:r>
      <w:r>
        <w:rPr>
          <w:rFonts w:ascii="Arial" w:hAnsi="Arial"/>
          <w:spacing w:val="-21"/>
          <w:w w:val="105"/>
          <w:sz w:val="19"/>
        </w:rPr>
        <w:t xml:space="preserve"> </w:t>
      </w:r>
      <w:r>
        <w:rPr>
          <w:rFonts w:ascii="Arial" w:hAnsi="Arial"/>
          <w:w w:val="105"/>
          <w:sz w:val="19"/>
        </w:rPr>
        <w:t>incurs</w:t>
      </w:r>
      <w:r>
        <w:rPr>
          <w:rFonts w:ascii="Arial" w:hAnsi="Arial"/>
          <w:spacing w:val="-22"/>
          <w:w w:val="105"/>
          <w:sz w:val="19"/>
        </w:rPr>
        <w:t xml:space="preserve"> </w:t>
      </w:r>
      <w:r>
        <w:rPr>
          <w:rFonts w:ascii="Arial" w:hAnsi="Arial"/>
          <w:w w:val="105"/>
          <w:sz w:val="19"/>
        </w:rPr>
        <w:t>no</w:t>
      </w:r>
      <w:r>
        <w:rPr>
          <w:rFonts w:ascii="Arial" w:hAnsi="Arial"/>
          <w:spacing w:val="-23"/>
          <w:w w:val="105"/>
          <w:sz w:val="19"/>
        </w:rPr>
        <w:t xml:space="preserve"> </w:t>
      </w:r>
      <w:r>
        <w:rPr>
          <w:rFonts w:ascii="Arial" w:hAnsi="Arial"/>
          <w:w w:val="105"/>
          <w:sz w:val="19"/>
        </w:rPr>
        <w:t>additional</w:t>
      </w:r>
      <w:r>
        <w:rPr>
          <w:rFonts w:ascii="Arial" w:hAnsi="Arial"/>
          <w:spacing w:val="-23"/>
          <w:w w:val="105"/>
          <w:sz w:val="19"/>
        </w:rPr>
        <w:t xml:space="preserve"> </w:t>
      </w:r>
      <w:r>
        <w:rPr>
          <w:rFonts w:ascii="Arial" w:hAnsi="Arial"/>
          <w:w w:val="105"/>
          <w:sz w:val="19"/>
        </w:rPr>
        <w:t>regulatory</w:t>
      </w:r>
      <w:r>
        <w:rPr>
          <w:rFonts w:ascii="Arial" w:hAnsi="Arial"/>
          <w:spacing w:val="-21"/>
          <w:w w:val="105"/>
          <w:sz w:val="19"/>
        </w:rPr>
        <w:t xml:space="preserve"> </w:t>
      </w:r>
      <w:r>
        <w:rPr>
          <w:rFonts w:ascii="Arial" w:hAnsi="Arial"/>
          <w:w w:val="105"/>
          <w:sz w:val="19"/>
        </w:rPr>
        <w:t>burden</w:t>
      </w:r>
      <w:r>
        <w:rPr>
          <w:rFonts w:ascii="Arial" w:hAnsi="Arial"/>
          <w:w w:val="105"/>
          <w:position w:val="7"/>
          <w:sz w:val="11"/>
        </w:rPr>
        <w:t>60</w:t>
      </w:r>
      <w:r>
        <w:rPr>
          <w:rFonts w:ascii="Arial" w:hAnsi="Arial"/>
          <w:spacing w:val="2"/>
          <w:w w:val="105"/>
          <w:position w:val="7"/>
          <w:sz w:val="11"/>
        </w:rPr>
        <w:t xml:space="preserve"> </w:t>
      </w:r>
      <w:r>
        <w:rPr>
          <w:rFonts w:ascii="Arial" w:hAnsi="Arial"/>
          <w:w w:val="105"/>
          <w:sz w:val="19"/>
        </w:rPr>
        <w:t>and</w:t>
      </w:r>
      <w:r>
        <w:rPr>
          <w:rFonts w:ascii="Arial" w:hAnsi="Arial"/>
          <w:spacing w:val="-23"/>
          <w:w w:val="105"/>
          <w:sz w:val="19"/>
        </w:rPr>
        <w:t xml:space="preserve"> </w:t>
      </w:r>
      <w:r>
        <w:rPr>
          <w:rFonts w:ascii="Arial" w:hAnsi="Arial"/>
          <w:w w:val="105"/>
          <w:sz w:val="19"/>
        </w:rPr>
        <w:t>has therefore</w:t>
      </w:r>
      <w:r>
        <w:rPr>
          <w:rFonts w:ascii="Arial" w:hAnsi="Arial"/>
          <w:spacing w:val="-10"/>
          <w:w w:val="105"/>
          <w:sz w:val="19"/>
        </w:rPr>
        <w:t xml:space="preserve"> </w:t>
      </w:r>
      <w:r>
        <w:rPr>
          <w:rFonts w:ascii="Arial" w:hAnsi="Arial"/>
          <w:w w:val="105"/>
          <w:sz w:val="19"/>
        </w:rPr>
        <w:t>been</w:t>
      </w:r>
      <w:r>
        <w:rPr>
          <w:rFonts w:ascii="Arial" w:hAnsi="Arial"/>
          <w:spacing w:val="-13"/>
          <w:w w:val="105"/>
          <w:sz w:val="19"/>
        </w:rPr>
        <w:t xml:space="preserve"> </w:t>
      </w:r>
      <w:r>
        <w:rPr>
          <w:rFonts w:ascii="Arial" w:hAnsi="Arial"/>
          <w:w w:val="105"/>
          <w:sz w:val="19"/>
        </w:rPr>
        <w:t>excluded</w:t>
      </w:r>
      <w:r>
        <w:rPr>
          <w:rFonts w:ascii="Arial" w:hAnsi="Arial"/>
          <w:spacing w:val="-13"/>
          <w:w w:val="105"/>
          <w:sz w:val="19"/>
        </w:rPr>
        <w:t xml:space="preserve"> </w:t>
      </w:r>
      <w:r>
        <w:rPr>
          <w:rFonts w:ascii="Arial" w:hAnsi="Arial"/>
          <w:w w:val="105"/>
          <w:sz w:val="19"/>
        </w:rPr>
        <w:t>from</w:t>
      </w:r>
      <w:r>
        <w:rPr>
          <w:rFonts w:ascii="Arial" w:hAnsi="Arial"/>
          <w:spacing w:val="-11"/>
          <w:w w:val="105"/>
          <w:sz w:val="19"/>
        </w:rPr>
        <w:t xml:space="preserve"> </w:t>
      </w:r>
      <w:r>
        <w:rPr>
          <w:rFonts w:ascii="Arial" w:hAnsi="Arial"/>
          <w:w w:val="105"/>
          <w:sz w:val="19"/>
        </w:rPr>
        <w:t>the</w:t>
      </w:r>
      <w:r>
        <w:rPr>
          <w:rFonts w:ascii="Arial" w:hAnsi="Arial"/>
          <w:spacing w:val="-10"/>
          <w:w w:val="105"/>
          <w:sz w:val="19"/>
        </w:rPr>
        <w:t xml:space="preserve"> </w:t>
      </w:r>
      <w:r>
        <w:rPr>
          <w:rFonts w:ascii="Arial" w:hAnsi="Arial"/>
          <w:w w:val="105"/>
          <w:sz w:val="19"/>
        </w:rPr>
        <w:t>regulatory</w:t>
      </w:r>
      <w:r>
        <w:rPr>
          <w:rFonts w:ascii="Arial" w:hAnsi="Arial"/>
          <w:spacing w:val="-11"/>
          <w:w w:val="105"/>
          <w:sz w:val="19"/>
        </w:rPr>
        <w:t xml:space="preserve"> </w:t>
      </w:r>
      <w:r>
        <w:rPr>
          <w:rFonts w:ascii="Arial" w:hAnsi="Arial"/>
          <w:w w:val="105"/>
          <w:sz w:val="19"/>
        </w:rPr>
        <w:t>costing.</w:t>
      </w:r>
    </w:p>
    <w:p w:rsidR="007D76BB" w:rsidRDefault="00D70D28">
      <w:pPr>
        <w:pStyle w:val="ListParagraph"/>
        <w:numPr>
          <w:ilvl w:val="1"/>
          <w:numId w:val="5"/>
        </w:numPr>
        <w:tabs>
          <w:tab w:val="left" w:pos="766"/>
        </w:tabs>
        <w:spacing w:before="77" w:line="266" w:lineRule="auto"/>
        <w:ind w:right="1041"/>
        <w:rPr>
          <w:rFonts w:ascii="Arial" w:hAnsi="Arial"/>
          <w:sz w:val="19"/>
        </w:rPr>
      </w:pPr>
      <w:r>
        <w:rPr>
          <w:rFonts w:ascii="Arial" w:hAnsi="Arial"/>
          <w:w w:val="105"/>
          <w:sz w:val="19"/>
        </w:rPr>
        <w:t>New</w:t>
      </w:r>
      <w:r>
        <w:rPr>
          <w:rFonts w:ascii="Arial" w:hAnsi="Arial"/>
          <w:spacing w:val="-17"/>
          <w:w w:val="105"/>
          <w:sz w:val="19"/>
        </w:rPr>
        <w:t xml:space="preserve"> </w:t>
      </w:r>
      <w:r>
        <w:rPr>
          <w:rFonts w:ascii="Arial" w:hAnsi="Arial"/>
          <w:w w:val="105"/>
          <w:sz w:val="19"/>
        </w:rPr>
        <w:t>listings</w:t>
      </w:r>
      <w:r>
        <w:rPr>
          <w:rFonts w:ascii="Arial" w:hAnsi="Arial"/>
          <w:spacing w:val="-18"/>
          <w:w w:val="105"/>
          <w:sz w:val="19"/>
        </w:rPr>
        <w:t xml:space="preserve"> </w:t>
      </w:r>
      <w:r>
        <w:rPr>
          <w:rFonts w:ascii="Arial" w:hAnsi="Arial"/>
          <w:w w:val="105"/>
          <w:sz w:val="19"/>
        </w:rPr>
        <w:t>in</w:t>
      </w:r>
      <w:r>
        <w:rPr>
          <w:rFonts w:ascii="Arial" w:hAnsi="Arial"/>
          <w:spacing w:val="-19"/>
          <w:w w:val="105"/>
          <w:sz w:val="19"/>
        </w:rPr>
        <w:t xml:space="preserve"> </w:t>
      </w:r>
      <w:r>
        <w:rPr>
          <w:rFonts w:ascii="Arial" w:hAnsi="Arial"/>
          <w:w w:val="105"/>
          <w:sz w:val="19"/>
        </w:rPr>
        <w:t>the</w:t>
      </w:r>
      <w:r>
        <w:rPr>
          <w:rFonts w:ascii="Arial" w:hAnsi="Arial"/>
          <w:spacing w:val="-18"/>
          <w:w w:val="105"/>
          <w:sz w:val="19"/>
        </w:rPr>
        <w:t xml:space="preserve"> </w:t>
      </w:r>
      <w:r>
        <w:rPr>
          <w:rFonts w:ascii="Arial" w:hAnsi="Arial"/>
          <w:w w:val="105"/>
          <w:sz w:val="19"/>
        </w:rPr>
        <w:t>ARTG</w:t>
      </w:r>
      <w:r>
        <w:rPr>
          <w:rFonts w:ascii="Arial" w:hAnsi="Arial"/>
          <w:spacing w:val="-18"/>
          <w:w w:val="105"/>
          <w:sz w:val="19"/>
        </w:rPr>
        <w:t xml:space="preserve"> </w:t>
      </w:r>
      <w:r>
        <w:rPr>
          <w:rFonts w:ascii="Arial" w:hAnsi="Arial"/>
          <w:w w:val="105"/>
          <w:sz w:val="19"/>
        </w:rPr>
        <w:t>for</w:t>
      </w:r>
      <w:r>
        <w:rPr>
          <w:rFonts w:ascii="Arial" w:hAnsi="Arial"/>
          <w:spacing w:val="-19"/>
          <w:w w:val="105"/>
          <w:sz w:val="19"/>
        </w:rPr>
        <w:t xml:space="preserve"> </w:t>
      </w:r>
      <w:r>
        <w:rPr>
          <w:rFonts w:ascii="Arial" w:hAnsi="Arial"/>
          <w:w w:val="105"/>
          <w:sz w:val="19"/>
        </w:rPr>
        <w:t>affected</w:t>
      </w:r>
      <w:r>
        <w:rPr>
          <w:rFonts w:ascii="Arial" w:hAnsi="Arial"/>
          <w:spacing w:val="-19"/>
          <w:w w:val="105"/>
          <w:sz w:val="19"/>
        </w:rPr>
        <w:t xml:space="preserve"> </w:t>
      </w:r>
      <w:r>
        <w:rPr>
          <w:rFonts w:ascii="Arial" w:hAnsi="Arial"/>
          <w:w w:val="105"/>
          <w:sz w:val="19"/>
        </w:rPr>
        <w:t>sports</w:t>
      </w:r>
      <w:r>
        <w:rPr>
          <w:rFonts w:ascii="Arial" w:hAnsi="Arial"/>
          <w:spacing w:val="-17"/>
          <w:w w:val="105"/>
          <w:sz w:val="19"/>
        </w:rPr>
        <w:t xml:space="preserve"> </w:t>
      </w:r>
      <w:r>
        <w:rPr>
          <w:rFonts w:ascii="Arial" w:hAnsi="Arial"/>
          <w:w w:val="105"/>
          <w:sz w:val="19"/>
        </w:rPr>
        <w:t>supplements</w:t>
      </w:r>
      <w:r>
        <w:rPr>
          <w:rFonts w:ascii="Arial" w:hAnsi="Arial"/>
          <w:spacing w:val="-19"/>
          <w:w w:val="105"/>
          <w:sz w:val="19"/>
        </w:rPr>
        <w:t xml:space="preserve"> </w:t>
      </w:r>
      <w:r>
        <w:rPr>
          <w:rFonts w:ascii="Arial" w:hAnsi="Arial"/>
          <w:w w:val="105"/>
          <w:sz w:val="19"/>
        </w:rPr>
        <w:t>are</w:t>
      </w:r>
      <w:r>
        <w:rPr>
          <w:rFonts w:ascii="Arial" w:hAnsi="Arial"/>
          <w:spacing w:val="-19"/>
          <w:w w:val="105"/>
          <w:sz w:val="19"/>
        </w:rPr>
        <w:t xml:space="preserve"> </w:t>
      </w:r>
      <w:r>
        <w:rPr>
          <w:rFonts w:ascii="Arial" w:hAnsi="Arial"/>
          <w:w w:val="105"/>
          <w:sz w:val="19"/>
        </w:rPr>
        <w:t>likely</w:t>
      </w:r>
      <w:r>
        <w:rPr>
          <w:rFonts w:ascii="Arial" w:hAnsi="Arial"/>
          <w:spacing w:val="-17"/>
          <w:w w:val="105"/>
          <w:sz w:val="19"/>
        </w:rPr>
        <w:t xml:space="preserve"> </w:t>
      </w:r>
      <w:r>
        <w:rPr>
          <w:rFonts w:ascii="Arial" w:hAnsi="Arial"/>
          <w:w w:val="105"/>
          <w:sz w:val="19"/>
        </w:rPr>
        <w:t>to</w:t>
      </w:r>
      <w:r>
        <w:rPr>
          <w:rFonts w:ascii="Arial" w:hAnsi="Arial"/>
          <w:spacing w:val="-19"/>
          <w:w w:val="105"/>
          <w:sz w:val="19"/>
        </w:rPr>
        <w:t xml:space="preserve"> </w:t>
      </w:r>
      <w:r>
        <w:rPr>
          <w:rFonts w:ascii="Arial" w:hAnsi="Arial"/>
          <w:w w:val="105"/>
          <w:sz w:val="19"/>
        </w:rPr>
        <w:t>occur</w:t>
      </w:r>
      <w:r>
        <w:rPr>
          <w:rFonts w:ascii="Arial" w:hAnsi="Arial"/>
          <w:spacing w:val="-17"/>
          <w:w w:val="105"/>
          <w:sz w:val="19"/>
        </w:rPr>
        <w:t xml:space="preserve"> </w:t>
      </w:r>
      <w:r>
        <w:rPr>
          <w:rFonts w:ascii="Arial" w:hAnsi="Arial"/>
          <w:w w:val="105"/>
          <w:sz w:val="19"/>
        </w:rPr>
        <w:t>in</w:t>
      </w:r>
      <w:r>
        <w:rPr>
          <w:rFonts w:ascii="Arial" w:hAnsi="Arial"/>
          <w:spacing w:val="-16"/>
          <w:w w:val="105"/>
          <w:sz w:val="19"/>
        </w:rPr>
        <w:t xml:space="preserve"> </w:t>
      </w:r>
      <w:r>
        <w:rPr>
          <w:rFonts w:ascii="Arial" w:hAnsi="Arial"/>
          <w:w w:val="105"/>
          <w:sz w:val="19"/>
        </w:rPr>
        <w:t>the</w:t>
      </w:r>
      <w:r>
        <w:rPr>
          <w:rFonts w:ascii="Arial" w:hAnsi="Arial"/>
          <w:spacing w:val="-15"/>
          <w:w w:val="105"/>
          <w:sz w:val="19"/>
        </w:rPr>
        <w:t xml:space="preserve"> </w:t>
      </w:r>
      <w:r>
        <w:rPr>
          <w:rFonts w:ascii="Arial" w:hAnsi="Arial"/>
          <w:w w:val="105"/>
          <w:sz w:val="19"/>
        </w:rPr>
        <w:t>latter</w:t>
      </w:r>
      <w:r>
        <w:rPr>
          <w:rFonts w:ascii="Arial" w:hAnsi="Arial"/>
          <w:spacing w:val="-17"/>
          <w:w w:val="105"/>
          <w:sz w:val="19"/>
        </w:rPr>
        <w:t xml:space="preserve"> </w:t>
      </w:r>
      <w:r>
        <w:rPr>
          <w:rFonts w:ascii="Arial" w:hAnsi="Arial"/>
          <w:w w:val="105"/>
          <w:sz w:val="19"/>
        </w:rPr>
        <w:t>part</w:t>
      </w:r>
      <w:r>
        <w:rPr>
          <w:rFonts w:ascii="Arial" w:hAnsi="Arial"/>
          <w:spacing w:val="-18"/>
          <w:w w:val="105"/>
          <w:sz w:val="19"/>
        </w:rPr>
        <w:t xml:space="preserve"> </w:t>
      </w:r>
      <w:r>
        <w:rPr>
          <w:rFonts w:ascii="Arial" w:hAnsi="Arial"/>
          <w:w w:val="105"/>
          <w:sz w:val="19"/>
        </w:rPr>
        <w:t>of the</w:t>
      </w:r>
      <w:r>
        <w:rPr>
          <w:rFonts w:ascii="Arial" w:hAnsi="Arial"/>
          <w:spacing w:val="-13"/>
          <w:w w:val="105"/>
          <w:sz w:val="19"/>
        </w:rPr>
        <w:t xml:space="preserve"> </w:t>
      </w:r>
      <w:r>
        <w:rPr>
          <w:rFonts w:ascii="Arial" w:hAnsi="Arial"/>
          <w:w w:val="105"/>
          <w:sz w:val="19"/>
        </w:rPr>
        <w:t>expected</w:t>
      </w:r>
      <w:r>
        <w:rPr>
          <w:rFonts w:ascii="Arial" w:hAnsi="Arial"/>
          <w:spacing w:val="-13"/>
          <w:w w:val="105"/>
          <w:sz w:val="19"/>
        </w:rPr>
        <w:t xml:space="preserve"> </w:t>
      </w:r>
      <w:r>
        <w:rPr>
          <w:rFonts w:ascii="Arial" w:hAnsi="Arial"/>
          <w:w w:val="105"/>
          <w:sz w:val="19"/>
        </w:rPr>
        <w:t>transition</w:t>
      </w:r>
      <w:r>
        <w:rPr>
          <w:rFonts w:ascii="Arial" w:hAnsi="Arial"/>
          <w:spacing w:val="-10"/>
          <w:w w:val="105"/>
          <w:sz w:val="19"/>
        </w:rPr>
        <w:t xml:space="preserve"> </w:t>
      </w:r>
      <w:r>
        <w:rPr>
          <w:rFonts w:ascii="Arial" w:hAnsi="Arial"/>
          <w:w w:val="105"/>
          <w:sz w:val="19"/>
        </w:rPr>
        <w:t>period</w:t>
      </w:r>
      <w:r>
        <w:rPr>
          <w:rFonts w:ascii="Arial" w:hAnsi="Arial"/>
          <w:spacing w:val="-10"/>
          <w:w w:val="105"/>
          <w:sz w:val="19"/>
        </w:rPr>
        <w:t xml:space="preserve"> </w:t>
      </w:r>
      <w:r>
        <w:rPr>
          <w:rFonts w:ascii="Arial" w:hAnsi="Arial"/>
          <w:w w:val="105"/>
          <w:sz w:val="19"/>
        </w:rPr>
        <w:t>(i.e.</w:t>
      </w:r>
      <w:r>
        <w:rPr>
          <w:rFonts w:ascii="Arial" w:hAnsi="Arial"/>
          <w:spacing w:val="-11"/>
          <w:w w:val="105"/>
          <w:sz w:val="19"/>
        </w:rPr>
        <w:t xml:space="preserve"> </w:t>
      </w:r>
      <w:r>
        <w:rPr>
          <w:rFonts w:ascii="Arial" w:hAnsi="Arial"/>
          <w:w w:val="105"/>
          <w:sz w:val="19"/>
        </w:rPr>
        <w:t>Years</w:t>
      </w:r>
      <w:r>
        <w:rPr>
          <w:rFonts w:ascii="Arial" w:hAnsi="Arial"/>
          <w:spacing w:val="-12"/>
          <w:w w:val="105"/>
          <w:sz w:val="19"/>
        </w:rPr>
        <w:t xml:space="preserve"> </w:t>
      </w:r>
      <w:r>
        <w:rPr>
          <w:rFonts w:ascii="Arial" w:hAnsi="Arial"/>
          <w:w w:val="105"/>
          <w:sz w:val="19"/>
        </w:rPr>
        <w:t>2-3).</w:t>
      </w:r>
    </w:p>
    <w:p w:rsidR="007D76BB" w:rsidRDefault="00D70D28">
      <w:pPr>
        <w:pStyle w:val="ListParagraph"/>
        <w:numPr>
          <w:ilvl w:val="1"/>
          <w:numId w:val="5"/>
        </w:numPr>
        <w:tabs>
          <w:tab w:val="left" w:pos="766"/>
        </w:tabs>
        <w:spacing w:before="77" w:line="266" w:lineRule="auto"/>
        <w:ind w:right="1424"/>
        <w:rPr>
          <w:rFonts w:ascii="Arial" w:hAnsi="Arial"/>
          <w:sz w:val="19"/>
        </w:rPr>
      </w:pPr>
      <w:r>
        <w:rPr>
          <w:rFonts w:ascii="Arial" w:hAnsi="Arial"/>
          <w:w w:val="105"/>
          <w:sz w:val="19"/>
        </w:rPr>
        <w:t>The</w:t>
      </w:r>
      <w:r>
        <w:rPr>
          <w:rFonts w:ascii="Arial" w:hAnsi="Arial"/>
          <w:spacing w:val="-25"/>
          <w:w w:val="105"/>
          <w:sz w:val="19"/>
        </w:rPr>
        <w:t xml:space="preserve"> </w:t>
      </w:r>
      <w:r>
        <w:rPr>
          <w:rFonts w:ascii="Arial" w:hAnsi="Arial"/>
          <w:w w:val="105"/>
          <w:sz w:val="19"/>
        </w:rPr>
        <w:t>ongoing</w:t>
      </w:r>
      <w:r>
        <w:rPr>
          <w:rFonts w:ascii="Arial" w:hAnsi="Arial"/>
          <w:spacing w:val="-26"/>
          <w:w w:val="105"/>
          <w:sz w:val="19"/>
        </w:rPr>
        <w:t xml:space="preserve"> </w:t>
      </w:r>
      <w:r>
        <w:rPr>
          <w:rFonts w:ascii="Arial" w:hAnsi="Arial"/>
          <w:w w:val="105"/>
          <w:sz w:val="19"/>
        </w:rPr>
        <w:t>requirements</w:t>
      </w:r>
      <w:r>
        <w:rPr>
          <w:rFonts w:ascii="Arial" w:hAnsi="Arial"/>
          <w:spacing w:val="-27"/>
          <w:w w:val="105"/>
          <w:sz w:val="19"/>
        </w:rPr>
        <w:t xml:space="preserve"> </w:t>
      </w:r>
      <w:r>
        <w:rPr>
          <w:rFonts w:ascii="Arial" w:hAnsi="Arial"/>
          <w:w w:val="105"/>
          <w:sz w:val="19"/>
        </w:rPr>
        <w:t>to</w:t>
      </w:r>
      <w:r>
        <w:rPr>
          <w:rFonts w:ascii="Arial" w:hAnsi="Arial"/>
          <w:spacing w:val="-25"/>
          <w:w w:val="105"/>
          <w:sz w:val="19"/>
        </w:rPr>
        <w:t xml:space="preserve"> </w:t>
      </w:r>
      <w:r>
        <w:rPr>
          <w:rFonts w:ascii="Arial" w:hAnsi="Arial"/>
          <w:w w:val="105"/>
          <w:sz w:val="19"/>
        </w:rPr>
        <w:t>maintain</w:t>
      </w:r>
      <w:r>
        <w:rPr>
          <w:rFonts w:ascii="Arial" w:hAnsi="Arial"/>
          <w:spacing w:val="-26"/>
          <w:w w:val="105"/>
          <w:sz w:val="19"/>
        </w:rPr>
        <w:t xml:space="preserve"> </w:t>
      </w:r>
      <w:r>
        <w:rPr>
          <w:rFonts w:ascii="Arial" w:hAnsi="Arial"/>
          <w:w w:val="105"/>
          <w:sz w:val="19"/>
        </w:rPr>
        <w:t>an</w:t>
      </w:r>
      <w:r>
        <w:rPr>
          <w:rFonts w:ascii="Arial" w:hAnsi="Arial"/>
          <w:spacing w:val="-26"/>
          <w:w w:val="105"/>
          <w:sz w:val="19"/>
        </w:rPr>
        <w:t xml:space="preserve"> </w:t>
      </w:r>
      <w:r>
        <w:rPr>
          <w:rFonts w:ascii="Arial" w:hAnsi="Arial"/>
          <w:w w:val="105"/>
          <w:sz w:val="19"/>
        </w:rPr>
        <w:t>ARTG</w:t>
      </w:r>
      <w:r>
        <w:rPr>
          <w:rFonts w:ascii="Arial" w:hAnsi="Arial"/>
          <w:spacing w:val="-26"/>
          <w:w w:val="105"/>
          <w:sz w:val="19"/>
        </w:rPr>
        <w:t xml:space="preserve"> </w:t>
      </w:r>
      <w:r>
        <w:rPr>
          <w:rFonts w:ascii="Arial" w:hAnsi="Arial"/>
          <w:w w:val="105"/>
          <w:sz w:val="19"/>
        </w:rPr>
        <w:t>listing</w:t>
      </w:r>
      <w:r>
        <w:rPr>
          <w:rFonts w:ascii="Arial" w:hAnsi="Arial"/>
          <w:spacing w:val="-24"/>
          <w:w w:val="105"/>
          <w:sz w:val="19"/>
        </w:rPr>
        <w:t xml:space="preserve"> </w:t>
      </w:r>
      <w:r>
        <w:rPr>
          <w:rFonts w:ascii="Arial" w:hAnsi="Arial"/>
          <w:w w:val="105"/>
          <w:sz w:val="19"/>
        </w:rPr>
        <w:t>(see</w:t>
      </w:r>
      <w:r>
        <w:rPr>
          <w:rFonts w:ascii="Arial" w:hAnsi="Arial"/>
          <w:spacing w:val="-25"/>
          <w:w w:val="105"/>
          <w:sz w:val="19"/>
        </w:rPr>
        <w:t xml:space="preserve"> </w:t>
      </w:r>
      <w:r>
        <w:rPr>
          <w:rFonts w:ascii="Arial" w:hAnsi="Arial"/>
          <w:w w:val="105"/>
          <w:sz w:val="19"/>
        </w:rPr>
        <w:t>Table</w:t>
      </w:r>
      <w:r>
        <w:rPr>
          <w:rFonts w:ascii="Arial" w:hAnsi="Arial"/>
          <w:spacing w:val="-24"/>
          <w:w w:val="105"/>
          <w:sz w:val="19"/>
        </w:rPr>
        <w:t xml:space="preserve"> </w:t>
      </w:r>
      <w:r>
        <w:rPr>
          <w:rFonts w:ascii="Arial" w:hAnsi="Arial"/>
          <w:w w:val="105"/>
          <w:sz w:val="19"/>
        </w:rPr>
        <w:t>8)</w:t>
      </w:r>
      <w:r>
        <w:rPr>
          <w:rFonts w:ascii="Arial" w:hAnsi="Arial"/>
          <w:spacing w:val="-25"/>
          <w:w w:val="105"/>
          <w:sz w:val="19"/>
        </w:rPr>
        <w:t xml:space="preserve"> </w:t>
      </w:r>
      <w:r>
        <w:rPr>
          <w:rFonts w:ascii="Arial" w:hAnsi="Arial"/>
          <w:w w:val="105"/>
          <w:sz w:val="19"/>
        </w:rPr>
        <w:t>apply</w:t>
      </w:r>
      <w:r>
        <w:rPr>
          <w:rFonts w:ascii="Arial" w:hAnsi="Arial"/>
          <w:spacing w:val="-27"/>
          <w:w w:val="105"/>
          <w:sz w:val="19"/>
        </w:rPr>
        <w:t xml:space="preserve"> </w:t>
      </w:r>
      <w:r>
        <w:rPr>
          <w:rFonts w:ascii="Arial" w:hAnsi="Arial"/>
          <w:w w:val="105"/>
          <w:sz w:val="19"/>
        </w:rPr>
        <w:t>from</w:t>
      </w:r>
      <w:r>
        <w:rPr>
          <w:rFonts w:ascii="Arial" w:hAnsi="Arial"/>
          <w:spacing w:val="-25"/>
          <w:w w:val="105"/>
          <w:sz w:val="19"/>
        </w:rPr>
        <w:t xml:space="preserve"> </w:t>
      </w:r>
      <w:r>
        <w:rPr>
          <w:rFonts w:ascii="Arial" w:hAnsi="Arial"/>
          <w:w w:val="105"/>
          <w:sz w:val="19"/>
        </w:rPr>
        <w:t>the</w:t>
      </w:r>
      <w:r>
        <w:rPr>
          <w:rFonts w:ascii="Arial" w:hAnsi="Arial"/>
          <w:spacing w:val="-19"/>
          <w:w w:val="105"/>
          <w:sz w:val="19"/>
        </w:rPr>
        <w:t xml:space="preserve"> </w:t>
      </w:r>
      <w:r>
        <w:rPr>
          <w:rFonts w:ascii="Arial" w:hAnsi="Arial"/>
          <w:w w:val="105"/>
          <w:sz w:val="19"/>
        </w:rPr>
        <w:t>year</w:t>
      </w:r>
      <w:r>
        <w:rPr>
          <w:rFonts w:ascii="Arial" w:hAnsi="Arial"/>
          <w:spacing w:val="-25"/>
          <w:w w:val="105"/>
          <w:sz w:val="19"/>
        </w:rPr>
        <w:t xml:space="preserve"> </w:t>
      </w:r>
      <w:r>
        <w:rPr>
          <w:rFonts w:ascii="Arial" w:hAnsi="Arial"/>
          <w:w w:val="105"/>
          <w:sz w:val="19"/>
        </w:rPr>
        <w:t>of listing</w:t>
      </w:r>
      <w:r>
        <w:rPr>
          <w:rFonts w:ascii="Arial" w:hAnsi="Arial"/>
          <w:spacing w:val="-12"/>
          <w:w w:val="105"/>
          <w:sz w:val="19"/>
        </w:rPr>
        <w:t xml:space="preserve"> </w:t>
      </w:r>
      <w:r>
        <w:rPr>
          <w:rFonts w:ascii="Arial" w:hAnsi="Arial"/>
          <w:w w:val="105"/>
          <w:sz w:val="19"/>
        </w:rPr>
        <w:t>(less</w:t>
      </w:r>
      <w:r>
        <w:rPr>
          <w:rFonts w:ascii="Arial" w:hAnsi="Arial"/>
          <w:spacing w:val="-13"/>
          <w:w w:val="105"/>
          <w:sz w:val="19"/>
        </w:rPr>
        <w:t xml:space="preserve"> </w:t>
      </w:r>
      <w:r>
        <w:rPr>
          <w:rFonts w:ascii="Arial" w:hAnsi="Arial"/>
          <w:w w:val="105"/>
          <w:sz w:val="19"/>
        </w:rPr>
        <w:t>the</w:t>
      </w:r>
      <w:r>
        <w:rPr>
          <w:rFonts w:ascii="Arial" w:hAnsi="Arial"/>
          <w:spacing w:val="-13"/>
          <w:w w:val="105"/>
          <w:sz w:val="19"/>
        </w:rPr>
        <w:t xml:space="preserve"> </w:t>
      </w:r>
      <w:r>
        <w:rPr>
          <w:rFonts w:ascii="Arial" w:hAnsi="Arial"/>
          <w:w w:val="105"/>
          <w:sz w:val="19"/>
        </w:rPr>
        <w:t>‘fees</w:t>
      </w:r>
      <w:r>
        <w:rPr>
          <w:rFonts w:ascii="Arial" w:hAnsi="Arial"/>
          <w:spacing w:val="-13"/>
          <w:w w:val="105"/>
          <w:sz w:val="19"/>
        </w:rPr>
        <w:t xml:space="preserve"> </w:t>
      </w:r>
      <w:r>
        <w:rPr>
          <w:rFonts w:ascii="Arial" w:hAnsi="Arial"/>
          <w:w w:val="105"/>
          <w:sz w:val="19"/>
        </w:rPr>
        <w:t>(ongoing)’</w:t>
      </w:r>
      <w:r>
        <w:rPr>
          <w:rFonts w:ascii="Arial" w:hAnsi="Arial"/>
          <w:spacing w:val="-11"/>
          <w:w w:val="105"/>
          <w:sz w:val="19"/>
        </w:rPr>
        <w:t xml:space="preserve"> </w:t>
      </w:r>
      <w:r>
        <w:rPr>
          <w:rFonts w:ascii="Arial" w:hAnsi="Arial"/>
          <w:w w:val="105"/>
          <w:sz w:val="19"/>
        </w:rPr>
        <w:t>for</w:t>
      </w:r>
      <w:r>
        <w:rPr>
          <w:rFonts w:ascii="Arial" w:hAnsi="Arial"/>
          <w:spacing w:val="-11"/>
          <w:w w:val="105"/>
          <w:sz w:val="19"/>
        </w:rPr>
        <w:t xml:space="preserve"> </w:t>
      </w:r>
      <w:r>
        <w:rPr>
          <w:rFonts w:ascii="Arial" w:hAnsi="Arial"/>
          <w:w w:val="105"/>
          <w:sz w:val="19"/>
        </w:rPr>
        <w:t>the</w:t>
      </w:r>
      <w:r>
        <w:rPr>
          <w:rFonts w:ascii="Arial" w:hAnsi="Arial"/>
          <w:spacing w:val="-12"/>
          <w:w w:val="105"/>
          <w:sz w:val="19"/>
        </w:rPr>
        <w:t xml:space="preserve"> </w:t>
      </w:r>
      <w:r>
        <w:rPr>
          <w:rFonts w:ascii="Arial" w:hAnsi="Arial"/>
          <w:w w:val="105"/>
          <w:sz w:val="19"/>
        </w:rPr>
        <w:t>initial</w:t>
      </w:r>
      <w:r>
        <w:rPr>
          <w:rFonts w:ascii="Arial" w:hAnsi="Arial"/>
          <w:spacing w:val="-10"/>
          <w:w w:val="105"/>
          <w:sz w:val="19"/>
        </w:rPr>
        <w:t xml:space="preserve"> </w:t>
      </w:r>
      <w:r>
        <w:rPr>
          <w:rFonts w:ascii="Arial" w:hAnsi="Arial"/>
          <w:w w:val="105"/>
          <w:sz w:val="19"/>
        </w:rPr>
        <w:t>year</w:t>
      </w:r>
      <w:r>
        <w:rPr>
          <w:rFonts w:ascii="Arial" w:hAnsi="Arial"/>
          <w:spacing w:val="-11"/>
          <w:w w:val="105"/>
          <w:sz w:val="19"/>
        </w:rPr>
        <w:t xml:space="preserve"> </w:t>
      </w:r>
      <w:r>
        <w:rPr>
          <w:rFonts w:ascii="Arial" w:hAnsi="Arial"/>
          <w:w w:val="105"/>
          <w:sz w:val="19"/>
        </w:rPr>
        <w:t>of</w:t>
      </w:r>
      <w:r>
        <w:rPr>
          <w:rFonts w:ascii="Arial" w:hAnsi="Arial"/>
          <w:spacing w:val="-14"/>
          <w:w w:val="105"/>
          <w:sz w:val="19"/>
        </w:rPr>
        <w:t xml:space="preserve"> </w:t>
      </w:r>
      <w:r>
        <w:rPr>
          <w:rFonts w:ascii="Arial" w:hAnsi="Arial"/>
          <w:w w:val="105"/>
          <w:sz w:val="19"/>
        </w:rPr>
        <w:t>listing).</w:t>
      </w:r>
    </w:p>
    <w:p w:rsidR="007D76BB" w:rsidRDefault="00D70D28">
      <w:pPr>
        <w:spacing w:before="67"/>
        <w:ind w:left="482"/>
        <w:rPr>
          <w:rFonts w:ascii="Arial"/>
          <w:i/>
          <w:sz w:val="20"/>
        </w:rPr>
      </w:pPr>
      <w:r>
        <w:rPr>
          <w:rFonts w:ascii="Arial"/>
          <w:i/>
          <w:sz w:val="20"/>
        </w:rPr>
        <w:t>Inputs</w:t>
      </w:r>
    </w:p>
    <w:p w:rsidR="007D76BB" w:rsidRDefault="00D70D28">
      <w:pPr>
        <w:pStyle w:val="ListParagraph"/>
        <w:numPr>
          <w:ilvl w:val="1"/>
          <w:numId w:val="5"/>
        </w:numPr>
        <w:tabs>
          <w:tab w:val="left" w:pos="766"/>
        </w:tabs>
        <w:spacing w:before="90" w:line="261" w:lineRule="auto"/>
        <w:ind w:right="1632"/>
        <w:rPr>
          <w:rFonts w:ascii="Arial" w:hAnsi="Arial"/>
          <w:sz w:val="19"/>
        </w:rPr>
      </w:pPr>
      <w:r>
        <w:rPr>
          <w:rFonts w:ascii="Arial" w:hAnsi="Arial"/>
          <w:w w:val="105"/>
          <w:sz w:val="19"/>
        </w:rPr>
        <w:t>Number</w:t>
      </w:r>
      <w:r>
        <w:rPr>
          <w:rFonts w:ascii="Arial" w:hAnsi="Arial"/>
          <w:spacing w:val="-21"/>
          <w:w w:val="105"/>
          <w:sz w:val="19"/>
        </w:rPr>
        <w:t xml:space="preserve"> </w:t>
      </w:r>
      <w:r>
        <w:rPr>
          <w:rFonts w:ascii="Arial" w:hAnsi="Arial"/>
          <w:w w:val="105"/>
          <w:sz w:val="19"/>
        </w:rPr>
        <w:t>of</w:t>
      </w:r>
      <w:r>
        <w:rPr>
          <w:rFonts w:ascii="Arial" w:hAnsi="Arial"/>
          <w:spacing w:val="-21"/>
          <w:w w:val="105"/>
          <w:sz w:val="19"/>
        </w:rPr>
        <w:t xml:space="preserve"> </w:t>
      </w:r>
      <w:r>
        <w:rPr>
          <w:rFonts w:ascii="Arial" w:hAnsi="Arial"/>
          <w:w w:val="105"/>
          <w:sz w:val="19"/>
        </w:rPr>
        <w:t>products</w:t>
      </w:r>
      <w:r>
        <w:rPr>
          <w:rFonts w:ascii="Arial" w:hAnsi="Arial"/>
          <w:spacing w:val="-20"/>
          <w:w w:val="105"/>
          <w:sz w:val="19"/>
        </w:rPr>
        <w:t xml:space="preserve"> </w:t>
      </w:r>
      <w:r>
        <w:rPr>
          <w:rFonts w:ascii="Arial" w:hAnsi="Arial"/>
          <w:w w:val="105"/>
          <w:sz w:val="19"/>
        </w:rPr>
        <w:t>likely</w:t>
      </w:r>
      <w:r>
        <w:rPr>
          <w:rFonts w:ascii="Arial" w:hAnsi="Arial"/>
          <w:spacing w:val="-23"/>
          <w:w w:val="105"/>
          <w:sz w:val="19"/>
        </w:rPr>
        <w:t xml:space="preserve"> </w:t>
      </w:r>
      <w:r>
        <w:rPr>
          <w:rFonts w:ascii="Arial" w:hAnsi="Arial"/>
          <w:w w:val="105"/>
          <w:sz w:val="19"/>
        </w:rPr>
        <w:t>to</w:t>
      </w:r>
      <w:r>
        <w:rPr>
          <w:rFonts w:ascii="Arial" w:hAnsi="Arial"/>
          <w:spacing w:val="-21"/>
          <w:w w:val="105"/>
          <w:sz w:val="19"/>
        </w:rPr>
        <w:t xml:space="preserve"> </w:t>
      </w:r>
      <w:r>
        <w:rPr>
          <w:rFonts w:ascii="Arial" w:hAnsi="Arial"/>
          <w:w w:val="105"/>
          <w:sz w:val="19"/>
        </w:rPr>
        <w:t>be</w:t>
      </w:r>
      <w:r>
        <w:rPr>
          <w:rFonts w:ascii="Arial" w:hAnsi="Arial"/>
          <w:spacing w:val="-20"/>
          <w:w w:val="105"/>
          <w:sz w:val="19"/>
        </w:rPr>
        <w:t xml:space="preserve"> </w:t>
      </w:r>
      <w:r>
        <w:rPr>
          <w:rFonts w:ascii="Arial" w:hAnsi="Arial"/>
          <w:w w:val="105"/>
          <w:sz w:val="19"/>
        </w:rPr>
        <w:t>reformulated</w:t>
      </w:r>
      <w:r>
        <w:rPr>
          <w:rFonts w:ascii="Arial" w:hAnsi="Arial"/>
          <w:spacing w:val="-22"/>
          <w:w w:val="105"/>
          <w:sz w:val="19"/>
        </w:rPr>
        <w:t xml:space="preserve"> </w:t>
      </w:r>
      <w:r>
        <w:rPr>
          <w:rFonts w:ascii="Arial" w:hAnsi="Arial"/>
          <w:i/>
          <w:w w:val="105"/>
          <w:sz w:val="20"/>
        </w:rPr>
        <w:t>(current</w:t>
      </w:r>
      <w:r>
        <w:rPr>
          <w:rFonts w:ascii="Arial" w:hAnsi="Arial"/>
          <w:i/>
          <w:spacing w:val="-25"/>
          <w:w w:val="105"/>
          <w:sz w:val="20"/>
        </w:rPr>
        <w:t xml:space="preserve"> </w:t>
      </w:r>
      <w:r>
        <w:rPr>
          <w:rFonts w:ascii="Arial" w:hAnsi="Arial"/>
          <w:i/>
          <w:w w:val="105"/>
          <w:sz w:val="20"/>
        </w:rPr>
        <w:t>population)</w:t>
      </w:r>
      <w:r>
        <w:rPr>
          <w:rFonts w:ascii="Arial" w:hAnsi="Arial"/>
          <w:i/>
          <w:spacing w:val="-22"/>
          <w:w w:val="105"/>
          <w:sz w:val="20"/>
        </w:rPr>
        <w:t xml:space="preserve"> </w:t>
      </w:r>
      <w:r>
        <w:rPr>
          <w:rFonts w:ascii="Arial" w:hAnsi="Arial"/>
          <w:w w:val="105"/>
          <w:sz w:val="19"/>
        </w:rPr>
        <w:t>=</w:t>
      </w:r>
      <w:r>
        <w:rPr>
          <w:rFonts w:ascii="Arial" w:hAnsi="Arial"/>
          <w:spacing w:val="-21"/>
          <w:w w:val="105"/>
          <w:sz w:val="19"/>
        </w:rPr>
        <w:t xml:space="preserve"> </w:t>
      </w:r>
      <w:r>
        <w:rPr>
          <w:rFonts w:ascii="Arial" w:hAnsi="Arial"/>
          <w:w w:val="105"/>
          <w:sz w:val="19"/>
        </w:rPr>
        <w:t>93</w:t>
      </w:r>
      <w:r>
        <w:rPr>
          <w:rFonts w:ascii="Arial" w:hAnsi="Arial"/>
          <w:spacing w:val="-20"/>
          <w:w w:val="105"/>
          <w:sz w:val="19"/>
        </w:rPr>
        <w:t xml:space="preserve"> </w:t>
      </w:r>
      <w:r>
        <w:rPr>
          <w:rFonts w:ascii="Arial" w:hAnsi="Arial"/>
          <w:w w:val="105"/>
          <w:sz w:val="19"/>
        </w:rPr>
        <w:t>(85</w:t>
      </w:r>
      <w:r>
        <w:rPr>
          <w:rFonts w:ascii="Arial" w:hAnsi="Arial"/>
          <w:spacing w:val="-22"/>
          <w:w w:val="105"/>
          <w:sz w:val="19"/>
        </w:rPr>
        <w:t xml:space="preserve"> </w:t>
      </w:r>
      <w:r>
        <w:rPr>
          <w:rFonts w:ascii="Arial" w:hAnsi="Arial"/>
          <w:w w:val="105"/>
          <w:sz w:val="19"/>
        </w:rPr>
        <w:t>powders</w:t>
      </w:r>
      <w:r>
        <w:rPr>
          <w:rFonts w:ascii="Arial" w:hAnsi="Arial"/>
          <w:spacing w:val="-24"/>
          <w:w w:val="105"/>
          <w:sz w:val="19"/>
        </w:rPr>
        <w:t xml:space="preserve"> </w:t>
      </w:r>
      <w:r>
        <w:rPr>
          <w:rFonts w:ascii="Arial" w:hAnsi="Arial"/>
          <w:w w:val="105"/>
          <w:sz w:val="19"/>
        </w:rPr>
        <w:t>+</w:t>
      </w:r>
      <w:r>
        <w:rPr>
          <w:rFonts w:ascii="Arial" w:hAnsi="Arial"/>
          <w:spacing w:val="-21"/>
          <w:w w:val="105"/>
          <w:sz w:val="19"/>
        </w:rPr>
        <w:t xml:space="preserve"> </w:t>
      </w:r>
      <w:r>
        <w:rPr>
          <w:rFonts w:ascii="Arial" w:hAnsi="Arial"/>
          <w:w w:val="105"/>
          <w:sz w:val="19"/>
        </w:rPr>
        <w:t>8 capsules/tablets</w:t>
      </w:r>
      <w:r>
        <w:rPr>
          <w:rFonts w:ascii="Arial" w:hAnsi="Arial"/>
          <w:spacing w:val="-13"/>
          <w:w w:val="105"/>
          <w:sz w:val="19"/>
        </w:rPr>
        <w:t xml:space="preserve"> </w:t>
      </w:r>
      <w:r>
        <w:rPr>
          <w:rFonts w:ascii="Arial" w:hAnsi="Arial"/>
          <w:w w:val="105"/>
          <w:sz w:val="19"/>
        </w:rPr>
        <w:t>products)</w:t>
      </w:r>
    </w:p>
    <w:p w:rsidR="007D76BB" w:rsidRDefault="00D70D28">
      <w:pPr>
        <w:pStyle w:val="ListParagraph"/>
        <w:numPr>
          <w:ilvl w:val="1"/>
          <w:numId w:val="5"/>
        </w:numPr>
        <w:tabs>
          <w:tab w:val="left" w:pos="766"/>
        </w:tabs>
        <w:spacing w:before="72" w:line="261" w:lineRule="auto"/>
        <w:ind w:right="1054"/>
        <w:rPr>
          <w:rFonts w:ascii="Arial" w:hAnsi="Arial"/>
          <w:sz w:val="19"/>
        </w:rPr>
      </w:pPr>
      <w:r>
        <w:rPr>
          <w:rFonts w:ascii="Arial" w:hAnsi="Arial"/>
          <w:w w:val="105"/>
          <w:sz w:val="19"/>
        </w:rPr>
        <w:t>Number</w:t>
      </w:r>
      <w:r>
        <w:rPr>
          <w:rFonts w:ascii="Arial" w:hAnsi="Arial"/>
          <w:spacing w:val="-23"/>
          <w:w w:val="105"/>
          <w:sz w:val="19"/>
        </w:rPr>
        <w:t xml:space="preserve"> </w:t>
      </w:r>
      <w:r>
        <w:rPr>
          <w:rFonts w:ascii="Arial" w:hAnsi="Arial"/>
          <w:w w:val="105"/>
          <w:sz w:val="19"/>
        </w:rPr>
        <w:t>of</w:t>
      </w:r>
      <w:r>
        <w:rPr>
          <w:rFonts w:ascii="Arial" w:hAnsi="Arial"/>
          <w:spacing w:val="-23"/>
          <w:w w:val="105"/>
          <w:sz w:val="19"/>
        </w:rPr>
        <w:t xml:space="preserve"> </w:t>
      </w:r>
      <w:r>
        <w:rPr>
          <w:rFonts w:ascii="Arial" w:hAnsi="Arial"/>
          <w:w w:val="105"/>
          <w:sz w:val="19"/>
        </w:rPr>
        <w:t>products</w:t>
      </w:r>
      <w:r>
        <w:rPr>
          <w:rFonts w:ascii="Arial" w:hAnsi="Arial"/>
          <w:spacing w:val="-22"/>
          <w:w w:val="105"/>
          <w:sz w:val="19"/>
        </w:rPr>
        <w:t xml:space="preserve"> </w:t>
      </w:r>
      <w:r>
        <w:rPr>
          <w:rFonts w:ascii="Arial" w:hAnsi="Arial"/>
          <w:w w:val="105"/>
          <w:sz w:val="19"/>
        </w:rPr>
        <w:t>likely</w:t>
      </w:r>
      <w:r>
        <w:rPr>
          <w:rFonts w:ascii="Arial" w:hAnsi="Arial"/>
          <w:spacing w:val="-24"/>
          <w:w w:val="105"/>
          <w:sz w:val="19"/>
        </w:rPr>
        <w:t xml:space="preserve"> </w:t>
      </w:r>
      <w:r>
        <w:rPr>
          <w:rFonts w:ascii="Arial" w:hAnsi="Arial"/>
          <w:w w:val="105"/>
          <w:sz w:val="19"/>
        </w:rPr>
        <w:t>to</w:t>
      </w:r>
      <w:r>
        <w:rPr>
          <w:rFonts w:ascii="Arial" w:hAnsi="Arial"/>
          <w:spacing w:val="-24"/>
          <w:w w:val="105"/>
          <w:sz w:val="19"/>
        </w:rPr>
        <w:t xml:space="preserve"> </w:t>
      </w:r>
      <w:r>
        <w:rPr>
          <w:rFonts w:ascii="Arial" w:hAnsi="Arial"/>
          <w:w w:val="105"/>
          <w:sz w:val="19"/>
        </w:rPr>
        <w:t>be</w:t>
      </w:r>
      <w:r>
        <w:rPr>
          <w:rFonts w:ascii="Arial" w:hAnsi="Arial"/>
          <w:spacing w:val="-22"/>
          <w:w w:val="105"/>
          <w:sz w:val="19"/>
        </w:rPr>
        <w:t xml:space="preserve"> </w:t>
      </w:r>
      <w:r>
        <w:rPr>
          <w:rFonts w:ascii="Arial" w:hAnsi="Arial"/>
          <w:w w:val="105"/>
          <w:sz w:val="19"/>
        </w:rPr>
        <w:t>listed</w:t>
      </w:r>
      <w:r>
        <w:rPr>
          <w:rFonts w:ascii="Arial" w:hAnsi="Arial"/>
          <w:spacing w:val="-23"/>
          <w:w w:val="105"/>
          <w:sz w:val="19"/>
        </w:rPr>
        <w:t xml:space="preserve"> </w:t>
      </w:r>
      <w:r>
        <w:rPr>
          <w:rFonts w:ascii="Arial" w:hAnsi="Arial"/>
          <w:w w:val="105"/>
          <w:sz w:val="19"/>
        </w:rPr>
        <w:t>on</w:t>
      </w:r>
      <w:r>
        <w:rPr>
          <w:rFonts w:ascii="Arial" w:hAnsi="Arial"/>
          <w:spacing w:val="-22"/>
          <w:w w:val="105"/>
          <w:sz w:val="19"/>
        </w:rPr>
        <w:t xml:space="preserve"> </w:t>
      </w:r>
      <w:r>
        <w:rPr>
          <w:rFonts w:ascii="Arial" w:hAnsi="Arial"/>
          <w:w w:val="105"/>
          <w:sz w:val="19"/>
        </w:rPr>
        <w:t>the</w:t>
      </w:r>
      <w:r>
        <w:rPr>
          <w:rFonts w:ascii="Arial" w:hAnsi="Arial"/>
          <w:spacing w:val="-24"/>
          <w:w w:val="105"/>
          <w:sz w:val="19"/>
        </w:rPr>
        <w:t xml:space="preserve"> </w:t>
      </w:r>
      <w:r>
        <w:rPr>
          <w:rFonts w:ascii="Arial" w:hAnsi="Arial"/>
          <w:w w:val="105"/>
          <w:sz w:val="19"/>
        </w:rPr>
        <w:t>ARTG</w:t>
      </w:r>
      <w:r>
        <w:rPr>
          <w:rFonts w:ascii="Arial" w:hAnsi="Arial"/>
          <w:spacing w:val="-23"/>
          <w:w w:val="105"/>
          <w:sz w:val="19"/>
        </w:rPr>
        <w:t xml:space="preserve"> </w:t>
      </w:r>
      <w:r>
        <w:rPr>
          <w:rFonts w:ascii="Arial" w:hAnsi="Arial"/>
          <w:i/>
          <w:w w:val="105"/>
          <w:sz w:val="20"/>
        </w:rPr>
        <w:t>(current</w:t>
      </w:r>
      <w:r>
        <w:rPr>
          <w:rFonts w:ascii="Arial" w:hAnsi="Arial"/>
          <w:i/>
          <w:spacing w:val="-26"/>
          <w:w w:val="105"/>
          <w:sz w:val="20"/>
        </w:rPr>
        <w:t xml:space="preserve"> </w:t>
      </w:r>
      <w:r>
        <w:rPr>
          <w:rFonts w:ascii="Arial" w:hAnsi="Arial"/>
          <w:i/>
          <w:w w:val="105"/>
          <w:sz w:val="20"/>
        </w:rPr>
        <w:t>population)</w:t>
      </w:r>
      <w:r>
        <w:rPr>
          <w:rFonts w:ascii="Arial" w:hAnsi="Arial"/>
          <w:i/>
          <w:spacing w:val="-27"/>
          <w:w w:val="105"/>
          <w:sz w:val="20"/>
        </w:rPr>
        <w:t xml:space="preserve"> </w:t>
      </w:r>
      <w:r>
        <w:rPr>
          <w:rFonts w:ascii="Arial" w:hAnsi="Arial"/>
          <w:w w:val="105"/>
          <w:sz w:val="19"/>
        </w:rPr>
        <w:t>=</w:t>
      </w:r>
      <w:r>
        <w:rPr>
          <w:rFonts w:ascii="Arial" w:hAnsi="Arial"/>
          <w:spacing w:val="-23"/>
          <w:w w:val="105"/>
          <w:sz w:val="19"/>
        </w:rPr>
        <w:t xml:space="preserve"> </w:t>
      </w:r>
      <w:r>
        <w:rPr>
          <w:rFonts w:ascii="Arial" w:hAnsi="Arial"/>
          <w:w w:val="105"/>
          <w:sz w:val="19"/>
        </w:rPr>
        <w:t>87</w:t>
      </w:r>
      <w:r>
        <w:rPr>
          <w:rFonts w:ascii="Arial" w:hAnsi="Arial"/>
          <w:spacing w:val="-23"/>
          <w:w w:val="105"/>
          <w:sz w:val="19"/>
        </w:rPr>
        <w:t xml:space="preserve"> </w:t>
      </w:r>
      <w:r>
        <w:rPr>
          <w:rFonts w:ascii="Arial" w:hAnsi="Arial"/>
          <w:w w:val="105"/>
          <w:sz w:val="19"/>
        </w:rPr>
        <w:t>(33</w:t>
      </w:r>
      <w:r>
        <w:rPr>
          <w:rFonts w:ascii="Arial" w:hAnsi="Arial"/>
          <w:spacing w:val="-24"/>
          <w:w w:val="105"/>
          <w:sz w:val="19"/>
        </w:rPr>
        <w:t xml:space="preserve"> </w:t>
      </w:r>
      <w:r>
        <w:rPr>
          <w:rFonts w:ascii="Arial" w:hAnsi="Arial"/>
          <w:w w:val="105"/>
          <w:sz w:val="19"/>
        </w:rPr>
        <w:t>powders</w:t>
      </w:r>
      <w:r>
        <w:rPr>
          <w:rFonts w:ascii="Arial" w:hAnsi="Arial"/>
          <w:spacing w:val="-23"/>
          <w:w w:val="105"/>
          <w:sz w:val="19"/>
        </w:rPr>
        <w:t xml:space="preserve"> </w:t>
      </w:r>
      <w:r>
        <w:rPr>
          <w:rFonts w:ascii="Arial" w:hAnsi="Arial"/>
          <w:w w:val="105"/>
          <w:sz w:val="19"/>
        </w:rPr>
        <w:t>+</w:t>
      </w:r>
      <w:r>
        <w:rPr>
          <w:rFonts w:ascii="Arial" w:hAnsi="Arial"/>
          <w:spacing w:val="-23"/>
          <w:w w:val="105"/>
          <w:sz w:val="19"/>
        </w:rPr>
        <w:t xml:space="preserve"> </w:t>
      </w:r>
      <w:r>
        <w:rPr>
          <w:rFonts w:ascii="Arial" w:hAnsi="Arial"/>
          <w:w w:val="105"/>
          <w:sz w:val="19"/>
        </w:rPr>
        <w:t>54 capsules/tablets</w:t>
      </w:r>
      <w:r>
        <w:rPr>
          <w:rFonts w:ascii="Arial" w:hAnsi="Arial"/>
          <w:spacing w:val="-13"/>
          <w:w w:val="105"/>
          <w:sz w:val="19"/>
        </w:rPr>
        <w:t xml:space="preserve"> </w:t>
      </w:r>
      <w:r>
        <w:rPr>
          <w:rFonts w:ascii="Arial" w:hAnsi="Arial"/>
          <w:w w:val="105"/>
          <w:sz w:val="19"/>
        </w:rPr>
        <w:t>products)</w:t>
      </w:r>
    </w:p>
    <w:p w:rsidR="007D76BB" w:rsidRDefault="00D70D28">
      <w:pPr>
        <w:pStyle w:val="ListParagraph"/>
        <w:numPr>
          <w:ilvl w:val="1"/>
          <w:numId w:val="5"/>
        </w:numPr>
        <w:tabs>
          <w:tab w:val="left" w:pos="766"/>
        </w:tabs>
        <w:spacing w:before="75"/>
        <w:rPr>
          <w:rFonts w:ascii="Arial" w:hAnsi="Arial"/>
          <w:sz w:val="19"/>
        </w:rPr>
      </w:pPr>
      <w:r>
        <w:rPr>
          <w:rFonts w:ascii="Arial" w:hAnsi="Arial"/>
          <w:w w:val="105"/>
          <w:sz w:val="19"/>
        </w:rPr>
        <w:t>Number</w:t>
      </w:r>
      <w:r>
        <w:rPr>
          <w:rFonts w:ascii="Arial" w:hAnsi="Arial"/>
          <w:spacing w:val="-13"/>
          <w:w w:val="105"/>
          <w:sz w:val="19"/>
        </w:rPr>
        <w:t xml:space="preserve"> </w:t>
      </w:r>
      <w:r>
        <w:rPr>
          <w:rFonts w:ascii="Arial" w:hAnsi="Arial"/>
          <w:w w:val="105"/>
          <w:sz w:val="19"/>
        </w:rPr>
        <w:t>of</w:t>
      </w:r>
      <w:r>
        <w:rPr>
          <w:rFonts w:ascii="Arial" w:hAnsi="Arial"/>
          <w:spacing w:val="-14"/>
          <w:w w:val="105"/>
          <w:sz w:val="19"/>
        </w:rPr>
        <w:t xml:space="preserve"> </w:t>
      </w:r>
      <w:r>
        <w:rPr>
          <w:rFonts w:ascii="Arial" w:hAnsi="Arial"/>
          <w:w w:val="105"/>
          <w:sz w:val="19"/>
        </w:rPr>
        <w:t>products</w:t>
      </w:r>
      <w:r>
        <w:rPr>
          <w:rFonts w:ascii="Arial" w:hAnsi="Arial"/>
          <w:spacing w:val="-13"/>
          <w:w w:val="105"/>
          <w:sz w:val="19"/>
        </w:rPr>
        <w:t xml:space="preserve"> </w:t>
      </w:r>
      <w:r>
        <w:rPr>
          <w:rFonts w:ascii="Arial" w:hAnsi="Arial"/>
          <w:w w:val="105"/>
          <w:sz w:val="19"/>
        </w:rPr>
        <w:t>likely</w:t>
      </w:r>
      <w:r>
        <w:rPr>
          <w:rFonts w:ascii="Arial" w:hAnsi="Arial"/>
          <w:spacing w:val="-15"/>
          <w:w w:val="105"/>
          <w:sz w:val="19"/>
        </w:rPr>
        <w:t xml:space="preserve"> </w:t>
      </w:r>
      <w:r>
        <w:rPr>
          <w:rFonts w:ascii="Arial" w:hAnsi="Arial"/>
          <w:w w:val="105"/>
          <w:sz w:val="19"/>
        </w:rPr>
        <w:t>to</w:t>
      </w:r>
      <w:r>
        <w:rPr>
          <w:rFonts w:ascii="Arial" w:hAnsi="Arial"/>
          <w:spacing w:val="-14"/>
          <w:w w:val="105"/>
          <w:sz w:val="19"/>
        </w:rPr>
        <w:t xml:space="preserve"> </w:t>
      </w:r>
      <w:r>
        <w:rPr>
          <w:rFonts w:ascii="Arial" w:hAnsi="Arial"/>
          <w:w w:val="105"/>
          <w:sz w:val="19"/>
        </w:rPr>
        <w:t>be</w:t>
      </w:r>
      <w:r>
        <w:rPr>
          <w:rFonts w:ascii="Arial" w:hAnsi="Arial"/>
          <w:spacing w:val="-13"/>
          <w:w w:val="105"/>
          <w:sz w:val="19"/>
        </w:rPr>
        <w:t xml:space="preserve"> </w:t>
      </w:r>
      <w:r>
        <w:rPr>
          <w:rFonts w:ascii="Arial" w:hAnsi="Arial"/>
          <w:w w:val="105"/>
          <w:sz w:val="19"/>
        </w:rPr>
        <w:t>listed</w:t>
      </w:r>
      <w:r>
        <w:rPr>
          <w:rFonts w:ascii="Arial" w:hAnsi="Arial"/>
          <w:spacing w:val="-13"/>
          <w:w w:val="105"/>
          <w:sz w:val="19"/>
        </w:rPr>
        <w:t xml:space="preserve"> </w:t>
      </w:r>
      <w:r>
        <w:rPr>
          <w:rFonts w:ascii="Arial" w:hAnsi="Arial"/>
          <w:w w:val="105"/>
          <w:sz w:val="19"/>
        </w:rPr>
        <w:t>on</w:t>
      </w:r>
      <w:r>
        <w:rPr>
          <w:rFonts w:ascii="Arial" w:hAnsi="Arial"/>
          <w:spacing w:val="-13"/>
          <w:w w:val="105"/>
          <w:sz w:val="19"/>
        </w:rPr>
        <w:t xml:space="preserve"> </w:t>
      </w:r>
      <w:r>
        <w:rPr>
          <w:rFonts w:ascii="Arial" w:hAnsi="Arial"/>
          <w:w w:val="105"/>
          <w:sz w:val="19"/>
        </w:rPr>
        <w:t>the</w:t>
      </w:r>
      <w:r>
        <w:rPr>
          <w:rFonts w:ascii="Arial" w:hAnsi="Arial"/>
          <w:spacing w:val="-14"/>
          <w:w w:val="105"/>
          <w:sz w:val="19"/>
        </w:rPr>
        <w:t xml:space="preserve"> </w:t>
      </w:r>
      <w:r>
        <w:rPr>
          <w:rFonts w:ascii="Arial" w:hAnsi="Arial"/>
          <w:w w:val="105"/>
          <w:sz w:val="19"/>
        </w:rPr>
        <w:t>ARTG</w:t>
      </w:r>
      <w:r>
        <w:rPr>
          <w:rFonts w:ascii="Arial" w:hAnsi="Arial"/>
          <w:spacing w:val="-10"/>
          <w:w w:val="105"/>
          <w:sz w:val="19"/>
        </w:rPr>
        <w:t xml:space="preserve"> </w:t>
      </w:r>
      <w:r>
        <w:rPr>
          <w:rFonts w:ascii="Arial" w:hAnsi="Arial"/>
          <w:i/>
          <w:w w:val="105"/>
          <w:sz w:val="20"/>
        </w:rPr>
        <w:t>(future</w:t>
      </w:r>
      <w:r>
        <w:rPr>
          <w:rFonts w:ascii="Arial" w:hAnsi="Arial"/>
          <w:i/>
          <w:spacing w:val="-15"/>
          <w:w w:val="105"/>
          <w:sz w:val="20"/>
        </w:rPr>
        <w:t xml:space="preserve"> </w:t>
      </w:r>
      <w:r>
        <w:rPr>
          <w:rFonts w:ascii="Arial" w:hAnsi="Arial"/>
          <w:i/>
          <w:w w:val="105"/>
          <w:sz w:val="20"/>
        </w:rPr>
        <w:t>population)</w:t>
      </w:r>
      <w:r>
        <w:rPr>
          <w:rFonts w:ascii="Arial" w:hAnsi="Arial"/>
          <w:i/>
          <w:spacing w:val="-15"/>
          <w:w w:val="105"/>
          <w:sz w:val="20"/>
        </w:rPr>
        <w:t xml:space="preserve"> </w:t>
      </w:r>
      <w:r>
        <w:rPr>
          <w:rFonts w:ascii="Arial" w:hAnsi="Arial"/>
          <w:w w:val="105"/>
          <w:sz w:val="19"/>
        </w:rPr>
        <w:t>=</w:t>
      </w:r>
      <w:r>
        <w:rPr>
          <w:rFonts w:ascii="Arial" w:hAnsi="Arial"/>
          <w:spacing w:val="-13"/>
          <w:w w:val="105"/>
          <w:sz w:val="19"/>
        </w:rPr>
        <w:t xml:space="preserve"> </w:t>
      </w:r>
      <w:r>
        <w:rPr>
          <w:rFonts w:ascii="Arial" w:hAnsi="Arial"/>
          <w:w w:val="105"/>
          <w:sz w:val="19"/>
        </w:rPr>
        <w:t>85</w:t>
      </w:r>
    </w:p>
    <w:p w:rsidR="007D76BB" w:rsidRDefault="00D70D28">
      <w:pPr>
        <w:pStyle w:val="ListParagraph"/>
        <w:numPr>
          <w:ilvl w:val="1"/>
          <w:numId w:val="5"/>
        </w:numPr>
        <w:tabs>
          <w:tab w:val="left" w:pos="766"/>
        </w:tabs>
        <w:spacing w:before="99"/>
        <w:rPr>
          <w:rFonts w:ascii="Arial" w:hAnsi="Arial"/>
          <w:sz w:val="19"/>
        </w:rPr>
      </w:pPr>
      <w:r>
        <w:rPr>
          <w:rFonts w:ascii="Arial" w:hAnsi="Arial"/>
          <w:w w:val="105"/>
          <w:sz w:val="19"/>
        </w:rPr>
        <w:t>Time</w:t>
      </w:r>
      <w:r>
        <w:rPr>
          <w:rFonts w:ascii="Arial" w:hAnsi="Arial"/>
          <w:spacing w:val="-11"/>
          <w:w w:val="105"/>
          <w:sz w:val="19"/>
        </w:rPr>
        <w:t xml:space="preserve"> </w:t>
      </w:r>
      <w:r>
        <w:rPr>
          <w:rFonts w:ascii="Arial" w:hAnsi="Arial"/>
          <w:w w:val="105"/>
          <w:sz w:val="19"/>
        </w:rPr>
        <w:t>required</w:t>
      </w:r>
      <w:r>
        <w:rPr>
          <w:rFonts w:ascii="Arial" w:hAnsi="Arial"/>
          <w:spacing w:val="-13"/>
          <w:w w:val="105"/>
          <w:sz w:val="19"/>
        </w:rPr>
        <w:t xml:space="preserve"> </w:t>
      </w:r>
      <w:r>
        <w:rPr>
          <w:rFonts w:ascii="Arial" w:hAnsi="Arial"/>
          <w:w w:val="105"/>
          <w:sz w:val="19"/>
        </w:rPr>
        <w:t>to</w:t>
      </w:r>
      <w:r>
        <w:rPr>
          <w:rFonts w:ascii="Arial" w:hAnsi="Arial"/>
          <w:spacing w:val="-11"/>
          <w:w w:val="105"/>
          <w:sz w:val="19"/>
        </w:rPr>
        <w:t xml:space="preserve"> </w:t>
      </w:r>
      <w:r>
        <w:rPr>
          <w:rFonts w:ascii="Arial" w:hAnsi="Arial"/>
          <w:w w:val="105"/>
          <w:sz w:val="19"/>
        </w:rPr>
        <w:t>reformulate</w:t>
      </w:r>
      <w:r>
        <w:rPr>
          <w:rFonts w:ascii="Arial" w:hAnsi="Arial"/>
          <w:spacing w:val="-11"/>
          <w:w w:val="105"/>
          <w:sz w:val="19"/>
        </w:rPr>
        <w:t xml:space="preserve"> </w:t>
      </w:r>
      <w:r>
        <w:rPr>
          <w:rFonts w:ascii="Arial" w:hAnsi="Arial"/>
          <w:w w:val="105"/>
          <w:sz w:val="19"/>
        </w:rPr>
        <w:t>(per</w:t>
      </w:r>
      <w:r>
        <w:rPr>
          <w:rFonts w:ascii="Arial" w:hAnsi="Arial"/>
          <w:spacing w:val="-10"/>
          <w:w w:val="105"/>
          <w:sz w:val="19"/>
        </w:rPr>
        <w:t xml:space="preserve"> </w:t>
      </w:r>
      <w:r>
        <w:rPr>
          <w:rFonts w:ascii="Arial" w:hAnsi="Arial"/>
          <w:w w:val="105"/>
          <w:sz w:val="19"/>
        </w:rPr>
        <w:t>product)</w:t>
      </w:r>
      <w:r>
        <w:rPr>
          <w:rFonts w:ascii="Arial" w:hAnsi="Arial"/>
          <w:spacing w:val="-12"/>
          <w:w w:val="105"/>
          <w:sz w:val="19"/>
        </w:rPr>
        <w:t xml:space="preserve"> </w:t>
      </w:r>
      <w:r>
        <w:rPr>
          <w:rFonts w:ascii="Arial" w:hAnsi="Arial"/>
          <w:w w:val="105"/>
          <w:sz w:val="19"/>
        </w:rPr>
        <w:t>=</w:t>
      </w:r>
      <w:r>
        <w:rPr>
          <w:rFonts w:ascii="Arial" w:hAnsi="Arial"/>
          <w:spacing w:val="-13"/>
          <w:w w:val="105"/>
          <w:sz w:val="19"/>
        </w:rPr>
        <w:t xml:space="preserve"> </w:t>
      </w:r>
      <w:r>
        <w:rPr>
          <w:rFonts w:ascii="Arial" w:hAnsi="Arial"/>
          <w:w w:val="105"/>
          <w:sz w:val="19"/>
        </w:rPr>
        <w:t>2,160</w:t>
      </w:r>
      <w:r>
        <w:rPr>
          <w:rFonts w:ascii="Arial" w:hAnsi="Arial"/>
          <w:spacing w:val="-11"/>
          <w:w w:val="105"/>
          <w:sz w:val="19"/>
        </w:rPr>
        <w:t xml:space="preserve"> </w:t>
      </w:r>
      <w:r>
        <w:rPr>
          <w:rFonts w:ascii="Arial" w:hAnsi="Arial"/>
          <w:w w:val="105"/>
          <w:sz w:val="19"/>
        </w:rPr>
        <w:t>minutes</w:t>
      </w:r>
    </w:p>
    <w:p w:rsidR="007D76BB" w:rsidRDefault="00D70D28">
      <w:pPr>
        <w:pStyle w:val="ListParagraph"/>
        <w:numPr>
          <w:ilvl w:val="1"/>
          <w:numId w:val="5"/>
        </w:numPr>
        <w:tabs>
          <w:tab w:val="left" w:pos="766"/>
        </w:tabs>
        <w:spacing w:before="103"/>
        <w:rPr>
          <w:rFonts w:ascii="Arial" w:hAnsi="Arial"/>
          <w:sz w:val="19"/>
        </w:rPr>
      </w:pPr>
      <w:r>
        <w:rPr>
          <w:rFonts w:ascii="Arial" w:hAnsi="Arial"/>
          <w:w w:val="105"/>
          <w:sz w:val="19"/>
        </w:rPr>
        <w:t>Time</w:t>
      </w:r>
      <w:r>
        <w:rPr>
          <w:rFonts w:ascii="Arial" w:hAnsi="Arial"/>
          <w:spacing w:val="-12"/>
          <w:w w:val="105"/>
          <w:sz w:val="19"/>
        </w:rPr>
        <w:t xml:space="preserve"> </w:t>
      </w:r>
      <w:r>
        <w:rPr>
          <w:rFonts w:ascii="Arial" w:hAnsi="Arial"/>
          <w:w w:val="105"/>
          <w:sz w:val="19"/>
        </w:rPr>
        <w:t>required</w:t>
      </w:r>
      <w:r>
        <w:rPr>
          <w:rFonts w:ascii="Arial" w:hAnsi="Arial"/>
          <w:spacing w:val="-13"/>
          <w:w w:val="105"/>
          <w:sz w:val="19"/>
        </w:rPr>
        <w:t xml:space="preserve"> </w:t>
      </w:r>
      <w:r>
        <w:rPr>
          <w:rFonts w:ascii="Arial" w:hAnsi="Arial"/>
          <w:w w:val="105"/>
          <w:sz w:val="19"/>
        </w:rPr>
        <w:t>to</w:t>
      </w:r>
      <w:r>
        <w:rPr>
          <w:rFonts w:ascii="Arial" w:hAnsi="Arial"/>
          <w:spacing w:val="-12"/>
          <w:w w:val="105"/>
          <w:sz w:val="19"/>
        </w:rPr>
        <w:t xml:space="preserve"> </w:t>
      </w:r>
      <w:r>
        <w:rPr>
          <w:rFonts w:ascii="Arial" w:hAnsi="Arial"/>
          <w:w w:val="105"/>
          <w:sz w:val="19"/>
        </w:rPr>
        <w:t>list</w:t>
      </w:r>
      <w:r>
        <w:rPr>
          <w:rFonts w:ascii="Arial" w:hAnsi="Arial"/>
          <w:spacing w:val="-11"/>
          <w:w w:val="105"/>
          <w:sz w:val="19"/>
        </w:rPr>
        <w:t xml:space="preserve"> </w:t>
      </w:r>
      <w:r>
        <w:rPr>
          <w:rFonts w:ascii="Arial" w:hAnsi="Arial"/>
          <w:w w:val="105"/>
          <w:sz w:val="19"/>
        </w:rPr>
        <w:t>a</w:t>
      </w:r>
      <w:r>
        <w:rPr>
          <w:rFonts w:ascii="Arial" w:hAnsi="Arial"/>
          <w:spacing w:val="-13"/>
          <w:w w:val="105"/>
          <w:sz w:val="19"/>
        </w:rPr>
        <w:t xml:space="preserve"> </w:t>
      </w:r>
      <w:r>
        <w:rPr>
          <w:rFonts w:ascii="Arial" w:hAnsi="Arial"/>
          <w:w w:val="105"/>
          <w:sz w:val="19"/>
        </w:rPr>
        <w:t>product</w:t>
      </w:r>
      <w:r>
        <w:rPr>
          <w:rFonts w:ascii="Arial" w:hAnsi="Arial"/>
          <w:spacing w:val="-11"/>
          <w:w w:val="105"/>
          <w:sz w:val="19"/>
        </w:rPr>
        <w:t xml:space="preserve"> </w:t>
      </w:r>
      <w:r>
        <w:rPr>
          <w:rFonts w:ascii="Arial" w:hAnsi="Arial"/>
          <w:w w:val="105"/>
          <w:sz w:val="19"/>
        </w:rPr>
        <w:t>on</w:t>
      </w:r>
      <w:r>
        <w:rPr>
          <w:rFonts w:ascii="Arial" w:hAnsi="Arial"/>
          <w:spacing w:val="-13"/>
          <w:w w:val="105"/>
          <w:sz w:val="19"/>
        </w:rPr>
        <w:t xml:space="preserve"> </w:t>
      </w:r>
      <w:r>
        <w:rPr>
          <w:rFonts w:ascii="Arial" w:hAnsi="Arial"/>
          <w:w w:val="105"/>
          <w:sz w:val="19"/>
        </w:rPr>
        <w:t>the</w:t>
      </w:r>
      <w:r>
        <w:rPr>
          <w:rFonts w:ascii="Arial" w:hAnsi="Arial"/>
          <w:spacing w:val="-13"/>
          <w:w w:val="105"/>
          <w:sz w:val="19"/>
        </w:rPr>
        <w:t xml:space="preserve"> </w:t>
      </w:r>
      <w:r>
        <w:rPr>
          <w:rFonts w:ascii="Arial" w:hAnsi="Arial"/>
          <w:w w:val="105"/>
          <w:sz w:val="19"/>
        </w:rPr>
        <w:t>ARTG</w:t>
      </w:r>
      <w:r>
        <w:rPr>
          <w:rFonts w:ascii="Arial" w:hAnsi="Arial"/>
          <w:spacing w:val="-13"/>
          <w:w w:val="105"/>
          <w:sz w:val="19"/>
        </w:rPr>
        <w:t xml:space="preserve"> </w:t>
      </w:r>
      <w:r>
        <w:rPr>
          <w:rFonts w:ascii="Arial" w:hAnsi="Arial"/>
          <w:w w:val="105"/>
          <w:sz w:val="19"/>
        </w:rPr>
        <w:t>=</w:t>
      </w:r>
      <w:r>
        <w:rPr>
          <w:rFonts w:ascii="Arial" w:hAnsi="Arial"/>
          <w:spacing w:val="-11"/>
          <w:w w:val="105"/>
          <w:sz w:val="19"/>
        </w:rPr>
        <w:t xml:space="preserve"> </w:t>
      </w:r>
      <w:r>
        <w:rPr>
          <w:rFonts w:ascii="Arial" w:hAnsi="Arial"/>
          <w:w w:val="105"/>
          <w:sz w:val="19"/>
        </w:rPr>
        <w:t>4,210</w:t>
      </w:r>
      <w:r>
        <w:rPr>
          <w:rFonts w:ascii="Arial" w:hAnsi="Arial"/>
          <w:spacing w:val="-10"/>
          <w:w w:val="105"/>
          <w:sz w:val="19"/>
        </w:rPr>
        <w:t xml:space="preserve"> </w:t>
      </w:r>
      <w:r>
        <w:rPr>
          <w:rFonts w:ascii="Arial" w:hAnsi="Arial"/>
          <w:w w:val="105"/>
          <w:sz w:val="19"/>
        </w:rPr>
        <w:t>Minutes</w:t>
      </w:r>
    </w:p>
    <w:p w:rsidR="007D76BB" w:rsidRDefault="00D70D28">
      <w:pPr>
        <w:pStyle w:val="ListParagraph"/>
        <w:numPr>
          <w:ilvl w:val="1"/>
          <w:numId w:val="5"/>
        </w:numPr>
        <w:tabs>
          <w:tab w:val="left" w:pos="766"/>
        </w:tabs>
        <w:spacing w:before="101"/>
        <w:rPr>
          <w:rFonts w:ascii="Arial" w:hAnsi="Arial"/>
          <w:sz w:val="19"/>
        </w:rPr>
      </w:pPr>
      <w:r>
        <w:rPr>
          <w:rFonts w:ascii="Arial" w:hAnsi="Arial"/>
          <w:w w:val="105"/>
          <w:sz w:val="19"/>
        </w:rPr>
        <w:t>Time</w:t>
      </w:r>
      <w:r>
        <w:rPr>
          <w:rFonts w:ascii="Arial" w:hAnsi="Arial"/>
          <w:spacing w:val="-12"/>
          <w:w w:val="105"/>
          <w:sz w:val="19"/>
        </w:rPr>
        <w:t xml:space="preserve"> </w:t>
      </w:r>
      <w:r>
        <w:rPr>
          <w:rFonts w:ascii="Arial" w:hAnsi="Arial"/>
          <w:w w:val="105"/>
          <w:sz w:val="19"/>
        </w:rPr>
        <w:t>required</w:t>
      </w:r>
      <w:r>
        <w:rPr>
          <w:rFonts w:ascii="Arial" w:hAnsi="Arial"/>
          <w:spacing w:val="-14"/>
          <w:w w:val="105"/>
          <w:sz w:val="19"/>
        </w:rPr>
        <w:t xml:space="preserve"> </w:t>
      </w:r>
      <w:r>
        <w:rPr>
          <w:rFonts w:ascii="Arial" w:hAnsi="Arial"/>
          <w:w w:val="105"/>
          <w:sz w:val="19"/>
        </w:rPr>
        <w:t>(ongoing</w:t>
      </w:r>
      <w:r>
        <w:rPr>
          <w:rFonts w:ascii="Arial" w:hAnsi="Arial"/>
          <w:spacing w:val="-12"/>
          <w:w w:val="105"/>
          <w:sz w:val="19"/>
        </w:rPr>
        <w:t xml:space="preserve"> </w:t>
      </w:r>
      <w:r>
        <w:rPr>
          <w:rFonts w:ascii="Arial" w:hAnsi="Arial"/>
          <w:w w:val="105"/>
          <w:sz w:val="19"/>
        </w:rPr>
        <w:t>annual)</w:t>
      </w:r>
      <w:r>
        <w:rPr>
          <w:rFonts w:ascii="Arial" w:hAnsi="Arial"/>
          <w:spacing w:val="-13"/>
          <w:w w:val="105"/>
          <w:sz w:val="19"/>
        </w:rPr>
        <w:t xml:space="preserve"> </w:t>
      </w:r>
      <w:r>
        <w:rPr>
          <w:rFonts w:ascii="Arial" w:hAnsi="Arial"/>
          <w:w w:val="105"/>
          <w:sz w:val="19"/>
        </w:rPr>
        <w:t>to</w:t>
      </w:r>
      <w:r>
        <w:rPr>
          <w:rFonts w:ascii="Arial" w:hAnsi="Arial"/>
          <w:spacing w:val="-13"/>
          <w:w w:val="105"/>
          <w:sz w:val="19"/>
        </w:rPr>
        <w:t xml:space="preserve"> </w:t>
      </w:r>
      <w:r>
        <w:rPr>
          <w:rFonts w:ascii="Arial" w:hAnsi="Arial"/>
          <w:w w:val="105"/>
          <w:sz w:val="19"/>
        </w:rPr>
        <w:t>maintain</w:t>
      </w:r>
      <w:r>
        <w:rPr>
          <w:rFonts w:ascii="Arial" w:hAnsi="Arial"/>
          <w:spacing w:val="-14"/>
          <w:w w:val="105"/>
          <w:sz w:val="19"/>
        </w:rPr>
        <w:t xml:space="preserve"> </w:t>
      </w:r>
      <w:r>
        <w:rPr>
          <w:rFonts w:ascii="Arial" w:hAnsi="Arial"/>
          <w:w w:val="105"/>
          <w:sz w:val="19"/>
        </w:rPr>
        <w:t>listing</w:t>
      </w:r>
      <w:r>
        <w:rPr>
          <w:rFonts w:ascii="Arial" w:hAnsi="Arial"/>
          <w:spacing w:val="-12"/>
          <w:w w:val="105"/>
          <w:sz w:val="19"/>
        </w:rPr>
        <w:t xml:space="preserve"> </w:t>
      </w:r>
      <w:r>
        <w:rPr>
          <w:rFonts w:ascii="Arial" w:hAnsi="Arial"/>
          <w:w w:val="105"/>
          <w:sz w:val="19"/>
        </w:rPr>
        <w:t>on</w:t>
      </w:r>
      <w:r>
        <w:rPr>
          <w:rFonts w:ascii="Arial" w:hAnsi="Arial"/>
          <w:spacing w:val="-14"/>
          <w:w w:val="105"/>
          <w:sz w:val="19"/>
        </w:rPr>
        <w:t xml:space="preserve"> </w:t>
      </w:r>
      <w:r>
        <w:rPr>
          <w:rFonts w:ascii="Arial" w:hAnsi="Arial"/>
          <w:w w:val="105"/>
          <w:sz w:val="19"/>
        </w:rPr>
        <w:t>the</w:t>
      </w:r>
      <w:r>
        <w:rPr>
          <w:rFonts w:ascii="Arial" w:hAnsi="Arial"/>
          <w:spacing w:val="-13"/>
          <w:w w:val="105"/>
          <w:sz w:val="19"/>
        </w:rPr>
        <w:t xml:space="preserve"> </w:t>
      </w:r>
      <w:r>
        <w:rPr>
          <w:rFonts w:ascii="Arial" w:hAnsi="Arial"/>
          <w:w w:val="105"/>
          <w:sz w:val="19"/>
        </w:rPr>
        <w:t>ARTG</w:t>
      </w:r>
      <w:r>
        <w:rPr>
          <w:rFonts w:ascii="Arial" w:hAnsi="Arial"/>
          <w:spacing w:val="-14"/>
          <w:w w:val="105"/>
          <w:sz w:val="19"/>
        </w:rPr>
        <w:t xml:space="preserve"> </w:t>
      </w:r>
      <w:r>
        <w:rPr>
          <w:rFonts w:ascii="Arial" w:hAnsi="Arial"/>
          <w:w w:val="105"/>
          <w:sz w:val="19"/>
        </w:rPr>
        <w:t>=</w:t>
      </w:r>
      <w:r>
        <w:rPr>
          <w:rFonts w:ascii="Arial" w:hAnsi="Arial"/>
          <w:spacing w:val="-7"/>
          <w:w w:val="105"/>
          <w:sz w:val="19"/>
        </w:rPr>
        <w:t xml:space="preserve"> </w:t>
      </w:r>
      <w:r>
        <w:rPr>
          <w:rFonts w:ascii="Arial" w:hAnsi="Arial"/>
          <w:w w:val="105"/>
          <w:sz w:val="19"/>
        </w:rPr>
        <w:t>240</w:t>
      </w:r>
      <w:r>
        <w:rPr>
          <w:rFonts w:ascii="Arial" w:hAnsi="Arial"/>
          <w:spacing w:val="-12"/>
          <w:w w:val="105"/>
          <w:sz w:val="19"/>
        </w:rPr>
        <w:t xml:space="preserve"> </w:t>
      </w:r>
      <w:r>
        <w:rPr>
          <w:rFonts w:ascii="Arial" w:hAnsi="Arial"/>
          <w:w w:val="105"/>
          <w:sz w:val="19"/>
        </w:rPr>
        <w:t>minutes</w:t>
      </w:r>
    </w:p>
    <w:p w:rsidR="007D76BB" w:rsidRDefault="00D70D28">
      <w:pPr>
        <w:pStyle w:val="ListParagraph"/>
        <w:numPr>
          <w:ilvl w:val="1"/>
          <w:numId w:val="5"/>
        </w:numPr>
        <w:tabs>
          <w:tab w:val="left" w:pos="766"/>
        </w:tabs>
        <w:spacing w:before="103"/>
        <w:rPr>
          <w:rFonts w:ascii="Arial" w:hAnsi="Arial"/>
          <w:sz w:val="19"/>
        </w:rPr>
      </w:pPr>
      <w:r>
        <w:rPr>
          <w:rFonts w:ascii="Arial" w:hAnsi="Arial"/>
          <w:w w:val="105"/>
          <w:sz w:val="19"/>
        </w:rPr>
        <w:t>Time</w:t>
      </w:r>
      <w:r>
        <w:rPr>
          <w:rFonts w:ascii="Arial" w:hAnsi="Arial"/>
          <w:spacing w:val="-11"/>
          <w:w w:val="105"/>
          <w:sz w:val="19"/>
        </w:rPr>
        <w:t xml:space="preserve"> </w:t>
      </w:r>
      <w:r>
        <w:rPr>
          <w:rFonts w:ascii="Arial" w:hAnsi="Arial"/>
          <w:w w:val="105"/>
          <w:sz w:val="19"/>
        </w:rPr>
        <w:t>excluded</w:t>
      </w:r>
      <w:r>
        <w:rPr>
          <w:rFonts w:ascii="Arial" w:hAnsi="Arial"/>
          <w:spacing w:val="-13"/>
          <w:w w:val="105"/>
          <w:sz w:val="19"/>
        </w:rPr>
        <w:t xml:space="preserve"> </w:t>
      </w:r>
      <w:r>
        <w:rPr>
          <w:rFonts w:ascii="Arial" w:hAnsi="Arial"/>
          <w:w w:val="105"/>
          <w:sz w:val="19"/>
        </w:rPr>
        <w:t>for</w:t>
      </w:r>
      <w:r>
        <w:rPr>
          <w:rFonts w:ascii="Arial" w:hAnsi="Arial"/>
          <w:spacing w:val="-11"/>
          <w:w w:val="105"/>
          <w:sz w:val="19"/>
        </w:rPr>
        <w:t xml:space="preserve"> </w:t>
      </w:r>
      <w:r>
        <w:rPr>
          <w:rFonts w:ascii="Arial" w:hAnsi="Arial"/>
          <w:w w:val="105"/>
          <w:sz w:val="19"/>
        </w:rPr>
        <w:t>first</w:t>
      </w:r>
      <w:r>
        <w:rPr>
          <w:rFonts w:ascii="Arial" w:hAnsi="Arial"/>
          <w:spacing w:val="-12"/>
          <w:w w:val="105"/>
          <w:sz w:val="19"/>
        </w:rPr>
        <w:t xml:space="preserve"> </w:t>
      </w:r>
      <w:r>
        <w:rPr>
          <w:rFonts w:ascii="Arial" w:hAnsi="Arial"/>
          <w:w w:val="105"/>
          <w:sz w:val="19"/>
        </w:rPr>
        <w:t>year</w:t>
      </w:r>
      <w:r>
        <w:rPr>
          <w:rFonts w:ascii="Arial" w:hAnsi="Arial"/>
          <w:spacing w:val="-16"/>
          <w:w w:val="105"/>
          <w:sz w:val="19"/>
        </w:rPr>
        <w:t xml:space="preserve"> </w:t>
      </w:r>
      <w:r>
        <w:rPr>
          <w:rFonts w:ascii="Arial" w:hAnsi="Arial"/>
          <w:w w:val="105"/>
          <w:sz w:val="19"/>
        </w:rPr>
        <w:t>of</w:t>
      </w:r>
      <w:r>
        <w:rPr>
          <w:rFonts w:ascii="Arial" w:hAnsi="Arial"/>
          <w:spacing w:val="-13"/>
          <w:w w:val="105"/>
          <w:sz w:val="19"/>
        </w:rPr>
        <w:t xml:space="preserve"> </w:t>
      </w:r>
      <w:r>
        <w:rPr>
          <w:rFonts w:ascii="Arial" w:hAnsi="Arial"/>
          <w:w w:val="105"/>
          <w:sz w:val="19"/>
        </w:rPr>
        <w:t>listing</w:t>
      </w:r>
      <w:r>
        <w:rPr>
          <w:rFonts w:ascii="Arial" w:hAnsi="Arial"/>
          <w:spacing w:val="-10"/>
          <w:w w:val="105"/>
          <w:sz w:val="19"/>
        </w:rPr>
        <w:t xml:space="preserve"> </w:t>
      </w:r>
      <w:r>
        <w:rPr>
          <w:rFonts w:ascii="Arial" w:hAnsi="Arial"/>
          <w:w w:val="105"/>
          <w:sz w:val="19"/>
        </w:rPr>
        <w:t>in</w:t>
      </w:r>
      <w:r>
        <w:rPr>
          <w:rFonts w:ascii="Arial" w:hAnsi="Arial"/>
          <w:spacing w:val="-11"/>
          <w:w w:val="105"/>
          <w:sz w:val="19"/>
        </w:rPr>
        <w:t xml:space="preserve"> </w:t>
      </w:r>
      <w:r>
        <w:rPr>
          <w:rFonts w:ascii="Arial" w:hAnsi="Arial"/>
          <w:w w:val="105"/>
          <w:sz w:val="19"/>
        </w:rPr>
        <w:t>relation</w:t>
      </w:r>
      <w:r>
        <w:rPr>
          <w:rFonts w:ascii="Arial" w:hAnsi="Arial"/>
          <w:spacing w:val="-13"/>
          <w:w w:val="105"/>
          <w:sz w:val="19"/>
        </w:rPr>
        <w:t xml:space="preserve"> </w:t>
      </w:r>
      <w:r>
        <w:rPr>
          <w:rFonts w:ascii="Arial" w:hAnsi="Arial"/>
          <w:w w:val="105"/>
          <w:sz w:val="19"/>
        </w:rPr>
        <w:t>to</w:t>
      </w:r>
      <w:r>
        <w:rPr>
          <w:rFonts w:ascii="Arial" w:hAnsi="Arial"/>
          <w:spacing w:val="-12"/>
          <w:w w:val="105"/>
          <w:sz w:val="19"/>
        </w:rPr>
        <w:t xml:space="preserve"> </w:t>
      </w:r>
      <w:r>
        <w:rPr>
          <w:rFonts w:ascii="Arial" w:hAnsi="Arial"/>
          <w:w w:val="105"/>
          <w:sz w:val="19"/>
        </w:rPr>
        <w:t>‘fees</w:t>
      </w:r>
      <w:r>
        <w:rPr>
          <w:rFonts w:ascii="Arial" w:hAnsi="Arial"/>
          <w:spacing w:val="-11"/>
          <w:w w:val="105"/>
          <w:sz w:val="19"/>
        </w:rPr>
        <w:t xml:space="preserve"> </w:t>
      </w:r>
      <w:r>
        <w:rPr>
          <w:rFonts w:ascii="Arial" w:hAnsi="Arial"/>
          <w:w w:val="105"/>
          <w:sz w:val="19"/>
        </w:rPr>
        <w:t>(ongoing)’</w:t>
      </w:r>
      <w:r>
        <w:rPr>
          <w:rFonts w:ascii="Arial" w:hAnsi="Arial"/>
          <w:spacing w:val="-14"/>
          <w:w w:val="105"/>
          <w:sz w:val="19"/>
        </w:rPr>
        <w:t xml:space="preserve"> </w:t>
      </w:r>
      <w:r>
        <w:rPr>
          <w:rFonts w:ascii="Arial" w:hAnsi="Arial"/>
          <w:w w:val="105"/>
          <w:sz w:val="19"/>
        </w:rPr>
        <w:t>=</w:t>
      </w:r>
      <w:r>
        <w:rPr>
          <w:rFonts w:ascii="Arial" w:hAnsi="Arial"/>
          <w:spacing w:val="-12"/>
          <w:w w:val="105"/>
          <w:sz w:val="19"/>
        </w:rPr>
        <w:t xml:space="preserve"> </w:t>
      </w:r>
      <w:r>
        <w:rPr>
          <w:rFonts w:ascii="Arial" w:hAnsi="Arial"/>
          <w:w w:val="105"/>
          <w:sz w:val="19"/>
        </w:rPr>
        <w:t>30</w:t>
      </w:r>
      <w:r>
        <w:rPr>
          <w:rFonts w:ascii="Arial" w:hAnsi="Arial"/>
          <w:spacing w:val="-10"/>
          <w:w w:val="105"/>
          <w:sz w:val="19"/>
        </w:rPr>
        <w:t xml:space="preserve"> </w:t>
      </w:r>
      <w:r>
        <w:rPr>
          <w:rFonts w:ascii="Arial" w:hAnsi="Arial"/>
          <w:w w:val="105"/>
          <w:sz w:val="19"/>
        </w:rPr>
        <w:t>minutes</w:t>
      </w:r>
    </w:p>
    <w:p w:rsidR="007D76BB" w:rsidRDefault="00D70D28">
      <w:pPr>
        <w:pStyle w:val="ListParagraph"/>
        <w:numPr>
          <w:ilvl w:val="1"/>
          <w:numId w:val="5"/>
        </w:numPr>
        <w:tabs>
          <w:tab w:val="left" w:pos="766"/>
        </w:tabs>
        <w:spacing w:before="99"/>
        <w:rPr>
          <w:rFonts w:ascii="Arial" w:hAnsi="Arial"/>
          <w:sz w:val="19"/>
        </w:rPr>
      </w:pPr>
      <w:r>
        <w:rPr>
          <w:rFonts w:ascii="Arial" w:hAnsi="Arial"/>
          <w:w w:val="105"/>
          <w:sz w:val="19"/>
        </w:rPr>
        <w:t>Time</w:t>
      </w:r>
      <w:r>
        <w:rPr>
          <w:rFonts w:ascii="Arial" w:hAnsi="Arial"/>
          <w:spacing w:val="-17"/>
          <w:w w:val="105"/>
          <w:sz w:val="19"/>
        </w:rPr>
        <w:t xml:space="preserve"> </w:t>
      </w:r>
      <w:r>
        <w:rPr>
          <w:rFonts w:ascii="Arial" w:hAnsi="Arial"/>
          <w:w w:val="105"/>
          <w:sz w:val="19"/>
        </w:rPr>
        <w:t>required</w:t>
      </w:r>
      <w:r>
        <w:rPr>
          <w:rFonts w:ascii="Arial" w:hAnsi="Arial"/>
          <w:spacing w:val="-18"/>
          <w:w w:val="105"/>
          <w:sz w:val="19"/>
        </w:rPr>
        <w:t xml:space="preserve"> </w:t>
      </w:r>
      <w:r>
        <w:rPr>
          <w:rFonts w:ascii="Arial" w:hAnsi="Arial"/>
          <w:w w:val="105"/>
          <w:sz w:val="19"/>
        </w:rPr>
        <w:t>(ongoing</w:t>
      </w:r>
      <w:r>
        <w:rPr>
          <w:rFonts w:ascii="Arial" w:hAnsi="Arial"/>
          <w:spacing w:val="-17"/>
          <w:w w:val="105"/>
          <w:sz w:val="19"/>
        </w:rPr>
        <w:t xml:space="preserve"> </w:t>
      </w:r>
      <w:r>
        <w:rPr>
          <w:rFonts w:ascii="Arial" w:hAnsi="Arial"/>
          <w:w w:val="105"/>
          <w:sz w:val="19"/>
        </w:rPr>
        <w:t>annual)</w:t>
      </w:r>
      <w:r>
        <w:rPr>
          <w:rFonts w:ascii="Arial" w:hAnsi="Arial"/>
          <w:spacing w:val="-18"/>
          <w:w w:val="105"/>
          <w:sz w:val="19"/>
        </w:rPr>
        <w:t xml:space="preserve"> </w:t>
      </w:r>
      <w:r>
        <w:rPr>
          <w:rFonts w:ascii="Arial" w:hAnsi="Arial"/>
          <w:w w:val="105"/>
          <w:sz w:val="19"/>
        </w:rPr>
        <w:t>to</w:t>
      </w:r>
      <w:r>
        <w:rPr>
          <w:rFonts w:ascii="Arial" w:hAnsi="Arial"/>
          <w:spacing w:val="-17"/>
          <w:w w:val="105"/>
          <w:sz w:val="19"/>
        </w:rPr>
        <w:t xml:space="preserve"> </w:t>
      </w:r>
      <w:r>
        <w:rPr>
          <w:rFonts w:ascii="Arial" w:hAnsi="Arial"/>
          <w:w w:val="105"/>
          <w:sz w:val="19"/>
        </w:rPr>
        <w:t>maintain</w:t>
      </w:r>
      <w:r>
        <w:rPr>
          <w:rFonts w:ascii="Arial" w:hAnsi="Arial"/>
          <w:spacing w:val="-18"/>
          <w:w w:val="105"/>
          <w:sz w:val="19"/>
        </w:rPr>
        <w:t xml:space="preserve"> </w:t>
      </w:r>
      <w:r>
        <w:rPr>
          <w:rFonts w:ascii="Arial" w:hAnsi="Arial"/>
          <w:w w:val="105"/>
          <w:sz w:val="19"/>
        </w:rPr>
        <w:t>listing</w:t>
      </w:r>
      <w:r>
        <w:rPr>
          <w:rFonts w:ascii="Arial" w:hAnsi="Arial"/>
          <w:spacing w:val="-17"/>
          <w:w w:val="105"/>
          <w:sz w:val="19"/>
        </w:rPr>
        <w:t xml:space="preserve"> </w:t>
      </w:r>
      <w:r>
        <w:rPr>
          <w:rFonts w:ascii="Arial" w:hAnsi="Arial"/>
          <w:w w:val="105"/>
          <w:sz w:val="19"/>
        </w:rPr>
        <w:t>on</w:t>
      </w:r>
      <w:r>
        <w:rPr>
          <w:rFonts w:ascii="Arial" w:hAnsi="Arial"/>
          <w:spacing w:val="-18"/>
          <w:w w:val="105"/>
          <w:sz w:val="19"/>
        </w:rPr>
        <w:t xml:space="preserve"> </w:t>
      </w:r>
      <w:r>
        <w:rPr>
          <w:rFonts w:ascii="Arial" w:hAnsi="Arial"/>
          <w:w w:val="105"/>
          <w:sz w:val="19"/>
        </w:rPr>
        <w:t>the</w:t>
      </w:r>
      <w:r>
        <w:rPr>
          <w:rFonts w:ascii="Arial" w:hAnsi="Arial"/>
          <w:spacing w:val="-19"/>
          <w:w w:val="105"/>
          <w:sz w:val="19"/>
        </w:rPr>
        <w:t xml:space="preserve"> </w:t>
      </w:r>
      <w:r>
        <w:rPr>
          <w:rFonts w:ascii="Arial" w:hAnsi="Arial"/>
          <w:w w:val="105"/>
          <w:sz w:val="19"/>
        </w:rPr>
        <w:t>ARTG</w:t>
      </w:r>
      <w:r>
        <w:rPr>
          <w:rFonts w:ascii="Arial" w:hAnsi="Arial"/>
          <w:spacing w:val="-14"/>
          <w:w w:val="105"/>
          <w:sz w:val="19"/>
        </w:rPr>
        <w:t xml:space="preserve"> </w:t>
      </w:r>
      <w:r>
        <w:rPr>
          <w:rFonts w:ascii="Arial" w:hAnsi="Arial"/>
          <w:w w:val="105"/>
          <w:sz w:val="19"/>
        </w:rPr>
        <w:t>–</w:t>
      </w:r>
      <w:r>
        <w:rPr>
          <w:rFonts w:ascii="Arial" w:hAnsi="Arial"/>
          <w:spacing w:val="-17"/>
          <w:w w:val="105"/>
          <w:sz w:val="19"/>
        </w:rPr>
        <w:t xml:space="preserve"> </w:t>
      </w:r>
      <w:r>
        <w:rPr>
          <w:rFonts w:ascii="Arial" w:hAnsi="Arial"/>
          <w:w w:val="105"/>
          <w:sz w:val="19"/>
        </w:rPr>
        <w:t>30</w:t>
      </w:r>
      <w:r>
        <w:rPr>
          <w:rFonts w:ascii="Arial" w:hAnsi="Arial"/>
          <w:spacing w:val="-19"/>
          <w:w w:val="105"/>
          <w:sz w:val="19"/>
        </w:rPr>
        <w:t xml:space="preserve"> </w:t>
      </w:r>
      <w:r>
        <w:rPr>
          <w:rFonts w:ascii="Arial" w:hAnsi="Arial"/>
          <w:w w:val="105"/>
          <w:sz w:val="19"/>
        </w:rPr>
        <w:t>minutes</w:t>
      </w:r>
      <w:r>
        <w:rPr>
          <w:rFonts w:ascii="Arial" w:hAnsi="Arial"/>
          <w:spacing w:val="-17"/>
          <w:w w:val="105"/>
          <w:sz w:val="19"/>
        </w:rPr>
        <w:t xml:space="preserve"> </w:t>
      </w:r>
      <w:r>
        <w:rPr>
          <w:rFonts w:ascii="Arial" w:hAnsi="Arial"/>
          <w:w w:val="105"/>
          <w:sz w:val="19"/>
        </w:rPr>
        <w:t>for</w:t>
      </w:r>
      <w:r>
        <w:rPr>
          <w:rFonts w:ascii="Arial" w:hAnsi="Arial"/>
          <w:spacing w:val="-19"/>
          <w:w w:val="105"/>
          <w:sz w:val="19"/>
        </w:rPr>
        <w:t xml:space="preserve"> </w:t>
      </w:r>
      <w:r>
        <w:rPr>
          <w:rFonts w:ascii="Arial" w:hAnsi="Arial"/>
          <w:w w:val="105"/>
          <w:sz w:val="19"/>
        </w:rPr>
        <w:t>‘Fees</w:t>
      </w:r>
      <w:r>
        <w:rPr>
          <w:rFonts w:ascii="Arial" w:hAnsi="Arial"/>
          <w:spacing w:val="-18"/>
          <w:w w:val="105"/>
          <w:sz w:val="19"/>
        </w:rPr>
        <w:t xml:space="preserve"> </w:t>
      </w:r>
      <w:r>
        <w:rPr>
          <w:rFonts w:ascii="Arial" w:hAnsi="Arial"/>
          <w:w w:val="105"/>
          <w:sz w:val="19"/>
        </w:rPr>
        <w:t>(ongoing)’</w:t>
      </w:r>
    </w:p>
    <w:p w:rsidR="007D76BB" w:rsidRDefault="00D70D28">
      <w:pPr>
        <w:spacing w:before="26"/>
        <w:ind w:left="765"/>
        <w:rPr>
          <w:rFonts w:ascii="Arial"/>
          <w:sz w:val="19"/>
        </w:rPr>
      </w:pPr>
      <w:r>
        <w:rPr>
          <w:rFonts w:ascii="Arial"/>
          <w:w w:val="105"/>
          <w:sz w:val="19"/>
        </w:rPr>
        <w:t>= 210 minutes</w:t>
      </w:r>
    </w:p>
    <w:p w:rsidR="007D76BB" w:rsidRDefault="00D70D28">
      <w:pPr>
        <w:pStyle w:val="ListParagraph"/>
        <w:numPr>
          <w:ilvl w:val="1"/>
          <w:numId w:val="5"/>
        </w:numPr>
        <w:tabs>
          <w:tab w:val="left" w:pos="766"/>
        </w:tabs>
        <w:spacing w:before="101"/>
        <w:rPr>
          <w:rFonts w:ascii="Arial" w:hAnsi="Arial"/>
          <w:sz w:val="19"/>
        </w:rPr>
      </w:pPr>
      <w:r>
        <w:rPr>
          <w:rFonts w:ascii="Arial" w:hAnsi="Arial"/>
          <w:w w:val="105"/>
          <w:sz w:val="19"/>
        </w:rPr>
        <w:t>Number</w:t>
      </w:r>
      <w:r>
        <w:rPr>
          <w:rFonts w:ascii="Arial" w:hAnsi="Arial"/>
          <w:spacing w:val="-12"/>
          <w:w w:val="105"/>
          <w:sz w:val="19"/>
        </w:rPr>
        <w:t xml:space="preserve"> </w:t>
      </w:r>
      <w:r>
        <w:rPr>
          <w:rFonts w:ascii="Arial" w:hAnsi="Arial"/>
          <w:w w:val="105"/>
          <w:sz w:val="19"/>
        </w:rPr>
        <w:t>of</w:t>
      </w:r>
      <w:r>
        <w:rPr>
          <w:rFonts w:ascii="Arial" w:hAnsi="Arial"/>
          <w:spacing w:val="-13"/>
          <w:w w:val="105"/>
          <w:sz w:val="19"/>
        </w:rPr>
        <w:t xml:space="preserve"> </w:t>
      </w:r>
      <w:r>
        <w:rPr>
          <w:rFonts w:ascii="Arial" w:hAnsi="Arial"/>
          <w:w w:val="105"/>
          <w:sz w:val="19"/>
        </w:rPr>
        <w:t>ARTG</w:t>
      </w:r>
      <w:r>
        <w:rPr>
          <w:rFonts w:ascii="Arial" w:hAnsi="Arial"/>
          <w:spacing w:val="-14"/>
          <w:w w:val="105"/>
          <w:sz w:val="19"/>
        </w:rPr>
        <w:t xml:space="preserve"> </w:t>
      </w:r>
      <w:r>
        <w:rPr>
          <w:rFonts w:ascii="Arial" w:hAnsi="Arial"/>
          <w:w w:val="105"/>
          <w:sz w:val="19"/>
        </w:rPr>
        <w:t>entries</w:t>
      </w:r>
      <w:r>
        <w:rPr>
          <w:rFonts w:ascii="Arial" w:hAnsi="Arial"/>
          <w:spacing w:val="-13"/>
          <w:w w:val="105"/>
          <w:sz w:val="19"/>
        </w:rPr>
        <w:t xml:space="preserve"> </w:t>
      </w:r>
      <w:r>
        <w:rPr>
          <w:rFonts w:ascii="Arial" w:hAnsi="Arial"/>
          <w:w w:val="105"/>
          <w:sz w:val="19"/>
        </w:rPr>
        <w:t>x</w:t>
      </w:r>
      <w:r>
        <w:rPr>
          <w:rFonts w:ascii="Arial" w:hAnsi="Arial"/>
          <w:spacing w:val="-13"/>
          <w:w w:val="105"/>
          <w:sz w:val="19"/>
        </w:rPr>
        <w:t xml:space="preserve"> </w:t>
      </w:r>
      <w:r>
        <w:rPr>
          <w:rFonts w:ascii="Arial" w:hAnsi="Arial"/>
          <w:w w:val="105"/>
          <w:sz w:val="19"/>
        </w:rPr>
        <w:t>years</w:t>
      </w:r>
      <w:r>
        <w:rPr>
          <w:rFonts w:ascii="Arial" w:hAnsi="Arial"/>
          <w:spacing w:val="-12"/>
          <w:w w:val="105"/>
          <w:sz w:val="19"/>
        </w:rPr>
        <w:t xml:space="preserve"> </w:t>
      </w:r>
      <w:r>
        <w:rPr>
          <w:rFonts w:ascii="Arial" w:hAnsi="Arial"/>
          <w:w w:val="105"/>
          <w:sz w:val="19"/>
        </w:rPr>
        <w:t>of</w:t>
      </w:r>
      <w:r>
        <w:rPr>
          <w:rFonts w:ascii="Arial" w:hAnsi="Arial"/>
          <w:spacing w:val="-13"/>
          <w:w w:val="105"/>
          <w:sz w:val="19"/>
        </w:rPr>
        <w:t xml:space="preserve"> </w:t>
      </w:r>
      <w:r>
        <w:rPr>
          <w:rFonts w:ascii="Arial" w:hAnsi="Arial"/>
          <w:w w:val="105"/>
          <w:sz w:val="19"/>
        </w:rPr>
        <w:t>listing</w:t>
      </w:r>
      <w:r>
        <w:rPr>
          <w:rFonts w:ascii="Arial" w:hAnsi="Arial"/>
          <w:spacing w:val="-13"/>
          <w:w w:val="105"/>
          <w:sz w:val="19"/>
        </w:rPr>
        <w:t xml:space="preserve"> </w:t>
      </w:r>
      <w:r>
        <w:rPr>
          <w:rFonts w:ascii="Arial" w:hAnsi="Arial"/>
          <w:w w:val="105"/>
          <w:sz w:val="19"/>
        </w:rPr>
        <w:t>(Years</w:t>
      </w:r>
      <w:r>
        <w:rPr>
          <w:rFonts w:ascii="Arial" w:hAnsi="Arial"/>
          <w:spacing w:val="-8"/>
          <w:w w:val="105"/>
          <w:sz w:val="19"/>
        </w:rPr>
        <w:t xml:space="preserve"> </w:t>
      </w:r>
      <w:r>
        <w:rPr>
          <w:rFonts w:ascii="Arial" w:hAnsi="Arial"/>
          <w:w w:val="105"/>
          <w:sz w:val="19"/>
        </w:rPr>
        <w:t>4</w:t>
      </w:r>
      <w:r>
        <w:rPr>
          <w:rFonts w:ascii="Arial" w:hAnsi="Arial"/>
          <w:spacing w:val="-14"/>
          <w:w w:val="105"/>
          <w:sz w:val="19"/>
        </w:rPr>
        <w:t xml:space="preserve"> </w:t>
      </w:r>
      <w:r>
        <w:rPr>
          <w:rFonts w:ascii="Arial" w:hAnsi="Arial"/>
          <w:w w:val="105"/>
          <w:sz w:val="19"/>
        </w:rPr>
        <w:t>to</w:t>
      </w:r>
      <w:r>
        <w:rPr>
          <w:rFonts w:ascii="Arial" w:hAnsi="Arial"/>
          <w:spacing w:val="-12"/>
          <w:w w:val="105"/>
          <w:sz w:val="19"/>
        </w:rPr>
        <w:t xml:space="preserve"> </w:t>
      </w:r>
      <w:r>
        <w:rPr>
          <w:rFonts w:ascii="Arial" w:hAnsi="Arial"/>
          <w:w w:val="105"/>
          <w:sz w:val="19"/>
        </w:rPr>
        <w:t>10)</w:t>
      </w:r>
      <w:r>
        <w:rPr>
          <w:rFonts w:ascii="Arial" w:hAnsi="Arial"/>
          <w:spacing w:val="-14"/>
          <w:w w:val="105"/>
          <w:sz w:val="19"/>
        </w:rPr>
        <w:t xml:space="preserve"> </w:t>
      </w:r>
      <w:r>
        <w:rPr>
          <w:rFonts w:ascii="Arial" w:hAnsi="Arial"/>
          <w:w w:val="105"/>
          <w:sz w:val="19"/>
        </w:rPr>
        <w:t>=</w:t>
      </w:r>
      <w:r>
        <w:rPr>
          <w:rFonts w:ascii="Arial" w:hAnsi="Arial"/>
          <w:spacing w:val="-11"/>
          <w:w w:val="105"/>
          <w:sz w:val="19"/>
        </w:rPr>
        <w:t xml:space="preserve"> </w:t>
      </w:r>
      <w:r>
        <w:rPr>
          <w:rFonts w:ascii="Arial" w:hAnsi="Arial"/>
          <w:w w:val="105"/>
          <w:sz w:val="19"/>
        </w:rPr>
        <w:t>309</w:t>
      </w:r>
    </w:p>
    <w:p w:rsidR="007D76BB" w:rsidRDefault="00D70D28">
      <w:pPr>
        <w:pStyle w:val="ListParagraph"/>
        <w:numPr>
          <w:ilvl w:val="1"/>
          <w:numId w:val="5"/>
        </w:numPr>
        <w:tabs>
          <w:tab w:val="left" w:pos="766"/>
        </w:tabs>
        <w:spacing w:before="103"/>
        <w:rPr>
          <w:rFonts w:ascii="Arial" w:hAnsi="Arial"/>
          <w:sz w:val="19"/>
        </w:rPr>
      </w:pPr>
      <w:r>
        <w:rPr>
          <w:rFonts w:ascii="Arial" w:hAnsi="Arial"/>
          <w:w w:val="105"/>
          <w:sz w:val="19"/>
        </w:rPr>
        <w:t>Number</w:t>
      </w:r>
      <w:r>
        <w:rPr>
          <w:rFonts w:ascii="Arial" w:hAnsi="Arial"/>
          <w:spacing w:val="-12"/>
          <w:w w:val="105"/>
          <w:sz w:val="19"/>
        </w:rPr>
        <w:t xml:space="preserve"> </w:t>
      </w:r>
      <w:r>
        <w:rPr>
          <w:rFonts w:ascii="Arial" w:hAnsi="Arial"/>
          <w:w w:val="105"/>
          <w:sz w:val="19"/>
        </w:rPr>
        <w:t>of</w:t>
      </w:r>
      <w:r>
        <w:rPr>
          <w:rFonts w:ascii="Arial" w:hAnsi="Arial"/>
          <w:spacing w:val="-13"/>
          <w:w w:val="105"/>
          <w:sz w:val="19"/>
        </w:rPr>
        <w:t xml:space="preserve"> </w:t>
      </w:r>
      <w:r>
        <w:rPr>
          <w:rFonts w:ascii="Arial" w:hAnsi="Arial"/>
          <w:w w:val="105"/>
          <w:sz w:val="19"/>
        </w:rPr>
        <w:t>ARTG</w:t>
      </w:r>
      <w:r>
        <w:rPr>
          <w:rFonts w:ascii="Arial" w:hAnsi="Arial"/>
          <w:spacing w:val="-15"/>
          <w:w w:val="105"/>
          <w:sz w:val="19"/>
        </w:rPr>
        <w:t xml:space="preserve"> </w:t>
      </w:r>
      <w:r>
        <w:rPr>
          <w:rFonts w:ascii="Arial" w:hAnsi="Arial"/>
          <w:w w:val="105"/>
          <w:sz w:val="19"/>
        </w:rPr>
        <w:t>entries</w:t>
      </w:r>
      <w:r>
        <w:rPr>
          <w:rFonts w:ascii="Arial" w:hAnsi="Arial"/>
          <w:spacing w:val="-12"/>
          <w:w w:val="105"/>
          <w:sz w:val="19"/>
        </w:rPr>
        <w:t xml:space="preserve"> </w:t>
      </w:r>
      <w:r>
        <w:rPr>
          <w:rFonts w:ascii="Arial" w:hAnsi="Arial"/>
          <w:w w:val="105"/>
          <w:sz w:val="19"/>
        </w:rPr>
        <w:t>(less</w:t>
      </w:r>
      <w:r>
        <w:rPr>
          <w:rFonts w:ascii="Arial" w:hAnsi="Arial"/>
          <w:spacing w:val="-13"/>
          <w:w w:val="105"/>
          <w:sz w:val="19"/>
        </w:rPr>
        <w:t xml:space="preserve"> </w:t>
      </w:r>
      <w:r>
        <w:rPr>
          <w:rFonts w:ascii="Arial" w:hAnsi="Arial"/>
          <w:w w:val="105"/>
          <w:sz w:val="19"/>
        </w:rPr>
        <w:t>year</w:t>
      </w:r>
      <w:r>
        <w:rPr>
          <w:rFonts w:ascii="Arial" w:hAnsi="Arial"/>
          <w:spacing w:val="-13"/>
          <w:w w:val="105"/>
          <w:sz w:val="19"/>
        </w:rPr>
        <w:t xml:space="preserve"> </w:t>
      </w:r>
      <w:r>
        <w:rPr>
          <w:rFonts w:ascii="Arial" w:hAnsi="Arial"/>
          <w:w w:val="105"/>
          <w:sz w:val="19"/>
        </w:rPr>
        <w:t>of</w:t>
      </w:r>
      <w:r>
        <w:rPr>
          <w:rFonts w:ascii="Arial" w:hAnsi="Arial"/>
          <w:spacing w:val="-13"/>
          <w:w w:val="105"/>
          <w:sz w:val="19"/>
        </w:rPr>
        <w:t xml:space="preserve"> </w:t>
      </w:r>
      <w:r>
        <w:rPr>
          <w:rFonts w:ascii="Arial" w:hAnsi="Arial"/>
          <w:w w:val="105"/>
          <w:sz w:val="19"/>
        </w:rPr>
        <w:t>listing)</w:t>
      </w:r>
      <w:r>
        <w:rPr>
          <w:rFonts w:ascii="Arial" w:hAnsi="Arial"/>
          <w:spacing w:val="-12"/>
          <w:w w:val="105"/>
          <w:sz w:val="19"/>
        </w:rPr>
        <w:t xml:space="preserve"> </w:t>
      </w:r>
      <w:r>
        <w:rPr>
          <w:rFonts w:ascii="Arial" w:hAnsi="Arial"/>
          <w:w w:val="105"/>
          <w:sz w:val="19"/>
        </w:rPr>
        <w:t>for</w:t>
      </w:r>
      <w:r>
        <w:rPr>
          <w:rFonts w:ascii="Arial" w:hAnsi="Arial"/>
          <w:spacing w:val="-11"/>
          <w:w w:val="105"/>
          <w:sz w:val="19"/>
        </w:rPr>
        <w:t xml:space="preserve"> </w:t>
      </w:r>
      <w:r>
        <w:rPr>
          <w:rFonts w:ascii="Arial" w:hAnsi="Arial"/>
          <w:w w:val="105"/>
          <w:sz w:val="19"/>
        </w:rPr>
        <w:t>Years</w:t>
      </w:r>
      <w:r>
        <w:rPr>
          <w:rFonts w:ascii="Arial" w:hAnsi="Arial"/>
          <w:spacing w:val="-7"/>
          <w:w w:val="105"/>
          <w:sz w:val="19"/>
        </w:rPr>
        <w:t xml:space="preserve"> </w:t>
      </w:r>
      <w:r>
        <w:rPr>
          <w:rFonts w:ascii="Arial" w:hAnsi="Arial"/>
          <w:w w:val="105"/>
          <w:sz w:val="19"/>
        </w:rPr>
        <w:t>4</w:t>
      </w:r>
      <w:r>
        <w:rPr>
          <w:rFonts w:ascii="Arial" w:hAnsi="Arial"/>
          <w:spacing w:val="-14"/>
          <w:w w:val="105"/>
          <w:sz w:val="19"/>
        </w:rPr>
        <w:t xml:space="preserve"> </w:t>
      </w:r>
      <w:r>
        <w:rPr>
          <w:rFonts w:ascii="Arial" w:hAnsi="Arial"/>
          <w:w w:val="105"/>
          <w:sz w:val="19"/>
        </w:rPr>
        <w:t>to</w:t>
      </w:r>
      <w:r>
        <w:rPr>
          <w:rFonts w:ascii="Arial" w:hAnsi="Arial"/>
          <w:spacing w:val="-12"/>
          <w:w w:val="105"/>
          <w:sz w:val="19"/>
        </w:rPr>
        <w:t xml:space="preserve"> </w:t>
      </w:r>
      <w:r>
        <w:rPr>
          <w:rFonts w:ascii="Arial" w:hAnsi="Arial"/>
          <w:w w:val="105"/>
          <w:sz w:val="19"/>
        </w:rPr>
        <w:t>10</w:t>
      </w:r>
      <w:r>
        <w:rPr>
          <w:rFonts w:ascii="Arial" w:hAnsi="Arial"/>
          <w:spacing w:val="-12"/>
          <w:w w:val="105"/>
          <w:sz w:val="19"/>
        </w:rPr>
        <w:t xml:space="preserve"> </w:t>
      </w:r>
      <w:r>
        <w:rPr>
          <w:rFonts w:ascii="Arial" w:hAnsi="Arial"/>
          <w:w w:val="105"/>
          <w:sz w:val="19"/>
        </w:rPr>
        <w:t>=</w:t>
      </w:r>
      <w:r>
        <w:rPr>
          <w:rFonts w:ascii="Arial" w:hAnsi="Arial"/>
          <w:spacing w:val="-13"/>
          <w:w w:val="105"/>
          <w:sz w:val="19"/>
        </w:rPr>
        <w:t xml:space="preserve"> </w:t>
      </w:r>
      <w:r>
        <w:rPr>
          <w:rFonts w:ascii="Arial" w:hAnsi="Arial"/>
          <w:w w:val="105"/>
          <w:sz w:val="19"/>
        </w:rPr>
        <w:t>224</w:t>
      </w:r>
    </w:p>
    <w:p w:rsidR="007D76BB" w:rsidRDefault="00D70D28">
      <w:pPr>
        <w:spacing w:before="91"/>
        <w:ind w:left="482"/>
        <w:rPr>
          <w:rFonts w:ascii="Arial"/>
          <w:i/>
          <w:sz w:val="20"/>
        </w:rPr>
      </w:pPr>
      <w:r>
        <w:rPr>
          <w:rFonts w:ascii="Arial"/>
          <w:i/>
          <w:sz w:val="20"/>
        </w:rPr>
        <w:t>Current population</w:t>
      </w:r>
    </w:p>
    <w:p w:rsidR="007D76BB" w:rsidRDefault="00D70D28">
      <w:pPr>
        <w:spacing w:before="92"/>
        <w:ind w:left="482"/>
        <w:rPr>
          <w:rFonts w:ascii="Arial"/>
          <w:sz w:val="19"/>
        </w:rPr>
      </w:pPr>
      <w:r>
        <w:rPr>
          <w:rFonts w:ascii="Arial"/>
          <w:i/>
          <w:sz w:val="20"/>
        </w:rPr>
        <w:t>Step 1</w:t>
      </w:r>
      <w:r>
        <w:rPr>
          <w:rFonts w:ascii="Arial"/>
          <w:sz w:val="19"/>
        </w:rPr>
        <w:t>. Calculate total time in minutes to fulfil regulatory requirement:</w:t>
      </w:r>
    </w:p>
    <w:p w:rsidR="007D76BB" w:rsidRDefault="00D70D28">
      <w:pPr>
        <w:pStyle w:val="ListParagraph"/>
        <w:numPr>
          <w:ilvl w:val="1"/>
          <w:numId w:val="5"/>
        </w:numPr>
        <w:tabs>
          <w:tab w:val="left" w:pos="766"/>
        </w:tabs>
        <w:spacing w:before="158"/>
        <w:rPr>
          <w:rFonts w:ascii="Arial" w:hAnsi="Arial"/>
          <w:sz w:val="19"/>
        </w:rPr>
      </w:pPr>
      <w:r>
        <w:rPr>
          <w:rFonts w:ascii="Arial" w:hAnsi="Arial"/>
          <w:w w:val="105"/>
          <w:sz w:val="19"/>
        </w:rPr>
        <w:t>Reformulation:</w:t>
      </w:r>
      <w:r>
        <w:rPr>
          <w:rFonts w:ascii="Arial" w:hAnsi="Arial"/>
          <w:spacing w:val="-13"/>
          <w:w w:val="105"/>
          <w:sz w:val="19"/>
        </w:rPr>
        <w:t xml:space="preserve"> </w:t>
      </w:r>
      <w:r>
        <w:rPr>
          <w:rFonts w:ascii="Arial" w:hAnsi="Arial"/>
          <w:w w:val="105"/>
          <w:sz w:val="19"/>
        </w:rPr>
        <w:t>93</w:t>
      </w:r>
      <w:r>
        <w:rPr>
          <w:rFonts w:ascii="Arial" w:hAnsi="Arial"/>
          <w:spacing w:val="-10"/>
          <w:w w:val="105"/>
          <w:sz w:val="19"/>
        </w:rPr>
        <w:t xml:space="preserve"> </w:t>
      </w:r>
      <w:r>
        <w:rPr>
          <w:rFonts w:ascii="Arial" w:hAnsi="Arial"/>
          <w:w w:val="105"/>
          <w:sz w:val="19"/>
        </w:rPr>
        <w:t>x</w:t>
      </w:r>
      <w:r>
        <w:rPr>
          <w:rFonts w:ascii="Arial" w:hAnsi="Arial"/>
          <w:spacing w:val="-13"/>
          <w:w w:val="105"/>
          <w:sz w:val="19"/>
        </w:rPr>
        <w:t xml:space="preserve"> </w:t>
      </w:r>
      <w:r>
        <w:rPr>
          <w:rFonts w:ascii="Arial" w:hAnsi="Arial"/>
          <w:w w:val="105"/>
          <w:sz w:val="19"/>
        </w:rPr>
        <w:t>2,160</w:t>
      </w:r>
      <w:r>
        <w:rPr>
          <w:rFonts w:ascii="Arial" w:hAnsi="Arial"/>
          <w:spacing w:val="-10"/>
          <w:w w:val="105"/>
          <w:sz w:val="19"/>
        </w:rPr>
        <w:t xml:space="preserve"> </w:t>
      </w:r>
      <w:r>
        <w:rPr>
          <w:rFonts w:ascii="Arial" w:hAnsi="Arial"/>
          <w:w w:val="105"/>
          <w:sz w:val="19"/>
        </w:rPr>
        <w:t>=</w:t>
      </w:r>
      <w:r>
        <w:rPr>
          <w:rFonts w:ascii="Arial" w:hAnsi="Arial"/>
          <w:spacing w:val="-14"/>
          <w:w w:val="105"/>
          <w:sz w:val="19"/>
        </w:rPr>
        <w:t xml:space="preserve"> </w:t>
      </w:r>
      <w:r>
        <w:rPr>
          <w:rFonts w:ascii="Arial" w:hAnsi="Arial"/>
          <w:w w:val="105"/>
          <w:sz w:val="19"/>
        </w:rPr>
        <w:t>200,880</w:t>
      </w:r>
      <w:r>
        <w:rPr>
          <w:rFonts w:ascii="Arial" w:hAnsi="Arial"/>
          <w:spacing w:val="-9"/>
          <w:w w:val="105"/>
          <w:sz w:val="19"/>
        </w:rPr>
        <w:t xml:space="preserve"> </w:t>
      </w:r>
      <w:r>
        <w:rPr>
          <w:rFonts w:ascii="Arial" w:hAnsi="Arial"/>
          <w:w w:val="105"/>
          <w:sz w:val="19"/>
        </w:rPr>
        <w:t>minutes</w:t>
      </w:r>
    </w:p>
    <w:p w:rsidR="007D76BB" w:rsidRDefault="00D70D28">
      <w:pPr>
        <w:pStyle w:val="ListParagraph"/>
        <w:numPr>
          <w:ilvl w:val="1"/>
          <w:numId w:val="5"/>
        </w:numPr>
        <w:tabs>
          <w:tab w:val="left" w:pos="766"/>
        </w:tabs>
        <w:spacing w:before="104"/>
        <w:rPr>
          <w:rFonts w:ascii="Arial" w:hAnsi="Arial"/>
          <w:sz w:val="19"/>
        </w:rPr>
      </w:pPr>
      <w:r>
        <w:rPr>
          <w:rFonts w:ascii="Arial" w:hAnsi="Arial"/>
          <w:w w:val="105"/>
          <w:sz w:val="19"/>
        </w:rPr>
        <w:t>List</w:t>
      </w:r>
      <w:r>
        <w:rPr>
          <w:rFonts w:ascii="Arial" w:hAnsi="Arial"/>
          <w:spacing w:val="-11"/>
          <w:w w:val="105"/>
          <w:sz w:val="19"/>
        </w:rPr>
        <w:t xml:space="preserve"> </w:t>
      </w:r>
      <w:r>
        <w:rPr>
          <w:rFonts w:ascii="Arial" w:hAnsi="Arial"/>
          <w:w w:val="105"/>
          <w:sz w:val="19"/>
        </w:rPr>
        <w:t>on</w:t>
      </w:r>
      <w:r>
        <w:rPr>
          <w:rFonts w:ascii="Arial" w:hAnsi="Arial"/>
          <w:spacing w:val="-11"/>
          <w:w w:val="105"/>
          <w:sz w:val="19"/>
        </w:rPr>
        <w:t xml:space="preserve"> </w:t>
      </w:r>
      <w:r>
        <w:rPr>
          <w:rFonts w:ascii="Arial" w:hAnsi="Arial"/>
          <w:w w:val="105"/>
          <w:sz w:val="19"/>
        </w:rPr>
        <w:t>the</w:t>
      </w:r>
      <w:r>
        <w:rPr>
          <w:rFonts w:ascii="Arial" w:hAnsi="Arial"/>
          <w:spacing w:val="-13"/>
          <w:w w:val="105"/>
          <w:sz w:val="19"/>
        </w:rPr>
        <w:t xml:space="preserve"> </w:t>
      </w:r>
      <w:r>
        <w:rPr>
          <w:rFonts w:ascii="Arial" w:hAnsi="Arial"/>
          <w:w w:val="105"/>
          <w:sz w:val="19"/>
        </w:rPr>
        <w:t>ARTG:</w:t>
      </w:r>
      <w:r>
        <w:rPr>
          <w:rFonts w:ascii="Arial" w:hAnsi="Arial"/>
          <w:spacing w:val="-10"/>
          <w:w w:val="105"/>
          <w:sz w:val="19"/>
        </w:rPr>
        <w:t xml:space="preserve"> </w:t>
      </w:r>
      <w:r>
        <w:rPr>
          <w:rFonts w:ascii="Arial" w:hAnsi="Arial"/>
          <w:w w:val="105"/>
          <w:sz w:val="19"/>
        </w:rPr>
        <w:t>87</w:t>
      </w:r>
      <w:r>
        <w:rPr>
          <w:rFonts w:ascii="Arial" w:hAnsi="Arial"/>
          <w:spacing w:val="-12"/>
          <w:w w:val="105"/>
          <w:sz w:val="19"/>
        </w:rPr>
        <w:t xml:space="preserve"> </w:t>
      </w:r>
      <w:r>
        <w:rPr>
          <w:rFonts w:ascii="Arial" w:hAnsi="Arial"/>
          <w:w w:val="105"/>
          <w:sz w:val="19"/>
        </w:rPr>
        <w:t>x</w:t>
      </w:r>
      <w:r>
        <w:rPr>
          <w:rFonts w:ascii="Arial" w:hAnsi="Arial"/>
          <w:spacing w:val="-9"/>
          <w:w w:val="105"/>
          <w:sz w:val="19"/>
        </w:rPr>
        <w:t xml:space="preserve"> </w:t>
      </w:r>
      <w:r>
        <w:rPr>
          <w:rFonts w:ascii="Arial" w:hAnsi="Arial"/>
          <w:w w:val="105"/>
          <w:sz w:val="19"/>
        </w:rPr>
        <w:t>4,210</w:t>
      </w:r>
      <w:r>
        <w:rPr>
          <w:rFonts w:ascii="Arial" w:hAnsi="Arial"/>
          <w:spacing w:val="-13"/>
          <w:w w:val="105"/>
          <w:sz w:val="19"/>
        </w:rPr>
        <w:t xml:space="preserve"> </w:t>
      </w:r>
      <w:r>
        <w:rPr>
          <w:rFonts w:ascii="Arial" w:hAnsi="Arial"/>
          <w:w w:val="105"/>
          <w:sz w:val="19"/>
        </w:rPr>
        <w:t>=</w:t>
      </w:r>
      <w:r>
        <w:rPr>
          <w:rFonts w:ascii="Arial" w:hAnsi="Arial"/>
          <w:spacing w:val="-12"/>
          <w:w w:val="105"/>
          <w:sz w:val="19"/>
        </w:rPr>
        <w:t xml:space="preserve"> </w:t>
      </w:r>
      <w:r>
        <w:rPr>
          <w:rFonts w:ascii="Arial" w:hAnsi="Arial"/>
          <w:w w:val="105"/>
          <w:sz w:val="19"/>
        </w:rPr>
        <w:t>366,270</w:t>
      </w:r>
      <w:r>
        <w:rPr>
          <w:rFonts w:ascii="Arial" w:hAnsi="Arial"/>
          <w:spacing w:val="-9"/>
          <w:w w:val="105"/>
          <w:sz w:val="19"/>
        </w:rPr>
        <w:t xml:space="preserve"> </w:t>
      </w:r>
      <w:r>
        <w:rPr>
          <w:rFonts w:ascii="Arial" w:hAnsi="Arial"/>
          <w:w w:val="105"/>
          <w:sz w:val="19"/>
        </w:rPr>
        <w:t>minutes</w:t>
      </w:r>
    </w:p>
    <w:p w:rsidR="007D76BB" w:rsidRDefault="00D70D28">
      <w:pPr>
        <w:pStyle w:val="ListParagraph"/>
        <w:numPr>
          <w:ilvl w:val="1"/>
          <w:numId w:val="5"/>
        </w:numPr>
        <w:tabs>
          <w:tab w:val="left" w:pos="766"/>
        </w:tabs>
        <w:spacing w:before="103"/>
        <w:rPr>
          <w:rFonts w:ascii="Arial" w:hAnsi="Arial"/>
          <w:sz w:val="19"/>
        </w:rPr>
      </w:pPr>
      <w:r>
        <w:rPr>
          <w:rFonts w:ascii="Arial" w:hAnsi="Arial"/>
          <w:w w:val="105"/>
          <w:sz w:val="19"/>
        </w:rPr>
        <w:t>Time</w:t>
      </w:r>
      <w:r>
        <w:rPr>
          <w:rFonts w:ascii="Arial" w:hAnsi="Arial"/>
          <w:spacing w:val="-12"/>
          <w:w w:val="105"/>
          <w:sz w:val="19"/>
        </w:rPr>
        <w:t xml:space="preserve"> </w:t>
      </w:r>
      <w:r>
        <w:rPr>
          <w:rFonts w:ascii="Arial" w:hAnsi="Arial"/>
          <w:w w:val="105"/>
          <w:sz w:val="19"/>
        </w:rPr>
        <w:t>to</w:t>
      </w:r>
      <w:r>
        <w:rPr>
          <w:rFonts w:ascii="Arial" w:hAnsi="Arial"/>
          <w:spacing w:val="-12"/>
          <w:w w:val="105"/>
          <w:sz w:val="19"/>
        </w:rPr>
        <w:t xml:space="preserve"> </w:t>
      </w:r>
      <w:r>
        <w:rPr>
          <w:rFonts w:ascii="Arial" w:hAnsi="Arial"/>
          <w:w w:val="105"/>
          <w:sz w:val="19"/>
        </w:rPr>
        <w:t>reformulate</w:t>
      </w:r>
      <w:r>
        <w:rPr>
          <w:rFonts w:ascii="Arial" w:hAnsi="Arial"/>
          <w:spacing w:val="-13"/>
          <w:w w:val="105"/>
          <w:sz w:val="19"/>
        </w:rPr>
        <w:t xml:space="preserve"> </w:t>
      </w:r>
      <w:r>
        <w:rPr>
          <w:rFonts w:ascii="Arial" w:hAnsi="Arial"/>
          <w:w w:val="105"/>
          <w:sz w:val="19"/>
        </w:rPr>
        <w:t>and</w:t>
      </w:r>
      <w:r>
        <w:rPr>
          <w:rFonts w:ascii="Arial" w:hAnsi="Arial"/>
          <w:spacing w:val="-16"/>
          <w:w w:val="105"/>
          <w:sz w:val="19"/>
        </w:rPr>
        <w:t xml:space="preserve"> </w:t>
      </w:r>
      <w:r>
        <w:rPr>
          <w:rFonts w:ascii="Arial" w:hAnsi="Arial"/>
          <w:w w:val="105"/>
          <w:sz w:val="19"/>
        </w:rPr>
        <w:t>list</w:t>
      </w:r>
      <w:r>
        <w:rPr>
          <w:rFonts w:ascii="Arial" w:hAnsi="Arial"/>
          <w:spacing w:val="-13"/>
          <w:w w:val="105"/>
          <w:sz w:val="19"/>
        </w:rPr>
        <w:t xml:space="preserve"> </w:t>
      </w:r>
      <w:r>
        <w:rPr>
          <w:rFonts w:ascii="Arial" w:hAnsi="Arial"/>
          <w:w w:val="105"/>
          <w:sz w:val="19"/>
        </w:rPr>
        <w:t>on</w:t>
      </w:r>
      <w:r>
        <w:rPr>
          <w:rFonts w:ascii="Arial" w:hAnsi="Arial"/>
          <w:spacing w:val="-11"/>
          <w:w w:val="105"/>
          <w:sz w:val="19"/>
        </w:rPr>
        <w:t xml:space="preserve"> </w:t>
      </w:r>
      <w:r>
        <w:rPr>
          <w:rFonts w:ascii="Arial" w:hAnsi="Arial"/>
          <w:w w:val="105"/>
          <w:sz w:val="19"/>
        </w:rPr>
        <w:t>the</w:t>
      </w:r>
      <w:r>
        <w:rPr>
          <w:rFonts w:ascii="Arial" w:hAnsi="Arial"/>
          <w:spacing w:val="-14"/>
          <w:w w:val="105"/>
          <w:sz w:val="19"/>
        </w:rPr>
        <w:t xml:space="preserve"> </w:t>
      </w:r>
      <w:r>
        <w:rPr>
          <w:rFonts w:ascii="Arial" w:hAnsi="Arial"/>
          <w:w w:val="105"/>
          <w:sz w:val="19"/>
        </w:rPr>
        <w:t>ARTG</w:t>
      </w:r>
      <w:r>
        <w:rPr>
          <w:rFonts w:ascii="Arial" w:hAnsi="Arial"/>
          <w:spacing w:val="-13"/>
          <w:w w:val="105"/>
          <w:sz w:val="19"/>
        </w:rPr>
        <w:t xml:space="preserve"> </w:t>
      </w:r>
      <w:r>
        <w:rPr>
          <w:rFonts w:ascii="Arial" w:hAnsi="Arial"/>
          <w:w w:val="105"/>
          <w:sz w:val="19"/>
        </w:rPr>
        <w:t>=</w:t>
      </w:r>
      <w:r>
        <w:rPr>
          <w:rFonts w:ascii="Arial" w:hAnsi="Arial"/>
          <w:spacing w:val="-8"/>
          <w:w w:val="105"/>
          <w:sz w:val="19"/>
        </w:rPr>
        <w:t xml:space="preserve"> </w:t>
      </w:r>
      <w:r>
        <w:rPr>
          <w:rFonts w:ascii="Arial" w:hAnsi="Arial"/>
          <w:w w:val="105"/>
          <w:sz w:val="19"/>
        </w:rPr>
        <w:t>200,880</w:t>
      </w:r>
      <w:r>
        <w:rPr>
          <w:rFonts w:ascii="Arial" w:hAnsi="Arial"/>
          <w:spacing w:val="-11"/>
          <w:w w:val="105"/>
          <w:sz w:val="19"/>
        </w:rPr>
        <w:t xml:space="preserve"> </w:t>
      </w:r>
      <w:r>
        <w:rPr>
          <w:rFonts w:ascii="Arial" w:hAnsi="Arial"/>
          <w:w w:val="105"/>
          <w:sz w:val="19"/>
        </w:rPr>
        <w:t>+</w:t>
      </w:r>
      <w:r>
        <w:rPr>
          <w:rFonts w:ascii="Arial" w:hAnsi="Arial"/>
          <w:spacing w:val="-12"/>
          <w:w w:val="105"/>
          <w:sz w:val="19"/>
        </w:rPr>
        <w:t xml:space="preserve"> </w:t>
      </w:r>
      <w:r>
        <w:rPr>
          <w:rFonts w:ascii="Arial" w:hAnsi="Arial"/>
          <w:w w:val="105"/>
          <w:sz w:val="19"/>
        </w:rPr>
        <w:t>366,270</w:t>
      </w:r>
      <w:r>
        <w:rPr>
          <w:rFonts w:ascii="Arial" w:hAnsi="Arial"/>
          <w:spacing w:val="-11"/>
          <w:w w:val="105"/>
          <w:sz w:val="19"/>
        </w:rPr>
        <w:t xml:space="preserve"> </w:t>
      </w:r>
      <w:r>
        <w:rPr>
          <w:rFonts w:ascii="Arial" w:hAnsi="Arial"/>
          <w:w w:val="105"/>
          <w:sz w:val="19"/>
        </w:rPr>
        <w:t>=</w:t>
      </w:r>
      <w:r>
        <w:rPr>
          <w:rFonts w:ascii="Arial" w:hAnsi="Arial"/>
          <w:spacing w:val="-12"/>
          <w:w w:val="105"/>
          <w:sz w:val="19"/>
        </w:rPr>
        <w:t xml:space="preserve"> </w:t>
      </w:r>
      <w:r>
        <w:rPr>
          <w:rFonts w:ascii="Arial" w:hAnsi="Arial"/>
          <w:w w:val="105"/>
          <w:sz w:val="19"/>
        </w:rPr>
        <w:t>567,150</w:t>
      </w:r>
      <w:r>
        <w:rPr>
          <w:rFonts w:ascii="Arial" w:hAnsi="Arial"/>
          <w:spacing w:val="-10"/>
          <w:w w:val="105"/>
          <w:sz w:val="19"/>
        </w:rPr>
        <w:t xml:space="preserve"> </w:t>
      </w:r>
      <w:r>
        <w:rPr>
          <w:rFonts w:ascii="Arial" w:hAnsi="Arial"/>
          <w:w w:val="105"/>
          <w:sz w:val="19"/>
        </w:rPr>
        <w:t>minutes</w:t>
      </w:r>
    </w:p>
    <w:p w:rsidR="007D76BB" w:rsidRDefault="00D70D28">
      <w:pPr>
        <w:spacing w:before="91"/>
        <w:ind w:left="482"/>
        <w:rPr>
          <w:rFonts w:ascii="Arial"/>
          <w:sz w:val="19"/>
        </w:rPr>
      </w:pPr>
      <w:r>
        <w:rPr>
          <w:rFonts w:ascii="Arial"/>
          <w:i/>
          <w:w w:val="105"/>
          <w:sz w:val="20"/>
        </w:rPr>
        <w:t xml:space="preserve">Step 2. </w:t>
      </w:r>
      <w:r>
        <w:rPr>
          <w:rFonts w:ascii="Arial"/>
          <w:w w:val="105"/>
          <w:sz w:val="19"/>
        </w:rPr>
        <w:t>Calculate total time in hours to fulfil regulatory requirement:</w:t>
      </w:r>
    </w:p>
    <w:p w:rsidR="007D76BB" w:rsidRDefault="00D70D28">
      <w:pPr>
        <w:pStyle w:val="ListParagraph"/>
        <w:numPr>
          <w:ilvl w:val="1"/>
          <w:numId w:val="5"/>
        </w:numPr>
        <w:tabs>
          <w:tab w:val="left" w:pos="766"/>
        </w:tabs>
        <w:spacing w:before="161"/>
        <w:rPr>
          <w:rFonts w:ascii="Arial" w:hAnsi="Arial"/>
          <w:sz w:val="19"/>
        </w:rPr>
      </w:pPr>
      <w:r>
        <w:rPr>
          <w:rFonts w:ascii="Arial" w:hAnsi="Arial"/>
          <w:w w:val="104"/>
          <w:sz w:val="19"/>
        </w:rPr>
        <w:t>56</w:t>
      </w:r>
      <w:r>
        <w:rPr>
          <w:rFonts w:ascii="Arial" w:hAnsi="Arial"/>
          <w:spacing w:val="-2"/>
          <w:w w:val="104"/>
          <w:sz w:val="19"/>
        </w:rPr>
        <w:t>7</w:t>
      </w:r>
      <w:r>
        <w:rPr>
          <w:rFonts w:ascii="Arial" w:hAnsi="Arial"/>
          <w:w w:val="71"/>
          <w:sz w:val="19"/>
        </w:rPr>
        <w:t>,</w:t>
      </w:r>
      <w:r>
        <w:rPr>
          <w:rFonts w:ascii="Arial" w:hAnsi="Arial"/>
          <w:spacing w:val="1"/>
          <w:w w:val="71"/>
          <w:sz w:val="19"/>
        </w:rPr>
        <w:t>1</w:t>
      </w:r>
      <w:r>
        <w:rPr>
          <w:rFonts w:ascii="Arial" w:hAnsi="Arial"/>
          <w:w w:val="113"/>
          <w:sz w:val="19"/>
        </w:rPr>
        <w:t>5</w:t>
      </w:r>
      <w:r>
        <w:rPr>
          <w:rFonts w:ascii="Arial" w:hAnsi="Arial"/>
          <w:spacing w:val="1"/>
          <w:w w:val="113"/>
          <w:sz w:val="19"/>
        </w:rPr>
        <w:t>0</w:t>
      </w:r>
      <w:r>
        <w:rPr>
          <w:rFonts w:ascii="Arial" w:hAnsi="Arial"/>
          <w:w w:val="175"/>
          <w:sz w:val="19"/>
        </w:rPr>
        <w:t>/</w:t>
      </w:r>
      <w:r>
        <w:rPr>
          <w:rFonts w:ascii="Arial" w:hAnsi="Arial"/>
          <w:w w:val="110"/>
          <w:sz w:val="19"/>
        </w:rPr>
        <w:t>60</w:t>
      </w:r>
      <w:r>
        <w:rPr>
          <w:rFonts w:ascii="Arial" w:hAnsi="Arial"/>
          <w:spacing w:val="-7"/>
          <w:sz w:val="19"/>
        </w:rPr>
        <w:t xml:space="preserve"> </w:t>
      </w:r>
      <w:r>
        <w:rPr>
          <w:rFonts w:ascii="Arial" w:hAnsi="Arial"/>
          <w:w w:val="110"/>
          <w:sz w:val="19"/>
        </w:rPr>
        <w:t>=</w:t>
      </w:r>
      <w:r>
        <w:rPr>
          <w:rFonts w:ascii="Arial" w:hAnsi="Arial"/>
          <w:spacing w:val="-7"/>
          <w:sz w:val="19"/>
        </w:rPr>
        <w:t xml:space="preserve"> </w:t>
      </w:r>
      <w:r>
        <w:rPr>
          <w:rFonts w:ascii="Arial" w:hAnsi="Arial"/>
          <w:w w:val="106"/>
          <w:sz w:val="19"/>
        </w:rPr>
        <w:t>9,453</w:t>
      </w:r>
      <w:r>
        <w:rPr>
          <w:rFonts w:ascii="Arial" w:hAnsi="Arial"/>
          <w:spacing w:val="-9"/>
          <w:sz w:val="19"/>
        </w:rPr>
        <w:t xml:space="preserve"> </w:t>
      </w:r>
      <w:r>
        <w:rPr>
          <w:rFonts w:ascii="Arial" w:hAnsi="Arial"/>
          <w:spacing w:val="1"/>
          <w:w w:val="101"/>
          <w:sz w:val="19"/>
        </w:rPr>
        <w:t>h</w:t>
      </w:r>
      <w:r>
        <w:rPr>
          <w:rFonts w:ascii="Arial" w:hAnsi="Arial"/>
          <w:sz w:val="19"/>
        </w:rPr>
        <w:t>ou</w:t>
      </w:r>
      <w:r>
        <w:rPr>
          <w:rFonts w:ascii="Arial" w:hAnsi="Arial"/>
          <w:w w:val="116"/>
          <w:sz w:val="19"/>
        </w:rPr>
        <w:t>r</w:t>
      </w:r>
      <w:r>
        <w:rPr>
          <w:rFonts w:ascii="Arial" w:hAnsi="Arial"/>
          <w:w w:val="93"/>
          <w:sz w:val="19"/>
        </w:rPr>
        <w:t>s</w:t>
      </w:r>
    </w:p>
    <w:p w:rsidR="007D76BB" w:rsidRDefault="00D70D28">
      <w:pPr>
        <w:spacing w:before="92"/>
        <w:ind w:left="482"/>
        <w:rPr>
          <w:rFonts w:ascii="Arial"/>
          <w:sz w:val="19"/>
        </w:rPr>
      </w:pPr>
      <w:r>
        <w:rPr>
          <w:rFonts w:ascii="Arial"/>
          <w:i/>
          <w:w w:val="105"/>
          <w:sz w:val="20"/>
        </w:rPr>
        <w:t>Step 3</w:t>
      </w:r>
      <w:r>
        <w:rPr>
          <w:rFonts w:ascii="Arial"/>
          <w:w w:val="105"/>
          <w:sz w:val="19"/>
        </w:rPr>
        <w:t>. Apply the hourly rate to determine overall regulatory compliance cost:</w:t>
      </w:r>
    </w:p>
    <w:p w:rsidR="007D76BB" w:rsidRDefault="00D70D28">
      <w:pPr>
        <w:pStyle w:val="ListParagraph"/>
        <w:numPr>
          <w:ilvl w:val="1"/>
          <w:numId w:val="5"/>
        </w:numPr>
        <w:tabs>
          <w:tab w:val="left" w:pos="766"/>
        </w:tabs>
        <w:spacing w:before="161"/>
        <w:rPr>
          <w:rFonts w:ascii="Arial" w:hAnsi="Arial"/>
          <w:sz w:val="19"/>
        </w:rPr>
      </w:pPr>
      <w:r>
        <w:rPr>
          <w:rFonts w:ascii="Arial" w:hAnsi="Arial"/>
          <w:w w:val="105"/>
          <w:sz w:val="19"/>
        </w:rPr>
        <w:t>9,453 x $84.84=</w:t>
      </w:r>
      <w:r>
        <w:rPr>
          <w:rFonts w:ascii="Arial" w:hAnsi="Arial"/>
          <w:spacing w:val="-30"/>
          <w:w w:val="105"/>
          <w:sz w:val="19"/>
        </w:rPr>
        <w:t xml:space="preserve"> </w:t>
      </w:r>
      <w:r>
        <w:rPr>
          <w:rFonts w:ascii="Arial" w:hAnsi="Arial"/>
          <w:w w:val="105"/>
          <w:sz w:val="19"/>
        </w:rPr>
        <w:t>$801,950</w:t>
      </w: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D70D28">
      <w:pPr>
        <w:pStyle w:val="BodyText"/>
        <w:rPr>
          <w:rFonts w:ascii="Arial"/>
          <w:sz w:val="13"/>
        </w:rPr>
      </w:pPr>
      <w:r>
        <w:rPr>
          <w:noProof/>
          <w:lang w:val="en-AU" w:eastAsia="en-AU"/>
        </w:rPr>
        <mc:AlternateContent>
          <mc:Choice Requires="wps">
            <w:drawing>
              <wp:anchor distT="0" distB="0" distL="0" distR="0" simplePos="0" relativeHeight="251729920" behindDoc="1" locked="0" layoutInCell="1" allowOverlap="1">
                <wp:simplePos x="0" y="0"/>
                <wp:positionH relativeFrom="page">
                  <wp:posOffset>1080770</wp:posOffset>
                </wp:positionH>
                <wp:positionV relativeFrom="paragraph">
                  <wp:posOffset>125730</wp:posOffset>
                </wp:positionV>
                <wp:extent cx="1829435" cy="1270"/>
                <wp:effectExtent l="0" t="0" r="0" b="0"/>
                <wp:wrapTopAndBottom/>
                <wp:docPr id="303"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84D25" id="Freeform 159" o:spid="_x0000_s1026" style="position:absolute;margin-left:85.1pt;margin-top:9.9pt;width:144.05pt;height:.1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" path="m,l2880,e" filled="f" strokeweight=".84pt">
                <v:path arrowok="t" o:connecttype="custom" o:connectlocs="0,0;1828800,0" o:connectangles="0,0"/>
                <w10:wrap type="topAndBottom" anchorx="page"/>
              </v:shape>
            </w:pict>
          </mc:Fallback>
        </mc:AlternateContent>
      </w:r>
    </w:p>
    <w:p w:rsidR="007D76BB" w:rsidRDefault="00D70D28">
      <w:pPr>
        <w:spacing w:before="132" w:line="268" w:lineRule="auto"/>
        <w:ind w:left="594" w:right="1181" w:hanging="113"/>
        <w:rPr>
          <w:rFonts w:ascii="Arial"/>
          <w:sz w:val="14"/>
        </w:rPr>
      </w:pPr>
      <w:r>
        <w:rPr>
          <w:rFonts w:ascii="Arial"/>
          <w:color w:val="5B6761"/>
          <w:w w:val="105"/>
          <w:position w:val="5"/>
          <w:sz w:val="8"/>
        </w:rPr>
        <w:t>59</w:t>
      </w:r>
      <w:r>
        <w:rPr>
          <w:rFonts w:ascii="Arial"/>
          <w:color w:val="5B6761"/>
          <w:spacing w:val="2"/>
          <w:w w:val="105"/>
          <w:position w:val="5"/>
          <w:sz w:val="8"/>
        </w:rPr>
        <w:t xml:space="preserve"> </w:t>
      </w:r>
      <w:r>
        <w:rPr>
          <w:rFonts w:ascii="Arial"/>
          <w:color w:val="5B6761"/>
          <w:w w:val="105"/>
          <w:sz w:val="14"/>
        </w:rPr>
        <w:t>Multiple</w:t>
      </w:r>
      <w:r>
        <w:rPr>
          <w:rFonts w:ascii="Arial"/>
          <w:color w:val="5B6761"/>
          <w:spacing w:val="-15"/>
          <w:w w:val="105"/>
          <w:sz w:val="14"/>
        </w:rPr>
        <w:t xml:space="preserve"> </w:t>
      </w:r>
      <w:r>
        <w:rPr>
          <w:rFonts w:ascii="Arial"/>
          <w:color w:val="5B6761"/>
          <w:w w:val="105"/>
          <w:sz w:val="14"/>
        </w:rPr>
        <w:t>industry</w:t>
      </w:r>
      <w:r>
        <w:rPr>
          <w:rFonts w:ascii="Arial"/>
          <w:color w:val="5B6761"/>
          <w:spacing w:val="-17"/>
          <w:w w:val="105"/>
          <w:sz w:val="14"/>
        </w:rPr>
        <w:t xml:space="preserve"> </w:t>
      </w:r>
      <w:r>
        <w:rPr>
          <w:rFonts w:ascii="Arial"/>
          <w:color w:val="5B6761"/>
          <w:w w:val="105"/>
          <w:sz w:val="14"/>
        </w:rPr>
        <w:t>stakeholders</w:t>
      </w:r>
      <w:r>
        <w:rPr>
          <w:rFonts w:ascii="Arial"/>
          <w:color w:val="5B6761"/>
          <w:spacing w:val="-13"/>
          <w:w w:val="105"/>
          <w:sz w:val="14"/>
        </w:rPr>
        <w:t xml:space="preserve"> </w:t>
      </w:r>
      <w:r>
        <w:rPr>
          <w:rFonts w:ascii="Arial"/>
          <w:color w:val="5B6761"/>
          <w:w w:val="105"/>
          <w:sz w:val="14"/>
        </w:rPr>
        <w:t>noted</w:t>
      </w:r>
      <w:r>
        <w:rPr>
          <w:rFonts w:ascii="Arial"/>
          <w:color w:val="5B6761"/>
          <w:spacing w:val="-14"/>
          <w:w w:val="105"/>
          <w:sz w:val="14"/>
        </w:rPr>
        <w:t xml:space="preserve"> </w:t>
      </w:r>
      <w:r>
        <w:rPr>
          <w:rFonts w:ascii="Arial"/>
          <w:color w:val="5B6761"/>
          <w:w w:val="105"/>
          <w:sz w:val="14"/>
        </w:rPr>
        <w:t>that</w:t>
      </w:r>
      <w:r>
        <w:rPr>
          <w:rFonts w:ascii="Arial"/>
          <w:color w:val="5B6761"/>
          <w:spacing w:val="-14"/>
          <w:w w:val="105"/>
          <w:sz w:val="14"/>
        </w:rPr>
        <w:t xml:space="preserve"> </w:t>
      </w:r>
      <w:r>
        <w:rPr>
          <w:rFonts w:ascii="Arial"/>
          <w:color w:val="5B6761"/>
          <w:w w:val="105"/>
          <w:sz w:val="14"/>
        </w:rPr>
        <w:t>the</w:t>
      </w:r>
      <w:r>
        <w:rPr>
          <w:rFonts w:ascii="Arial"/>
          <w:color w:val="5B6761"/>
          <w:spacing w:val="-16"/>
          <w:w w:val="105"/>
          <w:sz w:val="14"/>
        </w:rPr>
        <w:t xml:space="preserve"> </w:t>
      </w:r>
      <w:r>
        <w:rPr>
          <w:rFonts w:ascii="Arial"/>
          <w:color w:val="5B6761"/>
          <w:w w:val="105"/>
          <w:sz w:val="14"/>
        </w:rPr>
        <w:t>only</w:t>
      </w:r>
      <w:r>
        <w:rPr>
          <w:rFonts w:ascii="Arial"/>
          <w:color w:val="5B6761"/>
          <w:spacing w:val="-15"/>
          <w:w w:val="105"/>
          <w:sz w:val="14"/>
        </w:rPr>
        <w:t xml:space="preserve"> </w:t>
      </w:r>
      <w:r>
        <w:rPr>
          <w:rFonts w:ascii="Arial"/>
          <w:color w:val="5B6761"/>
          <w:w w:val="105"/>
          <w:sz w:val="14"/>
        </w:rPr>
        <w:t>exceptions</w:t>
      </w:r>
      <w:r>
        <w:rPr>
          <w:rFonts w:ascii="Arial"/>
          <w:color w:val="5B6761"/>
          <w:spacing w:val="-15"/>
          <w:w w:val="105"/>
          <w:sz w:val="14"/>
        </w:rPr>
        <w:t xml:space="preserve"> </w:t>
      </w:r>
      <w:r>
        <w:rPr>
          <w:rFonts w:ascii="Arial"/>
          <w:color w:val="5B6761"/>
          <w:w w:val="105"/>
          <w:sz w:val="14"/>
        </w:rPr>
        <w:t>to</w:t>
      </w:r>
      <w:r>
        <w:rPr>
          <w:rFonts w:ascii="Arial"/>
          <w:color w:val="5B6761"/>
          <w:spacing w:val="-16"/>
          <w:w w:val="105"/>
          <w:sz w:val="14"/>
        </w:rPr>
        <w:t xml:space="preserve"> </w:t>
      </w:r>
      <w:r>
        <w:rPr>
          <w:rFonts w:ascii="Arial"/>
          <w:color w:val="5B6761"/>
          <w:w w:val="105"/>
          <w:sz w:val="14"/>
        </w:rPr>
        <w:t>the</w:t>
      </w:r>
      <w:r>
        <w:rPr>
          <w:rFonts w:ascii="Arial"/>
          <w:color w:val="5B6761"/>
          <w:spacing w:val="-15"/>
          <w:w w:val="105"/>
          <w:sz w:val="14"/>
        </w:rPr>
        <w:t xml:space="preserve"> </w:t>
      </w:r>
      <w:r>
        <w:rPr>
          <w:rFonts w:ascii="Arial"/>
          <w:color w:val="5B6761"/>
          <w:w w:val="105"/>
          <w:sz w:val="14"/>
        </w:rPr>
        <w:t>5-10-year</w:t>
      </w:r>
      <w:r>
        <w:rPr>
          <w:rFonts w:ascii="Arial"/>
          <w:color w:val="5B6761"/>
          <w:spacing w:val="-15"/>
          <w:w w:val="105"/>
          <w:sz w:val="14"/>
        </w:rPr>
        <w:t xml:space="preserve"> </w:t>
      </w:r>
      <w:r>
        <w:rPr>
          <w:rFonts w:ascii="Arial"/>
          <w:color w:val="5B6761"/>
          <w:w w:val="105"/>
          <w:sz w:val="14"/>
        </w:rPr>
        <w:t>label</w:t>
      </w:r>
      <w:r>
        <w:rPr>
          <w:rFonts w:ascii="Arial"/>
          <w:color w:val="5B6761"/>
          <w:spacing w:val="-15"/>
          <w:w w:val="105"/>
          <w:sz w:val="14"/>
        </w:rPr>
        <w:t xml:space="preserve"> </w:t>
      </w:r>
      <w:r>
        <w:rPr>
          <w:rFonts w:ascii="Arial"/>
          <w:color w:val="5B6761"/>
          <w:w w:val="105"/>
          <w:sz w:val="14"/>
        </w:rPr>
        <w:t>refresh</w:t>
      </w:r>
      <w:r>
        <w:rPr>
          <w:rFonts w:ascii="Arial"/>
          <w:color w:val="5B6761"/>
          <w:spacing w:val="-14"/>
          <w:w w:val="105"/>
          <w:sz w:val="14"/>
        </w:rPr>
        <w:t xml:space="preserve"> </w:t>
      </w:r>
      <w:r>
        <w:rPr>
          <w:rFonts w:ascii="Arial"/>
          <w:color w:val="5B6761"/>
          <w:w w:val="105"/>
          <w:sz w:val="14"/>
        </w:rPr>
        <w:t>period</w:t>
      </w:r>
      <w:r>
        <w:rPr>
          <w:rFonts w:ascii="Arial"/>
          <w:color w:val="5B6761"/>
          <w:spacing w:val="-14"/>
          <w:w w:val="105"/>
          <w:sz w:val="14"/>
        </w:rPr>
        <w:t xml:space="preserve"> </w:t>
      </w:r>
      <w:r>
        <w:rPr>
          <w:rFonts w:ascii="Arial"/>
          <w:color w:val="5B6761"/>
          <w:w w:val="105"/>
          <w:sz w:val="14"/>
        </w:rPr>
        <w:t>would</w:t>
      </w:r>
      <w:r>
        <w:rPr>
          <w:rFonts w:ascii="Arial"/>
          <w:color w:val="5B6761"/>
          <w:spacing w:val="-14"/>
          <w:w w:val="105"/>
          <w:sz w:val="14"/>
        </w:rPr>
        <w:t xml:space="preserve"> </w:t>
      </w:r>
      <w:r>
        <w:rPr>
          <w:rFonts w:ascii="Arial"/>
          <w:color w:val="5B6761"/>
          <w:w w:val="105"/>
          <w:sz w:val="14"/>
        </w:rPr>
        <w:t>be</w:t>
      </w:r>
      <w:r>
        <w:rPr>
          <w:rFonts w:ascii="Arial"/>
          <w:color w:val="5B6761"/>
          <w:spacing w:val="-16"/>
          <w:w w:val="105"/>
          <w:sz w:val="14"/>
        </w:rPr>
        <w:t xml:space="preserve"> </w:t>
      </w:r>
      <w:r>
        <w:rPr>
          <w:rFonts w:ascii="Arial"/>
          <w:color w:val="5B6761"/>
          <w:w w:val="105"/>
          <w:sz w:val="14"/>
        </w:rPr>
        <w:t>in</w:t>
      </w:r>
      <w:r>
        <w:rPr>
          <w:rFonts w:ascii="Arial"/>
          <w:color w:val="5B6761"/>
          <w:spacing w:val="-17"/>
          <w:w w:val="105"/>
          <w:sz w:val="14"/>
        </w:rPr>
        <w:t xml:space="preserve"> </w:t>
      </w:r>
      <w:r>
        <w:rPr>
          <w:rFonts w:ascii="Arial"/>
          <w:color w:val="5B6761"/>
          <w:w w:val="105"/>
          <w:sz w:val="14"/>
        </w:rPr>
        <w:t>the</w:t>
      </w:r>
      <w:r>
        <w:rPr>
          <w:rFonts w:ascii="Arial"/>
          <w:color w:val="5B6761"/>
          <w:spacing w:val="-17"/>
          <w:w w:val="105"/>
          <w:sz w:val="14"/>
        </w:rPr>
        <w:t xml:space="preserve"> </w:t>
      </w:r>
      <w:r>
        <w:rPr>
          <w:rFonts w:ascii="Arial"/>
          <w:color w:val="5B6761"/>
          <w:w w:val="105"/>
          <w:sz w:val="14"/>
        </w:rPr>
        <w:t>case</w:t>
      </w:r>
      <w:r>
        <w:rPr>
          <w:rFonts w:ascii="Arial"/>
          <w:color w:val="5B6761"/>
          <w:spacing w:val="-16"/>
          <w:w w:val="105"/>
          <w:sz w:val="14"/>
        </w:rPr>
        <w:t xml:space="preserve"> </w:t>
      </w:r>
      <w:r>
        <w:rPr>
          <w:rFonts w:ascii="Arial"/>
          <w:color w:val="5B6761"/>
          <w:w w:val="105"/>
          <w:sz w:val="14"/>
        </w:rPr>
        <w:t>of reformulation</w:t>
      </w:r>
      <w:r>
        <w:rPr>
          <w:rFonts w:ascii="Arial"/>
          <w:color w:val="5B6761"/>
          <w:spacing w:val="-10"/>
          <w:w w:val="105"/>
          <w:sz w:val="14"/>
        </w:rPr>
        <w:t xml:space="preserve"> </w:t>
      </w:r>
      <w:r>
        <w:rPr>
          <w:rFonts w:ascii="Arial"/>
          <w:color w:val="5B6761"/>
          <w:w w:val="105"/>
          <w:sz w:val="14"/>
        </w:rPr>
        <w:t>(ingredients)</w:t>
      </w:r>
      <w:r>
        <w:rPr>
          <w:rFonts w:ascii="Arial"/>
          <w:color w:val="5B6761"/>
          <w:spacing w:val="-10"/>
          <w:w w:val="105"/>
          <w:sz w:val="14"/>
        </w:rPr>
        <w:t xml:space="preserve"> </w:t>
      </w:r>
      <w:r>
        <w:rPr>
          <w:rFonts w:ascii="Arial"/>
          <w:color w:val="5B6761"/>
          <w:w w:val="105"/>
          <w:sz w:val="14"/>
        </w:rPr>
        <w:t>or</w:t>
      </w:r>
      <w:r>
        <w:rPr>
          <w:rFonts w:ascii="Arial"/>
          <w:color w:val="5B6761"/>
          <w:spacing w:val="-9"/>
          <w:w w:val="105"/>
          <w:sz w:val="14"/>
        </w:rPr>
        <w:t xml:space="preserve"> </w:t>
      </w:r>
      <w:r>
        <w:rPr>
          <w:rFonts w:ascii="Arial"/>
          <w:color w:val="5B6761"/>
          <w:w w:val="105"/>
          <w:sz w:val="14"/>
        </w:rPr>
        <w:t>a</w:t>
      </w:r>
      <w:r>
        <w:rPr>
          <w:rFonts w:ascii="Arial"/>
          <w:color w:val="5B6761"/>
          <w:spacing w:val="-9"/>
          <w:w w:val="105"/>
          <w:sz w:val="14"/>
        </w:rPr>
        <w:t xml:space="preserve"> </w:t>
      </w:r>
      <w:r>
        <w:rPr>
          <w:rFonts w:ascii="Arial"/>
          <w:color w:val="5B6761"/>
          <w:w w:val="105"/>
          <w:sz w:val="14"/>
        </w:rPr>
        <w:t>regulatory</w:t>
      </w:r>
      <w:r>
        <w:rPr>
          <w:rFonts w:ascii="Arial"/>
          <w:color w:val="5B6761"/>
          <w:spacing w:val="-10"/>
          <w:w w:val="105"/>
          <w:sz w:val="14"/>
        </w:rPr>
        <w:t xml:space="preserve"> </w:t>
      </w:r>
      <w:r>
        <w:rPr>
          <w:rFonts w:ascii="Arial"/>
          <w:color w:val="5B6761"/>
          <w:w w:val="105"/>
          <w:sz w:val="14"/>
        </w:rPr>
        <w:t>change</w:t>
      </w:r>
      <w:r>
        <w:rPr>
          <w:rFonts w:ascii="Arial"/>
          <w:color w:val="5B6761"/>
          <w:spacing w:val="-11"/>
          <w:w w:val="105"/>
          <w:sz w:val="14"/>
        </w:rPr>
        <w:t xml:space="preserve"> </w:t>
      </w:r>
      <w:r>
        <w:rPr>
          <w:rFonts w:ascii="Arial"/>
          <w:color w:val="5B6761"/>
          <w:w w:val="105"/>
          <w:sz w:val="14"/>
        </w:rPr>
        <w:t>requiring</w:t>
      </w:r>
      <w:r>
        <w:rPr>
          <w:rFonts w:ascii="Arial"/>
          <w:color w:val="5B6761"/>
          <w:spacing w:val="-9"/>
          <w:w w:val="105"/>
          <w:sz w:val="14"/>
        </w:rPr>
        <w:t xml:space="preserve"> </w:t>
      </w:r>
      <w:r>
        <w:rPr>
          <w:rFonts w:ascii="Arial"/>
          <w:color w:val="5B6761"/>
          <w:w w:val="105"/>
          <w:sz w:val="14"/>
        </w:rPr>
        <w:t>changes</w:t>
      </w:r>
      <w:r>
        <w:rPr>
          <w:rFonts w:ascii="Arial"/>
          <w:color w:val="5B6761"/>
          <w:spacing w:val="-10"/>
          <w:w w:val="105"/>
          <w:sz w:val="14"/>
        </w:rPr>
        <w:t xml:space="preserve"> </w:t>
      </w:r>
      <w:r>
        <w:rPr>
          <w:rFonts w:ascii="Arial"/>
          <w:color w:val="5B6761"/>
          <w:w w:val="105"/>
          <w:sz w:val="14"/>
        </w:rPr>
        <w:t>to</w:t>
      </w:r>
      <w:r>
        <w:rPr>
          <w:rFonts w:ascii="Arial"/>
          <w:color w:val="5B6761"/>
          <w:spacing w:val="-11"/>
          <w:w w:val="105"/>
          <w:sz w:val="14"/>
        </w:rPr>
        <w:t xml:space="preserve"> </w:t>
      </w:r>
      <w:r>
        <w:rPr>
          <w:rFonts w:ascii="Arial"/>
          <w:color w:val="5B6761"/>
          <w:w w:val="105"/>
          <w:sz w:val="14"/>
        </w:rPr>
        <w:t>labelling</w:t>
      </w:r>
      <w:r>
        <w:rPr>
          <w:rFonts w:ascii="Arial"/>
          <w:color w:val="5B6761"/>
          <w:spacing w:val="-9"/>
          <w:w w:val="105"/>
          <w:sz w:val="14"/>
        </w:rPr>
        <w:t xml:space="preserve"> </w:t>
      </w:r>
      <w:r>
        <w:rPr>
          <w:rFonts w:ascii="Arial"/>
          <w:color w:val="5B6761"/>
          <w:w w:val="105"/>
          <w:sz w:val="14"/>
        </w:rPr>
        <w:t>information.</w:t>
      </w:r>
    </w:p>
    <w:p w:rsidR="007D76BB" w:rsidRDefault="00D70D28">
      <w:pPr>
        <w:spacing w:before="59" w:line="268" w:lineRule="auto"/>
        <w:ind w:left="594" w:right="879" w:hanging="113"/>
        <w:rPr>
          <w:rFonts w:ascii="Arial"/>
          <w:sz w:val="14"/>
        </w:rPr>
      </w:pPr>
      <w:r>
        <w:rPr>
          <w:rFonts w:ascii="Arial"/>
          <w:color w:val="5B6761"/>
          <w:w w:val="105"/>
          <w:position w:val="5"/>
          <w:sz w:val="8"/>
        </w:rPr>
        <w:t xml:space="preserve">60 </w:t>
      </w:r>
      <w:r>
        <w:rPr>
          <w:rFonts w:ascii="Arial"/>
          <w:color w:val="5B6761"/>
          <w:w w:val="105"/>
          <w:sz w:val="14"/>
        </w:rPr>
        <w:t>It is noted that while withdrawing a product from the market does not incur increased regulatory costs (assuming that this will be done</w:t>
      </w:r>
      <w:r>
        <w:rPr>
          <w:rFonts w:ascii="Arial"/>
          <w:color w:val="5B6761"/>
          <w:spacing w:val="-16"/>
          <w:w w:val="105"/>
          <w:sz w:val="14"/>
        </w:rPr>
        <w:t xml:space="preserve"> </w:t>
      </w:r>
      <w:r>
        <w:rPr>
          <w:rFonts w:ascii="Arial"/>
          <w:color w:val="5B6761"/>
          <w:w w:val="105"/>
          <w:sz w:val="14"/>
        </w:rPr>
        <w:t>over</w:t>
      </w:r>
      <w:r>
        <w:rPr>
          <w:rFonts w:ascii="Arial"/>
          <w:color w:val="5B6761"/>
          <w:spacing w:val="-13"/>
          <w:w w:val="105"/>
          <w:sz w:val="14"/>
        </w:rPr>
        <w:t xml:space="preserve"> </w:t>
      </w:r>
      <w:r>
        <w:rPr>
          <w:rFonts w:ascii="Arial"/>
          <w:color w:val="5B6761"/>
          <w:w w:val="105"/>
          <w:sz w:val="14"/>
        </w:rPr>
        <w:t>the</w:t>
      </w:r>
      <w:r>
        <w:rPr>
          <w:rFonts w:ascii="Arial"/>
          <w:color w:val="5B6761"/>
          <w:spacing w:val="-15"/>
          <w:w w:val="105"/>
          <w:sz w:val="14"/>
        </w:rPr>
        <w:t xml:space="preserve"> </w:t>
      </w:r>
      <w:r>
        <w:rPr>
          <w:rFonts w:ascii="Arial"/>
          <w:color w:val="5B6761"/>
          <w:w w:val="105"/>
          <w:sz w:val="14"/>
        </w:rPr>
        <w:t>transition</w:t>
      </w:r>
      <w:r>
        <w:rPr>
          <w:rFonts w:ascii="Arial"/>
          <w:color w:val="5B6761"/>
          <w:spacing w:val="-14"/>
          <w:w w:val="105"/>
          <w:sz w:val="14"/>
        </w:rPr>
        <w:t xml:space="preserve"> </w:t>
      </w:r>
      <w:r>
        <w:rPr>
          <w:rFonts w:ascii="Arial"/>
          <w:color w:val="5B6761"/>
          <w:w w:val="105"/>
          <w:sz w:val="14"/>
        </w:rPr>
        <w:t>period</w:t>
      </w:r>
      <w:r>
        <w:rPr>
          <w:rFonts w:ascii="Arial"/>
          <w:color w:val="5B6761"/>
          <w:spacing w:val="-13"/>
          <w:w w:val="105"/>
          <w:sz w:val="14"/>
        </w:rPr>
        <w:t xml:space="preserve"> </w:t>
      </w:r>
      <w:r>
        <w:rPr>
          <w:rFonts w:ascii="Arial"/>
          <w:color w:val="5B6761"/>
          <w:w w:val="105"/>
          <w:sz w:val="14"/>
        </w:rPr>
        <w:t>and</w:t>
      </w:r>
      <w:r>
        <w:rPr>
          <w:rFonts w:ascii="Arial"/>
          <w:color w:val="5B6761"/>
          <w:spacing w:val="-14"/>
          <w:w w:val="105"/>
          <w:sz w:val="14"/>
        </w:rPr>
        <w:t xml:space="preserve"> </w:t>
      </w:r>
      <w:r>
        <w:rPr>
          <w:rFonts w:ascii="Arial"/>
          <w:color w:val="5B6761"/>
          <w:w w:val="105"/>
          <w:sz w:val="14"/>
        </w:rPr>
        <w:t>that</w:t>
      </w:r>
      <w:r>
        <w:rPr>
          <w:rFonts w:ascii="Arial"/>
          <w:color w:val="5B6761"/>
          <w:spacing w:val="-13"/>
          <w:w w:val="105"/>
          <w:sz w:val="14"/>
        </w:rPr>
        <w:t xml:space="preserve"> </w:t>
      </w:r>
      <w:r>
        <w:rPr>
          <w:rFonts w:ascii="Arial"/>
          <w:color w:val="5B6761"/>
          <w:w w:val="105"/>
          <w:sz w:val="14"/>
        </w:rPr>
        <w:t>stock</w:t>
      </w:r>
      <w:r>
        <w:rPr>
          <w:rFonts w:ascii="Arial"/>
          <w:color w:val="5B6761"/>
          <w:spacing w:val="-14"/>
          <w:w w:val="105"/>
          <w:sz w:val="14"/>
        </w:rPr>
        <w:t xml:space="preserve"> </w:t>
      </w:r>
      <w:r>
        <w:rPr>
          <w:rFonts w:ascii="Arial"/>
          <w:color w:val="5B6761"/>
          <w:w w:val="105"/>
          <w:sz w:val="14"/>
        </w:rPr>
        <w:t>refresh</w:t>
      </w:r>
      <w:r>
        <w:rPr>
          <w:rFonts w:ascii="Arial"/>
          <w:color w:val="5B6761"/>
          <w:spacing w:val="-14"/>
          <w:w w:val="105"/>
          <w:sz w:val="14"/>
        </w:rPr>
        <w:t xml:space="preserve"> </w:t>
      </w:r>
      <w:r>
        <w:rPr>
          <w:rFonts w:ascii="Arial"/>
          <w:color w:val="5B6761"/>
          <w:w w:val="105"/>
          <w:sz w:val="14"/>
        </w:rPr>
        <w:t>cycles</w:t>
      </w:r>
      <w:r>
        <w:rPr>
          <w:rFonts w:ascii="Arial"/>
          <w:color w:val="5B6761"/>
          <w:spacing w:val="-14"/>
          <w:w w:val="105"/>
          <w:sz w:val="14"/>
        </w:rPr>
        <w:t xml:space="preserve"> </w:t>
      </w:r>
      <w:r>
        <w:rPr>
          <w:rFonts w:ascii="Arial"/>
          <w:color w:val="5B6761"/>
          <w:w w:val="105"/>
          <w:sz w:val="14"/>
        </w:rPr>
        <w:t>are</w:t>
      </w:r>
      <w:r>
        <w:rPr>
          <w:rFonts w:ascii="Arial"/>
          <w:color w:val="5B6761"/>
          <w:spacing w:val="-15"/>
          <w:w w:val="105"/>
          <w:sz w:val="14"/>
        </w:rPr>
        <w:t xml:space="preserve"> </w:t>
      </w:r>
      <w:r>
        <w:rPr>
          <w:rFonts w:ascii="Arial"/>
          <w:color w:val="5B6761"/>
          <w:w w:val="105"/>
          <w:sz w:val="14"/>
        </w:rPr>
        <w:t>such</w:t>
      </w:r>
      <w:r>
        <w:rPr>
          <w:rFonts w:ascii="Arial"/>
          <w:color w:val="5B6761"/>
          <w:spacing w:val="-14"/>
          <w:w w:val="105"/>
          <w:sz w:val="14"/>
        </w:rPr>
        <w:t xml:space="preserve"> </w:t>
      </w:r>
      <w:r>
        <w:rPr>
          <w:rFonts w:ascii="Arial"/>
          <w:color w:val="5B6761"/>
          <w:w w:val="105"/>
          <w:sz w:val="14"/>
        </w:rPr>
        <w:t>that</w:t>
      </w:r>
      <w:r>
        <w:rPr>
          <w:rFonts w:ascii="Arial"/>
          <w:color w:val="5B6761"/>
          <w:spacing w:val="-13"/>
          <w:w w:val="105"/>
          <w:sz w:val="14"/>
        </w:rPr>
        <w:t xml:space="preserve"> </w:t>
      </w:r>
      <w:r>
        <w:rPr>
          <w:rFonts w:ascii="Arial"/>
          <w:color w:val="5B6761"/>
          <w:w w:val="105"/>
          <w:sz w:val="14"/>
        </w:rPr>
        <w:t>no</w:t>
      </w:r>
      <w:r>
        <w:rPr>
          <w:rFonts w:ascii="Arial"/>
          <w:color w:val="5B6761"/>
          <w:spacing w:val="-17"/>
          <w:w w:val="105"/>
          <w:sz w:val="14"/>
        </w:rPr>
        <w:t xml:space="preserve"> </w:t>
      </w:r>
      <w:r>
        <w:rPr>
          <w:rFonts w:ascii="Arial"/>
          <w:color w:val="5B6761"/>
          <w:w w:val="105"/>
          <w:sz w:val="14"/>
        </w:rPr>
        <w:t>product</w:t>
      </w:r>
      <w:r>
        <w:rPr>
          <w:rFonts w:ascii="Arial"/>
          <w:color w:val="5B6761"/>
          <w:spacing w:val="-14"/>
          <w:w w:val="105"/>
          <w:sz w:val="14"/>
        </w:rPr>
        <w:t xml:space="preserve"> </w:t>
      </w:r>
      <w:r>
        <w:rPr>
          <w:rFonts w:ascii="Arial"/>
          <w:color w:val="5B6761"/>
          <w:w w:val="105"/>
          <w:sz w:val="14"/>
        </w:rPr>
        <w:t>recall</w:t>
      </w:r>
      <w:r>
        <w:rPr>
          <w:rFonts w:ascii="Arial"/>
          <w:color w:val="5B6761"/>
          <w:spacing w:val="-14"/>
          <w:w w:val="105"/>
          <w:sz w:val="14"/>
        </w:rPr>
        <w:t xml:space="preserve"> </w:t>
      </w:r>
      <w:r>
        <w:rPr>
          <w:rFonts w:ascii="Arial"/>
          <w:color w:val="5B6761"/>
          <w:w w:val="105"/>
          <w:sz w:val="14"/>
        </w:rPr>
        <w:t>will</w:t>
      </w:r>
      <w:r>
        <w:rPr>
          <w:rFonts w:ascii="Arial"/>
          <w:color w:val="5B6761"/>
          <w:spacing w:val="-14"/>
          <w:w w:val="105"/>
          <w:sz w:val="14"/>
        </w:rPr>
        <w:t xml:space="preserve"> </w:t>
      </w:r>
      <w:r>
        <w:rPr>
          <w:rFonts w:ascii="Arial"/>
          <w:color w:val="5B6761"/>
          <w:w w:val="105"/>
          <w:sz w:val="14"/>
        </w:rPr>
        <w:t>be</w:t>
      </w:r>
      <w:r>
        <w:rPr>
          <w:rFonts w:ascii="Arial"/>
          <w:color w:val="5B6761"/>
          <w:spacing w:val="-15"/>
          <w:w w:val="105"/>
          <w:sz w:val="14"/>
        </w:rPr>
        <w:t xml:space="preserve"> </w:t>
      </w:r>
      <w:r>
        <w:rPr>
          <w:rFonts w:ascii="Arial"/>
          <w:color w:val="5B6761"/>
          <w:w w:val="105"/>
          <w:sz w:val="14"/>
        </w:rPr>
        <w:t>required),</w:t>
      </w:r>
      <w:r>
        <w:rPr>
          <w:rFonts w:ascii="Arial"/>
          <w:color w:val="5B6761"/>
          <w:spacing w:val="-15"/>
          <w:w w:val="105"/>
          <w:sz w:val="14"/>
        </w:rPr>
        <w:t xml:space="preserve"> </w:t>
      </w:r>
      <w:r>
        <w:rPr>
          <w:rFonts w:ascii="Arial"/>
          <w:color w:val="5B6761"/>
          <w:w w:val="105"/>
          <w:sz w:val="14"/>
        </w:rPr>
        <w:t>significant</w:t>
      </w:r>
      <w:r>
        <w:rPr>
          <w:rFonts w:ascii="Arial"/>
          <w:color w:val="5B6761"/>
          <w:spacing w:val="-13"/>
          <w:w w:val="105"/>
          <w:sz w:val="14"/>
        </w:rPr>
        <w:t xml:space="preserve"> </w:t>
      </w:r>
      <w:r>
        <w:rPr>
          <w:rFonts w:ascii="Arial"/>
          <w:color w:val="5B6761"/>
          <w:w w:val="105"/>
          <w:sz w:val="14"/>
        </w:rPr>
        <w:t>economic costs</w:t>
      </w:r>
      <w:r>
        <w:rPr>
          <w:rFonts w:ascii="Arial"/>
          <w:color w:val="5B6761"/>
          <w:spacing w:val="-18"/>
          <w:w w:val="105"/>
          <w:sz w:val="14"/>
        </w:rPr>
        <w:t xml:space="preserve"> </w:t>
      </w:r>
      <w:r>
        <w:rPr>
          <w:rFonts w:ascii="Arial"/>
          <w:color w:val="5B6761"/>
          <w:w w:val="105"/>
          <w:sz w:val="14"/>
        </w:rPr>
        <w:t>in</w:t>
      </w:r>
      <w:r>
        <w:rPr>
          <w:rFonts w:ascii="Arial"/>
          <w:color w:val="5B6761"/>
          <w:spacing w:val="-18"/>
          <w:w w:val="105"/>
          <w:sz w:val="14"/>
        </w:rPr>
        <w:t xml:space="preserve"> </w:t>
      </w:r>
      <w:r>
        <w:rPr>
          <w:rFonts w:ascii="Arial"/>
          <w:color w:val="5B6761"/>
          <w:w w:val="105"/>
          <w:sz w:val="14"/>
        </w:rPr>
        <w:t>relation</w:t>
      </w:r>
      <w:r>
        <w:rPr>
          <w:rFonts w:ascii="Arial"/>
          <w:color w:val="5B6761"/>
          <w:spacing w:val="-17"/>
          <w:w w:val="105"/>
          <w:sz w:val="14"/>
        </w:rPr>
        <w:t xml:space="preserve"> </w:t>
      </w:r>
      <w:r>
        <w:rPr>
          <w:rFonts w:ascii="Arial"/>
          <w:color w:val="5B6761"/>
          <w:w w:val="105"/>
          <w:sz w:val="14"/>
        </w:rPr>
        <w:t>to</w:t>
      </w:r>
      <w:r>
        <w:rPr>
          <w:rFonts w:ascii="Arial"/>
          <w:color w:val="5B6761"/>
          <w:spacing w:val="-19"/>
          <w:w w:val="105"/>
          <w:sz w:val="14"/>
        </w:rPr>
        <w:t xml:space="preserve"> </w:t>
      </w:r>
      <w:r>
        <w:rPr>
          <w:rFonts w:ascii="Arial"/>
          <w:color w:val="5B6761"/>
          <w:w w:val="105"/>
          <w:sz w:val="14"/>
        </w:rPr>
        <w:t>lost</w:t>
      </w:r>
      <w:r>
        <w:rPr>
          <w:rFonts w:ascii="Arial"/>
          <w:color w:val="5B6761"/>
          <w:spacing w:val="-17"/>
          <w:w w:val="105"/>
          <w:sz w:val="14"/>
        </w:rPr>
        <w:t xml:space="preserve"> </w:t>
      </w:r>
      <w:r>
        <w:rPr>
          <w:rFonts w:ascii="Arial"/>
          <w:color w:val="5B6761"/>
          <w:w w:val="105"/>
          <w:sz w:val="14"/>
        </w:rPr>
        <w:t>sales</w:t>
      </w:r>
      <w:r>
        <w:rPr>
          <w:rFonts w:ascii="Arial"/>
          <w:color w:val="5B6761"/>
          <w:spacing w:val="-18"/>
          <w:w w:val="105"/>
          <w:sz w:val="14"/>
        </w:rPr>
        <w:t xml:space="preserve"> </w:t>
      </w:r>
      <w:r>
        <w:rPr>
          <w:rFonts w:ascii="Arial"/>
          <w:color w:val="5B6761"/>
          <w:w w:val="105"/>
          <w:sz w:val="14"/>
        </w:rPr>
        <w:t>(with</w:t>
      </w:r>
      <w:r>
        <w:rPr>
          <w:rFonts w:ascii="Arial"/>
          <w:color w:val="5B6761"/>
          <w:spacing w:val="-17"/>
          <w:w w:val="105"/>
          <w:sz w:val="14"/>
        </w:rPr>
        <w:t xml:space="preserve"> </w:t>
      </w:r>
      <w:r>
        <w:rPr>
          <w:rFonts w:ascii="Arial"/>
          <w:color w:val="5B6761"/>
          <w:w w:val="105"/>
          <w:sz w:val="14"/>
        </w:rPr>
        <w:t>business</w:t>
      </w:r>
      <w:r>
        <w:rPr>
          <w:rFonts w:ascii="Arial"/>
          <w:color w:val="5B6761"/>
          <w:spacing w:val="-18"/>
          <w:w w:val="105"/>
          <w:sz w:val="14"/>
        </w:rPr>
        <w:t xml:space="preserve"> </w:t>
      </w:r>
      <w:r>
        <w:rPr>
          <w:rFonts w:ascii="Arial"/>
          <w:color w:val="5B6761"/>
          <w:w w:val="105"/>
          <w:sz w:val="14"/>
        </w:rPr>
        <w:t>likely</w:t>
      </w:r>
      <w:r>
        <w:rPr>
          <w:rFonts w:ascii="Arial"/>
          <w:color w:val="5B6761"/>
          <w:spacing w:val="-18"/>
          <w:w w:val="105"/>
          <w:sz w:val="14"/>
        </w:rPr>
        <w:t xml:space="preserve"> </w:t>
      </w:r>
      <w:r>
        <w:rPr>
          <w:rFonts w:ascii="Arial"/>
          <w:color w:val="5B6761"/>
          <w:w w:val="105"/>
          <w:sz w:val="14"/>
        </w:rPr>
        <w:t>flowing</w:t>
      </w:r>
      <w:r>
        <w:rPr>
          <w:rFonts w:ascii="Arial"/>
          <w:color w:val="5B6761"/>
          <w:spacing w:val="-18"/>
          <w:w w:val="105"/>
          <w:sz w:val="14"/>
        </w:rPr>
        <w:t xml:space="preserve"> </w:t>
      </w:r>
      <w:r>
        <w:rPr>
          <w:rFonts w:ascii="Arial"/>
          <w:color w:val="5B6761"/>
          <w:w w:val="105"/>
          <w:sz w:val="14"/>
        </w:rPr>
        <w:t>to</w:t>
      </w:r>
      <w:r>
        <w:rPr>
          <w:rFonts w:ascii="Arial"/>
          <w:color w:val="5B6761"/>
          <w:spacing w:val="-18"/>
          <w:w w:val="105"/>
          <w:sz w:val="14"/>
        </w:rPr>
        <w:t xml:space="preserve"> </w:t>
      </w:r>
      <w:r>
        <w:rPr>
          <w:rFonts w:ascii="Arial"/>
          <w:color w:val="5B6761"/>
          <w:w w:val="105"/>
          <w:sz w:val="14"/>
        </w:rPr>
        <w:t>overseas</w:t>
      </w:r>
      <w:r>
        <w:rPr>
          <w:rFonts w:ascii="Arial"/>
          <w:color w:val="5B6761"/>
          <w:spacing w:val="-18"/>
          <w:w w:val="105"/>
          <w:sz w:val="14"/>
        </w:rPr>
        <w:t xml:space="preserve"> </w:t>
      </w:r>
      <w:r>
        <w:rPr>
          <w:rFonts w:ascii="Arial"/>
          <w:color w:val="5B6761"/>
          <w:w w:val="105"/>
          <w:sz w:val="14"/>
        </w:rPr>
        <w:t>online</w:t>
      </w:r>
      <w:r>
        <w:rPr>
          <w:rFonts w:ascii="Arial"/>
          <w:color w:val="5B6761"/>
          <w:spacing w:val="-19"/>
          <w:w w:val="105"/>
          <w:sz w:val="14"/>
        </w:rPr>
        <w:t xml:space="preserve"> </w:t>
      </w:r>
      <w:r>
        <w:rPr>
          <w:rFonts w:ascii="Arial"/>
          <w:color w:val="5B6761"/>
          <w:w w:val="105"/>
          <w:sz w:val="14"/>
        </w:rPr>
        <w:t>retailers</w:t>
      </w:r>
      <w:r>
        <w:rPr>
          <w:rFonts w:ascii="Arial"/>
          <w:color w:val="5B6761"/>
          <w:spacing w:val="-18"/>
          <w:w w:val="105"/>
          <w:sz w:val="14"/>
        </w:rPr>
        <w:t xml:space="preserve"> </w:t>
      </w:r>
      <w:r>
        <w:rPr>
          <w:rFonts w:ascii="Arial"/>
          <w:color w:val="5B6761"/>
          <w:w w:val="105"/>
          <w:sz w:val="14"/>
        </w:rPr>
        <w:t>via</w:t>
      </w:r>
      <w:r>
        <w:rPr>
          <w:rFonts w:ascii="Arial"/>
          <w:color w:val="5B6761"/>
          <w:spacing w:val="-17"/>
          <w:w w:val="105"/>
          <w:sz w:val="14"/>
        </w:rPr>
        <w:t xml:space="preserve"> </w:t>
      </w:r>
      <w:r>
        <w:rPr>
          <w:rFonts w:ascii="Arial"/>
          <w:color w:val="5B6761"/>
          <w:w w:val="105"/>
          <w:sz w:val="14"/>
        </w:rPr>
        <w:t>the</w:t>
      </w:r>
      <w:r>
        <w:rPr>
          <w:rFonts w:ascii="Arial"/>
          <w:color w:val="5B6761"/>
          <w:spacing w:val="-19"/>
          <w:w w:val="105"/>
          <w:sz w:val="14"/>
        </w:rPr>
        <w:t xml:space="preserve"> </w:t>
      </w:r>
      <w:r>
        <w:rPr>
          <w:rFonts w:ascii="Arial"/>
          <w:color w:val="5B6761"/>
          <w:w w:val="105"/>
          <w:sz w:val="14"/>
        </w:rPr>
        <w:t>Personal</w:t>
      </w:r>
      <w:r>
        <w:rPr>
          <w:rFonts w:ascii="Arial"/>
          <w:color w:val="5B6761"/>
          <w:spacing w:val="-18"/>
          <w:w w:val="105"/>
          <w:sz w:val="14"/>
        </w:rPr>
        <w:t xml:space="preserve"> </w:t>
      </w:r>
      <w:r>
        <w:rPr>
          <w:rFonts w:ascii="Arial"/>
          <w:color w:val="5B6761"/>
          <w:w w:val="105"/>
          <w:sz w:val="14"/>
        </w:rPr>
        <w:t>Importation</w:t>
      </w:r>
      <w:r>
        <w:rPr>
          <w:rFonts w:ascii="Arial"/>
          <w:color w:val="5B6761"/>
          <w:spacing w:val="-17"/>
          <w:w w:val="105"/>
          <w:sz w:val="14"/>
        </w:rPr>
        <w:t xml:space="preserve"> </w:t>
      </w:r>
      <w:r>
        <w:rPr>
          <w:rFonts w:ascii="Arial"/>
          <w:color w:val="5B6761"/>
          <w:w w:val="105"/>
          <w:sz w:val="14"/>
        </w:rPr>
        <w:t>Scheme</w:t>
      </w:r>
      <w:r>
        <w:rPr>
          <w:rFonts w:ascii="Arial"/>
          <w:color w:val="5B6761"/>
          <w:spacing w:val="-19"/>
          <w:w w:val="105"/>
          <w:sz w:val="14"/>
        </w:rPr>
        <w:t xml:space="preserve"> </w:t>
      </w:r>
      <w:r>
        <w:rPr>
          <w:rFonts w:ascii="Arial"/>
          <w:color w:val="5B6761"/>
          <w:w w:val="105"/>
          <w:sz w:val="14"/>
        </w:rPr>
        <w:t>rather</w:t>
      </w:r>
      <w:r>
        <w:rPr>
          <w:rFonts w:ascii="Arial"/>
          <w:color w:val="5B6761"/>
          <w:spacing w:val="-17"/>
          <w:w w:val="105"/>
          <w:sz w:val="14"/>
        </w:rPr>
        <w:t xml:space="preserve"> </w:t>
      </w:r>
      <w:r>
        <w:rPr>
          <w:rFonts w:ascii="Arial"/>
          <w:color w:val="5B6761"/>
          <w:w w:val="105"/>
          <w:sz w:val="14"/>
        </w:rPr>
        <w:t>than substitution products retailed in Australia) would be incurred by industry. This cost is included in the broader Regulatory Impact Statement</w:t>
      </w:r>
      <w:r>
        <w:rPr>
          <w:rFonts w:ascii="Arial"/>
          <w:color w:val="5B6761"/>
          <w:spacing w:val="-8"/>
          <w:w w:val="105"/>
          <w:sz w:val="14"/>
        </w:rPr>
        <w:t xml:space="preserve"> </w:t>
      </w:r>
      <w:r>
        <w:rPr>
          <w:rFonts w:ascii="Arial"/>
          <w:color w:val="5B6761"/>
          <w:w w:val="105"/>
          <w:sz w:val="14"/>
        </w:rPr>
        <w:t>(RIS).</w:t>
      </w:r>
    </w:p>
    <w:p w:rsidR="007D76BB" w:rsidRDefault="007D76BB">
      <w:pPr>
        <w:spacing w:line="268" w:lineRule="auto"/>
        <w:rPr>
          <w:rFonts w:ascii="Arial"/>
          <w:sz w:val="14"/>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spacing w:before="4"/>
        <w:rPr>
          <w:rFonts w:ascii="Arial"/>
          <w:sz w:val="27"/>
        </w:rPr>
      </w:pPr>
    </w:p>
    <w:p w:rsidR="007D76BB" w:rsidRDefault="00D70D28">
      <w:pPr>
        <w:spacing w:before="108"/>
        <w:ind w:left="482"/>
        <w:rPr>
          <w:rFonts w:ascii="Arial"/>
          <w:i/>
          <w:sz w:val="20"/>
        </w:rPr>
      </w:pPr>
      <w:r>
        <w:rPr>
          <w:rFonts w:ascii="Arial"/>
          <w:i/>
          <w:sz w:val="20"/>
        </w:rPr>
        <w:t>Future population</w:t>
      </w:r>
    </w:p>
    <w:p w:rsidR="007D76BB" w:rsidRDefault="00D70D28">
      <w:pPr>
        <w:spacing w:before="90"/>
        <w:ind w:left="482"/>
        <w:rPr>
          <w:rFonts w:ascii="Arial"/>
          <w:sz w:val="19"/>
        </w:rPr>
      </w:pPr>
      <w:r>
        <w:rPr>
          <w:rFonts w:ascii="Arial"/>
          <w:i/>
          <w:sz w:val="20"/>
        </w:rPr>
        <w:t>Step 1</w:t>
      </w:r>
      <w:r>
        <w:rPr>
          <w:rFonts w:ascii="Arial"/>
          <w:sz w:val="19"/>
        </w:rPr>
        <w:t>. Calculate total time in minutes to fulfil regulatory requirement:</w:t>
      </w:r>
    </w:p>
    <w:p w:rsidR="007D76BB" w:rsidRDefault="00D70D28">
      <w:pPr>
        <w:pStyle w:val="ListParagraph"/>
        <w:numPr>
          <w:ilvl w:val="1"/>
          <w:numId w:val="5"/>
        </w:numPr>
        <w:tabs>
          <w:tab w:val="left" w:pos="766"/>
        </w:tabs>
        <w:spacing w:before="161"/>
        <w:rPr>
          <w:rFonts w:ascii="Arial" w:hAnsi="Arial"/>
          <w:sz w:val="19"/>
        </w:rPr>
      </w:pPr>
      <w:r>
        <w:rPr>
          <w:rFonts w:ascii="Arial" w:hAnsi="Arial"/>
          <w:w w:val="105"/>
          <w:sz w:val="19"/>
        </w:rPr>
        <w:t>Current</w:t>
      </w:r>
      <w:r>
        <w:rPr>
          <w:rFonts w:ascii="Arial" w:hAnsi="Arial"/>
          <w:spacing w:val="-15"/>
          <w:w w:val="105"/>
          <w:sz w:val="19"/>
        </w:rPr>
        <w:t xml:space="preserve"> </w:t>
      </w:r>
      <w:r>
        <w:rPr>
          <w:rFonts w:ascii="Arial" w:hAnsi="Arial"/>
          <w:w w:val="105"/>
          <w:sz w:val="19"/>
        </w:rPr>
        <w:t>population</w:t>
      </w:r>
      <w:r>
        <w:rPr>
          <w:rFonts w:ascii="Arial" w:hAnsi="Arial"/>
          <w:spacing w:val="-15"/>
          <w:w w:val="105"/>
          <w:sz w:val="19"/>
        </w:rPr>
        <w:t xml:space="preserve"> </w:t>
      </w:r>
      <w:r>
        <w:rPr>
          <w:rFonts w:ascii="Arial" w:hAnsi="Arial"/>
          <w:w w:val="105"/>
          <w:sz w:val="19"/>
        </w:rPr>
        <w:t>fulfill</w:t>
      </w:r>
      <w:r>
        <w:rPr>
          <w:rFonts w:ascii="Arial" w:hAnsi="Arial"/>
          <w:spacing w:val="-12"/>
          <w:w w:val="105"/>
          <w:sz w:val="19"/>
        </w:rPr>
        <w:t xml:space="preserve"> </w:t>
      </w:r>
      <w:r>
        <w:rPr>
          <w:rFonts w:ascii="Arial" w:hAnsi="Arial"/>
          <w:w w:val="105"/>
          <w:sz w:val="19"/>
        </w:rPr>
        <w:t>ongoing</w:t>
      </w:r>
      <w:r>
        <w:rPr>
          <w:rFonts w:ascii="Arial" w:hAnsi="Arial"/>
          <w:spacing w:val="-13"/>
          <w:w w:val="105"/>
          <w:sz w:val="19"/>
        </w:rPr>
        <w:t xml:space="preserve"> </w:t>
      </w:r>
      <w:r>
        <w:rPr>
          <w:rFonts w:ascii="Arial" w:hAnsi="Arial"/>
          <w:w w:val="105"/>
          <w:sz w:val="19"/>
        </w:rPr>
        <w:t>requirements</w:t>
      </w:r>
      <w:r>
        <w:rPr>
          <w:rFonts w:ascii="Arial" w:hAnsi="Arial"/>
          <w:spacing w:val="-14"/>
          <w:w w:val="105"/>
          <w:sz w:val="19"/>
        </w:rPr>
        <w:t xml:space="preserve"> </w:t>
      </w:r>
      <w:r>
        <w:rPr>
          <w:rFonts w:ascii="Arial" w:hAnsi="Arial"/>
          <w:w w:val="105"/>
          <w:sz w:val="19"/>
        </w:rPr>
        <w:t>(years</w:t>
      </w:r>
      <w:r>
        <w:rPr>
          <w:rFonts w:ascii="Arial" w:hAnsi="Arial"/>
          <w:spacing w:val="-11"/>
          <w:w w:val="105"/>
          <w:sz w:val="19"/>
        </w:rPr>
        <w:t xml:space="preserve"> </w:t>
      </w:r>
      <w:r>
        <w:rPr>
          <w:rFonts w:ascii="Arial" w:hAnsi="Arial"/>
          <w:w w:val="105"/>
          <w:sz w:val="19"/>
        </w:rPr>
        <w:t>4</w:t>
      </w:r>
      <w:r>
        <w:rPr>
          <w:rFonts w:ascii="Arial" w:hAnsi="Arial"/>
          <w:spacing w:val="-13"/>
          <w:w w:val="105"/>
          <w:sz w:val="19"/>
        </w:rPr>
        <w:t xml:space="preserve"> </w:t>
      </w:r>
      <w:r>
        <w:rPr>
          <w:rFonts w:ascii="Arial" w:hAnsi="Arial"/>
          <w:w w:val="105"/>
          <w:sz w:val="19"/>
        </w:rPr>
        <w:t>to</w:t>
      </w:r>
      <w:r>
        <w:rPr>
          <w:rFonts w:ascii="Arial" w:hAnsi="Arial"/>
          <w:spacing w:val="-14"/>
          <w:w w:val="105"/>
          <w:sz w:val="19"/>
        </w:rPr>
        <w:t xml:space="preserve"> </w:t>
      </w:r>
      <w:r>
        <w:rPr>
          <w:rFonts w:ascii="Arial" w:hAnsi="Arial"/>
          <w:w w:val="105"/>
          <w:sz w:val="19"/>
        </w:rPr>
        <w:t>10)</w:t>
      </w:r>
      <w:r>
        <w:rPr>
          <w:rFonts w:ascii="Arial" w:hAnsi="Arial"/>
          <w:spacing w:val="-13"/>
          <w:w w:val="105"/>
          <w:sz w:val="19"/>
        </w:rPr>
        <w:t xml:space="preserve"> </w:t>
      </w:r>
      <w:r>
        <w:rPr>
          <w:rFonts w:ascii="Arial" w:hAnsi="Arial"/>
          <w:w w:val="105"/>
          <w:sz w:val="19"/>
        </w:rPr>
        <w:t>=</w:t>
      </w:r>
      <w:r>
        <w:rPr>
          <w:rFonts w:ascii="Arial" w:hAnsi="Arial"/>
          <w:spacing w:val="-16"/>
          <w:w w:val="105"/>
          <w:sz w:val="19"/>
        </w:rPr>
        <w:t xml:space="preserve"> </w:t>
      </w:r>
      <w:r>
        <w:rPr>
          <w:rFonts w:ascii="Arial" w:hAnsi="Arial"/>
          <w:w w:val="105"/>
          <w:sz w:val="19"/>
        </w:rPr>
        <w:t>87</w:t>
      </w:r>
      <w:r>
        <w:rPr>
          <w:rFonts w:ascii="Arial" w:hAnsi="Arial"/>
          <w:spacing w:val="-14"/>
          <w:w w:val="105"/>
          <w:sz w:val="19"/>
        </w:rPr>
        <w:t xml:space="preserve"> </w:t>
      </w:r>
      <w:r>
        <w:rPr>
          <w:rFonts w:ascii="Arial" w:hAnsi="Arial"/>
          <w:w w:val="105"/>
          <w:sz w:val="19"/>
        </w:rPr>
        <w:t>x</w:t>
      </w:r>
      <w:r>
        <w:rPr>
          <w:rFonts w:ascii="Arial" w:hAnsi="Arial"/>
          <w:spacing w:val="-11"/>
          <w:w w:val="105"/>
          <w:sz w:val="19"/>
        </w:rPr>
        <w:t xml:space="preserve"> </w:t>
      </w:r>
      <w:r>
        <w:rPr>
          <w:rFonts w:ascii="Arial" w:hAnsi="Arial"/>
          <w:w w:val="105"/>
          <w:sz w:val="19"/>
        </w:rPr>
        <w:t>240</w:t>
      </w:r>
      <w:r>
        <w:rPr>
          <w:rFonts w:ascii="Arial" w:hAnsi="Arial"/>
          <w:spacing w:val="-13"/>
          <w:w w:val="105"/>
          <w:sz w:val="19"/>
        </w:rPr>
        <w:t xml:space="preserve"> </w:t>
      </w:r>
      <w:r>
        <w:rPr>
          <w:rFonts w:ascii="Arial" w:hAnsi="Arial"/>
          <w:w w:val="105"/>
          <w:sz w:val="19"/>
        </w:rPr>
        <w:t>x</w:t>
      </w:r>
      <w:r>
        <w:rPr>
          <w:rFonts w:ascii="Arial" w:hAnsi="Arial"/>
          <w:spacing w:val="-16"/>
          <w:w w:val="105"/>
          <w:sz w:val="19"/>
        </w:rPr>
        <w:t xml:space="preserve"> </w:t>
      </w:r>
      <w:r>
        <w:rPr>
          <w:rFonts w:ascii="Arial" w:hAnsi="Arial"/>
          <w:w w:val="105"/>
          <w:sz w:val="19"/>
        </w:rPr>
        <w:t>8</w:t>
      </w:r>
      <w:r>
        <w:rPr>
          <w:rFonts w:ascii="Arial" w:hAnsi="Arial"/>
          <w:spacing w:val="-13"/>
          <w:w w:val="105"/>
          <w:sz w:val="19"/>
        </w:rPr>
        <w:t xml:space="preserve"> </w:t>
      </w:r>
      <w:r>
        <w:rPr>
          <w:rFonts w:ascii="Arial" w:hAnsi="Arial"/>
          <w:w w:val="105"/>
          <w:sz w:val="19"/>
        </w:rPr>
        <w:t>=</w:t>
      </w:r>
      <w:r>
        <w:rPr>
          <w:rFonts w:ascii="Arial" w:hAnsi="Arial"/>
          <w:spacing w:val="-13"/>
          <w:w w:val="105"/>
          <w:sz w:val="19"/>
        </w:rPr>
        <w:t xml:space="preserve"> </w:t>
      </w:r>
      <w:r>
        <w:rPr>
          <w:rFonts w:ascii="Arial" w:hAnsi="Arial"/>
          <w:w w:val="105"/>
          <w:sz w:val="19"/>
        </w:rPr>
        <w:t>167,040</w:t>
      </w:r>
      <w:r>
        <w:rPr>
          <w:rFonts w:ascii="Arial" w:hAnsi="Arial"/>
          <w:spacing w:val="-12"/>
          <w:w w:val="105"/>
          <w:sz w:val="19"/>
        </w:rPr>
        <w:t xml:space="preserve"> </w:t>
      </w:r>
      <w:r>
        <w:rPr>
          <w:rFonts w:ascii="Arial" w:hAnsi="Arial"/>
          <w:w w:val="105"/>
          <w:sz w:val="19"/>
        </w:rPr>
        <w:t>minutes</w:t>
      </w:r>
    </w:p>
    <w:p w:rsidR="007D76BB" w:rsidRDefault="00D70D28">
      <w:pPr>
        <w:pStyle w:val="ListParagraph"/>
        <w:numPr>
          <w:ilvl w:val="1"/>
          <w:numId w:val="5"/>
        </w:numPr>
        <w:tabs>
          <w:tab w:val="left" w:pos="766"/>
        </w:tabs>
        <w:spacing w:before="100"/>
        <w:rPr>
          <w:rFonts w:ascii="Arial" w:hAnsi="Arial"/>
          <w:sz w:val="19"/>
        </w:rPr>
      </w:pPr>
      <w:r>
        <w:rPr>
          <w:rFonts w:ascii="Arial" w:hAnsi="Arial"/>
          <w:w w:val="105"/>
          <w:sz w:val="19"/>
        </w:rPr>
        <w:t>Future</w:t>
      </w:r>
      <w:r>
        <w:rPr>
          <w:rFonts w:ascii="Arial" w:hAnsi="Arial"/>
          <w:spacing w:val="-13"/>
          <w:w w:val="105"/>
          <w:sz w:val="19"/>
        </w:rPr>
        <w:t xml:space="preserve"> </w:t>
      </w:r>
      <w:r>
        <w:rPr>
          <w:rFonts w:ascii="Arial" w:hAnsi="Arial"/>
          <w:w w:val="105"/>
          <w:sz w:val="19"/>
        </w:rPr>
        <w:t>population</w:t>
      </w:r>
      <w:r>
        <w:rPr>
          <w:rFonts w:ascii="Arial" w:hAnsi="Arial"/>
          <w:spacing w:val="-11"/>
          <w:w w:val="105"/>
          <w:sz w:val="19"/>
        </w:rPr>
        <w:t xml:space="preserve"> </w:t>
      </w:r>
      <w:r>
        <w:rPr>
          <w:rFonts w:ascii="Arial" w:hAnsi="Arial"/>
          <w:w w:val="105"/>
          <w:sz w:val="19"/>
        </w:rPr>
        <w:t>list</w:t>
      </w:r>
      <w:r>
        <w:rPr>
          <w:rFonts w:ascii="Arial" w:hAnsi="Arial"/>
          <w:spacing w:val="-11"/>
          <w:w w:val="105"/>
          <w:sz w:val="19"/>
        </w:rPr>
        <w:t xml:space="preserve"> </w:t>
      </w:r>
      <w:r>
        <w:rPr>
          <w:rFonts w:ascii="Arial" w:hAnsi="Arial"/>
          <w:w w:val="105"/>
          <w:sz w:val="19"/>
        </w:rPr>
        <w:t>on</w:t>
      </w:r>
      <w:r>
        <w:rPr>
          <w:rFonts w:ascii="Arial" w:hAnsi="Arial"/>
          <w:spacing w:val="-13"/>
          <w:w w:val="105"/>
          <w:sz w:val="19"/>
        </w:rPr>
        <w:t xml:space="preserve"> </w:t>
      </w:r>
      <w:r>
        <w:rPr>
          <w:rFonts w:ascii="Arial" w:hAnsi="Arial"/>
          <w:w w:val="105"/>
          <w:sz w:val="19"/>
        </w:rPr>
        <w:t>the</w:t>
      </w:r>
      <w:r>
        <w:rPr>
          <w:rFonts w:ascii="Arial" w:hAnsi="Arial"/>
          <w:spacing w:val="-12"/>
          <w:w w:val="105"/>
          <w:sz w:val="19"/>
        </w:rPr>
        <w:t xml:space="preserve"> </w:t>
      </w:r>
      <w:r>
        <w:rPr>
          <w:rFonts w:ascii="Arial" w:hAnsi="Arial"/>
          <w:w w:val="105"/>
          <w:sz w:val="19"/>
        </w:rPr>
        <w:t>ARTG</w:t>
      </w:r>
      <w:r>
        <w:rPr>
          <w:rFonts w:ascii="Arial" w:hAnsi="Arial"/>
          <w:spacing w:val="-13"/>
          <w:w w:val="105"/>
          <w:sz w:val="19"/>
        </w:rPr>
        <w:t xml:space="preserve"> </w:t>
      </w:r>
      <w:r>
        <w:rPr>
          <w:rFonts w:ascii="Arial" w:hAnsi="Arial"/>
          <w:w w:val="105"/>
          <w:sz w:val="19"/>
        </w:rPr>
        <w:t>=</w:t>
      </w:r>
      <w:r>
        <w:rPr>
          <w:rFonts w:ascii="Arial" w:hAnsi="Arial"/>
          <w:spacing w:val="-11"/>
          <w:w w:val="105"/>
          <w:sz w:val="19"/>
        </w:rPr>
        <w:t xml:space="preserve"> </w:t>
      </w:r>
      <w:r>
        <w:rPr>
          <w:rFonts w:ascii="Arial" w:hAnsi="Arial"/>
          <w:w w:val="105"/>
          <w:sz w:val="19"/>
        </w:rPr>
        <w:t>85</w:t>
      </w:r>
      <w:r>
        <w:rPr>
          <w:rFonts w:ascii="Arial" w:hAnsi="Arial"/>
          <w:spacing w:val="-12"/>
          <w:w w:val="105"/>
          <w:sz w:val="19"/>
        </w:rPr>
        <w:t xml:space="preserve"> </w:t>
      </w:r>
      <w:r>
        <w:rPr>
          <w:rFonts w:ascii="Arial" w:hAnsi="Arial"/>
          <w:w w:val="105"/>
          <w:sz w:val="19"/>
        </w:rPr>
        <w:t>x</w:t>
      </w:r>
      <w:r>
        <w:rPr>
          <w:rFonts w:ascii="Arial" w:hAnsi="Arial"/>
          <w:spacing w:val="34"/>
          <w:w w:val="105"/>
          <w:sz w:val="19"/>
        </w:rPr>
        <w:t xml:space="preserve"> </w:t>
      </w:r>
      <w:r>
        <w:rPr>
          <w:rFonts w:ascii="Arial" w:hAnsi="Arial"/>
          <w:w w:val="105"/>
          <w:sz w:val="19"/>
        </w:rPr>
        <w:t>4,210</w:t>
      </w:r>
      <w:r>
        <w:rPr>
          <w:rFonts w:ascii="Arial" w:hAnsi="Arial"/>
          <w:spacing w:val="-10"/>
          <w:w w:val="105"/>
          <w:sz w:val="19"/>
        </w:rPr>
        <w:t xml:space="preserve"> </w:t>
      </w:r>
      <w:r>
        <w:rPr>
          <w:rFonts w:ascii="Arial" w:hAnsi="Arial"/>
          <w:w w:val="105"/>
          <w:sz w:val="19"/>
        </w:rPr>
        <w:t>=</w:t>
      </w:r>
      <w:r>
        <w:rPr>
          <w:rFonts w:ascii="Arial" w:hAnsi="Arial"/>
          <w:spacing w:val="-14"/>
          <w:w w:val="105"/>
          <w:sz w:val="19"/>
        </w:rPr>
        <w:t xml:space="preserve"> </w:t>
      </w:r>
      <w:r>
        <w:rPr>
          <w:rFonts w:ascii="Arial" w:hAnsi="Arial"/>
          <w:w w:val="105"/>
          <w:sz w:val="19"/>
        </w:rPr>
        <w:t>357,850</w:t>
      </w:r>
      <w:r>
        <w:rPr>
          <w:rFonts w:ascii="Arial" w:hAnsi="Arial"/>
          <w:spacing w:val="-10"/>
          <w:w w:val="105"/>
          <w:sz w:val="19"/>
        </w:rPr>
        <w:t xml:space="preserve"> </w:t>
      </w:r>
      <w:r>
        <w:rPr>
          <w:rFonts w:ascii="Arial" w:hAnsi="Arial"/>
          <w:w w:val="105"/>
          <w:sz w:val="19"/>
        </w:rPr>
        <w:t>minutes</w:t>
      </w:r>
    </w:p>
    <w:p w:rsidR="007D76BB" w:rsidRDefault="00D70D28">
      <w:pPr>
        <w:pStyle w:val="ListParagraph"/>
        <w:numPr>
          <w:ilvl w:val="1"/>
          <w:numId w:val="5"/>
        </w:numPr>
        <w:tabs>
          <w:tab w:val="left" w:pos="766"/>
        </w:tabs>
        <w:spacing w:before="101" w:line="266" w:lineRule="auto"/>
        <w:ind w:right="1163"/>
        <w:rPr>
          <w:rFonts w:ascii="Arial" w:hAnsi="Arial"/>
          <w:sz w:val="19"/>
        </w:rPr>
      </w:pPr>
      <w:r>
        <w:rPr>
          <w:rFonts w:ascii="Arial" w:hAnsi="Arial"/>
          <w:w w:val="105"/>
          <w:sz w:val="19"/>
        </w:rPr>
        <w:t>Future</w:t>
      </w:r>
      <w:r>
        <w:rPr>
          <w:rFonts w:ascii="Arial" w:hAnsi="Arial"/>
          <w:spacing w:val="-23"/>
          <w:w w:val="105"/>
          <w:sz w:val="19"/>
        </w:rPr>
        <w:t xml:space="preserve"> </w:t>
      </w:r>
      <w:r>
        <w:rPr>
          <w:rFonts w:ascii="Arial" w:hAnsi="Arial"/>
          <w:w w:val="105"/>
          <w:sz w:val="19"/>
        </w:rPr>
        <w:t>population</w:t>
      </w:r>
      <w:r>
        <w:rPr>
          <w:rFonts w:ascii="Arial" w:hAnsi="Arial"/>
          <w:spacing w:val="-21"/>
          <w:w w:val="105"/>
          <w:sz w:val="19"/>
        </w:rPr>
        <w:t xml:space="preserve"> </w:t>
      </w:r>
      <w:r>
        <w:rPr>
          <w:rFonts w:ascii="Arial" w:hAnsi="Arial"/>
          <w:w w:val="105"/>
          <w:sz w:val="19"/>
        </w:rPr>
        <w:t>fulfill</w:t>
      </w:r>
      <w:r>
        <w:rPr>
          <w:rFonts w:ascii="Arial" w:hAnsi="Arial"/>
          <w:spacing w:val="-22"/>
          <w:w w:val="105"/>
          <w:sz w:val="19"/>
        </w:rPr>
        <w:t xml:space="preserve"> </w:t>
      </w:r>
      <w:r>
        <w:rPr>
          <w:rFonts w:ascii="Arial" w:hAnsi="Arial"/>
          <w:w w:val="105"/>
          <w:sz w:val="19"/>
        </w:rPr>
        <w:t>all</w:t>
      </w:r>
      <w:r>
        <w:rPr>
          <w:rFonts w:ascii="Arial" w:hAnsi="Arial"/>
          <w:spacing w:val="-21"/>
          <w:w w:val="105"/>
          <w:sz w:val="19"/>
        </w:rPr>
        <w:t xml:space="preserve"> </w:t>
      </w:r>
      <w:r>
        <w:rPr>
          <w:rFonts w:ascii="Arial" w:hAnsi="Arial"/>
          <w:w w:val="105"/>
          <w:sz w:val="19"/>
        </w:rPr>
        <w:t>ongoing</w:t>
      </w:r>
      <w:r>
        <w:rPr>
          <w:rFonts w:ascii="Arial" w:hAnsi="Arial"/>
          <w:spacing w:val="-22"/>
          <w:w w:val="105"/>
          <w:sz w:val="19"/>
        </w:rPr>
        <w:t xml:space="preserve"> </w:t>
      </w:r>
      <w:r>
        <w:rPr>
          <w:rFonts w:ascii="Arial" w:hAnsi="Arial"/>
          <w:w w:val="105"/>
          <w:sz w:val="19"/>
        </w:rPr>
        <w:t>requirements</w:t>
      </w:r>
      <w:r>
        <w:rPr>
          <w:rFonts w:ascii="Arial" w:hAnsi="Arial"/>
          <w:spacing w:val="-22"/>
          <w:w w:val="105"/>
          <w:sz w:val="19"/>
        </w:rPr>
        <w:t xml:space="preserve"> </w:t>
      </w:r>
      <w:r>
        <w:rPr>
          <w:rFonts w:ascii="Arial" w:hAnsi="Arial"/>
          <w:w w:val="105"/>
          <w:sz w:val="19"/>
        </w:rPr>
        <w:t>(years</w:t>
      </w:r>
      <w:r>
        <w:rPr>
          <w:rFonts w:ascii="Arial" w:hAnsi="Arial"/>
          <w:spacing w:val="-22"/>
          <w:w w:val="105"/>
          <w:sz w:val="19"/>
        </w:rPr>
        <w:t xml:space="preserve"> </w:t>
      </w:r>
      <w:r>
        <w:rPr>
          <w:rFonts w:ascii="Arial" w:hAnsi="Arial"/>
          <w:w w:val="105"/>
          <w:sz w:val="19"/>
        </w:rPr>
        <w:t>4</w:t>
      </w:r>
      <w:r>
        <w:rPr>
          <w:rFonts w:ascii="Arial" w:hAnsi="Arial"/>
          <w:spacing w:val="-22"/>
          <w:w w:val="105"/>
          <w:sz w:val="19"/>
        </w:rPr>
        <w:t xml:space="preserve"> </w:t>
      </w:r>
      <w:r>
        <w:rPr>
          <w:rFonts w:ascii="Arial" w:hAnsi="Arial"/>
          <w:w w:val="105"/>
          <w:sz w:val="19"/>
        </w:rPr>
        <w:t>to</w:t>
      </w:r>
      <w:r>
        <w:rPr>
          <w:rFonts w:ascii="Arial" w:hAnsi="Arial"/>
          <w:spacing w:val="-22"/>
          <w:w w:val="105"/>
          <w:sz w:val="19"/>
        </w:rPr>
        <w:t xml:space="preserve"> </w:t>
      </w:r>
      <w:r>
        <w:rPr>
          <w:rFonts w:ascii="Arial" w:hAnsi="Arial"/>
          <w:w w:val="105"/>
          <w:sz w:val="19"/>
        </w:rPr>
        <w:t>10)</w:t>
      </w:r>
      <w:r>
        <w:rPr>
          <w:rFonts w:ascii="Arial" w:hAnsi="Arial"/>
          <w:spacing w:val="-21"/>
          <w:w w:val="105"/>
          <w:sz w:val="19"/>
        </w:rPr>
        <w:t xml:space="preserve"> </w:t>
      </w:r>
      <w:r>
        <w:rPr>
          <w:rFonts w:ascii="Arial" w:hAnsi="Arial"/>
          <w:w w:val="105"/>
          <w:sz w:val="19"/>
        </w:rPr>
        <w:t>less</w:t>
      </w:r>
      <w:r>
        <w:rPr>
          <w:rFonts w:ascii="Arial" w:hAnsi="Arial"/>
          <w:spacing w:val="-22"/>
          <w:w w:val="105"/>
          <w:sz w:val="19"/>
        </w:rPr>
        <w:t xml:space="preserve"> </w:t>
      </w:r>
      <w:r>
        <w:rPr>
          <w:rFonts w:ascii="Arial" w:hAnsi="Arial"/>
          <w:w w:val="105"/>
          <w:sz w:val="19"/>
        </w:rPr>
        <w:t>‘Fees</w:t>
      </w:r>
      <w:r>
        <w:rPr>
          <w:rFonts w:ascii="Arial" w:hAnsi="Arial"/>
          <w:spacing w:val="-23"/>
          <w:w w:val="105"/>
          <w:sz w:val="19"/>
        </w:rPr>
        <w:t xml:space="preserve"> </w:t>
      </w:r>
      <w:r>
        <w:rPr>
          <w:rFonts w:ascii="Arial" w:hAnsi="Arial"/>
          <w:w w:val="105"/>
          <w:sz w:val="19"/>
        </w:rPr>
        <w:t>(Ongoing)’</w:t>
      </w:r>
      <w:r>
        <w:rPr>
          <w:rFonts w:ascii="Arial" w:hAnsi="Arial"/>
          <w:spacing w:val="-24"/>
          <w:w w:val="105"/>
          <w:sz w:val="19"/>
        </w:rPr>
        <w:t xml:space="preserve"> </w:t>
      </w:r>
      <w:r>
        <w:rPr>
          <w:rFonts w:ascii="Arial" w:hAnsi="Arial"/>
          <w:w w:val="105"/>
          <w:sz w:val="19"/>
        </w:rPr>
        <w:t>=</w:t>
      </w:r>
      <w:r>
        <w:rPr>
          <w:rFonts w:ascii="Arial" w:hAnsi="Arial"/>
          <w:spacing w:val="-21"/>
          <w:w w:val="105"/>
          <w:sz w:val="19"/>
        </w:rPr>
        <w:t xml:space="preserve"> </w:t>
      </w:r>
      <w:r>
        <w:rPr>
          <w:rFonts w:ascii="Arial" w:hAnsi="Arial"/>
          <w:w w:val="105"/>
          <w:sz w:val="19"/>
        </w:rPr>
        <w:t>309</w:t>
      </w:r>
      <w:r>
        <w:rPr>
          <w:rFonts w:ascii="Arial" w:hAnsi="Arial"/>
          <w:spacing w:val="-24"/>
          <w:w w:val="105"/>
          <w:sz w:val="19"/>
        </w:rPr>
        <w:t xml:space="preserve"> </w:t>
      </w:r>
      <w:r>
        <w:rPr>
          <w:rFonts w:ascii="Arial" w:hAnsi="Arial"/>
          <w:w w:val="105"/>
          <w:sz w:val="19"/>
        </w:rPr>
        <w:t>x 210 = 64,890</w:t>
      </w:r>
      <w:r>
        <w:rPr>
          <w:rFonts w:ascii="Arial" w:hAnsi="Arial"/>
          <w:spacing w:val="-30"/>
          <w:w w:val="105"/>
          <w:sz w:val="19"/>
        </w:rPr>
        <w:t xml:space="preserve"> </w:t>
      </w:r>
      <w:r>
        <w:rPr>
          <w:rFonts w:ascii="Arial" w:hAnsi="Arial"/>
          <w:w w:val="105"/>
          <w:sz w:val="19"/>
        </w:rPr>
        <w:t>minutes</w:t>
      </w:r>
    </w:p>
    <w:p w:rsidR="007D76BB" w:rsidRDefault="00D70D28">
      <w:pPr>
        <w:pStyle w:val="ListParagraph"/>
        <w:numPr>
          <w:ilvl w:val="1"/>
          <w:numId w:val="5"/>
        </w:numPr>
        <w:tabs>
          <w:tab w:val="left" w:pos="766"/>
        </w:tabs>
        <w:spacing w:before="79"/>
        <w:rPr>
          <w:rFonts w:ascii="Arial" w:hAnsi="Arial"/>
          <w:sz w:val="19"/>
        </w:rPr>
      </w:pPr>
      <w:r>
        <w:rPr>
          <w:rFonts w:ascii="Arial" w:hAnsi="Arial"/>
          <w:w w:val="105"/>
          <w:sz w:val="19"/>
        </w:rPr>
        <w:t>Future</w:t>
      </w:r>
      <w:r>
        <w:rPr>
          <w:rFonts w:ascii="Arial" w:hAnsi="Arial"/>
          <w:spacing w:val="-14"/>
          <w:w w:val="105"/>
          <w:sz w:val="19"/>
        </w:rPr>
        <w:t xml:space="preserve"> </w:t>
      </w:r>
      <w:r>
        <w:rPr>
          <w:rFonts w:ascii="Arial" w:hAnsi="Arial"/>
          <w:w w:val="105"/>
          <w:sz w:val="19"/>
        </w:rPr>
        <w:t>population</w:t>
      </w:r>
      <w:r>
        <w:rPr>
          <w:rFonts w:ascii="Arial" w:hAnsi="Arial"/>
          <w:spacing w:val="-12"/>
          <w:w w:val="105"/>
          <w:sz w:val="19"/>
        </w:rPr>
        <w:t xml:space="preserve"> </w:t>
      </w:r>
      <w:r>
        <w:rPr>
          <w:rFonts w:ascii="Arial" w:hAnsi="Arial"/>
          <w:w w:val="105"/>
          <w:sz w:val="19"/>
        </w:rPr>
        <w:t>fulfill</w:t>
      </w:r>
      <w:r>
        <w:rPr>
          <w:rFonts w:ascii="Arial" w:hAnsi="Arial"/>
          <w:spacing w:val="-12"/>
          <w:w w:val="105"/>
          <w:sz w:val="19"/>
        </w:rPr>
        <w:t xml:space="preserve"> </w:t>
      </w:r>
      <w:r>
        <w:rPr>
          <w:rFonts w:ascii="Arial" w:hAnsi="Arial"/>
          <w:w w:val="105"/>
          <w:sz w:val="19"/>
        </w:rPr>
        <w:t>‘Fees</w:t>
      </w:r>
      <w:r>
        <w:rPr>
          <w:rFonts w:ascii="Arial" w:hAnsi="Arial"/>
          <w:spacing w:val="-13"/>
          <w:w w:val="105"/>
          <w:sz w:val="19"/>
        </w:rPr>
        <w:t xml:space="preserve"> </w:t>
      </w:r>
      <w:r>
        <w:rPr>
          <w:rFonts w:ascii="Arial" w:hAnsi="Arial"/>
          <w:w w:val="105"/>
          <w:sz w:val="19"/>
        </w:rPr>
        <w:t>(Ongoing)’</w:t>
      </w:r>
      <w:r>
        <w:rPr>
          <w:rFonts w:ascii="Arial" w:hAnsi="Arial"/>
          <w:spacing w:val="-13"/>
          <w:w w:val="105"/>
          <w:sz w:val="19"/>
        </w:rPr>
        <w:t xml:space="preserve"> </w:t>
      </w:r>
      <w:r>
        <w:rPr>
          <w:rFonts w:ascii="Arial" w:hAnsi="Arial"/>
          <w:w w:val="105"/>
          <w:sz w:val="19"/>
        </w:rPr>
        <w:t>less</w:t>
      </w:r>
      <w:r>
        <w:rPr>
          <w:rFonts w:ascii="Arial" w:hAnsi="Arial"/>
          <w:spacing w:val="-13"/>
          <w:w w:val="105"/>
          <w:sz w:val="19"/>
        </w:rPr>
        <w:t xml:space="preserve"> </w:t>
      </w:r>
      <w:r>
        <w:rPr>
          <w:rFonts w:ascii="Arial" w:hAnsi="Arial"/>
          <w:w w:val="105"/>
          <w:sz w:val="19"/>
        </w:rPr>
        <w:t>year</w:t>
      </w:r>
      <w:r>
        <w:rPr>
          <w:rFonts w:ascii="Arial" w:hAnsi="Arial"/>
          <w:spacing w:val="-12"/>
          <w:w w:val="105"/>
          <w:sz w:val="19"/>
        </w:rPr>
        <w:t xml:space="preserve"> </w:t>
      </w:r>
      <w:r>
        <w:rPr>
          <w:rFonts w:ascii="Arial" w:hAnsi="Arial"/>
          <w:w w:val="105"/>
          <w:sz w:val="19"/>
        </w:rPr>
        <w:t>of</w:t>
      </w:r>
      <w:r>
        <w:rPr>
          <w:rFonts w:ascii="Arial" w:hAnsi="Arial"/>
          <w:spacing w:val="-14"/>
          <w:w w:val="105"/>
          <w:sz w:val="19"/>
        </w:rPr>
        <w:t xml:space="preserve"> </w:t>
      </w:r>
      <w:r>
        <w:rPr>
          <w:rFonts w:ascii="Arial" w:hAnsi="Arial"/>
          <w:w w:val="105"/>
          <w:sz w:val="19"/>
        </w:rPr>
        <w:t>listing:</w:t>
      </w:r>
      <w:r>
        <w:rPr>
          <w:rFonts w:ascii="Arial" w:hAnsi="Arial"/>
          <w:spacing w:val="-7"/>
          <w:w w:val="105"/>
          <w:sz w:val="19"/>
        </w:rPr>
        <w:t xml:space="preserve"> </w:t>
      </w:r>
      <w:r>
        <w:rPr>
          <w:rFonts w:ascii="Arial" w:hAnsi="Arial"/>
          <w:w w:val="105"/>
          <w:sz w:val="19"/>
        </w:rPr>
        <w:t>224</w:t>
      </w:r>
      <w:r>
        <w:rPr>
          <w:rFonts w:ascii="Arial" w:hAnsi="Arial"/>
          <w:spacing w:val="-13"/>
          <w:w w:val="105"/>
          <w:sz w:val="19"/>
        </w:rPr>
        <w:t xml:space="preserve"> </w:t>
      </w:r>
      <w:r>
        <w:rPr>
          <w:rFonts w:ascii="Arial" w:hAnsi="Arial"/>
          <w:w w:val="105"/>
          <w:sz w:val="19"/>
        </w:rPr>
        <w:t>x</w:t>
      </w:r>
      <w:r>
        <w:rPr>
          <w:rFonts w:ascii="Arial" w:hAnsi="Arial"/>
          <w:spacing w:val="-14"/>
          <w:w w:val="105"/>
          <w:sz w:val="19"/>
        </w:rPr>
        <w:t xml:space="preserve"> </w:t>
      </w:r>
      <w:r>
        <w:rPr>
          <w:rFonts w:ascii="Arial" w:hAnsi="Arial"/>
          <w:w w:val="105"/>
          <w:sz w:val="19"/>
        </w:rPr>
        <w:t>30</w:t>
      </w:r>
      <w:r>
        <w:rPr>
          <w:rFonts w:ascii="Arial" w:hAnsi="Arial"/>
          <w:spacing w:val="-12"/>
          <w:w w:val="105"/>
          <w:sz w:val="19"/>
        </w:rPr>
        <w:t xml:space="preserve"> </w:t>
      </w:r>
      <w:r>
        <w:rPr>
          <w:rFonts w:ascii="Arial" w:hAnsi="Arial"/>
          <w:w w:val="105"/>
          <w:sz w:val="19"/>
        </w:rPr>
        <w:t>=</w:t>
      </w:r>
      <w:r>
        <w:rPr>
          <w:rFonts w:ascii="Arial" w:hAnsi="Arial"/>
          <w:spacing w:val="-15"/>
          <w:w w:val="105"/>
          <w:sz w:val="19"/>
        </w:rPr>
        <w:t xml:space="preserve"> </w:t>
      </w:r>
      <w:r>
        <w:rPr>
          <w:rFonts w:ascii="Arial" w:hAnsi="Arial"/>
          <w:w w:val="105"/>
          <w:sz w:val="19"/>
        </w:rPr>
        <w:t>6,720</w:t>
      </w:r>
      <w:r>
        <w:rPr>
          <w:rFonts w:ascii="Arial" w:hAnsi="Arial"/>
          <w:spacing w:val="-11"/>
          <w:w w:val="105"/>
          <w:sz w:val="19"/>
        </w:rPr>
        <w:t xml:space="preserve"> </w:t>
      </w:r>
      <w:r>
        <w:rPr>
          <w:rFonts w:ascii="Arial" w:hAnsi="Arial"/>
          <w:w w:val="105"/>
          <w:sz w:val="19"/>
        </w:rPr>
        <w:t>minutes</w:t>
      </w:r>
    </w:p>
    <w:p w:rsidR="007D76BB" w:rsidRDefault="00D70D28">
      <w:pPr>
        <w:pStyle w:val="ListParagraph"/>
        <w:numPr>
          <w:ilvl w:val="1"/>
          <w:numId w:val="5"/>
        </w:numPr>
        <w:tabs>
          <w:tab w:val="left" w:pos="766"/>
        </w:tabs>
        <w:spacing w:before="98" w:line="268" w:lineRule="auto"/>
        <w:ind w:right="1405"/>
        <w:rPr>
          <w:rFonts w:ascii="Arial" w:hAnsi="Arial"/>
          <w:sz w:val="19"/>
        </w:rPr>
      </w:pPr>
      <w:r>
        <w:rPr>
          <w:rFonts w:ascii="Arial" w:hAnsi="Arial"/>
          <w:w w:val="105"/>
          <w:sz w:val="19"/>
        </w:rPr>
        <w:t>Carry</w:t>
      </w:r>
      <w:r>
        <w:rPr>
          <w:rFonts w:ascii="Arial" w:hAnsi="Arial"/>
          <w:spacing w:val="-12"/>
          <w:w w:val="105"/>
          <w:sz w:val="19"/>
        </w:rPr>
        <w:t xml:space="preserve"> </w:t>
      </w:r>
      <w:r>
        <w:rPr>
          <w:rFonts w:ascii="Arial" w:hAnsi="Arial"/>
          <w:w w:val="105"/>
          <w:sz w:val="19"/>
        </w:rPr>
        <w:t>forward</w:t>
      </w:r>
      <w:r>
        <w:rPr>
          <w:rFonts w:ascii="Arial" w:hAnsi="Arial"/>
          <w:spacing w:val="-13"/>
          <w:w w:val="105"/>
          <w:sz w:val="19"/>
        </w:rPr>
        <w:t xml:space="preserve"> </w:t>
      </w:r>
      <w:r>
        <w:rPr>
          <w:rFonts w:ascii="Arial" w:hAnsi="Arial"/>
          <w:w w:val="105"/>
          <w:sz w:val="19"/>
        </w:rPr>
        <w:t>time</w:t>
      </w:r>
      <w:r>
        <w:rPr>
          <w:rFonts w:ascii="Arial" w:hAnsi="Arial"/>
          <w:spacing w:val="-13"/>
          <w:w w:val="105"/>
          <w:sz w:val="19"/>
        </w:rPr>
        <w:t xml:space="preserve"> </w:t>
      </w:r>
      <w:r>
        <w:rPr>
          <w:rFonts w:ascii="Arial" w:hAnsi="Arial"/>
          <w:w w:val="105"/>
          <w:sz w:val="19"/>
        </w:rPr>
        <w:t>for</w:t>
      </w:r>
      <w:r>
        <w:rPr>
          <w:rFonts w:ascii="Arial" w:hAnsi="Arial"/>
          <w:spacing w:val="-11"/>
          <w:w w:val="105"/>
          <w:sz w:val="19"/>
        </w:rPr>
        <w:t xml:space="preserve"> </w:t>
      </w:r>
      <w:r>
        <w:rPr>
          <w:rFonts w:ascii="Arial" w:hAnsi="Arial"/>
          <w:w w:val="105"/>
          <w:sz w:val="19"/>
        </w:rPr>
        <w:t>future</w:t>
      </w:r>
      <w:r>
        <w:rPr>
          <w:rFonts w:ascii="Arial" w:hAnsi="Arial"/>
          <w:spacing w:val="-11"/>
          <w:w w:val="105"/>
          <w:sz w:val="19"/>
        </w:rPr>
        <w:t xml:space="preserve"> </w:t>
      </w:r>
      <w:r>
        <w:rPr>
          <w:rFonts w:ascii="Arial" w:hAnsi="Arial"/>
          <w:w w:val="105"/>
          <w:sz w:val="19"/>
        </w:rPr>
        <w:t>population</w:t>
      </w:r>
      <w:r>
        <w:rPr>
          <w:rFonts w:ascii="Arial" w:hAnsi="Arial"/>
          <w:spacing w:val="-13"/>
          <w:w w:val="105"/>
          <w:sz w:val="19"/>
        </w:rPr>
        <w:t xml:space="preserve"> </w:t>
      </w:r>
      <w:r>
        <w:rPr>
          <w:rFonts w:ascii="Arial" w:hAnsi="Arial"/>
          <w:w w:val="105"/>
          <w:sz w:val="19"/>
        </w:rPr>
        <w:t>to</w:t>
      </w:r>
      <w:r>
        <w:rPr>
          <w:rFonts w:ascii="Arial" w:hAnsi="Arial"/>
          <w:spacing w:val="-12"/>
          <w:w w:val="105"/>
          <w:sz w:val="19"/>
        </w:rPr>
        <w:t xml:space="preserve"> </w:t>
      </w:r>
      <w:r>
        <w:rPr>
          <w:rFonts w:ascii="Arial" w:hAnsi="Arial"/>
          <w:w w:val="105"/>
          <w:sz w:val="19"/>
        </w:rPr>
        <w:t>fulfil</w:t>
      </w:r>
      <w:r>
        <w:rPr>
          <w:rFonts w:ascii="Arial" w:hAnsi="Arial"/>
          <w:spacing w:val="-10"/>
          <w:w w:val="105"/>
          <w:sz w:val="19"/>
        </w:rPr>
        <w:t xml:space="preserve"> </w:t>
      </w:r>
      <w:r>
        <w:rPr>
          <w:rFonts w:ascii="Arial" w:hAnsi="Arial"/>
          <w:w w:val="105"/>
          <w:sz w:val="19"/>
        </w:rPr>
        <w:t>ongoing</w:t>
      </w:r>
      <w:r>
        <w:rPr>
          <w:rFonts w:ascii="Arial" w:hAnsi="Arial"/>
          <w:spacing w:val="-13"/>
          <w:w w:val="105"/>
          <w:sz w:val="19"/>
        </w:rPr>
        <w:t xml:space="preserve"> </w:t>
      </w:r>
      <w:r>
        <w:rPr>
          <w:rFonts w:ascii="Arial" w:hAnsi="Arial"/>
          <w:w w:val="105"/>
          <w:sz w:val="19"/>
        </w:rPr>
        <w:t>requirements</w:t>
      </w:r>
      <w:r>
        <w:rPr>
          <w:rFonts w:ascii="Arial" w:hAnsi="Arial"/>
          <w:spacing w:val="-6"/>
          <w:w w:val="105"/>
          <w:sz w:val="19"/>
        </w:rPr>
        <w:t xml:space="preserve"> </w:t>
      </w:r>
      <w:r>
        <w:rPr>
          <w:rFonts w:ascii="Arial" w:hAnsi="Arial"/>
          <w:w w:val="105"/>
          <w:sz w:val="19"/>
        </w:rPr>
        <w:t>=</w:t>
      </w:r>
      <w:r>
        <w:rPr>
          <w:rFonts w:ascii="Arial" w:hAnsi="Arial"/>
          <w:spacing w:val="-12"/>
          <w:w w:val="105"/>
          <w:sz w:val="19"/>
        </w:rPr>
        <w:t xml:space="preserve"> </w:t>
      </w:r>
      <w:r>
        <w:rPr>
          <w:rFonts w:ascii="Arial" w:hAnsi="Arial"/>
          <w:w w:val="105"/>
          <w:sz w:val="19"/>
        </w:rPr>
        <w:t>64,890</w:t>
      </w:r>
      <w:r>
        <w:rPr>
          <w:rFonts w:ascii="Arial" w:hAnsi="Arial"/>
          <w:spacing w:val="-10"/>
          <w:w w:val="105"/>
          <w:sz w:val="19"/>
        </w:rPr>
        <w:t xml:space="preserve"> </w:t>
      </w:r>
      <w:r>
        <w:rPr>
          <w:rFonts w:ascii="Arial" w:hAnsi="Arial"/>
          <w:w w:val="105"/>
          <w:sz w:val="19"/>
        </w:rPr>
        <w:t>+</w:t>
      </w:r>
      <w:r>
        <w:rPr>
          <w:rFonts w:ascii="Arial" w:hAnsi="Arial"/>
          <w:spacing w:val="-12"/>
          <w:w w:val="105"/>
          <w:sz w:val="19"/>
        </w:rPr>
        <w:t xml:space="preserve"> </w:t>
      </w:r>
      <w:r>
        <w:rPr>
          <w:rFonts w:ascii="Arial" w:hAnsi="Arial"/>
          <w:w w:val="105"/>
          <w:sz w:val="19"/>
        </w:rPr>
        <w:t>6,720</w:t>
      </w:r>
      <w:r>
        <w:rPr>
          <w:rFonts w:ascii="Arial" w:hAnsi="Arial"/>
          <w:spacing w:val="-10"/>
          <w:w w:val="105"/>
          <w:sz w:val="19"/>
        </w:rPr>
        <w:t xml:space="preserve"> </w:t>
      </w:r>
      <w:r>
        <w:rPr>
          <w:rFonts w:ascii="Arial" w:hAnsi="Arial"/>
          <w:w w:val="105"/>
          <w:sz w:val="19"/>
        </w:rPr>
        <w:t>= 71,610</w:t>
      </w:r>
      <w:r>
        <w:rPr>
          <w:rFonts w:ascii="Arial" w:hAnsi="Arial"/>
          <w:spacing w:val="-10"/>
          <w:w w:val="105"/>
          <w:sz w:val="19"/>
        </w:rPr>
        <w:t xml:space="preserve"> </w:t>
      </w:r>
      <w:r>
        <w:rPr>
          <w:rFonts w:ascii="Arial" w:hAnsi="Arial"/>
          <w:w w:val="105"/>
          <w:sz w:val="19"/>
        </w:rPr>
        <w:t>minutes</w:t>
      </w:r>
    </w:p>
    <w:p w:rsidR="007D76BB" w:rsidRDefault="00D70D28">
      <w:pPr>
        <w:pStyle w:val="ListParagraph"/>
        <w:numPr>
          <w:ilvl w:val="1"/>
          <w:numId w:val="5"/>
        </w:numPr>
        <w:tabs>
          <w:tab w:val="left" w:pos="766"/>
        </w:tabs>
        <w:spacing w:before="73" w:line="266" w:lineRule="auto"/>
        <w:ind w:right="897"/>
        <w:rPr>
          <w:rFonts w:ascii="Arial" w:hAnsi="Arial"/>
          <w:sz w:val="19"/>
        </w:rPr>
      </w:pPr>
      <w:r>
        <w:rPr>
          <w:rFonts w:ascii="Arial" w:hAnsi="Arial"/>
          <w:w w:val="105"/>
          <w:sz w:val="19"/>
        </w:rPr>
        <w:t>Time</w:t>
      </w:r>
      <w:r>
        <w:rPr>
          <w:rFonts w:ascii="Arial" w:hAnsi="Arial"/>
          <w:spacing w:val="-14"/>
          <w:w w:val="105"/>
          <w:sz w:val="19"/>
        </w:rPr>
        <w:t xml:space="preserve"> </w:t>
      </w:r>
      <w:r>
        <w:rPr>
          <w:rFonts w:ascii="Arial" w:hAnsi="Arial"/>
          <w:w w:val="105"/>
          <w:sz w:val="19"/>
        </w:rPr>
        <w:t>for</w:t>
      </w:r>
      <w:r>
        <w:rPr>
          <w:rFonts w:ascii="Arial" w:hAnsi="Arial"/>
          <w:spacing w:val="-13"/>
          <w:w w:val="105"/>
          <w:sz w:val="19"/>
        </w:rPr>
        <w:t xml:space="preserve"> </w:t>
      </w:r>
      <w:r>
        <w:rPr>
          <w:rFonts w:ascii="Arial" w:hAnsi="Arial"/>
          <w:w w:val="105"/>
          <w:sz w:val="19"/>
        </w:rPr>
        <w:t>future</w:t>
      </w:r>
      <w:r>
        <w:rPr>
          <w:rFonts w:ascii="Arial" w:hAnsi="Arial"/>
          <w:spacing w:val="-14"/>
          <w:w w:val="105"/>
          <w:sz w:val="19"/>
        </w:rPr>
        <w:t xml:space="preserve"> </w:t>
      </w:r>
      <w:r>
        <w:rPr>
          <w:rFonts w:ascii="Arial" w:hAnsi="Arial"/>
          <w:w w:val="105"/>
          <w:sz w:val="19"/>
        </w:rPr>
        <w:t>population</w:t>
      </w:r>
      <w:r>
        <w:rPr>
          <w:rFonts w:ascii="Arial" w:hAnsi="Arial"/>
          <w:spacing w:val="-14"/>
          <w:w w:val="105"/>
          <w:sz w:val="19"/>
        </w:rPr>
        <w:t xml:space="preserve"> </w:t>
      </w:r>
      <w:r>
        <w:rPr>
          <w:rFonts w:ascii="Arial" w:hAnsi="Arial"/>
          <w:w w:val="105"/>
          <w:sz w:val="19"/>
        </w:rPr>
        <w:t>to</w:t>
      </w:r>
      <w:r>
        <w:rPr>
          <w:rFonts w:ascii="Arial" w:hAnsi="Arial"/>
          <w:spacing w:val="-15"/>
          <w:w w:val="105"/>
          <w:sz w:val="19"/>
        </w:rPr>
        <w:t xml:space="preserve"> </w:t>
      </w:r>
      <w:r>
        <w:rPr>
          <w:rFonts w:ascii="Arial" w:hAnsi="Arial"/>
          <w:w w:val="105"/>
          <w:sz w:val="19"/>
        </w:rPr>
        <w:t>list</w:t>
      </w:r>
      <w:r>
        <w:rPr>
          <w:rFonts w:ascii="Arial" w:hAnsi="Arial"/>
          <w:spacing w:val="-11"/>
          <w:w w:val="105"/>
          <w:sz w:val="19"/>
        </w:rPr>
        <w:t xml:space="preserve"> </w:t>
      </w:r>
      <w:r>
        <w:rPr>
          <w:rFonts w:ascii="Arial" w:hAnsi="Arial"/>
          <w:w w:val="105"/>
          <w:sz w:val="19"/>
        </w:rPr>
        <w:t>in</w:t>
      </w:r>
      <w:r>
        <w:rPr>
          <w:rFonts w:ascii="Arial" w:hAnsi="Arial"/>
          <w:spacing w:val="-13"/>
          <w:w w:val="105"/>
          <w:sz w:val="19"/>
        </w:rPr>
        <w:t xml:space="preserve"> </w:t>
      </w:r>
      <w:r>
        <w:rPr>
          <w:rFonts w:ascii="Arial" w:hAnsi="Arial"/>
          <w:w w:val="105"/>
          <w:sz w:val="19"/>
        </w:rPr>
        <w:t>the</w:t>
      </w:r>
      <w:r>
        <w:rPr>
          <w:rFonts w:ascii="Arial" w:hAnsi="Arial"/>
          <w:spacing w:val="-15"/>
          <w:w w:val="105"/>
          <w:sz w:val="19"/>
        </w:rPr>
        <w:t xml:space="preserve"> </w:t>
      </w:r>
      <w:r>
        <w:rPr>
          <w:rFonts w:ascii="Arial" w:hAnsi="Arial"/>
          <w:w w:val="105"/>
          <w:sz w:val="19"/>
        </w:rPr>
        <w:t>ARTG</w:t>
      </w:r>
      <w:r>
        <w:rPr>
          <w:rFonts w:ascii="Arial" w:hAnsi="Arial"/>
          <w:spacing w:val="-14"/>
          <w:w w:val="105"/>
          <w:sz w:val="19"/>
        </w:rPr>
        <w:t xml:space="preserve"> </w:t>
      </w:r>
      <w:r>
        <w:rPr>
          <w:rFonts w:ascii="Arial" w:hAnsi="Arial"/>
          <w:w w:val="105"/>
          <w:sz w:val="19"/>
        </w:rPr>
        <w:t>and</w:t>
      </w:r>
      <w:r>
        <w:rPr>
          <w:rFonts w:ascii="Arial" w:hAnsi="Arial"/>
          <w:spacing w:val="-15"/>
          <w:w w:val="105"/>
          <w:sz w:val="19"/>
        </w:rPr>
        <w:t xml:space="preserve"> </w:t>
      </w:r>
      <w:r>
        <w:rPr>
          <w:rFonts w:ascii="Arial" w:hAnsi="Arial"/>
          <w:w w:val="105"/>
          <w:sz w:val="19"/>
        </w:rPr>
        <w:t>for</w:t>
      </w:r>
      <w:r>
        <w:rPr>
          <w:rFonts w:ascii="Arial" w:hAnsi="Arial"/>
          <w:spacing w:val="-13"/>
          <w:w w:val="105"/>
          <w:sz w:val="19"/>
        </w:rPr>
        <w:t xml:space="preserve"> </w:t>
      </w:r>
      <w:r>
        <w:rPr>
          <w:rFonts w:ascii="Arial" w:hAnsi="Arial"/>
          <w:w w:val="105"/>
          <w:sz w:val="19"/>
        </w:rPr>
        <w:t>both</w:t>
      </w:r>
      <w:r>
        <w:rPr>
          <w:rFonts w:ascii="Arial" w:hAnsi="Arial"/>
          <w:spacing w:val="-15"/>
          <w:w w:val="105"/>
          <w:sz w:val="19"/>
        </w:rPr>
        <w:t xml:space="preserve"> </w:t>
      </w:r>
      <w:r>
        <w:rPr>
          <w:rFonts w:ascii="Arial" w:hAnsi="Arial"/>
          <w:w w:val="105"/>
          <w:sz w:val="19"/>
        </w:rPr>
        <w:t>current</w:t>
      </w:r>
      <w:r>
        <w:rPr>
          <w:rFonts w:ascii="Arial" w:hAnsi="Arial"/>
          <w:spacing w:val="-15"/>
          <w:w w:val="105"/>
          <w:sz w:val="19"/>
        </w:rPr>
        <w:t xml:space="preserve"> </w:t>
      </w:r>
      <w:r>
        <w:rPr>
          <w:rFonts w:ascii="Arial" w:hAnsi="Arial"/>
          <w:w w:val="105"/>
          <w:sz w:val="19"/>
        </w:rPr>
        <w:t>and</w:t>
      </w:r>
      <w:r>
        <w:rPr>
          <w:rFonts w:ascii="Arial" w:hAnsi="Arial"/>
          <w:spacing w:val="-15"/>
          <w:w w:val="105"/>
          <w:sz w:val="19"/>
        </w:rPr>
        <w:t xml:space="preserve"> </w:t>
      </w:r>
      <w:r>
        <w:rPr>
          <w:rFonts w:ascii="Arial" w:hAnsi="Arial"/>
          <w:w w:val="105"/>
          <w:sz w:val="19"/>
        </w:rPr>
        <w:t>future</w:t>
      </w:r>
      <w:r>
        <w:rPr>
          <w:rFonts w:ascii="Arial" w:hAnsi="Arial"/>
          <w:spacing w:val="-15"/>
          <w:w w:val="105"/>
          <w:sz w:val="19"/>
        </w:rPr>
        <w:t xml:space="preserve"> </w:t>
      </w:r>
      <w:r>
        <w:rPr>
          <w:rFonts w:ascii="Arial" w:hAnsi="Arial"/>
          <w:w w:val="105"/>
          <w:sz w:val="19"/>
        </w:rPr>
        <w:t>populations</w:t>
      </w:r>
      <w:r>
        <w:rPr>
          <w:rFonts w:ascii="Arial" w:hAnsi="Arial"/>
          <w:spacing w:val="-14"/>
          <w:w w:val="105"/>
          <w:sz w:val="19"/>
        </w:rPr>
        <w:t xml:space="preserve"> </w:t>
      </w:r>
      <w:r>
        <w:rPr>
          <w:rFonts w:ascii="Arial" w:hAnsi="Arial"/>
          <w:w w:val="105"/>
          <w:sz w:val="19"/>
        </w:rPr>
        <w:t>to</w:t>
      </w:r>
      <w:r>
        <w:rPr>
          <w:rFonts w:ascii="Arial" w:hAnsi="Arial"/>
          <w:spacing w:val="-14"/>
          <w:w w:val="105"/>
          <w:sz w:val="19"/>
        </w:rPr>
        <w:t xml:space="preserve"> </w:t>
      </w:r>
      <w:r>
        <w:rPr>
          <w:rFonts w:ascii="Arial" w:hAnsi="Arial"/>
          <w:w w:val="105"/>
          <w:sz w:val="19"/>
        </w:rPr>
        <w:t>fulfil ARTG</w:t>
      </w:r>
      <w:r>
        <w:rPr>
          <w:rFonts w:ascii="Arial" w:hAnsi="Arial"/>
          <w:spacing w:val="-23"/>
          <w:w w:val="105"/>
          <w:sz w:val="19"/>
        </w:rPr>
        <w:t xml:space="preserve"> </w:t>
      </w:r>
      <w:r>
        <w:rPr>
          <w:rFonts w:ascii="Arial" w:hAnsi="Arial"/>
          <w:w w:val="105"/>
          <w:sz w:val="19"/>
        </w:rPr>
        <w:t>ongoing</w:t>
      </w:r>
      <w:r>
        <w:rPr>
          <w:rFonts w:ascii="Arial" w:hAnsi="Arial"/>
          <w:spacing w:val="-21"/>
          <w:w w:val="105"/>
          <w:sz w:val="19"/>
        </w:rPr>
        <w:t xml:space="preserve"> </w:t>
      </w:r>
      <w:r>
        <w:rPr>
          <w:rFonts w:ascii="Arial" w:hAnsi="Arial"/>
          <w:w w:val="105"/>
          <w:sz w:val="19"/>
        </w:rPr>
        <w:t>requirements</w:t>
      </w:r>
      <w:r>
        <w:rPr>
          <w:rFonts w:ascii="Arial" w:hAnsi="Arial"/>
          <w:spacing w:val="-24"/>
          <w:w w:val="105"/>
          <w:sz w:val="19"/>
        </w:rPr>
        <w:t xml:space="preserve"> </w:t>
      </w:r>
      <w:r>
        <w:rPr>
          <w:rFonts w:ascii="Arial" w:hAnsi="Arial"/>
          <w:w w:val="105"/>
          <w:sz w:val="19"/>
        </w:rPr>
        <w:t>=</w:t>
      </w:r>
      <w:r>
        <w:rPr>
          <w:rFonts w:ascii="Arial" w:hAnsi="Arial"/>
          <w:spacing w:val="-19"/>
          <w:w w:val="105"/>
          <w:sz w:val="19"/>
        </w:rPr>
        <w:t xml:space="preserve"> </w:t>
      </w:r>
      <w:r>
        <w:rPr>
          <w:rFonts w:ascii="Arial" w:hAnsi="Arial"/>
          <w:w w:val="105"/>
          <w:sz w:val="19"/>
        </w:rPr>
        <w:t>167,040</w:t>
      </w:r>
      <w:r>
        <w:rPr>
          <w:rFonts w:ascii="Arial" w:hAnsi="Arial"/>
          <w:spacing w:val="-23"/>
          <w:w w:val="105"/>
          <w:sz w:val="19"/>
        </w:rPr>
        <w:t xml:space="preserve"> </w:t>
      </w:r>
      <w:r>
        <w:rPr>
          <w:rFonts w:ascii="Arial" w:hAnsi="Arial"/>
          <w:w w:val="105"/>
          <w:sz w:val="19"/>
        </w:rPr>
        <w:t>(current</w:t>
      </w:r>
      <w:r>
        <w:rPr>
          <w:rFonts w:ascii="Arial" w:hAnsi="Arial"/>
          <w:spacing w:val="-23"/>
          <w:w w:val="105"/>
          <w:sz w:val="19"/>
        </w:rPr>
        <w:t xml:space="preserve"> </w:t>
      </w:r>
      <w:r>
        <w:rPr>
          <w:rFonts w:ascii="Arial" w:hAnsi="Arial"/>
          <w:w w:val="105"/>
          <w:sz w:val="19"/>
        </w:rPr>
        <w:t>population</w:t>
      </w:r>
      <w:r>
        <w:rPr>
          <w:rFonts w:ascii="Arial" w:hAnsi="Arial"/>
          <w:spacing w:val="-21"/>
          <w:w w:val="105"/>
          <w:sz w:val="19"/>
        </w:rPr>
        <w:t xml:space="preserve"> </w:t>
      </w:r>
      <w:r>
        <w:rPr>
          <w:rFonts w:ascii="Arial" w:hAnsi="Arial"/>
          <w:w w:val="105"/>
          <w:sz w:val="19"/>
        </w:rPr>
        <w:t>ongoing</w:t>
      </w:r>
      <w:r>
        <w:rPr>
          <w:rFonts w:ascii="Arial" w:hAnsi="Arial"/>
          <w:spacing w:val="-21"/>
          <w:w w:val="105"/>
          <w:sz w:val="19"/>
        </w:rPr>
        <w:t xml:space="preserve"> </w:t>
      </w:r>
      <w:r>
        <w:rPr>
          <w:rFonts w:ascii="Arial" w:hAnsi="Arial"/>
          <w:w w:val="105"/>
          <w:sz w:val="19"/>
        </w:rPr>
        <w:t>requirements)</w:t>
      </w:r>
      <w:r>
        <w:rPr>
          <w:rFonts w:ascii="Arial" w:hAnsi="Arial"/>
          <w:spacing w:val="-22"/>
          <w:w w:val="105"/>
          <w:sz w:val="19"/>
        </w:rPr>
        <w:t xml:space="preserve"> </w:t>
      </w:r>
      <w:r>
        <w:rPr>
          <w:rFonts w:ascii="Arial" w:hAnsi="Arial"/>
          <w:w w:val="105"/>
          <w:sz w:val="19"/>
        </w:rPr>
        <w:t>+</w:t>
      </w:r>
      <w:r>
        <w:rPr>
          <w:rFonts w:ascii="Arial" w:hAnsi="Arial"/>
          <w:spacing w:val="-24"/>
          <w:w w:val="105"/>
          <w:sz w:val="19"/>
        </w:rPr>
        <w:t xml:space="preserve"> </w:t>
      </w:r>
      <w:r>
        <w:rPr>
          <w:rFonts w:ascii="Arial" w:hAnsi="Arial"/>
          <w:w w:val="105"/>
          <w:sz w:val="19"/>
        </w:rPr>
        <w:t>357,850 (future</w:t>
      </w:r>
      <w:r>
        <w:rPr>
          <w:rFonts w:ascii="Arial" w:hAnsi="Arial"/>
          <w:spacing w:val="-22"/>
          <w:w w:val="105"/>
          <w:sz w:val="19"/>
        </w:rPr>
        <w:t xml:space="preserve"> </w:t>
      </w:r>
      <w:r>
        <w:rPr>
          <w:rFonts w:ascii="Arial" w:hAnsi="Arial"/>
          <w:w w:val="105"/>
          <w:sz w:val="19"/>
        </w:rPr>
        <w:t>population</w:t>
      </w:r>
      <w:r>
        <w:rPr>
          <w:rFonts w:ascii="Arial" w:hAnsi="Arial"/>
          <w:spacing w:val="-20"/>
          <w:w w:val="105"/>
          <w:sz w:val="19"/>
        </w:rPr>
        <w:t xml:space="preserve"> </w:t>
      </w:r>
      <w:r>
        <w:rPr>
          <w:rFonts w:ascii="Arial" w:hAnsi="Arial"/>
          <w:w w:val="105"/>
          <w:sz w:val="19"/>
        </w:rPr>
        <w:t>ARTG</w:t>
      </w:r>
      <w:r>
        <w:rPr>
          <w:rFonts w:ascii="Arial" w:hAnsi="Arial"/>
          <w:spacing w:val="-21"/>
          <w:w w:val="105"/>
          <w:sz w:val="19"/>
        </w:rPr>
        <w:t xml:space="preserve"> </w:t>
      </w:r>
      <w:r>
        <w:rPr>
          <w:rFonts w:ascii="Arial" w:hAnsi="Arial"/>
          <w:w w:val="105"/>
          <w:sz w:val="19"/>
        </w:rPr>
        <w:t>listing)</w:t>
      </w:r>
      <w:r>
        <w:rPr>
          <w:rFonts w:ascii="Arial" w:hAnsi="Arial"/>
          <w:spacing w:val="-20"/>
          <w:w w:val="105"/>
          <w:sz w:val="19"/>
        </w:rPr>
        <w:t xml:space="preserve"> </w:t>
      </w:r>
      <w:r>
        <w:rPr>
          <w:rFonts w:ascii="Arial" w:hAnsi="Arial"/>
          <w:w w:val="105"/>
          <w:sz w:val="19"/>
        </w:rPr>
        <w:t>+</w:t>
      </w:r>
      <w:r>
        <w:rPr>
          <w:rFonts w:ascii="Arial" w:hAnsi="Arial"/>
          <w:spacing w:val="-21"/>
          <w:w w:val="105"/>
          <w:sz w:val="19"/>
        </w:rPr>
        <w:t xml:space="preserve"> </w:t>
      </w:r>
      <w:r>
        <w:rPr>
          <w:rFonts w:ascii="Arial" w:hAnsi="Arial"/>
          <w:w w:val="105"/>
          <w:sz w:val="19"/>
        </w:rPr>
        <w:t>71,610</w:t>
      </w:r>
      <w:r>
        <w:rPr>
          <w:rFonts w:ascii="Arial" w:hAnsi="Arial"/>
          <w:spacing w:val="-21"/>
          <w:w w:val="105"/>
          <w:sz w:val="19"/>
        </w:rPr>
        <w:t xml:space="preserve"> </w:t>
      </w:r>
      <w:r>
        <w:rPr>
          <w:rFonts w:ascii="Arial" w:hAnsi="Arial"/>
          <w:w w:val="105"/>
          <w:sz w:val="19"/>
        </w:rPr>
        <w:t>(future</w:t>
      </w:r>
      <w:r>
        <w:rPr>
          <w:rFonts w:ascii="Arial" w:hAnsi="Arial"/>
          <w:spacing w:val="-22"/>
          <w:w w:val="105"/>
          <w:sz w:val="19"/>
        </w:rPr>
        <w:t xml:space="preserve"> </w:t>
      </w:r>
      <w:r>
        <w:rPr>
          <w:rFonts w:ascii="Arial" w:hAnsi="Arial"/>
          <w:w w:val="105"/>
          <w:sz w:val="19"/>
        </w:rPr>
        <w:t>population</w:t>
      </w:r>
      <w:r>
        <w:rPr>
          <w:rFonts w:ascii="Arial" w:hAnsi="Arial"/>
          <w:spacing w:val="-20"/>
          <w:w w:val="105"/>
          <w:sz w:val="19"/>
        </w:rPr>
        <w:t xml:space="preserve"> </w:t>
      </w:r>
      <w:r>
        <w:rPr>
          <w:rFonts w:ascii="Arial" w:hAnsi="Arial"/>
          <w:w w:val="105"/>
          <w:sz w:val="19"/>
        </w:rPr>
        <w:t>ongoing</w:t>
      </w:r>
      <w:r>
        <w:rPr>
          <w:rFonts w:ascii="Arial" w:hAnsi="Arial"/>
          <w:spacing w:val="-21"/>
          <w:w w:val="105"/>
          <w:sz w:val="19"/>
        </w:rPr>
        <w:t xml:space="preserve"> </w:t>
      </w:r>
      <w:r>
        <w:rPr>
          <w:rFonts w:ascii="Arial" w:hAnsi="Arial"/>
          <w:w w:val="105"/>
          <w:sz w:val="19"/>
        </w:rPr>
        <w:t>requirements)</w:t>
      </w:r>
      <w:r>
        <w:rPr>
          <w:rFonts w:ascii="Arial" w:hAnsi="Arial"/>
          <w:spacing w:val="14"/>
          <w:w w:val="105"/>
          <w:sz w:val="19"/>
        </w:rPr>
        <w:t xml:space="preserve"> </w:t>
      </w:r>
      <w:r>
        <w:rPr>
          <w:rFonts w:ascii="Arial" w:hAnsi="Arial"/>
          <w:w w:val="105"/>
          <w:sz w:val="19"/>
        </w:rPr>
        <w:t>=</w:t>
      </w:r>
      <w:r>
        <w:rPr>
          <w:rFonts w:ascii="Arial" w:hAnsi="Arial"/>
          <w:spacing w:val="-23"/>
          <w:w w:val="105"/>
          <w:sz w:val="19"/>
        </w:rPr>
        <w:t xml:space="preserve"> </w:t>
      </w:r>
      <w:r>
        <w:rPr>
          <w:rFonts w:ascii="Arial" w:hAnsi="Arial"/>
          <w:w w:val="105"/>
          <w:sz w:val="19"/>
        </w:rPr>
        <w:t>596,500</w:t>
      </w:r>
    </w:p>
    <w:p w:rsidR="007D76BB" w:rsidRDefault="00D70D28">
      <w:pPr>
        <w:spacing w:before="67"/>
        <w:ind w:left="482"/>
        <w:rPr>
          <w:rFonts w:ascii="Arial"/>
          <w:sz w:val="19"/>
        </w:rPr>
      </w:pPr>
      <w:r>
        <w:rPr>
          <w:rFonts w:ascii="Arial"/>
          <w:i/>
          <w:w w:val="105"/>
          <w:sz w:val="20"/>
        </w:rPr>
        <w:t xml:space="preserve">Step 2. </w:t>
      </w:r>
      <w:r>
        <w:rPr>
          <w:rFonts w:ascii="Arial"/>
          <w:w w:val="105"/>
          <w:sz w:val="19"/>
        </w:rPr>
        <w:t>Calculate total time in hours to fulfil regulatory requirement:</w:t>
      </w:r>
    </w:p>
    <w:p w:rsidR="007D76BB" w:rsidRDefault="00D70D28">
      <w:pPr>
        <w:pStyle w:val="ListParagraph"/>
        <w:numPr>
          <w:ilvl w:val="1"/>
          <w:numId w:val="5"/>
        </w:numPr>
        <w:tabs>
          <w:tab w:val="left" w:pos="766"/>
        </w:tabs>
        <w:spacing w:before="161"/>
        <w:rPr>
          <w:rFonts w:ascii="Arial" w:hAnsi="Arial"/>
          <w:sz w:val="19"/>
        </w:rPr>
      </w:pPr>
      <w:r>
        <w:rPr>
          <w:rFonts w:ascii="Arial" w:hAnsi="Arial"/>
          <w:w w:val="110"/>
          <w:sz w:val="19"/>
        </w:rPr>
        <w:t>596,500/60 = 9,942</w:t>
      </w:r>
      <w:r>
        <w:rPr>
          <w:rFonts w:ascii="Arial" w:hAnsi="Arial"/>
          <w:spacing w:val="-39"/>
          <w:w w:val="110"/>
          <w:sz w:val="19"/>
        </w:rPr>
        <w:t xml:space="preserve"> </w:t>
      </w:r>
      <w:r>
        <w:rPr>
          <w:rFonts w:ascii="Arial" w:hAnsi="Arial"/>
          <w:w w:val="110"/>
          <w:sz w:val="19"/>
        </w:rPr>
        <w:t>hours</w:t>
      </w:r>
    </w:p>
    <w:p w:rsidR="007D76BB" w:rsidRDefault="00D70D28">
      <w:pPr>
        <w:spacing w:before="92"/>
        <w:ind w:left="482"/>
        <w:rPr>
          <w:rFonts w:ascii="Arial"/>
          <w:sz w:val="19"/>
        </w:rPr>
      </w:pPr>
      <w:r>
        <w:rPr>
          <w:rFonts w:ascii="Arial"/>
          <w:i/>
          <w:w w:val="105"/>
          <w:sz w:val="20"/>
        </w:rPr>
        <w:t>Step 3</w:t>
      </w:r>
      <w:r>
        <w:rPr>
          <w:rFonts w:ascii="Arial"/>
          <w:w w:val="105"/>
          <w:sz w:val="19"/>
        </w:rPr>
        <w:t>. Apply the hourly rate to determine overall regulatory compliance cost:</w:t>
      </w:r>
    </w:p>
    <w:p w:rsidR="007D76BB" w:rsidRDefault="00D70D28">
      <w:pPr>
        <w:pStyle w:val="ListParagraph"/>
        <w:numPr>
          <w:ilvl w:val="1"/>
          <w:numId w:val="5"/>
        </w:numPr>
        <w:tabs>
          <w:tab w:val="left" w:pos="766"/>
        </w:tabs>
        <w:spacing w:before="161"/>
        <w:rPr>
          <w:rFonts w:ascii="Arial" w:hAnsi="Arial"/>
          <w:sz w:val="19"/>
        </w:rPr>
      </w:pPr>
      <w:r>
        <w:rPr>
          <w:rFonts w:ascii="Arial" w:hAnsi="Arial"/>
          <w:w w:val="105"/>
          <w:sz w:val="19"/>
        </w:rPr>
        <w:t>9,942 x $84.84=</w:t>
      </w:r>
      <w:r>
        <w:rPr>
          <w:rFonts w:ascii="Arial" w:hAnsi="Arial"/>
          <w:spacing w:val="-33"/>
          <w:w w:val="105"/>
          <w:sz w:val="19"/>
        </w:rPr>
        <w:t xml:space="preserve"> </w:t>
      </w:r>
      <w:r>
        <w:rPr>
          <w:rFonts w:ascii="Arial" w:hAnsi="Arial"/>
          <w:w w:val="105"/>
          <w:sz w:val="19"/>
        </w:rPr>
        <w:t>$843,451</w:t>
      </w:r>
    </w:p>
    <w:p w:rsidR="007D76BB" w:rsidRDefault="007D76BB">
      <w:pPr>
        <w:pStyle w:val="BodyText"/>
        <w:spacing w:before="1"/>
        <w:rPr>
          <w:rFonts w:ascii="Arial"/>
        </w:rPr>
      </w:pPr>
    </w:p>
    <w:p w:rsidR="007D76BB" w:rsidRDefault="00D70D28">
      <w:pPr>
        <w:pStyle w:val="BodyText"/>
        <w:ind w:left="482"/>
        <w:rPr>
          <w:rFonts w:ascii="Lucida Sans"/>
          <w:b/>
        </w:rPr>
      </w:pPr>
      <w:r>
        <w:rPr>
          <w:rFonts w:ascii="Lucida Sans"/>
          <w:b/>
          <w:color w:val="608FB5"/>
        </w:rPr>
        <w:t>Sponsors</w:t>
      </w:r>
    </w:p>
    <w:p w:rsidR="007D76BB" w:rsidRDefault="00D70D28">
      <w:pPr>
        <w:spacing w:before="204" w:line="264" w:lineRule="auto"/>
        <w:ind w:left="482" w:right="900"/>
        <w:rPr>
          <w:rFonts w:ascii="Arial" w:hAnsi="Arial"/>
          <w:sz w:val="19"/>
        </w:rPr>
      </w:pPr>
      <w:r>
        <w:rPr>
          <w:rFonts w:ascii="Arial" w:hAnsi="Arial"/>
          <w:w w:val="110"/>
          <w:sz w:val="19"/>
        </w:rPr>
        <w:t>A</w:t>
      </w:r>
      <w:r>
        <w:rPr>
          <w:rFonts w:ascii="Arial" w:hAnsi="Arial"/>
          <w:spacing w:val="-41"/>
          <w:w w:val="110"/>
          <w:sz w:val="19"/>
        </w:rPr>
        <w:t xml:space="preserve"> </w:t>
      </w:r>
      <w:r>
        <w:rPr>
          <w:rFonts w:ascii="Arial" w:hAnsi="Arial"/>
          <w:w w:val="110"/>
          <w:sz w:val="19"/>
        </w:rPr>
        <w:t>number</w:t>
      </w:r>
      <w:r>
        <w:rPr>
          <w:rFonts w:ascii="Arial" w:hAnsi="Arial"/>
          <w:spacing w:val="-40"/>
          <w:w w:val="110"/>
          <w:sz w:val="19"/>
        </w:rPr>
        <w:t xml:space="preserve"> </w:t>
      </w:r>
      <w:r>
        <w:rPr>
          <w:rFonts w:ascii="Arial" w:hAnsi="Arial"/>
          <w:w w:val="110"/>
          <w:sz w:val="19"/>
        </w:rPr>
        <w:t>of</w:t>
      </w:r>
      <w:r>
        <w:rPr>
          <w:rFonts w:ascii="Arial" w:hAnsi="Arial"/>
          <w:spacing w:val="-41"/>
          <w:w w:val="110"/>
          <w:sz w:val="19"/>
        </w:rPr>
        <w:t xml:space="preserve"> </w:t>
      </w:r>
      <w:r>
        <w:rPr>
          <w:rFonts w:ascii="Arial" w:hAnsi="Arial"/>
          <w:w w:val="110"/>
          <w:sz w:val="19"/>
        </w:rPr>
        <w:t>manufacturers/retailers</w:t>
      </w:r>
      <w:r>
        <w:rPr>
          <w:rFonts w:ascii="Arial" w:hAnsi="Arial"/>
          <w:spacing w:val="-41"/>
          <w:w w:val="110"/>
          <w:sz w:val="19"/>
        </w:rPr>
        <w:t xml:space="preserve"> </w:t>
      </w:r>
      <w:r>
        <w:rPr>
          <w:rFonts w:ascii="Arial" w:hAnsi="Arial"/>
          <w:w w:val="110"/>
          <w:sz w:val="19"/>
        </w:rPr>
        <w:t>of</w:t>
      </w:r>
      <w:r>
        <w:rPr>
          <w:rFonts w:ascii="Arial" w:hAnsi="Arial"/>
          <w:spacing w:val="-41"/>
          <w:w w:val="110"/>
          <w:sz w:val="19"/>
        </w:rPr>
        <w:t xml:space="preserve"> </w:t>
      </w:r>
      <w:r>
        <w:rPr>
          <w:rFonts w:ascii="Arial" w:hAnsi="Arial"/>
          <w:w w:val="110"/>
          <w:sz w:val="19"/>
        </w:rPr>
        <w:t>sports</w:t>
      </w:r>
      <w:r>
        <w:rPr>
          <w:rFonts w:ascii="Arial" w:hAnsi="Arial"/>
          <w:spacing w:val="-40"/>
          <w:w w:val="110"/>
          <w:sz w:val="19"/>
        </w:rPr>
        <w:t xml:space="preserve"> </w:t>
      </w:r>
      <w:r>
        <w:rPr>
          <w:rFonts w:ascii="Arial" w:hAnsi="Arial"/>
          <w:w w:val="110"/>
          <w:sz w:val="19"/>
        </w:rPr>
        <w:t>supplements</w:t>
      </w:r>
      <w:r>
        <w:rPr>
          <w:rFonts w:ascii="Arial" w:hAnsi="Arial"/>
          <w:spacing w:val="-41"/>
          <w:w w:val="110"/>
          <w:sz w:val="19"/>
        </w:rPr>
        <w:t xml:space="preserve"> </w:t>
      </w:r>
      <w:r>
        <w:rPr>
          <w:rFonts w:ascii="Arial" w:hAnsi="Arial"/>
          <w:w w:val="110"/>
          <w:sz w:val="19"/>
        </w:rPr>
        <w:t>are</w:t>
      </w:r>
      <w:r>
        <w:rPr>
          <w:rFonts w:ascii="Arial" w:hAnsi="Arial"/>
          <w:spacing w:val="-41"/>
          <w:w w:val="110"/>
          <w:sz w:val="19"/>
        </w:rPr>
        <w:t xml:space="preserve"> </w:t>
      </w:r>
      <w:r>
        <w:rPr>
          <w:rFonts w:ascii="Arial" w:hAnsi="Arial"/>
          <w:w w:val="110"/>
          <w:sz w:val="19"/>
        </w:rPr>
        <w:t>existing</w:t>
      </w:r>
      <w:r>
        <w:rPr>
          <w:rFonts w:ascii="Arial" w:hAnsi="Arial"/>
          <w:spacing w:val="-40"/>
          <w:w w:val="110"/>
          <w:sz w:val="19"/>
        </w:rPr>
        <w:t xml:space="preserve"> </w:t>
      </w:r>
      <w:r>
        <w:rPr>
          <w:rFonts w:ascii="Arial" w:hAnsi="Arial"/>
          <w:w w:val="110"/>
          <w:sz w:val="19"/>
        </w:rPr>
        <w:t>sponsors</w:t>
      </w:r>
      <w:r>
        <w:rPr>
          <w:rFonts w:ascii="Arial" w:hAnsi="Arial"/>
          <w:spacing w:val="-41"/>
          <w:w w:val="110"/>
          <w:sz w:val="19"/>
        </w:rPr>
        <w:t xml:space="preserve"> </w:t>
      </w:r>
      <w:r>
        <w:rPr>
          <w:rFonts w:ascii="Arial" w:hAnsi="Arial"/>
          <w:w w:val="110"/>
          <w:sz w:val="19"/>
        </w:rPr>
        <w:t>on</w:t>
      </w:r>
      <w:r>
        <w:rPr>
          <w:rFonts w:ascii="Arial" w:hAnsi="Arial"/>
          <w:spacing w:val="-42"/>
          <w:w w:val="110"/>
          <w:sz w:val="19"/>
        </w:rPr>
        <w:t xml:space="preserve"> </w:t>
      </w:r>
      <w:r>
        <w:rPr>
          <w:rFonts w:ascii="Arial" w:hAnsi="Arial"/>
          <w:w w:val="110"/>
          <w:sz w:val="19"/>
        </w:rPr>
        <w:t>the</w:t>
      </w:r>
      <w:r>
        <w:rPr>
          <w:rFonts w:ascii="Arial" w:hAnsi="Arial"/>
          <w:spacing w:val="-41"/>
          <w:w w:val="110"/>
          <w:sz w:val="19"/>
        </w:rPr>
        <w:t xml:space="preserve"> </w:t>
      </w:r>
      <w:r>
        <w:rPr>
          <w:rFonts w:ascii="Arial" w:hAnsi="Arial"/>
          <w:w w:val="110"/>
          <w:sz w:val="19"/>
        </w:rPr>
        <w:t xml:space="preserve">ARTG, </w:t>
      </w:r>
      <w:r>
        <w:rPr>
          <w:rFonts w:ascii="Arial" w:hAnsi="Arial"/>
          <w:w w:val="105"/>
          <w:sz w:val="19"/>
        </w:rPr>
        <w:t>likely</w:t>
      </w:r>
      <w:r>
        <w:rPr>
          <w:rFonts w:ascii="Arial" w:hAnsi="Arial"/>
          <w:spacing w:val="-35"/>
          <w:w w:val="105"/>
          <w:sz w:val="19"/>
        </w:rPr>
        <w:t xml:space="preserve"> </w:t>
      </w:r>
      <w:r>
        <w:rPr>
          <w:rFonts w:ascii="Arial" w:hAnsi="Arial"/>
          <w:w w:val="105"/>
          <w:sz w:val="19"/>
        </w:rPr>
        <w:t>due</w:t>
      </w:r>
      <w:r>
        <w:rPr>
          <w:rFonts w:ascii="Arial" w:hAnsi="Arial"/>
          <w:spacing w:val="-34"/>
          <w:w w:val="105"/>
          <w:sz w:val="19"/>
        </w:rPr>
        <w:t xml:space="preserve"> </w:t>
      </w:r>
      <w:r>
        <w:rPr>
          <w:rFonts w:ascii="Arial" w:hAnsi="Arial"/>
          <w:w w:val="105"/>
          <w:sz w:val="19"/>
        </w:rPr>
        <w:t>to</w:t>
      </w:r>
      <w:r>
        <w:rPr>
          <w:rFonts w:ascii="Arial" w:hAnsi="Arial"/>
          <w:spacing w:val="-36"/>
          <w:w w:val="105"/>
          <w:sz w:val="19"/>
        </w:rPr>
        <w:t xml:space="preserve"> </w:t>
      </w:r>
      <w:r>
        <w:rPr>
          <w:rFonts w:ascii="Arial" w:hAnsi="Arial"/>
          <w:w w:val="105"/>
          <w:sz w:val="19"/>
        </w:rPr>
        <w:t>their</w:t>
      </w:r>
      <w:r>
        <w:rPr>
          <w:rFonts w:ascii="Arial" w:hAnsi="Arial"/>
          <w:spacing w:val="-36"/>
          <w:w w:val="105"/>
          <w:sz w:val="19"/>
        </w:rPr>
        <w:t xml:space="preserve"> </w:t>
      </w:r>
      <w:r>
        <w:rPr>
          <w:rFonts w:ascii="Arial" w:hAnsi="Arial"/>
          <w:w w:val="105"/>
          <w:sz w:val="19"/>
        </w:rPr>
        <w:t>product</w:t>
      </w:r>
      <w:r>
        <w:rPr>
          <w:rFonts w:ascii="Arial" w:hAnsi="Arial"/>
          <w:spacing w:val="-35"/>
          <w:w w:val="105"/>
          <w:sz w:val="19"/>
        </w:rPr>
        <w:t xml:space="preserve"> </w:t>
      </w:r>
      <w:r>
        <w:rPr>
          <w:rFonts w:ascii="Arial" w:hAnsi="Arial"/>
          <w:w w:val="105"/>
          <w:sz w:val="19"/>
        </w:rPr>
        <w:t>range</w:t>
      </w:r>
      <w:r>
        <w:rPr>
          <w:rFonts w:ascii="Arial" w:hAnsi="Arial"/>
          <w:spacing w:val="-35"/>
          <w:w w:val="105"/>
          <w:sz w:val="19"/>
        </w:rPr>
        <w:t xml:space="preserve"> </w:t>
      </w:r>
      <w:r>
        <w:rPr>
          <w:rFonts w:ascii="Arial" w:hAnsi="Arial"/>
          <w:w w:val="105"/>
          <w:sz w:val="19"/>
        </w:rPr>
        <w:t>encompassing</w:t>
      </w:r>
      <w:r>
        <w:rPr>
          <w:rFonts w:ascii="Arial" w:hAnsi="Arial"/>
          <w:spacing w:val="-35"/>
          <w:w w:val="105"/>
          <w:sz w:val="19"/>
        </w:rPr>
        <w:t xml:space="preserve"> </w:t>
      </w:r>
      <w:r>
        <w:rPr>
          <w:rFonts w:ascii="Arial" w:hAnsi="Arial"/>
          <w:w w:val="105"/>
          <w:sz w:val="19"/>
        </w:rPr>
        <w:t>existing</w:t>
      </w:r>
      <w:r>
        <w:rPr>
          <w:rFonts w:ascii="Arial" w:hAnsi="Arial"/>
          <w:spacing w:val="-35"/>
          <w:w w:val="105"/>
          <w:sz w:val="19"/>
        </w:rPr>
        <w:t xml:space="preserve"> </w:t>
      </w:r>
      <w:r>
        <w:rPr>
          <w:rFonts w:ascii="Arial" w:hAnsi="Arial"/>
          <w:w w:val="105"/>
          <w:sz w:val="19"/>
        </w:rPr>
        <w:t>complementary</w:t>
      </w:r>
      <w:r>
        <w:rPr>
          <w:rFonts w:ascii="Arial" w:hAnsi="Arial"/>
          <w:spacing w:val="-35"/>
          <w:w w:val="105"/>
          <w:sz w:val="19"/>
        </w:rPr>
        <w:t xml:space="preserve"> </w:t>
      </w:r>
      <w:r>
        <w:rPr>
          <w:rFonts w:ascii="Arial" w:hAnsi="Arial"/>
          <w:w w:val="105"/>
          <w:sz w:val="19"/>
        </w:rPr>
        <w:t>medicines.</w:t>
      </w:r>
      <w:r>
        <w:rPr>
          <w:rFonts w:ascii="Arial" w:hAnsi="Arial"/>
          <w:spacing w:val="-36"/>
          <w:w w:val="105"/>
          <w:sz w:val="19"/>
        </w:rPr>
        <w:t xml:space="preserve"> </w:t>
      </w:r>
      <w:r>
        <w:rPr>
          <w:rFonts w:ascii="Arial" w:hAnsi="Arial"/>
          <w:w w:val="105"/>
          <w:sz w:val="19"/>
        </w:rPr>
        <w:t>Such</w:t>
      </w:r>
      <w:r>
        <w:rPr>
          <w:rFonts w:ascii="Arial" w:hAnsi="Arial"/>
          <w:spacing w:val="-34"/>
          <w:w w:val="105"/>
          <w:sz w:val="19"/>
        </w:rPr>
        <w:t xml:space="preserve"> </w:t>
      </w:r>
      <w:r>
        <w:rPr>
          <w:rFonts w:ascii="Arial" w:hAnsi="Arial"/>
          <w:w w:val="105"/>
          <w:sz w:val="19"/>
        </w:rPr>
        <w:t xml:space="preserve">businesses </w:t>
      </w:r>
      <w:r>
        <w:rPr>
          <w:rFonts w:ascii="Arial" w:hAnsi="Arial"/>
          <w:w w:val="110"/>
          <w:sz w:val="19"/>
        </w:rPr>
        <w:t>are</w:t>
      </w:r>
      <w:r>
        <w:rPr>
          <w:rFonts w:ascii="Arial" w:hAnsi="Arial"/>
          <w:spacing w:val="-37"/>
          <w:w w:val="110"/>
          <w:sz w:val="19"/>
        </w:rPr>
        <w:t xml:space="preserve"> </w:t>
      </w:r>
      <w:r>
        <w:rPr>
          <w:rFonts w:ascii="Arial" w:hAnsi="Arial"/>
          <w:w w:val="110"/>
          <w:sz w:val="19"/>
        </w:rPr>
        <w:t>already</w:t>
      </w:r>
      <w:r>
        <w:rPr>
          <w:rFonts w:ascii="Arial" w:hAnsi="Arial"/>
          <w:spacing w:val="-36"/>
          <w:w w:val="110"/>
          <w:sz w:val="19"/>
        </w:rPr>
        <w:t xml:space="preserve"> </w:t>
      </w:r>
      <w:r>
        <w:rPr>
          <w:rFonts w:ascii="Arial" w:hAnsi="Arial"/>
          <w:w w:val="110"/>
          <w:sz w:val="19"/>
        </w:rPr>
        <w:t>aware</w:t>
      </w:r>
      <w:r>
        <w:rPr>
          <w:rFonts w:ascii="Arial" w:hAnsi="Arial"/>
          <w:spacing w:val="-35"/>
          <w:w w:val="110"/>
          <w:sz w:val="19"/>
        </w:rPr>
        <w:t xml:space="preserve"> </w:t>
      </w:r>
      <w:r>
        <w:rPr>
          <w:rFonts w:ascii="Arial" w:hAnsi="Arial"/>
          <w:w w:val="110"/>
          <w:sz w:val="19"/>
        </w:rPr>
        <w:t>of</w:t>
      </w:r>
      <w:r>
        <w:rPr>
          <w:rFonts w:ascii="Arial" w:hAnsi="Arial"/>
          <w:spacing w:val="-36"/>
          <w:w w:val="110"/>
          <w:sz w:val="19"/>
        </w:rPr>
        <w:t xml:space="preserve"> </w:t>
      </w:r>
      <w:r>
        <w:rPr>
          <w:rFonts w:ascii="Arial" w:hAnsi="Arial"/>
          <w:w w:val="110"/>
          <w:sz w:val="19"/>
        </w:rPr>
        <w:t>their</w:t>
      </w:r>
      <w:r>
        <w:rPr>
          <w:rFonts w:ascii="Arial" w:hAnsi="Arial"/>
          <w:spacing w:val="-37"/>
          <w:w w:val="110"/>
          <w:sz w:val="19"/>
        </w:rPr>
        <w:t xml:space="preserve"> </w:t>
      </w:r>
      <w:r>
        <w:rPr>
          <w:rFonts w:ascii="Arial" w:hAnsi="Arial"/>
          <w:w w:val="110"/>
          <w:sz w:val="19"/>
        </w:rPr>
        <w:t>responsibilities</w:t>
      </w:r>
      <w:r>
        <w:rPr>
          <w:rFonts w:ascii="Arial" w:hAnsi="Arial"/>
          <w:spacing w:val="-36"/>
          <w:w w:val="110"/>
          <w:sz w:val="19"/>
        </w:rPr>
        <w:t xml:space="preserve"> </w:t>
      </w:r>
      <w:r>
        <w:rPr>
          <w:rFonts w:ascii="Arial" w:hAnsi="Arial"/>
          <w:w w:val="110"/>
          <w:sz w:val="19"/>
        </w:rPr>
        <w:t>under</w:t>
      </w:r>
      <w:r>
        <w:rPr>
          <w:rFonts w:ascii="Arial" w:hAnsi="Arial"/>
          <w:spacing w:val="-35"/>
          <w:w w:val="110"/>
          <w:sz w:val="19"/>
        </w:rPr>
        <w:t xml:space="preserve"> </w:t>
      </w:r>
      <w:r>
        <w:rPr>
          <w:rFonts w:ascii="Arial" w:hAnsi="Arial"/>
          <w:w w:val="110"/>
          <w:sz w:val="19"/>
        </w:rPr>
        <w:t>the</w:t>
      </w:r>
      <w:r>
        <w:rPr>
          <w:rFonts w:ascii="Arial" w:hAnsi="Arial"/>
          <w:spacing w:val="-36"/>
          <w:w w:val="110"/>
          <w:sz w:val="19"/>
        </w:rPr>
        <w:t xml:space="preserve"> </w:t>
      </w:r>
      <w:r>
        <w:rPr>
          <w:rFonts w:ascii="Arial" w:hAnsi="Arial"/>
          <w:w w:val="110"/>
          <w:sz w:val="19"/>
        </w:rPr>
        <w:t>TG</w:t>
      </w:r>
      <w:r>
        <w:rPr>
          <w:rFonts w:ascii="Arial" w:hAnsi="Arial"/>
          <w:spacing w:val="-37"/>
          <w:w w:val="110"/>
          <w:sz w:val="19"/>
        </w:rPr>
        <w:t xml:space="preserve"> </w:t>
      </w:r>
      <w:r>
        <w:rPr>
          <w:rFonts w:ascii="Arial" w:hAnsi="Arial"/>
          <w:w w:val="110"/>
          <w:sz w:val="19"/>
        </w:rPr>
        <w:t>Act</w:t>
      </w:r>
      <w:r>
        <w:rPr>
          <w:rFonts w:ascii="Arial" w:hAnsi="Arial"/>
          <w:spacing w:val="-36"/>
          <w:w w:val="110"/>
          <w:sz w:val="19"/>
        </w:rPr>
        <w:t xml:space="preserve"> </w:t>
      </w:r>
      <w:r>
        <w:rPr>
          <w:rFonts w:ascii="Arial" w:hAnsi="Arial"/>
          <w:w w:val="110"/>
          <w:sz w:val="19"/>
        </w:rPr>
        <w:t>and</w:t>
      </w:r>
      <w:r>
        <w:rPr>
          <w:rFonts w:ascii="Arial" w:hAnsi="Arial"/>
          <w:spacing w:val="-36"/>
          <w:w w:val="110"/>
          <w:sz w:val="19"/>
        </w:rPr>
        <w:t xml:space="preserve"> </w:t>
      </w:r>
      <w:r>
        <w:rPr>
          <w:rFonts w:ascii="Arial" w:hAnsi="Arial"/>
          <w:w w:val="110"/>
          <w:sz w:val="19"/>
        </w:rPr>
        <w:t>likely</w:t>
      </w:r>
      <w:r>
        <w:rPr>
          <w:rFonts w:ascii="Arial" w:hAnsi="Arial"/>
          <w:spacing w:val="-36"/>
          <w:w w:val="110"/>
          <w:sz w:val="19"/>
        </w:rPr>
        <w:t xml:space="preserve"> </w:t>
      </w:r>
      <w:r>
        <w:rPr>
          <w:rFonts w:ascii="Arial" w:hAnsi="Arial"/>
          <w:w w:val="110"/>
          <w:sz w:val="19"/>
        </w:rPr>
        <w:t>already</w:t>
      </w:r>
      <w:r>
        <w:rPr>
          <w:rFonts w:ascii="Arial" w:hAnsi="Arial"/>
          <w:spacing w:val="-36"/>
          <w:w w:val="110"/>
          <w:sz w:val="19"/>
        </w:rPr>
        <w:t xml:space="preserve"> </w:t>
      </w:r>
      <w:r>
        <w:rPr>
          <w:rFonts w:ascii="Arial" w:hAnsi="Arial"/>
          <w:w w:val="110"/>
          <w:sz w:val="19"/>
        </w:rPr>
        <w:t>have</w:t>
      </w:r>
      <w:r>
        <w:rPr>
          <w:rFonts w:ascii="Arial" w:hAnsi="Arial"/>
          <w:spacing w:val="-36"/>
          <w:w w:val="110"/>
          <w:sz w:val="19"/>
        </w:rPr>
        <w:t xml:space="preserve"> </w:t>
      </w:r>
      <w:r>
        <w:rPr>
          <w:rFonts w:ascii="Arial" w:hAnsi="Arial"/>
          <w:w w:val="110"/>
          <w:sz w:val="19"/>
        </w:rPr>
        <w:t>a</w:t>
      </w:r>
      <w:r>
        <w:rPr>
          <w:rFonts w:ascii="Arial" w:hAnsi="Arial"/>
          <w:spacing w:val="-36"/>
          <w:w w:val="110"/>
          <w:sz w:val="19"/>
        </w:rPr>
        <w:t xml:space="preserve"> </w:t>
      </w:r>
      <w:r>
        <w:rPr>
          <w:rFonts w:ascii="Arial" w:hAnsi="Arial"/>
          <w:w w:val="110"/>
          <w:sz w:val="19"/>
        </w:rPr>
        <w:t xml:space="preserve">regulatory affairs team. Others, such as domestic producers of sports supplements, or distributors with </w:t>
      </w:r>
      <w:r>
        <w:rPr>
          <w:rFonts w:ascii="Arial" w:hAnsi="Arial"/>
          <w:w w:val="105"/>
          <w:sz w:val="19"/>
        </w:rPr>
        <w:t>exclusive</w:t>
      </w:r>
      <w:r>
        <w:rPr>
          <w:rFonts w:ascii="Arial" w:hAnsi="Arial"/>
          <w:spacing w:val="-22"/>
          <w:w w:val="105"/>
          <w:sz w:val="19"/>
        </w:rPr>
        <w:t xml:space="preserve"> </w:t>
      </w:r>
      <w:r>
        <w:rPr>
          <w:rFonts w:ascii="Arial" w:hAnsi="Arial"/>
          <w:w w:val="105"/>
          <w:sz w:val="19"/>
        </w:rPr>
        <w:t>rights</w:t>
      </w:r>
      <w:r>
        <w:rPr>
          <w:rFonts w:ascii="Arial" w:hAnsi="Arial"/>
          <w:spacing w:val="-24"/>
          <w:w w:val="105"/>
          <w:sz w:val="19"/>
        </w:rPr>
        <w:t xml:space="preserve"> </w:t>
      </w:r>
      <w:r>
        <w:rPr>
          <w:rFonts w:ascii="Arial" w:hAnsi="Arial"/>
          <w:w w:val="105"/>
          <w:sz w:val="19"/>
        </w:rPr>
        <w:t>to</w:t>
      </w:r>
      <w:r>
        <w:rPr>
          <w:rFonts w:ascii="Arial" w:hAnsi="Arial"/>
          <w:spacing w:val="-22"/>
          <w:w w:val="105"/>
          <w:sz w:val="19"/>
        </w:rPr>
        <w:t xml:space="preserve"> </w:t>
      </w:r>
      <w:r>
        <w:rPr>
          <w:rFonts w:ascii="Arial" w:hAnsi="Arial"/>
          <w:w w:val="105"/>
          <w:sz w:val="19"/>
        </w:rPr>
        <w:t>distribute</w:t>
      </w:r>
      <w:r>
        <w:rPr>
          <w:rFonts w:ascii="Arial" w:hAnsi="Arial"/>
          <w:spacing w:val="-21"/>
          <w:w w:val="105"/>
          <w:sz w:val="19"/>
        </w:rPr>
        <w:t xml:space="preserve"> </w:t>
      </w:r>
      <w:r>
        <w:rPr>
          <w:rFonts w:ascii="Arial" w:hAnsi="Arial"/>
          <w:w w:val="105"/>
          <w:sz w:val="19"/>
        </w:rPr>
        <w:t>foreign</w:t>
      </w:r>
      <w:r>
        <w:rPr>
          <w:rFonts w:ascii="Arial" w:hAnsi="Arial"/>
          <w:spacing w:val="-23"/>
          <w:w w:val="105"/>
          <w:sz w:val="19"/>
        </w:rPr>
        <w:t xml:space="preserve"> </w:t>
      </w:r>
      <w:r>
        <w:rPr>
          <w:rFonts w:ascii="Arial" w:hAnsi="Arial"/>
          <w:w w:val="105"/>
          <w:sz w:val="19"/>
        </w:rPr>
        <w:t>(mainly</w:t>
      </w:r>
      <w:r>
        <w:rPr>
          <w:rFonts w:ascii="Arial" w:hAnsi="Arial"/>
          <w:spacing w:val="-24"/>
          <w:w w:val="105"/>
          <w:sz w:val="19"/>
        </w:rPr>
        <w:t xml:space="preserve"> </w:t>
      </w:r>
      <w:r>
        <w:rPr>
          <w:rFonts w:ascii="Arial" w:hAnsi="Arial"/>
          <w:w w:val="105"/>
          <w:sz w:val="19"/>
        </w:rPr>
        <w:t>US)</w:t>
      </w:r>
      <w:r>
        <w:rPr>
          <w:rFonts w:ascii="Arial" w:hAnsi="Arial"/>
          <w:spacing w:val="-21"/>
          <w:w w:val="105"/>
          <w:sz w:val="19"/>
        </w:rPr>
        <w:t xml:space="preserve"> </w:t>
      </w:r>
      <w:r>
        <w:rPr>
          <w:rFonts w:ascii="Arial" w:hAnsi="Arial"/>
          <w:w w:val="105"/>
          <w:sz w:val="19"/>
        </w:rPr>
        <w:t>produced</w:t>
      </w:r>
      <w:r>
        <w:rPr>
          <w:rFonts w:ascii="Arial" w:hAnsi="Arial"/>
          <w:spacing w:val="-23"/>
          <w:w w:val="105"/>
          <w:sz w:val="19"/>
        </w:rPr>
        <w:t xml:space="preserve"> </w:t>
      </w:r>
      <w:r>
        <w:rPr>
          <w:rFonts w:ascii="Arial" w:hAnsi="Arial"/>
          <w:w w:val="105"/>
          <w:sz w:val="19"/>
        </w:rPr>
        <w:t>products</w:t>
      </w:r>
      <w:r>
        <w:rPr>
          <w:rFonts w:ascii="Arial" w:hAnsi="Arial"/>
          <w:spacing w:val="-24"/>
          <w:w w:val="105"/>
          <w:sz w:val="19"/>
        </w:rPr>
        <w:t xml:space="preserve"> </w:t>
      </w:r>
      <w:r>
        <w:rPr>
          <w:rFonts w:ascii="Arial" w:hAnsi="Arial"/>
          <w:w w:val="105"/>
          <w:sz w:val="19"/>
        </w:rPr>
        <w:t>within</w:t>
      </w:r>
      <w:r>
        <w:rPr>
          <w:rFonts w:ascii="Arial" w:hAnsi="Arial"/>
          <w:spacing w:val="-22"/>
          <w:w w:val="105"/>
          <w:sz w:val="19"/>
        </w:rPr>
        <w:t xml:space="preserve"> </w:t>
      </w:r>
      <w:r>
        <w:rPr>
          <w:rFonts w:ascii="Arial" w:hAnsi="Arial"/>
          <w:w w:val="105"/>
          <w:sz w:val="19"/>
        </w:rPr>
        <w:t>Australia,</w:t>
      </w:r>
      <w:r>
        <w:rPr>
          <w:rFonts w:ascii="Arial" w:hAnsi="Arial"/>
          <w:spacing w:val="-25"/>
          <w:w w:val="105"/>
          <w:sz w:val="19"/>
        </w:rPr>
        <w:t xml:space="preserve"> </w:t>
      </w:r>
      <w:r>
        <w:rPr>
          <w:rFonts w:ascii="Arial" w:hAnsi="Arial"/>
          <w:w w:val="105"/>
          <w:sz w:val="19"/>
        </w:rPr>
        <w:t>may</w:t>
      </w:r>
      <w:r>
        <w:rPr>
          <w:rFonts w:ascii="Arial" w:hAnsi="Arial"/>
          <w:spacing w:val="-22"/>
          <w:w w:val="105"/>
          <w:sz w:val="19"/>
        </w:rPr>
        <w:t xml:space="preserve"> </w:t>
      </w:r>
      <w:r>
        <w:rPr>
          <w:rFonts w:ascii="Arial" w:hAnsi="Arial"/>
          <w:w w:val="105"/>
          <w:sz w:val="19"/>
        </w:rPr>
        <w:t>choose</w:t>
      </w:r>
      <w:r>
        <w:rPr>
          <w:rFonts w:ascii="Arial" w:hAnsi="Arial"/>
          <w:spacing w:val="-22"/>
          <w:w w:val="105"/>
          <w:sz w:val="19"/>
        </w:rPr>
        <w:t xml:space="preserve"> </w:t>
      </w:r>
      <w:r>
        <w:rPr>
          <w:rFonts w:ascii="Arial" w:hAnsi="Arial"/>
          <w:w w:val="105"/>
          <w:sz w:val="19"/>
        </w:rPr>
        <w:t>to become</w:t>
      </w:r>
      <w:r>
        <w:rPr>
          <w:rFonts w:ascii="Arial" w:hAnsi="Arial"/>
          <w:spacing w:val="-24"/>
          <w:w w:val="105"/>
          <w:sz w:val="19"/>
        </w:rPr>
        <w:t xml:space="preserve"> </w:t>
      </w:r>
      <w:r>
        <w:rPr>
          <w:rFonts w:ascii="Arial" w:hAnsi="Arial"/>
          <w:w w:val="105"/>
          <w:sz w:val="19"/>
        </w:rPr>
        <w:t>sponsors.</w:t>
      </w:r>
      <w:r>
        <w:rPr>
          <w:rFonts w:ascii="Arial" w:hAnsi="Arial"/>
          <w:spacing w:val="-24"/>
          <w:w w:val="105"/>
          <w:sz w:val="19"/>
        </w:rPr>
        <w:t xml:space="preserve"> </w:t>
      </w:r>
      <w:r>
        <w:rPr>
          <w:rFonts w:ascii="Arial" w:hAnsi="Arial"/>
          <w:w w:val="105"/>
          <w:sz w:val="19"/>
        </w:rPr>
        <w:t>It</w:t>
      </w:r>
      <w:r>
        <w:rPr>
          <w:rFonts w:ascii="Arial" w:hAnsi="Arial"/>
          <w:spacing w:val="-25"/>
          <w:w w:val="105"/>
          <w:sz w:val="19"/>
        </w:rPr>
        <w:t xml:space="preserve"> </w:t>
      </w:r>
      <w:r>
        <w:rPr>
          <w:rFonts w:ascii="Arial" w:hAnsi="Arial"/>
          <w:w w:val="105"/>
          <w:sz w:val="19"/>
        </w:rPr>
        <w:t>is</w:t>
      </w:r>
      <w:r>
        <w:rPr>
          <w:rFonts w:ascii="Arial" w:hAnsi="Arial"/>
          <w:spacing w:val="-24"/>
          <w:w w:val="105"/>
          <w:sz w:val="19"/>
        </w:rPr>
        <w:t xml:space="preserve"> </w:t>
      </w:r>
      <w:r>
        <w:rPr>
          <w:rFonts w:ascii="Arial" w:hAnsi="Arial"/>
          <w:w w:val="105"/>
          <w:sz w:val="19"/>
        </w:rPr>
        <w:t>considered</w:t>
      </w:r>
      <w:r>
        <w:rPr>
          <w:rFonts w:ascii="Arial" w:hAnsi="Arial"/>
          <w:spacing w:val="-24"/>
          <w:w w:val="105"/>
          <w:sz w:val="19"/>
        </w:rPr>
        <w:t xml:space="preserve"> </w:t>
      </w:r>
      <w:r>
        <w:rPr>
          <w:rFonts w:ascii="Arial" w:hAnsi="Arial"/>
          <w:w w:val="105"/>
          <w:sz w:val="19"/>
        </w:rPr>
        <w:t>unlikely</w:t>
      </w:r>
      <w:r>
        <w:rPr>
          <w:rFonts w:ascii="Arial" w:hAnsi="Arial"/>
          <w:spacing w:val="-26"/>
          <w:w w:val="105"/>
          <w:sz w:val="19"/>
        </w:rPr>
        <w:t xml:space="preserve"> </w:t>
      </w:r>
      <w:r>
        <w:rPr>
          <w:rFonts w:ascii="Arial" w:hAnsi="Arial"/>
          <w:w w:val="105"/>
          <w:sz w:val="19"/>
        </w:rPr>
        <w:t>that</w:t>
      </w:r>
      <w:r>
        <w:rPr>
          <w:rFonts w:ascii="Arial" w:hAnsi="Arial"/>
          <w:spacing w:val="-23"/>
          <w:w w:val="105"/>
          <w:sz w:val="19"/>
        </w:rPr>
        <w:t xml:space="preserve"> </w:t>
      </w:r>
      <w:r>
        <w:rPr>
          <w:rFonts w:ascii="Arial" w:hAnsi="Arial"/>
          <w:w w:val="105"/>
          <w:sz w:val="19"/>
        </w:rPr>
        <w:t>retailers</w:t>
      </w:r>
      <w:r>
        <w:rPr>
          <w:rFonts w:ascii="Arial" w:hAnsi="Arial"/>
          <w:spacing w:val="-25"/>
          <w:w w:val="105"/>
          <w:sz w:val="19"/>
        </w:rPr>
        <w:t xml:space="preserve"> </w:t>
      </w:r>
      <w:r>
        <w:rPr>
          <w:rFonts w:ascii="Arial" w:hAnsi="Arial"/>
          <w:w w:val="105"/>
          <w:sz w:val="19"/>
        </w:rPr>
        <w:t>will</w:t>
      </w:r>
      <w:r>
        <w:rPr>
          <w:rFonts w:ascii="Arial" w:hAnsi="Arial"/>
          <w:spacing w:val="-23"/>
          <w:w w:val="105"/>
          <w:sz w:val="19"/>
        </w:rPr>
        <w:t xml:space="preserve"> </w:t>
      </w:r>
      <w:r>
        <w:rPr>
          <w:rFonts w:ascii="Arial" w:hAnsi="Arial"/>
          <w:w w:val="105"/>
          <w:sz w:val="19"/>
        </w:rPr>
        <w:t>seek</w:t>
      </w:r>
      <w:r>
        <w:rPr>
          <w:rFonts w:ascii="Arial" w:hAnsi="Arial"/>
          <w:spacing w:val="-25"/>
          <w:w w:val="105"/>
          <w:sz w:val="19"/>
        </w:rPr>
        <w:t xml:space="preserve"> </w:t>
      </w:r>
      <w:r>
        <w:rPr>
          <w:rFonts w:ascii="Arial" w:hAnsi="Arial"/>
          <w:w w:val="105"/>
          <w:sz w:val="19"/>
        </w:rPr>
        <w:t>to</w:t>
      </w:r>
      <w:r>
        <w:rPr>
          <w:rFonts w:ascii="Arial" w:hAnsi="Arial"/>
          <w:spacing w:val="-24"/>
          <w:w w:val="105"/>
          <w:sz w:val="19"/>
        </w:rPr>
        <w:t xml:space="preserve"> </w:t>
      </w:r>
      <w:r>
        <w:rPr>
          <w:rFonts w:ascii="Arial" w:hAnsi="Arial"/>
          <w:w w:val="105"/>
          <w:sz w:val="19"/>
        </w:rPr>
        <w:t>become</w:t>
      </w:r>
      <w:r>
        <w:rPr>
          <w:rFonts w:ascii="Arial" w:hAnsi="Arial"/>
          <w:spacing w:val="-25"/>
          <w:w w:val="105"/>
          <w:sz w:val="19"/>
        </w:rPr>
        <w:t xml:space="preserve"> </w:t>
      </w:r>
      <w:r>
        <w:rPr>
          <w:rFonts w:ascii="Arial" w:hAnsi="Arial"/>
          <w:w w:val="105"/>
          <w:sz w:val="19"/>
        </w:rPr>
        <w:t>sponsors</w:t>
      </w:r>
      <w:r>
        <w:rPr>
          <w:rFonts w:ascii="Arial" w:hAnsi="Arial"/>
          <w:spacing w:val="-24"/>
          <w:w w:val="105"/>
          <w:sz w:val="19"/>
        </w:rPr>
        <w:t xml:space="preserve"> </w:t>
      </w:r>
      <w:r>
        <w:rPr>
          <w:rFonts w:ascii="Arial" w:hAnsi="Arial"/>
          <w:w w:val="105"/>
          <w:sz w:val="19"/>
        </w:rPr>
        <w:t>other</w:t>
      </w:r>
      <w:r>
        <w:rPr>
          <w:rFonts w:ascii="Arial" w:hAnsi="Arial"/>
          <w:spacing w:val="-23"/>
          <w:w w:val="105"/>
          <w:sz w:val="19"/>
        </w:rPr>
        <w:t xml:space="preserve"> </w:t>
      </w:r>
      <w:r>
        <w:rPr>
          <w:rFonts w:ascii="Arial" w:hAnsi="Arial"/>
          <w:w w:val="105"/>
          <w:sz w:val="19"/>
        </w:rPr>
        <w:t>than</w:t>
      </w:r>
      <w:r>
        <w:rPr>
          <w:rFonts w:ascii="Arial" w:hAnsi="Arial"/>
          <w:spacing w:val="-23"/>
          <w:w w:val="105"/>
          <w:sz w:val="19"/>
        </w:rPr>
        <w:t xml:space="preserve"> </w:t>
      </w:r>
      <w:r>
        <w:rPr>
          <w:rFonts w:ascii="Arial" w:hAnsi="Arial"/>
          <w:w w:val="105"/>
          <w:sz w:val="19"/>
        </w:rPr>
        <w:t xml:space="preserve">for </w:t>
      </w:r>
      <w:r>
        <w:rPr>
          <w:rFonts w:ascii="Arial" w:hAnsi="Arial"/>
          <w:w w:val="110"/>
          <w:sz w:val="19"/>
        </w:rPr>
        <w:t>their</w:t>
      </w:r>
      <w:r>
        <w:rPr>
          <w:rFonts w:ascii="Arial" w:hAnsi="Arial"/>
          <w:spacing w:val="-37"/>
          <w:w w:val="110"/>
          <w:sz w:val="19"/>
        </w:rPr>
        <w:t xml:space="preserve"> </w:t>
      </w:r>
      <w:r>
        <w:rPr>
          <w:rFonts w:ascii="Arial" w:hAnsi="Arial"/>
          <w:w w:val="110"/>
          <w:sz w:val="19"/>
        </w:rPr>
        <w:t>own</w:t>
      </w:r>
      <w:r>
        <w:rPr>
          <w:rFonts w:ascii="Arial" w:hAnsi="Arial"/>
          <w:spacing w:val="-36"/>
          <w:w w:val="110"/>
          <w:sz w:val="19"/>
        </w:rPr>
        <w:t xml:space="preserve"> </w:t>
      </w:r>
      <w:r>
        <w:rPr>
          <w:rFonts w:ascii="Arial" w:hAnsi="Arial"/>
          <w:w w:val="110"/>
          <w:sz w:val="19"/>
        </w:rPr>
        <w:t>brand</w:t>
      </w:r>
      <w:r>
        <w:rPr>
          <w:rFonts w:ascii="Arial" w:hAnsi="Arial"/>
          <w:spacing w:val="-36"/>
          <w:w w:val="110"/>
          <w:sz w:val="19"/>
        </w:rPr>
        <w:t xml:space="preserve"> </w:t>
      </w:r>
      <w:r>
        <w:rPr>
          <w:rFonts w:ascii="Arial" w:hAnsi="Arial"/>
          <w:w w:val="110"/>
          <w:sz w:val="19"/>
        </w:rPr>
        <w:t>products,</w:t>
      </w:r>
      <w:r>
        <w:rPr>
          <w:rFonts w:ascii="Arial" w:hAnsi="Arial"/>
          <w:spacing w:val="-36"/>
          <w:w w:val="110"/>
          <w:sz w:val="19"/>
        </w:rPr>
        <w:t xml:space="preserve"> </w:t>
      </w:r>
      <w:r>
        <w:rPr>
          <w:rFonts w:ascii="Arial" w:hAnsi="Arial"/>
          <w:w w:val="110"/>
          <w:sz w:val="19"/>
        </w:rPr>
        <w:t>most</w:t>
      </w:r>
      <w:r>
        <w:rPr>
          <w:rFonts w:ascii="Arial" w:hAnsi="Arial"/>
          <w:spacing w:val="-35"/>
          <w:w w:val="110"/>
          <w:sz w:val="19"/>
        </w:rPr>
        <w:t xml:space="preserve"> </w:t>
      </w:r>
      <w:r>
        <w:rPr>
          <w:rFonts w:ascii="Arial" w:hAnsi="Arial"/>
          <w:w w:val="110"/>
          <w:sz w:val="19"/>
        </w:rPr>
        <w:t>likely</w:t>
      </w:r>
      <w:r>
        <w:rPr>
          <w:rFonts w:ascii="Arial" w:hAnsi="Arial"/>
          <w:spacing w:val="-37"/>
          <w:w w:val="110"/>
          <w:sz w:val="19"/>
        </w:rPr>
        <w:t xml:space="preserve"> </w:t>
      </w:r>
      <w:r>
        <w:rPr>
          <w:rFonts w:ascii="Arial" w:hAnsi="Arial"/>
          <w:w w:val="110"/>
          <w:sz w:val="19"/>
        </w:rPr>
        <w:t>relying</w:t>
      </w:r>
      <w:r>
        <w:rPr>
          <w:rFonts w:ascii="Arial" w:hAnsi="Arial"/>
          <w:spacing w:val="-36"/>
          <w:w w:val="110"/>
          <w:sz w:val="19"/>
        </w:rPr>
        <w:t xml:space="preserve"> </w:t>
      </w:r>
      <w:r>
        <w:rPr>
          <w:rFonts w:ascii="Arial" w:hAnsi="Arial"/>
          <w:w w:val="110"/>
          <w:sz w:val="19"/>
        </w:rPr>
        <w:t>on</w:t>
      </w:r>
      <w:r>
        <w:rPr>
          <w:rFonts w:ascii="Arial" w:hAnsi="Arial"/>
          <w:spacing w:val="-36"/>
          <w:w w:val="110"/>
          <w:sz w:val="19"/>
        </w:rPr>
        <w:t xml:space="preserve"> </w:t>
      </w:r>
      <w:r>
        <w:rPr>
          <w:rFonts w:ascii="Arial" w:hAnsi="Arial"/>
          <w:w w:val="110"/>
          <w:sz w:val="19"/>
        </w:rPr>
        <w:t>the</w:t>
      </w:r>
      <w:r>
        <w:rPr>
          <w:rFonts w:ascii="Arial" w:hAnsi="Arial"/>
          <w:spacing w:val="-35"/>
          <w:w w:val="110"/>
          <w:sz w:val="19"/>
        </w:rPr>
        <w:t xml:space="preserve"> </w:t>
      </w:r>
      <w:r>
        <w:rPr>
          <w:rFonts w:ascii="Arial" w:hAnsi="Arial"/>
          <w:w w:val="110"/>
          <w:sz w:val="19"/>
        </w:rPr>
        <w:t>distributor</w:t>
      </w:r>
      <w:r>
        <w:rPr>
          <w:rFonts w:ascii="Arial" w:hAnsi="Arial"/>
          <w:spacing w:val="-35"/>
          <w:w w:val="110"/>
          <w:sz w:val="19"/>
        </w:rPr>
        <w:t xml:space="preserve"> </w:t>
      </w:r>
      <w:r>
        <w:rPr>
          <w:rFonts w:ascii="Arial" w:hAnsi="Arial"/>
          <w:w w:val="110"/>
          <w:sz w:val="19"/>
        </w:rPr>
        <w:t>to</w:t>
      </w:r>
      <w:r>
        <w:rPr>
          <w:rFonts w:ascii="Arial" w:hAnsi="Arial"/>
          <w:spacing w:val="-36"/>
          <w:w w:val="110"/>
          <w:sz w:val="19"/>
        </w:rPr>
        <w:t xml:space="preserve"> </w:t>
      </w:r>
      <w:r>
        <w:rPr>
          <w:rFonts w:ascii="Arial" w:hAnsi="Arial"/>
          <w:w w:val="110"/>
          <w:sz w:val="19"/>
        </w:rPr>
        <w:t>do</w:t>
      </w:r>
      <w:r>
        <w:rPr>
          <w:rFonts w:ascii="Arial" w:hAnsi="Arial"/>
          <w:spacing w:val="-35"/>
          <w:w w:val="110"/>
          <w:sz w:val="19"/>
        </w:rPr>
        <w:t xml:space="preserve"> </w:t>
      </w:r>
      <w:r>
        <w:rPr>
          <w:rFonts w:ascii="Arial" w:hAnsi="Arial"/>
          <w:w w:val="110"/>
          <w:sz w:val="19"/>
        </w:rPr>
        <w:t>so,</w:t>
      </w:r>
      <w:r>
        <w:rPr>
          <w:rFonts w:ascii="Arial" w:hAnsi="Arial"/>
          <w:spacing w:val="-36"/>
          <w:w w:val="110"/>
          <w:sz w:val="19"/>
        </w:rPr>
        <w:t xml:space="preserve"> </w:t>
      </w:r>
      <w:r>
        <w:rPr>
          <w:rFonts w:ascii="Arial" w:hAnsi="Arial"/>
          <w:w w:val="110"/>
          <w:sz w:val="19"/>
        </w:rPr>
        <w:t>due</w:t>
      </w:r>
      <w:r>
        <w:rPr>
          <w:rFonts w:ascii="Arial" w:hAnsi="Arial"/>
          <w:spacing w:val="-35"/>
          <w:w w:val="110"/>
          <w:sz w:val="19"/>
        </w:rPr>
        <w:t xml:space="preserve"> </w:t>
      </w:r>
      <w:r>
        <w:rPr>
          <w:rFonts w:ascii="Arial" w:hAnsi="Arial"/>
          <w:w w:val="110"/>
          <w:sz w:val="19"/>
        </w:rPr>
        <w:t>to</w:t>
      </w:r>
      <w:r>
        <w:rPr>
          <w:rFonts w:ascii="Arial" w:hAnsi="Arial"/>
          <w:spacing w:val="-36"/>
          <w:w w:val="110"/>
          <w:sz w:val="19"/>
        </w:rPr>
        <w:t xml:space="preserve"> </w:t>
      </w:r>
      <w:r>
        <w:rPr>
          <w:rFonts w:ascii="Arial" w:hAnsi="Arial"/>
          <w:w w:val="110"/>
          <w:sz w:val="19"/>
        </w:rPr>
        <w:t>the</w:t>
      </w:r>
      <w:r>
        <w:rPr>
          <w:rFonts w:ascii="Arial" w:hAnsi="Arial"/>
          <w:spacing w:val="-35"/>
          <w:w w:val="110"/>
          <w:sz w:val="19"/>
        </w:rPr>
        <w:t xml:space="preserve"> </w:t>
      </w:r>
      <w:r>
        <w:rPr>
          <w:rFonts w:ascii="Arial" w:hAnsi="Arial"/>
          <w:w w:val="110"/>
          <w:sz w:val="19"/>
        </w:rPr>
        <w:t>dynamics</w:t>
      </w:r>
      <w:r>
        <w:rPr>
          <w:rFonts w:ascii="Arial" w:hAnsi="Arial"/>
          <w:spacing w:val="-36"/>
          <w:w w:val="110"/>
          <w:sz w:val="19"/>
        </w:rPr>
        <w:t xml:space="preserve"> </w:t>
      </w:r>
      <w:r>
        <w:rPr>
          <w:rFonts w:ascii="Arial" w:hAnsi="Arial"/>
          <w:w w:val="110"/>
          <w:sz w:val="19"/>
        </w:rPr>
        <w:t>of</w:t>
      </w:r>
      <w:r>
        <w:rPr>
          <w:rFonts w:ascii="Arial" w:hAnsi="Arial"/>
          <w:spacing w:val="-37"/>
          <w:w w:val="110"/>
          <w:sz w:val="19"/>
        </w:rPr>
        <w:t xml:space="preserve"> </w:t>
      </w:r>
      <w:r>
        <w:rPr>
          <w:rFonts w:ascii="Arial" w:hAnsi="Arial"/>
          <w:w w:val="110"/>
          <w:sz w:val="19"/>
        </w:rPr>
        <w:t>the supply chain, in particular due to the distributor’s central role (one-to-many relationship), as detailed</w:t>
      </w:r>
      <w:r>
        <w:rPr>
          <w:rFonts w:ascii="Arial" w:hAnsi="Arial"/>
          <w:spacing w:val="-15"/>
          <w:w w:val="110"/>
          <w:sz w:val="19"/>
        </w:rPr>
        <w:t xml:space="preserve"> </w:t>
      </w:r>
      <w:r>
        <w:rPr>
          <w:rFonts w:ascii="Arial" w:hAnsi="Arial"/>
          <w:w w:val="110"/>
          <w:sz w:val="19"/>
        </w:rPr>
        <w:t>in</w:t>
      </w:r>
      <w:r>
        <w:rPr>
          <w:rFonts w:ascii="Arial" w:hAnsi="Arial"/>
          <w:spacing w:val="-15"/>
          <w:w w:val="110"/>
          <w:sz w:val="19"/>
        </w:rPr>
        <w:t xml:space="preserve"> </w:t>
      </w:r>
      <w:r>
        <w:rPr>
          <w:rFonts w:ascii="Arial" w:hAnsi="Arial"/>
          <w:w w:val="110"/>
          <w:sz w:val="19"/>
        </w:rPr>
        <w:t>the</w:t>
      </w:r>
      <w:r>
        <w:rPr>
          <w:rFonts w:ascii="Arial" w:hAnsi="Arial"/>
          <w:spacing w:val="-14"/>
          <w:w w:val="110"/>
          <w:sz w:val="19"/>
        </w:rPr>
        <w:t xml:space="preserve"> </w:t>
      </w:r>
      <w:r>
        <w:rPr>
          <w:rFonts w:ascii="Arial" w:hAnsi="Arial"/>
          <w:w w:val="110"/>
          <w:sz w:val="19"/>
        </w:rPr>
        <w:t>figure</w:t>
      </w:r>
      <w:r>
        <w:rPr>
          <w:rFonts w:ascii="Arial" w:hAnsi="Arial"/>
          <w:spacing w:val="-14"/>
          <w:w w:val="110"/>
          <w:sz w:val="19"/>
        </w:rPr>
        <w:t xml:space="preserve"> </w:t>
      </w:r>
      <w:r>
        <w:rPr>
          <w:rFonts w:ascii="Arial" w:hAnsi="Arial"/>
          <w:w w:val="110"/>
          <w:sz w:val="19"/>
        </w:rPr>
        <w:t>below.</w:t>
      </w:r>
    </w:p>
    <w:p w:rsidR="007D76BB" w:rsidRDefault="007D76BB">
      <w:pPr>
        <w:spacing w:line="264" w:lineRule="auto"/>
        <w:rPr>
          <w:rFonts w:ascii="Arial" w:hAnsi="Arial"/>
          <w:sz w:val="19"/>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8"/>
        </w:rPr>
      </w:pPr>
    </w:p>
    <w:p w:rsidR="007D76BB" w:rsidRDefault="00D70D28">
      <w:pPr>
        <w:spacing w:before="108"/>
        <w:ind w:left="482"/>
        <w:rPr>
          <w:rFonts w:ascii="Arial"/>
          <w:sz w:val="19"/>
        </w:rPr>
      </w:pPr>
      <w:r>
        <w:rPr>
          <w:rFonts w:ascii="Arial"/>
          <w:color w:val="005386"/>
          <w:w w:val="105"/>
          <w:sz w:val="19"/>
        </w:rPr>
        <w:t>Figure 6. Simplified supply chain for sports supplement products</w:t>
      </w:r>
    </w:p>
    <w:p w:rsidR="007D76BB" w:rsidRDefault="007D76BB">
      <w:pPr>
        <w:pStyle w:val="BodyText"/>
        <w:rPr>
          <w:rFonts w:ascii="Arial"/>
          <w:sz w:val="20"/>
        </w:rPr>
      </w:pPr>
    </w:p>
    <w:p w:rsidR="007D76BB" w:rsidRDefault="00D70D28">
      <w:pPr>
        <w:pStyle w:val="BodyText"/>
        <w:spacing w:before="11"/>
        <w:rPr>
          <w:rFonts w:ascii="Arial"/>
          <w:sz w:val="10"/>
        </w:rPr>
      </w:pPr>
      <w:r>
        <w:rPr>
          <w:noProof/>
          <w:lang w:val="en-AU" w:eastAsia="en-AU"/>
        </w:rPr>
        <mc:AlternateContent>
          <mc:Choice Requires="wps">
            <w:drawing>
              <wp:anchor distT="0" distB="0" distL="0" distR="0" simplePos="0" relativeHeight="251730944" behindDoc="1" locked="0" layoutInCell="1" allowOverlap="1">
                <wp:simplePos x="0" y="0"/>
                <wp:positionH relativeFrom="page">
                  <wp:posOffset>2996565</wp:posOffset>
                </wp:positionH>
                <wp:positionV relativeFrom="paragraph">
                  <wp:posOffset>269240</wp:posOffset>
                </wp:positionV>
                <wp:extent cx="279400" cy="159385"/>
                <wp:effectExtent l="0" t="0" r="0" b="0"/>
                <wp:wrapTopAndBottom/>
                <wp:docPr id="302"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 cy="159385"/>
                        </a:xfrm>
                        <a:custGeom>
                          <a:avLst/>
                          <a:gdLst>
                            <a:gd name="T0" fmla="+- 0 4781 4719"/>
                            <a:gd name="T1" fmla="*/ T0 w 440"/>
                            <a:gd name="T2" fmla="+- 0 488 424"/>
                            <a:gd name="T3" fmla="*/ 488 h 251"/>
                            <a:gd name="T4" fmla="+- 0 4797 4719"/>
                            <a:gd name="T5" fmla="*/ T4 w 440"/>
                            <a:gd name="T6" fmla="+- 0 535 424"/>
                            <a:gd name="T7" fmla="*/ 535 h 251"/>
                            <a:gd name="T8" fmla="+- 0 5127 4719"/>
                            <a:gd name="T9" fmla="*/ T8 w 440"/>
                            <a:gd name="T10" fmla="+- 0 424 424"/>
                            <a:gd name="T11" fmla="*/ 424 h 251"/>
                            <a:gd name="T12" fmla="+- 0 5158 4719"/>
                            <a:gd name="T13" fmla="*/ T12 w 440"/>
                            <a:gd name="T14" fmla="+- 0 517 424"/>
                            <a:gd name="T15" fmla="*/ 517 h 251"/>
                            <a:gd name="T16" fmla="+- 0 4828 4719"/>
                            <a:gd name="T17" fmla="*/ T16 w 440"/>
                            <a:gd name="T18" fmla="+- 0 628 424"/>
                            <a:gd name="T19" fmla="*/ 628 h 251"/>
                            <a:gd name="T20" fmla="+- 0 4844 4719"/>
                            <a:gd name="T21" fmla="*/ T20 w 440"/>
                            <a:gd name="T22" fmla="+- 0 675 424"/>
                            <a:gd name="T23" fmla="*/ 675 h 251"/>
                            <a:gd name="T24" fmla="+- 0 4719 4719"/>
                            <a:gd name="T25" fmla="*/ T24 w 440"/>
                            <a:gd name="T26" fmla="+- 0 612 424"/>
                            <a:gd name="T27" fmla="*/ 612 h 251"/>
                            <a:gd name="T28" fmla="+- 0 4781 4719"/>
                            <a:gd name="T29" fmla="*/ T28 w 440"/>
                            <a:gd name="T30" fmla="+- 0 488 424"/>
                            <a:gd name="T31" fmla="*/ 488 h 2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0" h="251">
                              <a:moveTo>
                                <a:pt x="62" y="64"/>
                              </a:moveTo>
                              <a:lnTo>
                                <a:pt x="78" y="111"/>
                              </a:lnTo>
                              <a:lnTo>
                                <a:pt x="408" y="0"/>
                              </a:lnTo>
                              <a:lnTo>
                                <a:pt x="439" y="93"/>
                              </a:lnTo>
                              <a:lnTo>
                                <a:pt x="109" y="204"/>
                              </a:lnTo>
                              <a:lnTo>
                                <a:pt x="125" y="251"/>
                              </a:lnTo>
                              <a:lnTo>
                                <a:pt x="0" y="188"/>
                              </a:lnTo>
                              <a:lnTo>
                                <a:pt x="62" y="64"/>
                              </a:lnTo>
                              <a:close/>
                            </a:path>
                          </a:pathLst>
                        </a:custGeom>
                        <a:noFill/>
                        <a:ln w="6520">
                          <a:solidFill>
                            <a:srgbClr val="001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FF7FB" id="Freeform 158" o:spid="_x0000_s1026" style="position:absolute;margin-left:235.95pt;margin-top:21.2pt;width:22pt;height:12.55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0,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" path="m62,64r16,47l408,r31,93l109,204r16,47l,188,62,64xe" filled="f" strokecolor="#001f5f" strokeweight=".18111mm">
                <v:path arrowok="t" o:connecttype="custom" o:connectlocs="39370,309880;49530,339725;259080,269240;278765,328295;69215,398780;79375,428625;0,388620;39370,309880" o:connectangles="0,0,0,0,0,0,0,0"/>
                <w10:wrap type="topAndBottom" anchorx="page"/>
              </v:shape>
            </w:pict>
          </mc:Fallback>
        </mc:AlternateContent>
      </w:r>
      <w:r>
        <w:rPr>
          <w:noProof/>
          <w:lang w:val="en-AU" w:eastAsia="en-AU"/>
        </w:rPr>
        <w:drawing>
          <wp:anchor distT="0" distB="0" distL="0" distR="0" simplePos="0" relativeHeight="72" behindDoc="0" locked="0" layoutInCell="1" allowOverlap="1">
            <wp:simplePos x="0" y="0"/>
            <wp:positionH relativeFrom="page">
              <wp:posOffset>3390906</wp:posOffset>
            </wp:positionH>
            <wp:positionV relativeFrom="paragraph">
              <wp:posOffset>104920</wp:posOffset>
            </wp:positionV>
            <wp:extent cx="456781" cy="280987"/>
            <wp:effectExtent l="0" t="0" r="0" b="0"/>
            <wp:wrapTopAndBottom/>
            <wp:docPr id="2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0.png"/>
                    <pic:cNvPicPr/>
                  </pic:nvPicPr>
                  <pic:blipFill>
                    <a:blip r:embed="rId215" cstate="print"/>
                    <a:stretch>
                      <a:fillRect/>
                    </a:stretch>
                  </pic:blipFill>
                  <pic:spPr>
                    <a:xfrm>
                      <a:off x="0" y="0"/>
                      <a:ext cx="456781" cy="280987"/>
                    </a:xfrm>
                    <a:prstGeom prst="rect">
                      <a:avLst/>
                    </a:prstGeom>
                  </pic:spPr>
                </pic:pic>
              </a:graphicData>
            </a:graphic>
          </wp:anchor>
        </w:drawing>
      </w:r>
      <w:r>
        <w:rPr>
          <w:noProof/>
          <w:lang w:val="en-AU" w:eastAsia="en-AU"/>
        </w:rPr>
        <mc:AlternateContent>
          <mc:Choice Requires="wps">
            <w:drawing>
              <wp:anchor distT="0" distB="0" distL="0" distR="0" simplePos="0" relativeHeight="251732992" behindDoc="1" locked="0" layoutInCell="1" allowOverlap="1">
                <wp:simplePos x="0" y="0"/>
                <wp:positionH relativeFrom="page">
                  <wp:posOffset>4194810</wp:posOffset>
                </wp:positionH>
                <wp:positionV relativeFrom="paragraph">
                  <wp:posOffset>263525</wp:posOffset>
                </wp:positionV>
                <wp:extent cx="282575" cy="182245"/>
                <wp:effectExtent l="0" t="0" r="0" b="0"/>
                <wp:wrapTopAndBottom/>
                <wp:docPr id="301"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575" cy="182245"/>
                        </a:xfrm>
                        <a:custGeom>
                          <a:avLst/>
                          <a:gdLst>
                            <a:gd name="T0" fmla="+- 0 6690 6606"/>
                            <a:gd name="T1" fmla="*/ T0 w 445"/>
                            <a:gd name="T2" fmla="+- 0 563 415"/>
                            <a:gd name="T3" fmla="*/ 563 h 287"/>
                            <a:gd name="T4" fmla="+- 0 7009 6606"/>
                            <a:gd name="T5" fmla="*/ T4 w 445"/>
                            <a:gd name="T6" fmla="+- 0 702 415"/>
                            <a:gd name="T7" fmla="*/ 702 h 287"/>
                            <a:gd name="T8" fmla="+- 0 7002 6606"/>
                            <a:gd name="T9" fmla="*/ T8 w 445"/>
                            <a:gd name="T10" fmla="+- 0 693 415"/>
                            <a:gd name="T11" fmla="*/ 693 h 287"/>
                            <a:gd name="T12" fmla="+- 0 6703 6606"/>
                            <a:gd name="T13" fmla="*/ T12 w 445"/>
                            <a:gd name="T14" fmla="+- 0 563 415"/>
                            <a:gd name="T15" fmla="*/ 563 h 287"/>
                            <a:gd name="T16" fmla="+- 0 7002 6606"/>
                            <a:gd name="T17" fmla="*/ T16 w 445"/>
                            <a:gd name="T18" fmla="+- 0 693 415"/>
                            <a:gd name="T19" fmla="*/ 693 h 287"/>
                            <a:gd name="T20" fmla="+- 0 7004 6606"/>
                            <a:gd name="T21" fmla="*/ T20 w 445"/>
                            <a:gd name="T22" fmla="+- 0 688 415"/>
                            <a:gd name="T23" fmla="*/ 688 h 287"/>
                            <a:gd name="T24" fmla="+- 0 7004 6606"/>
                            <a:gd name="T25" fmla="*/ T24 w 445"/>
                            <a:gd name="T26" fmla="+- 0 688 415"/>
                            <a:gd name="T27" fmla="*/ 688 h 287"/>
                            <a:gd name="T28" fmla="+- 0 7002 6606"/>
                            <a:gd name="T29" fmla="*/ T28 w 445"/>
                            <a:gd name="T30" fmla="+- 0 693 415"/>
                            <a:gd name="T31" fmla="*/ 693 h 287"/>
                            <a:gd name="T32" fmla="+- 0 7048 6606"/>
                            <a:gd name="T33" fmla="*/ T32 w 445"/>
                            <a:gd name="T34" fmla="+- 0 609 415"/>
                            <a:gd name="T35" fmla="*/ 609 h 287"/>
                            <a:gd name="T36" fmla="+- 0 7038 6606"/>
                            <a:gd name="T37" fmla="*/ T36 w 445"/>
                            <a:gd name="T38" fmla="+- 0 607 415"/>
                            <a:gd name="T39" fmla="*/ 607 h 287"/>
                            <a:gd name="T40" fmla="+- 0 6606 6606"/>
                            <a:gd name="T41" fmla="*/ T40 w 445"/>
                            <a:gd name="T42" fmla="+- 0 475 415"/>
                            <a:gd name="T43" fmla="*/ 475 h 287"/>
                            <a:gd name="T44" fmla="+- 0 6672 6606"/>
                            <a:gd name="T45" fmla="*/ T44 w 445"/>
                            <a:gd name="T46" fmla="+- 0 604 415"/>
                            <a:gd name="T47" fmla="*/ 604 h 287"/>
                            <a:gd name="T48" fmla="+- 0 6666 6606"/>
                            <a:gd name="T49" fmla="*/ T48 w 445"/>
                            <a:gd name="T50" fmla="+- 0 593 415"/>
                            <a:gd name="T51" fmla="*/ 593 h 287"/>
                            <a:gd name="T52" fmla="+- 0 6615 6606"/>
                            <a:gd name="T53" fmla="*/ T52 w 445"/>
                            <a:gd name="T54" fmla="+- 0 482 415"/>
                            <a:gd name="T55" fmla="*/ 482 h 287"/>
                            <a:gd name="T56" fmla="+- 0 6631 6606"/>
                            <a:gd name="T57" fmla="*/ T56 w 445"/>
                            <a:gd name="T58" fmla="+- 0 476 415"/>
                            <a:gd name="T59" fmla="*/ 476 h 287"/>
                            <a:gd name="T60" fmla="+- 0 6737 6606"/>
                            <a:gd name="T61" fmla="*/ T60 w 445"/>
                            <a:gd name="T62" fmla="+- 0 423 415"/>
                            <a:gd name="T63" fmla="*/ 423 h 287"/>
                            <a:gd name="T64" fmla="+- 0 6751 6606"/>
                            <a:gd name="T65" fmla="*/ T64 w 445"/>
                            <a:gd name="T66" fmla="+- 0 415 415"/>
                            <a:gd name="T67" fmla="*/ 415 h 287"/>
                            <a:gd name="T68" fmla="+- 0 7038 6606"/>
                            <a:gd name="T69" fmla="*/ T68 w 445"/>
                            <a:gd name="T70" fmla="+- 0 607 415"/>
                            <a:gd name="T71" fmla="*/ 607 h 287"/>
                            <a:gd name="T72" fmla="+- 0 7040 6606"/>
                            <a:gd name="T73" fmla="*/ T72 w 445"/>
                            <a:gd name="T74" fmla="+- 0 602 415"/>
                            <a:gd name="T75" fmla="*/ 602 h 287"/>
                            <a:gd name="T76" fmla="+- 0 7040 6606"/>
                            <a:gd name="T77" fmla="*/ T76 w 445"/>
                            <a:gd name="T78" fmla="+- 0 602 415"/>
                            <a:gd name="T79" fmla="*/ 602 h 287"/>
                            <a:gd name="T80" fmla="+- 0 7048 6606"/>
                            <a:gd name="T81" fmla="*/ T80 w 445"/>
                            <a:gd name="T82" fmla="+- 0 609 415"/>
                            <a:gd name="T83" fmla="*/ 609 h 287"/>
                            <a:gd name="T84" fmla="+- 0 6748 6606"/>
                            <a:gd name="T85" fmla="*/ T84 w 445"/>
                            <a:gd name="T86" fmla="+- 0 423 415"/>
                            <a:gd name="T87" fmla="*/ 423 h 287"/>
                            <a:gd name="T88" fmla="+- 0 6744 6606"/>
                            <a:gd name="T89" fmla="*/ T88 w 445"/>
                            <a:gd name="T90" fmla="+- 0 429 415"/>
                            <a:gd name="T91" fmla="*/ 429 h 287"/>
                            <a:gd name="T92" fmla="+- 0 6716 6606"/>
                            <a:gd name="T93" fmla="*/ T92 w 445"/>
                            <a:gd name="T94" fmla="+- 0 473 415"/>
                            <a:gd name="T95" fmla="*/ 473 h 287"/>
                            <a:gd name="T96" fmla="+- 0 7040 6606"/>
                            <a:gd name="T97" fmla="*/ T96 w 445"/>
                            <a:gd name="T98" fmla="+- 0 602 415"/>
                            <a:gd name="T99" fmla="*/ 602 h 287"/>
                            <a:gd name="T100" fmla="+- 0 7051 6606"/>
                            <a:gd name="T101" fmla="*/ T100 w 445"/>
                            <a:gd name="T102" fmla="+- 0 601 415"/>
                            <a:gd name="T103" fmla="*/ 601 h 287"/>
                            <a:gd name="T104" fmla="+- 0 6728 6606"/>
                            <a:gd name="T105" fmla="*/ T104 w 445"/>
                            <a:gd name="T106" fmla="+- 0 472 415"/>
                            <a:gd name="T107" fmla="*/ 472 h 287"/>
                            <a:gd name="T108" fmla="+- 0 6730 6606"/>
                            <a:gd name="T109" fmla="*/ T108 w 445"/>
                            <a:gd name="T110" fmla="+- 0 465 415"/>
                            <a:gd name="T111" fmla="*/ 465 h 287"/>
                            <a:gd name="T112" fmla="+- 0 6666 6606"/>
                            <a:gd name="T113" fmla="*/ T112 w 445"/>
                            <a:gd name="T114" fmla="+- 0 593 415"/>
                            <a:gd name="T115" fmla="*/ 593 h 287"/>
                            <a:gd name="T116" fmla="+- 0 6671 6606"/>
                            <a:gd name="T117" fmla="*/ T116 w 445"/>
                            <a:gd name="T118" fmla="+- 0 604 415"/>
                            <a:gd name="T119" fmla="*/ 604 h 287"/>
                            <a:gd name="T120" fmla="+- 0 6682 6606"/>
                            <a:gd name="T121" fmla="*/ T120 w 445"/>
                            <a:gd name="T122" fmla="+- 0 554 415"/>
                            <a:gd name="T123" fmla="*/ 554 h 287"/>
                            <a:gd name="T124" fmla="+- 0 6671 6606"/>
                            <a:gd name="T125" fmla="*/ T124 w 445"/>
                            <a:gd name="T126" fmla="+- 0 604 415"/>
                            <a:gd name="T127" fmla="*/ 604 h 287"/>
                            <a:gd name="T128" fmla="+- 0 6688 6606"/>
                            <a:gd name="T129" fmla="*/ T128 w 445"/>
                            <a:gd name="T130" fmla="+- 0 568 415"/>
                            <a:gd name="T131" fmla="*/ 568 h 287"/>
                            <a:gd name="T132" fmla="+- 0 6690 6606"/>
                            <a:gd name="T133" fmla="*/ T132 w 445"/>
                            <a:gd name="T134" fmla="+- 0 563 415"/>
                            <a:gd name="T135" fmla="*/ 563 h 287"/>
                            <a:gd name="T136" fmla="+- 0 6682 6606"/>
                            <a:gd name="T137" fmla="*/ T136 w 445"/>
                            <a:gd name="T138" fmla="+- 0 554 415"/>
                            <a:gd name="T139" fmla="*/ 554 h 287"/>
                            <a:gd name="T140" fmla="+- 0 6683 6606"/>
                            <a:gd name="T141" fmla="*/ T140 w 445"/>
                            <a:gd name="T142" fmla="+- 0 566 415"/>
                            <a:gd name="T143" fmla="*/ 566 h 287"/>
                            <a:gd name="T144" fmla="+- 0 6690 6606"/>
                            <a:gd name="T145" fmla="*/ T144 w 445"/>
                            <a:gd name="T146" fmla="+- 0 563 415"/>
                            <a:gd name="T147" fmla="*/ 563 h 287"/>
                            <a:gd name="T148" fmla="+- 0 6615 6606"/>
                            <a:gd name="T149" fmla="*/ T148 w 445"/>
                            <a:gd name="T150" fmla="+- 0 482 415"/>
                            <a:gd name="T151" fmla="*/ 482 h 287"/>
                            <a:gd name="T152" fmla="+- 0 6618 6606"/>
                            <a:gd name="T153" fmla="*/ T152 w 445"/>
                            <a:gd name="T154" fmla="+- 0 476 415"/>
                            <a:gd name="T155" fmla="*/ 476 h 287"/>
                            <a:gd name="T156" fmla="+- 0 6615 6606"/>
                            <a:gd name="T157" fmla="*/ T156 w 445"/>
                            <a:gd name="T158" fmla="+- 0 482 415"/>
                            <a:gd name="T159" fmla="*/ 482 h 287"/>
                            <a:gd name="T160" fmla="+- 0 6620 6606"/>
                            <a:gd name="T161" fmla="*/ T160 w 445"/>
                            <a:gd name="T162" fmla="+- 0 480 415"/>
                            <a:gd name="T163" fmla="*/ 480 h 287"/>
                            <a:gd name="T164" fmla="+- 0 6618 6606"/>
                            <a:gd name="T165" fmla="*/ T164 w 445"/>
                            <a:gd name="T166" fmla="+- 0 476 415"/>
                            <a:gd name="T167" fmla="*/ 476 h 287"/>
                            <a:gd name="T168" fmla="+- 0 6631 6606"/>
                            <a:gd name="T169" fmla="*/ T168 w 445"/>
                            <a:gd name="T170" fmla="+- 0 476 415"/>
                            <a:gd name="T171" fmla="*/ 476 h 287"/>
                            <a:gd name="T172" fmla="+- 0 6728 6606"/>
                            <a:gd name="T173" fmla="*/ T172 w 445"/>
                            <a:gd name="T174" fmla="+- 0 472 415"/>
                            <a:gd name="T175" fmla="*/ 472 h 287"/>
                            <a:gd name="T176" fmla="+- 0 6725 6606"/>
                            <a:gd name="T177" fmla="*/ T176 w 445"/>
                            <a:gd name="T178" fmla="+- 0 465 415"/>
                            <a:gd name="T179" fmla="*/ 465 h 287"/>
                            <a:gd name="T180" fmla="+- 0 6728 6606"/>
                            <a:gd name="T181" fmla="*/ T180 w 445"/>
                            <a:gd name="T182" fmla="+- 0 472 415"/>
                            <a:gd name="T183" fmla="*/ 472 h 287"/>
                            <a:gd name="T184" fmla="+- 0 6730 6606"/>
                            <a:gd name="T185" fmla="*/ T184 w 445"/>
                            <a:gd name="T186" fmla="+- 0 467 415"/>
                            <a:gd name="T187" fmla="*/ 467 h 287"/>
                            <a:gd name="T188" fmla="+- 0 6725 6606"/>
                            <a:gd name="T189" fmla="*/ T188 w 445"/>
                            <a:gd name="T190" fmla="+- 0 465 415"/>
                            <a:gd name="T191" fmla="*/ 465 h 287"/>
                            <a:gd name="T192" fmla="+- 0 6730 6606"/>
                            <a:gd name="T193" fmla="*/ T192 w 445"/>
                            <a:gd name="T194" fmla="+- 0 465 415"/>
                            <a:gd name="T195" fmla="*/ 465 h 287"/>
                            <a:gd name="T196" fmla="+- 0 6732 6606"/>
                            <a:gd name="T197" fmla="*/ T196 w 445"/>
                            <a:gd name="T198" fmla="+- 0 434 415"/>
                            <a:gd name="T199" fmla="*/ 434 h 287"/>
                            <a:gd name="T200" fmla="+- 0 6737 6606"/>
                            <a:gd name="T201" fmla="*/ T200 w 445"/>
                            <a:gd name="T202" fmla="+- 0 423 415"/>
                            <a:gd name="T203" fmla="*/ 423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45" h="287">
                              <a:moveTo>
                                <a:pt x="97" y="148"/>
                              </a:moveTo>
                              <a:lnTo>
                                <a:pt x="84" y="148"/>
                              </a:lnTo>
                              <a:lnTo>
                                <a:pt x="82" y="153"/>
                              </a:lnTo>
                              <a:lnTo>
                                <a:pt x="403" y="287"/>
                              </a:lnTo>
                              <a:lnTo>
                                <a:pt x="407" y="278"/>
                              </a:lnTo>
                              <a:lnTo>
                                <a:pt x="396" y="278"/>
                              </a:lnTo>
                              <a:lnTo>
                                <a:pt x="398" y="273"/>
                              </a:lnTo>
                              <a:lnTo>
                                <a:pt x="97" y="148"/>
                              </a:lnTo>
                              <a:close/>
                              <a:moveTo>
                                <a:pt x="398" y="273"/>
                              </a:moveTo>
                              <a:lnTo>
                                <a:pt x="396" y="278"/>
                              </a:lnTo>
                              <a:lnTo>
                                <a:pt x="403" y="275"/>
                              </a:lnTo>
                              <a:lnTo>
                                <a:pt x="398" y="273"/>
                              </a:lnTo>
                              <a:close/>
                              <a:moveTo>
                                <a:pt x="432" y="192"/>
                              </a:moveTo>
                              <a:lnTo>
                                <a:pt x="398" y="273"/>
                              </a:lnTo>
                              <a:lnTo>
                                <a:pt x="403" y="275"/>
                              </a:lnTo>
                              <a:lnTo>
                                <a:pt x="396" y="278"/>
                              </a:lnTo>
                              <a:lnTo>
                                <a:pt x="407" y="278"/>
                              </a:lnTo>
                              <a:lnTo>
                                <a:pt x="442" y="194"/>
                              </a:lnTo>
                              <a:lnTo>
                                <a:pt x="437" y="194"/>
                              </a:lnTo>
                              <a:lnTo>
                                <a:pt x="432" y="192"/>
                              </a:lnTo>
                              <a:close/>
                              <a:moveTo>
                                <a:pt x="145" y="0"/>
                              </a:moveTo>
                              <a:lnTo>
                                <a:pt x="0" y="60"/>
                              </a:lnTo>
                              <a:lnTo>
                                <a:pt x="60" y="205"/>
                              </a:lnTo>
                              <a:lnTo>
                                <a:pt x="66" y="189"/>
                              </a:lnTo>
                              <a:lnTo>
                                <a:pt x="55" y="189"/>
                              </a:lnTo>
                              <a:lnTo>
                                <a:pt x="60" y="178"/>
                              </a:lnTo>
                              <a:lnTo>
                                <a:pt x="15" y="67"/>
                              </a:lnTo>
                              <a:lnTo>
                                <a:pt x="9" y="67"/>
                              </a:lnTo>
                              <a:lnTo>
                                <a:pt x="12" y="61"/>
                              </a:lnTo>
                              <a:lnTo>
                                <a:pt x="25" y="61"/>
                              </a:lnTo>
                              <a:lnTo>
                                <a:pt x="126" y="19"/>
                              </a:lnTo>
                              <a:lnTo>
                                <a:pt x="131" y="8"/>
                              </a:lnTo>
                              <a:lnTo>
                                <a:pt x="142" y="8"/>
                              </a:lnTo>
                              <a:lnTo>
                                <a:pt x="145" y="0"/>
                              </a:lnTo>
                              <a:close/>
                              <a:moveTo>
                                <a:pt x="434" y="187"/>
                              </a:moveTo>
                              <a:lnTo>
                                <a:pt x="432" y="192"/>
                              </a:lnTo>
                              <a:lnTo>
                                <a:pt x="437" y="194"/>
                              </a:lnTo>
                              <a:lnTo>
                                <a:pt x="434" y="187"/>
                              </a:lnTo>
                              <a:close/>
                              <a:moveTo>
                                <a:pt x="445" y="187"/>
                              </a:moveTo>
                              <a:lnTo>
                                <a:pt x="434" y="187"/>
                              </a:lnTo>
                              <a:lnTo>
                                <a:pt x="437" y="194"/>
                              </a:lnTo>
                              <a:lnTo>
                                <a:pt x="442" y="194"/>
                              </a:lnTo>
                              <a:lnTo>
                                <a:pt x="445" y="187"/>
                              </a:lnTo>
                              <a:close/>
                              <a:moveTo>
                                <a:pt x="142" y="8"/>
                              </a:moveTo>
                              <a:lnTo>
                                <a:pt x="131" y="8"/>
                              </a:lnTo>
                              <a:lnTo>
                                <a:pt x="138" y="14"/>
                              </a:lnTo>
                              <a:lnTo>
                                <a:pt x="126" y="19"/>
                              </a:lnTo>
                              <a:lnTo>
                                <a:pt x="110" y="58"/>
                              </a:lnTo>
                              <a:lnTo>
                                <a:pt x="432" y="192"/>
                              </a:lnTo>
                              <a:lnTo>
                                <a:pt x="434" y="187"/>
                              </a:lnTo>
                              <a:lnTo>
                                <a:pt x="445" y="187"/>
                              </a:lnTo>
                              <a:lnTo>
                                <a:pt x="445" y="186"/>
                              </a:lnTo>
                              <a:lnTo>
                                <a:pt x="135" y="57"/>
                              </a:lnTo>
                              <a:lnTo>
                                <a:pt x="122" y="57"/>
                              </a:lnTo>
                              <a:lnTo>
                                <a:pt x="119" y="50"/>
                              </a:lnTo>
                              <a:lnTo>
                                <a:pt x="124" y="50"/>
                              </a:lnTo>
                              <a:lnTo>
                                <a:pt x="142" y="8"/>
                              </a:lnTo>
                              <a:close/>
                              <a:moveTo>
                                <a:pt x="60" y="178"/>
                              </a:moveTo>
                              <a:lnTo>
                                <a:pt x="55" y="189"/>
                              </a:lnTo>
                              <a:lnTo>
                                <a:pt x="65" y="189"/>
                              </a:lnTo>
                              <a:lnTo>
                                <a:pt x="60" y="178"/>
                              </a:lnTo>
                              <a:close/>
                              <a:moveTo>
                                <a:pt x="76" y="139"/>
                              </a:moveTo>
                              <a:lnTo>
                                <a:pt x="60" y="178"/>
                              </a:lnTo>
                              <a:lnTo>
                                <a:pt x="65" y="189"/>
                              </a:lnTo>
                              <a:lnTo>
                                <a:pt x="66" y="189"/>
                              </a:lnTo>
                              <a:lnTo>
                                <a:pt x="82" y="153"/>
                              </a:lnTo>
                              <a:lnTo>
                                <a:pt x="77" y="151"/>
                              </a:lnTo>
                              <a:lnTo>
                                <a:pt x="84" y="148"/>
                              </a:lnTo>
                              <a:lnTo>
                                <a:pt x="97" y="148"/>
                              </a:lnTo>
                              <a:lnTo>
                                <a:pt x="76" y="139"/>
                              </a:lnTo>
                              <a:close/>
                              <a:moveTo>
                                <a:pt x="84" y="148"/>
                              </a:moveTo>
                              <a:lnTo>
                                <a:pt x="77" y="151"/>
                              </a:lnTo>
                              <a:lnTo>
                                <a:pt x="82" y="153"/>
                              </a:lnTo>
                              <a:lnTo>
                                <a:pt x="84" y="148"/>
                              </a:lnTo>
                              <a:close/>
                              <a:moveTo>
                                <a:pt x="12" y="61"/>
                              </a:moveTo>
                              <a:lnTo>
                                <a:pt x="9" y="67"/>
                              </a:lnTo>
                              <a:lnTo>
                                <a:pt x="14" y="65"/>
                              </a:lnTo>
                              <a:lnTo>
                                <a:pt x="12" y="61"/>
                              </a:lnTo>
                              <a:close/>
                              <a:moveTo>
                                <a:pt x="14" y="65"/>
                              </a:moveTo>
                              <a:lnTo>
                                <a:pt x="9" y="67"/>
                              </a:lnTo>
                              <a:lnTo>
                                <a:pt x="15" y="67"/>
                              </a:lnTo>
                              <a:lnTo>
                                <a:pt x="14" y="65"/>
                              </a:lnTo>
                              <a:close/>
                              <a:moveTo>
                                <a:pt x="25" y="61"/>
                              </a:moveTo>
                              <a:lnTo>
                                <a:pt x="12" y="61"/>
                              </a:lnTo>
                              <a:lnTo>
                                <a:pt x="14" y="65"/>
                              </a:lnTo>
                              <a:lnTo>
                                <a:pt x="25" y="61"/>
                              </a:lnTo>
                              <a:close/>
                              <a:moveTo>
                                <a:pt x="119" y="50"/>
                              </a:moveTo>
                              <a:lnTo>
                                <a:pt x="122" y="57"/>
                              </a:lnTo>
                              <a:lnTo>
                                <a:pt x="124" y="52"/>
                              </a:lnTo>
                              <a:lnTo>
                                <a:pt x="119" y="50"/>
                              </a:lnTo>
                              <a:close/>
                              <a:moveTo>
                                <a:pt x="124" y="52"/>
                              </a:moveTo>
                              <a:lnTo>
                                <a:pt x="122" y="57"/>
                              </a:lnTo>
                              <a:lnTo>
                                <a:pt x="135" y="57"/>
                              </a:lnTo>
                              <a:lnTo>
                                <a:pt x="124" y="52"/>
                              </a:lnTo>
                              <a:close/>
                              <a:moveTo>
                                <a:pt x="124" y="50"/>
                              </a:moveTo>
                              <a:lnTo>
                                <a:pt x="119" y="50"/>
                              </a:lnTo>
                              <a:lnTo>
                                <a:pt x="124" y="52"/>
                              </a:lnTo>
                              <a:lnTo>
                                <a:pt x="124" y="50"/>
                              </a:lnTo>
                              <a:close/>
                              <a:moveTo>
                                <a:pt x="131" y="8"/>
                              </a:moveTo>
                              <a:lnTo>
                                <a:pt x="126" y="19"/>
                              </a:lnTo>
                              <a:lnTo>
                                <a:pt x="138" y="14"/>
                              </a:lnTo>
                              <a:lnTo>
                                <a:pt x="131" y="8"/>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90E04" id="AutoShape 157" o:spid="_x0000_s1026" style="position:absolute;margin-left:330.3pt;margin-top:20.75pt;width:22.25pt;height:14.35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5,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" path="m97,148r-13,l82,153,403,287r4,-9l396,278r2,-5l97,148xm398,273r-2,5l403,275r-5,-2xm432,192r-34,81l403,275r-7,3l407,278r35,-84l437,194r-5,-2xm145,l,60,60,205r6,-16l55,189r5,-11l15,67r-6,l12,61r13,l126,19,131,8r11,l145,xm434,187r-2,5l437,194r-3,-7xm445,187r-11,l437,194r5,l445,187xm142,8r-11,l138,14r-12,5l110,58,432,192r2,-5l445,187r,-1l135,57r-13,l119,50r5,l142,8xm60,178r-5,11l65,189,60,178xm76,139l60,178r5,11l66,189,82,153r-5,-2l84,148r13,l76,139xm84,148r-7,3l82,153r2,-5xm12,61l9,67r5,-2l12,61xm14,65l9,67r6,l14,65xm25,61r-13,l14,65,25,61xm119,50r3,7l124,52r-5,-2xm124,52r-2,5l135,57,124,52xm124,50r-5,l124,52r,-2xm131,8r-5,11l138,14,131,8xe" fillcolor="#001f5f" stroked="f">
                <v:path arrowok="t" o:connecttype="custom" o:connectlocs="53340,357505;255905,445770;251460,440055;61595,357505;251460,440055;252730,436880;252730,436880;251460,440055;280670,386715;274320,385445;0,301625;41910,383540;38100,376555;5715,306070;15875,302260;83185,268605;92075,263525;274320,385445;275590,382270;275590,382270;280670,386715;90170,268605;87630,272415;69850,300355;275590,382270;282575,381635;77470,299720;78740,295275;38100,376555;41275,383540;48260,351790;41275,383540;52070,360680;53340,357505;48260,351790;48895,359410;53340,357505;5715,306070;7620,302260;5715,306070;8890,304800;7620,302260;15875,302260;77470,299720;75565,295275;77470,299720;78740,296545;75565,295275;78740,295275;80010,275590;83185,268605" o:connectangles="0,0,0,0,0,0,0,0,0,0,0,0,0,0,0,0,0,0,0,0,0,0,0,0,0,0,0,0,0,0,0,0,0,0,0,0,0,0,0,0,0,0,0,0,0,0,0,0,0,0,0"/>
                <w10:wrap type="topAndBottom" anchorx="page"/>
              </v:shape>
            </w:pict>
          </mc:Fallback>
        </mc:AlternateContent>
      </w:r>
    </w:p>
    <w:p w:rsidR="007D76BB" w:rsidRDefault="007D76BB">
      <w:pPr>
        <w:pStyle w:val="BodyText"/>
        <w:rPr>
          <w:rFonts w:ascii="Arial"/>
          <w:sz w:val="6"/>
        </w:rPr>
      </w:pPr>
    </w:p>
    <w:p w:rsidR="007D76BB" w:rsidRDefault="00D70D28">
      <w:pPr>
        <w:tabs>
          <w:tab w:val="left" w:pos="5286"/>
        </w:tabs>
        <w:ind w:left="3479"/>
        <w:rPr>
          <w:rFonts w:ascii="Arial"/>
          <w:sz w:val="20"/>
        </w:rPr>
      </w:pPr>
      <w:r>
        <w:rPr>
          <w:rFonts w:ascii="Arial"/>
          <w:noProof/>
          <w:position w:val="6"/>
          <w:sz w:val="20"/>
          <w:lang w:val="en-AU" w:eastAsia="en-AU"/>
        </w:rPr>
        <mc:AlternateContent>
          <mc:Choice Requires="wpg">
            <w:drawing>
              <wp:inline distT="0" distB="0" distL="0" distR="0">
                <wp:extent cx="291465" cy="138430"/>
                <wp:effectExtent l="12065" t="16510" r="10795" b="16510"/>
                <wp:docPr id="299"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 cy="138430"/>
                          <a:chOff x="0" y="0"/>
                          <a:chExt cx="459" cy="218"/>
                        </a:xfrm>
                      </wpg:grpSpPr>
                      <wps:wsp>
                        <wps:cNvPr id="300" name="Freeform 156"/>
                        <wps:cNvSpPr>
                          <a:spLocks/>
                        </wps:cNvSpPr>
                        <wps:spPr bwMode="auto">
                          <a:xfrm>
                            <a:off x="5" y="5"/>
                            <a:ext cx="449" cy="207"/>
                          </a:xfrm>
                          <a:custGeom>
                            <a:avLst/>
                            <a:gdLst>
                              <a:gd name="T0" fmla="+- 0 85 5"/>
                              <a:gd name="T1" fmla="*/ T0 w 449"/>
                              <a:gd name="T2" fmla="+- 0 18 5"/>
                              <a:gd name="T3" fmla="*/ 18 h 207"/>
                              <a:gd name="T4" fmla="+- 0 93 5"/>
                              <a:gd name="T5" fmla="*/ T4 w 449"/>
                              <a:gd name="T6" fmla="+- 0 67 5"/>
                              <a:gd name="T7" fmla="*/ 67 h 207"/>
                              <a:gd name="T8" fmla="+- 0 436 5"/>
                              <a:gd name="T9" fmla="*/ T8 w 449"/>
                              <a:gd name="T10" fmla="+- 0 5 5"/>
                              <a:gd name="T11" fmla="*/ 5 h 207"/>
                              <a:gd name="T12" fmla="+- 0 454 5"/>
                              <a:gd name="T13" fmla="*/ T12 w 449"/>
                              <a:gd name="T14" fmla="+- 0 102 5"/>
                              <a:gd name="T15" fmla="*/ 102 h 207"/>
                              <a:gd name="T16" fmla="+- 0 111 5"/>
                              <a:gd name="T17" fmla="*/ T16 w 449"/>
                              <a:gd name="T18" fmla="+- 0 164 5"/>
                              <a:gd name="T19" fmla="*/ 164 h 207"/>
                              <a:gd name="T20" fmla="+- 0 119 5"/>
                              <a:gd name="T21" fmla="*/ T20 w 449"/>
                              <a:gd name="T22" fmla="+- 0 212 5"/>
                              <a:gd name="T23" fmla="*/ 212 h 207"/>
                              <a:gd name="T24" fmla="+- 0 5 5"/>
                              <a:gd name="T25" fmla="*/ T24 w 449"/>
                              <a:gd name="T26" fmla="+- 0 133 5"/>
                              <a:gd name="T27" fmla="*/ 133 h 207"/>
                              <a:gd name="T28" fmla="+- 0 85 5"/>
                              <a:gd name="T29" fmla="*/ T28 w 449"/>
                              <a:gd name="T30" fmla="+- 0 18 5"/>
                              <a:gd name="T31" fmla="*/ 18 h 2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9" h="207">
                                <a:moveTo>
                                  <a:pt x="80" y="13"/>
                                </a:moveTo>
                                <a:lnTo>
                                  <a:pt x="88" y="62"/>
                                </a:lnTo>
                                <a:lnTo>
                                  <a:pt x="431" y="0"/>
                                </a:lnTo>
                                <a:lnTo>
                                  <a:pt x="449" y="97"/>
                                </a:lnTo>
                                <a:lnTo>
                                  <a:pt x="106" y="159"/>
                                </a:lnTo>
                                <a:lnTo>
                                  <a:pt x="114" y="207"/>
                                </a:lnTo>
                                <a:lnTo>
                                  <a:pt x="0" y="128"/>
                                </a:lnTo>
                                <a:lnTo>
                                  <a:pt x="80" y="13"/>
                                </a:lnTo>
                                <a:close/>
                              </a:path>
                            </a:pathLst>
                          </a:custGeom>
                          <a:noFill/>
                          <a:ln w="6519">
                            <a:solidFill>
                              <a:srgbClr val="001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1F5F51" id="Group 155" o:spid="_x0000_s1026" style="width:22.95pt;height:10.9pt;mso-position-horizontal-relative:char;mso-position-vertical-relative:line" coordsize="45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">
                <v:shape id="Freeform 156" o:spid="_x0000_s1027" style="position:absolute;left:5;top:5;width:449;height:207;visibility:visible;mso-wrap-style:square;v-text-anchor:top" coordsize="44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" path="m80,13r8,49l431,r18,97l106,159r8,48l,128,80,13xe" filled="f" strokecolor="#001f5f" strokeweight=".18108mm">
                  <v:path arrowok="t" o:connecttype="custom" o:connectlocs="80,18;88,67;431,5;449,102;106,164;114,212;0,133;80,18" o:connectangles="0,0,0,0,0,0,0,0"/>
                </v:shape>
                <w10:anchorlock/>
              </v:group>
            </w:pict>
          </mc:Fallback>
        </mc:AlternateContent>
      </w:r>
      <w:r>
        <w:rPr>
          <w:rFonts w:ascii="Times New Roman"/>
          <w:spacing w:val="116"/>
          <w:position w:val="6"/>
          <w:sz w:val="20"/>
        </w:rPr>
        <w:t xml:space="preserve"> </w:t>
      </w:r>
      <w:r>
        <w:rPr>
          <w:rFonts w:ascii="Arial"/>
          <w:noProof/>
          <w:spacing w:val="116"/>
          <w:sz w:val="20"/>
          <w:lang w:val="en-AU" w:eastAsia="en-AU"/>
        </w:rPr>
        <w:drawing>
          <wp:inline distT="0" distB="0" distL="0" distR="0">
            <wp:extent cx="456781" cy="280987"/>
            <wp:effectExtent l="0" t="0" r="0" b="0"/>
            <wp:docPr id="2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0.png"/>
                    <pic:cNvPicPr/>
                  </pic:nvPicPr>
                  <pic:blipFill>
                    <a:blip r:embed="rId215" cstate="print"/>
                    <a:stretch>
                      <a:fillRect/>
                    </a:stretch>
                  </pic:blipFill>
                  <pic:spPr>
                    <a:xfrm>
                      <a:off x="0" y="0"/>
                      <a:ext cx="456781" cy="280987"/>
                    </a:xfrm>
                    <a:prstGeom prst="rect">
                      <a:avLst/>
                    </a:prstGeom>
                  </pic:spPr>
                </pic:pic>
              </a:graphicData>
            </a:graphic>
          </wp:inline>
        </w:drawing>
      </w:r>
      <w:r>
        <w:rPr>
          <w:rFonts w:ascii="Arial"/>
          <w:spacing w:val="116"/>
          <w:sz w:val="20"/>
        </w:rPr>
        <w:tab/>
      </w:r>
      <w:r>
        <w:rPr>
          <w:rFonts w:ascii="Arial"/>
          <w:noProof/>
          <w:spacing w:val="116"/>
          <w:position w:val="5"/>
          <w:sz w:val="20"/>
          <w:lang w:val="en-AU" w:eastAsia="en-AU"/>
        </w:rPr>
        <mc:AlternateContent>
          <mc:Choice Requires="wpg">
            <w:drawing>
              <wp:inline distT="0" distB="0" distL="0" distR="0">
                <wp:extent cx="292735" cy="146685"/>
                <wp:effectExtent l="6985" t="3810" r="5080" b="1905"/>
                <wp:docPr id="29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146685"/>
                          <a:chOff x="0" y="0"/>
                          <a:chExt cx="461" cy="231"/>
                        </a:xfrm>
                      </wpg:grpSpPr>
                      <wps:wsp>
                        <wps:cNvPr id="298" name="AutoShape 154"/>
                        <wps:cNvSpPr>
                          <a:spLocks/>
                        </wps:cNvSpPr>
                        <wps:spPr bwMode="auto">
                          <a:xfrm>
                            <a:off x="0" y="0"/>
                            <a:ext cx="461" cy="231"/>
                          </a:xfrm>
                          <a:custGeom>
                            <a:avLst/>
                            <a:gdLst>
                              <a:gd name="T0" fmla="*/ 99 w 461"/>
                              <a:gd name="T1" fmla="*/ 157 h 231"/>
                              <a:gd name="T2" fmla="*/ 439 w 461"/>
                              <a:gd name="T3" fmla="*/ 231 h 231"/>
                              <a:gd name="T4" fmla="*/ 430 w 461"/>
                              <a:gd name="T5" fmla="*/ 224 h 231"/>
                              <a:gd name="T6" fmla="*/ 125 w 461"/>
                              <a:gd name="T7" fmla="*/ 157 h 231"/>
                              <a:gd name="T8" fmla="*/ 430 w 461"/>
                              <a:gd name="T9" fmla="*/ 224 h 231"/>
                              <a:gd name="T10" fmla="*/ 431 w 461"/>
                              <a:gd name="T11" fmla="*/ 219 h 231"/>
                              <a:gd name="T12" fmla="*/ 431 w 461"/>
                              <a:gd name="T13" fmla="*/ 219 h 231"/>
                              <a:gd name="T14" fmla="*/ 430 w 461"/>
                              <a:gd name="T15" fmla="*/ 224 h 231"/>
                              <a:gd name="T16" fmla="*/ 459 w 461"/>
                              <a:gd name="T17" fmla="*/ 133 h 231"/>
                              <a:gd name="T18" fmla="*/ 449 w 461"/>
                              <a:gd name="T19" fmla="*/ 132 h 231"/>
                              <a:gd name="T20" fmla="*/ 0 w 461"/>
                              <a:gd name="T21" fmla="*/ 87 h 231"/>
                              <a:gd name="T22" fmla="*/ 90 w 461"/>
                              <a:gd name="T23" fmla="*/ 203 h 231"/>
                              <a:gd name="T24" fmla="*/ 82 w 461"/>
                              <a:gd name="T25" fmla="*/ 191 h 231"/>
                              <a:gd name="T26" fmla="*/ 10 w 461"/>
                              <a:gd name="T27" fmla="*/ 92 h 231"/>
                              <a:gd name="T28" fmla="*/ 21 w 461"/>
                              <a:gd name="T29" fmla="*/ 85 h 231"/>
                              <a:gd name="T30" fmla="*/ 118 w 461"/>
                              <a:gd name="T31" fmla="*/ 10 h 231"/>
                              <a:gd name="T32" fmla="*/ 131 w 461"/>
                              <a:gd name="T33" fmla="*/ 0 h 231"/>
                              <a:gd name="T34" fmla="*/ 79 w 461"/>
                              <a:gd name="T35" fmla="*/ 203 h 231"/>
                              <a:gd name="T36" fmla="*/ 82 w 461"/>
                              <a:gd name="T37" fmla="*/ 191 h 231"/>
                              <a:gd name="T38" fmla="*/ 82 w 461"/>
                              <a:gd name="T39" fmla="*/ 191 h 231"/>
                              <a:gd name="T40" fmla="*/ 79 w 461"/>
                              <a:gd name="T41" fmla="*/ 203 h 231"/>
                              <a:gd name="T42" fmla="*/ 98 w 461"/>
                              <a:gd name="T43" fmla="*/ 162 h 231"/>
                              <a:gd name="T44" fmla="*/ 99 w 461"/>
                              <a:gd name="T45" fmla="*/ 157 h 231"/>
                              <a:gd name="T46" fmla="*/ 90 w 461"/>
                              <a:gd name="T47" fmla="*/ 150 h 231"/>
                              <a:gd name="T48" fmla="*/ 93 w 461"/>
                              <a:gd name="T49" fmla="*/ 161 h 231"/>
                              <a:gd name="T50" fmla="*/ 99 w 461"/>
                              <a:gd name="T51" fmla="*/ 157 h 231"/>
                              <a:gd name="T52" fmla="*/ 449 w 461"/>
                              <a:gd name="T53" fmla="*/ 132 h 231"/>
                              <a:gd name="T54" fmla="*/ 450 w 461"/>
                              <a:gd name="T55" fmla="*/ 127 h 231"/>
                              <a:gd name="T56" fmla="*/ 450 w 461"/>
                              <a:gd name="T57" fmla="*/ 127 h 231"/>
                              <a:gd name="T58" fmla="*/ 459 w 461"/>
                              <a:gd name="T59" fmla="*/ 133 h 231"/>
                              <a:gd name="T60" fmla="*/ 128 w 461"/>
                              <a:gd name="T61" fmla="*/ 10 h 231"/>
                              <a:gd name="T62" fmla="*/ 126 w 461"/>
                              <a:gd name="T63" fmla="*/ 15 h 231"/>
                              <a:gd name="T64" fmla="*/ 107 w 461"/>
                              <a:gd name="T65" fmla="*/ 63 h 231"/>
                              <a:gd name="T66" fmla="*/ 450 w 461"/>
                              <a:gd name="T67" fmla="*/ 127 h 231"/>
                              <a:gd name="T68" fmla="*/ 461 w 461"/>
                              <a:gd name="T69" fmla="*/ 124 h 231"/>
                              <a:gd name="T70" fmla="*/ 118 w 461"/>
                              <a:gd name="T71" fmla="*/ 60 h 231"/>
                              <a:gd name="T72" fmla="*/ 120 w 461"/>
                              <a:gd name="T73" fmla="*/ 54 h 231"/>
                              <a:gd name="T74" fmla="*/ 11 w 461"/>
                              <a:gd name="T75" fmla="*/ 85 h 231"/>
                              <a:gd name="T76" fmla="*/ 14 w 461"/>
                              <a:gd name="T77" fmla="*/ 90 h 231"/>
                              <a:gd name="T78" fmla="*/ 14 w 461"/>
                              <a:gd name="T79" fmla="*/ 90 h 231"/>
                              <a:gd name="T80" fmla="*/ 16 w 461"/>
                              <a:gd name="T81" fmla="*/ 92 h 231"/>
                              <a:gd name="T82" fmla="*/ 21 w 461"/>
                              <a:gd name="T83" fmla="*/ 85 h 231"/>
                              <a:gd name="T84" fmla="*/ 14 w 461"/>
                              <a:gd name="T85" fmla="*/ 90 h 231"/>
                              <a:gd name="T86" fmla="*/ 114 w 461"/>
                              <a:gd name="T87" fmla="*/ 54 h 231"/>
                              <a:gd name="T88" fmla="*/ 119 w 461"/>
                              <a:gd name="T89" fmla="*/ 55 h 231"/>
                              <a:gd name="T90" fmla="*/ 119 w 461"/>
                              <a:gd name="T91" fmla="*/ 55 h 231"/>
                              <a:gd name="T92" fmla="*/ 144 w 461"/>
                              <a:gd name="T93" fmla="*/ 60 h 231"/>
                              <a:gd name="T94" fmla="*/ 120 w 461"/>
                              <a:gd name="T95" fmla="*/ 54 h 231"/>
                              <a:gd name="T96" fmla="*/ 119 w 461"/>
                              <a:gd name="T97" fmla="*/ 55 h 231"/>
                              <a:gd name="T98" fmla="*/ 118 w 461"/>
                              <a:gd name="T99" fmla="*/ 10 h 231"/>
                              <a:gd name="T100" fmla="*/ 126 w 461"/>
                              <a:gd name="T101" fmla="*/ 15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61" h="231">
                                <a:moveTo>
                                  <a:pt x="125" y="157"/>
                                </a:moveTo>
                                <a:lnTo>
                                  <a:pt x="99" y="157"/>
                                </a:lnTo>
                                <a:lnTo>
                                  <a:pt x="98" y="162"/>
                                </a:lnTo>
                                <a:lnTo>
                                  <a:pt x="439" y="231"/>
                                </a:lnTo>
                                <a:lnTo>
                                  <a:pt x="441" y="224"/>
                                </a:lnTo>
                                <a:lnTo>
                                  <a:pt x="430" y="224"/>
                                </a:lnTo>
                                <a:lnTo>
                                  <a:pt x="431" y="219"/>
                                </a:lnTo>
                                <a:lnTo>
                                  <a:pt x="125" y="157"/>
                                </a:lnTo>
                                <a:close/>
                                <a:moveTo>
                                  <a:pt x="431" y="219"/>
                                </a:moveTo>
                                <a:lnTo>
                                  <a:pt x="430" y="224"/>
                                </a:lnTo>
                                <a:lnTo>
                                  <a:pt x="436" y="220"/>
                                </a:lnTo>
                                <a:lnTo>
                                  <a:pt x="431" y="219"/>
                                </a:lnTo>
                                <a:close/>
                                <a:moveTo>
                                  <a:pt x="449" y="132"/>
                                </a:moveTo>
                                <a:lnTo>
                                  <a:pt x="431" y="219"/>
                                </a:lnTo>
                                <a:lnTo>
                                  <a:pt x="436" y="220"/>
                                </a:lnTo>
                                <a:lnTo>
                                  <a:pt x="430" y="224"/>
                                </a:lnTo>
                                <a:lnTo>
                                  <a:pt x="441" y="224"/>
                                </a:lnTo>
                                <a:lnTo>
                                  <a:pt x="459" y="133"/>
                                </a:lnTo>
                                <a:lnTo>
                                  <a:pt x="454" y="133"/>
                                </a:lnTo>
                                <a:lnTo>
                                  <a:pt x="449" y="132"/>
                                </a:lnTo>
                                <a:close/>
                                <a:moveTo>
                                  <a:pt x="131" y="0"/>
                                </a:moveTo>
                                <a:lnTo>
                                  <a:pt x="0" y="87"/>
                                </a:lnTo>
                                <a:lnTo>
                                  <a:pt x="87" y="217"/>
                                </a:lnTo>
                                <a:lnTo>
                                  <a:pt x="90" y="203"/>
                                </a:lnTo>
                                <a:lnTo>
                                  <a:pt x="79" y="203"/>
                                </a:lnTo>
                                <a:lnTo>
                                  <a:pt x="82" y="191"/>
                                </a:lnTo>
                                <a:lnTo>
                                  <a:pt x="16" y="92"/>
                                </a:lnTo>
                                <a:lnTo>
                                  <a:pt x="10" y="92"/>
                                </a:lnTo>
                                <a:lnTo>
                                  <a:pt x="11" y="85"/>
                                </a:lnTo>
                                <a:lnTo>
                                  <a:pt x="21" y="85"/>
                                </a:lnTo>
                                <a:lnTo>
                                  <a:pt x="116" y="22"/>
                                </a:lnTo>
                                <a:lnTo>
                                  <a:pt x="118" y="10"/>
                                </a:lnTo>
                                <a:lnTo>
                                  <a:pt x="128" y="10"/>
                                </a:lnTo>
                                <a:lnTo>
                                  <a:pt x="131" y="0"/>
                                </a:lnTo>
                                <a:close/>
                                <a:moveTo>
                                  <a:pt x="82" y="191"/>
                                </a:moveTo>
                                <a:lnTo>
                                  <a:pt x="79" y="203"/>
                                </a:lnTo>
                                <a:lnTo>
                                  <a:pt x="88" y="201"/>
                                </a:lnTo>
                                <a:lnTo>
                                  <a:pt x="82" y="191"/>
                                </a:lnTo>
                                <a:close/>
                                <a:moveTo>
                                  <a:pt x="90" y="150"/>
                                </a:moveTo>
                                <a:lnTo>
                                  <a:pt x="82" y="191"/>
                                </a:lnTo>
                                <a:lnTo>
                                  <a:pt x="88" y="201"/>
                                </a:lnTo>
                                <a:lnTo>
                                  <a:pt x="79" y="203"/>
                                </a:lnTo>
                                <a:lnTo>
                                  <a:pt x="90" y="203"/>
                                </a:lnTo>
                                <a:lnTo>
                                  <a:pt x="98" y="162"/>
                                </a:lnTo>
                                <a:lnTo>
                                  <a:pt x="93" y="161"/>
                                </a:lnTo>
                                <a:lnTo>
                                  <a:pt x="99" y="157"/>
                                </a:lnTo>
                                <a:lnTo>
                                  <a:pt x="125" y="157"/>
                                </a:lnTo>
                                <a:lnTo>
                                  <a:pt x="90" y="150"/>
                                </a:lnTo>
                                <a:close/>
                                <a:moveTo>
                                  <a:pt x="99" y="157"/>
                                </a:moveTo>
                                <a:lnTo>
                                  <a:pt x="93" y="161"/>
                                </a:lnTo>
                                <a:lnTo>
                                  <a:pt x="98" y="162"/>
                                </a:lnTo>
                                <a:lnTo>
                                  <a:pt x="99" y="157"/>
                                </a:lnTo>
                                <a:close/>
                                <a:moveTo>
                                  <a:pt x="450" y="127"/>
                                </a:moveTo>
                                <a:lnTo>
                                  <a:pt x="449" y="132"/>
                                </a:lnTo>
                                <a:lnTo>
                                  <a:pt x="454" y="133"/>
                                </a:lnTo>
                                <a:lnTo>
                                  <a:pt x="450" y="127"/>
                                </a:lnTo>
                                <a:close/>
                                <a:moveTo>
                                  <a:pt x="460" y="127"/>
                                </a:moveTo>
                                <a:lnTo>
                                  <a:pt x="450" y="127"/>
                                </a:lnTo>
                                <a:lnTo>
                                  <a:pt x="454" y="133"/>
                                </a:lnTo>
                                <a:lnTo>
                                  <a:pt x="459" y="133"/>
                                </a:lnTo>
                                <a:lnTo>
                                  <a:pt x="460" y="127"/>
                                </a:lnTo>
                                <a:close/>
                                <a:moveTo>
                                  <a:pt x="128" y="10"/>
                                </a:moveTo>
                                <a:lnTo>
                                  <a:pt x="118" y="10"/>
                                </a:lnTo>
                                <a:lnTo>
                                  <a:pt x="126" y="15"/>
                                </a:lnTo>
                                <a:lnTo>
                                  <a:pt x="116" y="22"/>
                                </a:lnTo>
                                <a:lnTo>
                                  <a:pt x="107" y="63"/>
                                </a:lnTo>
                                <a:lnTo>
                                  <a:pt x="449" y="132"/>
                                </a:lnTo>
                                <a:lnTo>
                                  <a:pt x="450" y="127"/>
                                </a:lnTo>
                                <a:lnTo>
                                  <a:pt x="460" y="127"/>
                                </a:lnTo>
                                <a:lnTo>
                                  <a:pt x="461" y="124"/>
                                </a:lnTo>
                                <a:lnTo>
                                  <a:pt x="144" y="60"/>
                                </a:lnTo>
                                <a:lnTo>
                                  <a:pt x="118" y="60"/>
                                </a:lnTo>
                                <a:lnTo>
                                  <a:pt x="114" y="54"/>
                                </a:lnTo>
                                <a:lnTo>
                                  <a:pt x="120" y="54"/>
                                </a:lnTo>
                                <a:lnTo>
                                  <a:pt x="128" y="10"/>
                                </a:lnTo>
                                <a:close/>
                                <a:moveTo>
                                  <a:pt x="11" y="85"/>
                                </a:moveTo>
                                <a:lnTo>
                                  <a:pt x="10" y="92"/>
                                </a:lnTo>
                                <a:lnTo>
                                  <a:pt x="14" y="90"/>
                                </a:lnTo>
                                <a:lnTo>
                                  <a:pt x="11" y="85"/>
                                </a:lnTo>
                                <a:close/>
                                <a:moveTo>
                                  <a:pt x="14" y="90"/>
                                </a:moveTo>
                                <a:lnTo>
                                  <a:pt x="10" y="92"/>
                                </a:lnTo>
                                <a:lnTo>
                                  <a:pt x="16" y="92"/>
                                </a:lnTo>
                                <a:lnTo>
                                  <a:pt x="14" y="90"/>
                                </a:lnTo>
                                <a:close/>
                                <a:moveTo>
                                  <a:pt x="21" y="85"/>
                                </a:moveTo>
                                <a:lnTo>
                                  <a:pt x="11" y="85"/>
                                </a:lnTo>
                                <a:lnTo>
                                  <a:pt x="14" y="90"/>
                                </a:lnTo>
                                <a:lnTo>
                                  <a:pt x="21" y="85"/>
                                </a:lnTo>
                                <a:close/>
                                <a:moveTo>
                                  <a:pt x="114" y="54"/>
                                </a:moveTo>
                                <a:lnTo>
                                  <a:pt x="118" y="60"/>
                                </a:lnTo>
                                <a:lnTo>
                                  <a:pt x="119" y="55"/>
                                </a:lnTo>
                                <a:lnTo>
                                  <a:pt x="114" y="54"/>
                                </a:lnTo>
                                <a:close/>
                                <a:moveTo>
                                  <a:pt x="119" y="55"/>
                                </a:moveTo>
                                <a:lnTo>
                                  <a:pt x="118" y="60"/>
                                </a:lnTo>
                                <a:lnTo>
                                  <a:pt x="144" y="60"/>
                                </a:lnTo>
                                <a:lnTo>
                                  <a:pt x="119" y="55"/>
                                </a:lnTo>
                                <a:close/>
                                <a:moveTo>
                                  <a:pt x="120" y="54"/>
                                </a:moveTo>
                                <a:lnTo>
                                  <a:pt x="114" y="54"/>
                                </a:lnTo>
                                <a:lnTo>
                                  <a:pt x="119" y="55"/>
                                </a:lnTo>
                                <a:lnTo>
                                  <a:pt x="120" y="54"/>
                                </a:lnTo>
                                <a:close/>
                                <a:moveTo>
                                  <a:pt x="118" y="10"/>
                                </a:moveTo>
                                <a:lnTo>
                                  <a:pt x="116" y="22"/>
                                </a:lnTo>
                                <a:lnTo>
                                  <a:pt x="126" y="15"/>
                                </a:lnTo>
                                <a:lnTo>
                                  <a:pt x="118" y="1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6E3BC02" id="Group 153" o:spid="_x0000_s1026" style="width:23.05pt;height:11.55pt;mso-position-horizontal-relative:char;mso-position-vertical-relative:line" coordsize="46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">
                <v:shape id="AutoShape 154" o:spid="_x0000_s1027" style="position:absolute;width:461;height:231;visibility:visible;mso-wrap-style:square;v-text-anchor:top" coordsize="46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" path="m125,157r-26,l98,162r341,69l441,224r-11,l431,219,125,157xm431,219r-1,5l436,220r-5,-1xm449,132r-18,87l436,220r-6,4l441,224r18,-91l454,133r-5,-1xm131,l,87,87,217r3,-14l79,203r3,-12l16,92r-6,l11,85r10,l116,22r2,-12l128,10,131,xm82,191r-3,12l88,201,82,191xm90,150r-8,41l88,201r-9,2l90,203r8,-41l93,161r6,-4l125,157,90,150xm99,157r-6,4l98,162r1,-5xm450,127r-1,5l454,133r-4,-6xm460,127r-10,l454,133r5,l460,127xm128,10r-10,l126,15r-10,7l107,63r342,69l450,127r10,l461,124,144,60r-26,l114,54r6,l128,10xm11,85r-1,7l14,90,11,85xm14,90r-4,2l16,92,14,90xm21,85r-10,l14,90r7,-5xm114,54r4,6l119,55r-5,-1xm119,55r-1,5l144,60,119,55xm120,54r-6,l119,55r1,-1xm118,10r-2,12l126,15r-8,-5xe" fillcolor="#001f5f" stroked="f">
                  <v:path arrowok="t" o:connecttype="custom" o:connectlocs="99,157;439,231;430,224;125,157;430,224;431,219;431,219;430,224;459,133;449,132;0,87;90,203;82,191;10,92;21,85;118,10;131,0;79,203;82,191;82,191;79,203;98,162;99,157;90,150;93,161;99,157;449,132;450,127;450,127;459,133;128,10;126,15;107,63;450,127;461,124;118,60;120,54;11,85;14,90;14,90;16,92;21,85;14,90;114,54;119,55;119,55;144,60;120,54;119,55;118,10;126,15" o:connectangles="0,0,0,0,0,0,0,0,0,0,0,0,0,0,0,0,0,0,0,0,0,0,0,0,0,0,0,0,0,0,0,0,0,0,0,0,0,0,0,0,0,0,0,0,0,0,0,0,0,0,0"/>
                </v:shape>
                <w10:anchorlock/>
              </v:group>
            </w:pict>
          </mc:Fallback>
        </mc:AlternateContent>
      </w:r>
    </w:p>
    <w:p w:rsidR="007D76BB" w:rsidRDefault="007D76BB">
      <w:pPr>
        <w:pStyle w:val="BodyText"/>
        <w:spacing w:before="6"/>
        <w:rPr>
          <w:rFonts w:ascii="Arial"/>
          <w:sz w:val="3"/>
        </w:rPr>
      </w:pPr>
    </w:p>
    <w:p w:rsidR="007D76BB" w:rsidRDefault="00D70D28">
      <w:pPr>
        <w:tabs>
          <w:tab w:val="left" w:pos="5223"/>
          <w:tab w:val="left" w:pos="6108"/>
          <w:tab w:val="left" w:pos="7048"/>
        </w:tabs>
        <w:ind w:left="3418"/>
        <w:rPr>
          <w:rFonts w:ascii="Arial"/>
          <w:sz w:val="20"/>
        </w:rPr>
      </w:pPr>
      <w:r>
        <w:rPr>
          <w:rFonts w:ascii="Arial"/>
          <w:noProof/>
          <w:position w:val="11"/>
          <w:sz w:val="20"/>
          <w:lang w:val="en-AU" w:eastAsia="en-AU"/>
        </w:rPr>
        <mc:AlternateContent>
          <mc:Choice Requires="wpg">
            <w:drawing>
              <wp:inline distT="0" distB="0" distL="0" distR="0">
                <wp:extent cx="291465" cy="144145"/>
                <wp:effectExtent l="1905" t="5080" r="1905" b="3175"/>
                <wp:docPr id="295"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 cy="144145"/>
                          <a:chOff x="0" y="0"/>
                          <a:chExt cx="459" cy="227"/>
                        </a:xfrm>
                      </wpg:grpSpPr>
                      <wps:wsp>
                        <wps:cNvPr id="296" name="AutoShape 152"/>
                        <wps:cNvSpPr>
                          <a:spLocks/>
                        </wps:cNvSpPr>
                        <wps:spPr bwMode="auto">
                          <a:xfrm>
                            <a:off x="0" y="0"/>
                            <a:ext cx="459" cy="227"/>
                          </a:xfrm>
                          <a:custGeom>
                            <a:avLst/>
                            <a:gdLst>
                              <a:gd name="T0" fmla="*/ 0 w 459"/>
                              <a:gd name="T1" fmla="*/ 113 h 227"/>
                              <a:gd name="T2" fmla="*/ 114 w 459"/>
                              <a:gd name="T3" fmla="*/ 212 h 227"/>
                              <a:gd name="T4" fmla="*/ 101 w 459"/>
                              <a:gd name="T5" fmla="*/ 197 h 227"/>
                              <a:gd name="T6" fmla="*/ 13 w 459"/>
                              <a:gd name="T7" fmla="*/ 118 h 227"/>
                              <a:gd name="T8" fmla="*/ 22 w 459"/>
                              <a:gd name="T9" fmla="*/ 109 h 227"/>
                              <a:gd name="T10" fmla="*/ 101 w 459"/>
                              <a:gd name="T11" fmla="*/ 15 h 227"/>
                              <a:gd name="T12" fmla="*/ 114 w 459"/>
                              <a:gd name="T13" fmla="*/ 0 h 227"/>
                              <a:gd name="T14" fmla="*/ 101 w 459"/>
                              <a:gd name="T15" fmla="*/ 212 h 227"/>
                              <a:gd name="T16" fmla="*/ 101 w 459"/>
                              <a:gd name="T17" fmla="*/ 197 h 227"/>
                              <a:gd name="T18" fmla="*/ 101 w 459"/>
                              <a:gd name="T19" fmla="*/ 157 h 227"/>
                              <a:gd name="T20" fmla="*/ 112 w 459"/>
                              <a:gd name="T21" fmla="*/ 208 h 227"/>
                              <a:gd name="T22" fmla="*/ 114 w 459"/>
                              <a:gd name="T23" fmla="*/ 212 h 227"/>
                              <a:gd name="T24" fmla="*/ 107 w 459"/>
                              <a:gd name="T25" fmla="*/ 169 h 227"/>
                              <a:gd name="T26" fmla="*/ 446 w 459"/>
                              <a:gd name="T27" fmla="*/ 163 h 227"/>
                              <a:gd name="T28" fmla="*/ 114 w 459"/>
                              <a:gd name="T29" fmla="*/ 163 h 227"/>
                              <a:gd name="T30" fmla="*/ 114 w 459"/>
                              <a:gd name="T31" fmla="*/ 169 h 227"/>
                              <a:gd name="T32" fmla="*/ 459 w 459"/>
                              <a:gd name="T33" fmla="*/ 157 h 227"/>
                              <a:gd name="T34" fmla="*/ 446 w 459"/>
                              <a:gd name="T35" fmla="*/ 163 h 227"/>
                              <a:gd name="T36" fmla="*/ 114 w 459"/>
                              <a:gd name="T37" fmla="*/ 169 h 227"/>
                              <a:gd name="T38" fmla="*/ 459 w 459"/>
                              <a:gd name="T39" fmla="*/ 157 h 227"/>
                              <a:gd name="T40" fmla="*/ 446 w 459"/>
                              <a:gd name="T41" fmla="*/ 163 h 227"/>
                              <a:gd name="T42" fmla="*/ 459 w 459"/>
                              <a:gd name="T43" fmla="*/ 157 h 227"/>
                              <a:gd name="T44" fmla="*/ 452 w 459"/>
                              <a:gd name="T45" fmla="*/ 70 h 227"/>
                              <a:gd name="T46" fmla="*/ 13 w 459"/>
                              <a:gd name="T47" fmla="*/ 109 h 227"/>
                              <a:gd name="T48" fmla="*/ 17 w 459"/>
                              <a:gd name="T49" fmla="*/ 113 h 227"/>
                              <a:gd name="T50" fmla="*/ 17 w 459"/>
                              <a:gd name="T51" fmla="*/ 113 h 227"/>
                              <a:gd name="T52" fmla="*/ 22 w 459"/>
                              <a:gd name="T53" fmla="*/ 118 h 227"/>
                              <a:gd name="T54" fmla="*/ 22 w 459"/>
                              <a:gd name="T55" fmla="*/ 109 h 227"/>
                              <a:gd name="T56" fmla="*/ 17 w 459"/>
                              <a:gd name="T57" fmla="*/ 113 h 227"/>
                              <a:gd name="T58" fmla="*/ 114 w 459"/>
                              <a:gd name="T59" fmla="*/ 15 h 227"/>
                              <a:gd name="T60" fmla="*/ 112 w 459"/>
                              <a:gd name="T61" fmla="*/ 19 h 227"/>
                              <a:gd name="T62" fmla="*/ 101 w 459"/>
                              <a:gd name="T63" fmla="*/ 70 h 227"/>
                              <a:gd name="T64" fmla="*/ 446 w 459"/>
                              <a:gd name="T65" fmla="*/ 64 h 227"/>
                              <a:gd name="T66" fmla="*/ 107 w 459"/>
                              <a:gd name="T67" fmla="*/ 58 h 227"/>
                              <a:gd name="T68" fmla="*/ 114 w 459"/>
                              <a:gd name="T69" fmla="*/ 15 h 227"/>
                              <a:gd name="T70" fmla="*/ 114 w 459"/>
                              <a:gd name="T71" fmla="*/ 58 h 227"/>
                              <a:gd name="T72" fmla="*/ 446 w 459"/>
                              <a:gd name="T73" fmla="*/ 64 h 227"/>
                              <a:gd name="T74" fmla="*/ 459 w 459"/>
                              <a:gd name="T75" fmla="*/ 70 h 227"/>
                              <a:gd name="T76" fmla="*/ 114 w 459"/>
                              <a:gd name="T77" fmla="*/ 58 h 227"/>
                              <a:gd name="T78" fmla="*/ 114 w 459"/>
                              <a:gd name="T79" fmla="*/ 64 h 227"/>
                              <a:gd name="T80" fmla="*/ 101 w 459"/>
                              <a:gd name="T81" fmla="*/ 15 h 227"/>
                              <a:gd name="T82" fmla="*/ 112 w 459"/>
                              <a:gd name="T83" fmla="*/ 19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59" h="227">
                                <a:moveTo>
                                  <a:pt x="114" y="0"/>
                                </a:moveTo>
                                <a:lnTo>
                                  <a:pt x="0" y="113"/>
                                </a:lnTo>
                                <a:lnTo>
                                  <a:pt x="114" y="227"/>
                                </a:lnTo>
                                <a:lnTo>
                                  <a:pt x="114" y="212"/>
                                </a:lnTo>
                                <a:lnTo>
                                  <a:pt x="101" y="212"/>
                                </a:lnTo>
                                <a:lnTo>
                                  <a:pt x="101" y="197"/>
                                </a:lnTo>
                                <a:lnTo>
                                  <a:pt x="22" y="118"/>
                                </a:lnTo>
                                <a:lnTo>
                                  <a:pt x="13" y="118"/>
                                </a:lnTo>
                                <a:lnTo>
                                  <a:pt x="13" y="109"/>
                                </a:lnTo>
                                <a:lnTo>
                                  <a:pt x="22" y="109"/>
                                </a:lnTo>
                                <a:lnTo>
                                  <a:pt x="101" y="30"/>
                                </a:lnTo>
                                <a:lnTo>
                                  <a:pt x="101" y="15"/>
                                </a:lnTo>
                                <a:lnTo>
                                  <a:pt x="114" y="15"/>
                                </a:lnTo>
                                <a:lnTo>
                                  <a:pt x="114" y="0"/>
                                </a:lnTo>
                                <a:close/>
                                <a:moveTo>
                                  <a:pt x="101" y="197"/>
                                </a:moveTo>
                                <a:lnTo>
                                  <a:pt x="101" y="212"/>
                                </a:lnTo>
                                <a:lnTo>
                                  <a:pt x="112" y="208"/>
                                </a:lnTo>
                                <a:lnTo>
                                  <a:pt x="101" y="197"/>
                                </a:lnTo>
                                <a:close/>
                                <a:moveTo>
                                  <a:pt x="446" y="157"/>
                                </a:moveTo>
                                <a:lnTo>
                                  <a:pt x="101" y="157"/>
                                </a:lnTo>
                                <a:lnTo>
                                  <a:pt x="101" y="197"/>
                                </a:lnTo>
                                <a:lnTo>
                                  <a:pt x="112" y="208"/>
                                </a:lnTo>
                                <a:lnTo>
                                  <a:pt x="101" y="212"/>
                                </a:lnTo>
                                <a:lnTo>
                                  <a:pt x="114" y="212"/>
                                </a:lnTo>
                                <a:lnTo>
                                  <a:pt x="114" y="169"/>
                                </a:lnTo>
                                <a:lnTo>
                                  <a:pt x="107" y="169"/>
                                </a:lnTo>
                                <a:lnTo>
                                  <a:pt x="114" y="163"/>
                                </a:lnTo>
                                <a:lnTo>
                                  <a:pt x="446" y="163"/>
                                </a:lnTo>
                                <a:lnTo>
                                  <a:pt x="446" y="157"/>
                                </a:lnTo>
                                <a:close/>
                                <a:moveTo>
                                  <a:pt x="114" y="163"/>
                                </a:moveTo>
                                <a:lnTo>
                                  <a:pt x="107" y="169"/>
                                </a:lnTo>
                                <a:lnTo>
                                  <a:pt x="114" y="169"/>
                                </a:lnTo>
                                <a:lnTo>
                                  <a:pt x="114" y="163"/>
                                </a:lnTo>
                                <a:close/>
                                <a:moveTo>
                                  <a:pt x="459" y="157"/>
                                </a:moveTo>
                                <a:lnTo>
                                  <a:pt x="452" y="157"/>
                                </a:lnTo>
                                <a:lnTo>
                                  <a:pt x="446" y="163"/>
                                </a:lnTo>
                                <a:lnTo>
                                  <a:pt x="114" y="163"/>
                                </a:lnTo>
                                <a:lnTo>
                                  <a:pt x="114" y="169"/>
                                </a:lnTo>
                                <a:lnTo>
                                  <a:pt x="459" y="169"/>
                                </a:lnTo>
                                <a:lnTo>
                                  <a:pt x="459" y="157"/>
                                </a:lnTo>
                                <a:close/>
                                <a:moveTo>
                                  <a:pt x="446" y="64"/>
                                </a:moveTo>
                                <a:lnTo>
                                  <a:pt x="446" y="163"/>
                                </a:lnTo>
                                <a:lnTo>
                                  <a:pt x="452" y="157"/>
                                </a:lnTo>
                                <a:lnTo>
                                  <a:pt x="459" y="157"/>
                                </a:lnTo>
                                <a:lnTo>
                                  <a:pt x="459" y="70"/>
                                </a:lnTo>
                                <a:lnTo>
                                  <a:pt x="452" y="70"/>
                                </a:lnTo>
                                <a:lnTo>
                                  <a:pt x="446" y="64"/>
                                </a:lnTo>
                                <a:close/>
                                <a:moveTo>
                                  <a:pt x="13" y="109"/>
                                </a:moveTo>
                                <a:lnTo>
                                  <a:pt x="13" y="118"/>
                                </a:lnTo>
                                <a:lnTo>
                                  <a:pt x="17" y="113"/>
                                </a:lnTo>
                                <a:lnTo>
                                  <a:pt x="13" y="109"/>
                                </a:lnTo>
                                <a:close/>
                                <a:moveTo>
                                  <a:pt x="17" y="113"/>
                                </a:moveTo>
                                <a:lnTo>
                                  <a:pt x="13" y="118"/>
                                </a:lnTo>
                                <a:lnTo>
                                  <a:pt x="22" y="118"/>
                                </a:lnTo>
                                <a:lnTo>
                                  <a:pt x="17" y="113"/>
                                </a:lnTo>
                                <a:close/>
                                <a:moveTo>
                                  <a:pt x="22" y="109"/>
                                </a:moveTo>
                                <a:lnTo>
                                  <a:pt x="13" y="109"/>
                                </a:lnTo>
                                <a:lnTo>
                                  <a:pt x="17" y="113"/>
                                </a:lnTo>
                                <a:lnTo>
                                  <a:pt x="22" y="109"/>
                                </a:lnTo>
                                <a:close/>
                                <a:moveTo>
                                  <a:pt x="114" y="15"/>
                                </a:moveTo>
                                <a:lnTo>
                                  <a:pt x="101" y="15"/>
                                </a:lnTo>
                                <a:lnTo>
                                  <a:pt x="112" y="19"/>
                                </a:lnTo>
                                <a:lnTo>
                                  <a:pt x="101" y="30"/>
                                </a:lnTo>
                                <a:lnTo>
                                  <a:pt x="101" y="70"/>
                                </a:lnTo>
                                <a:lnTo>
                                  <a:pt x="446" y="70"/>
                                </a:lnTo>
                                <a:lnTo>
                                  <a:pt x="446" y="64"/>
                                </a:lnTo>
                                <a:lnTo>
                                  <a:pt x="114" y="64"/>
                                </a:lnTo>
                                <a:lnTo>
                                  <a:pt x="107" y="58"/>
                                </a:lnTo>
                                <a:lnTo>
                                  <a:pt x="114" y="58"/>
                                </a:lnTo>
                                <a:lnTo>
                                  <a:pt x="114" y="15"/>
                                </a:lnTo>
                                <a:close/>
                                <a:moveTo>
                                  <a:pt x="459" y="58"/>
                                </a:moveTo>
                                <a:lnTo>
                                  <a:pt x="114" y="58"/>
                                </a:lnTo>
                                <a:lnTo>
                                  <a:pt x="114" y="64"/>
                                </a:lnTo>
                                <a:lnTo>
                                  <a:pt x="446" y="64"/>
                                </a:lnTo>
                                <a:lnTo>
                                  <a:pt x="452" y="70"/>
                                </a:lnTo>
                                <a:lnTo>
                                  <a:pt x="459" y="70"/>
                                </a:lnTo>
                                <a:lnTo>
                                  <a:pt x="459" y="58"/>
                                </a:lnTo>
                                <a:close/>
                                <a:moveTo>
                                  <a:pt x="114" y="58"/>
                                </a:moveTo>
                                <a:lnTo>
                                  <a:pt x="107" y="58"/>
                                </a:lnTo>
                                <a:lnTo>
                                  <a:pt x="114" y="64"/>
                                </a:lnTo>
                                <a:lnTo>
                                  <a:pt x="114" y="58"/>
                                </a:lnTo>
                                <a:close/>
                                <a:moveTo>
                                  <a:pt x="101" y="15"/>
                                </a:moveTo>
                                <a:lnTo>
                                  <a:pt x="101" y="30"/>
                                </a:lnTo>
                                <a:lnTo>
                                  <a:pt x="112" y="19"/>
                                </a:lnTo>
                                <a:lnTo>
                                  <a:pt x="101" y="15"/>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5A5F209" id="Group 151" o:spid="_x0000_s1026" style="width:22.95pt;height:11.35pt;mso-position-horizontal-relative:char;mso-position-vertical-relative:line" coordsize="45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">
                <v:shape id="AutoShape 152" o:spid="_x0000_s1027" style="position:absolute;width:459;height:227;visibility:visible;mso-wrap-style:square;v-text-anchor:top" coordsize="45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" path="m114,l,113,114,227r,-15l101,212r,-15l22,118r-9,l13,109r9,l101,30r,-15l114,15,114,xm101,197r,15l112,208,101,197xm446,157r-345,l101,197r11,11l101,212r13,l114,169r-7,l114,163r332,l446,157xm114,163r-7,6l114,169r,-6xm459,157r-7,l446,163r-332,l114,169r345,l459,157xm446,64r,99l452,157r7,l459,70r-7,l446,64xm13,109r,9l17,113r-4,-4xm17,113r-4,5l22,118r-5,-5xm22,109r-9,l17,113r5,-4xm114,15r-13,l112,19,101,30r,40l446,70r,-6l114,64r-7,-6l114,58r,-43xm459,58r-345,l114,64r332,l452,70r7,l459,58xm114,58r-7,l114,64r,-6xm101,15r,15l112,19,101,15xe" fillcolor="#001f5f" stroked="f">
                  <v:path arrowok="t" o:connecttype="custom" o:connectlocs="0,113;114,212;101,197;13,118;22,109;101,15;114,0;101,212;101,197;101,157;112,208;114,212;107,169;446,163;114,163;114,169;459,157;446,163;114,169;459,157;446,163;459,157;452,70;13,109;17,113;17,113;22,118;22,109;17,113;114,15;112,19;101,70;446,64;107,58;114,15;114,58;446,64;459,70;114,58;114,64;101,15;112,19" o:connectangles="0,0,0,0,0,0,0,0,0,0,0,0,0,0,0,0,0,0,0,0,0,0,0,0,0,0,0,0,0,0,0,0,0,0,0,0,0,0,0,0,0,0"/>
                </v:shape>
                <w10:anchorlock/>
              </v:group>
            </w:pict>
          </mc:Fallback>
        </mc:AlternateContent>
      </w:r>
      <w:r>
        <w:rPr>
          <w:rFonts w:ascii="Arial"/>
          <w:position w:val="11"/>
          <w:sz w:val="20"/>
        </w:rPr>
        <w:tab/>
      </w:r>
      <w:r>
        <w:rPr>
          <w:rFonts w:ascii="Arial"/>
          <w:noProof/>
          <w:position w:val="8"/>
          <w:sz w:val="20"/>
          <w:lang w:val="en-AU" w:eastAsia="en-AU"/>
        </w:rPr>
        <mc:AlternateContent>
          <mc:Choice Requires="wpg">
            <w:drawing>
              <wp:inline distT="0" distB="0" distL="0" distR="0">
                <wp:extent cx="291465" cy="144145"/>
                <wp:effectExtent l="5080" t="5080" r="8255" b="3175"/>
                <wp:docPr id="29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 cy="144145"/>
                          <a:chOff x="0" y="0"/>
                          <a:chExt cx="459" cy="227"/>
                        </a:xfrm>
                      </wpg:grpSpPr>
                      <wps:wsp>
                        <wps:cNvPr id="294" name="AutoShape 150"/>
                        <wps:cNvSpPr>
                          <a:spLocks/>
                        </wps:cNvSpPr>
                        <wps:spPr bwMode="auto">
                          <a:xfrm>
                            <a:off x="0" y="0"/>
                            <a:ext cx="459" cy="227"/>
                          </a:xfrm>
                          <a:custGeom>
                            <a:avLst/>
                            <a:gdLst>
                              <a:gd name="T0" fmla="*/ 0 w 459"/>
                              <a:gd name="T1" fmla="*/ 113 h 227"/>
                              <a:gd name="T2" fmla="*/ 114 w 459"/>
                              <a:gd name="T3" fmla="*/ 212 h 227"/>
                              <a:gd name="T4" fmla="*/ 101 w 459"/>
                              <a:gd name="T5" fmla="*/ 197 h 227"/>
                              <a:gd name="T6" fmla="*/ 13 w 459"/>
                              <a:gd name="T7" fmla="*/ 118 h 227"/>
                              <a:gd name="T8" fmla="*/ 22 w 459"/>
                              <a:gd name="T9" fmla="*/ 109 h 227"/>
                              <a:gd name="T10" fmla="*/ 101 w 459"/>
                              <a:gd name="T11" fmla="*/ 15 h 227"/>
                              <a:gd name="T12" fmla="*/ 114 w 459"/>
                              <a:gd name="T13" fmla="*/ 0 h 227"/>
                              <a:gd name="T14" fmla="*/ 101 w 459"/>
                              <a:gd name="T15" fmla="*/ 212 h 227"/>
                              <a:gd name="T16" fmla="*/ 101 w 459"/>
                              <a:gd name="T17" fmla="*/ 197 h 227"/>
                              <a:gd name="T18" fmla="*/ 101 w 459"/>
                              <a:gd name="T19" fmla="*/ 157 h 227"/>
                              <a:gd name="T20" fmla="*/ 112 w 459"/>
                              <a:gd name="T21" fmla="*/ 208 h 227"/>
                              <a:gd name="T22" fmla="*/ 114 w 459"/>
                              <a:gd name="T23" fmla="*/ 212 h 227"/>
                              <a:gd name="T24" fmla="*/ 107 w 459"/>
                              <a:gd name="T25" fmla="*/ 169 h 227"/>
                              <a:gd name="T26" fmla="*/ 446 w 459"/>
                              <a:gd name="T27" fmla="*/ 163 h 227"/>
                              <a:gd name="T28" fmla="*/ 114 w 459"/>
                              <a:gd name="T29" fmla="*/ 163 h 227"/>
                              <a:gd name="T30" fmla="*/ 114 w 459"/>
                              <a:gd name="T31" fmla="*/ 169 h 227"/>
                              <a:gd name="T32" fmla="*/ 459 w 459"/>
                              <a:gd name="T33" fmla="*/ 157 h 227"/>
                              <a:gd name="T34" fmla="*/ 446 w 459"/>
                              <a:gd name="T35" fmla="*/ 163 h 227"/>
                              <a:gd name="T36" fmla="*/ 114 w 459"/>
                              <a:gd name="T37" fmla="*/ 169 h 227"/>
                              <a:gd name="T38" fmla="*/ 459 w 459"/>
                              <a:gd name="T39" fmla="*/ 157 h 227"/>
                              <a:gd name="T40" fmla="*/ 446 w 459"/>
                              <a:gd name="T41" fmla="*/ 163 h 227"/>
                              <a:gd name="T42" fmla="*/ 459 w 459"/>
                              <a:gd name="T43" fmla="*/ 157 h 227"/>
                              <a:gd name="T44" fmla="*/ 452 w 459"/>
                              <a:gd name="T45" fmla="*/ 70 h 227"/>
                              <a:gd name="T46" fmla="*/ 13 w 459"/>
                              <a:gd name="T47" fmla="*/ 109 h 227"/>
                              <a:gd name="T48" fmla="*/ 17 w 459"/>
                              <a:gd name="T49" fmla="*/ 113 h 227"/>
                              <a:gd name="T50" fmla="*/ 17 w 459"/>
                              <a:gd name="T51" fmla="*/ 113 h 227"/>
                              <a:gd name="T52" fmla="*/ 22 w 459"/>
                              <a:gd name="T53" fmla="*/ 118 h 227"/>
                              <a:gd name="T54" fmla="*/ 22 w 459"/>
                              <a:gd name="T55" fmla="*/ 109 h 227"/>
                              <a:gd name="T56" fmla="*/ 17 w 459"/>
                              <a:gd name="T57" fmla="*/ 113 h 227"/>
                              <a:gd name="T58" fmla="*/ 114 w 459"/>
                              <a:gd name="T59" fmla="*/ 15 h 227"/>
                              <a:gd name="T60" fmla="*/ 112 w 459"/>
                              <a:gd name="T61" fmla="*/ 19 h 227"/>
                              <a:gd name="T62" fmla="*/ 101 w 459"/>
                              <a:gd name="T63" fmla="*/ 70 h 227"/>
                              <a:gd name="T64" fmla="*/ 446 w 459"/>
                              <a:gd name="T65" fmla="*/ 64 h 227"/>
                              <a:gd name="T66" fmla="*/ 107 w 459"/>
                              <a:gd name="T67" fmla="*/ 58 h 227"/>
                              <a:gd name="T68" fmla="*/ 114 w 459"/>
                              <a:gd name="T69" fmla="*/ 15 h 227"/>
                              <a:gd name="T70" fmla="*/ 114 w 459"/>
                              <a:gd name="T71" fmla="*/ 58 h 227"/>
                              <a:gd name="T72" fmla="*/ 446 w 459"/>
                              <a:gd name="T73" fmla="*/ 64 h 227"/>
                              <a:gd name="T74" fmla="*/ 459 w 459"/>
                              <a:gd name="T75" fmla="*/ 70 h 227"/>
                              <a:gd name="T76" fmla="*/ 114 w 459"/>
                              <a:gd name="T77" fmla="*/ 58 h 227"/>
                              <a:gd name="T78" fmla="*/ 114 w 459"/>
                              <a:gd name="T79" fmla="*/ 64 h 227"/>
                              <a:gd name="T80" fmla="*/ 101 w 459"/>
                              <a:gd name="T81" fmla="*/ 15 h 227"/>
                              <a:gd name="T82" fmla="*/ 112 w 459"/>
                              <a:gd name="T83" fmla="*/ 19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59" h="227">
                                <a:moveTo>
                                  <a:pt x="114" y="0"/>
                                </a:moveTo>
                                <a:lnTo>
                                  <a:pt x="0" y="113"/>
                                </a:lnTo>
                                <a:lnTo>
                                  <a:pt x="114" y="227"/>
                                </a:lnTo>
                                <a:lnTo>
                                  <a:pt x="114" y="212"/>
                                </a:lnTo>
                                <a:lnTo>
                                  <a:pt x="101" y="212"/>
                                </a:lnTo>
                                <a:lnTo>
                                  <a:pt x="101" y="197"/>
                                </a:lnTo>
                                <a:lnTo>
                                  <a:pt x="22" y="118"/>
                                </a:lnTo>
                                <a:lnTo>
                                  <a:pt x="13" y="118"/>
                                </a:lnTo>
                                <a:lnTo>
                                  <a:pt x="13" y="109"/>
                                </a:lnTo>
                                <a:lnTo>
                                  <a:pt x="22" y="109"/>
                                </a:lnTo>
                                <a:lnTo>
                                  <a:pt x="101" y="30"/>
                                </a:lnTo>
                                <a:lnTo>
                                  <a:pt x="101" y="15"/>
                                </a:lnTo>
                                <a:lnTo>
                                  <a:pt x="114" y="15"/>
                                </a:lnTo>
                                <a:lnTo>
                                  <a:pt x="114" y="0"/>
                                </a:lnTo>
                                <a:close/>
                                <a:moveTo>
                                  <a:pt x="101" y="197"/>
                                </a:moveTo>
                                <a:lnTo>
                                  <a:pt x="101" y="212"/>
                                </a:lnTo>
                                <a:lnTo>
                                  <a:pt x="112" y="208"/>
                                </a:lnTo>
                                <a:lnTo>
                                  <a:pt x="101" y="197"/>
                                </a:lnTo>
                                <a:close/>
                                <a:moveTo>
                                  <a:pt x="446" y="157"/>
                                </a:moveTo>
                                <a:lnTo>
                                  <a:pt x="101" y="157"/>
                                </a:lnTo>
                                <a:lnTo>
                                  <a:pt x="101" y="197"/>
                                </a:lnTo>
                                <a:lnTo>
                                  <a:pt x="112" y="208"/>
                                </a:lnTo>
                                <a:lnTo>
                                  <a:pt x="101" y="212"/>
                                </a:lnTo>
                                <a:lnTo>
                                  <a:pt x="114" y="212"/>
                                </a:lnTo>
                                <a:lnTo>
                                  <a:pt x="114" y="169"/>
                                </a:lnTo>
                                <a:lnTo>
                                  <a:pt x="107" y="169"/>
                                </a:lnTo>
                                <a:lnTo>
                                  <a:pt x="114" y="163"/>
                                </a:lnTo>
                                <a:lnTo>
                                  <a:pt x="446" y="163"/>
                                </a:lnTo>
                                <a:lnTo>
                                  <a:pt x="446" y="157"/>
                                </a:lnTo>
                                <a:close/>
                                <a:moveTo>
                                  <a:pt x="114" y="163"/>
                                </a:moveTo>
                                <a:lnTo>
                                  <a:pt x="107" y="169"/>
                                </a:lnTo>
                                <a:lnTo>
                                  <a:pt x="114" y="169"/>
                                </a:lnTo>
                                <a:lnTo>
                                  <a:pt x="114" y="163"/>
                                </a:lnTo>
                                <a:close/>
                                <a:moveTo>
                                  <a:pt x="459" y="157"/>
                                </a:moveTo>
                                <a:lnTo>
                                  <a:pt x="452" y="157"/>
                                </a:lnTo>
                                <a:lnTo>
                                  <a:pt x="446" y="163"/>
                                </a:lnTo>
                                <a:lnTo>
                                  <a:pt x="114" y="163"/>
                                </a:lnTo>
                                <a:lnTo>
                                  <a:pt x="114" y="169"/>
                                </a:lnTo>
                                <a:lnTo>
                                  <a:pt x="459" y="169"/>
                                </a:lnTo>
                                <a:lnTo>
                                  <a:pt x="459" y="157"/>
                                </a:lnTo>
                                <a:close/>
                                <a:moveTo>
                                  <a:pt x="446" y="64"/>
                                </a:moveTo>
                                <a:lnTo>
                                  <a:pt x="446" y="163"/>
                                </a:lnTo>
                                <a:lnTo>
                                  <a:pt x="452" y="157"/>
                                </a:lnTo>
                                <a:lnTo>
                                  <a:pt x="459" y="157"/>
                                </a:lnTo>
                                <a:lnTo>
                                  <a:pt x="459" y="70"/>
                                </a:lnTo>
                                <a:lnTo>
                                  <a:pt x="452" y="70"/>
                                </a:lnTo>
                                <a:lnTo>
                                  <a:pt x="446" y="64"/>
                                </a:lnTo>
                                <a:close/>
                                <a:moveTo>
                                  <a:pt x="13" y="109"/>
                                </a:moveTo>
                                <a:lnTo>
                                  <a:pt x="13" y="118"/>
                                </a:lnTo>
                                <a:lnTo>
                                  <a:pt x="17" y="113"/>
                                </a:lnTo>
                                <a:lnTo>
                                  <a:pt x="13" y="109"/>
                                </a:lnTo>
                                <a:close/>
                                <a:moveTo>
                                  <a:pt x="17" y="113"/>
                                </a:moveTo>
                                <a:lnTo>
                                  <a:pt x="13" y="118"/>
                                </a:lnTo>
                                <a:lnTo>
                                  <a:pt x="22" y="118"/>
                                </a:lnTo>
                                <a:lnTo>
                                  <a:pt x="17" y="113"/>
                                </a:lnTo>
                                <a:close/>
                                <a:moveTo>
                                  <a:pt x="22" y="109"/>
                                </a:moveTo>
                                <a:lnTo>
                                  <a:pt x="13" y="109"/>
                                </a:lnTo>
                                <a:lnTo>
                                  <a:pt x="17" y="113"/>
                                </a:lnTo>
                                <a:lnTo>
                                  <a:pt x="22" y="109"/>
                                </a:lnTo>
                                <a:close/>
                                <a:moveTo>
                                  <a:pt x="114" y="15"/>
                                </a:moveTo>
                                <a:lnTo>
                                  <a:pt x="101" y="15"/>
                                </a:lnTo>
                                <a:lnTo>
                                  <a:pt x="112" y="19"/>
                                </a:lnTo>
                                <a:lnTo>
                                  <a:pt x="101" y="30"/>
                                </a:lnTo>
                                <a:lnTo>
                                  <a:pt x="101" y="70"/>
                                </a:lnTo>
                                <a:lnTo>
                                  <a:pt x="446" y="70"/>
                                </a:lnTo>
                                <a:lnTo>
                                  <a:pt x="446" y="64"/>
                                </a:lnTo>
                                <a:lnTo>
                                  <a:pt x="114" y="64"/>
                                </a:lnTo>
                                <a:lnTo>
                                  <a:pt x="107" y="58"/>
                                </a:lnTo>
                                <a:lnTo>
                                  <a:pt x="114" y="58"/>
                                </a:lnTo>
                                <a:lnTo>
                                  <a:pt x="114" y="15"/>
                                </a:lnTo>
                                <a:close/>
                                <a:moveTo>
                                  <a:pt x="459" y="58"/>
                                </a:moveTo>
                                <a:lnTo>
                                  <a:pt x="114" y="58"/>
                                </a:lnTo>
                                <a:lnTo>
                                  <a:pt x="114" y="64"/>
                                </a:lnTo>
                                <a:lnTo>
                                  <a:pt x="446" y="64"/>
                                </a:lnTo>
                                <a:lnTo>
                                  <a:pt x="452" y="70"/>
                                </a:lnTo>
                                <a:lnTo>
                                  <a:pt x="459" y="70"/>
                                </a:lnTo>
                                <a:lnTo>
                                  <a:pt x="459" y="58"/>
                                </a:lnTo>
                                <a:close/>
                                <a:moveTo>
                                  <a:pt x="114" y="58"/>
                                </a:moveTo>
                                <a:lnTo>
                                  <a:pt x="107" y="58"/>
                                </a:lnTo>
                                <a:lnTo>
                                  <a:pt x="114" y="64"/>
                                </a:lnTo>
                                <a:lnTo>
                                  <a:pt x="114" y="58"/>
                                </a:lnTo>
                                <a:close/>
                                <a:moveTo>
                                  <a:pt x="101" y="15"/>
                                </a:moveTo>
                                <a:lnTo>
                                  <a:pt x="101" y="30"/>
                                </a:lnTo>
                                <a:lnTo>
                                  <a:pt x="112" y="19"/>
                                </a:lnTo>
                                <a:lnTo>
                                  <a:pt x="101" y="15"/>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2591285" id="Group 149" o:spid="_x0000_s1026" style="width:22.95pt;height:11.35pt;mso-position-horizontal-relative:char;mso-position-vertical-relative:line" coordsize="45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">
                <v:shape id="AutoShape 150" o:spid="_x0000_s1027" style="position:absolute;width:459;height:227;visibility:visible;mso-wrap-style:square;v-text-anchor:top" coordsize="45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" path="m114,l,113,114,227r,-15l101,212r,-15l22,118r-9,l13,109r9,l101,30r,-15l114,15,114,xm101,197r,15l112,208,101,197xm446,157r-345,l101,197r11,11l101,212r13,l114,169r-7,l114,163r332,l446,157xm114,163r-7,6l114,169r,-6xm459,157r-7,l446,163r-332,l114,169r345,l459,157xm446,64r,99l452,157r7,l459,70r-7,l446,64xm13,109r,9l17,113r-4,-4xm17,113r-4,5l22,118r-5,-5xm22,109r-9,l17,113r5,-4xm114,15r-13,l112,19,101,30r,40l446,70r,-6l114,64r-7,-6l114,58r,-43xm459,58r-345,l114,64r332,l452,70r7,l459,58xm114,58r-7,l114,64r,-6xm101,15r,15l112,19,101,15xe" fillcolor="#001f5f" stroked="f">
                  <v:path arrowok="t" o:connecttype="custom" o:connectlocs="0,113;114,212;101,197;13,118;22,109;101,15;114,0;101,212;101,197;101,157;112,208;114,212;107,169;446,163;114,163;114,169;459,157;446,163;114,169;459,157;446,163;459,157;452,70;13,109;17,113;17,113;22,118;22,109;17,113;114,15;112,19;101,70;446,64;107,58;114,15;114,58;446,64;459,70;114,58;114,64;101,15;112,19" o:connectangles="0,0,0,0,0,0,0,0,0,0,0,0,0,0,0,0,0,0,0,0,0,0,0,0,0,0,0,0,0,0,0,0,0,0,0,0,0,0,0,0,0,0"/>
                </v:shape>
                <w10:anchorlock/>
              </v:group>
            </w:pict>
          </mc:Fallback>
        </mc:AlternateContent>
      </w:r>
      <w:r>
        <w:rPr>
          <w:rFonts w:ascii="Arial"/>
          <w:position w:val="8"/>
          <w:sz w:val="20"/>
        </w:rPr>
        <w:tab/>
      </w:r>
      <w:r>
        <w:rPr>
          <w:rFonts w:ascii="Arial"/>
          <w:noProof/>
          <w:position w:val="6"/>
          <w:sz w:val="20"/>
          <w:lang w:val="en-AU" w:eastAsia="en-AU"/>
        </w:rPr>
        <w:drawing>
          <wp:inline distT="0" distB="0" distL="0" distR="0">
            <wp:extent cx="356097" cy="308038"/>
            <wp:effectExtent l="0" t="0" r="0" b="0"/>
            <wp:docPr id="2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1.png"/>
                    <pic:cNvPicPr/>
                  </pic:nvPicPr>
                  <pic:blipFill>
                    <a:blip r:embed="rId216" cstate="print"/>
                    <a:stretch>
                      <a:fillRect/>
                    </a:stretch>
                  </pic:blipFill>
                  <pic:spPr>
                    <a:xfrm>
                      <a:off x="0" y="0"/>
                      <a:ext cx="356097" cy="308038"/>
                    </a:xfrm>
                    <a:prstGeom prst="rect">
                      <a:avLst/>
                    </a:prstGeom>
                  </pic:spPr>
                </pic:pic>
              </a:graphicData>
            </a:graphic>
          </wp:inline>
        </w:drawing>
      </w:r>
      <w:r>
        <w:rPr>
          <w:rFonts w:ascii="Arial"/>
          <w:position w:val="6"/>
          <w:sz w:val="20"/>
        </w:rPr>
        <w:tab/>
      </w:r>
      <w:r>
        <w:rPr>
          <w:rFonts w:ascii="Arial"/>
          <w:noProof/>
          <w:position w:val="15"/>
          <w:sz w:val="20"/>
          <w:lang w:val="en-AU" w:eastAsia="en-AU"/>
        </w:rPr>
        <mc:AlternateContent>
          <mc:Choice Requires="wpg">
            <w:drawing>
              <wp:inline distT="0" distB="0" distL="0" distR="0">
                <wp:extent cx="295275" cy="144145"/>
                <wp:effectExtent l="1905" t="8255" r="7620" b="0"/>
                <wp:docPr id="29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144145"/>
                          <a:chOff x="0" y="0"/>
                          <a:chExt cx="465" cy="227"/>
                        </a:xfrm>
                      </wpg:grpSpPr>
                      <wps:wsp>
                        <wps:cNvPr id="292" name="AutoShape 148"/>
                        <wps:cNvSpPr>
                          <a:spLocks/>
                        </wps:cNvSpPr>
                        <wps:spPr bwMode="auto">
                          <a:xfrm>
                            <a:off x="0" y="0"/>
                            <a:ext cx="465" cy="227"/>
                          </a:xfrm>
                          <a:custGeom>
                            <a:avLst/>
                            <a:gdLst>
                              <a:gd name="T0" fmla="*/ 0 w 465"/>
                              <a:gd name="T1" fmla="*/ 113 h 227"/>
                              <a:gd name="T2" fmla="*/ 114 w 465"/>
                              <a:gd name="T3" fmla="*/ 212 h 227"/>
                              <a:gd name="T4" fmla="*/ 101 w 465"/>
                              <a:gd name="T5" fmla="*/ 197 h 227"/>
                              <a:gd name="T6" fmla="*/ 13 w 465"/>
                              <a:gd name="T7" fmla="*/ 118 h 227"/>
                              <a:gd name="T8" fmla="*/ 22 w 465"/>
                              <a:gd name="T9" fmla="*/ 109 h 227"/>
                              <a:gd name="T10" fmla="*/ 101 w 465"/>
                              <a:gd name="T11" fmla="*/ 15 h 227"/>
                              <a:gd name="T12" fmla="*/ 114 w 465"/>
                              <a:gd name="T13" fmla="*/ 0 h 227"/>
                              <a:gd name="T14" fmla="*/ 101 w 465"/>
                              <a:gd name="T15" fmla="*/ 212 h 227"/>
                              <a:gd name="T16" fmla="*/ 101 w 465"/>
                              <a:gd name="T17" fmla="*/ 197 h 227"/>
                              <a:gd name="T18" fmla="*/ 101 w 465"/>
                              <a:gd name="T19" fmla="*/ 157 h 227"/>
                              <a:gd name="T20" fmla="*/ 112 w 465"/>
                              <a:gd name="T21" fmla="*/ 208 h 227"/>
                              <a:gd name="T22" fmla="*/ 114 w 465"/>
                              <a:gd name="T23" fmla="*/ 212 h 227"/>
                              <a:gd name="T24" fmla="*/ 107 w 465"/>
                              <a:gd name="T25" fmla="*/ 169 h 227"/>
                              <a:gd name="T26" fmla="*/ 452 w 465"/>
                              <a:gd name="T27" fmla="*/ 163 h 227"/>
                              <a:gd name="T28" fmla="*/ 114 w 465"/>
                              <a:gd name="T29" fmla="*/ 163 h 227"/>
                              <a:gd name="T30" fmla="*/ 114 w 465"/>
                              <a:gd name="T31" fmla="*/ 169 h 227"/>
                              <a:gd name="T32" fmla="*/ 465 w 465"/>
                              <a:gd name="T33" fmla="*/ 157 h 227"/>
                              <a:gd name="T34" fmla="*/ 452 w 465"/>
                              <a:gd name="T35" fmla="*/ 163 h 227"/>
                              <a:gd name="T36" fmla="*/ 114 w 465"/>
                              <a:gd name="T37" fmla="*/ 169 h 227"/>
                              <a:gd name="T38" fmla="*/ 465 w 465"/>
                              <a:gd name="T39" fmla="*/ 157 h 227"/>
                              <a:gd name="T40" fmla="*/ 452 w 465"/>
                              <a:gd name="T41" fmla="*/ 163 h 227"/>
                              <a:gd name="T42" fmla="*/ 465 w 465"/>
                              <a:gd name="T43" fmla="*/ 157 h 227"/>
                              <a:gd name="T44" fmla="*/ 459 w 465"/>
                              <a:gd name="T45" fmla="*/ 70 h 227"/>
                              <a:gd name="T46" fmla="*/ 13 w 465"/>
                              <a:gd name="T47" fmla="*/ 109 h 227"/>
                              <a:gd name="T48" fmla="*/ 17 w 465"/>
                              <a:gd name="T49" fmla="*/ 113 h 227"/>
                              <a:gd name="T50" fmla="*/ 17 w 465"/>
                              <a:gd name="T51" fmla="*/ 113 h 227"/>
                              <a:gd name="T52" fmla="*/ 22 w 465"/>
                              <a:gd name="T53" fmla="*/ 118 h 227"/>
                              <a:gd name="T54" fmla="*/ 22 w 465"/>
                              <a:gd name="T55" fmla="*/ 109 h 227"/>
                              <a:gd name="T56" fmla="*/ 17 w 465"/>
                              <a:gd name="T57" fmla="*/ 113 h 227"/>
                              <a:gd name="T58" fmla="*/ 114 w 465"/>
                              <a:gd name="T59" fmla="*/ 15 h 227"/>
                              <a:gd name="T60" fmla="*/ 112 w 465"/>
                              <a:gd name="T61" fmla="*/ 19 h 227"/>
                              <a:gd name="T62" fmla="*/ 101 w 465"/>
                              <a:gd name="T63" fmla="*/ 70 h 227"/>
                              <a:gd name="T64" fmla="*/ 452 w 465"/>
                              <a:gd name="T65" fmla="*/ 64 h 227"/>
                              <a:gd name="T66" fmla="*/ 107 w 465"/>
                              <a:gd name="T67" fmla="*/ 58 h 227"/>
                              <a:gd name="T68" fmla="*/ 114 w 465"/>
                              <a:gd name="T69" fmla="*/ 15 h 227"/>
                              <a:gd name="T70" fmla="*/ 114 w 465"/>
                              <a:gd name="T71" fmla="*/ 58 h 227"/>
                              <a:gd name="T72" fmla="*/ 452 w 465"/>
                              <a:gd name="T73" fmla="*/ 64 h 227"/>
                              <a:gd name="T74" fmla="*/ 465 w 465"/>
                              <a:gd name="T75" fmla="*/ 70 h 227"/>
                              <a:gd name="T76" fmla="*/ 114 w 465"/>
                              <a:gd name="T77" fmla="*/ 58 h 227"/>
                              <a:gd name="T78" fmla="*/ 114 w 465"/>
                              <a:gd name="T79" fmla="*/ 64 h 227"/>
                              <a:gd name="T80" fmla="*/ 101 w 465"/>
                              <a:gd name="T81" fmla="*/ 15 h 227"/>
                              <a:gd name="T82" fmla="*/ 112 w 465"/>
                              <a:gd name="T83" fmla="*/ 19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65" h="227">
                                <a:moveTo>
                                  <a:pt x="114" y="0"/>
                                </a:moveTo>
                                <a:lnTo>
                                  <a:pt x="0" y="113"/>
                                </a:lnTo>
                                <a:lnTo>
                                  <a:pt x="114" y="227"/>
                                </a:lnTo>
                                <a:lnTo>
                                  <a:pt x="114" y="212"/>
                                </a:lnTo>
                                <a:lnTo>
                                  <a:pt x="101" y="212"/>
                                </a:lnTo>
                                <a:lnTo>
                                  <a:pt x="101" y="197"/>
                                </a:lnTo>
                                <a:lnTo>
                                  <a:pt x="22" y="118"/>
                                </a:lnTo>
                                <a:lnTo>
                                  <a:pt x="13" y="118"/>
                                </a:lnTo>
                                <a:lnTo>
                                  <a:pt x="13" y="109"/>
                                </a:lnTo>
                                <a:lnTo>
                                  <a:pt x="22" y="109"/>
                                </a:lnTo>
                                <a:lnTo>
                                  <a:pt x="101" y="30"/>
                                </a:lnTo>
                                <a:lnTo>
                                  <a:pt x="101" y="15"/>
                                </a:lnTo>
                                <a:lnTo>
                                  <a:pt x="114" y="15"/>
                                </a:lnTo>
                                <a:lnTo>
                                  <a:pt x="114" y="0"/>
                                </a:lnTo>
                                <a:close/>
                                <a:moveTo>
                                  <a:pt x="101" y="197"/>
                                </a:moveTo>
                                <a:lnTo>
                                  <a:pt x="101" y="212"/>
                                </a:lnTo>
                                <a:lnTo>
                                  <a:pt x="112" y="208"/>
                                </a:lnTo>
                                <a:lnTo>
                                  <a:pt x="101" y="197"/>
                                </a:lnTo>
                                <a:close/>
                                <a:moveTo>
                                  <a:pt x="452" y="157"/>
                                </a:moveTo>
                                <a:lnTo>
                                  <a:pt x="101" y="157"/>
                                </a:lnTo>
                                <a:lnTo>
                                  <a:pt x="101" y="197"/>
                                </a:lnTo>
                                <a:lnTo>
                                  <a:pt x="112" y="208"/>
                                </a:lnTo>
                                <a:lnTo>
                                  <a:pt x="101" y="212"/>
                                </a:lnTo>
                                <a:lnTo>
                                  <a:pt x="114" y="212"/>
                                </a:lnTo>
                                <a:lnTo>
                                  <a:pt x="114" y="169"/>
                                </a:lnTo>
                                <a:lnTo>
                                  <a:pt x="107" y="169"/>
                                </a:lnTo>
                                <a:lnTo>
                                  <a:pt x="114" y="163"/>
                                </a:lnTo>
                                <a:lnTo>
                                  <a:pt x="452" y="163"/>
                                </a:lnTo>
                                <a:lnTo>
                                  <a:pt x="452" y="157"/>
                                </a:lnTo>
                                <a:close/>
                                <a:moveTo>
                                  <a:pt x="114" y="163"/>
                                </a:moveTo>
                                <a:lnTo>
                                  <a:pt x="107" y="169"/>
                                </a:lnTo>
                                <a:lnTo>
                                  <a:pt x="114" y="169"/>
                                </a:lnTo>
                                <a:lnTo>
                                  <a:pt x="114" y="163"/>
                                </a:lnTo>
                                <a:close/>
                                <a:moveTo>
                                  <a:pt x="465" y="157"/>
                                </a:moveTo>
                                <a:lnTo>
                                  <a:pt x="459" y="157"/>
                                </a:lnTo>
                                <a:lnTo>
                                  <a:pt x="452" y="163"/>
                                </a:lnTo>
                                <a:lnTo>
                                  <a:pt x="114" y="163"/>
                                </a:lnTo>
                                <a:lnTo>
                                  <a:pt x="114" y="169"/>
                                </a:lnTo>
                                <a:lnTo>
                                  <a:pt x="465" y="169"/>
                                </a:lnTo>
                                <a:lnTo>
                                  <a:pt x="465" y="157"/>
                                </a:lnTo>
                                <a:close/>
                                <a:moveTo>
                                  <a:pt x="452" y="64"/>
                                </a:moveTo>
                                <a:lnTo>
                                  <a:pt x="452" y="163"/>
                                </a:lnTo>
                                <a:lnTo>
                                  <a:pt x="459" y="157"/>
                                </a:lnTo>
                                <a:lnTo>
                                  <a:pt x="465" y="157"/>
                                </a:lnTo>
                                <a:lnTo>
                                  <a:pt x="465" y="70"/>
                                </a:lnTo>
                                <a:lnTo>
                                  <a:pt x="459" y="70"/>
                                </a:lnTo>
                                <a:lnTo>
                                  <a:pt x="452" y="64"/>
                                </a:lnTo>
                                <a:close/>
                                <a:moveTo>
                                  <a:pt x="13" y="109"/>
                                </a:moveTo>
                                <a:lnTo>
                                  <a:pt x="13" y="118"/>
                                </a:lnTo>
                                <a:lnTo>
                                  <a:pt x="17" y="113"/>
                                </a:lnTo>
                                <a:lnTo>
                                  <a:pt x="13" y="109"/>
                                </a:lnTo>
                                <a:close/>
                                <a:moveTo>
                                  <a:pt x="17" y="113"/>
                                </a:moveTo>
                                <a:lnTo>
                                  <a:pt x="13" y="118"/>
                                </a:lnTo>
                                <a:lnTo>
                                  <a:pt x="22" y="118"/>
                                </a:lnTo>
                                <a:lnTo>
                                  <a:pt x="17" y="113"/>
                                </a:lnTo>
                                <a:close/>
                                <a:moveTo>
                                  <a:pt x="22" y="109"/>
                                </a:moveTo>
                                <a:lnTo>
                                  <a:pt x="13" y="109"/>
                                </a:lnTo>
                                <a:lnTo>
                                  <a:pt x="17" y="113"/>
                                </a:lnTo>
                                <a:lnTo>
                                  <a:pt x="22" y="109"/>
                                </a:lnTo>
                                <a:close/>
                                <a:moveTo>
                                  <a:pt x="114" y="15"/>
                                </a:moveTo>
                                <a:lnTo>
                                  <a:pt x="101" y="15"/>
                                </a:lnTo>
                                <a:lnTo>
                                  <a:pt x="112" y="19"/>
                                </a:lnTo>
                                <a:lnTo>
                                  <a:pt x="101" y="30"/>
                                </a:lnTo>
                                <a:lnTo>
                                  <a:pt x="101" y="70"/>
                                </a:lnTo>
                                <a:lnTo>
                                  <a:pt x="452" y="70"/>
                                </a:lnTo>
                                <a:lnTo>
                                  <a:pt x="452" y="64"/>
                                </a:lnTo>
                                <a:lnTo>
                                  <a:pt x="114" y="64"/>
                                </a:lnTo>
                                <a:lnTo>
                                  <a:pt x="107" y="58"/>
                                </a:lnTo>
                                <a:lnTo>
                                  <a:pt x="114" y="58"/>
                                </a:lnTo>
                                <a:lnTo>
                                  <a:pt x="114" y="15"/>
                                </a:lnTo>
                                <a:close/>
                                <a:moveTo>
                                  <a:pt x="465" y="58"/>
                                </a:moveTo>
                                <a:lnTo>
                                  <a:pt x="114" y="58"/>
                                </a:lnTo>
                                <a:lnTo>
                                  <a:pt x="114" y="64"/>
                                </a:lnTo>
                                <a:lnTo>
                                  <a:pt x="452" y="64"/>
                                </a:lnTo>
                                <a:lnTo>
                                  <a:pt x="459" y="70"/>
                                </a:lnTo>
                                <a:lnTo>
                                  <a:pt x="465" y="70"/>
                                </a:lnTo>
                                <a:lnTo>
                                  <a:pt x="465" y="58"/>
                                </a:lnTo>
                                <a:close/>
                                <a:moveTo>
                                  <a:pt x="114" y="58"/>
                                </a:moveTo>
                                <a:lnTo>
                                  <a:pt x="107" y="58"/>
                                </a:lnTo>
                                <a:lnTo>
                                  <a:pt x="114" y="64"/>
                                </a:lnTo>
                                <a:lnTo>
                                  <a:pt x="114" y="58"/>
                                </a:lnTo>
                                <a:close/>
                                <a:moveTo>
                                  <a:pt x="101" y="15"/>
                                </a:moveTo>
                                <a:lnTo>
                                  <a:pt x="101" y="30"/>
                                </a:lnTo>
                                <a:lnTo>
                                  <a:pt x="112" y="19"/>
                                </a:lnTo>
                                <a:lnTo>
                                  <a:pt x="101" y="15"/>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8F80A06" id="Group 147" o:spid="_x0000_s1026" style="width:23.25pt;height:11.35pt;mso-position-horizontal-relative:char;mso-position-vertical-relative:line" coordsize="46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">
                <v:shape id="AutoShape 148" o:spid="_x0000_s1027" style="position:absolute;width:465;height:227;visibility:visible;mso-wrap-style:square;v-text-anchor:top" coordsize="46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" path="m114,l,113,114,227r,-15l101,212r,-15l22,118r-9,l13,109r9,l101,30r,-15l114,15,114,xm101,197r,15l112,208,101,197xm452,157r-351,l101,197r11,11l101,212r13,l114,169r-7,l114,163r338,l452,157xm114,163r-7,6l114,169r,-6xm465,157r-6,l452,163r-338,l114,169r351,l465,157xm452,64r,99l459,157r6,l465,70r-6,l452,64xm13,109r,9l17,113r-4,-4xm17,113r-4,5l22,118r-5,-5xm22,109r-9,l17,113r5,-4xm114,15r-13,l112,19,101,30r,40l452,70r,-6l114,64r-7,-6l114,58r,-43xm465,58r-351,l114,64r338,l459,70r6,l465,58xm114,58r-7,l114,64r,-6xm101,15r,15l112,19,101,15xe" fillcolor="#001f5f" stroked="f">
                  <v:path arrowok="t" o:connecttype="custom" o:connectlocs="0,113;114,212;101,197;13,118;22,109;101,15;114,0;101,212;101,197;101,157;112,208;114,212;107,169;452,163;114,163;114,169;465,157;452,163;114,169;465,157;452,163;465,157;459,70;13,109;17,113;17,113;22,118;22,109;17,113;114,15;112,19;101,70;452,64;107,58;114,15;114,58;452,64;465,70;114,58;114,64;101,15;112,19" o:connectangles="0,0,0,0,0,0,0,0,0,0,0,0,0,0,0,0,0,0,0,0,0,0,0,0,0,0,0,0,0,0,0,0,0,0,0,0,0,0,0,0,0,0"/>
                </v:shape>
                <w10:anchorlock/>
              </v:group>
            </w:pict>
          </mc:Fallback>
        </mc:AlternateContent>
      </w:r>
      <w:r>
        <w:rPr>
          <w:rFonts w:ascii="Times New Roman"/>
          <w:spacing w:val="59"/>
          <w:position w:val="15"/>
          <w:sz w:val="20"/>
        </w:rPr>
        <w:t xml:space="preserve"> </w:t>
      </w:r>
      <w:r>
        <w:rPr>
          <w:rFonts w:ascii="Arial"/>
          <w:noProof/>
          <w:spacing w:val="59"/>
          <w:sz w:val="20"/>
          <w:lang w:val="en-AU" w:eastAsia="en-AU"/>
        </w:rPr>
        <w:drawing>
          <wp:inline distT="0" distB="0" distL="0" distR="0">
            <wp:extent cx="377488" cy="376237"/>
            <wp:effectExtent l="0" t="0" r="0" b="0"/>
            <wp:docPr id="2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2.png"/>
                    <pic:cNvPicPr/>
                  </pic:nvPicPr>
                  <pic:blipFill>
                    <a:blip r:embed="rId217" cstate="print"/>
                    <a:stretch>
                      <a:fillRect/>
                    </a:stretch>
                  </pic:blipFill>
                  <pic:spPr>
                    <a:xfrm>
                      <a:off x="0" y="0"/>
                      <a:ext cx="377488" cy="376237"/>
                    </a:xfrm>
                    <a:prstGeom prst="rect">
                      <a:avLst/>
                    </a:prstGeom>
                  </pic:spPr>
                </pic:pic>
              </a:graphicData>
            </a:graphic>
          </wp:inline>
        </w:drawing>
      </w:r>
    </w:p>
    <w:p w:rsidR="007D76BB" w:rsidRDefault="007D76BB">
      <w:pPr>
        <w:rPr>
          <w:rFonts w:ascii="Arial"/>
          <w:sz w:val="20"/>
        </w:rPr>
        <w:sectPr w:rsidR="007D76BB">
          <w:pgSz w:w="11910" w:h="16850"/>
          <w:pgMar w:top="820" w:right="820" w:bottom="740" w:left="1220" w:header="459" w:footer="546" w:gutter="0"/>
          <w:cols w:space="720"/>
        </w:sectPr>
      </w:pPr>
    </w:p>
    <w:p w:rsidR="007D76BB" w:rsidRDefault="007D76BB">
      <w:pPr>
        <w:pStyle w:val="BodyText"/>
        <w:rPr>
          <w:rFonts w:ascii="Arial"/>
          <w:sz w:val="16"/>
        </w:rPr>
      </w:pPr>
    </w:p>
    <w:p w:rsidR="007D76BB" w:rsidRDefault="007D76BB">
      <w:pPr>
        <w:pStyle w:val="BodyText"/>
        <w:rPr>
          <w:rFonts w:ascii="Arial"/>
          <w:sz w:val="16"/>
        </w:rPr>
      </w:pPr>
    </w:p>
    <w:p w:rsidR="007D76BB" w:rsidRDefault="007D76BB">
      <w:pPr>
        <w:pStyle w:val="BodyText"/>
        <w:rPr>
          <w:rFonts w:ascii="Arial"/>
          <w:sz w:val="16"/>
        </w:rPr>
      </w:pPr>
    </w:p>
    <w:p w:rsidR="007D76BB" w:rsidRDefault="007D76BB">
      <w:pPr>
        <w:pStyle w:val="BodyText"/>
        <w:rPr>
          <w:rFonts w:ascii="Arial"/>
          <w:sz w:val="16"/>
        </w:rPr>
      </w:pPr>
    </w:p>
    <w:p w:rsidR="007D76BB" w:rsidRDefault="007D76BB">
      <w:pPr>
        <w:pStyle w:val="BodyText"/>
        <w:rPr>
          <w:rFonts w:ascii="Arial"/>
          <w:sz w:val="16"/>
        </w:rPr>
      </w:pPr>
    </w:p>
    <w:p w:rsidR="007D76BB" w:rsidRDefault="007D76BB">
      <w:pPr>
        <w:pStyle w:val="BodyText"/>
        <w:rPr>
          <w:rFonts w:ascii="Arial"/>
          <w:sz w:val="16"/>
        </w:rPr>
      </w:pPr>
    </w:p>
    <w:p w:rsidR="007D76BB" w:rsidRDefault="007D76BB">
      <w:pPr>
        <w:pStyle w:val="BodyText"/>
        <w:rPr>
          <w:rFonts w:ascii="Arial"/>
          <w:sz w:val="16"/>
        </w:rPr>
      </w:pPr>
    </w:p>
    <w:p w:rsidR="007D76BB" w:rsidRDefault="00D70D28">
      <w:pPr>
        <w:spacing w:before="103"/>
        <w:ind w:left="1134"/>
        <w:rPr>
          <w:rFonts w:ascii="Arial"/>
          <w:sz w:val="12"/>
        </w:rPr>
      </w:pPr>
      <w:r>
        <w:rPr>
          <w:noProof/>
          <w:lang w:val="en-AU" w:eastAsia="en-AU"/>
        </w:rPr>
        <w:drawing>
          <wp:anchor distT="0" distB="0" distL="0" distR="0" simplePos="0" relativeHeight="251745280" behindDoc="0" locked="0" layoutInCell="1" allowOverlap="1">
            <wp:simplePos x="0" y="0"/>
            <wp:positionH relativeFrom="page">
              <wp:posOffset>1102610</wp:posOffset>
            </wp:positionH>
            <wp:positionV relativeFrom="paragraph">
              <wp:posOffset>-1707023</wp:posOffset>
            </wp:positionV>
            <wp:extent cx="1660577" cy="1647948"/>
            <wp:effectExtent l="0" t="0" r="0" b="0"/>
            <wp:wrapNone/>
            <wp:docPr id="3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3.png"/>
                    <pic:cNvPicPr/>
                  </pic:nvPicPr>
                  <pic:blipFill>
                    <a:blip r:embed="rId218" cstate="print"/>
                    <a:stretch>
                      <a:fillRect/>
                    </a:stretch>
                  </pic:blipFill>
                  <pic:spPr>
                    <a:xfrm>
                      <a:off x="0" y="0"/>
                      <a:ext cx="1660577" cy="1647948"/>
                    </a:xfrm>
                    <a:prstGeom prst="rect">
                      <a:avLst/>
                    </a:prstGeom>
                  </pic:spPr>
                </pic:pic>
              </a:graphicData>
            </a:graphic>
          </wp:anchor>
        </w:drawing>
      </w:r>
      <w:r>
        <w:rPr>
          <w:rFonts w:ascii="Arial"/>
          <w:color w:val="001F5F"/>
          <w:w w:val="105"/>
          <w:sz w:val="12"/>
        </w:rPr>
        <w:t>Australian consumers</w:t>
      </w:r>
    </w:p>
    <w:p w:rsidR="007D76BB" w:rsidRDefault="00D70D28">
      <w:pPr>
        <w:pStyle w:val="BodyText"/>
        <w:spacing w:before="9"/>
        <w:rPr>
          <w:rFonts w:ascii="Arial"/>
          <w:sz w:val="18"/>
        </w:rPr>
      </w:pPr>
      <w:r>
        <w:br w:type="column"/>
      </w:r>
    </w:p>
    <w:p w:rsidR="007D76BB" w:rsidRDefault="00D70D28">
      <w:pPr>
        <w:tabs>
          <w:tab w:val="left" w:pos="706"/>
        </w:tabs>
        <w:ind w:left="-80"/>
        <w:rPr>
          <w:rFonts w:ascii="Arial"/>
          <w:sz w:val="20"/>
        </w:rPr>
      </w:pPr>
      <w:r>
        <w:rPr>
          <w:rFonts w:ascii="Arial"/>
          <w:noProof/>
          <w:position w:val="29"/>
          <w:sz w:val="20"/>
          <w:lang w:val="en-AU" w:eastAsia="en-AU"/>
        </w:rPr>
        <mc:AlternateContent>
          <mc:Choice Requires="wpg">
            <w:drawing>
              <wp:inline distT="0" distB="0" distL="0" distR="0">
                <wp:extent cx="290830" cy="160020"/>
                <wp:effectExtent l="7620" t="2540" r="6350" b="0"/>
                <wp:docPr id="28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30" cy="160020"/>
                          <a:chOff x="0" y="0"/>
                          <a:chExt cx="458" cy="252"/>
                        </a:xfrm>
                      </wpg:grpSpPr>
                      <wps:wsp>
                        <wps:cNvPr id="290" name="AutoShape 146"/>
                        <wps:cNvSpPr>
                          <a:spLocks/>
                        </wps:cNvSpPr>
                        <wps:spPr bwMode="auto">
                          <a:xfrm>
                            <a:off x="0" y="0"/>
                            <a:ext cx="458" cy="252"/>
                          </a:xfrm>
                          <a:custGeom>
                            <a:avLst/>
                            <a:gdLst>
                              <a:gd name="T0" fmla="*/ 94 w 458"/>
                              <a:gd name="T1" fmla="*/ 154 h 252"/>
                              <a:gd name="T2" fmla="*/ 428 w 458"/>
                              <a:gd name="T3" fmla="*/ 251 h 252"/>
                              <a:gd name="T4" fmla="*/ 420 w 458"/>
                              <a:gd name="T5" fmla="*/ 244 h 252"/>
                              <a:gd name="T6" fmla="*/ 113 w 458"/>
                              <a:gd name="T7" fmla="*/ 154 h 252"/>
                              <a:gd name="T8" fmla="*/ 420 w 458"/>
                              <a:gd name="T9" fmla="*/ 244 h 252"/>
                              <a:gd name="T10" fmla="*/ 421 w 458"/>
                              <a:gd name="T11" fmla="*/ 239 h 252"/>
                              <a:gd name="T12" fmla="*/ 421 w 458"/>
                              <a:gd name="T13" fmla="*/ 239 h 252"/>
                              <a:gd name="T14" fmla="*/ 420 w 458"/>
                              <a:gd name="T15" fmla="*/ 244 h 252"/>
                              <a:gd name="T16" fmla="*/ 455 w 458"/>
                              <a:gd name="T17" fmla="*/ 155 h 252"/>
                              <a:gd name="T18" fmla="*/ 445 w 458"/>
                              <a:gd name="T19" fmla="*/ 154 h 252"/>
                              <a:gd name="T20" fmla="*/ 0 w 458"/>
                              <a:gd name="T21" fmla="*/ 77 h 252"/>
                              <a:gd name="T22" fmla="*/ 81 w 458"/>
                              <a:gd name="T23" fmla="*/ 199 h 252"/>
                              <a:gd name="T24" fmla="*/ 74 w 458"/>
                              <a:gd name="T25" fmla="*/ 187 h 252"/>
                              <a:gd name="T26" fmla="*/ 10 w 458"/>
                              <a:gd name="T27" fmla="*/ 84 h 252"/>
                              <a:gd name="T28" fmla="*/ 22 w 458"/>
                              <a:gd name="T29" fmla="*/ 77 h 252"/>
                              <a:gd name="T30" fmla="*/ 123 w 458"/>
                              <a:gd name="T31" fmla="*/ 9 h 252"/>
                              <a:gd name="T32" fmla="*/ 136 w 458"/>
                              <a:gd name="T33" fmla="*/ 0 h 252"/>
                              <a:gd name="T34" fmla="*/ 71 w 458"/>
                              <a:gd name="T35" fmla="*/ 199 h 252"/>
                              <a:gd name="T36" fmla="*/ 74 w 458"/>
                              <a:gd name="T37" fmla="*/ 187 h 252"/>
                              <a:gd name="T38" fmla="*/ 74 w 458"/>
                              <a:gd name="T39" fmla="*/ 187 h 252"/>
                              <a:gd name="T40" fmla="*/ 71 w 458"/>
                              <a:gd name="T41" fmla="*/ 199 h 252"/>
                              <a:gd name="T42" fmla="*/ 92 w 458"/>
                              <a:gd name="T43" fmla="*/ 159 h 252"/>
                              <a:gd name="T44" fmla="*/ 94 w 458"/>
                              <a:gd name="T45" fmla="*/ 154 h 252"/>
                              <a:gd name="T46" fmla="*/ 85 w 458"/>
                              <a:gd name="T47" fmla="*/ 146 h 252"/>
                              <a:gd name="T48" fmla="*/ 88 w 458"/>
                              <a:gd name="T49" fmla="*/ 158 h 252"/>
                              <a:gd name="T50" fmla="*/ 94 w 458"/>
                              <a:gd name="T51" fmla="*/ 154 h 252"/>
                              <a:gd name="T52" fmla="*/ 445 w 458"/>
                              <a:gd name="T53" fmla="*/ 154 h 252"/>
                              <a:gd name="T54" fmla="*/ 446 w 458"/>
                              <a:gd name="T55" fmla="*/ 149 h 252"/>
                              <a:gd name="T56" fmla="*/ 446 w 458"/>
                              <a:gd name="T57" fmla="*/ 149 h 252"/>
                              <a:gd name="T58" fmla="*/ 455 w 458"/>
                              <a:gd name="T59" fmla="*/ 155 h 252"/>
                              <a:gd name="T60" fmla="*/ 134 w 458"/>
                              <a:gd name="T61" fmla="*/ 9 h 252"/>
                              <a:gd name="T62" fmla="*/ 131 w 458"/>
                              <a:gd name="T63" fmla="*/ 15 h 252"/>
                              <a:gd name="T64" fmla="*/ 109 w 458"/>
                              <a:gd name="T65" fmla="*/ 62 h 252"/>
                              <a:gd name="T66" fmla="*/ 446 w 458"/>
                              <a:gd name="T67" fmla="*/ 149 h 252"/>
                              <a:gd name="T68" fmla="*/ 457 w 458"/>
                              <a:gd name="T69" fmla="*/ 147 h 252"/>
                              <a:gd name="T70" fmla="*/ 120 w 458"/>
                              <a:gd name="T71" fmla="*/ 59 h 252"/>
                              <a:gd name="T72" fmla="*/ 122 w 458"/>
                              <a:gd name="T73" fmla="*/ 53 h 252"/>
                              <a:gd name="T74" fmla="*/ 12 w 458"/>
                              <a:gd name="T75" fmla="*/ 77 h 252"/>
                              <a:gd name="T76" fmla="*/ 14 w 458"/>
                              <a:gd name="T77" fmla="*/ 81 h 252"/>
                              <a:gd name="T78" fmla="*/ 14 w 458"/>
                              <a:gd name="T79" fmla="*/ 81 h 252"/>
                              <a:gd name="T80" fmla="*/ 15 w 458"/>
                              <a:gd name="T81" fmla="*/ 84 h 252"/>
                              <a:gd name="T82" fmla="*/ 22 w 458"/>
                              <a:gd name="T83" fmla="*/ 77 h 252"/>
                              <a:gd name="T84" fmla="*/ 14 w 458"/>
                              <a:gd name="T85" fmla="*/ 81 h 252"/>
                              <a:gd name="T86" fmla="*/ 116 w 458"/>
                              <a:gd name="T87" fmla="*/ 53 h 252"/>
                              <a:gd name="T88" fmla="*/ 121 w 458"/>
                              <a:gd name="T89" fmla="*/ 54 h 252"/>
                              <a:gd name="T90" fmla="*/ 121 w 458"/>
                              <a:gd name="T91" fmla="*/ 54 h 252"/>
                              <a:gd name="T92" fmla="*/ 139 w 458"/>
                              <a:gd name="T93" fmla="*/ 59 h 252"/>
                              <a:gd name="T94" fmla="*/ 122 w 458"/>
                              <a:gd name="T95" fmla="*/ 53 h 252"/>
                              <a:gd name="T96" fmla="*/ 121 w 458"/>
                              <a:gd name="T97" fmla="*/ 54 h 252"/>
                              <a:gd name="T98" fmla="*/ 123 w 458"/>
                              <a:gd name="T99" fmla="*/ 9 h 252"/>
                              <a:gd name="T100" fmla="*/ 131 w 458"/>
                              <a:gd name="T101" fmla="*/ 15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58" h="252">
                                <a:moveTo>
                                  <a:pt x="113" y="154"/>
                                </a:moveTo>
                                <a:lnTo>
                                  <a:pt x="94" y="154"/>
                                </a:lnTo>
                                <a:lnTo>
                                  <a:pt x="92" y="159"/>
                                </a:lnTo>
                                <a:lnTo>
                                  <a:pt x="428" y="251"/>
                                </a:lnTo>
                                <a:lnTo>
                                  <a:pt x="431" y="244"/>
                                </a:lnTo>
                                <a:lnTo>
                                  <a:pt x="420" y="244"/>
                                </a:lnTo>
                                <a:lnTo>
                                  <a:pt x="421" y="239"/>
                                </a:lnTo>
                                <a:lnTo>
                                  <a:pt x="113" y="154"/>
                                </a:lnTo>
                                <a:close/>
                                <a:moveTo>
                                  <a:pt x="421" y="239"/>
                                </a:moveTo>
                                <a:lnTo>
                                  <a:pt x="420" y="244"/>
                                </a:lnTo>
                                <a:lnTo>
                                  <a:pt x="426" y="240"/>
                                </a:lnTo>
                                <a:lnTo>
                                  <a:pt x="421" y="239"/>
                                </a:lnTo>
                                <a:close/>
                                <a:moveTo>
                                  <a:pt x="445" y="154"/>
                                </a:moveTo>
                                <a:lnTo>
                                  <a:pt x="421" y="239"/>
                                </a:lnTo>
                                <a:lnTo>
                                  <a:pt x="426" y="240"/>
                                </a:lnTo>
                                <a:lnTo>
                                  <a:pt x="420" y="244"/>
                                </a:lnTo>
                                <a:lnTo>
                                  <a:pt x="431" y="244"/>
                                </a:lnTo>
                                <a:lnTo>
                                  <a:pt x="455" y="155"/>
                                </a:lnTo>
                                <a:lnTo>
                                  <a:pt x="450" y="155"/>
                                </a:lnTo>
                                <a:lnTo>
                                  <a:pt x="445" y="154"/>
                                </a:lnTo>
                                <a:close/>
                                <a:moveTo>
                                  <a:pt x="136" y="0"/>
                                </a:moveTo>
                                <a:lnTo>
                                  <a:pt x="0" y="77"/>
                                </a:lnTo>
                                <a:lnTo>
                                  <a:pt x="77" y="214"/>
                                </a:lnTo>
                                <a:lnTo>
                                  <a:pt x="81" y="199"/>
                                </a:lnTo>
                                <a:lnTo>
                                  <a:pt x="71" y="199"/>
                                </a:lnTo>
                                <a:lnTo>
                                  <a:pt x="74" y="187"/>
                                </a:lnTo>
                                <a:lnTo>
                                  <a:pt x="15" y="84"/>
                                </a:lnTo>
                                <a:lnTo>
                                  <a:pt x="10" y="84"/>
                                </a:lnTo>
                                <a:lnTo>
                                  <a:pt x="12" y="77"/>
                                </a:lnTo>
                                <a:lnTo>
                                  <a:pt x="22" y="77"/>
                                </a:lnTo>
                                <a:lnTo>
                                  <a:pt x="120" y="21"/>
                                </a:lnTo>
                                <a:lnTo>
                                  <a:pt x="123" y="9"/>
                                </a:lnTo>
                                <a:lnTo>
                                  <a:pt x="134" y="9"/>
                                </a:lnTo>
                                <a:lnTo>
                                  <a:pt x="136" y="0"/>
                                </a:lnTo>
                                <a:close/>
                                <a:moveTo>
                                  <a:pt x="74" y="187"/>
                                </a:moveTo>
                                <a:lnTo>
                                  <a:pt x="71" y="199"/>
                                </a:lnTo>
                                <a:lnTo>
                                  <a:pt x="80" y="198"/>
                                </a:lnTo>
                                <a:lnTo>
                                  <a:pt x="74" y="187"/>
                                </a:lnTo>
                                <a:close/>
                                <a:moveTo>
                                  <a:pt x="85" y="146"/>
                                </a:moveTo>
                                <a:lnTo>
                                  <a:pt x="74" y="187"/>
                                </a:lnTo>
                                <a:lnTo>
                                  <a:pt x="80" y="198"/>
                                </a:lnTo>
                                <a:lnTo>
                                  <a:pt x="71" y="199"/>
                                </a:lnTo>
                                <a:lnTo>
                                  <a:pt x="81" y="199"/>
                                </a:lnTo>
                                <a:lnTo>
                                  <a:pt x="92" y="159"/>
                                </a:lnTo>
                                <a:lnTo>
                                  <a:pt x="88" y="158"/>
                                </a:lnTo>
                                <a:lnTo>
                                  <a:pt x="94" y="154"/>
                                </a:lnTo>
                                <a:lnTo>
                                  <a:pt x="113" y="154"/>
                                </a:lnTo>
                                <a:lnTo>
                                  <a:pt x="85" y="146"/>
                                </a:lnTo>
                                <a:close/>
                                <a:moveTo>
                                  <a:pt x="94" y="154"/>
                                </a:moveTo>
                                <a:lnTo>
                                  <a:pt x="88" y="158"/>
                                </a:lnTo>
                                <a:lnTo>
                                  <a:pt x="92" y="159"/>
                                </a:lnTo>
                                <a:lnTo>
                                  <a:pt x="94" y="154"/>
                                </a:lnTo>
                                <a:close/>
                                <a:moveTo>
                                  <a:pt x="446" y="149"/>
                                </a:moveTo>
                                <a:lnTo>
                                  <a:pt x="445" y="154"/>
                                </a:lnTo>
                                <a:lnTo>
                                  <a:pt x="450" y="155"/>
                                </a:lnTo>
                                <a:lnTo>
                                  <a:pt x="446" y="149"/>
                                </a:lnTo>
                                <a:close/>
                                <a:moveTo>
                                  <a:pt x="457" y="149"/>
                                </a:moveTo>
                                <a:lnTo>
                                  <a:pt x="446" y="149"/>
                                </a:lnTo>
                                <a:lnTo>
                                  <a:pt x="450" y="155"/>
                                </a:lnTo>
                                <a:lnTo>
                                  <a:pt x="455" y="155"/>
                                </a:lnTo>
                                <a:lnTo>
                                  <a:pt x="457" y="149"/>
                                </a:lnTo>
                                <a:close/>
                                <a:moveTo>
                                  <a:pt x="134" y="9"/>
                                </a:moveTo>
                                <a:lnTo>
                                  <a:pt x="123" y="9"/>
                                </a:lnTo>
                                <a:lnTo>
                                  <a:pt x="131" y="15"/>
                                </a:lnTo>
                                <a:lnTo>
                                  <a:pt x="120" y="21"/>
                                </a:lnTo>
                                <a:lnTo>
                                  <a:pt x="109" y="62"/>
                                </a:lnTo>
                                <a:lnTo>
                                  <a:pt x="445" y="154"/>
                                </a:lnTo>
                                <a:lnTo>
                                  <a:pt x="446" y="149"/>
                                </a:lnTo>
                                <a:lnTo>
                                  <a:pt x="457" y="149"/>
                                </a:lnTo>
                                <a:lnTo>
                                  <a:pt x="457" y="147"/>
                                </a:lnTo>
                                <a:lnTo>
                                  <a:pt x="139" y="59"/>
                                </a:lnTo>
                                <a:lnTo>
                                  <a:pt x="120" y="59"/>
                                </a:lnTo>
                                <a:lnTo>
                                  <a:pt x="116" y="53"/>
                                </a:lnTo>
                                <a:lnTo>
                                  <a:pt x="122" y="53"/>
                                </a:lnTo>
                                <a:lnTo>
                                  <a:pt x="134" y="9"/>
                                </a:lnTo>
                                <a:close/>
                                <a:moveTo>
                                  <a:pt x="12" y="77"/>
                                </a:moveTo>
                                <a:lnTo>
                                  <a:pt x="10" y="84"/>
                                </a:lnTo>
                                <a:lnTo>
                                  <a:pt x="14" y="81"/>
                                </a:lnTo>
                                <a:lnTo>
                                  <a:pt x="12" y="77"/>
                                </a:lnTo>
                                <a:close/>
                                <a:moveTo>
                                  <a:pt x="14" y="81"/>
                                </a:moveTo>
                                <a:lnTo>
                                  <a:pt x="10" y="84"/>
                                </a:lnTo>
                                <a:lnTo>
                                  <a:pt x="15" y="84"/>
                                </a:lnTo>
                                <a:lnTo>
                                  <a:pt x="14" y="81"/>
                                </a:lnTo>
                                <a:close/>
                                <a:moveTo>
                                  <a:pt x="22" y="77"/>
                                </a:moveTo>
                                <a:lnTo>
                                  <a:pt x="12" y="77"/>
                                </a:lnTo>
                                <a:lnTo>
                                  <a:pt x="14" y="81"/>
                                </a:lnTo>
                                <a:lnTo>
                                  <a:pt x="22" y="77"/>
                                </a:lnTo>
                                <a:close/>
                                <a:moveTo>
                                  <a:pt x="116" y="53"/>
                                </a:moveTo>
                                <a:lnTo>
                                  <a:pt x="120" y="59"/>
                                </a:lnTo>
                                <a:lnTo>
                                  <a:pt x="121" y="54"/>
                                </a:lnTo>
                                <a:lnTo>
                                  <a:pt x="116" y="53"/>
                                </a:lnTo>
                                <a:close/>
                                <a:moveTo>
                                  <a:pt x="121" y="54"/>
                                </a:moveTo>
                                <a:lnTo>
                                  <a:pt x="120" y="59"/>
                                </a:lnTo>
                                <a:lnTo>
                                  <a:pt x="139" y="59"/>
                                </a:lnTo>
                                <a:lnTo>
                                  <a:pt x="121" y="54"/>
                                </a:lnTo>
                                <a:close/>
                                <a:moveTo>
                                  <a:pt x="122" y="53"/>
                                </a:moveTo>
                                <a:lnTo>
                                  <a:pt x="116" y="53"/>
                                </a:lnTo>
                                <a:lnTo>
                                  <a:pt x="121" y="54"/>
                                </a:lnTo>
                                <a:lnTo>
                                  <a:pt x="122" y="53"/>
                                </a:lnTo>
                                <a:close/>
                                <a:moveTo>
                                  <a:pt x="123" y="9"/>
                                </a:moveTo>
                                <a:lnTo>
                                  <a:pt x="120" y="21"/>
                                </a:lnTo>
                                <a:lnTo>
                                  <a:pt x="131" y="15"/>
                                </a:lnTo>
                                <a:lnTo>
                                  <a:pt x="123" y="9"/>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FABE21A" id="Group 145" o:spid="_x0000_s1026" style="width:22.9pt;height:12.6pt;mso-position-horizontal-relative:char;mso-position-vertical-relative:line" coordsize="45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">
                <v:shape id="AutoShape 146" o:spid="_x0000_s1027" style="position:absolute;width:458;height:252;visibility:visible;mso-wrap-style:square;v-text-anchor:top" coordsize="45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" path="m113,154r-19,l92,159r336,92l431,244r-11,l421,239,113,154xm421,239r-1,5l426,240r-5,-1xm445,154r-24,85l426,240r-6,4l431,244r24,-89l450,155r-5,-1xm136,l,77,77,214r4,-15l71,199r3,-12l15,84r-5,l12,77r10,l120,21,123,9r11,l136,xm74,187r-3,12l80,198,74,187xm85,146l74,187r6,11l71,199r10,l92,159r-4,-1l94,154r19,l85,146xm94,154r-6,4l92,159r2,-5xm446,149r-1,5l450,155r-4,-6xm457,149r-11,l450,155r5,l457,149xm134,9r-11,l131,15r-11,6l109,62r336,92l446,149r11,l457,147,139,59r-19,l116,53r6,l134,9xm12,77r-2,7l14,81,12,77xm14,81r-4,3l15,84,14,81xm22,77r-10,l14,81r8,-4xm116,53r4,6l121,54r-5,-1xm121,54r-1,5l139,59,121,54xm122,53r-6,l121,54r1,-1xm123,9r-3,12l131,15,123,9xe" fillcolor="#001f5f" stroked="f">
                  <v:path arrowok="t" o:connecttype="custom" o:connectlocs="94,154;428,251;420,244;113,154;420,244;421,239;421,239;420,244;455,155;445,154;0,77;81,199;74,187;10,84;22,77;123,9;136,0;71,199;74,187;74,187;71,199;92,159;94,154;85,146;88,158;94,154;445,154;446,149;446,149;455,155;134,9;131,15;109,62;446,149;457,147;120,59;122,53;12,77;14,81;14,81;15,84;22,77;14,81;116,53;121,54;121,54;139,59;122,53;121,54;123,9;131,15" o:connectangles="0,0,0,0,0,0,0,0,0,0,0,0,0,0,0,0,0,0,0,0,0,0,0,0,0,0,0,0,0,0,0,0,0,0,0,0,0,0,0,0,0,0,0,0,0,0,0,0,0,0,0"/>
                </v:shape>
                <w10:anchorlock/>
              </v:group>
            </w:pict>
          </mc:Fallback>
        </mc:AlternateContent>
      </w:r>
      <w:r>
        <w:rPr>
          <w:rFonts w:ascii="Arial"/>
          <w:position w:val="29"/>
          <w:sz w:val="20"/>
        </w:rPr>
        <w:tab/>
      </w:r>
      <w:r>
        <w:rPr>
          <w:rFonts w:ascii="Arial"/>
          <w:noProof/>
          <w:sz w:val="20"/>
          <w:lang w:val="en-AU" w:eastAsia="en-AU"/>
        </w:rPr>
        <w:drawing>
          <wp:inline distT="0" distB="0" distL="0" distR="0">
            <wp:extent cx="359105" cy="338137"/>
            <wp:effectExtent l="0" t="0" r="0" b="0"/>
            <wp:docPr id="3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4.png"/>
                    <pic:cNvPicPr/>
                  </pic:nvPicPr>
                  <pic:blipFill>
                    <a:blip r:embed="rId219" cstate="print"/>
                    <a:stretch>
                      <a:fillRect/>
                    </a:stretch>
                  </pic:blipFill>
                  <pic:spPr>
                    <a:xfrm>
                      <a:off x="0" y="0"/>
                      <a:ext cx="359105" cy="338137"/>
                    </a:xfrm>
                    <a:prstGeom prst="rect">
                      <a:avLst/>
                    </a:prstGeom>
                  </pic:spPr>
                </pic:pic>
              </a:graphicData>
            </a:graphic>
          </wp:inline>
        </w:drawing>
      </w:r>
    </w:p>
    <w:p w:rsidR="007D76BB" w:rsidRDefault="007D76BB">
      <w:pPr>
        <w:pStyle w:val="BodyText"/>
        <w:spacing w:before="9"/>
        <w:rPr>
          <w:rFonts w:ascii="Arial"/>
          <w:sz w:val="5"/>
        </w:rPr>
      </w:pPr>
    </w:p>
    <w:p w:rsidR="007D76BB" w:rsidRDefault="00D70D28">
      <w:pPr>
        <w:tabs>
          <w:tab w:val="left" w:pos="706"/>
        </w:tabs>
        <w:ind w:left="-60"/>
        <w:rPr>
          <w:rFonts w:ascii="Arial"/>
          <w:sz w:val="20"/>
        </w:rPr>
      </w:pPr>
      <w:r>
        <w:rPr>
          <w:rFonts w:ascii="Arial"/>
          <w:noProof/>
          <w:position w:val="20"/>
          <w:sz w:val="20"/>
          <w:lang w:val="en-AU" w:eastAsia="en-AU"/>
        </w:rPr>
        <mc:AlternateContent>
          <mc:Choice Requires="wpg">
            <w:drawing>
              <wp:inline distT="0" distB="0" distL="0" distR="0">
                <wp:extent cx="281305" cy="185420"/>
                <wp:effectExtent l="1270" t="1905" r="3175" b="3175"/>
                <wp:docPr id="287"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185420"/>
                          <a:chOff x="0" y="0"/>
                          <a:chExt cx="443" cy="292"/>
                        </a:xfrm>
                      </wpg:grpSpPr>
                      <wps:wsp>
                        <wps:cNvPr id="288" name="AutoShape 144"/>
                        <wps:cNvSpPr>
                          <a:spLocks/>
                        </wps:cNvSpPr>
                        <wps:spPr bwMode="auto">
                          <a:xfrm>
                            <a:off x="0" y="0"/>
                            <a:ext cx="443" cy="292"/>
                          </a:xfrm>
                          <a:custGeom>
                            <a:avLst/>
                            <a:gdLst>
                              <a:gd name="T0" fmla="*/ 81 w 443"/>
                              <a:gd name="T1" fmla="*/ 146 h 292"/>
                              <a:gd name="T2" fmla="*/ 398 w 443"/>
                              <a:gd name="T3" fmla="*/ 292 h 292"/>
                              <a:gd name="T4" fmla="*/ 391 w 443"/>
                              <a:gd name="T5" fmla="*/ 283 h 292"/>
                              <a:gd name="T6" fmla="*/ 94 w 443"/>
                              <a:gd name="T7" fmla="*/ 146 h 292"/>
                              <a:gd name="T8" fmla="*/ 391 w 443"/>
                              <a:gd name="T9" fmla="*/ 283 h 292"/>
                              <a:gd name="T10" fmla="*/ 393 w 443"/>
                              <a:gd name="T11" fmla="*/ 278 h 292"/>
                              <a:gd name="T12" fmla="*/ 393 w 443"/>
                              <a:gd name="T13" fmla="*/ 278 h 292"/>
                              <a:gd name="T14" fmla="*/ 391 w 443"/>
                              <a:gd name="T15" fmla="*/ 283 h 292"/>
                              <a:gd name="T16" fmla="*/ 439 w 443"/>
                              <a:gd name="T17" fmla="*/ 200 h 292"/>
                              <a:gd name="T18" fmla="*/ 429 w 443"/>
                              <a:gd name="T19" fmla="*/ 198 h 292"/>
                              <a:gd name="T20" fmla="*/ 0 w 443"/>
                              <a:gd name="T21" fmla="*/ 57 h 292"/>
                              <a:gd name="T22" fmla="*/ 63 w 443"/>
                              <a:gd name="T23" fmla="*/ 187 h 292"/>
                              <a:gd name="T24" fmla="*/ 52 w 443"/>
                              <a:gd name="T25" fmla="*/ 187 h 292"/>
                              <a:gd name="T26" fmla="*/ 14 w 443"/>
                              <a:gd name="T27" fmla="*/ 64 h 292"/>
                              <a:gd name="T28" fmla="*/ 11 w 443"/>
                              <a:gd name="T29" fmla="*/ 58 h 292"/>
                              <a:gd name="T30" fmla="*/ 127 w 443"/>
                              <a:gd name="T31" fmla="*/ 19 h 292"/>
                              <a:gd name="T32" fmla="*/ 143 w 443"/>
                              <a:gd name="T33" fmla="*/ 7 h 292"/>
                              <a:gd name="T34" fmla="*/ 431 w 443"/>
                              <a:gd name="T35" fmla="*/ 193 h 292"/>
                              <a:gd name="T36" fmla="*/ 433 w 443"/>
                              <a:gd name="T37" fmla="*/ 200 h 292"/>
                              <a:gd name="T38" fmla="*/ 442 w 443"/>
                              <a:gd name="T39" fmla="*/ 193 h 292"/>
                              <a:gd name="T40" fmla="*/ 433 w 443"/>
                              <a:gd name="T41" fmla="*/ 200 h 292"/>
                              <a:gd name="T42" fmla="*/ 442 w 443"/>
                              <a:gd name="T43" fmla="*/ 193 h 292"/>
                              <a:gd name="T44" fmla="*/ 132 w 443"/>
                              <a:gd name="T45" fmla="*/ 7 h 292"/>
                              <a:gd name="T46" fmla="*/ 127 w 443"/>
                              <a:gd name="T47" fmla="*/ 19 h 292"/>
                              <a:gd name="T48" fmla="*/ 429 w 443"/>
                              <a:gd name="T49" fmla="*/ 198 h 292"/>
                              <a:gd name="T50" fmla="*/ 442 w 443"/>
                              <a:gd name="T51" fmla="*/ 193 h 292"/>
                              <a:gd name="T52" fmla="*/ 134 w 443"/>
                              <a:gd name="T53" fmla="*/ 56 h 292"/>
                              <a:gd name="T54" fmla="*/ 119 w 443"/>
                              <a:gd name="T55" fmla="*/ 50 h 292"/>
                              <a:gd name="T56" fmla="*/ 143 w 443"/>
                              <a:gd name="T57" fmla="*/ 7 h 292"/>
                              <a:gd name="T58" fmla="*/ 52 w 443"/>
                              <a:gd name="T59" fmla="*/ 187 h 292"/>
                              <a:gd name="T60" fmla="*/ 57 w 443"/>
                              <a:gd name="T61" fmla="*/ 176 h 292"/>
                              <a:gd name="T62" fmla="*/ 57 w 443"/>
                              <a:gd name="T63" fmla="*/ 176 h 292"/>
                              <a:gd name="T64" fmla="*/ 63 w 443"/>
                              <a:gd name="T65" fmla="*/ 187 h 292"/>
                              <a:gd name="T66" fmla="*/ 75 w 443"/>
                              <a:gd name="T67" fmla="*/ 149 h 292"/>
                              <a:gd name="T68" fmla="*/ 94 w 443"/>
                              <a:gd name="T69" fmla="*/ 146 h 292"/>
                              <a:gd name="T70" fmla="*/ 81 w 443"/>
                              <a:gd name="T71" fmla="*/ 146 h 292"/>
                              <a:gd name="T72" fmla="*/ 79 w 443"/>
                              <a:gd name="T73" fmla="*/ 151 h 292"/>
                              <a:gd name="T74" fmla="*/ 11 w 443"/>
                              <a:gd name="T75" fmla="*/ 58 h 292"/>
                              <a:gd name="T76" fmla="*/ 13 w 443"/>
                              <a:gd name="T77" fmla="*/ 62 h 292"/>
                              <a:gd name="T78" fmla="*/ 13 w 443"/>
                              <a:gd name="T79" fmla="*/ 62 h 292"/>
                              <a:gd name="T80" fmla="*/ 14 w 443"/>
                              <a:gd name="T81" fmla="*/ 64 h 292"/>
                              <a:gd name="T82" fmla="*/ 26 w 443"/>
                              <a:gd name="T83" fmla="*/ 58 h 292"/>
                              <a:gd name="T84" fmla="*/ 13 w 443"/>
                              <a:gd name="T85" fmla="*/ 62 h 292"/>
                              <a:gd name="T86" fmla="*/ 119 w 443"/>
                              <a:gd name="T87" fmla="*/ 50 h 292"/>
                              <a:gd name="T88" fmla="*/ 123 w 443"/>
                              <a:gd name="T89" fmla="*/ 52 h 292"/>
                              <a:gd name="T90" fmla="*/ 123 w 443"/>
                              <a:gd name="T91" fmla="*/ 52 h 292"/>
                              <a:gd name="T92" fmla="*/ 134 w 443"/>
                              <a:gd name="T93" fmla="*/ 56 h 292"/>
                              <a:gd name="T94" fmla="*/ 124 w 443"/>
                              <a:gd name="T95" fmla="*/ 50 h 292"/>
                              <a:gd name="T96" fmla="*/ 123 w 443"/>
                              <a:gd name="T97" fmla="*/ 52 h 292"/>
                              <a:gd name="T98" fmla="*/ 132 w 443"/>
                              <a:gd name="T99" fmla="*/ 7 h 292"/>
                              <a:gd name="T100" fmla="*/ 138 w 443"/>
                              <a:gd name="T101" fmla="*/ 14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43" h="292">
                                <a:moveTo>
                                  <a:pt x="94" y="146"/>
                                </a:moveTo>
                                <a:lnTo>
                                  <a:pt x="81" y="146"/>
                                </a:lnTo>
                                <a:lnTo>
                                  <a:pt x="79" y="151"/>
                                </a:lnTo>
                                <a:lnTo>
                                  <a:pt x="398" y="292"/>
                                </a:lnTo>
                                <a:lnTo>
                                  <a:pt x="402" y="283"/>
                                </a:lnTo>
                                <a:lnTo>
                                  <a:pt x="391" y="283"/>
                                </a:lnTo>
                                <a:lnTo>
                                  <a:pt x="393" y="278"/>
                                </a:lnTo>
                                <a:lnTo>
                                  <a:pt x="94" y="146"/>
                                </a:lnTo>
                                <a:close/>
                                <a:moveTo>
                                  <a:pt x="393" y="278"/>
                                </a:moveTo>
                                <a:lnTo>
                                  <a:pt x="391" y="283"/>
                                </a:lnTo>
                                <a:lnTo>
                                  <a:pt x="398" y="280"/>
                                </a:lnTo>
                                <a:lnTo>
                                  <a:pt x="393" y="278"/>
                                </a:lnTo>
                                <a:close/>
                                <a:moveTo>
                                  <a:pt x="429" y="198"/>
                                </a:moveTo>
                                <a:lnTo>
                                  <a:pt x="393" y="278"/>
                                </a:lnTo>
                                <a:lnTo>
                                  <a:pt x="398" y="280"/>
                                </a:lnTo>
                                <a:lnTo>
                                  <a:pt x="391" y="283"/>
                                </a:lnTo>
                                <a:lnTo>
                                  <a:pt x="402" y="283"/>
                                </a:lnTo>
                                <a:lnTo>
                                  <a:pt x="439" y="200"/>
                                </a:lnTo>
                                <a:lnTo>
                                  <a:pt x="433" y="200"/>
                                </a:lnTo>
                                <a:lnTo>
                                  <a:pt x="429" y="198"/>
                                </a:lnTo>
                                <a:close/>
                                <a:moveTo>
                                  <a:pt x="146" y="0"/>
                                </a:moveTo>
                                <a:lnTo>
                                  <a:pt x="0" y="57"/>
                                </a:lnTo>
                                <a:lnTo>
                                  <a:pt x="57" y="203"/>
                                </a:lnTo>
                                <a:lnTo>
                                  <a:pt x="63" y="187"/>
                                </a:lnTo>
                                <a:lnTo>
                                  <a:pt x="62" y="187"/>
                                </a:lnTo>
                                <a:lnTo>
                                  <a:pt x="52" y="187"/>
                                </a:lnTo>
                                <a:lnTo>
                                  <a:pt x="57" y="176"/>
                                </a:lnTo>
                                <a:lnTo>
                                  <a:pt x="14" y="64"/>
                                </a:lnTo>
                                <a:lnTo>
                                  <a:pt x="8" y="64"/>
                                </a:lnTo>
                                <a:lnTo>
                                  <a:pt x="11" y="58"/>
                                </a:lnTo>
                                <a:lnTo>
                                  <a:pt x="26" y="58"/>
                                </a:lnTo>
                                <a:lnTo>
                                  <a:pt x="127" y="19"/>
                                </a:lnTo>
                                <a:lnTo>
                                  <a:pt x="132" y="7"/>
                                </a:lnTo>
                                <a:lnTo>
                                  <a:pt x="143" y="7"/>
                                </a:lnTo>
                                <a:lnTo>
                                  <a:pt x="146" y="0"/>
                                </a:lnTo>
                                <a:close/>
                                <a:moveTo>
                                  <a:pt x="431" y="193"/>
                                </a:moveTo>
                                <a:lnTo>
                                  <a:pt x="429" y="198"/>
                                </a:lnTo>
                                <a:lnTo>
                                  <a:pt x="433" y="200"/>
                                </a:lnTo>
                                <a:lnTo>
                                  <a:pt x="431" y="193"/>
                                </a:lnTo>
                                <a:close/>
                                <a:moveTo>
                                  <a:pt x="442" y="193"/>
                                </a:moveTo>
                                <a:lnTo>
                                  <a:pt x="431" y="193"/>
                                </a:lnTo>
                                <a:lnTo>
                                  <a:pt x="433" y="200"/>
                                </a:lnTo>
                                <a:lnTo>
                                  <a:pt x="439" y="200"/>
                                </a:lnTo>
                                <a:lnTo>
                                  <a:pt x="442" y="193"/>
                                </a:lnTo>
                                <a:close/>
                                <a:moveTo>
                                  <a:pt x="143" y="7"/>
                                </a:moveTo>
                                <a:lnTo>
                                  <a:pt x="132" y="7"/>
                                </a:lnTo>
                                <a:lnTo>
                                  <a:pt x="138" y="14"/>
                                </a:lnTo>
                                <a:lnTo>
                                  <a:pt x="127" y="19"/>
                                </a:lnTo>
                                <a:lnTo>
                                  <a:pt x="110" y="57"/>
                                </a:lnTo>
                                <a:lnTo>
                                  <a:pt x="429" y="198"/>
                                </a:lnTo>
                                <a:lnTo>
                                  <a:pt x="431" y="193"/>
                                </a:lnTo>
                                <a:lnTo>
                                  <a:pt x="442" y="193"/>
                                </a:lnTo>
                                <a:lnTo>
                                  <a:pt x="442" y="192"/>
                                </a:lnTo>
                                <a:lnTo>
                                  <a:pt x="134" y="56"/>
                                </a:lnTo>
                                <a:lnTo>
                                  <a:pt x="121" y="56"/>
                                </a:lnTo>
                                <a:lnTo>
                                  <a:pt x="119" y="50"/>
                                </a:lnTo>
                                <a:lnTo>
                                  <a:pt x="124" y="50"/>
                                </a:lnTo>
                                <a:lnTo>
                                  <a:pt x="143" y="7"/>
                                </a:lnTo>
                                <a:close/>
                                <a:moveTo>
                                  <a:pt x="57" y="176"/>
                                </a:moveTo>
                                <a:lnTo>
                                  <a:pt x="52" y="187"/>
                                </a:lnTo>
                                <a:lnTo>
                                  <a:pt x="62" y="187"/>
                                </a:lnTo>
                                <a:lnTo>
                                  <a:pt x="57" y="176"/>
                                </a:lnTo>
                                <a:close/>
                                <a:moveTo>
                                  <a:pt x="74" y="137"/>
                                </a:moveTo>
                                <a:lnTo>
                                  <a:pt x="57" y="176"/>
                                </a:lnTo>
                                <a:lnTo>
                                  <a:pt x="62" y="187"/>
                                </a:lnTo>
                                <a:lnTo>
                                  <a:pt x="63" y="187"/>
                                </a:lnTo>
                                <a:lnTo>
                                  <a:pt x="79" y="151"/>
                                </a:lnTo>
                                <a:lnTo>
                                  <a:pt x="75" y="149"/>
                                </a:lnTo>
                                <a:lnTo>
                                  <a:pt x="81" y="146"/>
                                </a:lnTo>
                                <a:lnTo>
                                  <a:pt x="94" y="146"/>
                                </a:lnTo>
                                <a:lnTo>
                                  <a:pt x="74" y="137"/>
                                </a:lnTo>
                                <a:close/>
                                <a:moveTo>
                                  <a:pt x="81" y="146"/>
                                </a:moveTo>
                                <a:lnTo>
                                  <a:pt x="75" y="149"/>
                                </a:lnTo>
                                <a:lnTo>
                                  <a:pt x="79" y="151"/>
                                </a:lnTo>
                                <a:lnTo>
                                  <a:pt x="81" y="146"/>
                                </a:lnTo>
                                <a:close/>
                                <a:moveTo>
                                  <a:pt x="11" y="58"/>
                                </a:moveTo>
                                <a:lnTo>
                                  <a:pt x="8" y="64"/>
                                </a:lnTo>
                                <a:lnTo>
                                  <a:pt x="13" y="62"/>
                                </a:lnTo>
                                <a:lnTo>
                                  <a:pt x="11" y="58"/>
                                </a:lnTo>
                                <a:close/>
                                <a:moveTo>
                                  <a:pt x="13" y="62"/>
                                </a:moveTo>
                                <a:lnTo>
                                  <a:pt x="8" y="64"/>
                                </a:lnTo>
                                <a:lnTo>
                                  <a:pt x="14" y="64"/>
                                </a:lnTo>
                                <a:lnTo>
                                  <a:pt x="13" y="62"/>
                                </a:lnTo>
                                <a:close/>
                                <a:moveTo>
                                  <a:pt x="26" y="58"/>
                                </a:moveTo>
                                <a:lnTo>
                                  <a:pt x="11" y="58"/>
                                </a:lnTo>
                                <a:lnTo>
                                  <a:pt x="13" y="62"/>
                                </a:lnTo>
                                <a:lnTo>
                                  <a:pt x="26" y="58"/>
                                </a:lnTo>
                                <a:close/>
                                <a:moveTo>
                                  <a:pt x="119" y="50"/>
                                </a:moveTo>
                                <a:lnTo>
                                  <a:pt x="121" y="56"/>
                                </a:lnTo>
                                <a:lnTo>
                                  <a:pt x="123" y="52"/>
                                </a:lnTo>
                                <a:lnTo>
                                  <a:pt x="119" y="50"/>
                                </a:lnTo>
                                <a:close/>
                                <a:moveTo>
                                  <a:pt x="123" y="52"/>
                                </a:moveTo>
                                <a:lnTo>
                                  <a:pt x="121" y="56"/>
                                </a:lnTo>
                                <a:lnTo>
                                  <a:pt x="134" y="56"/>
                                </a:lnTo>
                                <a:lnTo>
                                  <a:pt x="123" y="52"/>
                                </a:lnTo>
                                <a:close/>
                                <a:moveTo>
                                  <a:pt x="124" y="50"/>
                                </a:moveTo>
                                <a:lnTo>
                                  <a:pt x="119" y="50"/>
                                </a:lnTo>
                                <a:lnTo>
                                  <a:pt x="123" y="52"/>
                                </a:lnTo>
                                <a:lnTo>
                                  <a:pt x="124" y="50"/>
                                </a:lnTo>
                                <a:close/>
                                <a:moveTo>
                                  <a:pt x="132" y="7"/>
                                </a:moveTo>
                                <a:lnTo>
                                  <a:pt x="127" y="19"/>
                                </a:lnTo>
                                <a:lnTo>
                                  <a:pt x="138" y="14"/>
                                </a:lnTo>
                                <a:lnTo>
                                  <a:pt x="132" y="7"/>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550DB2D" id="Group 143" o:spid="_x0000_s1026" style="width:22.15pt;height:14.6pt;mso-position-horizontal-relative:char;mso-position-vertical-relative:line" coordsize="443,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">
                <v:shape id="AutoShape 144" o:spid="_x0000_s1027" style="position:absolute;width:443;height:292;visibility:visible;mso-wrap-style:square;v-text-anchor:top" coordsize="44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" path="m94,146r-13,l79,151,398,292r4,-9l391,283r2,-5l94,146xm393,278r-2,5l398,280r-5,-2xm429,198r-36,80l398,280r-7,3l402,283r37,-83l433,200r-4,-2xm146,l,57,57,203r6,-16l62,187r-10,l57,176,14,64r-6,l11,58r15,l127,19,132,7r11,l146,xm431,193r-2,5l433,200r-2,-7xm442,193r-11,l433,200r6,l442,193xm143,7r-11,l138,14r-11,5l110,57,429,198r2,-5l442,193r,-1l134,56r-13,l119,50r5,l143,7xm57,176r-5,11l62,187,57,176xm74,137l57,176r5,11l63,187,79,151r-4,-2l81,146r13,l74,137xm81,146r-6,3l79,151r2,-5xm11,58l8,64r5,-2l11,58xm13,62l8,64r6,l13,62xm26,58r-15,l13,62,26,58xm119,50r2,6l123,52r-4,-2xm123,52r-2,4l134,56,123,52xm124,50r-5,l123,52r1,-2xm132,7r-5,12l138,14,132,7xe" fillcolor="#001f5f" stroked="f">
                  <v:path arrowok="t" o:connecttype="custom" o:connectlocs="81,146;398,292;391,283;94,146;391,283;393,278;393,278;391,283;439,200;429,198;0,57;63,187;52,187;14,64;11,58;127,19;143,7;431,193;433,200;442,193;433,200;442,193;132,7;127,19;429,198;442,193;134,56;119,50;143,7;52,187;57,176;57,176;63,187;75,149;94,146;81,146;79,151;11,58;13,62;13,62;14,64;26,58;13,62;119,50;123,52;123,52;134,56;124,50;123,52;132,7;138,14" o:connectangles="0,0,0,0,0,0,0,0,0,0,0,0,0,0,0,0,0,0,0,0,0,0,0,0,0,0,0,0,0,0,0,0,0,0,0,0,0,0,0,0,0,0,0,0,0,0,0,0,0,0,0"/>
                </v:shape>
                <w10:anchorlock/>
              </v:group>
            </w:pict>
          </mc:Fallback>
        </mc:AlternateContent>
      </w:r>
      <w:r>
        <w:rPr>
          <w:rFonts w:ascii="Arial"/>
          <w:position w:val="20"/>
          <w:sz w:val="20"/>
        </w:rPr>
        <w:tab/>
      </w:r>
      <w:r>
        <w:rPr>
          <w:rFonts w:ascii="Arial"/>
          <w:noProof/>
          <w:sz w:val="20"/>
          <w:lang w:val="en-AU" w:eastAsia="en-AU"/>
        </w:rPr>
        <w:drawing>
          <wp:inline distT="0" distB="0" distL="0" distR="0">
            <wp:extent cx="359105" cy="338137"/>
            <wp:effectExtent l="0" t="0" r="0" b="0"/>
            <wp:docPr id="3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4.png"/>
                    <pic:cNvPicPr/>
                  </pic:nvPicPr>
                  <pic:blipFill>
                    <a:blip r:embed="rId219" cstate="print"/>
                    <a:stretch>
                      <a:fillRect/>
                    </a:stretch>
                  </pic:blipFill>
                  <pic:spPr>
                    <a:xfrm>
                      <a:off x="0" y="0"/>
                      <a:ext cx="359105" cy="338137"/>
                    </a:xfrm>
                    <a:prstGeom prst="rect">
                      <a:avLst/>
                    </a:prstGeom>
                  </pic:spPr>
                </pic:pic>
              </a:graphicData>
            </a:graphic>
          </wp:inline>
        </w:drawing>
      </w:r>
    </w:p>
    <w:p w:rsidR="007D76BB" w:rsidRDefault="00D70D28">
      <w:pPr>
        <w:spacing w:before="94" w:line="256" w:lineRule="auto"/>
        <w:ind w:left="516" w:right="38"/>
        <w:jc w:val="both"/>
        <w:rPr>
          <w:rFonts w:ascii="Arial" w:hAnsi="Arial"/>
          <w:sz w:val="12"/>
        </w:rPr>
      </w:pPr>
      <w:r>
        <w:rPr>
          <w:noProof/>
          <w:lang w:val="en-AU" w:eastAsia="en-AU"/>
        </w:rPr>
        <w:drawing>
          <wp:anchor distT="0" distB="0" distL="0" distR="0" simplePos="0" relativeHeight="251742208" behindDoc="0" locked="0" layoutInCell="1" allowOverlap="1">
            <wp:simplePos x="0" y="0"/>
            <wp:positionH relativeFrom="page">
              <wp:posOffset>3440645</wp:posOffset>
            </wp:positionH>
            <wp:positionV relativeFrom="paragraph">
              <wp:posOffset>-1187928</wp:posOffset>
            </wp:positionV>
            <wp:extent cx="358768" cy="337820"/>
            <wp:effectExtent l="0" t="0" r="0" b="0"/>
            <wp:wrapNone/>
            <wp:docPr id="3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4.png"/>
                    <pic:cNvPicPr/>
                  </pic:nvPicPr>
                  <pic:blipFill>
                    <a:blip r:embed="rId219" cstate="print"/>
                    <a:stretch>
                      <a:fillRect/>
                    </a:stretch>
                  </pic:blipFill>
                  <pic:spPr>
                    <a:xfrm>
                      <a:off x="0" y="0"/>
                      <a:ext cx="358768" cy="337820"/>
                    </a:xfrm>
                    <a:prstGeom prst="rect">
                      <a:avLst/>
                    </a:prstGeom>
                  </pic:spPr>
                </pic:pic>
              </a:graphicData>
            </a:graphic>
          </wp:anchor>
        </w:drawing>
      </w:r>
      <w:r>
        <w:rPr>
          <w:noProof/>
          <w:lang w:val="en-AU" w:eastAsia="en-AU"/>
        </w:rPr>
        <mc:AlternateContent>
          <mc:Choice Requires="wps">
            <w:drawing>
              <wp:anchor distT="0" distB="0" distL="114300" distR="114300" simplePos="0" relativeHeight="251743232" behindDoc="0" locked="0" layoutInCell="1" allowOverlap="1">
                <wp:simplePos x="0" y="0"/>
                <wp:positionH relativeFrom="page">
                  <wp:posOffset>4086225</wp:posOffset>
                </wp:positionH>
                <wp:positionV relativeFrom="paragraph">
                  <wp:posOffset>-709295</wp:posOffset>
                </wp:positionV>
                <wp:extent cx="294005" cy="139065"/>
                <wp:effectExtent l="0" t="0" r="0" b="0"/>
                <wp:wrapNone/>
                <wp:docPr id="286"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005" cy="139065"/>
                        </a:xfrm>
                        <a:custGeom>
                          <a:avLst/>
                          <a:gdLst>
                            <a:gd name="T0" fmla="+- 0 6435 6435"/>
                            <a:gd name="T1" fmla="*/ T0 w 463"/>
                            <a:gd name="T2" fmla="+- 0 -991 -1117"/>
                            <a:gd name="T3" fmla="*/ -991 h 219"/>
                            <a:gd name="T4" fmla="+- 0 6560 6435"/>
                            <a:gd name="T5" fmla="*/ T4 w 463"/>
                            <a:gd name="T6" fmla="+- 0 -909 -1117"/>
                            <a:gd name="T7" fmla="*/ -909 h 219"/>
                            <a:gd name="T8" fmla="+- 0 6547 6435"/>
                            <a:gd name="T9" fmla="*/ T8 w 463"/>
                            <a:gd name="T10" fmla="+- 0 -921 -1117"/>
                            <a:gd name="T11" fmla="*/ -921 h 219"/>
                            <a:gd name="T12" fmla="+- 0 6446 6435"/>
                            <a:gd name="T13" fmla="*/ T12 w 463"/>
                            <a:gd name="T14" fmla="+- 0 -989 -1117"/>
                            <a:gd name="T15" fmla="*/ -989 h 219"/>
                            <a:gd name="T16" fmla="+- 0 6452 6435"/>
                            <a:gd name="T17" fmla="*/ T16 w 463"/>
                            <a:gd name="T18" fmla="+- 0 -996 -1117"/>
                            <a:gd name="T19" fmla="*/ -996 h 219"/>
                            <a:gd name="T20" fmla="+- 0 6520 6435"/>
                            <a:gd name="T21" fmla="*/ T20 w 463"/>
                            <a:gd name="T22" fmla="+- 0 -1103 -1117"/>
                            <a:gd name="T23" fmla="*/ -1103 h 219"/>
                            <a:gd name="T24" fmla="+- 0 6528 6435"/>
                            <a:gd name="T25" fmla="*/ T24 w 463"/>
                            <a:gd name="T26" fmla="+- 0 -1117 -1117"/>
                            <a:gd name="T27" fmla="*/ -1117 h 219"/>
                            <a:gd name="T28" fmla="+- 0 6549 6435"/>
                            <a:gd name="T29" fmla="*/ T28 w 463"/>
                            <a:gd name="T30" fmla="+- 0 -909 -1117"/>
                            <a:gd name="T31" fmla="*/ -909 h 219"/>
                            <a:gd name="T32" fmla="+- 0 6547 6435"/>
                            <a:gd name="T33" fmla="*/ T32 w 463"/>
                            <a:gd name="T34" fmla="+- 0 -921 -1117"/>
                            <a:gd name="T35" fmla="*/ -921 h 219"/>
                            <a:gd name="T36" fmla="+- 0 6541 6435"/>
                            <a:gd name="T37" fmla="*/ T36 w 463"/>
                            <a:gd name="T38" fmla="+- 0 -962 -1117"/>
                            <a:gd name="T39" fmla="*/ -962 h 219"/>
                            <a:gd name="T40" fmla="+- 0 6557 6435"/>
                            <a:gd name="T41" fmla="*/ T40 w 463"/>
                            <a:gd name="T42" fmla="+- 0 -914 -1117"/>
                            <a:gd name="T43" fmla="*/ -914 h 219"/>
                            <a:gd name="T44" fmla="+- 0 6560 6435"/>
                            <a:gd name="T45" fmla="*/ T44 w 463"/>
                            <a:gd name="T46" fmla="+- 0 -909 -1117"/>
                            <a:gd name="T47" fmla="*/ -909 h 219"/>
                            <a:gd name="T48" fmla="+- 0 6548 6435"/>
                            <a:gd name="T49" fmla="*/ T48 w 463"/>
                            <a:gd name="T50" fmla="+- 0 -953 -1117"/>
                            <a:gd name="T51" fmla="*/ -953 h 219"/>
                            <a:gd name="T52" fmla="+- 0 6586 6435"/>
                            <a:gd name="T53" fmla="*/ T52 w 463"/>
                            <a:gd name="T54" fmla="+- 0 -959 -1117"/>
                            <a:gd name="T55" fmla="*/ -959 h 219"/>
                            <a:gd name="T56" fmla="+- 0 6897 6435"/>
                            <a:gd name="T57" fmla="*/ T56 w 463"/>
                            <a:gd name="T58" fmla="+- 0 -1010 -1117"/>
                            <a:gd name="T59" fmla="*/ -1010 h 219"/>
                            <a:gd name="T60" fmla="+- 0 6886 6435"/>
                            <a:gd name="T61" fmla="*/ T60 w 463"/>
                            <a:gd name="T62" fmla="+- 0 -1015 -1117"/>
                            <a:gd name="T63" fmla="*/ -1015 h 219"/>
                            <a:gd name="T64" fmla="+- 0 6548 6435"/>
                            <a:gd name="T65" fmla="*/ T64 w 463"/>
                            <a:gd name="T66" fmla="+- 0 -953 -1117"/>
                            <a:gd name="T67" fmla="*/ -953 h 219"/>
                            <a:gd name="T68" fmla="+- 0 6552 6435"/>
                            <a:gd name="T69" fmla="*/ T68 w 463"/>
                            <a:gd name="T70" fmla="+- 0 -959 -1117"/>
                            <a:gd name="T71" fmla="*/ -959 h 219"/>
                            <a:gd name="T72" fmla="+- 0 6548 6435"/>
                            <a:gd name="T73" fmla="*/ T72 w 463"/>
                            <a:gd name="T74" fmla="+- 0 -953 -1117"/>
                            <a:gd name="T75" fmla="*/ -953 h 219"/>
                            <a:gd name="T76" fmla="+- 0 6553 6435"/>
                            <a:gd name="T77" fmla="*/ T76 w 463"/>
                            <a:gd name="T78" fmla="+- 0 -954 -1117"/>
                            <a:gd name="T79" fmla="*/ -954 h 219"/>
                            <a:gd name="T80" fmla="+- 0 6552 6435"/>
                            <a:gd name="T81" fmla="*/ T80 w 463"/>
                            <a:gd name="T82" fmla="+- 0 -959 -1117"/>
                            <a:gd name="T83" fmla="*/ -959 h 219"/>
                            <a:gd name="T84" fmla="+- 0 6586 6435"/>
                            <a:gd name="T85" fmla="*/ T84 w 463"/>
                            <a:gd name="T86" fmla="+- 0 -959 -1117"/>
                            <a:gd name="T87" fmla="*/ -959 h 219"/>
                            <a:gd name="T88" fmla="+- 0 6446 6435"/>
                            <a:gd name="T89" fmla="*/ T88 w 463"/>
                            <a:gd name="T90" fmla="+- 0 -989 -1117"/>
                            <a:gd name="T91" fmla="*/ -989 h 219"/>
                            <a:gd name="T92" fmla="+- 0 6445 6435"/>
                            <a:gd name="T93" fmla="*/ T92 w 463"/>
                            <a:gd name="T94" fmla="+- 0 -996 -1117"/>
                            <a:gd name="T95" fmla="*/ -996 h 219"/>
                            <a:gd name="T96" fmla="+- 0 6446 6435"/>
                            <a:gd name="T97" fmla="*/ T96 w 463"/>
                            <a:gd name="T98" fmla="+- 0 -989 -1117"/>
                            <a:gd name="T99" fmla="*/ -989 h 219"/>
                            <a:gd name="T100" fmla="+- 0 6449 6435"/>
                            <a:gd name="T101" fmla="*/ T100 w 463"/>
                            <a:gd name="T102" fmla="+- 0 -993 -1117"/>
                            <a:gd name="T103" fmla="*/ -993 h 219"/>
                            <a:gd name="T104" fmla="+- 0 6445 6435"/>
                            <a:gd name="T105" fmla="*/ T104 w 463"/>
                            <a:gd name="T106" fmla="+- 0 -996 -1117"/>
                            <a:gd name="T107" fmla="*/ -996 h 219"/>
                            <a:gd name="T108" fmla="+- 0 6452 6435"/>
                            <a:gd name="T109" fmla="*/ T108 w 463"/>
                            <a:gd name="T110" fmla="+- 0 -996 -1117"/>
                            <a:gd name="T111" fmla="*/ -996 h 219"/>
                            <a:gd name="T112" fmla="+- 0 6886 6435"/>
                            <a:gd name="T113" fmla="*/ T112 w 463"/>
                            <a:gd name="T114" fmla="+- 0 -1015 -1117"/>
                            <a:gd name="T115" fmla="*/ -1015 h 219"/>
                            <a:gd name="T116" fmla="+- 0 6891 6435"/>
                            <a:gd name="T117" fmla="*/ T116 w 463"/>
                            <a:gd name="T118" fmla="+- 0 -1016 -1117"/>
                            <a:gd name="T119" fmla="*/ -1016 h 219"/>
                            <a:gd name="T120" fmla="+- 0 6891 6435"/>
                            <a:gd name="T121" fmla="*/ T120 w 463"/>
                            <a:gd name="T122" fmla="+- 0 -1016 -1117"/>
                            <a:gd name="T123" fmla="*/ -1016 h 219"/>
                            <a:gd name="T124" fmla="+- 0 6897 6435"/>
                            <a:gd name="T125" fmla="*/ T124 w 463"/>
                            <a:gd name="T126" fmla="+- 0 -1010 -1117"/>
                            <a:gd name="T127" fmla="*/ -1010 h 219"/>
                            <a:gd name="T128" fmla="+- 0 6882 6435"/>
                            <a:gd name="T129" fmla="*/ T128 w 463"/>
                            <a:gd name="T130" fmla="+- 0 -1107 -1117"/>
                            <a:gd name="T131" fmla="*/ -1107 h 219"/>
                            <a:gd name="T132" fmla="+- 0 6877 6435"/>
                            <a:gd name="T133" fmla="*/ T132 w 463"/>
                            <a:gd name="T134" fmla="+- 0 -1103 -1117"/>
                            <a:gd name="T135" fmla="*/ -1103 h 219"/>
                            <a:gd name="T136" fmla="+- 0 6886 6435"/>
                            <a:gd name="T137" fmla="*/ T136 w 463"/>
                            <a:gd name="T138" fmla="+- 0 -1015 -1117"/>
                            <a:gd name="T139" fmla="*/ -1015 h 219"/>
                            <a:gd name="T140" fmla="+- 0 6896 6435"/>
                            <a:gd name="T141" fmla="*/ T140 w 463"/>
                            <a:gd name="T142" fmla="+- 0 -1016 -1117"/>
                            <a:gd name="T143" fmla="*/ -1016 h 219"/>
                            <a:gd name="T144" fmla="+- 0 6530 6435"/>
                            <a:gd name="T145" fmla="*/ T144 w 463"/>
                            <a:gd name="T146" fmla="+- 0 -1103 -1117"/>
                            <a:gd name="T147" fmla="*/ -1103 h 219"/>
                            <a:gd name="T148" fmla="+- 0 6529 6435"/>
                            <a:gd name="T149" fmla="*/ T148 w 463"/>
                            <a:gd name="T150" fmla="+- 0 -1101 -1117"/>
                            <a:gd name="T151" fmla="*/ -1101 h 219"/>
                            <a:gd name="T152" fmla="+- 0 6528 6435"/>
                            <a:gd name="T153" fmla="*/ T152 w 463"/>
                            <a:gd name="T154" fmla="+- 0 -1049 -1117"/>
                            <a:gd name="T155" fmla="*/ -1049 h 219"/>
                            <a:gd name="T156" fmla="+- 0 6537 6435"/>
                            <a:gd name="T157" fmla="*/ T156 w 463"/>
                            <a:gd name="T158" fmla="+- 0 -1056 -1117"/>
                            <a:gd name="T159" fmla="*/ -1056 h 219"/>
                            <a:gd name="T160" fmla="+- 0 6536 6435"/>
                            <a:gd name="T161" fmla="*/ T160 w 463"/>
                            <a:gd name="T162" fmla="+- 0 -1061 -1117"/>
                            <a:gd name="T163" fmla="*/ -1061 h 219"/>
                            <a:gd name="T164" fmla="+- 0 6536 6435"/>
                            <a:gd name="T165" fmla="*/ T164 w 463"/>
                            <a:gd name="T166" fmla="+- 0 -1061 -1117"/>
                            <a:gd name="T167" fmla="*/ -1061 h 219"/>
                            <a:gd name="T168" fmla="+- 0 6537 6435"/>
                            <a:gd name="T169" fmla="*/ T168 w 463"/>
                            <a:gd name="T170" fmla="+- 0 -1056 -1117"/>
                            <a:gd name="T171" fmla="*/ -1056 h 219"/>
                            <a:gd name="T172" fmla="+- 0 6881 6435"/>
                            <a:gd name="T173" fmla="*/ T172 w 463"/>
                            <a:gd name="T174" fmla="+- 0 -1114 -1117"/>
                            <a:gd name="T175" fmla="*/ -1114 h 219"/>
                            <a:gd name="T176" fmla="+- 0 6537 6435"/>
                            <a:gd name="T177" fmla="*/ T176 w 463"/>
                            <a:gd name="T178" fmla="+- 0 -1056 -1117"/>
                            <a:gd name="T179" fmla="*/ -1056 h 219"/>
                            <a:gd name="T180" fmla="+- 0 6872 6435"/>
                            <a:gd name="T181" fmla="*/ T180 w 463"/>
                            <a:gd name="T182" fmla="+- 0 -1102 -1117"/>
                            <a:gd name="T183" fmla="*/ -1102 h 219"/>
                            <a:gd name="T184" fmla="+- 0 6882 6435"/>
                            <a:gd name="T185" fmla="*/ T184 w 463"/>
                            <a:gd name="T186" fmla="+- 0 -1107 -1117"/>
                            <a:gd name="T187" fmla="*/ -1107 h 219"/>
                            <a:gd name="T188" fmla="+- 0 6520 6435"/>
                            <a:gd name="T189" fmla="*/ T188 w 463"/>
                            <a:gd name="T190" fmla="+- 0 -1103 -1117"/>
                            <a:gd name="T191" fmla="*/ -1103 h 219"/>
                            <a:gd name="T192" fmla="+- 0 6529 6435"/>
                            <a:gd name="T193" fmla="*/ T192 w 463"/>
                            <a:gd name="T194" fmla="+- 0 -1101 -1117"/>
                            <a:gd name="T195" fmla="*/ -1101 h 219"/>
                            <a:gd name="T196" fmla="+- 0 6871 6435"/>
                            <a:gd name="T197" fmla="*/ T196 w 463"/>
                            <a:gd name="T198" fmla="+- 0 -1107 -1117"/>
                            <a:gd name="T199" fmla="*/ -1107 h 219"/>
                            <a:gd name="T200" fmla="+- 0 6877 6435"/>
                            <a:gd name="T201" fmla="*/ T200 w 463"/>
                            <a:gd name="T202" fmla="+- 0 -1103 -1117"/>
                            <a:gd name="T203" fmla="*/ -1103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3" h="219">
                              <a:moveTo>
                                <a:pt x="93" y="0"/>
                              </a:moveTo>
                              <a:lnTo>
                                <a:pt x="0" y="126"/>
                              </a:lnTo>
                              <a:lnTo>
                                <a:pt x="126" y="219"/>
                              </a:lnTo>
                              <a:lnTo>
                                <a:pt x="125" y="208"/>
                              </a:lnTo>
                              <a:lnTo>
                                <a:pt x="114" y="208"/>
                              </a:lnTo>
                              <a:lnTo>
                                <a:pt x="112" y="196"/>
                              </a:lnTo>
                              <a:lnTo>
                                <a:pt x="20" y="128"/>
                              </a:lnTo>
                              <a:lnTo>
                                <a:pt x="11" y="128"/>
                              </a:lnTo>
                              <a:lnTo>
                                <a:pt x="10" y="121"/>
                              </a:lnTo>
                              <a:lnTo>
                                <a:pt x="17" y="121"/>
                              </a:lnTo>
                              <a:lnTo>
                                <a:pt x="86" y="26"/>
                              </a:lnTo>
                              <a:lnTo>
                                <a:pt x="85" y="14"/>
                              </a:lnTo>
                              <a:lnTo>
                                <a:pt x="95" y="14"/>
                              </a:lnTo>
                              <a:lnTo>
                                <a:pt x="93" y="0"/>
                              </a:lnTo>
                              <a:close/>
                              <a:moveTo>
                                <a:pt x="112" y="196"/>
                              </a:moveTo>
                              <a:lnTo>
                                <a:pt x="114" y="208"/>
                              </a:lnTo>
                              <a:lnTo>
                                <a:pt x="122" y="203"/>
                              </a:lnTo>
                              <a:lnTo>
                                <a:pt x="112" y="196"/>
                              </a:lnTo>
                              <a:close/>
                              <a:moveTo>
                                <a:pt x="451" y="102"/>
                              </a:moveTo>
                              <a:lnTo>
                                <a:pt x="106" y="155"/>
                              </a:lnTo>
                              <a:lnTo>
                                <a:pt x="112" y="196"/>
                              </a:lnTo>
                              <a:lnTo>
                                <a:pt x="122" y="203"/>
                              </a:lnTo>
                              <a:lnTo>
                                <a:pt x="114" y="208"/>
                              </a:lnTo>
                              <a:lnTo>
                                <a:pt x="125" y="208"/>
                              </a:lnTo>
                              <a:lnTo>
                                <a:pt x="118" y="164"/>
                              </a:lnTo>
                              <a:lnTo>
                                <a:pt x="113" y="164"/>
                              </a:lnTo>
                              <a:lnTo>
                                <a:pt x="117" y="158"/>
                              </a:lnTo>
                              <a:lnTo>
                                <a:pt x="151" y="158"/>
                              </a:lnTo>
                              <a:lnTo>
                                <a:pt x="462" y="111"/>
                              </a:lnTo>
                              <a:lnTo>
                                <a:pt x="462" y="107"/>
                              </a:lnTo>
                              <a:lnTo>
                                <a:pt x="451" y="107"/>
                              </a:lnTo>
                              <a:lnTo>
                                <a:pt x="451" y="102"/>
                              </a:lnTo>
                              <a:close/>
                              <a:moveTo>
                                <a:pt x="117" y="158"/>
                              </a:moveTo>
                              <a:lnTo>
                                <a:pt x="113" y="164"/>
                              </a:lnTo>
                              <a:lnTo>
                                <a:pt x="118" y="163"/>
                              </a:lnTo>
                              <a:lnTo>
                                <a:pt x="117" y="158"/>
                              </a:lnTo>
                              <a:close/>
                              <a:moveTo>
                                <a:pt x="118" y="163"/>
                              </a:moveTo>
                              <a:lnTo>
                                <a:pt x="113" y="164"/>
                              </a:lnTo>
                              <a:lnTo>
                                <a:pt x="118" y="164"/>
                              </a:lnTo>
                              <a:lnTo>
                                <a:pt x="118" y="163"/>
                              </a:lnTo>
                              <a:close/>
                              <a:moveTo>
                                <a:pt x="151" y="158"/>
                              </a:moveTo>
                              <a:lnTo>
                                <a:pt x="117" y="158"/>
                              </a:lnTo>
                              <a:lnTo>
                                <a:pt x="118" y="163"/>
                              </a:lnTo>
                              <a:lnTo>
                                <a:pt x="151" y="158"/>
                              </a:lnTo>
                              <a:close/>
                              <a:moveTo>
                                <a:pt x="10" y="121"/>
                              </a:moveTo>
                              <a:lnTo>
                                <a:pt x="11" y="128"/>
                              </a:lnTo>
                              <a:lnTo>
                                <a:pt x="14" y="124"/>
                              </a:lnTo>
                              <a:lnTo>
                                <a:pt x="10" y="121"/>
                              </a:lnTo>
                              <a:close/>
                              <a:moveTo>
                                <a:pt x="14" y="124"/>
                              </a:moveTo>
                              <a:lnTo>
                                <a:pt x="11" y="128"/>
                              </a:lnTo>
                              <a:lnTo>
                                <a:pt x="20" y="128"/>
                              </a:lnTo>
                              <a:lnTo>
                                <a:pt x="14" y="124"/>
                              </a:lnTo>
                              <a:close/>
                              <a:moveTo>
                                <a:pt x="17" y="121"/>
                              </a:moveTo>
                              <a:lnTo>
                                <a:pt x="10" y="121"/>
                              </a:lnTo>
                              <a:lnTo>
                                <a:pt x="14" y="124"/>
                              </a:lnTo>
                              <a:lnTo>
                                <a:pt x="17" y="121"/>
                              </a:lnTo>
                              <a:close/>
                              <a:moveTo>
                                <a:pt x="456" y="101"/>
                              </a:moveTo>
                              <a:lnTo>
                                <a:pt x="451" y="102"/>
                              </a:lnTo>
                              <a:lnTo>
                                <a:pt x="451" y="107"/>
                              </a:lnTo>
                              <a:lnTo>
                                <a:pt x="456" y="101"/>
                              </a:lnTo>
                              <a:close/>
                              <a:moveTo>
                                <a:pt x="461" y="101"/>
                              </a:moveTo>
                              <a:lnTo>
                                <a:pt x="456" y="101"/>
                              </a:lnTo>
                              <a:lnTo>
                                <a:pt x="451" y="107"/>
                              </a:lnTo>
                              <a:lnTo>
                                <a:pt x="462" y="107"/>
                              </a:lnTo>
                              <a:lnTo>
                                <a:pt x="461" y="101"/>
                              </a:lnTo>
                              <a:close/>
                              <a:moveTo>
                                <a:pt x="447" y="10"/>
                              </a:moveTo>
                              <a:lnTo>
                                <a:pt x="436" y="10"/>
                              </a:lnTo>
                              <a:lnTo>
                                <a:pt x="442" y="14"/>
                              </a:lnTo>
                              <a:lnTo>
                                <a:pt x="437" y="15"/>
                              </a:lnTo>
                              <a:lnTo>
                                <a:pt x="451" y="102"/>
                              </a:lnTo>
                              <a:lnTo>
                                <a:pt x="456" y="101"/>
                              </a:lnTo>
                              <a:lnTo>
                                <a:pt x="461" y="101"/>
                              </a:lnTo>
                              <a:lnTo>
                                <a:pt x="447" y="10"/>
                              </a:lnTo>
                              <a:close/>
                              <a:moveTo>
                                <a:pt x="95" y="14"/>
                              </a:moveTo>
                              <a:lnTo>
                                <a:pt x="85" y="14"/>
                              </a:lnTo>
                              <a:lnTo>
                                <a:pt x="94" y="16"/>
                              </a:lnTo>
                              <a:lnTo>
                                <a:pt x="86" y="26"/>
                              </a:lnTo>
                              <a:lnTo>
                                <a:pt x="93" y="68"/>
                              </a:lnTo>
                              <a:lnTo>
                                <a:pt x="136" y="61"/>
                              </a:lnTo>
                              <a:lnTo>
                                <a:pt x="102" y="61"/>
                              </a:lnTo>
                              <a:lnTo>
                                <a:pt x="96" y="57"/>
                              </a:lnTo>
                              <a:lnTo>
                                <a:pt x="101" y="56"/>
                              </a:lnTo>
                              <a:lnTo>
                                <a:pt x="95" y="14"/>
                              </a:lnTo>
                              <a:close/>
                              <a:moveTo>
                                <a:pt x="101" y="56"/>
                              </a:moveTo>
                              <a:lnTo>
                                <a:pt x="96" y="57"/>
                              </a:lnTo>
                              <a:lnTo>
                                <a:pt x="102" y="61"/>
                              </a:lnTo>
                              <a:lnTo>
                                <a:pt x="101" y="56"/>
                              </a:lnTo>
                              <a:close/>
                              <a:moveTo>
                                <a:pt x="446" y="3"/>
                              </a:moveTo>
                              <a:lnTo>
                                <a:pt x="101" y="56"/>
                              </a:lnTo>
                              <a:lnTo>
                                <a:pt x="102" y="61"/>
                              </a:lnTo>
                              <a:lnTo>
                                <a:pt x="136" y="61"/>
                              </a:lnTo>
                              <a:lnTo>
                                <a:pt x="437" y="15"/>
                              </a:lnTo>
                              <a:lnTo>
                                <a:pt x="436" y="10"/>
                              </a:lnTo>
                              <a:lnTo>
                                <a:pt x="447" y="10"/>
                              </a:lnTo>
                              <a:lnTo>
                                <a:pt x="446" y="3"/>
                              </a:lnTo>
                              <a:close/>
                              <a:moveTo>
                                <a:pt x="85" y="14"/>
                              </a:moveTo>
                              <a:lnTo>
                                <a:pt x="86" y="26"/>
                              </a:lnTo>
                              <a:lnTo>
                                <a:pt x="94" y="16"/>
                              </a:lnTo>
                              <a:lnTo>
                                <a:pt x="85" y="14"/>
                              </a:lnTo>
                              <a:close/>
                              <a:moveTo>
                                <a:pt x="436" y="10"/>
                              </a:moveTo>
                              <a:lnTo>
                                <a:pt x="437" y="15"/>
                              </a:lnTo>
                              <a:lnTo>
                                <a:pt x="442" y="14"/>
                              </a:lnTo>
                              <a:lnTo>
                                <a:pt x="436" y="1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936EF" id="AutoShape 142" o:spid="_x0000_s1026" style="position:absolute;margin-left:321.75pt;margin-top:-55.85pt;width:23.15pt;height:10.9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" path="m93,l,126r126,93l125,208r-11,l112,196,20,128r-9,l10,121r7,l86,26,85,14r10,l93,xm112,196r2,12l122,203r-10,-7xm451,102l106,155r6,41l122,203r-8,5l125,208r-7,-44l113,164r4,-6l151,158,462,111r,-4l451,107r,-5xm117,158r-4,6l118,163r-1,-5xm118,163r-5,1l118,164r,-1xm151,158r-34,l118,163r33,-5xm10,121r1,7l14,124r-4,-3xm14,124r-3,4l20,128r-6,-4xm17,121r-7,l14,124r3,-3xm456,101r-5,1l451,107r5,-6xm461,101r-5,l451,107r11,l461,101xm447,10r-11,l442,14r-5,1l451,102r5,-1l461,101,447,10xm95,14r-10,l94,16,86,26r7,42l136,61r-34,l96,57r5,-1l95,14xm101,56r-5,1l102,61r-1,-5xm446,3l101,56r1,5l136,61,437,15r-1,-5l447,10,446,3xm85,14r1,12l94,16,85,14xm436,10r1,5l442,14r-6,-4xe" fillcolor="#001f5f" stroked="f">
                <v:path arrowok="t" o:connecttype="custom" o:connectlocs="0,-629285;79375,-577215;71120,-584835;6985,-628015;10795,-632460;53975,-700405;59055,-709295;72390,-577215;71120,-584835;67310,-610870;77470,-580390;79375,-577215;71755,-605155;95885,-608965;293370,-641350;286385,-644525;71755,-605155;74295,-608965;71755,-605155;74930,-605790;74295,-608965;95885,-608965;6985,-628015;6350,-632460;6985,-628015;8890,-630555;6350,-632460;10795,-632460;286385,-644525;289560,-645160;289560,-645160;293370,-641350;283845,-702945;280670,-700405;286385,-644525;292735,-645160;60325,-700405;59690,-699135;59055,-666115;64770,-670560;64135,-673735;64135,-673735;64770,-670560;283210,-707390;64770,-670560;277495,-699770;283845,-702945;53975,-700405;59690,-699135;276860,-702945;280670,-700405" o:connectangles="0,0,0,0,0,0,0,0,0,0,0,0,0,0,0,0,0,0,0,0,0,0,0,0,0,0,0,0,0,0,0,0,0,0,0,0,0,0,0,0,0,0,0,0,0,0,0,0,0,0,0"/>
                <w10:wrap anchorx="page"/>
              </v:shape>
            </w:pict>
          </mc:Fallback>
        </mc:AlternateContent>
      </w:r>
      <w:r>
        <w:rPr>
          <w:noProof/>
          <w:lang w:val="en-AU" w:eastAsia="en-AU"/>
        </w:rPr>
        <mc:AlternateContent>
          <mc:Choice Requires="wps">
            <w:drawing>
              <wp:anchor distT="0" distB="0" distL="114300" distR="114300" simplePos="0" relativeHeight="251744256" behindDoc="0" locked="0" layoutInCell="1" allowOverlap="1">
                <wp:simplePos x="0" y="0"/>
                <wp:positionH relativeFrom="page">
                  <wp:posOffset>4121785</wp:posOffset>
                </wp:positionH>
                <wp:positionV relativeFrom="paragraph">
                  <wp:posOffset>-356870</wp:posOffset>
                </wp:positionV>
                <wp:extent cx="290830" cy="158115"/>
                <wp:effectExtent l="0" t="0" r="0" b="0"/>
                <wp:wrapNone/>
                <wp:docPr id="285"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830" cy="158115"/>
                        </a:xfrm>
                        <a:custGeom>
                          <a:avLst/>
                          <a:gdLst>
                            <a:gd name="T0" fmla="+- 0 6491 6491"/>
                            <a:gd name="T1" fmla="*/ T0 w 458"/>
                            <a:gd name="T2" fmla="+- 0 -391 -562"/>
                            <a:gd name="T3" fmla="*/ -391 h 249"/>
                            <a:gd name="T4" fmla="+- 0 6624 6491"/>
                            <a:gd name="T5" fmla="*/ T4 w 458"/>
                            <a:gd name="T6" fmla="+- 0 -322 -562"/>
                            <a:gd name="T7" fmla="*/ -322 h 249"/>
                            <a:gd name="T8" fmla="+- 0 6610 6491"/>
                            <a:gd name="T9" fmla="*/ T8 w 458"/>
                            <a:gd name="T10" fmla="+- 0 -334 -562"/>
                            <a:gd name="T11" fmla="*/ -334 h 249"/>
                            <a:gd name="T12" fmla="+- 0 6503 6491"/>
                            <a:gd name="T13" fmla="*/ T12 w 458"/>
                            <a:gd name="T14" fmla="+- 0 -391 -562"/>
                            <a:gd name="T15" fmla="*/ -391 h 249"/>
                            <a:gd name="T16" fmla="+- 0 6507 6491"/>
                            <a:gd name="T17" fmla="*/ T16 w 458"/>
                            <a:gd name="T18" fmla="+- 0 -398 -562"/>
                            <a:gd name="T19" fmla="*/ -398 h 249"/>
                            <a:gd name="T20" fmla="+- 0 6563 6491"/>
                            <a:gd name="T21" fmla="*/ T20 w 458"/>
                            <a:gd name="T22" fmla="+- 0 -512 -562"/>
                            <a:gd name="T23" fmla="*/ -512 h 249"/>
                            <a:gd name="T24" fmla="+- 0 6570 6491"/>
                            <a:gd name="T25" fmla="*/ T24 w 458"/>
                            <a:gd name="T26" fmla="+- 0 -527 -562"/>
                            <a:gd name="T27" fmla="*/ -527 h 249"/>
                            <a:gd name="T28" fmla="+- 0 6614 6491"/>
                            <a:gd name="T29" fmla="*/ T28 w 458"/>
                            <a:gd name="T30" fmla="+- 0 -322 -562"/>
                            <a:gd name="T31" fmla="*/ -322 h 249"/>
                            <a:gd name="T32" fmla="+- 0 6610 6491"/>
                            <a:gd name="T33" fmla="*/ T32 w 458"/>
                            <a:gd name="T34" fmla="+- 0 -334 -562"/>
                            <a:gd name="T35" fmla="*/ -334 h 249"/>
                            <a:gd name="T36" fmla="+- 0 6600 6491"/>
                            <a:gd name="T37" fmla="*/ T36 w 458"/>
                            <a:gd name="T38" fmla="+- 0 -375 -562"/>
                            <a:gd name="T39" fmla="*/ -375 h 249"/>
                            <a:gd name="T40" fmla="+- 0 6621 6491"/>
                            <a:gd name="T41" fmla="*/ T40 w 458"/>
                            <a:gd name="T42" fmla="+- 0 -328 -562"/>
                            <a:gd name="T43" fmla="*/ -328 h 249"/>
                            <a:gd name="T44" fmla="+- 0 6624 6491"/>
                            <a:gd name="T45" fmla="*/ T44 w 458"/>
                            <a:gd name="T46" fmla="+- 0 -322 -562"/>
                            <a:gd name="T47" fmla="*/ -322 h 249"/>
                            <a:gd name="T48" fmla="+- 0 6607 6491"/>
                            <a:gd name="T49" fmla="*/ T48 w 458"/>
                            <a:gd name="T50" fmla="+- 0 -366 -562"/>
                            <a:gd name="T51" fmla="*/ -366 h 249"/>
                            <a:gd name="T52" fmla="+- 0 6631 6491"/>
                            <a:gd name="T53" fmla="*/ T52 w 458"/>
                            <a:gd name="T54" fmla="+- 0 -372 -562"/>
                            <a:gd name="T55" fmla="*/ -372 h 249"/>
                            <a:gd name="T56" fmla="+- 0 6949 6491"/>
                            <a:gd name="T57" fmla="*/ T56 w 458"/>
                            <a:gd name="T58" fmla="+- 0 -459 -562"/>
                            <a:gd name="T59" fmla="*/ -459 h 249"/>
                            <a:gd name="T60" fmla="+- 0 6937 6491"/>
                            <a:gd name="T61" fmla="*/ T60 w 458"/>
                            <a:gd name="T62" fmla="+- 0 -464 -562"/>
                            <a:gd name="T63" fmla="*/ -464 h 249"/>
                            <a:gd name="T64" fmla="+- 0 6607 6491"/>
                            <a:gd name="T65" fmla="*/ T64 w 458"/>
                            <a:gd name="T66" fmla="+- 0 -366 -562"/>
                            <a:gd name="T67" fmla="*/ -366 h 249"/>
                            <a:gd name="T68" fmla="+- 0 6611 6491"/>
                            <a:gd name="T69" fmla="*/ T68 w 458"/>
                            <a:gd name="T70" fmla="+- 0 -372 -562"/>
                            <a:gd name="T71" fmla="*/ -372 h 249"/>
                            <a:gd name="T72" fmla="+- 0 6607 6491"/>
                            <a:gd name="T73" fmla="*/ T72 w 458"/>
                            <a:gd name="T74" fmla="+- 0 -366 -562"/>
                            <a:gd name="T75" fmla="*/ -366 h 249"/>
                            <a:gd name="T76" fmla="+- 0 6612 6491"/>
                            <a:gd name="T77" fmla="*/ T76 w 458"/>
                            <a:gd name="T78" fmla="+- 0 -367 -562"/>
                            <a:gd name="T79" fmla="*/ -367 h 249"/>
                            <a:gd name="T80" fmla="+- 0 6611 6491"/>
                            <a:gd name="T81" fmla="*/ T80 w 458"/>
                            <a:gd name="T82" fmla="+- 0 -372 -562"/>
                            <a:gd name="T83" fmla="*/ -372 h 249"/>
                            <a:gd name="T84" fmla="+- 0 6631 6491"/>
                            <a:gd name="T85" fmla="*/ T84 w 458"/>
                            <a:gd name="T86" fmla="+- 0 -372 -562"/>
                            <a:gd name="T87" fmla="*/ -372 h 249"/>
                            <a:gd name="T88" fmla="+- 0 6503 6491"/>
                            <a:gd name="T89" fmla="*/ T88 w 458"/>
                            <a:gd name="T90" fmla="+- 0 -391 -562"/>
                            <a:gd name="T91" fmla="*/ -391 h 249"/>
                            <a:gd name="T92" fmla="+- 0 6501 6491"/>
                            <a:gd name="T93" fmla="*/ T92 w 458"/>
                            <a:gd name="T94" fmla="+- 0 -398 -562"/>
                            <a:gd name="T95" fmla="*/ -398 h 249"/>
                            <a:gd name="T96" fmla="+- 0 6503 6491"/>
                            <a:gd name="T97" fmla="*/ T96 w 458"/>
                            <a:gd name="T98" fmla="+- 0 -391 -562"/>
                            <a:gd name="T99" fmla="*/ -391 h 249"/>
                            <a:gd name="T100" fmla="+- 0 6505 6491"/>
                            <a:gd name="T101" fmla="*/ T100 w 458"/>
                            <a:gd name="T102" fmla="+- 0 -395 -562"/>
                            <a:gd name="T103" fmla="*/ -395 h 249"/>
                            <a:gd name="T104" fmla="+- 0 6501 6491"/>
                            <a:gd name="T105" fmla="*/ T104 w 458"/>
                            <a:gd name="T106" fmla="+- 0 -398 -562"/>
                            <a:gd name="T107" fmla="*/ -398 h 249"/>
                            <a:gd name="T108" fmla="+- 0 6507 6491"/>
                            <a:gd name="T109" fmla="*/ T108 w 458"/>
                            <a:gd name="T110" fmla="+- 0 -398 -562"/>
                            <a:gd name="T111" fmla="*/ -398 h 249"/>
                            <a:gd name="T112" fmla="+- 0 6937 6491"/>
                            <a:gd name="T113" fmla="*/ T112 w 458"/>
                            <a:gd name="T114" fmla="+- 0 -464 -562"/>
                            <a:gd name="T115" fmla="*/ -464 h 249"/>
                            <a:gd name="T116" fmla="+- 0 6942 6491"/>
                            <a:gd name="T117" fmla="*/ T116 w 458"/>
                            <a:gd name="T118" fmla="+- 0 -465 -562"/>
                            <a:gd name="T119" fmla="*/ -465 h 249"/>
                            <a:gd name="T120" fmla="+- 0 6942 6491"/>
                            <a:gd name="T121" fmla="*/ T120 w 458"/>
                            <a:gd name="T122" fmla="+- 0 -465 -562"/>
                            <a:gd name="T123" fmla="*/ -465 h 249"/>
                            <a:gd name="T124" fmla="+- 0 6949 6491"/>
                            <a:gd name="T125" fmla="*/ T124 w 458"/>
                            <a:gd name="T126" fmla="+- 0 -459 -562"/>
                            <a:gd name="T127" fmla="*/ -459 h 249"/>
                            <a:gd name="T128" fmla="+- 0 6574 6491"/>
                            <a:gd name="T129" fmla="*/ T128 w 458"/>
                            <a:gd name="T130" fmla="+- 0 -512 -562"/>
                            <a:gd name="T131" fmla="*/ -512 h 249"/>
                            <a:gd name="T132" fmla="+- 0 6573 6491"/>
                            <a:gd name="T133" fmla="*/ T132 w 458"/>
                            <a:gd name="T134" fmla="+- 0 -511 -562"/>
                            <a:gd name="T135" fmla="*/ -511 h 249"/>
                            <a:gd name="T136" fmla="+- 0 6577 6491"/>
                            <a:gd name="T137" fmla="*/ T136 w 458"/>
                            <a:gd name="T138" fmla="+- 0 -460 -562"/>
                            <a:gd name="T139" fmla="*/ -460 h 249"/>
                            <a:gd name="T140" fmla="+- 0 6586 6491"/>
                            <a:gd name="T141" fmla="*/ T140 w 458"/>
                            <a:gd name="T142" fmla="+- 0 -467 -562"/>
                            <a:gd name="T143" fmla="*/ -467 h 249"/>
                            <a:gd name="T144" fmla="+- 0 6585 6491"/>
                            <a:gd name="T145" fmla="*/ T144 w 458"/>
                            <a:gd name="T146" fmla="+- 0 -472 -562"/>
                            <a:gd name="T147" fmla="*/ -472 h 249"/>
                            <a:gd name="T148" fmla="+- 0 6923 6491"/>
                            <a:gd name="T149" fmla="*/ T148 w 458"/>
                            <a:gd name="T150" fmla="+- 0 -554 -562"/>
                            <a:gd name="T151" fmla="*/ -554 h 249"/>
                            <a:gd name="T152" fmla="+- 0 6919 6491"/>
                            <a:gd name="T153" fmla="*/ T152 w 458"/>
                            <a:gd name="T154" fmla="+- 0 -550 -562"/>
                            <a:gd name="T155" fmla="*/ -550 h 249"/>
                            <a:gd name="T156" fmla="+- 0 6937 6491"/>
                            <a:gd name="T157" fmla="*/ T156 w 458"/>
                            <a:gd name="T158" fmla="+- 0 -464 -562"/>
                            <a:gd name="T159" fmla="*/ -464 h 249"/>
                            <a:gd name="T160" fmla="+- 0 6947 6491"/>
                            <a:gd name="T161" fmla="*/ T160 w 458"/>
                            <a:gd name="T162" fmla="+- 0 -465 -562"/>
                            <a:gd name="T163" fmla="*/ -465 h 249"/>
                            <a:gd name="T164" fmla="+- 0 6585 6491"/>
                            <a:gd name="T165" fmla="*/ T164 w 458"/>
                            <a:gd name="T166" fmla="+- 0 -472 -562"/>
                            <a:gd name="T167" fmla="*/ -472 h 249"/>
                            <a:gd name="T168" fmla="+- 0 6586 6491"/>
                            <a:gd name="T169" fmla="*/ T168 w 458"/>
                            <a:gd name="T170" fmla="+- 0 -467 -562"/>
                            <a:gd name="T171" fmla="*/ -467 h 249"/>
                            <a:gd name="T172" fmla="+- 0 6921 6491"/>
                            <a:gd name="T173" fmla="*/ T172 w 458"/>
                            <a:gd name="T174" fmla="+- 0 -562 -562"/>
                            <a:gd name="T175" fmla="*/ -562 h 249"/>
                            <a:gd name="T176" fmla="+- 0 6586 6491"/>
                            <a:gd name="T177" fmla="*/ T176 w 458"/>
                            <a:gd name="T178" fmla="+- 0 -467 -562"/>
                            <a:gd name="T179" fmla="*/ -467 h 249"/>
                            <a:gd name="T180" fmla="+- 0 6914 6491"/>
                            <a:gd name="T181" fmla="*/ T180 w 458"/>
                            <a:gd name="T182" fmla="+- 0 -549 -562"/>
                            <a:gd name="T183" fmla="*/ -549 h 249"/>
                            <a:gd name="T184" fmla="+- 0 6923 6491"/>
                            <a:gd name="T185" fmla="*/ T184 w 458"/>
                            <a:gd name="T186" fmla="+- 0 -554 -562"/>
                            <a:gd name="T187" fmla="*/ -554 h 249"/>
                            <a:gd name="T188" fmla="+- 0 6563 6491"/>
                            <a:gd name="T189" fmla="*/ T188 w 458"/>
                            <a:gd name="T190" fmla="+- 0 -512 -562"/>
                            <a:gd name="T191" fmla="*/ -512 h 249"/>
                            <a:gd name="T192" fmla="+- 0 6573 6491"/>
                            <a:gd name="T193" fmla="*/ T192 w 458"/>
                            <a:gd name="T194" fmla="+- 0 -511 -562"/>
                            <a:gd name="T195" fmla="*/ -511 h 249"/>
                            <a:gd name="T196" fmla="+- 0 6913 6491"/>
                            <a:gd name="T197" fmla="*/ T196 w 458"/>
                            <a:gd name="T198" fmla="+- 0 -554 -562"/>
                            <a:gd name="T199" fmla="*/ -554 h 249"/>
                            <a:gd name="T200" fmla="+- 0 6919 6491"/>
                            <a:gd name="T201" fmla="*/ T200 w 458"/>
                            <a:gd name="T202" fmla="+- 0 -550 -562"/>
                            <a:gd name="T203" fmla="*/ -550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58" h="249">
                              <a:moveTo>
                                <a:pt x="79" y="35"/>
                              </a:moveTo>
                              <a:lnTo>
                                <a:pt x="0" y="171"/>
                              </a:lnTo>
                              <a:lnTo>
                                <a:pt x="136" y="249"/>
                              </a:lnTo>
                              <a:lnTo>
                                <a:pt x="133" y="240"/>
                              </a:lnTo>
                              <a:lnTo>
                                <a:pt x="123" y="240"/>
                              </a:lnTo>
                              <a:lnTo>
                                <a:pt x="119" y="228"/>
                              </a:lnTo>
                              <a:lnTo>
                                <a:pt x="22" y="171"/>
                              </a:lnTo>
                              <a:lnTo>
                                <a:pt x="12" y="171"/>
                              </a:lnTo>
                              <a:lnTo>
                                <a:pt x="10" y="164"/>
                              </a:lnTo>
                              <a:lnTo>
                                <a:pt x="16" y="164"/>
                              </a:lnTo>
                              <a:lnTo>
                                <a:pt x="75" y="62"/>
                              </a:lnTo>
                              <a:lnTo>
                                <a:pt x="72" y="50"/>
                              </a:lnTo>
                              <a:lnTo>
                                <a:pt x="83" y="50"/>
                              </a:lnTo>
                              <a:lnTo>
                                <a:pt x="79" y="35"/>
                              </a:lnTo>
                              <a:close/>
                              <a:moveTo>
                                <a:pt x="119" y="228"/>
                              </a:moveTo>
                              <a:lnTo>
                                <a:pt x="123" y="240"/>
                              </a:lnTo>
                              <a:lnTo>
                                <a:pt x="130" y="234"/>
                              </a:lnTo>
                              <a:lnTo>
                                <a:pt x="119" y="228"/>
                              </a:lnTo>
                              <a:close/>
                              <a:moveTo>
                                <a:pt x="446" y="98"/>
                              </a:moveTo>
                              <a:lnTo>
                                <a:pt x="109" y="187"/>
                              </a:lnTo>
                              <a:lnTo>
                                <a:pt x="119" y="228"/>
                              </a:lnTo>
                              <a:lnTo>
                                <a:pt x="130" y="234"/>
                              </a:lnTo>
                              <a:lnTo>
                                <a:pt x="123" y="240"/>
                              </a:lnTo>
                              <a:lnTo>
                                <a:pt x="133" y="240"/>
                              </a:lnTo>
                              <a:lnTo>
                                <a:pt x="122" y="196"/>
                              </a:lnTo>
                              <a:lnTo>
                                <a:pt x="116" y="196"/>
                              </a:lnTo>
                              <a:lnTo>
                                <a:pt x="120" y="190"/>
                              </a:lnTo>
                              <a:lnTo>
                                <a:pt x="140" y="190"/>
                              </a:lnTo>
                              <a:lnTo>
                                <a:pt x="458" y="105"/>
                              </a:lnTo>
                              <a:lnTo>
                                <a:pt x="458" y="103"/>
                              </a:lnTo>
                              <a:lnTo>
                                <a:pt x="447" y="103"/>
                              </a:lnTo>
                              <a:lnTo>
                                <a:pt x="446" y="98"/>
                              </a:lnTo>
                              <a:close/>
                              <a:moveTo>
                                <a:pt x="120" y="190"/>
                              </a:moveTo>
                              <a:lnTo>
                                <a:pt x="116" y="196"/>
                              </a:lnTo>
                              <a:lnTo>
                                <a:pt x="121" y="195"/>
                              </a:lnTo>
                              <a:lnTo>
                                <a:pt x="120" y="190"/>
                              </a:lnTo>
                              <a:close/>
                              <a:moveTo>
                                <a:pt x="121" y="195"/>
                              </a:moveTo>
                              <a:lnTo>
                                <a:pt x="116" y="196"/>
                              </a:lnTo>
                              <a:lnTo>
                                <a:pt x="122" y="196"/>
                              </a:lnTo>
                              <a:lnTo>
                                <a:pt x="121" y="195"/>
                              </a:lnTo>
                              <a:close/>
                              <a:moveTo>
                                <a:pt x="140" y="190"/>
                              </a:moveTo>
                              <a:lnTo>
                                <a:pt x="120" y="190"/>
                              </a:lnTo>
                              <a:lnTo>
                                <a:pt x="121" y="195"/>
                              </a:lnTo>
                              <a:lnTo>
                                <a:pt x="140" y="190"/>
                              </a:lnTo>
                              <a:close/>
                              <a:moveTo>
                                <a:pt x="10" y="164"/>
                              </a:moveTo>
                              <a:lnTo>
                                <a:pt x="12" y="171"/>
                              </a:lnTo>
                              <a:lnTo>
                                <a:pt x="14" y="167"/>
                              </a:lnTo>
                              <a:lnTo>
                                <a:pt x="10" y="164"/>
                              </a:lnTo>
                              <a:close/>
                              <a:moveTo>
                                <a:pt x="14" y="167"/>
                              </a:moveTo>
                              <a:lnTo>
                                <a:pt x="12" y="171"/>
                              </a:lnTo>
                              <a:lnTo>
                                <a:pt x="22" y="171"/>
                              </a:lnTo>
                              <a:lnTo>
                                <a:pt x="14" y="167"/>
                              </a:lnTo>
                              <a:close/>
                              <a:moveTo>
                                <a:pt x="16" y="164"/>
                              </a:moveTo>
                              <a:lnTo>
                                <a:pt x="10" y="164"/>
                              </a:lnTo>
                              <a:lnTo>
                                <a:pt x="14" y="167"/>
                              </a:lnTo>
                              <a:lnTo>
                                <a:pt x="16" y="164"/>
                              </a:lnTo>
                              <a:close/>
                              <a:moveTo>
                                <a:pt x="451" y="97"/>
                              </a:moveTo>
                              <a:lnTo>
                                <a:pt x="446" y="98"/>
                              </a:lnTo>
                              <a:lnTo>
                                <a:pt x="447" y="103"/>
                              </a:lnTo>
                              <a:lnTo>
                                <a:pt x="451" y="97"/>
                              </a:lnTo>
                              <a:close/>
                              <a:moveTo>
                                <a:pt x="456" y="97"/>
                              </a:moveTo>
                              <a:lnTo>
                                <a:pt x="451" y="97"/>
                              </a:lnTo>
                              <a:lnTo>
                                <a:pt x="447" y="103"/>
                              </a:lnTo>
                              <a:lnTo>
                                <a:pt x="458" y="103"/>
                              </a:lnTo>
                              <a:lnTo>
                                <a:pt x="456" y="97"/>
                              </a:lnTo>
                              <a:close/>
                              <a:moveTo>
                                <a:pt x="83" y="50"/>
                              </a:moveTo>
                              <a:lnTo>
                                <a:pt x="72" y="50"/>
                              </a:lnTo>
                              <a:lnTo>
                                <a:pt x="82" y="51"/>
                              </a:lnTo>
                              <a:lnTo>
                                <a:pt x="75" y="62"/>
                              </a:lnTo>
                              <a:lnTo>
                                <a:pt x="86" y="102"/>
                              </a:lnTo>
                              <a:lnTo>
                                <a:pt x="115" y="95"/>
                              </a:lnTo>
                              <a:lnTo>
                                <a:pt x="95" y="95"/>
                              </a:lnTo>
                              <a:lnTo>
                                <a:pt x="89" y="91"/>
                              </a:lnTo>
                              <a:lnTo>
                                <a:pt x="94" y="90"/>
                              </a:lnTo>
                              <a:lnTo>
                                <a:pt x="83" y="50"/>
                              </a:lnTo>
                              <a:close/>
                              <a:moveTo>
                                <a:pt x="432" y="8"/>
                              </a:moveTo>
                              <a:lnTo>
                                <a:pt x="422" y="8"/>
                              </a:lnTo>
                              <a:lnTo>
                                <a:pt x="428" y="12"/>
                              </a:lnTo>
                              <a:lnTo>
                                <a:pt x="423" y="13"/>
                              </a:lnTo>
                              <a:lnTo>
                                <a:pt x="446" y="98"/>
                              </a:lnTo>
                              <a:lnTo>
                                <a:pt x="451" y="97"/>
                              </a:lnTo>
                              <a:lnTo>
                                <a:pt x="456" y="97"/>
                              </a:lnTo>
                              <a:lnTo>
                                <a:pt x="432" y="8"/>
                              </a:lnTo>
                              <a:close/>
                              <a:moveTo>
                                <a:pt x="94" y="90"/>
                              </a:moveTo>
                              <a:lnTo>
                                <a:pt x="89" y="91"/>
                              </a:lnTo>
                              <a:lnTo>
                                <a:pt x="95" y="95"/>
                              </a:lnTo>
                              <a:lnTo>
                                <a:pt x="94" y="90"/>
                              </a:lnTo>
                              <a:close/>
                              <a:moveTo>
                                <a:pt x="430" y="0"/>
                              </a:moveTo>
                              <a:lnTo>
                                <a:pt x="94" y="90"/>
                              </a:lnTo>
                              <a:lnTo>
                                <a:pt x="95" y="95"/>
                              </a:lnTo>
                              <a:lnTo>
                                <a:pt x="115" y="95"/>
                              </a:lnTo>
                              <a:lnTo>
                                <a:pt x="423" y="13"/>
                              </a:lnTo>
                              <a:lnTo>
                                <a:pt x="422" y="8"/>
                              </a:lnTo>
                              <a:lnTo>
                                <a:pt x="432" y="8"/>
                              </a:lnTo>
                              <a:lnTo>
                                <a:pt x="430" y="0"/>
                              </a:lnTo>
                              <a:close/>
                              <a:moveTo>
                                <a:pt x="72" y="50"/>
                              </a:moveTo>
                              <a:lnTo>
                                <a:pt x="75" y="62"/>
                              </a:lnTo>
                              <a:lnTo>
                                <a:pt x="82" y="51"/>
                              </a:lnTo>
                              <a:lnTo>
                                <a:pt x="72" y="50"/>
                              </a:lnTo>
                              <a:close/>
                              <a:moveTo>
                                <a:pt x="422" y="8"/>
                              </a:moveTo>
                              <a:lnTo>
                                <a:pt x="423" y="13"/>
                              </a:lnTo>
                              <a:lnTo>
                                <a:pt x="428" y="12"/>
                              </a:lnTo>
                              <a:lnTo>
                                <a:pt x="422" y="8"/>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75F07" id="AutoShape 141" o:spid="_x0000_s1026" style="position:absolute;margin-left:324.55pt;margin-top:-28.1pt;width:22.9pt;height:12.4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8,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" path="m79,35l,171r136,78l133,240r-10,l119,228,22,171r-10,l10,164r6,l75,62,72,50r11,l79,35xm119,228r4,12l130,234r-11,-6xm446,98l109,187r10,41l130,234r-7,6l133,240,122,196r-6,l120,190r20,l458,105r,-2l447,103r-1,-5xm120,190r-4,6l121,195r-1,-5xm121,195r-5,1l122,196r-1,-1xm140,190r-20,l121,195r19,-5xm10,164r2,7l14,167r-4,-3xm14,167r-2,4l22,171r-8,-4xm16,164r-6,l14,167r2,-3xm451,97r-5,1l447,103r4,-6xm456,97r-5,l447,103r11,l456,97xm83,50r-11,l82,51,75,62r11,40l115,95r-20,l89,91r5,-1l83,50xm432,8r-10,l428,12r-5,1l446,98r5,-1l456,97,432,8xm94,90r-5,1l95,95,94,90xm430,l94,90r1,5l115,95,423,13,422,8r10,l430,xm72,50r3,12l82,51,72,50xm422,8r1,5l428,12,422,8xe" fillcolor="#001f5f" stroked="f">
                <v:path arrowok="t" o:connecttype="custom" o:connectlocs="0,-248285;84455,-204470;75565,-212090;7620,-248285;10160,-252730;45720,-325120;50165,-334645;78105,-204470;75565,-212090;69215,-238125;82550,-208280;84455,-204470;73660,-232410;88900,-236220;290830,-291465;283210,-294640;73660,-232410;76200,-236220;73660,-232410;76835,-233045;76200,-236220;88900,-236220;7620,-248285;6350,-252730;7620,-248285;8890,-250825;6350,-252730;10160,-252730;283210,-294640;286385,-295275;286385,-295275;290830,-291465;52705,-325120;52070,-324485;54610,-292100;60325,-296545;59690,-299720;274320,-351790;271780,-349250;283210,-294640;289560,-295275;59690,-299720;60325,-296545;273050,-356870;60325,-296545;268605,-348615;274320,-351790;45720,-325120;52070,-324485;267970,-351790;271780,-349250" o:connectangles="0,0,0,0,0,0,0,0,0,0,0,0,0,0,0,0,0,0,0,0,0,0,0,0,0,0,0,0,0,0,0,0,0,0,0,0,0,0,0,0,0,0,0,0,0,0,0,0,0,0,0"/>
                <w10:wrap anchorx="page"/>
              </v:shape>
            </w:pict>
          </mc:Fallback>
        </mc:AlternateContent>
      </w:r>
      <w:r>
        <w:rPr>
          <w:rFonts w:ascii="Arial" w:hAnsi="Arial"/>
          <w:color w:val="001F5F"/>
          <w:w w:val="110"/>
          <w:sz w:val="12"/>
        </w:rPr>
        <w:t>‘Bricks</w:t>
      </w:r>
      <w:r>
        <w:rPr>
          <w:rFonts w:ascii="Arial" w:hAnsi="Arial"/>
          <w:color w:val="001F5F"/>
          <w:spacing w:val="-27"/>
          <w:w w:val="110"/>
          <w:sz w:val="12"/>
        </w:rPr>
        <w:t xml:space="preserve"> </w:t>
      </w:r>
      <w:r>
        <w:rPr>
          <w:rFonts w:ascii="Arial" w:hAnsi="Arial"/>
          <w:color w:val="001F5F"/>
          <w:w w:val="110"/>
          <w:sz w:val="12"/>
        </w:rPr>
        <w:t>and</w:t>
      </w:r>
      <w:r>
        <w:rPr>
          <w:rFonts w:ascii="Arial" w:hAnsi="Arial"/>
          <w:color w:val="001F5F"/>
          <w:spacing w:val="-24"/>
          <w:w w:val="110"/>
          <w:sz w:val="12"/>
        </w:rPr>
        <w:t xml:space="preserve"> </w:t>
      </w:r>
      <w:r>
        <w:rPr>
          <w:rFonts w:ascii="Arial" w:hAnsi="Arial"/>
          <w:color w:val="001F5F"/>
          <w:w w:val="110"/>
          <w:sz w:val="12"/>
        </w:rPr>
        <w:t>mortar’</w:t>
      </w:r>
      <w:r>
        <w:rPr>
          <w:rFonts w:ascii="Arial" w:hAnsi="Arial"/>
          <w:color w:val="001F5F"/>
          <w:spacing w:val="-24"/>
          <w:w w:val="110"/>
          <w:sz w:val="12"/>
        </w:rPr>
        <w:t xml:space="preserve"> </w:t>
      </w:r>
      <w:r>
        <w:rPr>
          <w:rFonts w:ascii="Arial" w:hAnsi="Arial"/>
          <w:color w:val="001F5F"/>
          <w:w w:val="110"/>
          <w:sz w:val="12"/>
        </w:rPr>
        <w:t>and online</w:t>
      </w:r>
      <w:r>
        <w:rPr>
          <w:rFonts w:ascii="Arial" w:hAnsi="Arial"/>
          <w:color w:val="001F5F"/>
          <w:spacing w:val="-17"/>
          <w:w w:val="110"/>
          <w:sz w:val="12"/>
        </w:rPr>
        <w:t xml:space="preserve"> </w:t>
      </w:r>
      <w:r>
        <w:rPr>
          <w:rFonts w:ascii="Arial" w:hAnsi="Arial"/>
          <w:color w:val="001F5F"/>
          <w:w w:val="110"/>
          <w:sz w:val="12"/>
        </w:rPr>
        <w:t>retailers</w:t>
      </w:r>
      <w:r>
        <w:rPr>
          <w:rFonts w:ascii="Arial" w:hAnsi="Arial"/>
          <w:color w:val="001F5F"/>
          <w:spacing w:val="-26"/>
          <w:w w:val="110"/>
          <w:sz w:val="12"/>
        </w:rPr>
        <w:t xml:space="preserve"> </w:t>
      </w:r>
      <w:r>
        <w:rPr>
          <w:rFonts w:ascii="Arial" w:hAnsi="Arial"/>
          <w:color w:val="001F5F"/>
          <w:w w:val="110"/>
          <w:sz w:val="12"/>
        </w:rPr>
        <w:t>(noting some</w:t>
      </w:r>
      <w:r>
        <w:rPr>
          <w:rFonts w:ascii="Arial" w:hAnsi="Arial"/>
          <w:color w:val="001F5F"/>
          <w:spacing w:val="-12"/>
          <w:w w:val="110"/>
          <w:sz w:val="12"/>
        </w:rPr>
        <w:t xml:space="preserve"> </w:t>
      </w:r>
      <w:r>
        <w:rPr>
          <w:rFonts w:ascii="Arial" w:hAnsi="Arial"/>
          <w:color w:val="001F5F"/>
          <w:w w:val="110"/>
          <w:sz w:val="12"/>
        </w:rPr>
        <w:t>may</w:t>
      </w:r>
      <w:r>
        <w:rPr>
          <w:rFonts w:ascii="Arial" w:hAnsi="Arial"/>
          <w:color w:val="001F5F"/>
          <w:spacing w:val="-16"/>
          <w:w w:val="110"/>
          <w:sz w:val="12"/>
        </w:rPr>
        <w:t xml:space="preserve"> </w:t>
      </w:r>
      <w:r>
        <w:rPr>
          <w:rFonts w:ascii="Arial" w:hAnsi="Arial"/>
          <w:color w:val="001F5F"/>
          <w:w w:val="110"/>
          <w:sz w:val="12"/>
        </w:rPr>
        <w:t>be</w:t>
      </w:r>
      <w:r>
        <w:rPr>
          <w:rFonts w:ascii="Arial" w:hAnsi="Arial"/>
          <w:color w:val="001F5F"/>
          <w:spacing w:val="-12"/>
          <w:w w:val="110"/>
          <w:sz w:val="12"/>
        </w:rPr>
        <w:t xml:space="preserve"> </w:t>
      </w:r>
      <w:r>
        <w:rPr>
          <w:rFonts w:ascii="Arial" w:hAnsi="Arial"/>
          <w:color w:val="001F5F"/>
          <w:w w:val="110"/>
          <w:sz w:val="12"/>
        </w:rPr>
        <w:t>both)</w:t>
      </w:r>
    </w:p>
    <w:p w:rsidR="007D76BB" w:rsidRDefault="00D70D28">
      <w:pPr>
        <w:spacing w:before="41" w:line="256" w:lineRule="auto"/>
        <w:ind w:left="516" w:right="-10"/>
        <w:rPr>
          <w:rFonts w:ascii="Arial"/>
          <w:sz w:val="12"/>
        </w:rPr>
      </w:pPr>
      <w:r>
        <w:br w:type="column"/>
      </w:r>
      <w:r>
        <w:rPr>
          <w:rFonts w:ascii="Arial"/>
          <w:color w:val="001F5F"/>
          <w:spacing w:val="-1"/>
          <w:w w:val="110"/>
          <w:sz w:val="12"/>
        </w:rPr>
        <w:lastRenderedPageBreak/>
        <w:t xml:space="preserve">Official </w:t>
      </w:r>
      <w:r>
        <w:rPr>
          <w:rFonts w:ascii="Arial"/>
          <w:color w:val="001F5F"/>
          <w:w w:val="110"/>
          <w:sz w:val="12"/>
        </w:rPr>
        <w:t>distributor</w:t>
      </w:r>
      <w:r>
        <w:rPr>
          <w:rFonts w:ascii="Arial"/>
          <w:color w:val="001F5F"/>
          <w:spacing w:val="-18"/>
          <w:w w:val="110"/>
          <w:sz w:val="12"/>
        </w:rPr>
        <w:t xml:space="preserve"> </w:t>
      </w:r>
      <w:r>
        <w:rPr>
          <w:rFonts w:ascii="Arial"/>
          <w:color w:val="001F5F"/>
          <w:w w:val="110"/>
          <w:sz w:val="12"/>
        </w:rPr>
        <w:t>for Australia (and likely New</w:t>
      </w:r>
      <w:r>
        <w:rPr>
          <w:rFonts w:ascii="Arial"/>
          <w:color w:val="001F5F"/>
          <w:spacing w:val="-12"/>
          <w:w w:val="110"/>
          <w:sz w:val="12"/>
        </w:rPr>
        <w:t xml:space="preserve"> </w:t>
      </w:r>
      <w:r>
        <w:rPr>
          <w:rFonts w:ascii="Arial"/>
          <w:color w:val="001F5F"/>
          <w:w w:val="110"/>
          <w:sz w:val="12"/>
        </w:rPr>
        <w:t>Zealand)</w:t>
      </w:r>
    </w:p>
    <w:p w:rsidR="007D76BB" w:rsidRDefault="00D70D28">
      <w:pPr>
        <w:spacing w:before="50"/>
        <w:ind w:left="384"/>
        <w:rPr>
          <w:rFonts w:ascii="Arial"/>
          <w:sz w:val="12"/>
        </w:rPr>
      </w:pPr>
      <w:r>
        <w:br w:type="column"/>
      </w:r>
      <w:r>
        <w:rPr>
          <w:rFonts w:ascii="Arial"/>
          <w:color w:val="001F5F"/>
          <w:w w:val="105"/>
          <w:sz w:val="12"/>
        </w:rPr>
        <w:lastRenderedPageBreak/>
        <w:t>US-based manufacturer</w:t>
      </w:r>
    </w:p>
    <w:p w:rsidR="007D76BB" w:rsidRDefault="007D76BB">
      <w:pPr>
        <w:rPr>
          <w:rFonts w:ascii="Arial"/>
          <w:sz w:val="12"/>
        </w:rPr>
        <w:sectPr w:rsidR="007D76BB">
          <w:type w:val="continuous"/>
          <w:pgSz w:w="11910" w:h="16850"/>
          <w:pgMar w:top="1220" w:right="820" w:bottom="280" w:left="1220" w:header="720" w:footer="720" w:gutter="0"/>
          <w:cols w:num="4" w:space="720" w:equalWidth="0">
            <w:col w:w="3172" w:space="320"/>
            <w:col w:w="1834" w:space="54"/>
            <w:col w:w="1710" w:space="40"/>
            <w:col w:w="2740"/>
          </w:cols>
        </w:sectPr>
      </w:pPr>
    </w:p>
    <w:p w:rsidR="007D76BB" w:rsidRDefault="007D76BB">
      <w:pPr>
        <w:pStyle w:val="BodyText"/>
        <w:spacing w:before="7"/>
        <w:rPr>
          <w:rFonts w:ascii="Arial"/>
          <w:sz w:val="18"/>
        </w:rPr>
      </w:pPr>
    </w:p>
    <w:p w:rsidR="007D76BB" w:rsidRDefault="00D70D28">
      <w:pPr>
        <w:spacing w:before="109" w:line="264" w:lineRule="auto"/>
        <w:ind w:left="482" w:right="778"/>
        <w:rPr>
          <w:rFonts w:ascii="Arial"/>
          <w:sz w:val="19"/>
        </w:rPr>
      </w:pPr>
      <w:r>
        <w:rPr>
          <w:rFonts w:ascii="Arial"/>
          <w:w w:val="110"/>
          <w:sz w:val="19"/>
        </w:rPr>
        <w:t>It</w:t>
      </w:r>
      <w:r>
        <w:rPr>
          <w:rFonts w:ascii="Arial"/>
          <w:spacing w:val="-37"/>
          <w:w w:val="110"/>
          <w:sz w:val="19"/>
        </w:rPr>
        <w:t xml:space="preserve"> </w:t>
      </w:r>
      <w:r>
        <w:rPr>
          <w:rFonts w:ascii="Arial"/>
          <w:w w:val="110"/>
          <w:sz w:val="19"/>
        </w:rPr>
        <w:t>is</w:t>
      </w:r>
      <w:r>
        <w:rPr>
          <w:rFonts w:ascii="Arial"/>
          <w:spacing w:val="-38"/>
          <w:w w:val="110"/>
          <w:sz w:val="19"/>
        </w:rPr>
        <w:t xml:space="preserve"> </w:t>
      </w:r>
      <w:r>
        <w:rPr>
          <w:rFonts w:ascii="Arial"/>
          <w:w w:val="110"/>
          <w:sz w:val="19"/>
        </w:rPr>
        <w:t>likely</w:t>
      </w:r>
      <w:r>
        <w:rPr>
          <w:rFonts w:ascii="Arial"/>
          <w:spacing w:val="-38"/>
          <w:w w:val="110"/>
          <w:sz w:val="19"/>
        </w:rPr>
        <w:t xml:space="preserve"> </w:t>
      </w:r>
      <w:r>
        <w:rPr>
          <w:rFonts w:ascii="Arial"/>
          <w:w w:val="110"/>
          <w:sz w:val="19"/>
        </w:rPr>
        <w:t>that</w:t>
      </w:r>
      <w:r>
        <w:rPr>
          <w:rFonts w:ascii="Arial"/>
          <w:spacing w:val="-38"/>
          <w:w w:val="110"/>
          <w:sz w:val="19"/>
        </w:rPr>
        <w:t xml:space="preserve"> </w:t>
      </w:r>
      <w:r>
        <w:rPr>
          <w:rFonts w:ascii="Arial"/>
          <w:w w:val="110"/>
          <w:sz w:val="19"/>
        </w:rPr>
        <w:t>potential</w:t>
      </w:r>
      <w:r>
        <w:rPr>
          <w:rFonts w:ascii="Arial"/>
          <w:spacing w:val="-37"/>
          <w:w w:val="110"/>
          <w:sz w:val="19"/>
        </w:rPr>
        <w:t xml:space="preserve"> </w:t>
      </w:r>
      <w:r>
        <w:rPr>
          <w:rFonts w:ascii="Arial"/>
          <w:w w:val="110"/>
          <w:sz w:val="19"/>
        </w:rPr>
        <w:t>new</w:t>
      </w:r>
      <w:r>
        <w:rPr>
          <w:rFonts w:ascii="Arial"/>
          <w:spacing w:val="-39"/>
          <w:w w:val="110"/>
          <w:sz w:val="19"/>
        </w:rPr>
        <w:t xml:space="preserve"> </w:t>
      </w:r>
      <w:r>
        <w:rPr>
          <w:rFonts w:ascii="Arial"/>
          <w:w w:val="110"/>
          <w:sz w:val="19"/>
        </w:rPr>
        <w:t>sponsors</w:t>
      </w:r>
      <w:r>
        <w:rPr>
          <w:rFonts w:ascii="Arial"/>
          <w:spacing w:val="-37"/>
          <w:w w:val="110"/>
          <w:sz w:val="19"/>
        </w:rPr>
        <w:t xml:space="preserve"> </w:t>
      </w:r>
      <w:r>
        <w:rPr>
          <w:rFonts w:ascii="Arial"/>
          <w:w w:val="110"/>
          <w:sz w:val="19"/>
        </w:rPr>
        <w:t>who</w:t>
      </w:r>
      <w:r>
        <w:rPr>
          <w:rFonts w:ascii="Arial"/>
          <w:spacing w:val="-39"/>
          <w:w w:val="110"/>
          <w:sz w:val="19"/>
        </w:rPr>
        <w:t xml:space="preserve"> </w:t>
      </w:r>
      <w:r>
        <w:rPr>
          <w:rFonts w:ascii="Arial"/>
          <w:w w:val="110"/>
          <w:sz w:val="19"/>
        </w:rPr>
        <w:t>have</w:t>
      </w:r>
      <w:r>
        <w:rPr>
          <w:rFonts w:ascii="Arial"/>
          <w:spacing w:val="-38"/>
          <w:w w:val="110"/>
          <w:sz w:val="19"/>
        </w:rPr>
        <w:t xml:space="preserve"> </w:t>
      </w:r>
      <w:r>
        <w:rPr>
          <w:rFonts w:ascii="Arial"/>
          <w:w w:val="110"/>
          <w:sz w:val="19"/>
        </w:rPr>
        <w:t>not</w:t>
      </w:r>
      <w:r>
        <w:rPr>
          <w:rFonts w:ascii="Arial"/>
          <w:spacing w:val="-38"/>
          <w:w w:val="110"/>
          <w:sz w:val="19"/>
        </w:rPr>
        <w:t xml:space="preserve"> </w:t>
      </w:r>
      <w:r>
        <w:rPr>
          <w:rFonts w:ascii="Arial"/>
          <w:w w:val="110"/>
          <w:sz w:val="19"/>
        </w:rPr>
        <w:t>previously</w:t>
      </w:r>
      <w:r>
        <w:rPr>
          <w:rFonts w:ascii="Arial"/>
          <w:spacing w:val="-37"/>
          <w:w w:val="110"/>
          <w:sz w:val="19"/>
        </w:rPr>
        <w:t xml:space="preserve"> </w:t>
      </w:r>
      <w:r>
        <w:rPr>
          <w:rFonts w:ascii="Arial"/>
          <w:w w:val="110"/>
          <w:sz w:val="19"/>
        </w:rPr>
        <w:t>had</w:t>
      </w:r>
      <w:r>
        <w:rPr>
          <w:rFonts w:ascii="Arial"/>
          <w:spacing w:val="-38"/>
          <w:w w:val="110"/>
          <w:sz w:val="19"/>
        </w:rPr>
        <w:t xml:space="preserve"> </w:t>
      </w:r>
      <w:r>
        <w:rPr>
          <w:rFonts w:ascii="Arial"/>
          <w:w w:val="110"/>
          <w:sz w:val="19"/>
        </w:rPr>
        <w:t>any</w:t>
      </w:r>
      <w:r>
        <w:rPr>
          <w:rFonts w:ascii="Arial"/>
          <w:spacing w:val="-39"/>
          <w:w w:val="110"/>
          <w:sz w:val="19"/>
        </w:rPr>
        <w:t xml:space="preserve"> </w:t>
      </w:r>
      <w:r>
        <w:rPr>
          <w:rFonts w:ascii="Arial"/>
          <w:w w:val="110"/>
          <w:sz w:val="19"/>
        </w:rPr>
        <w:t>exposure</w:t>
      </w:r>
      <w:r>
        <w:rPr>
          <w:rFonts w:ascii="Arial"/>
          <w:spacing w:val="-38"/>
          <w:w w:val="110"/>
          <w:sz w:val="19"/>
        </w:rPr>
        <w:t xml:space="preserve"> </w:t>
      </w:r>
      <w:r>
        <w:rPr>
          <w:rFonts w:ascii="Arial"/>
          <w:w w:val="110"/>
          <w:sz w:val="19"/>
        </w:rPr>
        <w:t>to</w:t>
      </w:r>
      <w:r>
        <w:rPr>
          <w:rFonts w:ascii="Arial"/>
          <w:spacing w:val="-38"/>
          <w:w w:val="110"/>
          <w:sz w:val="19"/>
        </w:rPr>
        <w:t xml:space="preserve"> </w:t>
      </w:r>
      <w:r>
        <w:rPr>
          <w:rFonts w:ascii="Arial"/>
          <w:w w:val="110"/>
          <w:sz w:val="19"/>
        </w:rPr>
        <w:t>the</w:t>
      </w:r>
      <w:r>
        <w:rPr>
          <w:rFonts w:ascii="Arial"/>
          <w:spacing w:val="-37"/>
          <w:w w:val="110"/>
          <w:sz w:val="19"/>
        </w:rPr>
        <w:t xml:space="preserve"> </w:t>
      </w:r>
      <w:r>
        <w:rPr>
          <w:rFonts w:ascii="Arial"/>
          <w:w w:val="110"/>
          <w:sz w:val="19"/>
        </w:rPr>
        <w:t>TGA</w:t>
      </w:r>
      <w:r>
        <w:rPr>
          <w:rFonts w:ascii="Arial"/>
          <w:spacing w:val="-37"/>
          <w:w w:val="110"/>
          <w:sz w:val="19"/>
        </w:rPr>
        <w:t xml:space="preserve"> </w:t>
      </w:r>
      <w:r>
        <w:rPr>
          <w:rFonts w:ascii="Arial"/>
          <w:w w:val="110"/>
          <w:sz w:val="19"/>
        </w:rPr>
        <w:t xml:space="preserve">will </w:t>
      </w:r>
      <w:r>
        <w:rPr>
          <w:rFonts w:ascii="Arial"/>
          <w:w w:val="105"/>
          <w:sz w:val="19"/>
        </w:rPr>
        <w:t>need</w:t>
      </w:r>
      <w:r>
        <w:rPr>
          <w:rFonts w:ascii="Arial"/>
          <w:spacing w:val="-23"/>
          <w:w w:val="105"/>
          <w:sz w:val="19"/>
        </w:rPr>
        <w:t xml:space="preserve"> </w:t>
      </w:r>
      <w:r>
        <w:rPr>
          <w:rFonts w:ascii="Arial"/>
          <w:w w:val="105"/>
          <w:sz w:val="19"/>
        </w:rPr>
        <w:t>to</w:t>
      </w:r>
      <w:r>
        <w:rPr>
          <w:rFonts w:ascii="Arial"/>
          <w:spacing w:val="-20"/>
          <w:w w:val="105"/>
          <w:sz w:val="19"/>
        </w:rPr>
        <w:t xml:space="preserve"> </w:t>
      </w:r>
      <w:r>
        <w:rPr>
          <w:rFonts w:ascii="Arial"/>
          <w:w w:val="105"/>
          <w:sz w:val="19"/>
        </w:rPr>
        <w:t>obtain</w:t>
      </w:r>
      <w:r>
        <w:rPr>
          <w:rFonts w:ascii="Arial"/>
          <w:spacing w:val="-21"/>
          <w:w w:val="105"/>
          <w:sz w:val="19"/>
        </w:rPr>
        <w:t xml:space="preserve"> </w:t>
      </w:r>
      <w:r>
        <w:rPr>
          <w:rFonts w:ascii="Arial"/>
          <w:w w:val="105"/>
          <w:sz w:val="19"/>
        </w:rPr>
        <w:t>the</w:t>
      </w:r>
      <w:r>
        <w:rPr>
          <w:rFonts w:ascii="Arial"/>
          <w:spacing w:val="-20"/>
          <w:w w:val="105"/>
          <w:sz w:val="19"/>
        </w:rPr>
        <w:t xml:space="preserve"> </w:t>
      </w:r>
      <w:r>
        <w:rPr>
          <w:rFonts w:ascii="Arial"/>
          <w:w w:val="105"/>
          <w:sz w:val="19"/>
        </w:rPr>
        <w:t>service</w:t>
      </w:r>
      <w:r>
        <w:rPr>
          <w:rFonts w:ascii="Arial"/>
          <w:spacing w:val="-19"/>
          <w:w w:val="105"/>
          <w:sz w:val="19"/>
        </w:rPr>
        <w:t xml:space="preserve"> </w:t>
      </w:r>
      <w:r>
        <w:rPr>
          <w:rFonts w:ascii="Arial"/>
          <w:w w:val="105"/>
          <w:sz w:val="19"/>
        </w:rPr>
        <w:t>of</w:t>
      </w:r>
      <w:r>
        <w:rPr>
          <w:rFonts w:ascii="Arial"/>
          <w:spacing w:val="-23"/>
          <w:w w:val="105"/>
          <w:sz w:val="19"/>
        </w:rPr>
        <w:t xml:space="preserve"> </w:t>
      </w:r>
      <w:r>
        <w:rPr>
          <w:rFonts w:ascii="Arial"/>
          <w:w w:val="105"/>
          <w:sz w:val="19"/>
        </w:rPr>
        <w:t>regulatory</w:t>
      </w:r>
      <w:r>
        <w:rPr>
          <w:rFonts w:ascii="Arial"/>
          <w:spacing w:val="-21"/>
          <w:w w:val="105"/>
          <w:sz w:val="19"/>
        </w:rPr>
        <w:t xml:space="preserve"> </w:t>
      </w:r>
      <w:r>
        <w:rPr>
          <w:rFonts w:ascii="Arial"/>
          <w:w w:val="105"/>
          <w:sz w:val="19"/>
        </w:rPr>
        <w:t>affairs</w:t>
      </w:r>
      <w:r>
        <w:rPr>
          <w:rFonts w:ascii="Arial"/>
          <w:spacing w:val="-20"/>
          <w:w w:val="105"/>
          <w:sz w:val="19"/>
        </w:rPr>
        <w:t xml:space="preserve"> </w:t>
      </w:r>
      <w:r>
        <w:rPr>
          <w:rFonts w:ascii="Arial"/>
          <w:w w:val="105"/>
          <w:sz w:val="19"/>
        </w:rPr>
        <w:t>consultants</w:t>
      </w:r>
      <w:r>
        <w:rPr>
          <w:rFonts w:ascii="Arial"/>
          <w:w w:val="105"/>
          <w:position w:val="7"/>
          <w:sz w:val="11"/>
        </w:rPr>
        <w:t>61</w:t>
      </w:r>
      <w:r>
        <w:rPr>
          <w:rFonts w:ascii="Arial"/>
          <w:spacing w:val="3"/>
          <w:w w:val="105"/>
          <w:position w:val="7"/>
          <w:sz w:val="11"/>
        </w:rPr>
        <w:t xml:space="preserve"> </w:t>
      </w:r>
      <w:r>
        <w:rPr>
          <w:rFonts w:ascii="Arial"/>
          <w:w w:val="105"/>
          <w:sz w:val="19"/>
        </w:rPr>
        <w:t>to</w:t>
      </w:r>
      <w:r>
        <w:rPr>
          <w:rFonts w:ascii="Arial"/>
          <w:spacing w:val="-22"/>
          <w:w w:val="105"/>
          <w:sz w:val="19"/>
        </w:rPr>
        <w:t xml:space="preserve"> </w:t>
      </w:r>
      <w:r>
        <w:rPr>
          <w:rFonts w:ascii="Arial"/>
          <w:w w:val="105"/>
          <w:sz w:val="19"/>
        </w:rPr>
        <w:t>advise</w:t>
      </w:r>
      <w:r>
        <w:rPr>
          <w:rFonts w:ascii="Arial"/>
          <w:spacing w:val="-19"/>
          <w:w w:val="105"/>
          <w:sz w:val="19"/>
        </w:rPr>
        <w:t xml:space="preserve"> </w:t>
      </w:r>
      <w:r>
        <w:rPr>
          <w:rFonts w:ascii="Arial"/>
          <w:w w:val="105"/>
          <w:sz w:val="19"/>
        </w:rPr>
        <w:t>them</w:t>
      </w:r>
      <w:r>
        <w:rPr>
          <w:rFonts w:ascii="Arial"/>
          <w:spacing w:val="-22"/>
          <w:w w:val="105"/>
          <w:sz w:val="19"/>
        </w:rPr>
        <w:t xml:space="preserve"> </w:t>
      </w:r>
      <w:r>
        <w:rPr>
          <w:rFonts w:ascii="Arial"/>
          <w:w w:val="105"/>
          <w:sz w:val="19"/>
        </w:rPr>
        <w:t>of</w:t>
      </w:r>
      <w:r>
        <w:rPr>
          <w:rFonts w:ascii="Arial"/>
          <w:spacing w:val="-21"/>
          <w:w w:val="105"/>
          <w:sz w:val="19"/>
        </w:rPr>
        <w:t xml:space="preserve"> </w:t>
      </w:r>
      <w:r>
        <w:rPr>
          <w:rFonts w:ascii="Arial"/>
          <w:w w:val="105"/>
          <w:sz w:val="19"/>
        </w:rPr>
        <w:t>their</w:t>
      </w:r>
      <w:r>
        <w:rPr>
          <w:rFonts w:ascii="Arial"/>
          <w:spacing w:val="-22"/>
          <w:w w:val="105"/>
          <w:sz w:val="19"/>
        </w:rPr>
        <w:t xml:space="preserve"> </w:t>
      </w:r>
      <w:r>
        <w:rPr>
          <w:rFonts w:ascii="Arial"/>
          <w:w w:val="105"/>
          <w:sz w:val="19"/>
        </w:rPr>
        <w:t xml:space="preserve">responsibilities </w:t>
      </w:r>
      <w:r>
        <w:rPr>
          <w:rFonts w:ascii="Arial"/>
          <w:w w:val="110"/>
          <w:sz w:val="19"/>
        </w:rPr>
        <w:t>under</w:t>
      </w:r>
      <w:r>
        <w:rPr>
          <w:rFonts w:ascii="Arial"/>
          <w:spacing w:val="-35"/>
          <w:w w:val="110"/>
          <w:sz w:val="19"/>
        </w:rPr>
        <w:t xml:space="preserve"> </w:t>
      </w:r>
      <w:r>
        <w:rPr>
          <w:rFonts w:ascii="Arial"/>
          <w:w w:val="110"/>
          <w:sz w:val="19"/>
        </w:rPr>
        <w:t>the</w:t>
      </w:r>
      <w:r>
        <w:rPr>
          <w:rFonts w:ascii="Arial"/>
          <w:spacing w:val="-33"/>
          <w:w w:val="110"/>
          <w:sz w:val="19"/>
        </w:rPr>
        <w:t xml:space="preserve"> </w:t>
      </w:r>
      <w:r>
        <w:rPr>
          <w:rFonts w:ascii="Arial"/>
          <w:w w:val="110"/>
          <w:sz w:val="19"/>
        </w:rPr>
        <w:t>TG</w:t>
      </w:r>
      <w:r>
        <w:rPr>
          <w:rFonts w:ascii="Arial"/>
          <w:spacing w:val="-34"/>
          <w:w w:val="110"/>
          <w:sz w:val="19"/>
        </w:rPr>
        <w:t xml:space="preserve"> </w:t>
      </w:r>
      <w:r>
        <w:rPr>
          <w:rFonts w:ascii="Arial"/>
          <w:w w:val="110"/>
          <w:sz w:val="19"/>
        </w:rPr>
        <w:t>Act.</w:t>
      </w:r>
      <w:r>
        <w:rPr>
          <w:rFonts w:ascii="Arial"/>
          <w:spacing w:val="-32"/>
          <w:w w:val="110"/>
          <w:sz w:val="19"/>
        </w:rPr>
        <w:t xml:space="preserve"> </w:t>
      </w:r>
      <w:r>
        <w:rPr>
          <w:rFonts w:ascii="Arial"/>
          <w:w w:val="110"/>
          <w:sz w:val="19"/>
        </w:rPr>
        <w:t>Noetic</w:t>
      </w:r>
      <w:r>
        <w:rPr>
          <w:rFonts w:ascii="Arial"/>
          <w:spacing w:val="-34"/>
          <w:w w:val="110"/>
          <w:sz w:val="19"/>
        </w:rPr>
        <w:t xml:space="preserve"> </w:t>
      </w:r>
      <w:r>
        <w:rPr>
          <w:rFonts w:ascii="Arial"/>
          <w:w w:val="110"/>
          <w:sz w:val="19"/>
        </w:rPr>
        <w:t>considers</w:t>
      </w:r>
      <w:r>
        <w:rPr>
          <w:rFonts w:ascii="Arial"/>
          <w:spacing w:val="-33"/>
          <w:w w:val="110"/>
          <w:sz w:val="19"/>
        </w:rPr>
        <w:t xml:space="preserve"> </w:t>
      </w:r>
      <w:r>
        <w:rPr>
          <w:rFonts w:ascii="Arial"/>
          <w:w w:val="110"/>
          <w:sz w:val="19"/>
        </w:rPr>
        <w:t>it</w:t>
      </w:r>
      <w:r>
        <w:rPr>
          <w:rFonts w:ascii="Arial"/>
          <w:spacing w:val="-33"/>
          <w:w w:val="110"/>
          <w:sz w:val="19"/>
        </w:rPr>
        <w:t xml:space="preserve"> </w:t>
      </w:r>
      <w:r>
        <w:rPr>
          <w:rFonts w:ascii="Arial"/>
          <w:w w:val="110"/>
          <w:sz w:val="19"/>
        </w:rPr>
        <w:t>unlikely</w:t>
      </w:r>
      <w:r>
        <w:rPr>
          <w:rFonts w:ascii="Arial"/>
          <w:spacing w:val="-35"/>
          <w:w w:val="110"/>
          <w:sz w:val="19"/>
        </w:rPr>
        <w:t xml:space="preserve"> </w:t>
      </w:r>
      <w:r>
        <w:rPr>
          <w:rFonts w:ascii="Arial"/>
          <w:w w:val="110"/>
          <w:sz w:val="19"/>
        </w:rPr>
        <w:t>that</w:t>
      </w:r>
      <w:r>
        <w:rPr>
          <w:rFonts w:ascii="Arial"/>
          <w:spacing w:val="-32"/>
          <w:w w:val="110"/>
          <w:sz w:val="19"/>
        </w:rPr>
        <w:t xml:space="preserve"> </w:t>
      </w:r>
      <w:r>
        <w:rPr>
          <w:rFonts w:ascii="Arial"/>
          <w:w w:val="110"/>
          <w:sz w:val="19"/>
        </w:rPr>
        <w:t>existing</w:t>
      </w:r>
      <w:r>
        <w:rPr>
          <w:rFonts w:ascii="Arial"/>
          <w:spacing w:val="-33"/>
          <w:w w:val="110"/>
          <w:sz w:val="19"/>
        </w:rPr>
        <w:t xml:space="preserve"> </w:t>
      </w:r>
      <w:r>
        <w:rPr>
          <w:rFonts w:ascii="Arial"/>
          <w:w w:val="110"/>
          <w:sz w:val="19"/>
        </w:rPr>
        <w:t>sponsors</w:t>
      </w:r>
      <w:r>
        <w:rPr>
          <w:rFonts w:ascii="Arial"/>
          <w:spacing w:val="-34"/>
          <w:w w:val="110"/>
          <w:sz w:val="19"/>
        </w:rPr>
        <w:t xml:space="preserve"> </w:t>
      </w:r>
      <w:r>
        <w:rPr>
          <w:rFonts w:ascii="Arial"/>
          <w:w w:val="110"/>
          <w:sz w:val="19"/>
        </w:rPr>
        <w:t>will</w:t>
      </w:r>
      <w:r>
        <w:rPr>
          <w:rFonts w:ascii="Arial"/>
          <w:spacing w:val="-34"/>
          <w:w w:val="110"/>
          <w:sz w:val="19"/>
        </w:rPr>
        <w:t xml:space="preserve"> </w:t>
      </w:r>
      <w:r>
        <w:rPr>
          <w:rFonts w:ascii="Arial"/>
          <w:w w:val="110"/>
          <w:sz w:val="19"/>
        </w:rPr>
        <w:t>wish</w:t>
      </w:r>
      <w:r>
        <w:rPr>
          <w:rFonts w:ascii="Arial"/>
          <w:spacing w:val="-34"/>
          <w:w w:val="110"/>
          <w:sz w:val="19"/>
        </w:rPr>
        <w:t xml:space="preserve"> </w:t>
      </w:r>
      <w:r>
        <w:rPr>
          <w:rFonts w:ascii="Arial"/>
          <w:w w:val="110"/>
          <w:sz w:val="19"/>
        </w:rPr>
        <w:t>to</w:t>
      </w:r>
      <w:r>
        <w:rPr>
          <w:rFonts w:ascii="Arial"/>
          <w:spacing w:val="-35"/>
          <w:w w:val="110"/>
          <w:sz w:val="19"/>
        </w:rPr>
        <w:t xml:space="preserve"> </w:t>
      </w:r>
      <w:r>
        <w:rPr>
          <w:rFonts w:ascii="Arial"/>
          <w:w w:val="110"/>
          <w:sz w:val="19"/>
        </w:rPr>
        <w:t>take</w:t>
      </w:r>
      <w:r>
        <w:rPr>
          <w:rFonts w:ascii="Arial"/>
          <w:spacing w:val="-35"/>
          <w:w w:val="110"/>
          <w:sz w:val="19"/>
        </w:rPr>
        <w:t xml:space="preserve"> </w:t>
      </w:r>
      <w:r>
        <w:rPr>
          <w:rFonts w:ascii="Arial"/>
          <w:w w:val="110"/>
          <w:sz w:val="19"/>
        </w:rPr>
        <w:t>on</w:t>
      </w:r>
      <w:r>
        <w:rPr>
          <w:rFonts w:ascii="Arial"/>
          <w:spacing w:val="-32"/>
          <w:w w:val="110"/>
          <w:sz w:val="19"/>
        </w:rPr>
        <w:t xml:space="preserve"> </w:t>
      </w:r>
      <w:r>
        <w:rPr>
          <w:rFonts w:ascii="Arial"/>
          <w:w w:val="110"/>
          <w:sz w:val="19"/>
        </w:rPr>
        <w:t>sports supplement</w:t>
      </w:r>
      <w:r>
        <w:rPr>
          <w:rFonts w:ascii="Arial"/>
          <w:spacing w:val="-21"/>
          <w:w w:val="110"/>
          <w:sz w:val="19"/>
        </w:rPr>
        <w:t xml:space="preserve"> </w:t>
      </w:r>
      <w:r>
        <w:rPr>
          <w:rFonts w:ascii="Arial"/>
          <w:w w:val="110"/>
          <w:sz w:val="19"/>
        </w:rPr>
        <w:t>manufacturers/retailers</w:t>
      </w:r>
      <w:r>
        <w:rPr>
          <w:rFonts w:ascii="Arial"/>
          <w:spacing w:val="-24"/>
          <w:w w:val="110"/>
          <w:sz w:val="19"/>
        </w:rPr>
        <w:t xml:space="preserve"> </w:t>
      </w:r>
      <w:r>
        <w:rPr>
          <w:rFonts w:ascii="Arial"/>
          <w:w w:val="110"/>
          <w:sz w:val="19"/>
        </w:rPr>
        <w:t>as</w:t>
      </w:r>
      <w:r>
        <w:rPr>
          <w:rFonts w:ascii="Arial"/>
          <w:spacing w:val="-22"/>
          <w:w w:val="110"/>
          <w:sz w:val="19"/>
        </w:rPr>
        <w:t xml:space="preserve"> </w:t>
      </w:r>
      <w:r>
        <w:rPr>
          <w:rFonts w:ascii="Arial"/>
          <w:w w:val="110"/>
          <w:sz w:val="19"/>
        </w:rPr>
        <w:t>clients</w:t>
      </w:r>
      <w:r>
        <w:rPr>
          <w:rFonts w:ascii="Arial"/>
          <w:spacing w:val="-17"/>
          <w:w w:val="110"/>
          <w:sz w:val="19"/>
        </w:rPr>
        <w:t xml:space="preserve"> </w:t>
      </w:r>
      <w:r>
        <w:rPr>
          <w:rFonts w:ascii="Arial"/>
          <w:w w:val="110"/>
          <w:sz w:val="19"/>
        </w:rPr>
        <w:t>due</w:t>
      </w:r>
      <w:r>
        <w:rPr>
          <w:rFonts w:ascii="Arial"/>
          <w:spacing w:val="-23"/>
          <w:w w:val="110"/>
          <w:sz w:val="19"/>
        </w:rPr>
        <w:t xml:space="preserve"> </w:t>
      </w:r>
      <w:r>
        <w:rPr>
          <w:rFonts w:ascii="Arial"/>
          <w:w w:val="110"/>
          <w:sz w:val="19"/>
        </w:rPr>
        <w:t>to</w:t>
      </w:r>
      <w:r>
        <w:rPr>
          <w:rFonts w:ascii="Arial"/>
          <w:spacing w:val="-23"/>
          <w:w w:val="110"/>
          <w:sz w:val="19"/>
        </w:rPr>
        <w:t xml:space="preserve"> </w:t>
      </w:r>
      <w:r>
        <w:rPr>
          <w:rFonts w:ascii="Arial"/>
          <w:w w:val="110"/>
          <w:sz w:val="19"/>
        </w:rPr>
        <w:t>the</w:t>
      </w:r>
      <w:r>
        <w:rPr>
          <w:rFonts w:ascii="Arial"/>
          <w:spacing w:val="-21"/>
          <w:w w:val="110"/>
          <w:sz w:val="19"/>
        </w:rPr>
        <w:t xml:space="preserve"> </w:t>
      </w:r>
      <w:r>
        <w:rPr>
          <w:rFonts w:ascii="Arial"/>
          <w:w w:val="110"/>
          <w:sz w:val="19"/>
        </w:rPr>
        <w:t>legal</w:t>
      </w:r>
      <w:r>
        <w:rPr>
          <w:rFonts w:ascii="Arial"/>
          <w:spacing w:val="-21"/>
          <w:w w:val="110"/>
          <w:sz w:val="19"/>
        </w:rPr>
        <w:t xml:space="preserve"> </w:t>
      </w:r>
      <w:r>
        <w:rPr>
          <w:rFonts w:ascii="Arial"/>
          <w:w w:val="110"/>
          <w:sz w:val="19"/>
        </w:rPr>
        <w:t>risks</w:t>
      </w:r>
      <w:r>
        <w:rPr>
          <w:rFonts w:ascii="Arial"/>
          <w:spacing w:val="-22"/>
          <w:w w:val="110"/>
          <w:sz w:val="19"/>
        </w:rPr>
        <w:t xml:space="preserve"> </w:t>
      </w:r>
      <w:r>
        <w:rPr>
          <w:rFonts w:ascii="Arial"/>
          <w:w w:val="110"/>
          <w:sz w:val="19"/>
        </w:rPr>
        <w:t>involved.</w:t>
      </w:r>
    </w:p>
    <w:p w:rsidR="007D76BB" w:rsidRDefault="00D70D28">
      <w:pPr>
        <w:spacing w:before="174"/>
        <w:ind w:left="482"/>
        <w:rPr>
          <w:rFonts w:ascii="Arial"/>
          <w:i/>
          <w:sz w:val="20"/>
        </w:rPr>
      </w:pPr>
      <w:r>
        <w:rPr>
          <w:rFonts w:ascii="Arial"/>
          <w:i/>
          <w:sz w:val="20"/>
        </w:rPr>
        <w:t>Determination of current population</w:t>
      </w:r>
    </w:p>
    <w:p w:rsidR="007D76BB" w:rsidRDefault="00D70D28">
      <w:pPr>
        <w:spacing w:before="199" w:line="266" w:lineRule="auto"/>
        <w:ind w:left="482" w:right="688"/>
        <w:rPr>
          <w:rFonts w:ascii="Arial"/>
          <w:sz w:val="19"/>
        </w:rPr>
      </w:pPr>
      <w:r>
        <w:rPr>
          <w:rFonts w:ascii="Arial"/>
          <w:w w:val="105"/>
          <w:sz w:val="19"/>
        </w:rPr>
        <w:t>The</w:t>
      </w:r>
      <w:r>
        <w:rPr>
          <w:rFonts w:ascii="Arial"/>
          <w:spacing w:val="-26"/>
          <w:w w:val="105"/>
          <w:sz w:val="19"/>
        </w:rPr>
        <w:t xml:space="preserve"> </w:t>
      </w:r>
      <w:r>
        <w:rPr>
          <w:rFonts w:ascii="Arial"/>
          <w:w w:val="105"/>
          <w:sz w:val="19"/>
        </w:rPr>
        <w:t>TGA</w:t>
      </w:r>
      <w:r>
        <w:rPr>
          <w:rFonts w:ascii="Arial"/>
          <w:spacing w:val="-25"/>
          <w:w w:val="105"/>
          <w:sz w:val="19"/>
        </w:rPr>
        <w:t xml:space="preserve"> </w:t>
      </w:r>
      <w:r>
        <w:rPr>
          <w:rFonts w:ascii="Arial"/>
          <w:w w:val="105"/>
          <w:sz w:val="19"/>
        </w:rPr>
        <w:t>supplied</w:t>
      </w:r>
      <w:r>
        <w:rPr>
          <w:rFonts w:ascii="Arial"/>
          <w:spacing w:val="-27"/>
          <w:w w:val="105"/>
          <w:sz w:val="19"/>
        </w:rPr>
        <w:t xml:space="preserve"> </w:t>
      </w:r>
      <w:r>
        <w:rPr>
          <w:rFonts w:ascii="Arial"/>
          <w:w w:val="105"/>
          <w:sz w:val="19"/>
        </w:rPr>
        <w:t>Noetic</w:t>
      </w:r>
      <w:r>
        <w:rPr>
          <w:rFonts w:ascii="Arial"/>
          <w:spacing w:val="-26"/>
          <w:w w:val="105"/>
          <w:sz w:val="19"/>
        </w:rPr>
        <w:t xml:space="preserve"> </w:t>
      </w:r>
      <w:r>
        <w:rPr>
          <w:rFonts w:ascii="Arial"/>
          <w:w w:val="105"/>
          <w:sz w:val="19"/>
        </w:rPr>
        <w:t>with</w:t>
      </w:r>
      <w:r>
        <w:rPr>
          <w:rFonts w:ascii="Arial"/>
          <w:spacing w:val="-25"/>
          <w:w w:val="105"/>
          <w:sz w:val="19"/>
        </w:rPr>
        <w:t xml:space="preserve"> </w:t>
      </w:r>
      <w:r>
        <w:rPr>
          <w:rFonts w:ascii="Arial"/>
          <w:w w:val="105"/>
          <w:sz w:val="19"/>
        </w:rPr>
        <w:t>a</w:t>
      </w:r>
      <w:r>
        <w:rPr>
          <w:rFonts w:ascii="Arial"/>
          <w:spacing w:val="-27"/>
          <w:w w:val="105"/>
          <w:sz w:val="19"/>
        </w:rPr>
        <w:t xml:space="preserve"> </w:t>
      </w:r>
      <w:r>
        <w:rPr>
          <w:rFonts w:ascii="Arial"/>
          <w:w w:val="105"/>
          <w:sz w:val="19"/>
        </w:rPr>
        <w:t>complete</w:t>
      </w:r>
      <w:r>
        <w:rPr>
          <w:rFonts w:ascii="Arial"/>
          <w:spacing w:val="-25"/>
          <w:w w:val="105"/>
          <w:sz w:val="19"/>
        </w:rPr>
        <w:t xml:space="preserve"> </w:t>
      </w:r>
      <w:r>
        <w:rPr>
          <w:rFonts w:ascii="Arial"/>
          <w:w w:val="105"/>
          <w:sz w:val="19"/>
        </w:rPr>
        <w:t>dataset</w:t>
      </w:r>
      <w:r>
        <w:rPr>
          <w:rFonts w:ascii="Arial"/>
          <w:spacing w:val="-27"/>
          <w:w w:val="105"/>
          <w:sz w:val="19"/>
        </w:rPr>
        <w:t xml:space="preserve"> </w:t>
      </w:r>
      <w:r>
        <w:rPr>
          <w:rFonts w:ascii="Arial"/>
          <w:w w:val="105"/>
          <w:sz w:val="19"/>
        </w:rPr>
        <w:t>of</w:t>
      </w:r>
      <w:r>
        <w:rPr>
          <w:rFonts w:ascii="Arial"/>
          <w:spacing w:val="-26"/>
          <w:w w:val="105"/>
          <w:sz w:val="19"/>
        </w:rPr>
        <w:t xml:space="preserve"> </w:t>
      </w:r>
      <w:r>
        <w:rPr>
          <w:rFonts w:ascii="Arial"/>
          <w:w w:val="105"/>
          <w:sz w:val="19"/>
        </w:rPr>
        <w:t>all</w:t>
      </w:r>
      <w:r>
        <w:rPr>
          <w:rFonts w:ascii="Arial"/>
          <w:spacing w:val="-27"/>
          <w:w w:val="105"/>
          <w:sz w:val="19"/>
        </w:rPr>
        <w:t xml:space="preserve"> </w:t>
      </w:r>
      <w:r>
        <w:rPr>
          <w:rFonts w:ascii="Arial"/>
          <w:w w:val="105"/>
          <w:sz w:val="19"/>
        </w:rPr>
        <w:t>listed</w:t>
      </w:r>
      <w:r>
        <w:rPr>
          <w:rFonts w:ascii="Arial"/>
          <w:spacing w:val="-27"/>
          <w:w w:val="105"/>
          <w:sz w:val="19"/>
        </w:rPr>
        <w:t xml:space="preserve"> </w:t>
      </w:r>
      <w:r>
        <w:rPr>
          <w:rFonts w:ascii="Arial"/>
          <w:w w:val="105"/>
          <w:sz w:val="19"/>
        </w:rPr>
        <w:t>medicines</w:t>
      </w:r>
      <w:r>
        <w:rPr>
          <w:rFonts w:ascii="Arial"/>
          <w:spacing w:val="-26"/>
          <w:w w:val="105"/>
          <w:sz w:val="19"/>
        </w:rPr>
        <w:t xml:space="preserve"> </w:t>
      </w:r>
      <w:r>
        <w:rPr>
          <w:rFonts w:ascii="Arial"/>
          <w:w w:val="105"/>
          <w:sz w:val="19"/>
        </w:rPr>
        <w:t>on</w:t>
      </w:r>
      <w:r>
        <w:rPr>
          <w:rFonts w:ascii="Arial"/>
          <w:spacing w:val="-26"/>
          <w:w w:val="105"/>
          <w:sz w:val="19"/>
        </w:rPr>
        <w:t xml:space="preserve"> </w:t>
      </w:r>
      <w:r>
        <w:rPr>
          <w:rFonts w:ascii="Arial"/>
          <w:w w:val="105"/>
          <w:sz w:val="19"/>
        </w:rPr>
        <w:t>the</w:t>
      </w:r>
      <w:r>
        <w:rPr>
          <w:rFonts w:ascii="Arial"/>
          <w:spacing w:val="-25"/>
          <w:w w:val="105"/>
          <w:sz w:val="19"/>
        </w:rPr>
        <w:t xml:space="preserve"> </w:t>
      </w:r>
      <w:r>
        <w:rPr>
          <w:rFonts w:ascii="Arial"/>
          <w:w w:val="105"/>
          <w:sz w:val="19"/>
        </w:rPr>
        <w:t>ARTG</w:t>
      </w:r>
      <w:r>
        <w:rPr>
          <w:rFonts w:ascii="Arial"/>
          <w:spacing w:val="-27"/>
          <w:w w:val="105"/>
          <w:sz w:val="19"/>
        </w:rPr>
        <w:t xml:space="preserve"> </w:t>
      </w:r>
      <w:r>
        <w:rPr>
          <w:rFonts w:ascii="Arial"/>
          <w:w w:val="105"/>
          <w:sz w:val="19"/>
        </w:rPr>
        <w:t>as</w:t>
      </w:r>
      <w:r>
        <w:rPr>
          <w:rFonts w:ascii="Arial"/>
          <w:spacing w:val="-26"/>
          <w:w w:val="105"/>
          <w:sz w:val="19"/>
        </w:rPr>
        <w:t xml:space="preserve"> </w:t>
      </w:r>
      <w:r>
        <w:rPr>
          <w:rFonts w:ascii="Arial"/>
          <w:w w:val="105"/>
          <w:sz w:val="19"/>
        </w:rPr>
        <w:t>at</w:t>
      </w:r>
      <w:r>
        <w:rPr>
          <w:rFonts w:ascii="Arial"/>
          <w:spacing w:val="-26"/>
          <w:w w:val="105"/>
          <w:sz w:val="19"/>
        </w:rPr>
        <w:t xml:space="preserve"> </w:t>
      </w:r>
      <w:r>
        <w:rPr>
          <w:rFonts w:ascii="Arial"/>
          <w:w w:val="105"/>
          <w:sz w:val="19"/>
        </w:rPr>
        <w:t>20</w:t>
      </w:r>
      <w:r>
        <w:rPr>
          <w:rFonts w:ascii="Arial"/>
          <w:spacing w:val="-26"/>
          <w:w w:val="105"/>
          <w:sz w:val="19"/>
        </w:rPr>
        <w:t xml:space="preserve"> </w:t>
      </w:r>
      <w:r>
        <w:rPr>
          <w:rFonts w:ascii="Arial"/>
          <w:w w:val="105"/>
          <w:sz w:val="19"/>
        </w:rPr>
        <w:t>March 2020.</w:t>
      </w:r>
      <w:r>
        <w:rPr>
          <w:rFonts w:ascii="Arial"/>
          <w:spacing w:val="-23"/>
          <w:w w:val="105"/>
          <w:sz w:val="19"/>
        </w:rPr>
        <w:t xml:space="preserve"> </w:t>
      </w:r>
      <w:r>
        <w:rPr>
          <w:rFonts w:ascii="Arial"/>
          <w:w w:val="105"/>
          <w:sz w:val="19"/>
        </w:rPr>
        <w:t>After</w:t>
      </w:r>
      <w:r>
        <w:rPr>
          <w:rFonts w:ascii="Arial"/>
          <w:spacing w:val="-24"/>
          <w:w w:val="105"/>
          <w:sz w:val="19"/>
        </w:rPr>
        <w:t xml:space="preserve"> </w:t>
      </w:r>
      <w:r>
        <w:rPr>
          <w:rFonts w:ascii="Arial"/>
          <w:w w:val="105"/>
          <w:sz w:val="19"/>
        </w:rPr>
        <w:t>data</w:t>
      </w:r>
      <w:r>
        <w:rPr>
          <w:rFonts w:ascii="Arial"/>
          <w:spacing w:val="-23"/>
          <w:w w:val="105"/>
          <w:sz w:val="19"/>
        </w:rPr>
        <w:t xml:space="preserve"> </w:t>
      </w:r>
      <w:r>
        <w:rPr>
          <w:rFonts w:ascii="Arial"/>
          <w:w w:val="105"/>
          <w:sz w:val="19"/>
        </w:rPr>
        <w:t>cleansing</w:t>
      </w:r>
      <w:r>
        <w:rPr>
          <w:rFonts w:ascii="Arial"/>
          <w:spacing w:val="-24"/>
          <w:w w:val="105"/>
          <w:sz w:val="19"/>
        </w:rPr>
        <w:t xml:space="preserve"> </w:t>
      </w:r>
      <w:r>
        <w:rPr>
          <w:rFonts w:ascii="Arial"/>
          <w:w w:val="105"/>
          <w:sz w:val="19"/>
        </w:rPr>
        <w:t>was</w:t>
      </w:r>
      <w:r>
        <w:rPr>
          <w:rFonts w:ascii="Arial"/>
          <w:spacing w:val="-23"/>
          <w:w w:val="105"/>
          <w:sz w:val="19"/>
        </w:rPr>
        <w:t xml:space="preserve"> </w:t>
      </w:r>
      <w:r>
        <w:rPr>
          <w:rFonts w:ascii="Arial"/>
          <w:w w:val="105"/>
          <w:sz w:val="19"/>
        </w:rPr>
        <w:t>completed</w:t>
      </w:r>
      <w:r>
        <w:rPr>
          <w:rFonts w:ascii="Arial"/>
          <w:spacing w:val="-23"/>
          <w:w w:val="105"/>
          <w:sz w:val="19"/>
        </w:rPr>
        <w:t xml:space="preserve"> </w:t>
      </w:r>
      <w:r>
        <w:rPr>
          <w:rFonts w:ascii="Arial"/>
          <w:w w:val="105"/>
          <w:sz w:val="19"/>
        </w:rPr>
        <w:t>there</w:t>
      </w:r>
      <w:r>
        <w:rPr>
          <w:rFonts w:ascii="Arial"/>
          <w:spacing w:val="-24"/>
          <w:w w:val="105"/>
          <w:sz w:val="19"/>
        </w:rPr>
        <w:t xml:space="preserve"> </w:t>
      </w:r>
      <w:r>
        <w:rPr>
          <w:rFonts w:ascii="Arial"/>
          <w:w w:val="105"/>
          <w:sz w:val="19"/>
        </w:rPr>
        <w:t>were</w:t>
      </w:r>
      <w:r>
        <w:rPr>
          <w:rFonts w:ascii="Arial"/>
          <w:spacing w:val="-24"/>
          <w:w w:val="105"/>
          <w:sz w:val="19"/>
        </w:rPr>
        <w:t xml:space="preserve"> </w:t>
      </w:r>
      <w:r>
        <w:rPr>
          <w:rFonts w:ascii="Arial"/>
          <w:w w:val="105"/>
          <w:sz w:val="19"/>
        </w:rPr>
        <w:t>10,595</w:t>
      </w:r>
      <w:r>
        <w:rPr>
          <w:rFonts w:ascii="Arial"/>
          <w:spacing w:val="-23"/>
          <w:w w:val="105"/>
          <w:sz w:val="19"/>
        </w:rPr>
        <w:t xml:space="preserve"> </w:t>
      </w:r>
      <w:r>
        <w:rPr>
          <w:rFonts w:ascii="Arial"/>
          <w:w w:val="105"/>
          <w:sz w:val="19"/>
        </w:rPr>
        <w:t>distinct</w:t>
      </w:r>
      <w:r>
        <w:rPr>
          <w:rFonts w:ascii="Arial"/>
          <w:spacing w:val="-23"/>
          <w:w w:val="105"/>
          <w:sz w:val="19"/>
        </w:rPr>
        <w:t xml:space="preserve"> </w:t>
      </w:r>
      <w:r>
        <w:rPr>
          <w:rFonts w:ascii="Arial"/>
          <w:w w:val="105"/>
          <w:sz w:val="19"/>
        </w:rPr>
        <w:t>entries</w:t>
      </w:r>
      <w:r>
        <w:rPr>
          <w:rFonts w:ascii="Arial"/>
          <w:spacing w:val="-20"/>
          <w:w w:val="105"/>
          <w:sz w:val="19"/>
        </w:rPr>
        <w:t xml:space="preserve"> </w:t>
      </w:r>
      <w:r>
        <w:rPr>
          <w:rFonts w:ascii="Arial"/>
          <w:w w:val="105"/>
          <w:sz w:val="19"/>
        </w:rPr>
        <w:t>and</w:t>
      </w:r>
      <w:r>
        <w:rPr>
          <w:rFonts w:ascii="Arial"/>
          <w:spacing w:val="-23"/>
          <w:w w:val="105"/>
          <w:sz w:val="19"/>
        </w:rPr>
        <w:t xml:space="preserve"> </w:t>
      </w:r>
      <w:r>
        <w:rPr>
          <w:rFonts w:ascii="Arial"/>
          <w:w w:val="105"/>
          <w:sz w:val="19"/>
        </w:rPr>
        <w:t>1016</w:t>
      </w:r>
      <w:r>
        <w:rPr>
          <w:rFonts w:ascii="Arial"/>
          <w:spacing w:val="-26"/>
          <w:w w:val="105"/>
          <w:sz w:val="19"/>
        </w:rPr>
        <w:t xml:space="preserve"> </w:t>
      </w:r>
      <w:r>
        <w:rPr>
          <w:rFonts w:ascii="Arial"/>
          <w:w w:val="105"/>
          <w:sz w:val="19"/>
        </w:rPr>
        <w:t>sponsors.</w:t>
      </w:r>
    </w:p>
    <w:p w:rsidR="007D76BB" w:rsidRDefault="00D70D28">
      <w:pPr>
        <w:spacing w:before="175" w:line="264" w:lineRule="auto"/>
        <w:ind w:left="482" w:right="906"/>
        <w:rPr>
          <w:rFonts w:ascii="Arial" w:hAnsi="Arial"/>
          <w:sz w:val="19"/>
        </w:rPr>
      </w:pPr>
      <w:r>
        <w:rPr>
          <w:rFonts w:ascii="Arial" w:hAnsi="Arial"/>
          <w:w w:val="105"/>
          <w:sz w:val="19"/>
        </w:rPr>
        <w:t>Separately, Noetic produced a second dataset through desktop research on various Australian sports supplement companies (including manufacturers (but excluding contract manufacturers), distributers</w:t>
      </w:r>
      <w:r>
        <w:rPr>
          <w:rFonts w:ascii="Arial" w:hAnsi="Arial"/>
          <w:spacing w:val="-33"/>
          <w:w w:val="105"/>
          <w:sz w:val="19"/>
        </w:rPr>
        <w:t xml:space="preserve"> </w:t>
      </w:r>
      <w:r>
        <w:rPr>
          <w:rFonts w:ascii="Arial" w:hAnsi="Arial"/>
          <w:w w:val="105"/>
          <w:sz w:val="19"/>
        </w:rPr>
        <w:t>and</w:t>
      </w:r>
      <w:r>
        <w:rPr>
          <w:rFonts w:ascii="Arial" w:hAnsi="Arial"/>
          <w:spacing w:val="-34"/>
          <w:w w:val="105"/>
          <w:sz w:val="19"/>
        </w:rPr>
        <w:t xml:space="preserve"> </w:t>
      </w:r>
      <w:r>
        <w:rPr>
          <w:rFonts w:ascii="Arial" w:hAnsi="Arial"/>
          <w:w w:val="105"/>
          <w:sz w:val="19"/>
        </w:rPr>
        <w:t>retailers),</w:t>
      </w:r>
      <w:r>
        <w:rPr>
          <w:rFonts w:ascii="Arial" w:hAnsi="Arial"/>
          <w:spacing w:val="-33"/>
          <w:w w:val="105"/>
          <w:sz w:val="19"/>
        </w:rPr>
        <w:t xml:space="preserve"> </w:t>
      </w:r>
      <w:r>
        <w:rPr>
          <w:rFonts w:ascii="Arial" w:hAnsi="Arial"/>
          <w:w w:val="105"/>
          <w:sz w:val="19"/>
        </w:rPr>
        <w:t>supplemented</w:t>
      </w:r>
      <w:r>
        <w:rPr>
          <w:rFonts w:ascii="Arial" w:hAnsi="Arial"/>
          <w:spacing w:val="-34"/>
          <w:w w:val="105"/>
          <w:sz w:val="19"/>
        </w:rPr>
        <w:t xml:space="preserve"> </w:t>
      </w:r>
      <w:r>
        <w:rPr>
          <w:rFonts w:ascii="Arial" w:hAnsi="Arial"/>
          <w:w w:val="105"/>
          <w:sz w:val="19"/>
        </w:rPr>
        <w:t>by</w:t>
      </w:r>
      <w:r>
        <w:rPr>
          <w:rFonts w:ascii="Arial" w:hAnsi="Arial"/>
          <w:spacing w:val="-33"/>
          <w:w w:val="105"/>
          <w:sz w:val="19"/>
        </w:rPr>
        <w:t xml:space="preserve"> </w:t>
      </w:r>
      <w:r>
        <w:rPr>
          <w:rFonts w:ascii="Arial" w:hAnsi="Arial"/>
          <w:w w:val="105"/>
          <w:sz w:val="19"/>
        </w:rPr>
        <w:t>cross-referencing</w:t>
      </w:r>
      <w:r>
        <w:rPr>
          <w:rFonts w:ascii="Arial" w:hAnsi="Arial"/>
          <w:spacing w:val="-33"/>
          <w:w w:val="105"/>
          <w:sz w:val="19"/>
        </w:rPr>
        <w:t xml:space="preserve"> </w:t>
      </w:r>
      <w:r>
        <w:rPr>
          <w:rFonts w:ascii="Arial" w:hAnsi="Arial"/>
          <w:w w:val="105"/>
          <w:sz w:val="19"/>
        </w:rPr>
        <w:t>against</w:t>
      </w:r>
      <w:r>
        <w:rPr>
          <w:rFonts w:ascii="Arial" w:hAnsi="Arial"/>
          <w:spacing w:val="-32"/>
          <w:w w:val="105"/>
          <w:sz w:val="19"/>
        </w:rPr>
        <w:t xml:space="preserve"> </w:t>
      </w:r>
      <w:r>
        <w:rPr>
          <w:rFonts w:ascii="Arial" w:hAnsi="Arial"/>
          <w:w w:val="105"/>
          <w:sz w:val="19"/>
        </w:rPr>
        <w:t>the</w:t>
      </w:r>
      <w:r>
        <w:rPr>
          <w:rFonts w:ascii="Arial" w:hAnsi="Arial"/>
          <w:spacing w:val="-34"/>
          <w:w w:val="105"/>
          <w:sz w:val="19"/>
        </w:rPr>
        <w:t xml:space="preserve"> </w:t>
      </w:r>
      <w:r>
        <w:rPr>
          <w:rFonts w:ascii="Arial" w:hAnsi="Arial"/>
          <w:w w:val="105"/>
          <w:sz w:val="19"/>
        </w:rPr>
        <w:t>TGA’s</w:t>
      </w:r>
      <w:r>
        <w:rPr>
          <w:rFonts w:ascii="Arial" w:hAnsi="Arial"/>
          <w:spacing w:val="-33"/>
          <w:w w:val="105"/>
          <w:sz w:val="19"/>
        </w:rPr>
        <w:t xml:space="preserve"> </w:t>
      </w:r>
      <w:r>
        <w:rPr>
          <w:rFonts w:ascii="Arial" w:hAnsi="Arial"/>
          <w:w w:val="105"/>
          <w:sz w:val="19"/>
        </w:rPr>
        <w:t>known</w:t>
      </w:r>
      <w:r>
        <w:rPr>
          <w:rFonts w:ascii="Arial" w:hAnsi="Arial"/>
          <w:spacing w:val="-33"/>
          <w:w w:val="105"/>
          <w:sz w:val="19"/>
        </w:rPr>
        <w:t xml:space="preserve"> </w:t>
      </w:r>
      <w:r>
        <w:rPr>
          <w:rFonts w:ascii="Arial" w:hAnsi="Arial"/>
          <w:w w:val="105"/>
          <w:sz w:val="19"/>
        </w:rPr>
        <w:t>stakeholder list (i.e. invited/attended workshops) and companies mentioned in industry reports on the sports supplements</w:t>
      </w:r>
      <w:r>
        <w:rPr>
          <w:rFonts w:ascii="Arial" w:hAnsi="Arial"/>
          <w:spacing w:val="-25"/>
          <w:w w:val="105"/>
          <w:sz w:val="19"/>
        </w:rPr>
        <w:t xml:space="preserve"> </w:t>
      </w:r>
      <w:r>
        <w:rPr>
          <w:rFonts w:ascii="Arial" w:hAnsi="Arial"/>
          <w:w w:val="105"/>
          <w:sz w:val="19"/>
        </w:rPr>
        <w:t>and</w:t>
      </w:r>
      <w:r>
        <w:rPr>
          <w:rFonts w:ascii="Arial" w:hAnsi="Arial"/>
          <w:spacing w:val="-24"/>
          <w:w w:val="105"/>
          <w:sz w:val="19"/>
        </w:rPr>
        <w:t xml:space="preserve"> </w:t>
      </w:r>
      <w:r>
        <w:rPr>
          <w:rFonts w:ascii="Arial" w:hAnsi="Arial"/>
          <w:w w:val="105"/>
          <w:sz w:val="19"/>
        </w:rPr>
        <w:t>vitamins</w:t>
      </w:r>
      <w:r>
        <w:rPr>
          <w:rFonts w:ascii="Arial" w:hAnsi="Arial"/>
          <w:spacing w:val="-24"/>
          <w:w w:val="105"/>
          <w:sz w:val="19"/>
        </w:rPr>
        <w:t xml:space="preserve"> </w:t>
      </w:r>
      <w:r>
        <w:rPr>
          <w:rFonts w:ascii="Arial" w:hAnsi="Arial"/>
          <w:w w:val="105"/>
          <w:sz w:val="19"/>
        </w:rPr>
        <w:t>sector.</w:t>
      </w:r>
      <w:r>
        <w:rPr>
          <w:rFonts w:ascii="Arial" w:hAnsi="Arial"/>
          <w:spacing w:val="-22"/>
          <w:w w:val="105"/>
          <w:sz w:val="19"/>
        </w:rPr>
        <w:t xml:space="preserve"> </w:t>
      </w:r>
      <w:r>
        <w:rPr>
          <w:rFonts w:ascii="Arial" w:hAnsi="Arial"/>
          <w:w w:val="105"/>
          <w:sz w:val="19"/>
        </w:rPr>
        <w:t>The</w:t>
      </w:r>
      <w:r>
        <w:rPr>
          <w:rFonts w:ascii="Arial" w:hAnsi="Arial"/>
          <w:spacing w:val="-24"/>
          <w:w w:val="105"/>
          <w:sz w:val="19"/>
        </w:rPr>
        <w:t xml:space="preserve"> </w:t>
      </w:r>
      <w:r>
        <w:rPr>
          <w:rFonts w:ascii="Arial" w:hAnsi="Arial"/>
          <w:w w:val="105"/>
          <w:sz w:val="19"/>
        </w:rPr>
        <w:t>purpose</w:t>
      </w:r>
      <w:r>
        <w:rPr>
          <w:rFonts w:ascii="Arial" w:hAnsi="Arial"/>
          <w:spacing w:val="-22"/>
          <w:w w:val="105"/>
          <w:sz w:val="19"/>
        </w:rPr>
        <w:t xml:space="preserve"> </w:t>
      </w:r>
      <w:r>
        <w:rPr>
          <w:rFonts w:ascii="Arial" w:hAnsi="Arial"/>
          <w:w w:val="105"/>
          <w:sz w:val="19"/>
        </w:rPr>
        <w:t>of</w:t>
      </w:r>
      <w:r>
        <w:rPr>
          <w:rFonts w:ascii="Arial" w:hAnsi="Arial"/>
          <w:spacing w:val="-24"/>
          <w:w w:val="105"/>
          <w:sz w:val="19"/>
        </w:rPr>
        <w:t xml:space="preserve"> </w:t>
      </w:r>
      <w:r>
        <w:rPr>
          <w:rFonts w:ascii="Arial" w:hAnsi="Arial"/>
          <w:w w:val="105"/>
          <w:sz w:val="19"/>
        </w:rPr>
        <w:t>this</w:t>
      </w:r>
      <w:r>
        <w:rPr>
          <w:rFonts w:ascii="Arial" w:hAnsi="Arial"/>
          <w:spacing w:val="-23"/>
          <w:w w:val="105"/>
          <w:sz w:val="19"/>
        </w:rPr>
        <w:t xml:space="preserve"> </w:t>
      </w:r>
      <w:r>
        <w:rPr>
          <w:rFonts w:ascii="Arial" w:hAnsi="Arial"/>
          <w:w w:val="105"/>
          <w:sz w:val="19"/>
        </w:rPr>
        <w:t>dataset</w:t>
      </w:r>
      <w:r>
        <w:rPr>
          <w:rFonts w:ascii="Arial" w:hAnsi="Arial"/>
          <w:spacing w:val="-24"/>
          <w:w w:val="105"/>
          <w:sz w:val="19"/>
        </w:rPr>
        <w:t xml:space="preserve"> </w:t>
      </w:r>
      <w:r>
        <w:rPr>
          <w:rFonts w:ascii="Arial" w:hAnsi="Arial"/>
          <w:w w:val="105"/>
          <w:sz w:val="19"/>
        </w:rPr>
        <w:t>was</w:t>
      </w:r>
      <w:r>
        <w:rPr>
          <w:rFonts w:ascii="Arial" w:hAnsi="Arial"/>
          <w:spacing w:val="-24"/>
          <w:w w:val="105"/>
          <w:sz w:val="19"/>
        </w:rPr>
        <w:t xml:space="preserve"> </w:t>
      </w:r>
      <w:r>
        <w:rPr>
          <w:rFonts w:ascii="Arial" w:hAnsi="Arial"/>
          <w:w w:val="105"/>
          <w:sz w:val="19"/>
        </w:rPr>
        <w:t>to</w:t>
      </w:r>
      <w:r>
        <w:rPr>
          <w:rFonts w:ascii="Arial" w:hAnsi="Arial"/>
          <w:spacing w:val="-22"/>
          <w:w w:val="105"/>
          <w:sz w:val="19"/>
        </w:rPr>
        <w:t xml:space="preserve"> </w:t>
      </w:r>
      <w:r>
        <w:rPr>
          <w:rFonts w:ascii="Arial" w:hAnsi="Arial"/>
          <w:w w:val="105"/>
          <w:sz w:val="19"/>
        </w:rPr>
        <w:t>identify</w:t>
      </w:r>
      <w:r>
        <w:rPr>
          <w:rFonts w:ascii="Arial" w:hAnsi="Arial"/>
          <w:spacing w:val="-23"/>
          <w:w w:val="105"/>
          <w:sz w:val="19"/>
        </w:rPr>
        <w:t xml:space="preserve"> </w:t>
      </w:r>
      <w:r>
        <w:rPr>
          <w:rFonts w:ascii="Arial" w:hAnsi="Arial"/>
          <w:w w:val="105"/>
          <w:sz w:val="19"/>
        </w:rPr>
        <w:t>companies</w:t>
      </w:r>
      <w:r>
        <w:rPr>
          <w:rFonts w:ascii="Arial" w:hAnsi="Arial"/>
          <w:spacing w:val="-23"/>
          <w:w w:val="105"/>
          <w:sz w:val="19"/>
        </w:rPr>
        <w:t xml:space="preserve"> </w:t>
      </w:r>
      <w:r>
        <w:rPr>
          <w:rFonts w:ascii="Arial" w:hAnsi="Arial"/>
          <w:w w:val="105"/>
          <w:sz w:val="19"/>
        </w:rPr>
        <w:t>within</w:t>
      </w:r>
      <w:r>
        <w:rPr>
          <w:rFonts w:ascii="Arial" w:hAnsi="Arial"/>
          <w:spacing w:val="-23"/>
          <w:w w:val="105"/>
          <w:sz w:val="19"/>
        </w:rPr>
        <w:t xml:space="preserve"> </w:t>
      </w:r>
      <w:r>
        <w:rPr>
          <w:rFonts w:ascii="Arial" w:hAnsi="Arial"/>
          <w:w w:val="105"/>
          <w:sz w:val="19"/>
        </w:rPr>
        <w:t>the sports supplement industry that are or could be potential sponsors. This population largely consisted of manufacturers/brand owners who sell products through online websites; either their own or via a major retailer (such as Nutrition Warehouse). This data was cross-checked and supplemented</w:t>
      </w:r>
      <w:r>
        <w:rPr>
          <w:rFonts w:ascii="Arial" w:hAnsi="Arial"/>
          <w:spacing w:val="-22"/>
          <w:w w:val="105"/>
          <w:sz w:val="19"/>
        </w:rPr>
        <w:t xml:space="preserve"> </w:t>
      </w:r>
      <w:r>
        <w:rPr>
          <w:rFonts w:ascii="Arial" w:hAnsi="Arial"/>
          <w:w w:val="105"/>
          <w:sz w:val="19"/>
        </w:rPr>
        <w:t>by</w:t>
      </w:r>
      <w:r>
        <w:rPr>
          <w:rFonts w:ascii="Arial" w:hAnsi="Arial"/>
          <w:spacing w:val="-22"/>
          <w:w w:val="105"/>
          <w:sz w:val="19"/>
        </w:rPr>
        <w:t xml:space="preserve"> </w:t>
      </w:r>
      <w:r>
        <w:rPr>
          <w:rFonts w:ascii="Arial" w:hAnsi="Arial"/>
          <w:w w:val="105"/>
          <w:sz w:val="19"/>
        </w:rPr>
        <w:t>the</w:t>
      </w:r>
      <w:r>
        <w:rPr>
          <w:rFonts w:ascii="Arial" w:hAnsi="Arial"/>
          <w:spacing w:val="-21"/>
          <w:w w:val="105"/>
          <w:sz w:val="19"/>
        </w:rPr>
        <w:t xml:space="preserve"> </w:t>
      </w:r>
      <w:r>
        <w:rPr>
          <w:rFonts w:ascii="Arial" w:hAnsi="Arial"/>
          <w:w w:val="105"/>
          <w:sz w:val="19"/>
        </w:rPr>
        <w:t>listing</w:t>
      </w:r>
      <w:r>
        <w:rPr>
          <w:rFonts w:ascii="Arial" w:hAnsi="Arial"/>
          <w:spacing w:val="-21"/>
          <w:w w:val="105"/>
          <w:sz w:val="19"/>
        </w:rPr>
        <w:t xml:space="preserve"> </w:t>
      </w:r>
      <w:r>
        <w:rPr>
          <w:rFonts w:ascii="Arial" w:hAnsi="Arial"/>
          <w:w w:val="105"/>
          <w:sz w:val="19"/>
        </w:rPr>
        <w:t>of</w:t>
      </w:r>
      <w:r>
        <w:rPr>
          <w:rFonts w:ascii="Arial" w:hAnsi="Arial"/>
          <w:spacing w:val="-21"/>
          <w:w w:val="105"/>
          <w:sz w:val="19"/>
        </w:rPr>
        <w:t xml:space="preserve"> </w:t>
      </w:r>
      <w:r>
        <w:rPr>
          <w:rFonts w:ascii="Arial" w:hAnsi="Arial"/>
          <w:w w:val="105"/>
          <w:sz w:val="19"/>
        </w:rPr>
        <w:t>domestic</w:t>
      </w:r>
      <w:r>
        <w:rPr>
          <w:rFonts w:ascii="Arial" w:hAnsi="Arial"/>
          <w:spacing w:val="-20"/>
          <w:w w:val="105"/>
          <w:sz w:val="19"/>
        </w:rPr>
        <w:t xml:space="preserve"> </w:t>
      </w:r>
      <w:r>
        <w:rPr>
          <w:rFonts w:ascii="Arial" w:hAnsi="Arial"/>
          <w:w w:val="105"/>
          <w:sz w:val="19"/>
        </w:rPr>
        <w:t>manufacturers/brand</w:t>
      </w:r>
      <w:r>
        <w:rPr>
          <w:rFonts w:ascii="Arial" w:hAnsi="Arial"/>
          <w:spacing w:val="-21"/>
          <w:w w:val="105"/>
          <w:sz w:val="19"/>
        </w:rPr>
        <w:t xml:space="preserve"> </w:t>
      </w:r>
      <w:r>
        <w:rPr>
          <w:rFonts w:ascii="Arial" w:hAnsi="Arial"/>
          <w:w w:val="105"/>
          <w:sz w:val="19"/>
        </w:rPr>
        <w:t>owners</w:t>
      </w:r>
      <w:r>
        <w:rPr>
          <w:rFonts w:ascii="Arial" w:hAnsi="Arial"/>
          <w:w w:val="105"/>
          <w:position w:val="7"/>
          <w:sz w:val="11"/>
        </w:rPr>
        <w:t>62</w:t>
      </w:r>
      <w:r>
        <w:rPr>
          <w:rFonts w:ascii="Arial" w:hAnsi="Arial"/>
          <w:spacing w:val="3"/>
          <w:w w:val="105"/>
          <w:position w:val="7"/>
          <w:sz w:val="11"/>
        </w:rPr>
        <w:t xml:space="preserve"> </w:t>
      </w:r>
      <w:r>
        <w:rPr>
          <w:rFonts w:ascii="Arial" w:hAnsi="Arial"/>
          <w:w w:val="105"/>
          <w:sz w:val="19"/>
        </w:rPr>
        <w:t>determined</w:t>
      </w:r>
      <w:r>
        <w:rPr>
          <w:rFonts w:ascii="Arial" w:hAnsi="Arial"/>
          <w:spacing w:val="-21"/>
          <w:w w:val="105"/>
          <w:sz w:val="19"/>
        </w:rPr>
        <w:t xml:space="preserve"> </w:t>
      </w:r>
      <w:r>
        <w:rPr>
          <w:rFonts w:ascii="Arial" w:hAnsi="Arial"/>
          <w:w w:val="105"/>
          <w:sz w:val="19"/>
        </w:rPr>
        <w:t>via</w:t>
      </w:r>
      <w:r>
        <w:rPr>
          <w:rFonts w:ascii="Arial" w:hAnsi="Arial"/>
          <w:spacing w:val="-20"/>
          <w:w w:val="105"/>
          <w:sz w:val="19"/>
        </w:rPr>
        <w:t xml:space="preserve"> </w:t>
      </w:r>
      <w:r>
        <w:rPr>
          <w:rFonts w:ascii="Arial" w:hAnsi="Arial"/>
          <w:w w:val="105"/>
          <w:sz w:val="19"/>
        </w:rPr>
        <w:t>the</w:t>
      </w:r>
      <w:r>
        <w:rPr>
          <w:rFonts w:ascii="Arial" w:hAnsi="Arial"/>
          <w:spacing w:val="-21"/>
          <w:w w:val="105"/>
          <w:sz w:val="19"/>
        </w:rPr>
        <w:t xml:space="preserve"> </w:t>
      </w:r>
      <w:r>
        <w:rPr>
          <w:rFonts w:ascii="Arial" w:hAnsi="Arial"/>
          <w:w w:val="105"/>
          <w:sz w:val="19"/>
        </w:rPr>
        <w:t>product analysis.</w:t>
      </w:r>
      <w:r>
        <w:rPr>
          <w:rFonts w:ascii="Arial" w:hAnsi="Arial"/>
          <w:spacing w:val="-21"/>
          <w:w w:val="105"/>
          <w:sz w:val="19"/>
        </w:rPr>
        <w:t xml:space="preserve"> </w:t>
      </w:r>
      <w:r>
        <w:rPr>
          <w:rFonts w:ascii="Arial" w:hAnsi="Arial"/>
          <w:w w:val="105"/>
          <w:sz w:val="19"/>
        </w:rPr>
        <w:t>The</w:t>
      </w:r>
      <w:r>
        <w:rPr>
          <w:rFonts w:ascii="Arial" w:hAnsi="Arial"/>
          <w:spacing w:val="-21"/>
          <w:w w:val="105"/>
          <w:sz w:val="19"/>
        </w:rPr>
        <w:t xml:space="preserve"> </w:t>
      </w:r>
      <w:r>
        <w:rPr>
          <w:rFonts w:ascii="Arial" w:hAnsi="Arial"/>
          <w:w w:val="105"/>
          <w:sz w:val="19"/>
        </w:rPr>
        <w:t>key</w:t>
      </w:r>
      <w:r>
        <w:rPr>
          <w:rFonts w:ascii="Arial" w:hAnsi="Arial"/>
          <w:spacing w:val="-22"/>
          <w:w w:val="105"/>
          <w:sz w:val="19"/>
        </w:rPr>
        <w:t xml:space="preserve"> </w:t>
      </w:r>
      <w:r>
        <w:rPr>
          <w:rFonts w:ascii="Arial" w:hAnsi="Arial"/>
          <w:w w:val="105"/>
          <w:sz w:val="19"/>
        </w:rPr>
        <w:t>purpose</w:t>
      </w:r>
      <w:r>
        <w:rPr>
          <w:rFonts w:ascii="Arial" w:hAnsi="Arial"/>
          <w:spacing w:val="-20"/>
          <w:w w:val="105"/>
          <w:sz w:val="19"/>
        </w:rPr>
        <w:t xml:space="preserve"> </w:t>
      </w:r>
      <w:r>
        <w:rPr>
          <w:rFonts w:ascii="Arial" w:hAnsi="Arial"/>
          <w:w w:val="105"/>
          <w:sz w:val="19"/>
        </w:rPr>
        <w:t>of</w:t>
      </w:r>
      <w:r>
        <w:rPr>
          <w:rFonts w:ascii="Arial" w:hAnsi="Arial"/>
          <w:spacing w:val="-22"/>
          <w:w w:val="105"/>
          <w:sz w:val="19"/>
        </w:rPr>
        <w:t xml:space="preserve"> </w:t>
      </w:r>
      <w:r>
        <w:rPr>
          <w:rFonts w:ascii="Arial" w:hAnsi="Arial"/>
          <w:w w:val="105"/>
          <w:sz w:val="19"/>
        </w:rPr>
        <w:t>this</w:t>
      </w:r>
      <w:r>
        <w:rPr>
          <w:rFonts w:ascii="Arial" w:hAnsi="Arial"/>
          <w:spacing w:val="-20"/>
          <w:w w:val="105"/>
          <w:sz w:val="19"/>
        </w:rPr>
        <w:t xml:space="preserve"> </w:t>
      </w:r>
      <w:r>
        <w:rPr>
          <w:rFonts w:ascii="Arial" w:hAnsi="Arial"/>
          <w:w w:val="105"/>
          <w:sz w:val="19"/>
        </w:rPr>
        <w:t>dataset</w:t>
      </w:r>
      <w:r>
        <w:rPr>
          <w:rFonts w:ascii="Arial" w:hAnsi="Arial"/>
          <w:spacing w:val="-21"/>
          <w:w w:val="105"/>
          <w:sz w:val="19"/>
        </w:rPr>
        <w:t xml:space="preserve"> </w:t>
      </w:r>
      <w:r>
        <w:rPr>
          <w:rFonts w:ascii="Arial" w:hAnsi="Arial"/>
          <w:w w:val="105"/>
          <w:sz w:val="19"/>
        </w:rPr>
        <w:t>was</w:t>
      </w:r>
      <w:r>
        <w:rPr>
          <w:rFonts w:ascii="Arial" w:hAnsi="Arial"/>
          <w:spacing w:val="-22"/>
          <w:w w:val="105"/>
          <w:sz w:val="19"/>
        </w:rPr>
        <w:t xml:space="preserve"> </w:t>
      </w:r>
      <w:r>
        <w:rPr>
          <w:rFonts w:ascii="Arial" w:hAnsi="Arial"/>
          <w:w w:val="105"/>
          <w:sz w:val="19"/>
        </w:rPr>
        <w:t>to</w:t>
      </w:r>
      <w:r>
        <w:rPr>
          <w:rFonts w:ascii="Arial" w:hAnsi="Arial"/>
          <w:spacing w:val="-22"/>
          <w:w w:val="105"/>
          <w:sz w:val="19"/>
        </w:rPr>
        <w:t xml:space="preserve"> </w:t>
      </w:r>
      <w:r>
        <w:rPr>
          <w:rFonts w:ascii="Arial" w:hAnsi="Arial"/>
          <w:w w:val="105"/>
          <w:sz w:val="19"/>
        </w:rPr>
        <w:t>compile</w:t>
      </w:r>
      <w:r>
        <w:rPr>
          <w:rFonts w:ascii="Arial" w:hAnsi="Arial"/>
          <w:spacing w:val="-20"/>
          <w:w w:val="105"/>
          <w:sz w:val="19"/>
        </w:rPr>
        <w:t xml:space="preserve"> </w:t>
      </w:r>
      <w:r>
        <w:rPr>
          <w:rFonts w:ascii="Arial" w:hAnsi="Arial"/>
          <w:w w:val="105"/>
          <w:sz w:val="19"/>
        </w:rPr>
        <w:t>a</w:t>
      </w:r>
      <w:r>
        <w:rPr>
          <w:rFonts w:ascii="Arial" w:hAnsi="Arial"/>
          <w:spacing w:val="-18"/>
          <w:w w:val="105"/>
          <w:sz w:val="19"/>
        </w:rPr>
        <w:t xml:space="preserve"> </w:t>
      </w:r>
      <w:r>
        <w:rPr>
          <w:rFonts w:ascii="Arial" w:hAnsi="Arial"/>
          <w:w w:val="105"/>
          <w:sz w:val="19"/>
        </w:rPr>
        <w:t>listing</w:t>
      </w:r>
      <w:r>
        <w:rPr>
          <w:rFonts w:ascii="Arial" w:hAnsi="Arial"/>
          <w:spacing w:val="-19"/>
          <w:w w:val="105"/>
          <w:sz w:val="19"/>
        </w:rPr>
        <w:t xml:space="preserve"> </w:t>
      </w:r>
      <w:r>
        <w:rPr>
          <w:rFonts w:ascii="Arial" w:hAnsi="Arial"/>
          <w:w w:val="105"/>
          <w:sz w:val="19"/>
        </w:rPr>
        <w:t>of</w:t>
      </w:r>
      <w:r>
        <w:rPr>
          <w:rFonts w:ascii="Arial" w:hAnsi="Arial"/>
          <w:spacing w:val="-21"/>
          <w:w w:val="105"/>
          <w:sz w:val="19"/>
        </w:rPr>
        <w:t xml:space="preserve"> </w:t>
      </w:r>
      <w:r>
        <w:rPr>
          <w:rFonts w:ascii="Arial" w:hAnsi="Arial"/>
          <w:w w:val="105"/>
          <w:sz w:val="19"/>
        </w:rPr>
        <w:t>existing</w:t>
      </w:r>
      <w:r>
        <w:rPr>
          <w:rFonts w:ascii="Arial" w:hAnsi="Arial"/>
          <w:spacing w:val="-21"/>
          <w:w w:val="105"/>
          <w:sz w:val="19"/>
        </w:rPr>
        <w:t xml:space="preserve"> </w:t>
      </w:r>
      <w:r>
        <w:rPr>
          <w:rFonts w:ascii="Arial" w:hAnsi="Arial"/>
          <w:w w:val="105"/>
          <w:sz w:val="19"/>
        </w:rPr>
        <w:t>manufacturers/brand owners</w:t>
      </w:r>
      <w:r>
        <w:rPr>
          <w:rFonts w:ascii="Arial" w:hAnsi="Arial"/>
          <w:spacing w:val="-26"/>
          <w:w w:val="105"/>
          <w:sz w:val="19"/>
        </w:rPr>
        <w:t xml:space="preserve"> </w:t>
      </w:r>
      <w:r>
        <w:rPr>
          <w:rFonts w:ascii="Arial" w:hAnsi="Arial"/>
          <w:w w:val="105"/>
          <w:sz w:val="19"/>
        </w:rPr>
        <w:t>in</w:t>
      </w:r>
      <w:r>
        <w:rPr>
          <w:rFonts w:ascii="Arial" w:hAnsi="Arial"/>
          <w:spacing w:val="-26"/>
          <w:w w:val="105"/>
          <w:sz w:val="19"/>
        </w:rPr>
        <w:t xml:space="preserve"> </w:t>
      </w:r>
      <w:r>
        <w:rPr>
          <w:rFonts w:ascii="Arial" w:hAnsi="Arial"/>
          <w:w w:val="105"/>
          <w:sz w:val="19"/>
        </w:rPr>
        <w:t>the</w:t>
      </w:r>
      <w:r>
        <w:rPr>
          <w:rFonts w:ascii="Arial" w:hAnsi="Arial"/>
          <w:spacing w:val="-24"/>
          <w:w w:val="105"/>
          <w:sz w:val="19"/>
        </w:rPr>
        <w:t xml:space="preserve"> </w:t>
      </w:r>
      <w:r>
        <w:rPr>
          <w:rFonts w:ascii="Arial" w:hAnsi="Arial"/>
          <w:w w:val="105"/>
          <w:sz w:val="19"/>
        </w:rPr>
        <w:t>sports</w:t>
      </w:r>
      <w:r>
        <w:rPr>
          <w:rFonts w:ascii="Arial" w:hAnsi="Arial"/>
          <w:spacing w:val="-26"/>
          <w:w w:val="105"/>
          <w:sz w:val="19"/>
        </w:rPr>
        <w:t xml:space="preserve"> </w:t>
      </w:r>
      <w:r>
        <w:rPr>
          <w:rFonts w:ascii="Arial" w:hAnsi="Arial"/>
          <w:w w:val="105"/>
          <w:sz w:val="19"/>
        </w:rPr>
        <w:t>supplements</w:t>
      </w:r>
      <w:r>
        <w:rPr>
          <w:rFonts w:ascii="Arial" w:hAnsi="Arial"/>
          <w:spacing w:val="-26"/>
          <w:w w:val="105"/>
          <w:sz w:val="19"/>
        </w:rPr>
        <w:t xml:space="preserve"> </w:t>
      </w:r>
      <w:r>
        <w:rPr>
          <w:rFonts w:ascii="Arial" w:hAnsi="Arial"/>
          <w:w w:val="105"/>
          <w:sz w:val="19"/>
        </w:rPr>
        <w:t>retail</w:t>
      </w:r>
      <w:r>
        <w:rPr>
          <w:rFonts w:ascii="Arial" w:hAnsi="Arial"/>
          <w:spacing w:val="-24"/>
          <w:w w:val="105"/>
          <w:sz w:val="19"/>
        </w:rPr>
        <w:t xml:space="preserve"> </w:t>
      </w:r>
      <w:r>
        <w:rPr>
          <w:rFonts w:ascii="Arial" w:hAnsi="Arial"/>
          <w:w w:val="105"/>
          <w:sz w:val="19"/>
        </w:rPr>
        <w:t>sector.</w:t>
      </w:r>
      <w:r>
        <w:rPr>
          <w:rFonts w:ascii="Arial" w:hAnsi="Arial"/>
          <w:spacing w:val="-23"/>
          <w:w w:val="105"/>
          <w:sz w:val="19"/>
        </w:rPr>
        <w:t xml:space="preserve"> </w:t>
      </w:r>
      <w:r>
        <w:rPr>
          <w:rFonts w:ascii="Arial" w:hAnsi="Arial"/>
          <w:w w:val="105"/>
          <w:sz w:val="19"/>
        </w:rPr>
        <w:t>The</w:t>
      </w:r>
      <w:r>
        <w:rPr>
          <w:rFonts w:ascii="Arial" w:hAnsi="Arial"/>
          <w:spacing w:val="-26"/>
          <w:w w:val="105"/>
          <w:sz w:val="19"/>
        </w:rPr>
        <w:t xml:space="preserve"> </w:t>
      </w:r>
      <w:r>
        <w:rPr>
          <w:rFonts w:ascii="Arial" w:hAnsi="Arial"/>
          <w:w w:val="105"/>
          <w:sz w:val="19"/>
        </w:rPr>
        <w:t>comparison</w:t>
      </w:r>
      <w:r>
        <w:rPr>
          <w:rFonts w:ascii="Arial" w:hAnsi="Arial"/>
          <w:spacing w:val="-24"/>
          <w:w w:val="105"/>
          <w:sz w:val="19"/>
        </w:rPr>
        <w:t xml:space="preserve"> </w:t>
      </w:r>
      <w:r>
        <w:rPr>
          <w:rFonts w:ascii="Arial" w:hAnsi="Arial"/>
          <w:w w:val="105"/>
          <w:sz w:val="19"/>
        </w:rPr>
        <w:t>between</w:t>
      </w:r>
      <w:r>
        <w:rPr>
          <w:rFonts w:ascii="Arial" w:hAnsi="Arial"/>
          <w:spacing w:val="-25"/>
          <w:w w:val="105"/>
          <w:sz w:val="19"/>
        </w:rPr>
        <w:t xml:space="preserve"> </w:t>
      </w:r>
      <w:r>
        <w:rPr>
          <w:rFonts w:ascii="Arial" w:hAnsi="Arial"/>
          <w:w w:val="105"/>
          <w:sz w:val="19"/>
        </w:rPr>
        <w:t>the</w:t>
      </w:r>
      <w:r>
        <w:rPr>
          <w:rFonts w:ascii="Arial" w:hAnsi="Arial"/>
          <w:spacing w:val="-25"/>
          <w:w w:val="105"/>
          <w:sz w:val="19"/>
        </w:rPr>
        <w:t xml:space="preserve"> </w:t>
      </w:r>
      <w:r>
        <w:rPr>
          <w:rFonts w:ascii="Arial" w:hAnsi="Arial"/>
          <w:w w:val="105"/>
          <w:sz w:val="19"/>
        </w:rPr>
        <w:t>two</w:t>
      </w:r>
      <w:r>
        <w:rPr>
          <w:rFonts w:ascii="Arial" w:hAnsi="Arial"/>
          <w:spacing w:val="-24"/>
          <w:w w:val="105"/>
          <w:sz w:val="19"/>
        </w:rPr>
        <w:t xml:space="preserve"> </w:t>
      </w:r>
      <w:r>
        <w:rPr>
          <w:rFonts w:ascii="Arial" w:hAnsi="Arial"/>
          <w:w w:val="105"/>
          <w:sz w:val="19"/>
        </w:rPr>
        <w:t>datasets</w:t>
      </w:r>
      <w:r>
        <w:rPr>
          <w:rFonts w:ascii="Arial" w:hAnsi="Arial"/>
          <w:spacing w:val="-25"/>
          <w:w w:val="105"/>
          <w:sz w:val="19"/>
        </w:rPr>
        <w:t xml:space="preserve"> </w:t>
      </w:r>
      <w:r>
        <w:rPr>
          <w:rFonts w:ascii="Arial" w:hAnsi="Arial"/>
          <w:w w:val="105"/>
          <w:sz w:val="19"/>
        </w:rPr>
        <w:t>resulted in</w:t>
      </w:r>
      <w:r>
        <w:rPr>
          <w:rFonts w:ascii="Arial" w:hAnsi="Arial"/>
          <w:spacing w:val="-26"/>
          <w:w w:val="105"/>
          <w:sz w:val="19"/>
        </w:rPr>
        <w:t xml:space="preserve"> </w:t>
      </w:r>
      <w:r>
        <w:rPr>
          <w:rFonts w:ascii="Arial" w:hAnsi="Arial"/>
          <w:w w:val="105"/>
          <w:sz w:val="19"/>
        </w:rPr>
        <w:t>a</w:t>
      </w:r>
      <w:r>
        <w:rPr>
          <w:rFonts w:ascii="Arial" w:hAnsi="Arial"/>
          <w:spacing w:val="-27"/>
          <w:w w:val="105"/>
          <w:sz w:val="19"/>
        </w:rPr>
        <w:t xml:space="preserve"> </w:t>
      </w:r>
      <w:r>
        <w:rPr>
          <w:rFonts w:ascii="Arial" w:hAnsi="Arial"/>
          <w:w w:val="105"/>
          <w:sz w:val="19"/>
        </w:rPr>
        <w:t>population</w:t>
      </w:r>
      <w:r>
        <w:rPr>
          <w:rFonts w:ascii="Arial" w:hAnsi="Arial"/>
          <w:spacing w:val="-25"/>
          <w:w w:val="105"/>
          <w:sz w:val="19"/>
        </w:rPr>
        <w:t xml:space="preserve"> </w:t>
      </w:r>
      <w:r>
        <w:rPr>
          <w:rFonts w:ascii="Arial" w:hAnsi="Arial"/>
          <w:w w:val="105"/>
          <w:sz w:val="19"/>
        </w:rPr>
        <w:t>of</w:t>
      </w:r>
      <w:r>
        <w:rPr>
          <w:rFonts w:ascii="Arial" w:hAnsi="Arial"/>
          <w:spacing w:val="-27"/>
          <w:w w:val="105"/>
          <w:sz w:val="19"/>
        </w:rPr>
        <w:t xml:space="preserve"> </w:t>
      </w:r>
      <w:r>
        <w:rPr>
          <w:rFonts w:ascii="Arial" w:hAnsi="Arial"/>
          <w:w w:val="105"/>
          <w:sz w:val="19"/>
        </w:rPr>
        <w:t>112</w:t>
      </w:r>
      <w:r>
        <w:rPr>
          <w:rFonts w:ascii="Arial" w:hAnsi="Arial"/>
          <w:spacing w:val="-27"/>
          <w:w w:val="105"/>
          <w:sz w:val="19"/>
        </w:rPr>
        <w:t xml:space="preserve"> </w:t>
      </w:r>
      <w:r>
        <w:rPr>
          <w:rFonts w:ascii="Arial" w:hAnsi="Arial"/>
          <w:w w:val="105"/>
          <w:sz w:val="19"/>
        </w:rPr>
        <w:t>potential</w:t>
      </w:r>
      <w:r>
        <w:rPr>
          <w:rFonts w:ascii="Arial" w:hAnsi="Arial"/>
          <w:spacing w:val="-25"/>
          <w:w w:val="105"/>
          <w:sz w:val="19"/>
        </w:rPr>
        <w:t xml:space="preserve"> </w:t>
      </w:r>
      <w:r>
        <w:rPr>
          <w:rFonts w:ascii="Arial" w:hAnsi="Arial"/>
          <w:w w:val="105"/>
          <w:sz w:val="19"/>
        </w:rPr>
        <w:t>sponsors</w:t>
      </w:r>
      <w:r>
        <w:rPr>
          <w:rFonts w:ascii="Arial" w:hAnsi="Arial"/>
          <w:spacing w:val="-28"/>
          <w:w w:val="105"/>
          <w:sz w:val="19"/>
        </w:rPr>
        <w:t xml:space="preserve"> </w:t>
      </w:r>
      <w:r>
        <w:rPr>
          <w:rFonts w:ascii="Arial" w:hAnsi="Arial"/>
          <w:w w:val="105"/>
          <w:sz w:val="19"/>
        </w:rPr>
        <w:t>of</w:t>
      </w:r>
      <w:r>
        <w:rPr>
          <w:rFonts w:ascii="Arial" w:hAnsi="Arial"/>
          <w:spacing w:val="-26"/>
          <w:w w:val="105"/>
          <w:sz w:val="19"/>
        </w:rPr>
        <w:t xml:space="preserve"> </w:t>
      </w:r>
      <w:r>
        <w:rPr>
          <w:rFonts w:ascii="Arial" w:hAnsi="Arial"/>
          <w:w w:val="105"/>
          <w:sz w:val="19"/>
        </w:rPr>
        <w:t>which</w:t>
      </w:r>
      <w:r>
        <w:rPr>
          <w:rFonts w:ascii="Arial" w:hAnsi="Arial"/>
          <w:spacing w:val="-27"/>
          <w:w w:val="105"/>
          <w:sz w:val="19"/>
        </w:rPr>
        <w:t xml:space="preserve"> </w:t>
      </w:r>
      <w:r>
        <w:rPr>
          <w:rFonts w:ascii="Arial" w:hAnsi="Arial"/>
          <w:w w:val="105"/>
          <w:sz w:val="19"/>
        </w:rPr>
        <w:t>19</w:t>
      </w:r>
      <w:r>
        <w:rPr>
          <w:rFonts w:ascii="Arial" w:hAnsi="Arial"/>
          <w:w w:val="105"/>
          <w:position w:val="7"/>
          <w:sz w:val="11"/>
        </w:rPr>
        <w:t>63</w:t>
      </w:r>
      <w:r>
        <w:rPr>
          <w:rFonts w:ascii="Arial" w:hAnsi="Arial"/>
          <w:spacing w:val="-2"/>
          <w:w w:val="105"/>
          <w:position w:val="7"/>
          <w:sz w:val="11"/>
        </w:rPr>
        <w:t xml:space="preserve"> </w:t>
      </w:r>
      <w:r>
        <w:rPr>
          <w:rFonts w:ascii="Arial" w:hAnsi="Arial"/>
          <w:w w:val="105"/>
          <w:sz w:val="19"/>
        </w:rPr>
        <w:t>(17%)</w:t>
      </w:r>
      <w:r>
        <w:rPr>
          <w:rFonts w:ascii="Arial" w:hAnsi="Arial"/>
          <w:spacing w:val="-26"/>
          <w:w w:val="105"/>
          <w:sz w:val="19"/>
        </w:rPr>
        <w:t xml:space="preserve"> </w:t>
      </w:r>
      <w:r>
        <w:rPr>
          <w:rFonts w:ascii="Arial" w:hAnsi="Arial"/>
          <w:w w:val="105"/>
          <w:sz w:val="19"/>
        </w:rPr>
        <w:t>were</w:t>
      </w:r>
      <w:r>
        <w:rPr>
          <w:rFonts w:ascii="Arial" w:hAnsi="Arial"/>
          <w:spacing w:val="-27"/>
          <w:w w:val="105"/>
          <w:sz w:val="19"/>
        </w:rPr>
        <w:t xml:space="preserve"> </w:t>
      </w:r>
      <w:r>
        <w:rPr>
          <w:rFonts w:ascii="Arial" w:hAnsi="Arial"/>
          <w:w w:val="105"/>
          <w:sz w:val="19"/>
        </w:rPr>
        <w:t>current</w:t>
      </w:r>
      <w:r>
        <w:rPr>
          <w:rFonts w:ascii="Arial" w:hAnsi="Arial"/>
          <w:spacing w:val="-26"/>
          <w:w w:val="105"/>
          <w:sz w:val="19"/>
        </w:rPr>
        <w:t xml:space="preserve"> </w:t>
      </w:r>
      <w:r>
        <w:rPr>
          <w:rFonts w:ascii="Arial" w:hAnsi="Arial"/>
          <w:w w:val="105"/>
          <w:sz w:val="19"/>
        </w:rPr>
        <w:t>sponsors</w:t>
      </w:r>
      <w:r>
        <w:rPr>
          <w:rFonts w:ascii="Arial" w:hAnsi="Arial"/>
          <w:spacing w:val="-26"/>
          <w:w w:val="105"/>
          <w:sz w:val="19"/>
        </w:rPr>
        <w:t xml:space="preserve"> </w:t>
      </w:r>
      <w:r>
        <w:rPr>
          <w:rFonts w:ascii="Arial" w:hAnsi="Arial"/>
          <w:w w:val="105"/>
          <w:sz w:val="19"/>
        </w:rPr>
        <w:t>of</w:t>
      </w:r>
      <w:r>
        <w:rPr>
          <w:rFonts w:ascii="Arial" w:hAnsi="Arial"/>
          <w:spacing w:val="-26"/>
          <w:w w:val="105"/>
          <w:sz w:val="19"/>
        </w:rPr>
        <w:t xml:space="preserve"> </w:t>
      </w:r>
      <w:r>
        <w:rPr>
          <w:rFonts w:ascii="Arial" w:hAnsi="Arial"/>
          <w:w w:val="105"/>
          <w:sz w:val="19"/>
        </w:rPr>
        <w:t>products</w:t>
      </w:r>
      <w:r>
        <w:rPr>
          <w:rFonts w:ascii="Arial" w:hAnsi="Arial"/>
          <w:spacing w:val="-27"/>
          <w:w w:val="105"/>
          <w:sz w:val="19"/>
        </w:rPr>
        <w:t xml:space="preserve"> </w:t>
      </w:r>
      <w:r>
        <w:rPr>
          <w:rFonts w:ascii="Arial" w:hAnsi="Arial"/>
          <w:w w:val="105"/>
          <w:sz w:val="19"/>
        </w:rPr>
        <w:t>on the</w:t>
      </w:r>
      <w:r>
        <w:rPr>
          <w:rFonts w:ascii="Arial" w:hAnsi="Arial"/>
          <w:spacing w:val="-13"/>
          <w:w w:val="105"/>
          <w:sz w:val="19"/>
        </w:rPr>
        <w:t xml:space="preserve"> </w:t>
      </w:r>
      <w:r>
        <w:rPr>
          <w:rFonts w:ascii="Arial" w:hAnsi="Arial"/>
          <w:w w:val="105"/>
          <w:sz w:val="19"/>
        </w:rPr>
        <w:t>ARTG.</w:t>
      </w:r>
    </w:p>
    <w:p w:rsidR="007D76BB" w:rsidRDefault="00D70D28">
      <w:pPr>
        <w:spacing w:before="76"/>
        <w:ind w:left="482"/>
        <w:rPr>
          <w:rFonts w:ascii="Arial"/>
          <w:i/>
          <w:sz w:val="20"/>
        </w:rPr>
      </w:pPr>
      <w:r>
        <w:rPr>
          <w:rFonts w:ascii="Arial"/>
          <w:i/>
          <w:sz w:val="20"/>
        </w:rPr>
        <w:t>Future population considerations</w:t>
      </w:r>
    </w:p>
    <w:p w:rsidR="007D76BB" w:rsidRDefault="00D70D28">
      <w:pPr>
        <w:spacing w:before="200" w:line="264" w:lineRule="auto"/>
        <w:ind w:left="482" w:right="688"/>
        <w:rPr>
          <w:rFonts w:ascii="Arial"/>
          <w:sz w:val="19"/>
        </w:rPr>
      </w:pPr>
      <w:r>
        <w:rPr>
          <w:rFonts w:ascii="Arial"/>
          <w:w w:val="105"/>
          <w:sz w:val="19"/>
        </w:rPr>
        <w:t>In</w:t>
      </w:r>
      <w:r>
        <w:rPr>
          <w:rFonts w:ascii="Arial"/>
          <w:spacing w:val="-19"/>
          <w:w w:val="105"/>
          <w:sz w:val="19"/>
        </w:rPr>
        <w:t xml:space="preserve"> </w:t>
      </w:r>
      <w:r>
        <w:rPr>
          <w:rFonts w:ascii="Arial"/>
          <w:w w:val="105"/>
          <w:sz w:val="19"/>
        </w:rPr>
        <w:t>relation</w:t>
      </w:r>
      <w:r>
        <w:rPr>
          <w:rFonts w:ascii="Arial"/>
          <w:spacing w:val="-20"/>
          <w:w w:val="105"/>
          <w:sz w:val="19"/>
        </w:rPr>
        <w:t xml:space="preserve"> </w:t>
      </w:r>
      <w:r>
        <w:rPr>
          <w:rFonts w:ascii="Arial"/>
          <w:w w:val="105"/>
          <w:sz w:val="19"/>
        </w:rPr>
        <w:t>to</w:t>
      </w:r>
      <w:r>
        <w:rPr>
          <w:rFonts w:ascii="Arial"/>
          <w:spacing w:val="-20"/>
          <w:w w:val="105"/>
          <w:sz w:val="19"/>
        </w:rPr>
        <w:t xml:space="preserve"> </w:t>
      </w:r>
      <w:r>
        <w:rPr>
          <w:rFonts w:ascii="Arial"/>
          <w:w w:val="105"/>
          <w:sz w:val="19"/>
        </w:rPr>
        <w:t>awareness,</w:t>
      </w:r>
      <w:r>
        <w:rPr>
          <w:rFonts w:ascii="Arial"/>
          <w:spacing w:val="-21"/>
          <w:w w:val="105"/>
          <w:sz w:val="19"/>
        </w:rPr>
        <w:t xml:space="preserve"> </w:t>
      </w:r>
      <w:r>
        <w:rPr>
          <w:rFonts w:ascii="Arial"/>
          <w:w w:val="105"/>
          <w:sz w:val="19"/>
        </w:rPr>
        <w:t>for</w:t>
      </w:r>
      <w:r>
        <w:rPr>
          <w:rFonts w:ascii="Arial"/>
          <w:spacing w:val="-18"/>
          <w:w w:val="105"/>
          <w:sz w:val="19"/>
        </w:rPr>
        <w:t xml:space="preserve"> </w:t>
      </w:r>
      <w:r>
        <w:rPr>
          <w:rFonts w:ascii="Arial"/>
          <w:w w:val="105"/>
          <w:sz w:val="19"/>
        </w:rPr>
        <w:t>potential</w:t>
      </w:r>
      <w:r>
        <w:rPr>
          <w:rFonts w:ascii="Arial"/>
          <w:spacing w:val="-21"/>
          <w:w w:val="105"/>
          <w:sz w:val="19"/>
        </w:rPr>
        <w:t xml:space="preserve"> </w:t>
      </w:r>
      <w:r>
        <w:rPr>
          <w:rFonts w:ascii="Arial"/>
          <w:w w:val="105"/>
          <w:sz w:val="19"/>
        </w:rPr>
        <w:t>future</w:t>
      </w:r>
      <w:r>
        <w:rPr>
          <w:rFonts w:ascii="Arial"/>
          <w:spacing w:val="-20"/>
          <w:w w:val="105"/>
          <w:sz w:val="19"/>
        </w:rPr>
        <w:t xml:space="preserve"> </w:t>
      </w:r>
      <w:r>
        <w:rPr>
          <w:rFonts w:ascii="Arial"/>
          <w:w w:val="105"/>
          <w:sz w:val="19"/>
        </w:rPr>
        <w:t>sponsors</w:t>
      </w:r>
      <w:r>
        <w:rPr>
          <w:rFonts w:ascii="Arial"/>
          <w:spacing w:val="-21"/>
          <w:w w:val="105"/>
          <w:sz w:val="19"/>
        </w:rPr>
        <w:t xml:space="preserve"> </w:t>
      </w:r>
      <w:r>
        <w:rPr>
          <w:rFonts w:ascii="Arial"/>
          <w:w w:val="105"/>
          <w:sz w:val="19"/>
        </w:rPr>
        <w:t>the</w:t>
      </w:r>
      <w:r>
        <w:rPr>
          <w:rFonts w:ascii="Arial"/>
          <w:spacing w:val="-18"/>
          <w:w w:val="105"/>
          <w:sz w:val="19"/>
        </w:rPr>
        <w:t xml:space="preserve"> </w:t>
      </w:r>
      <w:r>
        <w:rPr>
          <w:rFonts w:ascii="Arial"/>
          <w:w w:val="105"/>
          <w:sz w:val="19"/>
        </w:rPr>
        <w:t>proposed</w:t>
      </w:r>
      <w:r>
        <w:rPr>
          <w:rFonts w:ascii="Arial"/>
          <w:spacing w:val="-21"/>
          <w:w w:val="105"/>
          <w:sz w:val="19"/>
        </w:rPr>
        <w:t xml:space="preserve"> </w:t>
      </w:r>
      <w:r>
        <w:rPr>
          <w:rFonts w:ascii="Arial"/>
          <w:w w:val="105"/>
          <w:sz w:val="19"/>
        </w:rPr>
        <w:t>regulatory</w:t>
      </w:r>
      <w:r>
        <w:rPr>
          <w:rFonts w:ascii="Arial"/>
          <w:spacing w:val="-20"/>
          <w:w w:val="105"/>
          <w:sz w:val="19"/>
        </w:rPr>
        <w:t xml:space="preserve"> </w:t>
      </w:r>
      <w:r>
        <w:rPr>
          <w:rFonts w:ascii="Arial"/>
          <w:w w:val="105"/>
          <w:sz w:val="19"/>
        </w:rPr>
        <w:t>clarification</w:t>
      </w:r>
      <w:r>
        <w:rPr>
          <w:rFonts w:ascii="Arial"/>
          <w:spacing w:val="-20"/>
          <w:w w:val="105"/>
          <w:sz w:val="19"/>
        </w:rPr>
        <w:t xml:space="preserve"> </w:t>
      </w:r>
      <w:r>
        <w:rPr>
          <w:rFonts w:ascii="Arial"/>
          <w:w w:val="105"/>
          <w:sz w:val="19"/>
        </w:rPr>
        <w:t>will</w:t>
      </w:r>
      <w:r>
        <w:rPr>
          <w:rFonts w:ascii="Arial"/>
          <w:spacing w:val="-20"/>
          <w:w w:val="105"/>
          <w:sz w:val="19"/>
        </w:rPr>
        <w:t xml:space="preserve"> </w:t>
      </w:r>
      <w:r>
        <w:rPr>
          <w:rFonts w:ascii="Arial"/>
          <w:w w:val="105"/>
          <w:sz w:val="19"/>
        </w:rPr>
        <w:t>form but</w:t>
      </w:r>
      <w:r>
        <w:rPr>
          <w:rFonts w:ascii="Arial"/>
          <w:spacing w:val="-18"/>
          <w:w w:val="105"/>
          <w:sz w:val="19"/>
        </w:rPr>
        <w:t xml:space="preserve"> </w:t>
      </w:r>
      <w:r>
        <w:rPr>
          <w:rFonts w:ascii="Arial"/>
          <w:w w:val="105"/>
          <w:sz w:val="19"/>
        </w:rPr>
        <w:t>part</w:t>
      </w:r>
      <w:r>
        <w:rPr>
          <w:rFonts w:ascii="Arial"/>
          <w:spacing w:val="-18"/>
          <w:w w:val="105"/>
          <w:sz w:val="19"/>
        </w:rPr>
        <w:t xml:space="preserve"> </w:t>
      </w:r>
      <w:r>
        <w:rPr>
          <w:rFonts w:ascii="Arial"/>
          <w:w w:val="105"/>
          <w:sz w:val="19"/>
        </w:rPr>
        <w:t>of</w:t>
      </w:r>
      <w:r>
        <w:rPr>
          <w:rFonts w:ascii="Arial"/>
          <w:spacing w:val="-22"/>
          <w:w w:val="105"/>
          <w:sz w:val="19"/>
        </w:rPr>
        <w:t xml:space="preserve"> </w:t>
      </w:r>
      <w:r>
        <w:rPr>
          <w:rFonts w:ascii="Arial"/>
          <w:w w:val="105"/>
          <w:sz w:val="19"/>
        </w:rPr>
        <w:t>the</w:t>
      </w:r>
      <w:r>
        <w:rPr>
          <w:rFonts w:ascii="Arial"/>
          <w:spacing w:val="-19"/>
          <w:w w:val="105"/>
          <w:sz w:val="19"/>
        </w:rPr>
        <w:t xml:space="preserve"> </w:t>
      </w:r>
      <w:r>
        <w:rPr>
          <w:rFonts w:ascii="Arial"/>
          <w:w w:val="105"/>
          <w:sz w:val="19"/>
        </w:rPr>
        <w:t>complex</w:t>
      </w:r>
      <w:r>
        <w:rPr>
          <w:rFonts w:ascii="Arial"/>
          <w:spacing w:val="-18"/>
          <w:w w:val="105"/>
          <w:sz w:val="19"/>
        </w:rPr>
        <w:t xml:space="preserve"> </w:t>
      </w:r>
      <w:r>
        <w:rPr>
          <w:rFonts w:ascii="Arial"/>
          <w:w w:val="105"/>
          <w:sz w:val="19"/>
        </w:rPr>
        <w:t>regulatory</w:t>
      </w:r>
      <w:r>
        <w:rPr>
          <w:rFonts w:ascii="Arial"/>
          <w:spacing w:val="-20"/>
          <w:w w:val="105"/>
          <w:sz w:val="19"/>
        </w:rPr>
        <w:t xml:space="preserve"> </w:t>
      </w:r>
      <w:r>
        <w:rPr>
          <w:rFonts w:ascii="Arial"/>
          <w:w w:val="105"/>
          <w:sz w:val="19"/>
        </w:rPr>
        <w:t>considerations</w:t>
      </w:r>
      <w:r>
        <w:rPr>
          <w:rFonts w:ascii="Arial"/>
          <w:spacing w:val="-19"/>
          <w:w w:val="105"/>
          <w:sz w:val="19"/>
        </w:rPr>
        <w:t xml:space="preserve"> </w:t>
      </w:r>
      <w:r>
        <w:rPr>
          <w:rFonts w:ascii="Arial"/>
          <w:w w:val="105"/>
          <w:sz w:val="19"/>
        </w:rPr>
        <w:t>involved</w:t>
      </w:r>
      <w:r>
        <w:rPr>
          <w:rFonts w:ascii="Arial"/>
          <w:spacing w:val="-19"/>
          <w:w w:val="105"/>
          <w:sz w:val="19"/>
        </w:rPr>
        <w:t xml:space="preserve"> </w:t>
      </w:r>
      <w:r>
        <w:rPr>
          <w:rFonts w:ascii="Arial"/>
          <w:w w:val="105"/>
          <w:sz w:val="19"/>
        </w:rPr>
        <w:t>with</w:t>
      </w:r>
      <w:r>
        <w:rPr>
          <w:rFonts w:ascii="Arial"/>
          <w:spacing w:val="-20"/>
          <w:w w:val="105"/>
          <w:sz w:val="19"/>
        </w:rPr>
        <w:t xml:space="preserve"> </w:t>
      </w:r>
      <w:r>
        <w:rPr>
          <w:rFonts w:ascii="Arial"/>
          <w:w w:val="105"/>
          <w:sz w:val="19"/>
        </w:rPr>
        <w:t>registering</w:t>
      </w:r>
      <w:r>
        <w:rPr>
          <w:rFonts w:ascii="Arial"/>
          <w:spacing w:val="-20"/>
          <w:w w:val="105"/>
          <w:sz w:val="19"/>
        </w:rPr>
        <w:t xml:space="preserve"> </w:t>
      </w:r>
      <w:r>
        <w:rPr>
          <w:rFonts w:ascii="Arial"/>
          <w:w w:val="105"/>
          <w:sz w:val="19"/>
        </w:rPr>
        <w:t>a</w:t>
      </w:r>
      <w:r>
        <w:rPr>
          <w:rFonts w:ascii="Arial"/>
          <w:spacing w:val="-19"/>
          <w:w w:val="105"/>
          <w:sz w:val="19"/>
        </w:rPr>
        <w:t xml:space="preserve"> </w:t>
      </w:r>
      <w:r>
        <w:rPr>
          <w:rFonts w:ascii="Arial"/>
          <w:w w:val="105"/>
          <w:sz w:val="19"/>
        </w:rPr>
        <w:t>new</w:t>
      </w:r>
      <w:r>
        <w:rPr>
          <w:rFonts w:ascii="Arial"/>
          <w:spacing w:val="-20"/>
          <w:w w:val="105"/>
          <w:sz w:val="19"/>
        </w:rPr>
        <w:t xml:space="preserve"> </w:t>
      </w:r>
      <w:r>
        <w:rPr>
          <w:rFonts w:ascii="Arial"/>
          <w:w w:val="105"/>
          <w:sz w:val="19"/>
        </w:rPr>
        <w:t>complementary medicine</w:t>
      </w:r>
      <w:r>
        <w:rPr>
          <w:rFonts w:ascii="Arial"/>
          <w:spacing w:val="-19"/>
          <w:w w:val="105"/>
          <w:sz w:val="19"/>
        </w:rPr>
        <w:t xml:space="preserve"> </w:t>
      </w:r>
      <w:r>
        <w:rPr>
          <w:rFonts w:ascii="Arial"/>
          <w:w w:val="105"/>
          <w:sz w:val="19"/>
        </w:rPr>
        <w:t>on</w:t>
      </w:r>
      <w:r>
        <w:rPr>
          <w:rFonts w:ascii="Arial"/>
          <w:spacing w:val="-19"/>
          <w:w w:val="105"/>
          <w:sz w:val="19"/>
        </w:rPr>
        <w:t xml:space="preserve"> </w:t>
      </w:r>
      <w:r>
        <w:rPr>
          <w:rFonts w:ascii="Arial"/>
          <w:w w:val="105"/>
          <w:sz w:val="19"/>
        </w:rPr>
        <w:t>the</w:t>
      </w:r>
      <w:r>
        <w:rPr>
          <w:rFonts w:ascii="Arial"/>
          <w:spacing w:val="-21"/>
          <w:w w:val="105"/>
          <w:sz w:val="19"/>
        </w:rPr>
        <w:t xml:space="preserve"> </w:t>
      </w:r>
      <w:r>
        <w:rPr>
          <w:rFonts w:ascii="Arial"/>
          <w:w w:val="105"/>
          <w:sz w:val="19"/>
        </w:rPr>
        <w:t>ARTG</w:t>
      </w:r>
      <w:r>
        <w:rPr>
          <w:rFonts w:ascii="Arial"/>
          <w:spacing w:val="-21"/>
          <w:w w:val="105"/>
          <w:sz w:val="19"/>
        </w:rPr>
        <w:t xml:space="preserve"> </w:t>
      </w:r>
      <w:r>
        <w:rPr>
          <w:rFonts w:ascii="Arial"/>
          <w:w w:val="105"/>
          <w:sz w:val="19"/>
        </w:rPr>
        <w:t>and</w:t>
      </w:r>
      <w:r>
        <w:rPr>
          <w:rFonts w:ascii="Arial"/>
          <w:spacing w:val="-20"/>
          <w:w w:val="105"/>
          <w:sz w:val="19"/>
        </w:rPr>
        <w:t xml:space="preserve"> </w:t>
      </w:r>
      <w:r>
        <w:rPr>
          <w:rFonts w:ascii="Arial"/>
          <w:w w:val="105"/>
          <w:sz w:val="19"/>
        </w:rPr>
        <w:t>therefore</w:t>
      </w:r>
      <w:r>
        <w:rPr>
          <w:rFonts w:ascii="Arial"/>
          <w:spacing w:val="-19"/>
          <w:w w:val="105"/>
          <w:sz w:val="19"/>
        </w:rPr>
        <w:t xml:space="preserve"> </w:t>
      </w:r>
      <w:r>
        <w:rPr>
          <w:rFonts w:ascii="Arial"/>
          <w:w w:val="105"/>
          <w:sz w:val="19"/>
        </w:rPr>
        <w:t>is</w:t>
      </w:r>
      <w:r>
        <w:rPr>
          <w:rFonts w:ascii="Arial"/>
          <w:spacing w:val="-20"/>
          <w:w w:val="105"/>
          <w:sz w:val="19"/>
        </w:rPr>
        <w:t xml:space="preserve"> </w:t>
      </w:r>
      <w:r>
        <w:rPr>
          <w:rFonts w:ascii="Arial"/>
          <w:w w:val="105"/>
          <w:sz w:val="19"/>
        </w:rPr>
        <w:t>considered</w:t>
      </w:r>
      <w:r>
        <w:rPr>
          <w:rFonts w:ascii="Arial"/>
          <w:spacing w:val="-21"/>
          <w:w w:val="105"/>
          <w:sz w:val="19"/>
        </w:rPr>
        <w:t xml:space="preserve"> </w:t>
      </w:r>
      <w:r>
        <w:rPr>
          <w:rFonts w:ascii="Arial"/>
          <w:w w:val="105"/>
          <w:sz w:val="19"/>
        </w:rPr>
        <w:t>to</w:t>
      </w:r>
      <w:r>
        <w:rPr>
          <w:rFonts w:ascii="Arial"/>
          <w:spacing w:val="-21"/>
          <w:w w:val="105"/>
          <w:sz w:val="19"/>
        </w:rPr>
        <w:t xml:space="preserve"> </w:t>
      </w:r>
      <w:r>
        <w:rPr>
          <w:rFonts w:ascii="Arial"/>
          <w:w w:val="105"/>
          <w:sz w:val="19"/>
        </w:rPr>
        <w:t>represent</w:t>
      </w:r>
      <w:r>
        <w:rPr>
          <w:rFonts w:ascii="Arial"/>
          <w:spacing w:val="-19"/>
          <w:w w:val="105"/>
          <w:sz w:val="19"/>
        </w:rPr>
        <w:t xml:space="preserve"> </w:t>
      </w:r>
      <w:r>
        <w:rPr>
          <w:rFonts w:ascii="Arial"/>
          <w:w w:val="105"/>
          <w:sz w:val="19"/>
        </w:rPr>
        <w:t>a</w:t>
      </w:r>
      <w:r>
        <w:rPr>
          <w:rFonts w:ascii="Arial"/>
          <w:spacing w:val="-20"/>
          <w:w w:val="105"/>
          <w:sz w:val="19"/>
        </w:rPr>
        <w:t xml:space="preserve"> </w:t>
      </w:r>
      <w:r>
        <w:rPr>
          <w:rFonts w:ascii="Arial"/>
          <w:w w:val="105"/>
          <w:sz w:val="19"/>
        </w:rPr>
        <w:t>non-material</w:t>
      </w:r>
      <w:r>
        <w:rPr>
          <w:rFonts w:ascii="Arial"/>
          <w:spacing w:val="-19"/>
          <w:w w:val="105"/>
          <w:sz w:val="19"/>
        </w:rPr>
        <w:t xml:space="preserve"> </w:t>
      </w:r>
      <w:r>
        <w:rPr>
          <w:rFonts w:ascii="Arial"/>
          <w:w w:val="105"/>
          <w:sz w:val="19"/>
        </w:rPr>
        <w:t>increase</w:t>
      </w:r>
      <w:r>
        <w:rPr>
          <w:rFonts w:ascii="Arial"/>
          <w:spacing w:val="-18"/>
          <w:w w:val="105"/>
          <w:sz w:val="19"/>
        </w:rPr>
        <w:t xml:space="preserve"> </w:t>
      </w:r>
      <w:r>
        <w:rPr>
          <w:rFonts w:ascii="Arial"/>
          <w:w w:val="105"/>
          <w:sz w:val="19"/>
        </w:rPr>
        <w:t>in</w:t>
      </w:r>
      <w:r>
        <w:rPr>
          <w:rFonts w:ascii="Arial"/>
          <w:spacing w:val="-20"/>
          <w:w w:val="105"/>
          <w:sz w:val="19"/>
        </w:rPr>
        <w:t xml:space="preserve"> </w:t>
      </w:r>
      <w:r>
        <w:rPr>
          <w:rFonts w:ascii="Arial"/>
          <w:w w:val="105"/>
          <w:sz w:val="19"/>
        </w:rPr>
        <w:t>the</w:t>
      </w:r>
    </w:p>
    <w:p w:rsidR="007D76BB" w:rsidRDefault="00D70D28">
      <w:pPr>
        <w:pStyle w:val="BodyText"/>
        <w:spacing w:before="1"/>
        <w:rPr>
          <w:rFonts w:ascii="Arial"/>
          <w:sz w:val="21"/>
        </w:rPr>
      </w:pPr>
      <w:r>
        <w:rPr>
          <w:noProof/>
          <w:lang w:val="en-AU" w:eastAsia="en-AU"/>
        </w:rPr>
        <mc:AlternateContent>
          <mc:Choice Requires="wps">
            <w:drawing>
              <wp:anchor distT="0" distB="0" distL="0" distR="0" simplePos="0" relativeHeight="251741184" behindDoc="1" locked="0" layoutInCell="1" allowOverlap="1">
                <wp:simplePos x="0" y="0"/>
                <wp:positionH relativeFrom="page">
                  <wp:posOffset>1080770</wp:posOffset>
                </wp:positionH>
                <wp:positionV relativeFrom="paragraph">
                  <wp:posOffset>184785</wp:posOffset>
                </wp:positionV>
                <wp:extent cx="1829435" cy="1270"/>
                <wp:effectExtent l="0" t="0" r="0" b="0"/>
                <wp:wrapTopAndBottom/>
                <wp:docPr id="284"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4B2C4" id="Freeform 140" o:spid="_x0000_s1026" style="position:absolute;margin-left:85.1pt;margin-top:14.55pt;width:144.05pt;height:.1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" path="m,l2880,e" filled="f" strokeweight=".84pt">
                <v:path arrowok="t" o:connecttype="custom" o:connectlocs="0,0;1828800,0" o:connectangles="0,0"/>
                <w10:wrap type="topAndBottom" anchorx="page"/>
              </v:shape>
            </w:pict>
          </mc:Fallback>
        </mc:AlternateContent>
      </w:r>
    </w:p>
    <w:p w:rsidR="007D76BB" w:rsidRDefault="00D70D28">
      <w:pPr>
        <w:spacing w:before="132"/>
        <w:ind w:left="482"/>
        <w:rPr>
          <w:rFonts w:ascii="Arial"/>
          <w:sz w:val="14"/>
        </w:rPr>
      </w:pPr>
      <w:r>
        <w:rPr>
          <w:rFonts w:ascii="Arial"/>
          <w:color w:val="5B6761"/>
          <w:w w:val="86"/>
          <w:position w:val="5"/>
          <w:sz w:val="8"/>
        </w:rPr>
        <w:t>61</w:t>
      </w:r>
      <w:r>
        <w:rPr>
          <w:rFonts w:ascii="Arial"/>
          <w:color w:val="5B6761"/>
          <w:spacing w:val="10"/>
          <w:position w:val="5"/>
          <w:sz w:val="8"/>
        </w:rPr>
        <w:t xml:space="preserve"> </w:t>
      </w:r>
      <w:r>
        <w:rPr>
          <w:rFonts w:ascii="Arial"/>
          <w:color w:val="5B6761"/>
          <w:w w:val="89"/>
          <w:sz w:val="14"/>
        </w:rPr>
        <w:t>S</w:t>
      </w:r>
      <w:r>
        <w:rPr>
          <w:rFonts w:ascii="Arial"/>
          <w:color w:val="5B6761"/>
          <w:spacing w:val="-1"/>
          <w:w w:val="96"/>
          <w:sz w:val="14"/>
        </w:rPr>
        <w:t>e</w:t>
      </w:r>
      <w:r>
        <w:rPr>
          <w:rFonts w:ascii="Arial"/>
          <w:color w:val="5B6761"/>
          <w:w w:val="96"/>
          <w:sz w:val="14"/>
        </w:rPr>
        <w:t>e</w:t>
      </w:r>
      <w:r>
        <w:rPr>
          <w:rFonts w:ascii="Arial"/>
          <w:color w:val="5B6761"/>
          <w:spacing w:val="-6"/>
          <w:sz w:val="14"/>
        </w:rPr>
        <w:t xml:space="preserve"> </w:t>
      </w:r>
      <w:hyperlink r:id="rId220">
        <w:r>
          <w:rPr>
            <w:rFonts w:ascii="Arial"/>
            <w:sz w:val="14"/>
            <w:u w:val="single" w:color="006FC0"/>
          </w:rPr>
          <w:t>h</w:t>
        </w:r>
        <w:r>
          <w:rPr>
            <w:rFonts w:ascii="Arial"/>
            <w:w w:val="133"/>
            <w:sz w:val="14"/>
            <w:u w:val="single" w:color="006FC0"/>
          </w:rPr>
          <w:t>tt</w:t>
        </w:r>
        <w:r>
          <w:rPr>
            <w:rFonts w:ascii="Arial"/>
            <w:sz w:val="14"/>
            <w:u w:val="single" w:color="006FC0"/>
          </w:rPr>
          <w:t>p</w:t>
        </w:r>
        <w:r>
          <w:rPr>
            <w:rFonts w:ascii="Arial"/>
            <w:spacing w:val="-1"/>
            <w:w w:val="93"/>
            <w:sz w:val="14"/>
            <w:u w:val="single" w:color="006FC0"/>
          </w:rPr>
          <w:t>s</w:t>
        </w:r>
        <w:r>
          <w:rPr>
            <w:rFonts w:ascii="Arial"/>
            <w:w w:val="127"/>
            <w:sz w:val="14"/>
            <w:u w:val="single" w:color="006FC0"/>
          </w:rPr>
          <w:t>:</w:t>
        </w:r>
        <w:r>
          <w:rPr>
            <w:rFonts w:ascii="Arial"/>
            <w:spacing w:val="-2"/>
            <w:w w:val="127"/>
            <w:sz w:val="14"/>
            <w:u w:val="single" w:color="006FC0"/>
          </w:rPr>
          <w:t>/</w:t>
        </w:r>
        <w:r>
          <w:rPr>
            <w:rFonts w:ascii="Arial"/>
            <w:spacing w:val="-1"/>
            <w:w w:val="175"/>
            <w:sz w:val="14"/>
            <w:u w:val="single" w:color="006FC0"/>
          </w:rPr>
          <w:t>/</w:t>
        </w:r>
        <w:r>
          <w:rPr>
            <w:rFonts w:ascii="Arial"/>
            <w:spacing w:val="1"/>
            <w:w w:val="98"/>
            <w:sz w:val="14"/>
            <w:u w:val="single" w:color="006FC0"/>
          </w:rPr>
          <w:t>www</w:t>
        </w:r>
        <w:r>
          <w:rPr>
            <w:rFonts w:ascii="Arial"/>
            <w:w w:val="107"/>
            <w:sz w:val="14"/>
            <w:u w:val="single" w:color="006FC0"/>
          </w:rPr>
          <w:t>.t</w:t>
        </w:r>
        <w:r>
          <w:rPr>
            <w:rFonts w:ascii="Arial"/>
            <w:sz w:val="14"/>
            <w:u w:val="single" w:color="006FC0"/>
          </w:rPr>
          <w:t>g</w:t>
        </w:r>
        <w:r>
          <w:rPr>
            <w:rFonts w:ascii="Arial"/>
            <w:w w:val="94"/>
            <w:sz w:val="14"/>
            <w:u w:val="single" w:color="006FC0"/>
          </w:rPr>
          <w:t>a</w:t>
        </w:r>
        <w:r>
          <w:rPr>
            <w:rFonts w:ascii="Arial"/>
            <w:w w:val="93"/>
            <w:sz w:val="14"/>
            <w:u w:val="single" w:color="006FC0"/>
          </w:rPr>
          <w:t>.g</w:t>
        </w:r>
        <w:r>
          <w:rPr>
            <w:rFonts w:ascii="Arial"/>
            <w:spacing w:val="-1"/>
            <w:w w:val="99"/>
            <w:sz w:val="14"/>
            <w:u w:val="single" w:color="006FC0"/>
          </w:rPr>
          <w:t>o</w:t>
        </w:r>
        <w:r>
          <w:rPr>
            <w:rFonts w:ascii="Arial"/>
            <w:w w:val="101"/>
            <w:sz w:val="14"/>
            <w:u w:val="single" w:color="006FC0"/>
          </w:rPr>
          <w:t>v</w:t>
        </w:r>
        <w:r>
          <w:rPr>
            <w:rFonts w:ascii="Arial"/>
            <w:w w:val="89"/>
            <w:sz w:val="14"/>
            <w:u w:val="single" w:color="006FC0"/>
          </w:rPr>
          <w:t>.a</w:t>
        </w:r>
        <w:r>
          <w:rPr>
            <w:rFonts w:ascii="Arial"/>
            <w:sz w:val="14"/>
            <w:u w:val="single" w:color="006FC0"/>
          </w:rPr>
          <w:t>u</w:t>
        </w:r>
        <w:r>
          <w:rPr>
            <w:rFonts w:ascii="Arial"/>
            <w:spacing w:val="-1"/>
            <w:w w:val="175"/>
            <w:sz w:val="14"/>
            <w:u w:val="single" w:color="006FC0"/>
          </w:rPr>
          <w:t>/</w:t>
        </w:r>
        <w:r>
          <w:rPr>
            <w:rFonts w:ascii="Arial"/>
            <w:w w:val="116"/>
            <w:sz w:val="14"/>
            <w:u w:val="single" w:color="006FC0"/>
          </w:rPr>
          <w:t>r</w:t>
        </w:r>
        <w:r>
          <w:rPr>
            <w:rFonts w:ascii="Arial"/>
            <w:spacing w:val="-1"/>
            <w:w w:val="96"/>
            <w:sz w:val="14"/>
            <w:u w:val="single" w:color="006FC0"/>
          </w:rPr>
          <w:t>e</w:t>
        </w:r>
        <w:r>
          <w:rPr>
            <w:rFonts w:ascii="Arial"/>
            <w:sz w:val="14"/>
            <w:u w:val="single" w:color="006FC0"/>
          </w:rPr>
          <w:t>gu</w:t>
        </w:r>
        <w:r>
          <w:rPr>
            <w:rFonts w:ascii="Arial"/>
            <w:spacing w:val="-1"/>
            <w:w w:val="117"/>
            <w:sz w:val="14"/>
            <w:u w:val="single" w:color="006FC0"/>
          </w:rPr>
          <w:t>l</w:t>
        </w:r>
        <w:r>
          <w:rPr>
            <w:rFonts w:ascii="Arial"/>
            <w:w w:val="94"/>
            <w:sz w:val="14"/>
            <w:u w:val="single" w:color="006FC0"/>
          </w:rPr>
          <w:t>a</w:t>
        </w:r>
        <w:r>
          <w:rPr>
            <w:rFonts w:ascii="Arial"/>
            <w:w w:val="133"/>
            <w:sz w:val="14"/>
            <w:u w:val="single" w:color="006FC0"/>
          </w:rPr>
          <w:t>t</w:t>
        </w:r>
        <w:r>
          <w:rPr>
            <w:rFonts w:ascii="Arial"/>
            <w:spacing w:val="-1"/>
            <w:w w:val="99"/>
            <w:sz w:val="14"/>
            <w:u w:val="single" w:color="006FC0"/>
          </w:rPr>
          <w:t>o</w:t>
        </w:r>
        <w:r>
          <w:rPr>
            <w:rFonts w:ascii="Arial"/>
            <w:w w:val="116"/>
            <w:sz w:val="14"/>
            <w:u w:val="single" w:color="006FC0"/>
          </w:rPr>
          <w:t>r</w:t>
        </w:r>
        <w:r>
          <w:rPr>
            <w:rFonts w:ascii="Arial"/>
            <w:spacing w:val="4"/>
            <w:w w:val="105"/>
            <w:sz w:val="14"/>
            <w:u w:val="single" w:color="006FC0"/>
          </w:rPr>
          <w:t>y</w:t>
        </w:r>
        <w:r>
          <w:rPr>
            <w:rFonts w:ascii="Arial"/>
            <w:spacing w:val="-1"/>
            <w:w w:val="119"/>
            <w:sz w:val="14"/>
            <w:u w:val="single" w:color="006FC0"/>
          </w:rPr>
          <w:t>-</w:t>
        </w:r>
        <w:r>
          <w:rPr>
            <w:rFonts w:ascii="Arial"/>
            <w:w w:val="94"/>
            <w:sz w:val="14"/>
            <w:u w:val="single" w:color="006FC0"/>
          </w:rPr>
          <w:t>a</w:t>
        </w:r>
        <w:r>
          <w:rPr>
            <w:rFonts w:ascii="Arial"/>
            <w:spacing w:val="-1"/>
            <w:w w:val="119"/>
            <w:sz w:val="14"/>
            <w:u w:val="single" w:color="006FC0"/>
          </w:rPr>
          <w:t>ff</w:t>
        </w:r>
        <w:r>
          <w:rPr>
            <w:rFonts w:ascii="Arial"/>
            <w:w w:val="94"/>
            <w:sz w:val="14"/>
            <w:u w:val="single" w:color="006FC0"/>
          </w:rPr>
          <w:t>a</w:t>
        </w:r>
        <w:r>
          <w:rPr>
            <w:rFonts w:ascii="Arial"/>
            <w:w w:val="113"/>
            <w:sz w:val="14"/>
            <w:u w:val="single" w:color="006FC0"/>
          </w:rPr>
          <w:t>i</w:t>
        </w:r>
        <w:r>
          <w:rPr>
            <w:rFonts w:ascii="Arial"/>
            <w:w w:val="116"/>
            <w:sz w:val="14"/>
            <w:u w:val="single" w:color="006FC0"/>
          </w:rPr>
          <w:t>r</w:t>
        </w:r>
        <w:r>
          <w:rPr>
            <w:rFonts w:ascii="Arial"/>
            <w:spacing w:val="-1"/>
            <w:w w:val="93"/>
            <w:sz w:val="14"/>
            <w:u w:val="single" w:color="006FC0"/>
          </w:rPr>
          <w:t>s</w:t>
        </w:r>
        <w:r>
          <w:rPr>
            <w:rFonts w:ascii="Arial"/>
            <w:spacing w:val="-1"/>
            <w:w w:val="119"/>
            <w:sz w:val="14"/>
            <w:u w:val="single" w:color="006FC0"/>
          </w:rPr>
          <w:t>-</w:t>
        </w:r>
        <w:r>
          <w:rPr>
            <w:rFonts w:ascii="Arial"/>
            <w:w w:val="99"/>
            <w:sz w:val="14"/>
            <w:u w:val="single" w:color="006FC0"/>
          </w:rPr>
          <w:t>c</w:t>
        </w:r>
        <w:r>
          <w:rPr>
            <w:rFonts w:ascii="Arial"/>
            <w:spacing w:val="-1"/>
            <w:w w:val="99"/>
            <w:sz w:val="14"/>
            <w:u w:val="single" w:color="006FC0"/>
          </w:rPr>
          <w:t>o</w:t>
        </w:r>
        <w:r>
          <w:rPr>
            <w:rFonts w:ascii="Arial"/>
            <w:sz w:val="14"/>
            <w:u w:val="single" w:color="006FC0"/>
          </w:rPr>
          <w:t>n</w:t>
        </w:r>
        <w:r>
          <w:rPr>
            <w:rFonts w:ascii="Arial"/>
            <w:spacing w:val="-1"/>
            <w:w w:val="93"/>
            <w:sz w:val="14"/>
            <w:u w:val="single" w:color="006FC0"/>
          </w:rPr>
          <w:t>s</w:t>
        </w:r>
        <w:r>
          <w:rPr>
            <w:rFonts w:ascii="Arial"/>
            <w:spacing w:val="3"/>
            <w:sz w:val="14"/>
            <w:u w:val="single" w:color="006FC0"/>
          </w:rPr>
          <w:t>u</w:t>
        </w:r>
        <w:r>
          <w:rPr>
            <w:rFonts w:ascii="Arial"/>
            <w:spacing w:val="-1"/>
            <w:w w:val="117"/>
            <w:sz w:val="14"/>
            <w:u w:val="single" w:color="006FC0"/>
          </w:rPr>
          <w:t>l</w:t>
        </w:r>
        <w:r>
          <w:rPr>
            <w:rFonts w:ascii="Arial"/>
            <w:w w:val="133"/>
            <w:sz w:val="14"/>
            <w:u w:val="single" w:color="006FC0"/>
          </w:rPr>
          <w:t>t</w:t>
        </w:r>
        <w:r>
          <w:rPr>
            <w:rFonts w:ascii="Arial"/>
            <w:w w:val="94"/>
            <w:sz w:val="14"/>
            <w:u w:val="single" w:color="006FC0"/>
          </w:rPr>
          <w:t>a</w:t>
        </w:r>
        <w:r>
          <w:rPr>
            <w:rFonts w:ascii="Arial"/>
            <w:sz w:val="14"/>
            <w:u w:val="single" w:color="006FC0"/>
          </w:rPr>
          <w:t>n</w:t>
        </w:r>
        <w:r>
          <w:rPr>
            <w:rFonts w:ascii="Arial"/>
            <w:w w:val="133"/>
            <w:sz w:val="14"/>
            <w:u w:val="single" w:color="006FC0"/>
          </w:rPr>
          <w:t>t</w:t>
        </w:r>
        <w:r>
          <w:rPr>
            <w:rFonts w:ascii="Arial"/>
            <w:w w:val="93"/>
            <w:sz w:val="14"/>
            <w:u w:val="single" w:color="006FC0"/>
          </w:rPr>
          <w:t>s</w:t>
        </w:r>
        <w:r>
          <w:rPr>
            <w:rFonts w:ascii="Arial"/>
            <w:color w:val="5B6761"/>
            <w:w w:val="80"/>
            <w:sz w:val="14"/>
          </w:rPr>
          <w:t>.</w:t>
        </w:r>
      </w:hyperlink>
    </w:p>
    <w:p w:rsidR="007D76BB" w:rsidRDefault="00D70D28">
      <w:pPr>
        <w:spacing w:before="79" w:line="268" w:lineRule="auto"/>
        <w:ind w:left="594" w:right="1079" w:hanging="113"/>
        <w:rPr>
          <w:rFonts w:ascii="Arial"/>
          <w:sz w:val="14"/>
        </w:rPr>
      </w:pPr>
      <w:r>
        <w:rPr>
          <w:rFonts w:ascii="Arial"/>
          <w:color w:val="5B6761"/>
          <w:w w:val="105"/>
          <w:position w:val="5"/>
          <w:sz w:val="8"/>
        </w:rPr>
        <w:t>62</w:t>
      </w:r>
      <w:r>
        <w:rPr>
          <w:rFonts w:ascii="Arial"/>
          <w:color w:val="5B6761"/>
          <w:spacing w:val="-1"/>
          <w:w w:val="105"/>
          <w:position w:val="5"/>
          <w:sz w:val="8"/>
        </w:rPr>
        <w:t xml:space="preserve"> </w:t>
      </w:r>
      <w:r>
        <w:rPr>
          <w:rFonts w:ascii="Arial"/>
          <w:color w:val="5B6761"/>
          <w:w w:val="105"/>
          <w:sz w:val="14"/>
        </w:rPr>
        <w:t>Manufacturers/brand</w:t>
      </w:r>
      <w:r>
        <w:rPr>
          <w:rFonts w:ascii="Arial"/>
          <w:color w:val="5B6761"/>
          <w:spacing w:val="-17"/>
          <w:w w:val="105"/>
          <w:sz w:val="14"/>
        </w:rPr>
        <w:t xml:space="preserve"> </w:t>
      </w:r>
      <w:r>
        <w:rPr>
          <w:rFonts w:ascii="Arial"/>
          <w:color w:val="5B6761"/>
          <w:w w:val="105"/>
          <w:sz w:val="14"/>
        </w:rPr>
        <w:t>owners</w:t>
      </w:r>
      <w:r>
        <w:rPr>
          <w:rFonts w:ascii="Arial"/>
          <w:color w:val="5B6761"/>
          <w:spacing w:val="-17"/>
          <w:w w:val="105"/>
          <w:sz w:val="14"/>
        </w:rPr>
        <w:t xml:space="preserve"> </w:t>
      </w:r>
      <w:r>
        <w:rPr>
          <w:rFonts w:ascii="Arial"/>
          <w:color w:val="5B6761"/>
          <w:w w:val="105"/>
          <w:sz w:val="14"/>
        </w:rPr>
        <w:t>who</w:t>
      </w:r>
      <w:r>
        <w:rPr>
          <w:rFonts w:ascii="Arial"/>
          <w:color w:val="5B6761"/>
          <w:spacing w:val="-18"/>
          <w:w w:val="105"/>
          <w:sz w:val="14"/>
        </w:rPr>
        <w:t xml:space="preserve"> </w:t>
      </w:r>
      <w:r>
        <w:rPr>
          <w:rFonts w:ascii="Arial"/>
          <w:color w:val="5B6761"/>
          <w:w w:val="105"/>
          <w:sz w:val="14"/>
        </w:rPr>
        <w:t>could</w:t>
      </w:r>
      <w:r>
        <w:rPr>
          <w:rFonts w:ascii="Arial"/>
          <w:color w:val="5B6761"/>
          <w:spacing w:val="-17"/>
          <w:w w:val="105"/>
          <w:sz w:val="14"/>
        </w:rPr>
        <w:t xml:space="preserve"> </w:t>
      </w:r>
      <w:r>
        <w:rPr>
          <w:rFonts w:ascii="Arial"/>
          <w:color w:val="5B6761"/>
          <w:w w:val="105"/>
          <w:sz w:val="14"/>
        </w:rPr>
        <w:t>be</w:t>
      </w:r>
      <w:r>
        <w:rPr>
          <w:rFonts w:ascii="Arial"/>
          <w:color w:val="5B6761"/>
          <w:spacing w:val="-18"/>
          <w:w w:val="105"/>
          <w:sz w:val="14"/>
        </w:rPr>
        <w:t xml:space="preserve"> </w:t>
      </w:r>
      <w:r>
        <w:rPr>
          <w:rFonts w:ascii="Arial"/>
          <w:color w:val="5B6761"/>
          <w:w w:val="105"/>
          <w:sz w:val="14"/>
        </w:rPr>
        <w:t>clearly</w:t>
      </w:r>
      <w:r>
        <w:rPr>
          <w:rFonts w:ascii="Arial"/>
          <w:color w:val="5B6761"/>
          <w:spacing w:val="-18"/>
          <w:w w:val="105"/>
          <w:sz w:val="14"/>
        </w:rPr>
        <w:t xml:space="preserve"> </w:t>
      </w:r>
      <w:r>
        <w:rPr>
          <w:rFonts w:ascii="Arial"/>
          <w:color w:val="5B6761"/>
          <w:w w:val="105"/>
          <w:sz w:val="14"/>
        </w:rPr>
        <w:t>identified</w:t>
      </w:r>
      <w:r>
        <w:rPr>
          <w:rFonts w:ascii="Arial"/>
          <w:color w:val="5B6761"/>
          <w:spacing w:val="-17"/>
          <w:w w:val="105"/>
          <w:sz w:val="14"/>
        </w:rPr>
        <w:t xml:space="preserve"> </w:t>
      </w:r>
      <w:r>
        <w:rPr>
          <w:rFonts w:ascii="Arial"/>
          <w:color w:val="5B6761"/>
          <w:w w:val="105"/>
          <w:sz w:val="14"/>
        </w:rPr>
        <w:t>as</w:t>
      </w:r>
      <w:r>
        <w:rPr>
          <w:rFonts w:ascii="Arial"/>
          <w:color w:val="5B6761"/>
          <w:spacing w:val="-17"/>
          <w:w w:val="105"/>
          <w:sz w:val="14"/>
        </w:rPr>
        <w:t xml:space="preserve"> </w:t>
      </w:r>
      <w:r>
        <w:rPr>
          <w:rFonts w:ascii="Arial"/>
          <w:color w:val="5B6761"/>
          <w:w w:val="105"/>
          <w:sz w:val="14"/>
        </w:rPr>
        <w:t>being</w:t>
      </w:r>
      <w:r>
        <w:rPr>
          <w:rFonts w:ascii="Arial"/>
          <w:color w:val="5B6761"/>
          <w:spacing w:val="-19"/>
          <w:w w:val="105"/>
          <w:sz w:val="14"/>
        </w:rPr>
        <w:t xml:space="preserve"> </w:t>
      </w:r>
      <w:r>
        <w:rPr>
          <w:rFonts w:ascii="Arial"/>
          <w:color w:val="5B6761"/>
          <w:w w:val="105"/>
          <w:sz w:val="14"/>
        </w:rPr>
        <w:t>based</w:t>
      </w:r>
      <w:r>
        <w:rPr>
          <w:rFonts w:ascii="Arial"/>
          <w:color w:val="5B6761"/>
          <w:spacing w:val="-17"/>
          <w:w w:val="105"/>
          <w:sz w:val="14"/>
        </w:rPr>
        <w:t xml:space="preserve"> </w:t>
      </w:r>
      <w:r>
        <w:rPr>
          <w:rFonts w:ascii="Arial"/>
          <w:color w:val="5B6761"/>
          <w:w w:val="105"/>
          <w:sz w:val="14"/>
        </w:rPr>
        <w:t>offshore</w:t>
      </w:r>
      <w:r>
        <w:rPr>
          <w:rFonts w:ascii="Arial"/>
          <w:color w:val="5B6761"/>
          <w:spacing w:val="-18"/>
          <w:w w:val="105"/>
          <w:sz w:val="14"/>
        </w:rPr>
        <w:t xml:space="preserve"> </w:t>
      </w:r>
      <w:r>
        <w:rPr>
          <w:rFonts w:ascii="Arial"/>
          <w:color w:val="5B6761"/>
          <w:w w:val="105"/>
          <w:sz w:val="14"/>
        </w:rPr>
        <w:t>where</w:t>
      </w:r>
      <w:r>
        <w:rPr>
          <w:rFonts w:ascii="Arial"/>
          <w:color w:val="5B6761"/>
          <w:spacing w:val="-18"/>
          <w:w w:val="105"/>
          <w:sz w:val="14"/>
        </w:rPr>
        <w:t xml:space="preserve"> </w:t>
      </w:r>
      <w:r>
        <w:rPr>
          <w:rFonts w:ascii="Arial"/>
          <w:color w:val="5B6761"/>
          <w:w w:val="105"/>
          <w:sz w:val="14"/>
        </w:rPr>
        <w:t>excluded</w:t>
      </w:r>
      <w:r>
        <w:rPr>
          <w:rFonts w:ascii="Arial"/>
          <w:color w:val="5B6761"/>
          <w:spacing w:val="-17"/>
          <w:w w:val="105"/>
          <w:sz w:val="14"/>
        </w:rPr>
        <w:t xml:space="preserve"> </w:t>
      </w:r>
      <w:r>
        <w:rPr>
          <w:rFonts w:ascii="Arial"/>
          <w:color w:val="5B6761"/>
          <w:w w:val="105"/>
          <w:sz w:val="14"/>
        </w:rPr>
        <w:t>from</w:t>
      </w:r>
      <w:r>
        <w:rPr>
          <w:rFonts w:ascii="Arial"/>
          <w:color w:val="5B6761"/>
          <w:spacing w:val="-17"/>
          <w:w w:val="105"/>
          <w:sz w:val="14"/>
        </w:rPr>
        <w:t xml:space="preserve"> </w:t>
      </w:r>
      <w:r>
        <w:rPr>
          <w:rFonts w:ascii="Arial"/>
          <w:color w:val="5B6761"/>
          <w:w w:val="105"/>
          <w:sz w:val="14"/>
        </w:rPr>
        <w:t>the</w:t>
      </w:r>
      <w:r>
        <w:rPr>
          <w:rFonts w:ascii="Arial"/>
          <w:color w:val="5B6761"/>
          <w:spacing w:val="-19"/>
          <w:w w:val="105"/>
          <w:sz w:val="14"/>
        </w:rPr>
        <w:t xml:space="preserve"> </w:t>
      </w:r>
      <w:r>
        <w:rPr>
          <w:rFonts w:ascii="Arial"/>
          <w:color w:val="5B6761"/>
          <w:w w:val="105"/>
          <w:sz w:val="14"/>
        </w:rPr>
        <w:t>dataset</w:t>
      </w:r>
      <w:r>
        <w:rPr>
          <w:rFonts w:ascii="Arial"/>
          <w:color w:val="5B6761"/>
          <w:spacing w:val="-16"/>
          <w:w w:val="105"/>
          <w:sz w:val="14"/>
        </w:rPr>
        <w:t xml:space="preserve"> </w:t>
      </w:r>
      <w:r>
        <w:rPr>
          <w:rFonts w:ascii="Arial"/>
          <w:color w:val="5B6761"/>
          <w:w w:val="105"/>
          <w:sz w:val="14"/>
        </w:rPr>
        <w:t>as</w:t>
      </w:r>
      <w:r>
        <w:rPr>
          <w:rFonts w:ascii="Arial"/>
          <w:color w:val="5B6761"/>
          <w:spacing w:val="-18"/>
          <w:w w:val="105"/>
          <w:sz w:val="14"/>
        </w:rPr>
        <w:t xml:space="preserve"> </w:t>
      </w:r>
      <w:r>
        <w:rPr>
          <w:rFonts w:ascii="Arial"/>
          <w:color w:val="5B6761"/>
          <w:w w:val="105"/>
          <w:sz w:val="14"/>
        </w:rPr>
        <w:t>it</w:t>
      </w:r>
      <w:r>
        <w:rPr>
          <w:rFonts w:ascii="Arial"/>
          <w:color w:val="5B6761"/>
          <w:spacing w:val="-17"/>
          <w:w w:val="105"/>
          <w:sz w:val="14"/>
        </w:rPr>
        <w:t xml:space="preserve"> </w:t>
      </w:r>
      <w:r>
        <w:rPr>
          <w:rFonts w:ascii="Arial"/>
          <w:color w:val="5B6761"/>
          <w:w w:val="105"/>
          <w:sz w:val="14"/>
        </w:rPr>
        <w:t>was considered</w:t>
      </w:r>
      <w:r>
        <w:rPr>
          <w:rFonts w:ascii="Arial"/>
          <w:color w:val="5B6761"/>
          <w:spacing w:val="-17"/>
          <w:w w:val="105"/>
          <w:sz w:val="14"/>
        </w:rPr>
        <w:t xml:space="preserve"> </w:t>
      </w:r>
      <w:r>
        <w:rPr>
          <w:rFonts w:ascii="Arial"/>
          <w:color w:val="5B6761"/>
          <w:w w:val="105"/>
          <w:sz w:val="14"/>
        </w:rPr>
        <w:t>that</w:t>
      </w:r>
      <w:r>
        <w:rPr>
          <w:rFonts w:ascii="Arial"/>
          <w:color w:val="5B6761"/>
          <w:spacing w:val="-17"/>
          <w:w w:val="105"/>
          <w:sz w:val="14"/>
        </w:rPr>
        <w:t xml:space="preserve"> </w:t>
      </w:r>
      <w:r>
        <w:rPr>
          <w:rFonts w:ascii="Arial"/>
          <w:color w:val="5B6761"/>
          <w:w w:val="105"/>
          <w:sz w:val="14"/>
        </w:rPr>
        <w:t>they</w:t>
      </w:r>
      <w:r>
        <w:rPr>
          <w:rFonts w:ascii="Arial"/>
          <w:color w:val="5B6761"/>
          <w:spacing w:val="-17"/>
          <w:w w:val="105"/>
          <w:sz w:val="14"/>
        </w:rPr>
        <w:t xml:space="preserve"> </w:t>
      </w:r>
      <w:r>
        <w:rPr>
          <w:rFonts w:ascii="Arial"/>
          <w:color w:val="5B6761"/>
          <w:w w:val="105"/>
          <w:sz w:val="14"/>
        </w:rPr>
        <w:t>were</w:t>
      </w:r>
      <w:r>
        <w:rPr>
          <w:rFonts w:ascii="Arial"/>
          <w:color w:val="5B6761"/>
          <w:spacing w:val="-18"/>
          <w:w w:val="105"/>
          <w:sz w:val="14"/>
        </w:rPr>
        <w:t xml:space="preserve"> </w:t>
      </w:r>
      <w:r>
        <w:rPr>
          <w:rFonts w:ascii="Arial"/>
          <w:color w:val="5B6761"/>
          <w:w w:val="105"/>
          <w:sz w:val="14"/>
        </w:rPr>
        <w:t>unlikely</w:t>
      </w:r>
      <w:r>
        <w:rPr>
          <w:rFonts w:ascii="Arial"/>
          <w:color w:val="5B6761"/>
          <w:spacing w:val="-18"/>
          <w:w w:val="105"/>
          <w:sz w:val="14"/>
        </w:rPr>
        <w:t xml:space="preserve"> </w:t>
      </w:r>
      <w:r>
        <w:rPr>
          <w:rFonts w:ascii="Arial"/>
          <w:color w:val="5B6761"/>
          <w:w w:val="105"/>
          <w:sz w:val="14"/>
        </w:rPr>
        <w:t>to</w:t>
      </w:r>
      <w:r>
        <w:rPr>
          <w:rFonts w:ascii="Arial"/>
          <w:color w:val="5B6761"/>
          <w:spacing w:val="-18"/>
          <w:w w:val="105"/>
          <w:sz w:val="14"/>
        </w:rPr>
        <w:t xml:space="preserve"> </w:t>
      </w:r>
      <w:r>
        <w:rPr>
          <w:rFonts w:ascii="Arial"/>
          <w:color w:val="5B6761"/>
          <w:w w:val="105"/>
          <w:sz w:val="14"/>
        </w:rPr>
        <w:t>seek</w:t>
      </w:r>
      <w:r>
        <w:rPr>
          <w:rFonts w:ascii="Arial"/>
          <w:color w:val="5B6761"/>
          <w:spacing w:val="-17"/>
          <w:w w:val="105"/>
          <w:sz w:val="14"/>
        </w:rPr>
        <w:t xml:space="preserve"> </w:t>
      </w:r>
      <w:r>
        <w:rPr>
          <w:rFonts w:ascii="Arial"/>
          <w:color w:val="5B6761"/>
          <w:w w:val="105"/>
          <w:sz w:val="14"/>
        </w:rPr>
        <w:t>to</w:t>
      </w:r>
      <w:r>
        <w:rPr>
          <w:rFonts w:ascii="Arial"/>
          <w:color w:val="5B6761"/>
          <w:spacing w:val="-19"/>
          <w:w w:val="105"/>
          <w:sz w:val="14"/>
        </w:rPr>
        <w:t xml:space="preserve"> </w:t>
      </w:r>
      <w:r>
        <w:rPr>
          <w:rFonts w:ascii="Arial"/>
          <w:color w:val="5B6761"/>
          <w:w w:val="105"/>
          <w:sz w:val="14"/>
        </w:rPr>
        <w:t>be</w:t>
      </w:r>
      <w:r>
        <w:rPr>
          <w:rFonts w:ascii="Arial"/>
          <w:color w:val="5B6761"/>
          <w:spacing w:val="-18"/>
          <w:w w:val="105"/>
          <w:sz w:val="14"/>
        </w:rPr>
        <w:t xml:space="preserve"> </w:t>
      </w:r>
      <w:r>
        <w:rPr>
          <w:rFonts w:ascii="Arial"/>
          <w:color w:val="5B6761"/>
          <w:w w:val="105"/>
          <w:sz w:val="14"/>
        </w:rPr>
        <w:t>sponsor</w:t>
      </w:r>
      <w:r>
        <w:rPr>
          <w:rFonts w:ascii="Arial"/>
          <w:color w:val="5B6761"/>
          <w:spacing w:val="-16"/>
          <w:w w:val="105"/>
          <w:sz w:val="14"/>
        </w:rPr>
        <w:t xml:space="preserve"> </w:t>
      </w:r>
      <w:r>
        <w:rPr>
          <w:rFonts w:ascii="Arial"/>
          <w:color w:val="5B6761"/>
          <w:w w:val="105"/>
          <w:sz w:val="14"/>
        </w:rPr>
        <w:t>themselves</w:t>
      </w:r>
      <w:r>
        <w:rPr>
          <w:rFonts w:ascii="Arial"/>
          <w:color w:val="5B6761"/>
          <w:spacing w:val="-18"/>
          <w:w w:val="105"/>
          <w:sz w:val="14"/>
        </w:rPr>
        <w:t xml:space="preserve"> </w:t>
      </w:r>
      <w:r>
        <w:rPr>
          <w:rFonts w:ascii="Arial"/>
          <w:color w:val="5B6761"/>
          <w:w w:val="105"/>
          <w:sz w:val="14"/>
        </w:rPr>
        <w:t>but</w:t>
      </w:r>
      <w:r>
        <w:rPr>
          <w:rFonts w:ascii="Arial"/>
          <w:color w:val="5B6761"/>
          <w:spacing w:val="-17"/>
          <w:w w:val="105"/>
          <w:sz w:val="14"/>
        </w:rPr>
        <w:t xml:space="preserve"> </w:t>
      </w:r>
      <w:r>
        <w:rPr>
          <w:rFonts w:ascii="Arial"/>
          <w:color w:val="5B6761"/>
          <w:w w:val="105"/>
          <w:sz w:val="14"/>
        </w:rPr>
        <w:t>would</w:t>
      </w:r>
      <w:r>
        <w:rPr>
          <w:rFonts w:ascii="Arial"/>
          <w:color w:val="5B6761"/>
          <w:spacing w:val="-16"/>
          <w:w w:val="105"/>
          <w:sz w:val="14"/>
        </w:rPr>
        <w:t xml:space="preserve"> </w:t>
      </w:r>
      <w:r>
        <w:rPr>
          <w:rFonts w:ascii="Arial"/>
          <w:color w:val="5B6761"/>
          <w:w w:val="105"/>
          <w:sz w:val="14"/>
        </w:rPr>
        <w:t>rather</w:t>
      </w:r>
      <w:r>
        <w:rPr>
          <w:rFonts w:ascii="Arial"/>
          <w:color w:val="5B6761"/>
          <w:spacing w:val="-18"/>
          <w:w w:val="105"/>
          <w:sz w:val="14"/>
        </w:rPr>
        <w:t xml:space="preserve"> </w:t>
      </w:r>
      <w:r>
        <w:rPr>
          <w:rFonts w:ascii="Arial"/>
          <w:color w:val="5B6761"/>
          <w:w w:val="105"/>
          <w:sz w:val="14"/>
        </w:rPr>
        <w:t>seek</w:t>
      </w:r>
      <w:r>
        <w:rPr>
          <w:rFonts w:ascii="Arial"/>
          <w:color w:val="5B6761"/>
          <w:spacing w:val="-18"/>
          <w:w w:val="105"/>
          <w:sz w:val="14"/>
        </w:rPr>
        <w:t xml:space="preserve"> </w:t>
      </w:r>
      <w:r>
        <w:rPr>
          <w:rFonts w:ascii="Arial"/>
          <w:color w:val="5B6761"/>
          <w:w w:val="105"/>
          <w:sz w:val="14"/>
        </w:rPr>
        <w:t>to</w:t>
      </w:r>
      <w:r>
        <w:rPr>
          <w:rFonts w:ascii="Arial"/>
          <w:color w:val="5B6761"/>
          <w:spacing w:val="-18"/>
          <w:w w:val="105"/>
          <w:sz w:val="14"/>
        </w:rPr>
        <w:t xml:space="preserve"> </w:t>
      </w:r>
      <w:r>
        <w:rPr>
          <w:rFonts w:ascii="Arial"/>
          <w:color w:val="5B6761"/>
          <w:w w:val="105"/>
          <w:sz w:val="14"/>
        </w:rPr>
        <w:t>engage</w:t>
      </w:r>
      <w:r>
        <w:rPr>
          <w:rFonts w:ascii="Arial"/>
          <w:color w:val="5B6761"/>
          <w:spacing w:val="-18"/>
          <w:w w:val="105"/>
          <w:sz w:val="14"/>
        </w:rPr>
        <w:t xml:space="preserve"> </w:t>
      </w:r>
      <w:r>
        <w:rPr>
          <w:rFonts w:ascii="Arial"/>
          <w:color w:val="5B6761"/>
          <w:w w:val="105"/>
          <w:sz w:val="14"/>
        </w:rPr>
        <w:t>the</w:t>
      </w:r>
      <w:r>
        <w:rPr>
          <w:rFonts w:ascii="Arial"/>
          <w:color w:val="5B6761"/>
          <w:spacing w:val="-18"/>
          <w:w w:val="105"/>
          <w:sz w:val="14"/>
        </w:rPr>
        <w:t xml:space="preserve"> </w:t>
      </w:r>
      <w:r>
        <w:rPr>
          <w:rFonts w:ascii="Arial"/>
          <w:color w:val="5B6761"/>
          <w:w w:val="105"/>
          <w:sz w:val="14"/>
        </w:rPr>
        <w:t>services</w:t>
      </w:r>
      <w:r>
        <w:rPr>
          <w:rFonts w:ascii="Arial"/>
          <w:color w:val="5B6761"/>
          <w:spacing w:val="-18"/>
          <w:w w:val="105"/>
          <w:sz w:val="14"/>
        </w:rPr>
        <w:t xml:space="preserve"> </w:t>
      </w:r>
      <w:r>
        <w:rPr>
          <w:rFonts w:ascii="Arial"/>
          <w:color w:val="5B6761"/>
          <w:w w:val="105"/>
          <w:sz w:val="14"/>
        </w:rPr>
        <w:t>of</w:t>
      </w:r>
      <w:r>
        <w:rPr>
          <w:rFonts w:ascii="Arial"/>
          <w:color w:val="5B6761"/>
          <w:spacing w:val="-16"/>
          <w:w w:val="105"/>
          <w:sz w:val="14"/>
        </w:rPr>
        <w:t xml:space="preserve"> </w:t>
      </w:r>
      <w:r>
        <w:rPr>
          <w:rFonts w:ascii="Arial"/>
          <w:color w:val="5B6761"/>
          <w:w w:val="105"/>
          <w:sz w:val="14"/>
        </w:rPr>
        <w:t>an</w:t>
      </w:r>
      <w:r>
        <w:rPr>
          <w:rFonts w:ascii="Arial"/>
          <w:color w:val="5B6761"/>
          <w:spacing w:val="-16"/>
          <w:w w:val="105"/>
          <w:sz w:val="14"/>
        </w:rPr>
        <w:t xml:space="preserve"> </w:t>
      </w:r>
      <w:r>
        <w:rPr>
          <w:rFonts w:ascii="Arial"/>
          <w:color w:val="5B6761"/>
          <w:w w:val="105"/>
          <w:sz w:val="14"/>
        </w:rPr>
        <w:t>existing</w:t>
      </w:r>
      <w:r>
        <w:rPr>
          <w:rFonts w:ascii="Arial"/>
          <w:color w:val="5B6761"/>
          <w:spacing w:val="-17"/>
          <w:w w:val="105"/>
          <w:sz w:val="14"/>
        </w:rPr>
        <w:t xml:space="preserve"> </w:t>
      </w:r>
      <w:r>
        <w:rPr>
          <w:rFonts w:ascii="Arial"/>
          <w:color w:val="5B6761"/>
          <w:w w:val="105"/>
          <w:sz w:val="14"/>
        </w:rPr>
        <w:t>or new</w:t>
      </w:r>
      <w:r>
        <w:rPr>
          <w:rFonts w:ascii="Arial"/>
          <w:color w:val="5B6761"/>
          <w:spacing w:val="-16"/>
          <w:w w:val="105"/>
          <w:sz w:val="14"/>
        </w:rPr>
        <w:t xml:space="preserve"> </w:t>
      </w:r>
      <w:r>
        <w:rPr>
          <w:rFonts w:ascii="Arial"/>
          <w:color w:val="5B6761"/>
          <w:w w:val="105"/>
          <w:sz w:val="14"/>
        </w:rPr>
        <w:t>sponsor</w:t>
      </w:r>
      <w:r>
        <w:rPr>
          <w:rFonts w:ascii="Arial"/>
          <w:color w:val="5B6761"/>
          <w:spacing w:val="-15"/>
          <w:w w:val="105"/>
          <w:sz w:val="14"/>
        </w:rPr>
        <w:t xml:space="preserve"> </w:t>
      </w:r>
      <w:r>
        <w:rPr>
          <w:rFonts w:ascii="Arial"/>
          <w:color w:val="5B6761"/>
          <w:w w:val="105"/>
          <w:sz w:val="14"/>
        </w:rPr>
        <w:t>(likely</w:t>
      </w:r>
      <w:r>
        <w:rPr>
          <w:rFonts w:ascii="Arial"/>
          <w:color w:val="5B6761"/>
          <w:spacing w:val="-16"/>
          <w:w w:val="105"/>
          <w:sz w:val="14"/>
        </w:rPr>
        <w:t xml:space="preserve"> </w:t>
      </w:r>
      <w:r>
        <w:rPr>
          <w:rFonts w:ascii="Arial"/>
          <w:color w:val="5B6761"/>
          <w:w w:val="105"/>
          <w:sz w:val="14"/>
        </w:rPr>
        <w:t>a</w:t>
      </w:r>
      <w:r>
        <w:rPr>
          <w:rFonts w:ascii="Arial"/>
          <w:color w:val="5B6761"/>
          <w:spacing w:val="-16"/>
          <w:w w:val="105"/>
          <w:sz w:val="14"/>
        </w:rPr>
        <w:t xml:space="preserve"> </w:t>
      </w:r>
      <w:r>
        <w:rPr>
          <w:rFonts w:ascii="Arial"/>
          <w:color w:val="5B6761"/>
          <w:w w:val="105"/>
          <w:sz w:val="14"/>
        </w:rPr>
        <w:t>distributor).</w:t>
      </w:r>
      <w:r>
        <w:rPr>
          <w:rFonts w:ascii="Arial"/>
          <w:color w:val="5B6761"/>
          <w:spacing w:val="-16"/>
          <w:w w:val="105"/>
          <w:sz w:val="14"/>
        </w:rPr>
        <w:t xml:space="preserve"> </w:t>
      </w:r>
      <w:r>
        <w:rPr>
          <w:rFonts w:ascii="Arial"/>
          <w:color w:val="5B6761"/>
          <w:w w:val="105"/>
          <w:sz w:val="14"/>
        </w:rPr>
        <w:t>Where</w:t>
      </w:r>
      <w:r>
        <w:rPr>
          <w:rFonts w:ascii="Arial"/>
          <w:color w:val="5B6761"/>
          <w:spacing w:val="-17"/>
          <w:w w:val="105"/>
          <w:sz w:val="14"/>
        </w:rPr>
        <w:t xml:space="preserve"> </w:t>
      </w:r>
      <w:r>
        <w:rPr>
          <w:rFonts w:ascii="Arial"/>
          <w:color w:val="5B6761"/>
          <w:w w:val="105"/>
          <w:sz w:val="14"/>
        </w:rPr>
        <w:t>the</w:t>
      </w:r>
      <w:r>
        <w:rPr>
          <w:rFonts w:ascii="Arial"/>
          <w:color w:val="5B6761"/>
          <w:spacing w:val="-16"/>
          <w:w w:val="105"/>
          <w:sz w:val="14"/>
        </w:rPr>
        <w:t xml:space="preserve"> </w:t>
      </w:r>
      <w:r>
        <w:rPr>
          <w:rFonts w:ascii="Arial"/>
          <w:color w:val="5B6761"/>
          <w:w w:val="105"/>
          <w:sz w:val="14"/>
        </w:rPr>
        <w:t>country</w:t>
      </w:r>
      <w:r>
        <w:rPr>
          <w:rFonts w:ascii="Arial"/>
          <w:color w:val="5B6761"/>
          <w:spacing w:val="-17"/>
          <w:w w:val="105"/>
          <w:sz w:val="14"/>
        </w:rPr>
        <w:t xml:space="preserve"> </w:t>
      </w:r>
      <w:r>
        <w:rPr>
          <w:rFonts w:ascii="Arial"/>
          <w:color w:val="5B6761"/>
          <w:w w:val="105"/>
          <w:sz w:val="14"/>
        </w:rPr>
        <w:t>of</w:t>
      </w:r>
      <w:r>
        <w:rPr>
          <w:rFonts w:ascii="Arial"/>
          <w:color w:val="5B6761"/>
          <w:spacing w:val="-16"/>
          <w:w w:val="105"/>
          <w:sz w:val="14"/>
        </w:rPr>
        <w:t xml:space="preserve"> </w:t>
      </w:r>
      <w:r>
        <w:rPr>
          <w:rFonts w:ascii="Arial"/>
          <w:color w:val="5B6761"/>
          <w:w w:val="105"/>
          <w:sz w:val="14"/>
        </w:rPr>
        <w:t>residence</w:t>
      </w:r>
      <w:r>
        <w:rPr>
          <w:rFonts w:ascii="Arial"/>
          <w:color w:val="5B6761"/>
          <w:spacing w:val="-17"/>
          <w:w w:val="105"/>
          <w:sz w:val="14"/>
        </w:rPr>
        <w:t xml:space="preserve"> </w:t>
      </w:r>
      <w:r>
        <w:rPr>
          <w:rFonts w:ascii="Arial"/>
          <w:color w:val="5B6761"/>
          <w:w w:val="105"/>
          <w:sz w:val="14"/>
        </w:rPr>
        <w:t>could</w:t>
      </w:r>
      <w:r>
        <w:rPr>
          <w:rFonts w:ascii="Arial"/>
          <w:color w:val="5B6761"/>
          <w:spacing w:val="-16"/>
          <w:w w:val="105"/>
          <w:sz w:val="14"/>
        </w:rPr>
        <w:t xml:space="preserve"> </w:t>
      </w:r>
      <w:r>
        <w:rPr>
          <w:rFonts w:ascii="Arial"/>
          <w:color w:val="5B6761"/>
          <w:w w:val="105"/>
          <w:sz w:val="14"/>
        </w:rPr>
        <w:t>not</w:t>
      </w:r>
      <w:r>
        <w:rPr>
          <w:rFonts w:ascii="Arial"/>
          <w:color w:val="5B6761"/>
          <w:spacing w:val="-15"/>
          <w:w w:val="105"/>
          <w:sz w:val="14"/>
        </w:rPr>
        <w:t xml:space="preserve"> </w:t>
      </w:r>
      <w:r>
        <w:rPr>
          <w:rFonts w:ascii="Arial"/>
          <w:color w:val="5B6761"/>
          <w:w w:val="105"/>
          <w:sz w:val="14"/>
        </w:rPr>
        <w:t>be</w:t>
      </w:r>
      <w:r>
        <w:rPr>
          <w:rFonts w:ascii="Arial"/>
          <w:color w:val="5B6761"/>
          <w:spacing w:val="-15"/>
          <w:w w:val="105"/>
          <w:sz w:val="14"/>
        </w:rPr>
        <w:t xml:space="preserve"> </w:t>
      </w:r>
      <w:r>
        <w:rPr>
          <w:rFonts w:ascii="Arial"/>
          <w:color w:val="5B6761"/>
          <w:w w:val="105"/>
          <w:sz w:val="14"/>
        </w:rPr>
        <w:t>determined</w:t>
      </w:r>
      <w:r>
        <w:rPr>
          <w:rFonts w:ascii="Arial"/>
          <w:color w:val="5B6761"/>
          <w:spacing w:val="-15"/>
          <w:w w:val="105"/>
          <w:sz w:val="14"/>
        </w:rPr>
        <w:t xml:space="preserve"> </w:t>
      </w:r>
      <w:r>
        <w:rPr>
          <w:rFonts w:ascii="Arial"/>
          <w:color w:val="5B6761"/>
          <w:w w:val="105"/>
          <w:sz w:val="14"/>
        </w:rPr>
        <w:t>they</w:t>
      </w:r>
      <w:r>
        <w:rPr>
          <w:rFonts w:ascii="Arial"/>
          <w:color w:val="5B6761"/>
          <w:spacing w:val="-16"/>
          <w:w w:val="105"/>
          <w:sz w:val="14"/>
        </w:rPr>
        <w:t xml:space="preserve"> </w:t>
      </w:r>
      <w:r>
        <w:rPr>
          <w:rFonts w:ascii="Arial"/>
          <w:color w:val="5B6761"/>
          <w:w w:val="105"/>
          <w:sz w:val="14"/>
        </w:rPr>
        <w:t>were</w:t>
      </w:r>
      <w:r>
        <w:rPr>
          <w:rFonts w:ascii="Arial"/>
          <w:color w:val="5B6761"/>
          <w:spacing w:val="-17"/>
          <w:w w:val="105"/>
          <w:sz w:val="14"/>
        </w:rPr>
        <w:t xml:space="preserve"> </w:t>
      </w:r>
      <w:r>
        <w:rPr>
          <w:rFonts w:ascii="Arial"/>
          <w:color w:val="5B6761"/>
          <w:w w:val="105"/>
          <w:sz w:val="14"/>
        </w:rPr>
        <w:t>included</w:t>
      </w:r>
      <w:r>
        <w:rPr>
          <w:rFonts w:ascii="Arial"/>
          <w:color w:val="5B6761"/>
          <w:spacing w:val="-15"/>
          <w:w w:val="105"/>
          <w:sz w:val="14"/>
        </w:rPr>
        <w:t xml:space="preserve"> </w:t>
      </w:r>
      <w:r>
        <w:rPr>
          <w:rFonts w:ascii="Arial"/>
          <w:color w:val="5B6761"/>
          <w:w w:val="105"/>
          <w:sz w:val="14"/>
        </w:rPr>
        <w:t>in</w:t>
      </w:r>
      <w:r>
        <w:rPr>
          <w:rFonts w:ascii="Arial"/>
          <w:color w:val="5B6761"/>
          <w:spacing w:val="-16"/>
          <w:w w:val="105"/>
          <w:sz w:val="14"/>
        </w:rPr>
        <w:t xml:space="preserve"> </w:t>
      </w:r>
      <w:r>
        <w:rPr>
          <w:rFonts w:ascii="Arial"/>
          <w:color w:val="5B6761"/>
          <w:w w:val="105"/>
          <w:sz w:val="14"/>
        </w:rPr>
        <w:t>the</w:t>
      </w:r>
      <w:r>
        <w:rPr>
          <w:rFonts w:ascii="Arial"/>
          <w:color w:val="5B6761"/>
          <w:spacing w:val="-18"/>
          <w:w w:val="105"/>
          <w:sz w:val="14"/>
        </w:rPr>
        <w:t xml:space="preserve"> </w:t>
      </w:r>
      <w:r>
        <w:rPr>
          <w:rFonts w:ascii="Arial"/>
          <w:color w:val="5B6761"/>
          <w:w w:val="105"/>
          <w:sz w:val="14"/>
        </w:rPr>
        <w:t>dataset.</w:t>
      </w:r>
      <w:r>
        <w:rPr>
          <w:rFonts w:ascii="Arial"/>
          <w:color w:val="5B6761"/>
          <w:spacing w:val="-16"/>
          <w:w w:val="105"/>
          <w:sz w:val="14"/>
        </w:rPr>
        <w:t xml:space="preserve"> </w:t>
      </w:r>
      <w:r>
        <w:rPr>
          <w:rFonts w:ascii="Arial"/>
          <w:color w:val="5B6761"/>
          <w:w w:val="105"/>
          <w:sz w:val="14"/>
        </w:rPr>
        <w:t>It</w:t>
      </w:r>
      <w:r>
        <w:rPr>
          <w:rFonts w:ascii="Arial"/>
          <w:color w:val="5B6761"/>
          <w:spacing w:val="-18"/>
          <w:w w:val="105"/>
          <w:sz w:val="14"/>
        </w:rPr>
        <w:t xml:space="preserve"> </w:t>
      </w:r>
      <w:r>
        <w:rPr>
          <w:rFonts w:ascii="Arial"/>
          <w:color w:val="5B6761"/>
          <w:w w:val="105"/>
          <w:sz w:val="14"/>
        </w:rPr>
        <w:t>is acknowledged</w:t>
      </w:r>
      <w:r>
        <w:rPr>
          <w:rFonts w:ascii="Arial"/>
          <w:color w:val="5B6761"/>
          <w:spacing w:val="-19"/>
          <w:w w:val="105"/>
          <w:sz w:val="14"/>
        </w:rPr>
        <w:t xml:space="preserve"> </w:t>
      </w:r>
      <w:r>
        <w:rPr>
          <w:rFonts w:ascii="Arial"/>
          <w:color w:val="5B6761"/>
          <w:w w:val="105"/>
          <w:sz w:val="14"/>
        </w:rPr>
        <w:t>that</w:t>
      </w:r>
      <w:r>
        <w:rPr>
          <w:rFonts w:ascii="Arial"/>
          <w:color w:val="5B6761"/>
          <w:spacing w:val="-18"/>
          <w:w w:val="105"/>
          <w:sz w:val="14"/>
        </w:rPr>
        <w:t xml:space="preserve"> </w:t>
      </w:r>
      <w:r>
        <w:rPr>
          <w:rFonts w:ascii="Arial"/>
          <w:color w:val="5B6761"/>
          <w:w w:val="105"/>
          <w:sz w:val="14"/>
        </w:rPr>
        <w:t>this</w:t>
      </w:r>
      <w:r>
        <w:rPr>
          <w:rFonts w:ascii="Arial"/>
          <w:color w:val="5B6761"/>
          <w:spacing w:val="-18"/>
          <w:w w:val="105"/>
          <w:sz w:val="14"/>
        </w:rPr>
        <w:t xml:space="preserve"> </w:t>
      </w:r>
      <w:r>
        <w:rPr>
          <w:rFonts w:ascii="Arial"/>
          <w:color w:val="5B6761"/>
          <w:w w:val="105"/>
          <w:sz w:val="14"/>
        </w:rPr>
        <w:t>likely</w:t>
      </w:r>
      <w:r>
        <w:rPr>
          <w:rFonts w:ascii="Arial"/>
          <w:color w:val="5B6761"/>
          <w:spacing w:val="-19"/>
          <w:w w:val="105"/>
          <w:sz w:val="14"/>
        </w:rPr>
        <w:t xml:space="preserve"> </w:t>
      </w:r>
      <w:r>
        <w:rPr>
          <w:rFonts w:ascii="Arial"/>
          <w:color w:val="5B6761"/>
          <w:w w:val="105"/>
          <w:sz w:val="14"/>
        </w:rPr>
        <w:t>results</w:t>
      </w:r>
      <w:r>
        <w:rPr>
          <w:rFonts w:ascii="Arial"/>
          <w:color w:val="5B6761"/>
          <w:spacing w:val="-19"/>
          <w:w w:val="105"/>
          <w:sz w:val="14"/>
        </w:rPr>
        <w:t xml:space="preserve"> </w:t>
      </w:r>
      <w:r>
        <w:rPr>
          <w:rFonts w:ascii="Arial"/>
          <w:color w:val="5B6761"/>
          <w:w w:val="105"/>
          <w:sz w:val="14"/>
        </w:rPr>
        <w:t>in</w:t>
      </w:r>
      <w:r>
        <w:rPr>
          <w:rFonts w:ascii="Arial"/>
          <w:color w:val="5B6761"/>
          <w:spacing w:val="-18"/>
          <w:w w:val="105"/>
          <w:sz w:val="14"/>
        </w:rPr>
        <w:t xml:space="preserve"> </w:t>
      </w:r>
      <w:r>
        <w:rPr>
          <w:rFonts w:ascii="Arial"/>
          <w:color w:val="5B6761"/>
          <w:w w:val="105"/>
          <w:sz w:val="14"/>
        </w:rPr>
        <w:t>an</w:t>
      </w:r>
      <w:r>
        <w:rPr>
          <w:rFonts w:ascii="Arial"/>
          <w:color w:val="5B6761"/>
          <w:spacing w:val="-18"/>
          <w:w w:val="105"/>
          <w:sz w:val="14"/>
        </w:rPr>
        <w:t xml:space="preserve"> </w:t>
      </w:r>
      <w:r>
        <w:rPr>
          <w:rFonts w:ascii="Arial"/>
          <w:color w:val="5B6761"/>
          <w:w w:val="105"/>
          <w:sz w:val="14"/>
        </w:rPr>
        <w:t>overestimation</w:t>
      </w:r>
      <w:r>
        <w:rPr>
          <w:rFonts w:ascii="Arial"/>
          <w:color w:val="5B6761"/>
          <w:spacing w:val="-18"/>
          <w:w w:val="105"/>
          <w:sz w:val="14"/>
        </w:rPr>
        <w:t xml:space="preserve"> </w:t>
      </w:r>
      <w:r>
        <w:rPr>
          <w:rFonts w:ascii="Arial"/>
          <w:color w:val="5B6761"/>
          <w:w w:val="105"/>
          <w:sz w:val="14"/>
        </w:rPr>
        <w:t>of</w:t>
      </w:r>
      <w:r>
        <w:rPr>
          <w:rFonts w:ascii="Arial"/>
          <w:color w:val="5B6761"/>
          <w:spacing w:val="-20"/>
          <w:w w:val="105"/>
          <w:sz w:val="14"/>
        </w:rPr>
        <w:t xml:space="preserve"> </w:t>
      </w:r>
      <w:r>
        <w:rPr>
          <w:rFonts w:ascii="Arial"/>
          <w:color w:val="5B6761"/>
          <w:w w:val="105"/>
          <w:sz w:val="14"/>
        </w:rPr>
        <w:t>the</w:t>
      </w:r>
      <w:r>
        <w:rPr>
          <w:rFonts w:ascii="Arial"/>
          <w:color w:val="5B6761"/>
          <w:spacing w:val="-19"/>
          <w:w w:val="105"/>
          <w:sz w:val="14"/>
        </w:rPr>
        <w:t xml:space="preserve"> </w:t>
      </w:r>
      <w:r>
        <w:rPr>
          <w:rFonts w:ascii="Arial"/>
          <w:color w:val="5B6761"/>
          <w:w w:val="105"/>
          <w:sz w:val="14"/>
        </w:rPr>
        <w:t>population</w:t>
      </w:r>
      <w:r>
        <w:rPr>
          <w:rFonts w:ascii="Arial"/>
          <w:color w:val="5B6761"/>
          <w:spacing w:val="-18"/>
          <w:w w:val="105"/>
          <w:sz w:val="14"/>
        </w:rPr>
        <w:t xml:space="preserve"> </w:t>
      </w:r>
      <w:r>
        <w:rPr>
          <w:rFonts w:ascii="Arial"/>
          <w:color w:val="5B6761"/>
          <w:w w:val="105"/>
          <w:sz w:val="14"/>
        </w:rPr>
        <w:t>as</w:t>
      </w:r>
      <w:r>
        <w:rPr>
          <w:rFonts w:ascii="Arial"/>
          <w:color w:val="5B6761"/>
          <w:spacing w:val="-19"/>
          <w:w w:val="105"/>
          <w:sz w:val="14"/>
        </w:rPr>
        <w:t xml:space="preserve"> </w:t>
      </w:r>
      <w:r>
        <w:rPr>
          <w:rFonts w:ascii="Arial"/>
          <w:color w:val="5B6761"/>
          <w:w w:val="105"/>
          <w:sz w:val="14"/>
        </w:rPr>
        <w:t>many</w:t>
      </w:r>
      <w:r>
        <w:rPr>
          <w:rFonts w:ascii="Arial"/>
          <w:color w:val="5B6761"/>
          <w:spacing w:val="-19"/>
          <w:w w:val="105"/>
          <w:sz w:val="14"/>
        </w:rPr>
        <w:t xml:space="preserve"> </w:t>
      </w:r>
      <w:r>
        <w:rPr>
          <w:rFonts w:ascii="Arial"/>
          <w:color w:val="5B6761"/>
          <w:w w:val="105"/>
          <w:sz w:val="14"/>
        </w:rPr>
        <w:t>sports</w:t>
      </w:r>
      <w:r>
        <w:rPr>
          <w:rFonts w:ascii="Arial"/>
          <w:color w:val="5B6761"/>
          <w:spacing w:val="-18"/>
          <w:w w:val="105"/>
          <w:sz w:val="14"/>
        </w:rPr>
        <w:t xml:space="preserve"> </w:t>
      </w:r>
      <w:r>
        <w:rPr>
          <w:rFonts w:ascii="Arial"/>
          <w:color w:val="5B6761"/>
          <w:w w:val="105"/>
          <w:sz w:val="14"/>
        </w:rPr>
        <w:t>supplements</w:t>
      </w:r>
      <w:r>
        <w:rPr>
          <w:rFonts w:ascii="Arial"/>
          <w:color w:val="5B6761"/>
          <w:spacing w:val="-13"/>
          <w:w w:val="105"/>
          <w:sz w:val="14"/>
        </w:rPr>
        <w:t xml:space="preserve"> </w:t>
      </w:r>
      <w:r>
        <w:rPr>
          <w:rFonts w:ascii="Arial"/>
          <w:color w:val="5B6761"/>
          <w:w w:val="105"/>
          <w:sz w:val="14"/>
        </w:rPr>
        <w:t>are</w:t>
      </w:r>
      <w:r>
        <w:rPr>
          <w:rFonts w:ascii="Arial"/>
          <w:color w:val="5B6761"/>
          <w:spacing w:val="-20"/>
          <w:w w:val="105"/>
          <w:sz w:val="14"/>
        </w:rPr>
        <w:t xml:space="preserve"> </w:t>
      </w:r>
      <w:r>
        <w:rPr>
          <w:rFonts w:ascii="Arial"/>
          <w:color w:val="5B6761"/>
          <w:w w:val="105"/>
          <w:sz w:val="14"/>
        </w:rPr>
        <w:t>produced</w:t>
      </w:r>
      <w:r>
        <w:rPr>
          <w:rFonts w:ascii="Arial"/>
          <w:color w:val="5B6761"/>
          <w:spacing w:val="-18"/>
          <w:w w:val="105"/>
          <w:sz w:val="14"/>
        </w:rPr>
        <w:t xml:space="preserve"> </w:t>
      </w:r>
      <w:r>
        <w:rPr>
          <w:rFonts w:ascii="Arial"/>
          <w:color w:val="5B6761"/>
          <w:w w:val="105"/>
          <w:sz w:val="14"/>
        </w:rPr>
        <w:t>overseas.</w:t>
      </w:r>
    </w:p>
    <w:p w:rsidR="007D76BB" w:rsidRDefault="00D70D28">
      <w:pPr>
        <w:spacing w:before="58" w:line="268" w:lineRule="auto"/>
        <w:ind w:left="594" w:right="778" w:hanging="113"/>
        <w:rPr>
          <w:rFonts w:ascii="Arial"/>
          <w:sz w:val="14"/>
        </w:rPr>
      </w:pPr>
      <w:r>
        <w:rPr>
          <w:rFonts w:ascii="Arial"/>
          <w:color w:val="5B6761"/>
          <w:w w:val="105"/>
          <w:position w:val="5"/>
          <w:sz w:val="8"/>
        </w:rPr>
        <w:t xml:space="preserve">63 </w:t>
      </w:r>
      <w:r>
        <w:rPr>
          <w:rFonts w:ascii="Arial"/>
          <w:color w:val="5B6761"/>
          <w:w w:val="105"/>
          <w:sz w:val="14"/>
        </w:rPr>
        <w:t xml:space="preserve">The identified current sponsors were: Amway of Australia, ATP Science; </w:t>
      </w:r>
      <w:proofErr w:type="spellStart"/>
      <w:r>
        <w:rPr>
          <w:rFonts w:ascii="Arial"/>
          <w:color w:val="5B6761"/>
          <w:w w:val="105"/>
          <w:sz w:val="14"/>
        </w:rPr>
        <w:t>Biomedica</w:t>
      </w:r>
      <w:proofErr w:type="spellEnd"/>
      <w:r>
        <w:rPr>
          <w:rFonts w:ascii="Arial"/>
          <w:color w:val="5B6761"/>
          <w:w w:val="105"/>
          <w:sz w:val="14"/>
        </w:rPr>
        <w:t xml:space="preserve"> Nutraceuticals; Blackmores; Body Science International;</w:t>
      </w:r>
      <w:r>
        <w:rPr>
          <w:rFonts w:ascii="Arial"/>
          <w:color w:val="5B6761"/>
          <w:spacing w:val="-28"/>
          <w:w w:val="105"/>
          <w:sz w:val="14"/>
        </w:rPr>
        <w:t xml:space="preserve"> </w:t>
      </w:r>
      <w:r>
        <w:rPr>
          <w:rFonts w:ascii="Arial"/>
          <w:color w:val="5B6761"/>
          <w:w w:val="105"/>
          <w:sz w:val="14"/>
        </w:rPr>
        <w:t>Bronx</w:t>
      </w:r>
      <w:r>
        <w:rPr>
          <w:rFonts w:ascii="Arial"/>
          <w:color w:val="5B6761"/>
          <w:spacing w:val="-27"/>
          <w:w w:val="105"/>
          <w:sz w:val="14"/>
        </w:rPr>
        <w:t xml:space="preserve"> </w:t>
      </w:r>
      <w:r>
        <w:rPr>
          <w:rFonts w:ascii="Arial"/>
          <w:color w:val="5B6761"/>
          <w:w w:val="105"/>
          <w:sz w:val="14"/>
        </w:rPr>
        <w:t>Import</w:t>
      </w:r>
      <w:r>
        <w:rPr>
          <w:rFonts w:ascii="Arial"/>
          <w:color w:val="5B6761"/>
          <w:spacing w:val="-27"/>
          <w:w w:val="105"/>
          <w:sz w:val="14"/>
        </w:rPr>
        <w:t xml:space="preserve"> </w:t>
      </w:r>
      <w:r>
        <w:rPr>
          <w:rFonts w:ascii="Arial"/>
          <w:color w:val="5B6761"/>
          <w:w w:val="105"/>
          <w:sz w:val="14"/>
        </w:rPr>
        <w:t>&amp;</w:t>
      </w:r>
      <w:r>
        <w:rPr>
          <w:rFonts w:ascii="Arial"/>
          <w:color w:val="5B6761"/>
          <w:spacing w:val="-28"/>
          <w:w w:val="105"/>
          <w:sz w:val="14"/>
        </w:rPr>
        <w:t xml:space="preserve"> </w:t>
      </w:r>
      <w:r>
        <w:rPr>
          <w:rFonts w:ascii="Arial"/>
          <w:color w:val="5B6761"/>
          <w:w w:val="105"/>
          <w:sz w:val="14"/>
        </w:rPr>
        <w:t>Manufacture;</w:t>
      </w:r>
      <w:r>
        <w:rPr>
          <w:rFonts w:ascii="Arial"/>
          <w:color w:val="5B6761"/>
          <w:spacing w:val="-27"/>
          <w:w w:val="105"/>
          <w:sz w:val="14"/>
        </w:rPr>
        <w:t xml:space="preserve"> </w:t>
      </w:r>
      <w:r>
        <w:rPr>
          <w:rFonts w:ascii="Arial"/>
          <w:color w:val="5B6761"/>
          <w:w w:val="105"/>
          <w:sz w:val="14"/>
        </w:rPr>
        <w:t>Herbalife</w:t>
      </w:r>
      <w:r>
        <w:rPr>
          <w:rFonts w:ascii="Arial"/>
          <w:color w:val="5B6761"/>
          <w:spacing w:val="-28"/>
          <w:w w:val="105"/>
          <w:sz w:val="14"/>
        </w:rPr>
        <w:t xml:space="preserve"> </w:t>
      </w:r>
      <w:r>
        <w:rPr>
          <w:rFonts w:ascii="Arial"/>
          <w:color w:val="5B6761"/>
          <w:w w:val="105"/>
          <w:sz w:val="14"/>
        </w:rPr>
        <w:t>Australasia;</w:t>
      </w:r>
      <w:r>
        <w:rPr>
          <w:rFonts w:ascii="Arial"/>
          <w:color w:val="5B6761"/>
          <w:spacing w:val="-28"/>
          <w:w w:val="105"/>
          <w:sz w:val="14"/>
        </w:rPr>
        <w:t xml:space="preserve"> </w:t>
      </w:r>
      <w:r>
        <w:rPr>
          <w:rFonts w:ascii="Arial"/>
          <w:color w:val="5B6761"/>
          <w:w w:val="105"/>
          <w:sz w:val="14"/>
        </w:rPr>
        <w:t>Herbs</w:t>
      </w:r>
      <w:r>
        <w:rPr>
          <w:rFonts w:ascii="Arial"/>
          <w:color w:val="5B6761"/>
          <w:spacing w:val="-27"/>
          <w:w w:val="105"/>
          <w:sz w:val="14"/>
        </w:rPr>
        <w:t xml:space="preserve"> </w:t>
      </w:r>
      <w:r>
        <w:rPr>
          <w:rFonts w:ascii="Arial"/>
          <w:color w:val="5B6761"/>
          <w:w w:val="105"/>
          <w:sz w:val="14"/>
        </w:rPr>
        <w:t>of</w:t>
      </w:r>
      <w:r>
        <w:rPr>
          <w:rFonts w:ascii="Arial"/>
          <w:color w:val="5B6761"/>
          <w:spacing w:val="-28"/>
          <w:w w:val="105"/>
          <w:sz w:val="14"/>
        </w:rPr>
        <w:t xml:space="preserve"> </w:t>
      </w:r>
      <w:r>
        <w:rPr>
          <w:rFonts w:ascii="Arial"/>
          <w:color w:val="5B6761"/>
          <w:w w:val="105"/>
          <w:sz w:val="14"/>
        </w:rPr>
        <w:t>Gold;</w:t>
      </w:r>
      <w:r>
        <w:rPr>
          <w:rFonts w:ascii="Arial"/>
          <w:color w:val="5B6761"/>
          <w:spacing w:val="-27"/>
          <w:w w:val="105"/>
          <w:sz w:val="14"/>
        </w:rPr>
        <w:t xml:space="preserve"> </w:t>
      </w:r>
      <w:proofErr w:type="spellStart"/>
      <w:r>
        <w:rPr>
          <w:rFonts w:ascii="Arial"/>
          <w:color w:val="5B6761"/>
          <w:w w:val="105"/>
          <w:sz w:val="14"/>
        </w:rPr>
        <w:t>Metagenics</w:t>
      </w:r>
      <w:proofErr w:type="spellEnd"/>
      <w:r>
        <w:rPr>
          <w:rFonts w:ascii="Arial"/>
          <w:color w:val="5B6761"/>
          <w:spacing w:val="-28"/>
          <w:w w:val="105"/>
          <w:sz w:val="14"/>
        </w:rPr>
        <w:t xml:space="preserve"> </w:t>
      </w:r>
      <w:r>
        <w:rPr>
          <w:rFonts w:ascii="Arial"/>
          <w:color w:val="5B6761"/>
          <w:w w:val="105"/>
          <w:sz w:val="14"/>
        </w:rPr>
        <w:t>(</w:t>
      </w:r>
      <w:proofErr w:type="spellStart"/>
      <w:r>
        <w:rPr>
          <w:rFonts w:ascii="Arial"/>
          <w:color w:val="5B6761"/>
          <w:w w:val="105"/>
          <w:sz w:val="14"/>
        </w:rPr>
        <w:t>Aust</w:t>
      </w:r>
      <w:proofErr w:type="spellEnd"/>
      <w:r>
        <w:rPr>
          <w:rFonts w:ascii="Arial"/>
          <w:color w:val="5B6761"/>
          <w:w w:val="105"/>
          <w:sz w:val="14"/>
        </w:rPr>
        <w:t>);</w:t>
      </w:r>
      <w:r>
        <w:rPr>
          <w:rFonts w:ascii="Arial"/>
          <w:color w:val="5B6761"/>
          <w:spacing w:val="-27"/>
          <w:w w:val="105"/>
          <w:sz w:val="14"/>
        </w:rPr>
        <w:t xml:space="preserve"> </w:t>
      </w:r>
      <w:proofErr w:type="spellStart"/>
      <w:r>
        <w:rPr>
          <w:rFonts w:ascii="Arial"/>
          <w:color w:val="5B6761"/>
          <w:w w:val="105"/>
          <w:sz w:val="14"/>
        </w:rPr>
        <w:t>Iovate</w:t>
      </w:r>
      <w:proofErr w:type="spellEnd"/>
      <w:r>
        <w:rPr>
          <w:rFonts w:ascii="Arial"/>
          <w:color w:val="5B6761"/>
          <w:spacing w:val="-23"/>
          <w:w w:val="105"/>
          <w:sz w:val="14"/>
        </w:rPr>
        <w:t xml:space="preserve"> </w:t>
      </w:r>
      <w:r>
        <w:rPr>
          <w:rFonts w:ascii="Arial"/>
          <w:color w:val="5B6761"/>
          <w:w w:val="105"/>
          <w:sz w:val="14"/>
        </w:rPr>
        <w:t>Health</w:t>
      </w:r>
      <w:r>
        <w:rPr>
          <w:rFonts w:ascii="Arial"/>
          <w:color w:val="5B6761"/>
          <w:spacing w:val="-27"/>
          <w:w w:val="105"/>
          <w:sz w:val="14"/>
        </w:rPr>
        <w:t xml:space="preserve"> </w:t>
      </w:r>
      <w:r>
        <w:rPr>
          <w:rFonts w:ascii="Arial"/>
          <w:color w:val="5B6761"/>
          <w:w w:val="105"/>
          <w:sz w:val="14"/>
        </w:rPr>
        <w:t>Sciences</w:t>
      </w:r>
      <w:r>
        <w:rPr>
          <w:rFonts w:ascii="Arial"/>
          <w:color w:val="5B6761"/>
          <w:spacing w:val="-28"/>
          <w:w w:val="105"/>
          <w:sz w:val="14"/>
        </w:rPr>
        <w:t xml:space="preserve"> </w:t>
      </w:r>
      <w:r>
        <w:rPr>
          <w:rFonts w:ascii="Arial"/>
          <w:color w:val="5B6761"/>
          <w:w w:val="105"/>
          <w:sz w:val="14"/>
        </w:rPr>
        <w:t xml:space="preserve">Australia, </w:t>
      </w:r>
      <w:proofErr w:type="spellStart"/>
      <w:r>
        <w:rPr>
          <w:rFonts w:ascii="Arial"/>
          <w:color w:val="5B6761"/>
          <w:w w:val="105"/>
          <w:sz w:val="14"/>
        </w:rPr>
        <w:t>Musashi</w:t>
      </w:r>
      <w:proofErr w:type="spellEnd"/>
      <w:r>
        <w:rPr>
          <w:rFonts w:ascii="Arial"/>
          <w:color w:val="5B6761"/>
          <w:w w:val="105"/>
          <w:sz w:val="14"/>
        </w:rPr>
        <w:t>;</w:t>
      </w:r>
      <w:r>
        <w:rPr>
          <w:rFonts w:ascii="Arial"/>
          <w:color w:val="5B6761"/>
          <w:spacing w:val="-23"/>
          <w:w w:val="105"/>
          <w:sz w:val="14"/>
        </w:rPr>
        <w:t xml:space="preserve"> </w:t>
      </w:r>
      <w:proofErr w:type="spellStart"/>
      <w:r>
        <w:rPr>
          <w:rFonts w:ascii="Arial"/>
          <w:color w:val="5B6761"/>
          <w:w w:val="105"/>
          <w:sz w:val="14"/>
        </w:rPr>
        <w:t>PremaLife</w:t>
      </w:r>
      <w:proofErr w:type="spellEnd"/>
      <w:r>
        <w:rPr>
          <w:rFonts w:ascii="Arial"/>
          <w:color w:val="5B6761"/>
          <w:spacing w:val="-24"/>
          <w:w w:val="105"/>
          <w:sz w:val="14"/>
        </w:rPr>
        <w:t xml:space="preserve"> </w:t>
      </w:r>
      <w:r>
        <w:rPr>
          <w:rFonts w:ascii="Arial"/>
          <w:color w:val="5B6761"/>
          <w:w w:val="105"/>
          <w:sz w:val="14"/>
        </w:rPr>
        <w:t>t/a</w:t>
      </w:r>
      <w:r>
        <w:rPr>
          <w:rFonts w:ascii="Arial"/>
          <w:color w:val="5B6761"/>
          <w:spacing w:val="-22"/>
          <w:w w:val="105"/>
          <w:sz w:val="14"/>
        </w:rPr>
        <w:t xml:space="preserve"> </w:t>
      </w:r>
      <w:r>
        <w:rPr>
          <w:rFonts w:ascii="Arial"/>
          <w:color w:val="5B6761"/>
          <w:w w:val="105"/>
          <w:sz w:val="14"/>
        </w:rPr>
        <w:t>Natural</w:t>
      </w:r>
      <w:r>
        <w:rPr>
          <w:rFonts w:ascii="Arial"/>
          <w:color w:val="5B6761"/>
          <w:spacing w:val="-23"/>
          <w:w w:val="105"/>
          <w:sz w:val="14"/>
        </w:rPr>
        <w:t xml:space="preserve"> </w:t>
      </w:r>
      <w:r>
        <w:rPr>
          <w:rFonts w:ascii="Arial"/>
          <w:color w:val="5B6761"/>
          <w:w w:val="105"/>
          <w:sz w:val="14"/>
        </w:rPr>
        <w:t>Vitality</w:t>
      </w:r>
      <w:r>
        <w:rPr>
          <w:rFonts w:ascii="Arial"/>
          <w:color w:val="5B6761"/>
          <w:spacing w:val="-24"/>
          <w:w w:val="105"/>
          <w:sz w:val="14"/>
        </w:rPr>
        <w:t xml:space="preserve"> </w:t>
      </w:r>
      <w:r>
        <w:rPr>
          <w:rFonts w:ascii="Arial"/>
          <w:color w:val="5B6761"/>
          <w:w w:val="105"/>
          <w:sz w:val="14"/>
        </w:rPr>
        <w:t>Australia;</w:t>
      </w:r>
      <w:r>
        <w:rPr>
          <w:rFonts w:ascii="Arial"/>
          <w:color w:val="5B6761"/>
          <w:spacing w:val="-23"/>
          <w:w w:val="105"/>
          <w:sz w:val="14"/>
        </w:rPr>
        <w:t xml:space="preserve"> </w:t>
      </w:r>
      <w:r>
        <w:rPr>
          <w:rFonts w:ascii="Arial"/>
          <w:color w:val="5B6761"/>
          <w:w w:val="105"/>
          <w:sz w:val="14"/>
        </w:rPr>
        <w:t>Pharmacare</w:t>
      </w:r>
      <w:r>
        <w:rPr>
          <w:rFonts w:ascii="Arial"/>
          <w:color w:val="5B6761"/>
          <w:spacing w:val="-24"/>
          <w:w w:val="105"/>
          <w:sz w:val="14"/>
        </w:rPr>
        <w:t xml:space="preserve"> </w:t>
      </w:r>
      <w:r>
        <w:rPr>
          <w:rFonts w:ascii="Arial"/>
          <w:color w:val="5B6761"/>
          <w:w w:val="105"/>
          <w:sz w:val="14"/>
        </w:rPr>
        <w:t>Laboratories;</w:t>
      </w:r>
      <w:r>
        <w:rPr>
          <w:rFonts w:ascii="Arial"/>
          <w:color w:val="5B6761"/>
          <w:spacing w:val="-22"/>
          <w:w w:val="105"/>
          <w:sz w:val="14"/>
        </w:rPr>
        <w:t xml:space="preserve"> </w:t>
      </w:r>
      <w:r>
        <w:rPr>
          <w:rFonts w:ascii="Arial"/>
          <w:color w:val="5B6761"/>
          <w:w w:val="105"/>
          <w:sz w:val="14"/>
        </w:rPr>
        <w:t>Rapid</w:t>
      </w:r>
      <w:r>
        <w:rPr>
          <w:rFonts w:ascii="Arial"/>
          <w:color w:val="5B6761"/>
          <w:spacing w:val="-23"/>
          <w:w w:val="105"/>
          <w:sz w:val="14"/>
        </w:rPr>
        <w:t xml:space="preserve"> </w:t>
      </w:r>
      <w:r>
        <w:rPr>
          <w:rFonts w:ascii="Arial"/>
          <w:color w:val="5B6761"/>
          <w:w w:val="105"/>
          <w:sz w:val="14"/>
        </w:rPr>
        <w:t>Nutrition;</w:t>
      </w:r>
      <w:r>
        <w:rPr>
          <w:rFonts w:ascii="Arial"/>
          <w:color w:val="5B6761"/>
          <w:spacing w:val="-23"/>
          <w:w w:val="105"/>
          <w:sz w:val="14"/>
        </w:rPr>
        <w:t xml:space="preserve"> </w:t>
      </w:r>
      <w:proofErr w:type="spellStart"/>
      <w:r>
        <w:rPr>
          <w:rFonts w:ascii="Arial"/>
          <w:color w:val="5B6761"/>
          <w:w w:val="105"/>
          <w:sz w:val="14"/>
        </w:rPr>
        <w:t>Swisse</w:t>
      </w:r>
      <w:proofErr w:type="spellEnd"/>
      <w:r>
        <w:rPr>
          <w:rFonts w:ascii="Arial"/>
          <w:color w:val="5B6761"/>
          <w:spacing w:val="-23"/>
          <w:w w:val="105"/>
          <w:sz w:val="14"/>
        </w:rPr>
        <w:t xml:space="preserve"> </w:t>
      </w:r>
      <w:r>
        <w:rPr>
          <w:rFonts w:ascii="Arial"/>
          <w:color w:val="5B6761"/>
          <w:w w:val="105"/>
          <w:sz w:val="14"/>
        </w:rPr>
        <w:t>Wellness;</w:t>
      </w:r>
      <w:r>
        <w:rPr>
          <w:rFonts w:ascii="Arial"/>
          <w:color w:val="5B6761"/>
          <w:spacing w:val="-23"/>
          <w:w w:val="105"/>
          <w:sz w:val="14"/>
        </w:rPr>
        <w:t xml:space="preserve"> </w:t>
      </w:r>
      <w:r>
        <w:rPr>
          <w:rFonts w:ascii="Arial"/>
          <w:color w:val="5B6761"/>
          <w:w w:val="105"/>
          <w:sz w:val="14"/>
        </w:rPr>
        <w:t>Top</w:t>
      </w:r>
      <w:r>
        <w:rPr>
          <w:rFonts w:ascii="Arial"/>
          <w:color w:val="5B6761"/>
          <w:spacing w:val="-23"/>
          <w:w w:val="105"/>
          <w:sz w:val="14"/>
        </w:rPr>
        <w:t xml:space="preserve"> </w:t>
      </w:r>
      <w:r>
        <w:rPr>
          <w:rFonts w:ascii="Arial"/>
          <w:color w:val="5B6761"/>
          <w:w w:val="105"/>
          <w:sz w:val="14"/>
        </w:rPr>
        <w:t>Nutrition;</w:t>
      </w:r>
      <w:r>
        <w:rPr>
          <w:rFonts w:ascii="Arial"/>
          <w:color w:val="5B6761"/>
          <w:spacing w:val="-22"/>
          <w:w w:val="105"/>
          <w:sz w:val="14"/>
        </w:rPr>
        <w:t xml:space="preserve"> </w:t>
      </w:r>
      <w:proofErr w:type="spellStart"/>
      <w:r>
        <w:rPr>
          <w:rFonts w:ascii="Arial"/>
          <w:color w:val="5B6761"/>
          <w:w w:val="105"/>
          <w:sz w:val="14"/>
        </w:rPr>
        <w:t>Vitaco</w:t>
      </w:r>
      <w:proofErr w:type="spellEnd"/>
      <w:r>
        <w:rPr>
          <w:rFonts w:ascii="Arial"/>
          <w:color w:val="5B6761"/>
          <w:w w:val="105"/>
          <w:sz w:val="14"/>
        </w:rPr>
        <w:t xml:space="preserve"> Health</w:t>
      </w:r>
      <w:r>
        <w:rPr>
          <w:rFonts w:ascii="Arial"/>
          <w:color w:val="5B6761"/>
          <w:spacing w:val="-8"/>
          <w:w w:val="105"/>
          <w:sz w:val="14"/>
        </w:rPr>
        <w:t xml:space="preserve"> </w:t>
      </w:r>
      <w:r>
        <w:rPr>
          <w:rFonts w:ascii="Arial"/>
          <w:color w:val="5B6761"/>
          <w:w w:val="105"/>
          <w:sz w:val="14"/>
        </w:rPr>
        <w:t>Australia;</w:t>
      </w:r>
      <w:r>
        <w:rPr>
          <w:rFonts w:ascii="Arial"/>
          <w:color w:val="5B6761"/>
          <w:spacing w:val="-9"/>
          <w:w w:val="105"/>
          <w:sz w:val="14"/>
        </w:rPr>
        <w:t xml:space="preserve"> </w:t>
      </w:r>
      <w:proofErr w:type="spellStart"/>
      <w:r>
        <w:rPr>
          <w:rFonts w:ascii="Arial"/>
          <w:color w:val="5B6761"/>
          <w:w w:val="105"/>
          <w:sz w:val="14"/>
        </w:rPr>
        <w:t>Vitaminhaus</w:t>
      </w:r>
      <w:proofErr w:type="spellEnd"/>
      <w:r>
        <w:rPr>
          <w:rFonts w:ascii="Arial"/>
          <w:color w:val="5B6761"/>
          <w:spacing w:val="-9"/>
          <w:w w:val="105"/>
          <w:sz w:val="14"/>
        </w:rPr>
        <w:t xml:space="preserve"> </w:t>
      </w:r>
      <w:r>
        <w:rPr>
          <w:rFonts w:ascii="Arial"/>
          <w:color w:val="5B6761"/>
          <w:w w:val="105"/>
          <w:sz w:val="14"/>
        </w:rPr>
        <w:t>and</w:t>
      </w:r>
      <w:r>
        <w:rPr>
          <w:rFonts w:ascii="Arial"/>
          <w:color w:val="5B6761"/>
          <w:spacing w:val="-8"/>
          <w:w w:val="105"/>
          <w:sz w:val="14"/>
        </w:rPr>
        <w:t xml:space="preserve"> </w:t>
      </w:r>
      <w:proofErr w:type="spellStart"/>
      <w:r>
        <w:rPr>
          <w:rFonts w:ascii="Arial"/>
          <w:color w:val="5B6761"/>
          <w:w w:val="105"/>
          <w:sz w:val="14"/>
        </w:rPr>
        <w:t>Vitex</w:t>
      </w:r>
      <w:proofErr w:type="spellEnd"/>
      <w:r>
        <w:rPr>
          <w:rFonts w:ascii="Arial"/>
          <w:color w:val="5B6761"/>
          <w:spacing w:val="-9"/>
          <w:w w:val="105"/>
          <w:sz w:val="14"/>
        </w:rPr>
        <w:t xml:space="preserve"> </w:t>
      </w:r>
      <w:r>
        <w:rPr>
          <w:rFonts w:ascii="Arial"/>
          <w:color w:val="5B6761"/>
          <w:w w:val="105"/>
          <w:sz w:val="14"/>
        </w:rPr>
        <w:t>Pharmaceuticals.</w:t>
      </w:r>
    </w:p>
    <w:p w:rsidR="007D76BB" w:rsidRDefault="007D76BB">
      <w:pPr>
        <w:spacing w:line="268" w:lineRule="auto"/>
        <w:rPr>
          <w:rFonts w:ascii="Arial"/>
          <w:sz w:val="14"/>
        </w:rPr>
        <w:sectPr w:rsidR="007D76BB">
          <w:type w:val="continuous"/>
          <w:pgSz w:w="11910" w:h="16850"/>
          <w:pgMar w:top="1220" w:right="820" w:bottom="280" w:left="1220" w:header="720" w:footer="720"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8"/>
        </w:rPr>
      </w:pPr>
    </w:p>
    <w:p w:rsidR="007D76BB" w:rsidRDefault="00D70D28">
      <w:pPr>
        <w:spacing w:before="108" w:line="264" w:lineRule="auto"/>
        <w:ind w:left="482" w:right="778"/>
        <w:rPr>
          <w:rFonts w:ascii="Arial"/>
          <w:sz w:val="19"/>
        </w:rPr>
      </w:pPr>
      <w:proofErr w:type="gramStart"/>
      <w:r>
        <w:rPr>
          <w:rFonts w:ascii="Arial"/>
          <w:w w:val="105"/>
          <w:sz w:val="19"/>
        </w:rPr>
        <w:t>overall</w:t>
      </w:r>
      <w:proofErr w:type="gramEnd"/>
      <w:r>
        <w:rPr>
          <w:rFonts w:ascii="Arial"/>
          <w:spacing w:val="-16"/>
          <w:w w:val="105"/>
          <w:sz w:val="19"/>
        </w:rPr>
        <w:t xml:space="preserve"> </w:t>
      </w:r>
      <w:r>
        <w:rPr>
          <w:rFonts w:ascii="Arial"/>
          <w:w w:val="105"/>
          <w:sz w:val="19"/>
        </w:rPr>
        <w:t>regulatory</w:t>
      </w:r>
      <w:r>
        <w:rPr>
          <w:rFonts w:ascii="Arial"/>
          <w:spacing w:val="-16"/>
          <w:w w:val="105"/>
          <w:sz w:val="19"/>
        </w:rPr>
        <w:t xml:space="preserve"> </w:t>
      </w:r>
      <w:r>
        <w:rPr>
          <w:rFonts w:ascii="Arial"/>
          <w:w w:val="105"/>
          <w:sz w:val="19"/>
        </w:rPr>
        <w:t>burden.</w:t>
      </w:r>
      <w:r>
        <w:rPr>
          <w:rFonts w:ascii="Arial"/>
          <w:spacing w:val="-13"/>
          <w:w w:val="105"/>
          <w:sz w:val="19"/>
        </w:rPr>
        <w:t xml:space="preserve"> </w:t>
      </w:r>
      <w:r>
        <w:rPr>
          <w:rFonts w:ascii="Arial"/>
          <w:w w:val="105"/>
          <w:sz w:val="19"/>
        </w:rPr>
        <w:t>Likewise,</w:t>
      </w:r>
      <w:r>
        <w:rPr>
          <w:rFonts w:ascii="Arial"/>
          <w:spacing w:val="-18"/>
          <w:w w:val="105"/>
          <w:sz w:val="19"/>
        </w:rPr>
        <w:t xml:space="preserve"> </w:t>
      </w:r>
      <w:r>
        <w:rPr>
          <w:rFonts w:ascii="Arial"/>
          <w:w w:val="105"/>
          <w:sz w:val="19"/>
        </w:rPr>
        <w:t>the</w:t>
      </w:r>
      <w:r>
        <w:rPr>
          <w:rFonts w:ascii="Arial"/>
          <w:spacing w:val="-16"/>
          <w:w w:val="105"/>
          <w:sz w:val="19"/>
        </w:rPr>
        <w:t xml:space="preserve"> </w:t>
      </w:r>
      <w:r>
        <w:rPr>
          <w:rFonts w:ascii="Arial"/>
          <w:w w:val="105"/>
          <w:sz w:val="19"/>
        </w:rPr>
        <w:t>proposed</w:t>
      </w:r>
      <w:r>
        <w:rPr>
          <w:rFonts w:ascii="Arial"/>
          <w:spacing w:val="-18"/>
          <w:w w:val="105"/>
          <w:sz w:val="19"/>
        </w:rPr>
        <w:t xml:space="preserve"> </w:t>
      </w:r>
      <w:r>
        <w:rPr>
          <w:rFonts w:ascii="Arial"/>
          <w:w w:val="105"/>
          <w:sz w:val="19"/>
        </w:rPr>
        <w:t>regulatory</w:t>
      </w:r>
      <w:r>
        <w:rPr>
          <w:rFonts w:ascii="Arial"/>
          <w:spacing w:val="-15"/>
          <w:w w:val="105"/>
          <w:sz w:val="19"/>
        </w:rPr>
        <w:t xml:space="preserve"> </w:t>
      </w:r>
      <w:r>
        <w:rPr>
          <w:rFonts w:ascii="Arial"/>
          <w:w w:val="105"/>
          <w:sz w:val="19"/>
        </w:rPr>
        <w:t>clarification</w:t>
      </w:r>
      <w:r>
        <w:rPr>
          <w:rFonts w:ascii="Arial"/>
          <w:spacing w:val="-18"/>
          <w:w w:val="105"/>
          <w:sz w:val="19"/>
        </w:rPr>
        <w:t xml:space="preserve"> </w:t>
      </w:r>
      <w:r>
        <w:rPr>
          <w:rFonts w:ascii="Arial"/>
          <w:w w:val="105"/>
          <w:sz w:val="19"/>
        </w:rPr>
        <w:t>will</w:t>
      </w:r>
      <w:r>
        <w:rPr>
          <w:rFonts w:ascii="Arial"/>
          <w:spacing w:val="-15"/>
          <w:w w:val="105"/>
          <w:sz w:val="19"/>
        </w:rPr>
        <w:t xml:space="preserve"> </w:t>
      </w:r>
      <w:r>
        <w:rPr>
          <w:rFonts w:ascii="Arial"/>
          <w:w w:val="105"/>
          <w:sz w:val="19"/>
        </w:rPr>
        <w:t>form</w:t>
      </w:r>
      <w:r>
        <w:rPr>
          <w:rFonts w:ascii="Arial"/>
          <w:spacing w:val="-12"/>
          <w:w w:val="105"/>
          <w:sz w:val="19"/>
        </w:rPr>
        <w:t xml:space="preserve"> </w:t>
      </w:r>
      <w:r>
        <w:rPr>
          <w:rFonts w:ascii="Arial"/>
          <w:w w:val="105"/>
          <w:sz w:val="19"/>
        </w:rPr>
        <w:t>but</w:t>
      </w:r>
      <w:r>
        <w:rPr>
          <w:rFonts w:ascii="Arial"/>
          <w:spacing w:val="-17"/>
          <w:w w:val="105"/>
          <w:sz w:val="19"/>
        </w:rPr>
        <w:t xml:space="preserve"> </w:t>
      </w:r>
      <w:r>
        <w:rPr>
          <w:rFonts w:ascii="Arial"/>
          <w:w w:val="105"/>
          <w:sz w:val="19"/>
        </w:rPr>
        <w:t>part</w:t>
      </w:r>
      <w:r>
        <w:rPr>
          <w:rFonts w:ascii="Arial"/>
          <w:spacing w:val="-16"/>
          <w:w w:val="105"/>
          <w:sz w:val="19"/>
        </w:rPr>
        <w:t xml:space="preserve"> </w:t>
      </w:r>
      <w:r>
        <w:rPr>
          <w:rFonts w:ascii="Arial"/>
          <w:w w:val="105"/>
          <w:sz w:val="19"/>
        </w:rPr>
        <w:t>of</w:t>
      </w:r>
      <w:r>
        <w:rPr>
          <w:rFonts w:ascii="Arial"/>
          <w:spacing w:val="-17"/>
          <w:w w:val="105"/>
          <w:sz w:val="19"/>
        </w:rPr>
        <w:t xml:space="preserve"> </w:t>
      </w:r>
      <w:r>
        <w:rPr>
          <w:rFonts w:ascii="Arial"/>
          <w:w w:val="105"/>
          <w:sz w:val="19"/>
        </w:rPr>
        <w:t>the complex</w:t>
      </w:r>
      <w:r>
        <w:rPr>
          <w:rFonts w:ascii="Arial"/>
          <w:spacing w:val="-25"/>
          <w:w w:val="105"/>
          <w:sz w:val="19"/>
        </w:rPr>
        <w:t xml:space="preserve"> </w:t>
      </w:r>
      <w:r>
        <w:rPr>
          <w:rFonts w:ascii="Arial"/>
          <w:w w:val="105"/>
          <w:sz w:val="19"/>
        </w:rPr>
        <w:t>regulatory</w:t>
      </w:r>
      <w:r>
        <w:rPr>
          <w:rFonts w:ascii="Arial"/>
          <w:spacing w:val="-23"/>
          <w:w w:val="105"/>
          <w:sz w:val="19"/>
        </w:rPr>
        <w:t xml:space="preserve"> </w:t>
      </w:r>
      <w:r>
        <w:rPr>
          <w:rFonts w:ascii="Arial"/>
          <w:w w:val="105"/>
          <w:sz w:val="19"/>
        </w:rPr>
        <w:t>framework</w:t>
      </w:r>
      <w:r>
        <w:rPr>
          <w:rFonts w:ascii="Arial"/>
          <w:spacing w:val="-22"/>
          <w:w w:val="105"/>
          <w:sz w:val="19"/>
        </w:rPr>
        <w:t xml:space="preserve"> </w:t>
      </w:r>
      <w:r>
        <w:rPr>
          <w:rFonts w:ascii="Arial"/>
          <w:w w:val="105"/>
          <w:sz w:val="19"/>
        </w:rPr>
        <w:t>that</w:t>
      </w:r>
      <w:r>
        <w:rPr>
          <w:rFonts w:ascii="Arial"/>
          <w:spacing w:val="-24"/>
          <w:w w:val="105"/>
          <w:sz w:val="19"/>
        </w:rPr>
        <w:t xml:space="preserve"> </w:t>
      </w:r>
      <w:r>
        <w:rPr>
          <w:rFonts w:ascii="Arial"/>
          <w:w w:val="105"/>
          <w:sz w:val="19"/>
        </w:rPr>
        <w:t>new</w:t>
      </w:r>
      <w:r>
        <w:rPr>
          <w:rFonts w:ascii="Arial"/>
          <w:spacing w:val="-22"/>
          <w:w w:val="105"/>
          <w:sz w:val="19"/>
        </w:rPr>
        <w:t xml:space="preserve"> </w:t>
      </w:r>
      <w:r>
        <w:rPr>
          <w:rFonts w:ascii="Arial"/>
          <w:w w:val="105"/>
          <w:sz w:val="19"/>
        </w:rPr>
        <w:t>food</w:t>
      </w:r>
      <w:r>
        <w:rPr>
          <w:rFonts w:ascii="Arial"/>
          <w:spacing w:val="-23"/>
          <w:w w:val="105"/>
          <w:sz w:val="19"/>
        </w:rPr>
        <w:t xml:space="preserve"> </w:t>
      </w:r>
      <w:r>
        <w:rPr>
          <w:rFonts w:ascii="Arial"/>
          <w:w w:val="105"/>
          <w:sz w:val="19"/>
        </w:rPr>
        <w:t>manufacturers/brand</w:t>
      </w:r>
      <w:r>
        <w:rPr>
          <w:rFonts w:ascii="Arial"/>
          <w:spacing w:val="-23"/>
          <w:w w:val="105"/>
          <w:sz w:val="19"/>
        </w:rPr>
        <w:t xml:space="preserve"> </w:t>
      </w:r>
      <w:r>
        <w:rPr>
          <w:rFonts w:ascii="Arial"/>
          <w:w w:val="105"/>
          <w:sz w:val="19"/>
        </w:rPr>
        <w:t>owners</w:t>
      </w:r>
      <w:r>
        <w:rPr>
          <w:rFonts w:ascii="Arial"/>
          <w:spacing w:val="-24"/>
          <w:w w:val="105"/>
          <w:sz w:val="19"/>
        </w:rPr>
        <w:t xml:space="preserve"> </w:t>
      </w:r>
      <w:r>
        <w:rPr>
          <w:rFonts w:ascii="Arial"/>
          <w:w w:val="105"/>
          <w:sz w:val="19"/>
        </w:rPr>
        <w:t>will</w:t>
      </w:r>
      <w:r>
        <w:rPr>
          <w:rFonts w:ascii="Arial"/>
          <w:spacing w:val="-23"/>
          <w:w w:val="105"/>
          <w:sz w:val="19"/>
        </w:rPr>
        <w:t xml:space="preserve"> </w:t>
      </w:r>
      <w:r>
        <w:rPr>
          <w:rFonts w:ascii="Arial"/>
          <w:w w:val="105"/>
          <w:sz w:val="19"/>
        </w:rPr>
        <w:t>need</w:t>
      </w:r>
      <w:r>
        <w:rPr>
          <w:rFonts w:ascii="Arial"/>
          <w:spacing w:val="-24"/>
          <w:w w:val="105"/>
          <w:sz w:val="19"/>
        </w:rPr>
        <w:t xml:space="preserve"> </w:t>
      </w:r>
      <w:r>
        <w:rPr>
          <w:rFonts w:ascii="Arial"/>
          <w:w w:val="105"/>
          <w:sz w:val="19"/>
        </w:rPr>
        <w:t>to</w:t>
      </w:r>
      <w:r>
        <w:rPr>
          <w:rFonts w:ascii="Arial"/>
          <w:spacing w:val="-22"/>
          <w:w w:val="105"/>
          <w:sz w:val="19"/>
        </w:rPr>
        <w:t xml:space="preserve"> </w:t>
      </w:r>
      <w:r>
        <w:rPr>
          <w:rFonts w:ascii="Arial"/>
          <w:w w:val="105"/>
          <w:sz w:val="19"/>
        </w:rPr>
        <w:t>be</w:t>
      </w:r>
      <w:r>
        <w:rPr>
          <w:rFonts w:ascii="Arial"/>
          <w:spacing w:val="-22"/>
          <w:w w:val="105"/>
          <w:sz w:val="19"/>
        </w:rPr>
        <w:t xml:space="preserve"> </w:t>
      </w:r>
      <w:r>
        <w:rPr>
          <w:rFonts w:ascii="Arial"/>
          <w:w w:val="105"/>
          <w:sz w:val="19"/>
        </w:rPr>
        <w:t>aware</w:t>
      </w:r>
      <w:r>
        <w:rPr>
          <w:rFonts w:ascii="Arial"/>
          <w:spacing w:val="-23"/>
          <w:w w:val="105"/>
          <w:sz w:val="19"/>
        </w:rPr>
        <w:t xml:space="preserve"> </w:t>
      </w:r>
      <w:r>
        <w:rPr>
          <w:rFonts w:ascii="Arial"/>
          <w:w w:val="105"/>
          <w:sz w:val="19"/>
        </w:rPr>
        <w:t>of and</w:t>
      </w:r>
      <w:r>
        <w:rPr>
          <w:rFonts w:ascii="Arial"/>
          <w:spacing w:val="-23"/>
          <w:w w:val="105"/>
          <w:sz w:val="19"/>
        </w:rPr>
        <w:t xml:space="preserve"> </w:t>
      </w:r>
      <w:r>
        <w:rPr>
          <w:rFonts w:ascii="Arial"/>
          <w:w w:val="105"/>
          <w:sz w:val="19"/>
        </w:rPr>
        <w:t>therefore</w:t>
      </w:r>
      <w:r>
        <w:rPr>
          <w:rFonts w:ascii="Arial"/>
          <w:spacing w:val="-20"/>
          <w:w w:val="105"/>
          <w:sz w:val="19"/>
        </w:rPr>
        <w:t xml:space="preserve"> </w:t>
      </w:r>
      <w:r>
        <w:rPr>
          <w:rFonts w:ascii="Arial"/>
          <w:w w:val="105"/>
          <w:sz w:val="19"/>
        </w:rPr>
        <w:t>is</w:t>
      </w:r>
      <w:r>
        <w:rPr>
          <w:rFonts w:ascii="Arial"/>
          <w:spacing w:val="-24"/>
          <w:w w:val="105"/>
          <w:sz w:val="19"/>
        </w:rPr>
        <w:t xml:space="preserve"> </w:t>
      </w:r>
      <w:r>
        <w:rPr>
          <w:rFonts w:ascii="Arial"/>
          <w:w w:val="105"/>
          <w:sz w:val="19"/>
        </w:rPr>
        <w:t>considered</w:t>
      </w:r>
      <w:r>
        <w:rPr>
          <w:rFonts w:ascii="Arial"/>
          <w:spacing w:val="-22"/>
          <w:w w:val="105"/>
          <w:sz w:val="19"/>
        </w:rPr>
        <w:t xml:space="preserve"> </w:t>
      </w:r>
      <w:r>
        <w:rPr>
          <w:rFonts w:ascii="Arial"/>
          <w:w w:val="105"/>
          <w:sz w:val="19"/>
        </w:rPr>
        <w:t>to</w:t>
      </w:r>
      <w:r>
        <w:rPr>
          <w:rFonts w:ascii="Arial"/>
          <w:spacing w:val="-22"/>
          <w:w w:val="105"/>
          <w:sz w:val="19"/>
        </w:rPr>
        <w:t xml:space="preserve"> </w:t>
      </w:r>
      <w:r>
        <w:rPr>
          <w:rFonts w:ascii="Arial"/>
          <w:w w:val="105"/>
          <w:sz w:val="19"/>
        </w:rPr>
        <w:t>represent</w:t>
      </w:r>
      <w:r>
        <w:rPr>
          <w:rFonts w:ascii="Arial"/>
          <w:spacing w:val="-23"/>
          <w:w w:val="105"/>
          <w:sz w:val="19"/>
        </w:rPr>
        <w:t xml:space="preserve"> </w:t>
      </w:r>
      <w:r>
        <w:rPr>
          <w:rFonts w:ascii="Arial"/>
          <w:w w:val="105"/>
          <w:sz w:val="19"/>
        </w:rPr>
        <w:t>a</w:t>
      </w:r>
      <w:r>
        <w:rPr>
          <w:rFonts w:ascii="Arial"/>
          <w:spacing w:val="-21"/>
          <w:w w:val="105"/>
          <w:sz w:val="19"/>
        </w:rPr>
        <w:t xml:space="preserve"> </w:t>
      </w:r>
      <w:r>
        <w:rPr>
          <w:rFonts w:ascii="Arial"/>
          <w:w w:val="105"/>
          <w:sz w:val="19"/>
        </w:rPr>
        <w:t>non-material</w:t>
      </w:r>
      <w:r>
        <w:rPr>
          <w:rFonts w:ascii="Arial"/>
          <w:spacing w:val="-21"/>
          <w:w w:val="105"/>
          <w:sz w:val="19"/>
        </w:rPr>
        <w:t xml:space="preserve"> </w:t>
      </w:r>
      <w:r>
        <w:rPr>
          <w:rFonts w:ascii="Arial"/>
          <w:w w:val="105"/>
          <w:sz w:val="19"/>
        </w:rPr>
        <w:t>increase</w:t>
      </w:r>
      <w:r>
        <w:rPr>
          <w:rFonts w:ascii="Arial"/>
          <w:spacing w:val="-21"/>
          <w:w w:val="105"/>
          <w:sz w:val="19"/>
        </w:rPr>
        <w:t xml:space="preserve"> </w:t>
      </w:r>
      <w:r>
        <w:rPr>
          <w:rFonts w:ascii="Arial"/>
          <w:w w:val="105"/>
          <w:sz w:val="19"/>
        </w:rPr>
        <w:t>in</w:t>
      </w:r>
      <w:r>
        <w:rPr>
          <w:rFonts w:ascii="Arial"/>
          <w:spacing w:val="-22"/>
          <w:w w:val="105"/>
          <w:sz w:val="19"/>
        </w:rPr>
        <w:t xml:space="preserve"> </w:t>
      </w:r>
      <w:r>
        <w:rPr>
          <w:rFonts w:ascii="Arial"/>
          <w:w w:val="105"/>
          <w:sz w:val="19"/>
        </w:rPr>
        <w:t>the</w:t>
      </w:r>
      <w:r>
        <w:rPr>
          <w:rFonts w:ascii="Arial"/>
          <w:spacing w:val="-23"/>
          <w:w w:val="105"/>
          <w:sz w:val="19"/>
        </w:rPr>
        <w:t xml:space="preserve"> </w:t>
      </w:r>
      <w:r>
        <w:rPr>
          <w:rFonts w:ascii="Arial"/>
          <w:w w:val="105"/>
          <w:sz w:val="19"/>
        </w:rPr>
        <w:t>overall</w:t>
      </w:r>
      <w:r>
        <w:rPr>
          <w:rFonts w:ascii="Arial"/>
          <w:spacing w:val="-21"/>
          <w:w w:val="105"/>
          <w:sz w:val="19"/>
        </w:rPr>
        <w:t xml:space="preserve"> </w:t>
      </w:r>
      <w:r>
        <w:rPr>
          <w:rFonts w:ascii="Arial"/>
          <w:w w:val="105"/>
          <w:sz w:val="19"/>
        </w:rPr>
        <w:t>regulatory</w:t>
      </w:r>
      <w:r>
        <w:rPr>
          <w:rFonts w:ascii="Arial"/>
          <w:spacing w:val="-21"/>
          <w:w w:val="105"/>
          <w:sz w:val="19"/>
        </w:rPr>
        <w:t xml:space="preserve"> </w:t>
      </w:r>
      <w:r>
        <w:rPr>
          <w:rFonts w:ascii="Arial"/>
          <w:w w:val="105"/>
          <w:sz w:val="19"/>
        </w:rPr>
        <w:t>burden.</w:t>
      </w:r>
    </w:p>
    <w:p w:rsidR="007D76BB" w:rsidRDefault="007D76BB">
      <w:pPr>
        <w:pStyle w:val="BodyText"/>
        <w:spacing w:before="6"/>
        <w:rPr>
          <w:rFonts w:ascii="Arial"/>
          <w:sz w:val="24"/>
        </w:rPr>
      </w:pPr>
    </w:p>
    <w:p w:rsidR="007D76BB" w:rsidRDefault="00D70D28">
      <w:pPr>
        <w:spacing w:before="1"/>
        <w:ind w:left="482"/>
        <w:rPr>
          <w:rFonts w:ascii="Lucida Sans"/>
          <w:b/>
          <w:sz w:val="20"/>
        </w:rPr>
      </w:pPr>
      <w:r>
        <w:rPr>
          <w:rFonts w:ascii="Lucida Sans"/>
          <w:b/>
          <w:sz w:val="20"/>
        </w:rPr>
        <w:t>Regulatory impact</w:t>
      </w:r>
    </w:p>
    <w:p w:rsidR="007D76BB" w:rsidRDefault="00D70D28">
      <w:pPr>
        <w:spacing w:before="200" w:line="264" w:lineRule="auto"/>
        <w:ind w:left="482" w:right="844"/>
        <w:rPr>
          <w:rFonts w:ascii="Arial" w:hAnsi="Arial"/>
          <w:sz w:val="11"/>
        </w:rPr>
      </w:pPr>
      <w:r>
        <w:rPr>
          <w:rFonts w:ascii="Arial" w:hAnsi="Arial"/>
          <w:w w:val="105"/>
          <w:sz w:val="19"/>
        </w:rPr>
        <w:t>Noetic considered that current sponsors would be aware of the TGA’s regulatory framework and would require less time than companies completely new to the TGA’s regulatory framework to understand this framework. It is considered that at a minimum the existing sponsors would likely have read the TGA’s consultation paper in October 2019 as well as the two stakeholder presentations</w:t>
      </w:r>
      <w:r>
        <w:rPr>
          <w:rFonts w:ascii="Arial" w:hAnsi="Arial"/>
          <w:spacing w:val="-27"/>
          <w:w w:val="105"/>
          <w:sz w:val="19"/>
        </w:rPr>
        <w:t xml:space="preserve"> </w:t>
      </w:r>
      <w:r>
        <w:rPr>
          <w:rFonts w:ascii="Arial" w:hAnsi="Arial"/>
          <w:w w:val="105"/>
          <w:sz w:val="19"/>
        </w:rPr>
        <w:t>added</w:t>
      </w:r>
      <w:r>
        <w:rPr>
          <w:rFonts w:ascii="Arial" w:hAnsi="Arial"/>
          <w:spacing w:val="-26"/>
          <w:w w:val="105"/>
          <w:sz w:val="19"/>
        </w:rPr>
        <w:t xml:space="preserve"> </w:t>
      </w:r>
      <w:r>
        <w:rPr>
          <w:rFonts w:ascii="Arial" w:hAnsi="Arial"/>
          <w:w w:val="105"/>
          <w:sz w:val="19"/>
        </w:rPr>
        <w:t>to</w:t>
      </w:r>
      <w:r>
        <w:rPr>
          <w:rFonts w:ascii="Arial" w:hAnsi="Arial"/>
          <w:spacing w:val="-25"/>
          <w:w w:val="105"/>
          <w:sz w:val="19"/>
        </w:rPr>
        <w:t xml:space="preserve"> </w:t>
      </w:r>
      <w:r>
        <w:rPr>
          <w:rFonts w:ascii="Arial" w:hAnsi="Arial"/>
          <w:w w:val="105"/>
          <w:sz w:val="19"/>
        </w:rPr>
        <w:t>the</w:t>
      </w:r>
      <w:r>
        <w:rPr>
          <w:rFonts w:ascii="Arial" w:hAnsi="Arial"/>
          <w:spacing w:val="-24"/>
          <w:w w:val="105"/>
          <w:sz w:val="19"/>
        </w:rPr>
        <w:t xml:space="preserve"> </w:t>
      </w:r>
      <w:r>
        <w:rPr>
          <w:rFonts w:ascii="Arial" w:hAnsi="Arial"/>
          <w:w w:val="105"/>
          <w:sz w:val="19"/>
        </w:rPr>
        <w:t>TGA’s</w:t>
      </w:r>
      <w:r>
        <w:rPr>
          <w:rFonts w:ascii="Arial" w:hAnsi="Arial"/>
          <w:spacing w:val="-25"/>
          <w:w w:val="105"/>
          <w:sz w:val="19"/>
        </w:rPr>
        <w:t xml:space="preserve"> </w:t>
      </w:r>
      <w:r>
        <w:rPr>
          <w:rFonts w:ascii="Arial" w:hAnsi="Arial"/>
          <w:w w:val="105"/>
          <w:sz w:val="19"/>
        </w:rPr>
        <w:t>website</w:t>
      </w:r>
      <w:r>
        <w:rPr>
          <w:rFonts w:ascii="Arial" w:hAnsi="Arial"/>
          <w:spacing w:val="-24"/>
          <w:w w:val="105"/>
          <w:sz w:val="19"/>
        </w:rPr>
        <w:t xml:space="preserve"> </w:t>
      </w:r>
      <w:r>
        <w:rPr>
          <w:rFonts w:ascii="Arial" w:hAnsi="Arial"/>
          <w:w w:val="105"/>
          <w:sz w:val="19"/>
        </w:rPr>
        <w:t>in</w:t>
      </w:r>
      <w:r>
        <w:rPr>
          <w:rFonts w:ascii="Arial" w:hAnsi="Arial"/>
          <w:spacing w:val="-26"/>
          <w:w w:val="105"/>
          <w:sz w:val="19"/>
        </w:rPr>
        <w:t xml:space="preserve"> </w:t>
      </w:r>
      <w:r>
        <w:rPr>
          <w:rFonts w:ascii="Arial" w:hAnsi="Arial"/>
          <w:w w:val="105"/>
          <w:sz w:val="19"/>
        </w:rPr>
        <w:t>early</w:t>
      </w:r>
      <w:r>
        <w:rPr>
          <w:rFonts w:ascii="Arial" w:hAnsi="Arial"/>
          <w:spacing w:val="-26"/>
          <w:w w:val="105"/>
          <w:sz w:val="19"/>
        </w:rPr>
        <w:t xml:space="preserve"> </w:t>
      </w:r>
      <w:r>
        <w:rPr>
          <w:rFonts w:ascii="Arial" w:hAnsi="Arial"/>
          <w:w w:val="105"/>
          <w:sz w:val="19"/>
        </w:rPr>
        <w:t>March</w:t>
      </w:r>
      <w:r>
        <w:rPr>
          <w:rFonts w:ascii="Arial" w:hAnsi="Arial"/>
          <w:spacing w:val="-26"/>
          <w:w w:val="105"/>
          <w:sz w:val="19"/>
        </w:rPr>
        <w:t xml:space="preserve"> </w:t>
      </w:r>
      <w:r>
        <w:rPr>
          <w:rFonts w:ascii="Arial" w:hAnsi="Arial"/>
          <w:w w:val="105"/>
          <w:sz w:val="19"/>
        </w:rPr>
        <w:t>2020</w:t>
      </w:r>
      <w:r>
        <w:rPr>
          <w:rFonts w:ascii="Arial" w:hAnsi="Arial"/>
          <w:spacing w:val="-25"/>
          <w:w w:val="105"/>
          <w:sz w:val="19"/>
        </w:rPr>
        <w:t xml:space="preserve"> </w:t>
      </w:r>
      <w:r>
        <w:rPr>
          <w:rFonts w:ascii="Arial" w:hAnsi="Arial"/>
          <w:w w:val="105"/>
          <w:sz w:val="19"/>
        </w:rPr>
        <w:t>and</w:t>
      </w:r>
      <w:r>
        <w:rPr>
          <w:rFonts w:ascii="Arial" w:hAnsi="Arial"/>
          <w:spacing w:val="-26"/>
          <w:w w:val="105"/>
          <w:sz w:val="19"/>
        </w:rPr>
        <w:t xml:space="preserve"> </w:t>
      </w:r>
      <w:r>
        <w:rPr>
          <w:rFonts w:ascii="Arial" w:hAnsi="Arial"/>
          <w:w w:val="105"/>
          <w:sz w:val="19"/>
        </w:rPr>
        <w:t>associated</w:t>
      </w:r>
      <w:r>
        <w:rPr>
          <w:rFonts w:ascii="Arial" w:hAnsi="Arial"/>
          <w:spacing w:val="-25"/>
          <w:w w:val="105"/>
          <w:sz w:val="19"/>
        </w:rPr>
        <w:t xml:space="preserve"> </w:t>
      </w:r>
      <w:r>
        <w:rPr>
          <w:rFonts w:ascii="Arial" w:hAnsi="Arial"/>
          <w:w w:val="105"/>
          <w:sz w:val="19"/>
        </w:rPr>
        <w:t>material</w:t>
      </w:r>
      <w:r>
        <w:rPr>
          <w:rFonts w:ascii="Arial" w:hAnsi="Arial"/>
          <w:spacing w:val="-25"/>
          <w:w w:val="105"/>
          <w:sz w:val="19"/>
        </w:rPr>
        <w:t xml:space="preserve"> </w:t>
      </w:r>
      <w:r>
        <w:rPr>
          <w:rFonts w:ascii="Arial" w:hAnsi="Arial"/>
          <w:w w:val="105"/>
          <w:sz w:val="19"/>
        </w:rPr>
        <w:t>on</w:t>
      </w:r>
      <w:r>
        <w:rPr>
          <w:rFonts w:ascii="Arial" w:hAnsi="Arial"/>
          <w:spacing w:val="-26"/>
          <w:w w:val="105"/>
          <w:sz w:val="19"/>
        </w:rPr>
        <w:t xml:space="preserve"> </w:t>
      </w:r>
      <w:r>
        <w:rPr>
          <w:rFonts w:ascii="Arial" w:hAnsi="Arial"/>
          <w:w w:val="105"/>
          <w:sz w:val="19"/>
        </w:rPr>
        <w:t>the</w:t>
      </w:r>
      <w:r>
        <w:rPr>
          <w:rFonts w:ascii="Arial" w:hAnsi="Arial"/>
          <w:spacing w:val="-24"/>
          <w:w w:val="105"/>
          <w:sz w:val="19"/>
        </w:rPr>
        <w:t xml:space="preserve"> </w:t>
      </w:r>
      <w:r>
        <w:rPr>
          <w:rFonts w:ascii="Arial" w:hAnsi="Arial"/>
          <w:w w:val="105"/>
          <w:sz w:val="19"/>
        </w:rPr>
        <w:t>TGA website.</w:t>
      </w:r>
      <w:r>
        <w:rPr>
          <w:rFonts w:ascii="Arial" w:hAnsi="Arial"/>
          <w:w w:val="105"/>
          <w:position w:val="7"/>
          <w:sz w:val="11"/>
        </w:rPr>
        <w:t>64</w:t>
      </w:r>
      <w:r>
        <w:rPr>
          <w:rFonts w:ascii="Arial" w:hAnsi="Arial"/>
          <w:spacing w:val="-3"/>
          <w:w w:val="105"/>
          <w:position w:val="7"/>
          <w:sz w:val="11"/>
        </w:rPr>
        <w:t xml:space="preserve"> </w:t>
      </w:r>
      <w:r>
        <w:rPr>
          <w:rFonts w:ascii="Arial" w:hAnsi="Arial"/>
          <w:w w:val="105"/>
          <w:sz w:val="19"/>
        </w:rPr>
        <w:t>The</w:t>
      </w:r>
      <w:r>
        <w:rPr>
          <w:rFonts w:ascii="Arial" w:hAnsi="Arial"/>
          <w:spacing w:val="-27"/>
          <w:w w:val="105"/>
          <w:sz w:val="19"/>
        </w:rPr>
        <w:t xml:space="preserve"> </w:t>
      </w:r>
      <w:r>
        <w:rPr>
          <w:rFonts w:ascii="Arial" w:hAnsi="Arial"/>
          <w:w w:val="105"/>
          <w:sz w:val="19"/>
        </w:rPr>
        <w:t>carry-forward</w:t>
      </w:r>
      <w:r>
        <w:rPr>
          <w:rFonts w:ascii="Arial" w:hAnsi="Arial"/>
          <w:spacing w:val="-28"/>
          <w:w w:val="105"/>
          <w:sz w:val="19"/>
        </w:rPr>
        <w:t xml:space="preserve"> </w:t>
      </w:r>
      <w:r>
        <w:rPr>
          <w:rFonts w:ascii="Arial" w:hAnsi="Arial"/>
          <w:w w:val="105"/>
          <w:sz w:val="19"/>
        </w:rPr>
        <w:t>population</w:t>
      </w:r>
      <w:r>
        <w:rPr>
          <w:rFonts w:ascii="Arial" w:hAnsi="Arial"/>
          <w:spacing w:val="-26"/>
          <w:w w:val="105"/>
          <w:sz w:val="19"/>
        </w:rPr>
        <w:t xml:space="preserve"> </w:t>
      </w:r>
      <w:r>
        <w:rPr>
          <w:rFonts w:ascii="Arial" w:hAnsi="Arial"/>
          <w:w w:val="105"/>
          <w:sz w:val="19"/>
        </w:rPr>
        <w:t>of</w:t>
      </w:r>
      <w:r>
        <w:rPr>
          <w:rFonts w:ascii="Arial" w:hAnsi="Arial"/>
          <w:spacing w:val="-26"/>
          <w:w w:val="105"/>
          <w:sz w:val="19"/>
        </w:rPr>
        <w:t xml:space="preserve"> </w:t>
      </w:r>
      <w:r>
        <w:rPr>
          <w:rFonts w:ascii="Arial" w:hAnsi="Arial"/>
          <w:w w:val="105"/>
          <w:sz w:val="19"/>
        </w:rPr>
        <w:t>93</w:t>
      </w:r>
      <w:r>
        <w:rPr>
          <w:rFonts w:ascii="Arial" w:hAnsi="Arial"/>
          <w:spacing w:val="-26"/>
          <w:w w:val="105"/>
          <w:sz w:val="19"/>
        </w:rPr>
        <w:t xml:space="preserve"> </w:t>
      </w:r>
      <w:r>
        <w:rPr>
          <w:rFonts w:ascii="Arial" w:hAnsi="Arial"/>
          <w:w w:val="105"/>
          <w:sz w:val="19"/>
        </w:rPr>
        <w:t>(112</w:t>
      </w:r>
      <w:r>
        <w:rPr>
          <w:rFonts w:ascii="Arial" w:hAnsi="Arial"/>
          <w:spacing w:val="-28"/>
          <w:w w:val="105"/>
          <w:sz w:val="19"/>
        </w:rPr>
        <w:t xml:space="preserve"> </w:t>
      </w:r>
      <w:r>
        <w:rPr>
          <w:rFonts w:ascii="Arial" w:hAnsi="Arial"/>
          <w:w w:val="105"/>
          <w:sz w:val="19"/>
        </w:rPr>
        <w:t>potential</w:t>
      </w:r>
      <w:r>
        <w:rPr>
          <w:rFonts w:ascii="Arial" w:hAnsi="Arial"/>
          <w:spacing w:val="-26"/>
          <w:w w:val="105"/>
          <w:sz w:val="19"/>
        </w:rPr>
        <w:t xml:space="preserve"> </w:t>
      </w:r>
      <w:r>
        <w:rPr>
          <w:rFonts w:ascii="Arial" w:hAnsi="Arial"/>
          <w:w w:val="105"/>
          <w:sz w:val="19"/>
        </w:rPr>
        <w:t>sponsors</w:t>
      </w:r>
      <w:r>
        <w:rPr>
          <w:rFonts w:ascii="Arial" w:hAnsi="Arial"/>
          <w:spacing w:val="-27"/>
          <w:w w:val="105"/>
          <w:sz w:val="19"/>
        </w:rPr>
        <w:t xml:space="preserve"> </w:t>
      </w:r>
      <w:r>
        <w:rPr>
          <w:rFonts w:ascii="Arial" w:hAnsi="Arial"/>
          <w:w w:val="105"/>
          <w:sz w:val="19"/>
        </w:rPr>
        <w:t>minus</w:t>
      </w:r>
      <w:r>
        <w:rPr>
          <w:rFonts w:ascii="Arial" w:hAnsi="Arial"/>
          <w:spacing w:val="-28"/>
          <w:w w:val="105"/>
          <w:sz w:val="19"/>
        </w:rPr>
        <w:t xml:space="preserve"> </w:t>
      </w:r>
      <w:r>
        <w:rPr>
          <w:rFonts w:ascii="Arial" w:hAnsi="Arial"/>
          <w:w w:val="105"/>
          <w:sz w:val="19"/>
        </w:rPr>
        <w:t>19</w:t>
      </w:r>
      <w:r>
        <w:rPr>
          <w:rFonts w:ascii="Arial" w:hAnsi="Arial"/>
          <w:spacing w:val="-27"/>
          <w:w w:val="105"/>
          <w:sz w:val="19"/>
        </w:rPr>
        <w:t xml:space="preserve"> </w:t>
      </w:r>
      <w:r>
        <w:rPr>
          <w:rFonts w:ascii="Arial" w:hAnsi="Arial"/>
          <w:w w:val="105"/>
          <w:sz w:val="19"/>
        </w:rPr>
        <w:t>existing</w:t>
      </w:r>
      <w:r>
        <w:rPr>
          <w:rFonts w:ascii="Arial" w:hAnsi="Arial"/>
          <w:spacing w:val="-28"/>
          <w:w w:val="105"/>
          <w:sz w:val="19"/>
        </w:rPr>
        <w:t xml:space="preserve"> </w:t>
      </w:r>
      <w:r>
        <w:rPr>
          <w:rFonts w:ascii="Arial" w:hAnsi="Arial"/>
          <w:w w:val="105"/>
          <w:sz w:val="19"/>
        </w:rPr>
        <w:t>sponsors) would</w:t>
      </w:r>
      <w:r>
        <w:rPr>
          <w:rFonts w:ascii="Arial" w:hAnsi="Arial"/>
          <w:spacing w:val="-22"/>
          <w:w w:val="105"/>
          <w:sz w:val="19"/>
        </w:rPr>
        <w:t xml:space="preserve"> </w:t>
      </w:r>
      <w:r>
        <w:rPr>
          <w:rFonts w:ascii="Arial" w:hAnsi="Arial"/>
          <w:w w:val="105"/>
          <w:sz w:val="19"/>
        </w:rPr>
        <w:t>likely</w:t>
      </w:r>
      <w:r>
        <w:rPr>
          <w:rFonts w:ascii="Arial" w:hAnsi="Arial"/>
          <w:spacing w:val="-20"/>
          <w:w w:val="105"/>
          <w:sz w:val="19"/>
        </w:rPr>
        <w:t xml:space="preserve"> </w:t>
      </w:r>
      <w:r>
        <w:rPr>
          <w:rFonts w:ascii="Arial" w:hAnsi="Arial"/>
          <w:w w:val="105"/>
          <w:sz w:val="19"/>
        </w:rPr>
        <w:t>have</w:t>
      </w:r>
      <w:r>
        <w:rPr>
          <w:rFonts w:ascii="Arial" w:hAnsi="Arial"/>
          <w:spacing w:val="-20"/>
          <w:w w:val="105"/>
          <w:sz w:val="19"/>
        </w:rPr>
        <w:t xml:space="preserve"> </w:t>
      </w:r>
      <w:r>
        <w:rPr>
          <w:rFonts w:ascii="Arial" w:hAnsi="Arial"/>
          <w:w w:val="105"/>
          <w:sz w:val="19"/>
        </w:rPr>
        <w:t>also</w:t>
      </w:r>
      <w:r>
        <w:rPr>
          <w:rFonts w:ascii="Arial" w:hAnsi="Arial"/>
          <w:spacing w:val="-20"/>
          <w:w w:val="105"/>
          <w:sz w:val="19"/>
        </w:rPr>
        <w:t xml:space="preserve"> </w:t>
      </w:r>
      <w:r>
        <w:rPr>
          <w:rFonts w:ascii="Arial" w:hAnsi="Arial"/>
          <w:w w:val="105"/>
          <w:sz w:val="19"/>
        </w:rPr>
        <w:t>read</w:t>
      </w:r>
      <w:r>
        <w:rPr>
          <w:rFonts w:ascii="Arial" w:hAnsi="Arial"/>
          <w:spacing w:val="-21"/>
          <w:w w:val="105"/>
          <w:sz w:val="19"/>
        </w:rPr>
        <w:t xml:space="preserve"> </w:t>
      </w:r>
      <w:r>
        <w:rPr>
          <w:rFonts w:ascii="Arial" w:hAnsi="Arial"/>
          <w:w w:val="105"/>
          <w:sz w:val="19"/>
        </w:rPr>
        <w:t>the</w:t>
      </w:r>
      <w:r>
        <w:rPr>
          <w:rFonts w:ascii="Arial" w:hAnsi="Arial"/>
          <w:spacing w:val="-22"/>
          <w:w w:val="105"/>
          <w:sz w:val="19"/>
        </w:rPr>
        <w:t xml:space="preserve"> </w:t>
      </w:r>
      <w:r>
        <w:rPr>
          <w:rFonts w:ascii="Arial" w:hAnsi="Arial"/>
          <w:w w:val="105"/>
          <w:sz w:val="19"/>
        </w:rPr>
        <w:t>consultation</w:t>
      </w:r>
      <w:r>
        <w:rPr>
          <w:rFonts w:ascii="Arial" w:hAnsi="Arial"/>
          <w:spacing w:val="-19"/>
          <w:w w:val="105"/>
          <w:sz w:val="19"/>
        </w:rPr>
        <w:t xml:space="preserve"> </w:t>
      </w:r>
      <w:r>
        <w:rPr>
          <w:rFonts w:ascii="Arial" w:hAnsi="Arial"/>
          <w:w w:val="105"/>
          <w:sz w:val="19"/>
        </w:rPr>
        <w:t>paper</w:t>
      </w:r>
      <w:r>
        <w:rPr>
          <w:rFonts w:ascii="Arial" w:hAnsi="Arial"/>
          <w:spacing w:val="-20"/>
          <w:w w:val="105"/>
          <w:sz w:val="19"/>
        </w:rPr>
        <w:t xml:space="preserve"> </w:t>
      </w:r>
      <w:r>
        <w:rPr>
          <w:rFonts w:ascii="Arial" w:hAnsi="Arial"/>
          <w:w w:val="105"/>
          <w:sz w:val="19"/>
        </w:rPr>
        <w:t>but</w:t>
      </w:r>
      <w:r>
        <w:rPr>
          <w:rFonts w:ascii="Arial" w:hAnsi="Arial"/>
          <w:spacing w:val="-21"/>
          <w:w w:val="105"/>
          <w:sz w:val="19"/>
        </w:rPr>
        <w:t xml:space="preserve"> </w:t>
      </w:r>
      <w:r>
        <w:rPr>
          <w:rFonts w:ascii="Arial" w:hAnsi="Arial"/>
          <w:w w:val="105"/>
          <w:sz w:val="19"/>
        </w:rPr>
        <w:t>would</w:t>
      </w:r>
      <w:r>
        <w:rPr>
          <w:rFonts w:ascii="Arial" w:hAnsi="Arial"/>
          <w:spacing w:val="-21"/>
          <w:w w:val="105"/>
          <w:sz w:val="19"/>
        </w:rPr>
        <w:t xml:space="preserve"> </w:t>
      </w:r>
      <w:r>
        <w:rPr>
          <w:rFonts w:ascii="Arial" w:hAnsi="Arial"/>
          <w:w w:val="105"/>
          <w:sz w:val="19"/>
        </w:rPr>
        <w:t>need</w:t>
      </w:r>
      <w:r>
        <w:rPr>
          <w:rFonts w:ascii="Arial" w:hAnsi="Arial"/>
          <w:spacing w:val="-21"/>
          <w:w w:val="105"/>
          <w:sz w:val="19"/>
        </w:rPr>
        <w:t xml:space="preserve"> </w:t>
      </w:r>
      <w:r>
        <w:rPr>
          <w:rFonts w:ascii="Arial" w:hAnsi="Arial"/>
          <w:w w:val="105"/>
          <w:sz w:val="19"/>
        </w:rPr>
        <w:t>to</w:t>
      </w:r>
      <w:r>
        <w:rPr>
          <w:rFonts w:ascii="Arial" w:hAnsi="Arial"/>
          <w:spacing w:val="-22"/>
          <w:w w:val="105"/>
          <w:sz w:val="19"/>
        </w:rPr>
        <w:t xml:space="preserve"> </w:t>
      </w:r>
      <w:r>
        <w:rPr>
          <w:rFonts w:ascii="Arial" w:hAnsi="Arial"/>
          <w:w w:val="105"/>
          <w:sz w:val="19"/>
        </w:rPr>
        <w:t>have</w:t>
      </w:r>
      <w:r>
        <w:rPr>
          <w:rFonts w:ascii="Arial" w:hAnsi="Arial"/>
          <w:spacing w:val="-22"/>
          <w:w w:val="105"/>
          <w:sz w:val="19"/>
        </w:rPr>
        <w:t xml:space="preserve"> </w:t>
      </w:r>
      <w:r>
        <w:rPr>
          <w:rFonts w:ascii="Arial" w:hAnsi="Arial"/>
          <w:w w:val="105"/>
          <w:sz w:val="19"/>
        </w:rPr>
        <w:t>undertaken</w:t>
      </w:r>
      <w:r>
        <w:rPr>
          <w:rFonts w:ascii="Arial" w:hAnsi="Arial"/>
          <w:spacing w:val="-19"/>
          <w:w w:val="105"/>
          <w:sz w:val="19"/>
        </w:rPr>
        <w:t xml:space="preserve"> </w:t>
      </w:r>
      <w:r>
        <w:rPr>
          <w:rFonts w:ascii="Arial" w:hAnsi="Arial"/>
          <w:w w:val="105"/>
          <w:sz w:val="19"/>
        </w:rPr>
        <w:t>additional research</w:t>
      </w:r>
      <w:r>
        <w:rPr>
          <w:rFonts w:ascii="Arial" w:hAnsi="Arial"/>
          <w:spacing w:val="-27"/>
          <w:w w:val="105"/>
          <w:sz w:val="19"/>
        </w:rPr>
        <w:t xml:space="preserve"> </w:t>
      </w:r>
      <w:r>
        <w:rPr>
          <w:rFonts w:ascii="Arial" w:hAnsi="Arial"/>
          <w:w w:val="105"/>
          <w:sz w:val="19"/>
        </w:rPr>
        <w:t>or</w:t>
      </w:r>
      <w:r>
        <w:rPr>
          <w:rFonts w:ascii="Arial" w:hAnsi="Arial"/>
          <w:spacing w:val="-27"/>
          <w:w w:val="105"/>
          <w:sz w:val="19"/>
        </w:rPr>
        <w:t xml:space="preserve"> </w:t>
      </w:r>
      <w:r>
        <w:rPr>
          <w:rFonts w:ascii="Arial" w:hAnsi="Arial"/>
          <w:w w:val="105"/>
          <w:sz w:val="19"/>
        </w:rPr>
        <w:t>engaged</w:t>
      </w:r>
      <w:r>
        <w:rPr>
          <w:rFonts w:ascii="Arial" w:hAnsi="Arial"/>
          <w:spacing w:val="-26"/>
          <w:w w:val="105"/>
          <w:sz w:val="19"/>
        </w:rPr>
        <w:t xml:space="preserve"> </w:t>
      </w:r>
      <w:r>
        <w:rPr>
          <w:rFonts w:ascii="Arial" w:hAnsi="Arial"/>
          <w:w w:val="105"/>
          <w:sz w:val="19"/>
        </w:rPr>
        <w:t>a</w:t>
      </w:r>
      <w:r>
        <w:rPr>
          <w:rFonts w:ascii="Arial" w:hAnsi="Arial"/>
          <w:spacing w:val="-25"/>
          <w:w w:val="105"/>
          <w:sz w:val="19"/>
        </w:rPr>
        <w:t xml:space="preserve"> </w:t>
      </w:r>
      <w:r>
        <w:rPr>
          <w:rFonts w:ascii="Arial" w:hAnsi="Arial"/>
          <w:w w:val="105"/>
          <w:sz w:val="19"/>
        </w:rPr>
        <w:t>regulatory</w:t>
      </w:r>
      <w:r>
        <w:rPr>
          <w:rFonts w:ascii="Arial" w:hAnsi="Arial"/>
          <w:spacing w:val="-26"/>
          <w:w w:val="105"/>
          <w:sz w:val="19"/>
        </w:rPr>
        <w:t xml:space="preserve"> </w:t>
      </w:r>
      <w:r>
        <w:rPr>
          <w:rFonts w:ascii="Arial" w:hAnsi="Arial"/>
          <w:w w:val="105"/>
          <w:sz w:val="19"/>
        </w:rPr>
        <w:t>affairs</w:t>
      </w:r>
      <w:r>
        <w:rPr>
          <w:rFonts w:ascii="Arial" w:hAnsi="Arial"/>
          <w:spacing w:val="-25"/>
          <w:w w:val="105"/>
          <w:sz w:val="19"/>
        </w:rPr>
        <w:t xml:space="preserve"> </w:t>
      </w:r>
      <w:r>
        <w:rPr>
          <w:rFonts w:ascii="Arial" w:hAnsi="Arial"/>
          <w:w w:val="105"/>
          <w:sz w:val="19"/>
        </w:rPr>
        <w:t>consultant</w:t>
      </w:r>
      <w:r>
        <w:rPr>
          <w:rFonts w:ascii="Arial" w:hAnsi="Arial"/>
          <w:spacing w:val="-27"/>
          <w:w w:val="105"/>
          <w:sz w:val="19"/>
        </w:rPr>
        <w:t xml:space="preserve"> </w:t>
      </w:r>
      <w:r>
        <w:rPr>
          <w:rFonts w:ascii="Arial" w:hAnsi="Arial"/>
          <w:w w:val="105"/>
          <w:sz w:val="19"/>
        </w:rPr>
        <w:t>(considered</w:t>
      </w:r>
      <w:r>
        <w:rPr>
          <w:rFonts w:ascii="Arial" w:hAnsi="Arial"/>
          <w:spacing w:val="-26"/>
          <w:w w:val="105"/>
          <w:sz w:val="19"/>
        </w:rPr>
        <w:t xml:space="preserve"> </w:t>
      </w:r>
      <w:r>
        <w:rPr>
          <w:rFonts w:ascii="Arial" w:hAnsi="Arial"/>
          <w:w w:val="105"/>
          <w:sz w:val="19"/>
        </w:rPr>
        <w:t>at</w:t>
      </w:r>
      <w:r>
        <w:rPr>
          <w:rFonts w:ascii="Arial" w:hAnsi="Arial"/>
          <w:spacing w:val="-26"/>
          <w:w w:val="105"/>
          <w:sz w:val="19"/>
        </w:rPr>
        <w:t xml:space="preserve"> </w:t>
      </w:r>
      <w:r>
        <w:rPr>
          <w:rFonts w:ascii="Arial" w:hAnsi="Arial"/>
          <w:w w:val="105"/>
          <w:sz w:val="19"/>
        </w:rPr>
        <w:t>least</w:t>
      </w:r>
      <w:r>
        <w:rPr>
          <w:rFonts w:ascii="Arial" w:hAnsi="Arial"/>
          <w:spacing w:val="-25"/>
          <w:w w:val="105"/>
          <w:sz w:val="19"/>
        </w:rPr>
        <w:t xml:space="preserve"> </w:t>
      </w:r>
      <w:r>
        <w:rPr>
          <w:rFonts w:ascii="Arial" w:hAnsi="Arial"/>
          <w:w w:val="105"/>
          <w:sz w:val="19"/>
        </w:rPr>
        <w:t>25%</w:t>
      </w:r>
      <w:r>
        <w:rPr>
          <w:rFonts w:ascii="Arial" w:hAnsi="Arial"/>
          <w:spacing w:val="-25"/>
          <w:w w:val="105"/>
          <w:sz w:val="19"/>
        </w:rPr>
        <w:t xml:space="preserve"> </w:t>
      </w:r>
      <w:r>
        <w:rPr>
          <w:rFonts w:ascii="Arial" w:hAnsi="Arial"/>
          <w:w w:val="105"/>
          <w:sz w:val="19"/>
        </w:rPr>
        <w:t>would</w:t>
      </w:r>
      <w:r>
        <w:rPr>
          <w:rFonts w:ascii="Arial" w:hAnsi="Arial"/>
          <w:spacing w:val="-26"/>
          <w:w w:val="105"/>
          <w:sz w:val="19"/>
        </w:rPr>
        <w:t xml:space="preserve"> </w:t>
      </w:r>
      <w:r>
        <w:rPr>
          <w:rFonts w:ascii="Arial" w:hAnsi="Arial"/>
          <w:w w:val="105"/>
          <w:sz w:val="19"/>
        </w:rPr>
        <w:t>have</w:t>
      </w:r>
      <w:r>
        <w:rPr>
          <w:rFonts w:ascii="Arial" w:hAnsi="Arial"/>
          <w:spacing w:val="-22"/>
          <w:w w:val="105"/>
          <w:sz w:val="19"/>
        </w:rPr>
        <w:t xml:space="preserve"> </w:t>
      </w:r>
      <w:r>
        <w:rPr>
          <w:rFonts w:ascii="Arial" w:hAnsi="Arial"/>
          <w:w w:val="105"/>
          <w:sz w:val="19"/>
        </w:rPr>
        <w:t>–</w:t>
      </w:r>
      <w:r>
        <w:rPr>
          <w:rFonts w:ascii="Arial" w:hAnsi="Arial"/>
          <w:spacing w:val="-26"/>
          <w:w w:val="105"/>
          <w:sz w:val="19"/>
        </w:rPr>
        <w:t xml:space="preserve"> </w:t>
      </w:r>
      <w:r>
        <w:rPr>
          <w:rFonts w:ascii="Arial" w:hAnsi="Arial"/>
          <w:w w:val="105"/>
          <w:sz w:val="19"/>
        </w:rPr>
        <w:t>so</w:t>
      </w:r>
      <w:r>
        <w:rPr>
          <w:rFonts w:ascii="Arial" w:hAnsi="Arial"/>
          <w:spacing w:val="-25"/>
          <w:w w:val="105"/>
          <w:sz w:val="19"/>
        </w:rPr>
        <w:t xml:space="preserve"> </w:t>
      </w:r>
      <w:r>
        <w:rPr>
          <w:rFonts w:ascii="Arial" w:hAnsi="Arial"/>
          <w:w w:val="105"/>
          <w:sz w:val="19"/>
        </w:rPr>
        <w:t>n=23) to provide advice as to the potential impact on their business of the proposed regulatory clarification.</w:t>
      </w:r>
      <w:r>
        <w:rPr>
          <w:rFonts w:ascii="Arial" w:hAnsi="Arial"/>
          <w:spacing w:val="-15"/>
          <w:w w:val="105"/>
          <w:sz w:val="19"/>
        </w:rPr>
        <w:t xml:space="preserve"> </w:t>
      </w:r>
      <w:r>
        <w:rPr>
          <w:rFonts w:ascii="Arial" w:hAnsi="Arial"/>
          <w:w w:val="105"/>
          <w:sz w:val="19"/>
        </w:rPr>
        <w:t>Of</w:t>
      </w:r>
      <w:r>
        <w:rPr>
          <w:rFonts w:ascii="Arial" w:hAnsi="Arial"/>
          <w:spacing w:val="-16"/>
          <w:w w:val="105"/>
          <w:sz w:val="19"/>
        </w:rPr>
        <w:t xml:space="preserve"> </w:t>
      </w:r>
      <w:r>
        <w:rPr>
          <w:rFonts w:ascii="Arial" w:hAnsi="Arial"/>
          <w:w w:val="105"/>
          <w:sz w:val="19"/>
        </w:rPr>
        <w:t>the</w:t>
      </w:r>
      <w:r>
        <w:rPr>
          <w:rFonts w:ascii="Arial" w:hAnsi="Arial"/>
          <w:spacing w:val="-14"/>
          <w:w w:val="105"/>
          <w:sz w:val="19"/>
        </w:rPr>
        <w:t xml:space="preserve"> </w:t>
      </w:r>
      <w:r>
        <w:rPr>
          <w:rFonts w:ascii="Arial" w:hAnsi="Arial"/>
          <w:w w:val="105"/>
          <w:sz w:val="19"/>
        </w:rPr>
        <w:t>93,</w:t>
      </w:r>
      <w:r>
        <w:rPr>
          <w:rFonts w:ascii="Arial" w:hAnsi="Arial"/>
          <w:spacing w:val="-14"/>
          <w:w w:val="105"/>
          <w:sz w:val="19"/>
        </w:rPr>
        <w:t xml:space="preserve"> </w:t>
      </w:r>
      <w:r>
        <w:rPr>
          <w:rFonts w:ascii="Arial" w:hAnsi="Arial"/>
          <w:w w:val="105"/>
          <w:sz w:val="19"/>
        </w:rPr>
        <w:t>given</w:t>
      </w:r>
      <w:r>
        <w:rPr>
          <w:rFonts w:ascii="Arial" w:hAnsi="Arial"/>
          <w:spacing w:val="-15"/>
          <w:w w:val="105"/>
          <w:sz w:val="19"/>
        </w:rPr>
        <w:t xml:space="preserve"> </w:t>
      </w:r>
      <w:r>
        <w:rPr>
          <w:rFonts w:ascii="Arial" w:hAnsi="Arial"/>
          <w:w w:val="105"/>
          <w:sz w:val="19"/>
        </w:rPr>
        <w:t>that</w:t>
      </w:r>
      <w:r>
        <w:rPr>
          <w:rFonts w:ascii="Arial" w:hAnsi="Arial"/>
          <w:spacing w:val="-15"/>
          <w:w w:val="105"/>
          <w:sz w:val="19"/>
        </w:rPr>
        <w:t xml:space="preserve"> </w:t>
      </w:r>
      <w:r>
        <w:rPr>
          <w:rFonts w:ascii="Arial" w:hAnsi="Arial"/>
          <w:w w:val="105"/>
          <w:sz w:val="19"/>
        </w:rPr>
        <w:t>stakeholder</w:t>
      </w:r>
      <w:r>
        <w:rPr>
          <w:rFonts w:ascii="Arial" w:hAnsi="Arial"/>
          <w:spacing w:val="-14"/>
          <w:w w:val="105"/>
          <w:sz w:val="19"/>
        </w:rPr>
        <w:t xml:space="preserve"> </w:t>
      </w:r>
      <w:r>
        <w:rPr>
          <w:rFonts w:ascii="Arial" w:hAnsi="Arial"/>
          <w:w w:val="105"/>
          <w:sz w:val="19"/>
        </w:rPr>
        <w:t>interviews</w:t>
      </w:r>
      <w:r>
        <w:rPr>
          <w:rFonts w:ascii="Arial" w:hAnsi="Arial"/>
          <w:spacing w:val="-16"/>
          <w:w w:val="105"/>
          <w:sz w:val="19"/>
        </w:rPr>
        <w:t xml:space="preserve"> </w:t>
      </w:r>
      <w:r>
        <w:rPr>
          <w:rFonts w:ascii="Arial" w:hAnsi="Arial"/>
          <w:w w:val="105"/>
          <w:sz w:val="19"/>
        </w:rPr>
        <w:t>with</w:t>
      </w:r>
      <w:r>
        <w:rPr>
          <w:rFonts w:ascii="Arial" w:hAnsi="Arial"/>
          <w:spacing w:val="-14"/>
          <w:w w:val="105"/>
          <w:sz w:val="19"/>
        </w:rPr>
        <w:t xml:space="preserve"> </w:t>
      </w:r>
      <w:r>
        <w:rPr>
          <w:rFonts w:ascii="Arial" w:hAnsi="Arial"/>
          <w:w w:val="105"/>
          <w:sz w:val="19"/>
        </w:rPr>
        <w:t>industry</w:t>
      </w:r>
      <w:r>
        <w:rPr>
          <w:rFonts w:ascii="Arial" w:hAnsi="Arial"/>
          <w:spacing w:val="-17"/>
          <w:w w:val="105"/>
          <w:sz w:val="19"/>
        </w:rPr>
        <w:t xml:space="preserve"> </w:t>
      </w:r>
      <w:r>
        <w:rPr>
          <w:rFonts w:ascii="Arial" w:hAnsi="Arial"/>
          <w:w w:val="105"/>
          <w:sz w:val="19"/>
        </w:rPr>
        <w:t>indicated</w:t>
      </w:r>
      <w:r>
        <w:rPr>
          <w:rFonts w:ascii="Arial" w:hAnsi="Arial"/>
          <w:spacing w:val="-16"/>
          <w:w w:val="105"/>
          <w:sz w:val="19"/>
        </w:rPr>
        <w:t xml:space="preserve"> </w:t>
      </w:r>
      <w:r>
        <w:rPr>
          <w:rFonts w:ascii="Arial" w:hAnsi="Arial"/>
          <w:w w:val="105"/>
          <w:sz w:val="19"/>
        </w:rPr>
        <w:t>that</w:t>
      </w:r>
      <w:r>
        <w:rPr>
          <w:rFonts w:ascii="Arial" w:hAnsi="Arial"/>
          <w:spacing w:val="-16"/>
          <w:w w:val="105"/>
          <w:sz w:val="19"/>
        </w:rPr>
        <w:t xml:space="preserve"> </w:t>
      </w:r>
      <w:r>
        <w:rPr>
          <w:rFonts w:ascii="Arial" w:hAnsi="Arial"/>
          <w:w w:val="105"/>
          <w:sz w:val="19"/>
        </w:rPr>
        <w:t>the</w:t>
      </w:r>
      <w:r>
        <w:rPr>
          <w:rFonts w:ascii="Arial" w:hAnsi="Arial"/>
          <w:spacing w:val="-14"/>
          <w:w w:val="105"/>
          <w:sz w:val="19"/>
        </w:rPr>
        <w:t xml:space="preserve"> </w:t>
      </w:r>
      <w:r>
        <w:rPr>
          <w:rFonts w:ascii="Arial" w:hAnsi="Arial"/>
          <w:w w:val="105"/>
          <w:sz w:val="19"/>
        </w:rPr>
        <w:t>majority</w:t>
      </w:r>
      <w:r>
        <w:rPr>
          <w:rFonts w:ascii="Arial" w:hAnsi="Arial"/>
          <w:spacing w:val="-15"/>
          <w:w w:val="105"/>
          <w:sz w:val="19"/>
        </w:rPr>
        <w:t xml:space="preserve"> </w:t>
      </w:r>
      <w:r>
        <w:rPr>
          <w:rFonts w:ascii="Arial" w:hAnsi="Arial"/>
          <w:w w:val="105"/>
          <w:sz w:val="19"/>
        </w:rPr>
        <w:t>of the impacted retailers, distributors and manufacturers would actively seek to have their products continue</w:t>
      </w:r>
      <w:r>
        <w:rPr>
          <w:rFonts w:ascii="Arial" w:hAnsi="Arial"/>
          <w:spacing w:val="-22"/>
          <w:w w:val="105"/>
          <w:sz w:val="19"/>
        </w:rPr>
        <w:t xml:space="preserve"> </w:t>
      </w:r>
      <w:r>
        <w:rPr>
          <w:rFonts w:ascii="Arial" w:hAnsi="Arial"/>
          <w:w w:val="105"/>
          <w:sz w:val="19"/>
        </w:rPr>
        <w:t>to</w:t>
      </w:r>
      <w:r>
        <w:rPr>
          <w:rFonts w:ascii="Arial" w:hAnsi="Arial"/>
          <w:spacing w:val="-21"/>
          <w:w w:val="105"/>
          <w:sz w:val="19"/>
        </w:rPr>
        <w:t xml:space="preserve"> </w:t>
      </w:r>
      <w:r>
        <w:rPr>
          <w:rFonts w:ascii="Arial" w:hAnsi="Arial"/>
          <w:w w:val="105"/>
          <w:sz w:val="19"/>
        </w:rPr>
        <w:t>be</w:t>
      </w:r>
      <w:r>
        <w:rPr>
          <w:rFonts w:ascii="Arial" w:hAnsi="Arial"/>
          <w:spacing w:val="-22"/>
          <w:w w:val="105"/>
          <w:sz w:val="19"/>
        </w:rPr>
        <w:t xml:space="preserve"> </w:t>
      </w:r>
      <w:r>
        <w:rPr>
          <w:rFonts w:ascii="Arial" w:hAnsi="Arial"/>
          <w:w w:val="105"/>
          <w:sz w:val="19"/>
        </w:rPr>
        <w:t>regulated</w:t>
      </w:r>
      <w:r>
        <w:rPr>
          <w:rFonts w:ascii="Arial" w:hAnsi="Arial"/>
          <w:spacing w:val="-24"/>
          <w:w w:val="105"/>
          <w:sz w:val="19"/>
        </w:rPr>
        <w:t xml:space="preserve"> </w:t>
      </w:r>
      <w:r>
        <w:rPr>
          <w:rFonts w:ascii="Arial" w:hAnsi="Arial"/>
          <w:w w:val="105"/>
          <w:sz w:val="19"/>
        </w:rPr>
        <w:t>as</w:t>
      </w:r>
      <w:r>
        <w:rPr>
          <w:rFonts w:ascii="Arial" w:hAnsi="Arial"/>
          <w:spacing w:val="-21"/>
          <w:w w:val="105"/>
          <w:sz w:val="19"/>
        </w:rPr>
        <w:t xml:space="preserve"> </w:t>
      </w:r>
      <w:r>
        <w:rPr>
          <w:rFonts w:ascii="Arial" w:hAnsi="Arial"/>
          <w:w w:val="105"/>
          <w:sz w:val="19"/>
        </w:rPr>
        <w:t>food,</w:t>
      </w:r>
      <w:r>
        <w:rPr>
          <w:rFonts w:ascii="Arial" w:hAnsi="Arial"/>
          <w:spacing w:val="-21"/>
          <w:w w:val="105"/>
          <w:sz w:val="19"/>
        </w:rPr>
        <w:t xml:space="preserve"> </w:t>
      </w:r>
      <w:r>
        <w:rPr>
          <w:rFonts w:ascii="Arial" w:hAnsi="Arial"/>
          <w:w w:val="105"/>
          <w:sz w:val="19"/>
        </w:rPr>
        <w:t>less</w:t>
      </w:r>
      <w:r>
        <w:rPr>
          <w:rFonts w:ascii="Arial" w:hAnsi="Arial"/>
          <w:spacing w:val="-21"/>
          <w:w w:val="105"/>
          <w:sz w:val="19"/>
        </w:rPr>
        <w:t xml:space="preserve"> </w:t>
      </w:r>
      <w:r>
        <w:rPr>
          <w:rFonts w:ascii="Arial" w:hAnsi="Arial"/>
          <w:w w:val="105"/>
          <w:sz w:val="19"/>
        </w:rPr>
        <w:t>than</w:t>
      </w:r>
      <w:r>
        <w:rPr>
          <w:rFonts w:ascii="Arial" w:hAnsi="Arial"/>
          <w:spacing w:val="-19"/>
          <w:w w:val="105"/>
          <w:sz w:val="19"/>
        </w:rPr>
        <w:t xml:space="preserve"> </w:t>
      </w:r>
      <w:r>
        <w:rPr>
          <w:rFonts w:ascii="Arial" w:hAnsi="Arial"/>
          <w:w w:val="105"/>
          <w:sz w:val="19"/>
        </w:rPr>
        <w:t>10%</w:t>
      </w:r>
      <w:r>
        <w:rPr>
          <w:rFonts w:ascii="Arial" w:hAnsi="Arial"/>
          <w:spacing w:val="-21"/>
          <w:w w:val="105"/>
          <w:sz w:val="19"/>
        </w:rPr>
        <w:t xml:space="preserve"> </w:t>
      </w:r>
      <w:r>
        <w:rPr>
          <w:rFonts w:ascii="Arial" w:hAnsi="Arial"/>
          <w:w w:val="105"/>
          <w:sz w:val="19"/>
        </w:rPr>
        <w:t>(therefore</w:t>
      </w:r>
      <w:r>
        <w:rPr>
          <w:rFonts w:ascii="Arial" w:hAnsi="Arial"/>
          <w:spacing w:val="-19"/>
          <w:w w:val="105"/>
          <w:sz w:val="19"/>
        </w:rPr>
        <w:t xml:space="preserve"> </w:t>
      </w:r>
      <w:r>
        <w:rPr>
          <w:rFonts w:ascii="Arial" w:hAnsi="Arial"/>
          <w:w w:val="105"/>
          <w:sz w:val="19"/>
        </w:rPr>
        <w:t>9)</w:t>
      </w:r>
      <w:r>
        <w:rPr>
          <w:rFonts w:ascii="Arial" w:hAnsi="Arial"/>
          <w:spacing w:val="-21"/>
          <w:w w:val="105"/>
          <w:sz w:val="19"/>
        </w:rPr>
        <w:t xml:space="preserve"> </w:t>
      </w:r>
      <w:r>
        <w:rPr>
          <w:rFonts w:ascii="Arial" w:hAnsi="Arial"/>
          <w:w w:val="105"/>
          <w:sz w:val="19"/>
        </w:rPr>
        <w:t>would</w:t>
      </w:r>
      <w:r>
        <w:rPr>
          <w:rFonts w:ascii="Arial" w:hAnsi="Arial"/>
          <w:spacing w:val="-22"/>
          <w:w w:val="105"/>
          <w:sz w:val="19"/>
        </w:rPr>
        <w:t xml:space="preserve"> </w:t>
      </w:r>
      <w:r>
        <w:rPr>
          <w:rFonts w:ascii="Arial" w:hAnsi="Arial"/>
          <w:w w:val="105"/>
          <w:sz w:val="19"/>
        </w:rPr>
        <w:t>actually</w:t>
      </w:r>
      <w:r>
        <w:rPr>
          <w:rFonts w:ascii="Arial" w:hAnsi="Arial"/>
          <w:spacing w:val="-22"/>
          <w:w w:val="105"/>
          <w:sz w:val="19"/>
        </w:rPr>
        <w:t xml:space="preserve"> </w:t>
      </w:r>
      <w:r>
        <w:rPr>
          <w:rFonts w:ascii="Arial" w:hAnsi="Arial"/>
          <w:w w:val="105"/>
          <w:sz w:val="19"/>
        </w:rPr>
        <w:t>seek</w:t>
      </w:r>
      <w:r>
        <w:rPr>
          <w:rFonts w:ascii="Arial" w:hAnsi="Arial"/>
          <w:spacing w:val="-23"/>
          <w:w w:val="105"/>
          <w:sz w:val="19"/>
        </w:rPr>
        <w:t xml:space="preserve"> </w:t>
      </w:r>
      <w:r>
        <w:rPr>
          <w:rFonts w:ascii="Arial" w:hAnsi="Arial"/>
          <w:w w:val="105"/>
          <w:sz w:val="19"/>
        </w:rPr>
        <w:t>to</w:t>
      </w:r>
      <w:r>
        <w:rPr>
          <w:rFonts w:ascii="Arial" w:hAnsi="Arial"/>
          <w:spacing w:val="-21"/>
          <w:w w:val="105"/>
          <w:sz w:val="19"/>
        </w:rPr>
        <w:t xml:space="preserve"> </w:t>
      </w:r>
      <w:r>
        <w:rPr>
          <w:rFonts w:ascii="Arial" w:hAnsi="Arial"/>
          <w:w w:val="105"/>
          <w:sz w:val="19"/>
        </w:rPr>
        <w:t>be</w:t>
      </w:r>
      <w:r>
        <w:rPr>
          <w:rFonts w:ascii="Arial" w:hAnsi="Arial"/>
          <w:spacing w:val="-21"/>
          <w:w w:val="105"/>
          <w:sz w:val="19"/>
        </w:rPr>
        <w:t xml:space="preserve"> </w:t>
      </w:r>
      <w:r>
        <w:rPr>
          <w:rFonts w:ascii="Arial" w:hAnsi="Arial"/>
          <w:w w:val="105"/>
          <w:sz w:val="19"/>
        </w:rPr>
        <w:t>sponsors (which</w:t>
      </w:r>
      <w:r>
        <w:rPr>
          <w:rFonts w:ascii="Arial" w:hAnsi="Arial"/>
          <w:spacing w:val="-19"/>
          <w:w w:val="105"/>
          <w:sz w:val="19"/>
        </w:rPr>
        <w:t xml:space="preserve"> </w:t>
      </w:r>
      <w:r>
        <w:rPr>
          <w:rFonts w:ascii="Arial" w:hAnsi="Arial"/>
          <w:w w:val="105"/>
          <w:sz w:val="19"/>
        </w:rPr>
        <w:t>represents</w:t>
      </w:r>
      <w:r>
        <w:rPr>
          <w:rFonts w:ascii="Arial" w:hAnsi="Arial"/>
          <w:spacing w:val="-19"/>
          <w:w w:val="105"/>
          <w:sz w:val="19"/>
        </w:rPr>
        <w:t xml:space="preserve"> </w:t>
      </w:r>
      <w:r>
        <w:rPr>
          <w:rFonts w:ascii="Arial" w:hAnsi="Arial"/>
          <w:w w:val="105"/>
          <w:sz w:val="19"/>
        </w:rPr>
        <w:t>an</w:t>
      </w:r>
      <w:r>
        <w:rPr>
          <w:rFonts w:ascii="Arial" w:hAnsi="Arial"/>
          <w:spacing w:val="-18"/>
          <w:w w:val="105"/>
          <w:sz w:val="19"/>
        </w:rPr>
        <w:t xml:space="preserve"> </w:t>
      </w:r>
      <w:r>
        <w:rPr>
          <w:rFonts w:ascii="Arial" w:hAnsi="Arial"/>
          <w:w w:val="105"/>
          <w:sz w:val="19"/>
        </w:rPr>
        <w:t>uplift</w:t>
      </w:r>
      <w:r>
        <w:rPr>
          <w:rFonts w:ascii="Arial" w:hAnsi="Arial"/>
          <w:spacing w:val="-17"/>
          <w:w w:val="105"/>
          <w:sz w:val="19"/>
        </w:rPr>
        <w:t xml:space="preserve"> </w:t>
      </w:r>
      <w:r>
        <w:rPr>
          <w:rFonts w:ascii="Arial" w:hAnsi="Arial"/>
          <w:w w:val="105"/>
          <w:sz w:val="19"/>
        </w:rPr>
        <w:t>of</w:t>
      </w:r>
      <w:r>
        <w:rPr>
          <w:rFonts w:ascii="Arial" w:hAnsi="Arial"/>
          <w:spacing w:val="-18"/>
          <w:w w:val="105"/>
          <w:sz w:val="19"/>
        </w:rPr>
        <w:t xml:space="preserve"> </w:t>
      </w:r>
      <w:r>
        <w:rPr>
          <w:rFonts w:ascii="Arial" w:hAnsi="Arial"/>
          <w:w w:val="105"/>
          <w:sz w:val="19"/>
        </w:rPr>
        <w:t>just</w:t>
      </w:r>
      <w:r>
        <w:rPr>
          <w:rFonts w:ascii="Arial" w:hAnsi="Arial"/>
          <w:spacing w:val="-13"/>
          <w:w w:val="105"/>
          <w:sz w:val="19"/>
        </w:rPr>
        <w:t xml:space="preserve"> </w:t>
      </w:r>
      <w:r>
        <w:rPr>
          <w:rFonts w:ascii="Arial" w:hAnsi="Arial"/>
          <w:w w:val="105"/>
          <w:sz w:val="19"/>
        </w:rPr>
        <w:t>under</w:t>
      </w:r>
      <w:r>
        <w:rPr>
          <w:rFonts w:ascii="Arial" w:hAnsi="Arial"/>
          <w:spacing w:val="-17"/>
          <w:w w:val="105"/>
          <w:sz w:val="19"/>
        </w:rPr>
        <w:t xml:space="preserve"> </w:t>
      </w:r>
      <w:r>
        <w:rPr>
          <w:rFonts w:ascii="Arial" w:hAnsi="Arial"/>
          <w:w w:val="105"/>
          <w:sz w:val="19"/>
        </w:rPr>
        <w:t>50%</w:t>
      </w:r>
      <w:r>
        <w:rPr>
          <w:rFonts w:ascii="Arial" w:hAnsi="Arial"/>
          <w:spacing w:val="-17"/>
          <w:w w:val="105"/>
          <w:sz w:val="19"/>
        </w:rPr>
        <w:t xml:space="preserve"> </w:t>
      </w:r>
      <w:r>
        <w:rPr>
          <w:rFonts w:ascii="Arial" w:hAnsi="Arial"/>
          <w:w w:val="105"/>
          <w:sz w:val="19"/>
        </w:rPr>
        <w:t>of</w:t>
      </w:r>
      <w:r>
        <w:rPr>
          <w:rFonts w:ascii="Arial" w:hAnsi="Arial"/>
          <w:spacing w:val="-18"/>
          <w:w w:val="105"/>
          <w:sz w:val="19"/>
        </w:rPr>
        <w:t xml:space="preserve"> </w:t>
      </w:r>
      <w:r>
        <w:rPr>
          <w:rFonts w:ascii="Arial" w:hAnsi="Arial"/>
          <w:w w:val="105"/>
          <w:sz w:val="19"/>
        </w:rPr>
        <w:t>the</w:t>
      </w:r>
      <w:r>
        <w:rPr>
          <w:rFonts w:ascii="Arial" w:hAnsi="Arial"/>
          <w:spacing w:val="-18"/>
          <w:w w:val="105"/>
          <w:sz w:val="19"/>
        </w:rPr>
        <w:t xml:space="preserve"> </w:t>
      </w:r>
      <w:r>
        <w:rPr>
          <w:rFonts w:ascii="Arial" w:hAnsi="Arial"/>
          <w:w w:val="105"/>
          <w:sz w:val="19"/>
        </w:rPr>
        <w:t>existing</w:t>
      </w:r>
      <w:r>
        <w:rPr>
          <w:rFonts w:ascii="Arial" w:hAnsi="Arial"/>
          <w:spacing w:val="-17"/>
          <w:w w:val="105"/>
          <w:sz w:val="19"/>
        </w:rPr>
        <w:t xml:space="preserve"> </w:t>
      </w:r>
      <w:r>
        <w:rPr>
          <w:rFonts w:ascii="Arial" w:hAnsi="Arial"/>
          <w:w w:val="105"/>
          <w:sz w:val="19"/>
        </w:rPr>
        <w:t>sponsors</w:t>
      </w:r>
      <w:r>
        <w:rPr>
          <w:rFonts w:ascii="Arial" w:hAnsi="Arial"/>
          <w:spacing w:val="-15"/>
          <w:w w:val="105"/>
          <w:sz w:val="19"/>
        </w:rPr>
        <w:t xml:space="preserve"> </w:t>
      </w:r>
      <w:r>
        <w:rPr>
          <w:rFonts w:ascii="Arial" w:hAnsi="Arial"/>
          <w:w w:val="105"/>
          <w:sz w:val="19"/>
        </w:rPr>
        <w:t>for</w:t>
      </w:r>
      <w:r>
        <w:rPr>
          <w:rFonts w:ascii="Arial" w:hAnsi="Arial"/>
          <w:spacing w:val="-16"/>
          <w:w w:val="105"/>
          <w:sz w:val="19"/>
        </w:rPr>
        <w:t xml:space="preserve"> </w:t>
      </w:r>
      <w:r>
        <w:rPr>
          <w:rFonts w:ascii="Arial" w:hAnsi="Arial"/>
          <w:w w:val="105"/>
          <w:sz w:val="19"/>
        </w:rPr>
        <w:t>these</w:t>
      </w:r>
      <w:r>
        <w:rPr>
          <w:rFonts w:ascii="Arial" w:hAnsi="Arial"/>
          <w:spacing w:val="-19"/>
          <w:w w:val="105"/>
          <w:sz w:val="19"/>
        </w:rPr>
        <w:t xml:space="preserve"> </w:t>
      </w:r>
      <w:r>
        <w:rPr>
          <w:rFonts w:ascii="Arial" w:hAnsi="Arial"/>
          <w:w w:val="105"/>
          <w:sz w:val="19"/>
        </w:rPr>
        <w:t>kind</w:t>
      </w:r>
      <w:r>
        <w:rPr>
          <w:rFonts w:ascii="Arial" w:hAnsi="Arial"/>
          <w:spacing w:val="-18"/>
          <w:w w:val="105"/>
          <w:sz w:val="19"/>
        </w:rPr>
        <w:t xml:space="preserve"> </w:t>
      </w:r>
      <w:r>
        <w:rPr>
          <w:rFonts w:ascii="Arial" w:hAnsi="Arial"/>
          <w:w w:val="105"/>
          <w:sz w:val="19"/>
        </w:rPr>
        <w:t>of</w:t>
      </w:r>
      <w:r>
        <w:rPr>
          <w:rFonts w:ascii="Arial" w:hAnsi="Arial"/>
          <w:spacing w:val="-18"/>
          <w:w w:val="105"/>
          <w:sz w:val="19"/>
        </w:rPr>
        <w:t xml:space="preserve"> </w:t>
      </w:r>
      <w:r>
        <w:rPr>
          <w:rFonts w:ascii="Arial" w:hAnsi="Arial"/>
          <w:w w:val="105"/>
          <w:sz w:val="19"/>
        </w:rPr>
        <w:t>products).</w:t>
      </w:r>
      <w:r>
        <w:rPr>
          <w:rFonts w:ascii="Arial" w:hAnsi="Arial"/>
          <w:spacing w:val="-19"/>
          <w:w w:val="105"/>
          <w:sz w:val="19"/>
        </w:rPr>
        <w:t xml:space="preserve"> </w:t>
      </w:r>
      <w:r>
        <w:rPr>
          <w:rFonts w:ascii="Arial" w:hAnsi="Arial"/>
          <w:w w:val="105"/>
          <w:position w:val="7"/>
          <w:sz w:val="11"/>
        </w:rPr>
        <w:t>65</w:t>
      </w:r>
    </w:p>
    <w:p w:rsidR="007D76BB" w:rsidRDefault="007D76BB">
      <w:pPr>
        <w:pStyle w:val="BodyText"/>
        <w:rPr>
          <w:rFonts w:ascii="Arial"/>
          <w:sz w:val="25"/>
        </w:rPr>
      </w:pPr>
    </w:p>
    <w:p w:rsidR="007D76BB" w:rsidRDefault="00D70D28">
      <w:pPr>
        <w:ind w:left="482"/>
        <w:rPr>
          <w:rFonts w:ascii="Lucida Sans"/>
          <w:b/>
          <w:sz w:val="20"/>
        </w:rPr>
      </w:pPr>
      <w:r>
        <w:rPr>
          <w:rFonts w:ascii="Lucida Sans"/>
          <w:b/>
          <w:sz w:val="20"/>
        </w:rPr>
        <w:t>Regulatory costing</w:t>
      </w:r>
    </w:p>
    <w:p w:rsidR="007D76BB" w:rsidRDefault="00D70D28">
      <w:pPr>
        <w:spacing w:before="194"/>
        <w:ind w:left="482"/>
        <w:rPr>
          <w:rFonts w:ascii="Arial"/>
          <w:i/>
          <w:sz w:val="20"/>
        </w:rPr>
      </w:pPr>
      <w:r>
        <w:rPr>
          <w:rFonts w:ascii="Arial"/>
          <w:i/>
          <w:sz w:val="20"/>
        </w:rPr>
        <w:t>Key assumptions</w:t>
      </w:r>
    </w:p>
    <w:p w:rsidR="007D76BB" w:rsidRDefault="00D70D28">
      <w:pPr>
        <w:pStyle w:val="ListParagraph"/>
        <w:numPr>
          <w:ilvl w:val="1"/>
          <w:numId w:val="5"/>
        </w:numPr>
        <w:tabs>
          <w:tab w:val="left" w:pos="766"/>
        </w:tabs>
        <w:spacing w:before="99" w:line="266" w:lineRule="auto"/>
        <w:ind w:right="883"/>
        <w:rPr>
          <w:rFonts w:ascii="Arial" w:hAnsi="Arial"/>
          <w:sz w:val="19"/>
        </w:rPr>
      </w:pPr>
      <w:r>
        <w:rPr>
          <w:rFonts w:ascii="Arial" w:hAnsi="Arial"/>
          <w:w w:val="105"/>
          <w:sz w:val="19"/>
        </w:rPr>
        <w:t>All</w:t>
      </w:r>
      <w:r>
        <w:rPr>
          <w:rFonts w:ascii="Arial" w:hAnsi="Arial"/>
          <w:spacing w:val="-23"/>
          <w:w w:val="105"/>
          <w:sz w:val="19"/>
        </w:rPr>
        <w:t xml:space="preserve"> </w:t>
      </w:r>
      <w:r>
        <w:rPr>
          <w:rFonts w:ascii="Arial" w:hAnsi="Arial"/>
          <w:w w:val="105"/>
          <w:sz w:val="19"/>
        </w:rPr>
        <w:t>potentially</w:t>
      </w:r>
      <w:r>
        <w:rPr>
          <w:rFonts w:ascii="Arial" w:hAnsi="Arial"/>
          <w:spacing w:val="-20"/>
          <w:w w:val="105"/>
          <w:sz w:val="19"/>
        </w:rPr>
        <w:t xml:space="preserve"> </w:t>
      </w:r>
      <w:r>
        <w:rPr>
          <w:rFonts w:ascii="Arial" w:hAnsi="Arial"/>
          <w:w w:val="105"/>
          <w:sz w:val="19"/>
        </w:rPr>
        <w:t>affected</w:t>
      </w:r>
      <w:r>
        <w:rPr>
          <w:rFonts w:ascii="Arial" w:hAnsi="Arial"/>
          <w:spacing w:val="-23"/>
          <w:w w:val="105"/>
          <w:sz w:val="19"/>
        </w:rPr>
        <w:t xml:space="preserve"> </w:t>
      </w:r>
      <w:r>
        <w:rPr>
          <w:rFonts w:ascii="Arial" w:hAnsi="Arial"/>
          <w:w w:val="105"/>
          <w:sz w:val="19"/>
        </w:rPr>
        <w:t>companies</w:t>
      </w:r>
      <w:r>
        <w:rPr>
          <w:rFonts w:ascii="Arial" w:hAnsi="Arial"/>
          <w:spacing w:val="-23"/>
          <w:w w:val="105"/>
          <w:sz w:val="19"/>
        </w:rPr>
        <w:t xml:space="preserve"> </w:t>
      </w:r>
      <w:r>
        <w:rPr>
          <w:rFonts w:ascii="Arial" w:hAnsi="Arial"/>
          <w:w w:val="105"/>
          <w:sz w:val="19"/>
        </w:rPr>
        <w:t>will</w:t>
      </w:r>
      <w:r>
        <w:rPr>
          <w:rFonts w:ascii="Arial" w:hAnsi="Arial"/>
          <w:spacing w:val="-22"/>
          <w:w w:val="105"/>
          <w:sz w:val="19"/>
        </w:rPr>
        <w:t xml:space="preserve"> </w:t>
      </w:r>
      <w:r>
        <w:rPr>
          <w:rFonts w:ascii="Arial" w:hAnsi="Arial"/>
          <w:w w:val="105"/>
          <w:sz w:val="19"/>
        </w:rPr>
        <w:t>seek</w:t>
      </w:r>
      <w:r>
        <w:rPr>
          <w:rFonts w:ascii="Arial" w:hAnsi="Arial"/>
          <w:spacing w:val="-24"/>
          <w:w w:val="105"/>
          <w:sz w:val="19"/>
        </w:rPr>
        <w:t xml:space="preserve"> </w:t>
      </w:r>
      <w:r>
        <w:rPr>
          <w:rFonts w:ascii="Arial" w:hAnsi="Arial"/>
          <w:w w:val="105"/>
          <w:sz w:val="19"/>
        </w:rPr>
        <w:t>to</w:t>
      </w:r>
      <w:r>
        <w:rPr>
          <w:rFonts w:ascii="Arial" w:hAnsi="Arial"/>
          <w:spacing w:val="-21"/>
          <w:w w:val="105"/>
          <w:sz w:val="19"/>
        </w:rPr>
        <w:t xml:space="preserve"> </w:t>
      </w:r>
      <w:r>
        <w:rPr>
          <w:rFonts w:ascii="Arial" w:hAnsi="Arial"/>
          <w:w w:val="105"/>
          <w:sz w:val="19"/>
        </w:rPr>
        <w:t>become</w:t>
      </w:r>
      <w:r>
        <w:rPr>
          <w:rFonts w:ascii="Arial" w:hAnsi="Arial"/>
          <w:spacing w:val="-23"/>
          <w:w w:val="105"/>
          <w:sz w:val="19"/>
        </w:rPr>
        <w:t xml:space="preserve"> </w:t>
      </w:r>
      <w:r>
        <w:rPr>
          <w:rFonts w:ascii="Arial" w:hAnsi="Arial"/>
          <w:w w:val="105"/>
          <w:sz w:val="19"/>
        </w:rPr>
        <w:t>aware</w:t>
      </w:r>
      <w:r>
        <w:rPr>
          <w:rFonts w:ascii="Arial" w:hAnsi="Arial"/>
          <w:spacing w:val="-20"/>
          <w:w w:val="105"/>
          <w:sz w:val="19"/>
        </w:rPr>
        <w:t xml:space="preserve"> </w:t>
      </w:r>
      <w:r>
        <w:rPr>
          <w:rFonts w:ascii="Arial" w:hAnsi="Arial"/>
          <w:w w:val="105"/>
          <w:sz w:val="19"/>
        </w:rPr>
        <w:t>of</w:t>
      </w:r>
      <w:r>
        <w:rPr>
          <w:rFonts w:ascii="Arial" w:hAnsi="Arial"/>
          <w:spacing w:val="-24"/>
          <w:w w:val="105"/>
          <w:sz w:val="19"/>
        </w:rPr>
        <w:t xml:space="preserve"> </w:t>
      </w:r>
      <w:r>
        <w:rPr>
          <w:rFonts w:ascii="Arial" w:hAnsi="Arial"/>
          <w:w w:val="105"/>
          <w:sz w:val="19"/>
        </w:rPr>
        <w:t>the</w:t>
      </w:r>
      <w:r>
        <w:rPr>
          <w:rFonts w:ascii="Arial" w:hAnsi="Arial"/>
          <w:spacing w:val="-23"/>
          <w:w w:val="105"/>
          <w:sz w:val="19"/>
        </w:rPr>
        <w:t xml:space="preserve"> </w:t>
      </w:r>
      <w:r>
        <w:rPr>
          <w:rFonts w:ascii="Arial" w:hAnsi="Arial"/>
          <w:w w:val="105"/>
          <w:sz w:val="19"/>
        </w:rPr>
        <w:t>extent</w:t>
      </w:r>
      <w:r>
        <w:rPr>
          <w:rFonts w:ascii="Arial" w:hAnsi="Arial"/>
          <w:spacing w:val="-22"/>
          <w:w w:val="105"/>
          <w:sz w:val="19"/>
        </w:rPr>
        <w:t xml:space="preserve"> </w:t>
      </w:r>
      <w:r>
        <w:rPr>
          <w:rFonts w:ascii="Arial" w:hAnsi="Arial"/>
          <w:w w:val="105"/>
          <w:sz w:val="19"/>
        </w:rPr>
        <w:t>to</w:t>
      </w:r>
      <w:r>
        <w:rPr>
          <w:rFonts w:ascii="Arial" w:hAnsi="Arial"/>
          <w:spacing w:val="-22"/>
          <w:w w:val="105"/>
          <w:sz w:val="19"/>
        </w:rPr>
        <w:t xml:space="preserve"> </w:t>
      </w:r>
      <w:r>
        <w:rPr>
          <w:rFonts w:ascii="Arial" w:hAnsi="Arial"/>
          <w:w w:val="105"/>
          <w:sz w:val="19"/>
        </w:rPr>
        <w:t>which</w:t>
      </w:r>
      <w:r>
        <w:rPr>
          <w:rFonts w:ascii="Arial" w:hAnsi="Arial"/>
          <w:spacing w:val="-20"/>
          <w:w w:val="105"/>
          <w:sz w:val="19"/>
        </w:rPr>
        <w:t xml:space="preserve"> </w:t>
      </w:r>
      <w:r>
        <w:rPr>
          <w:rFonts w:ascii="Arial" w:hAnsi="Arial"/>
          <w:w w:val="105"/>
          <w:sz w:val="19"/>
        </w:rPr>
        <w:t>the</w:t>
      </w:r>
      <w:r>
        <w:rPr>
          <w:rFonts w:ascii="Arial" w:hAnsi="Arial"/>
          <w:spacing w:val="-21"/>
          <w:w w:val="105"/>
          <w:sz w:val="19"/>
        </w:rPr>
        <w:t xml:space="preserve"> </w:t>
      </w:r>
      <w:r>
        <w:rPr>
          <w:rFonts w:ascii="Arial" w:hAnsi="Arial"/>
          <w:w w:val="105"/>
          <w:sz w:val="19"/>
        </w:rPr>
        <w:t xml:space="preserve">proposed </w:t>
      </w:r>
      <w:r>
        <w:rPr>
          <w:rFonts w:ascii="Arial" w:hAnsi="Arial"/>
          <w:w w:val="110"/>
          <w:sz w:val="19"/>
        </w:rPr>
        <w:t>regulatory</w:t>
      </w:r>
      <w:r>
        <w:rPr>
          <w:rFonts w:ascii="Arial" w:hAnsi="Arial"/>
          <w:spacing w:val="-17"/>
          <w:w w:val="110"/>
          <w:sz w:val="19"/>
        </w:rPr>
        <w:t xml:space="preserve"> </w:t>
      </w:r>
      <w:r>
        <w:rPr>
          <w:rFonts w:ascii="Arial" w:hAnsi="Arial"/>
          <w:w w:val="110"/>
          <w:sz w:val="19"/>
        </w:rPr>
        <w:t>clarification</w:t>
      </w:r>
      <w:r>
        <w:rPr>
          <w:rFonts w:ascii="Arial" w:hAnsi="Arial"/>
          <w:spacing w:val="-15"/>
          <w:w w:val="110"/>
          <w:sz w:val="19"/>
        </w:rPr>
        <w:t xml:space="preserve"> </w:t>
      </w:r>
      <w:r>
        <w:rPr>
          <w:rFonts w:ascii="Arial" w:hAnsi="Arial"/>
          <w:w w:val="110"/>
          <w:sz w:val="19"/>
        </w:rPr>
        <w:t>impacts</w:t>
      </w:r>
      <w:r>
        <w:rPr>
          <w:rFonts w:ascii="Arial" w:hAnsi="Arial"/>
          <w:spacing w:val="-17"/>
          <w:w w:val="110"/>
          <w:sz w:val="19"/>
        </w:rPr>
        <w:t xml:space="preserve"> </w:t>
      </w:r>
      <w:r>
        <w:rPr>
          <w:rFonts w:ascii="Arial" w:hAnsi="Arial"/>
          <w:w w:val="110"/>
          <w:sz w:val="19"/>
        </w:rPr>
        <w:t>upon</w:t>
      </w:r>
      <w:r>
        <w:rPr>
          <w:rFonts w:ascii="Arial" w:hAnsi="Arial"/>
          <w:spacing w:val="-17"/>
          <w:w w:val="110"/>
          <w:sz w:val="19"/>
        </w:rPr>
        <w:t xml:space="preserve"> </w:t>
      </w:r>
      <w:r>
        <w:rPr>
          <w:rFonts w:ascii="Arial" w:hAnsi="Arial"/>
          <w:w w:val="110"/>
          <w:sz w:val="19"/>
        </w:rPr>
        <w:t>their</w:t>
      </w:r>
      <w:r>
        <w:rPr>
          <w:rFonts w:ascii="Arial" w:hAnsi="Arial"/>
          <w:spacing w:val="-18"/>
          <w:w w:val="110"/>
          <w:sz w:val="19"/>
        </w:rPr>
        <w:t xml:space="preserve"> </w:t>
      </w:r>
      <w:r>
        <w:rPr>
          <w:rFonts w:ascii="Arial" w:hAnsi="Arial"/>
          <w:w w:val="110"/>
          <w:sz w:val="19"/>
        </w:rPr>
        <w:t>company.</w:t>
      </w:r>
    </w:p>
    <w:p w:rsidR="007D76BB" w:rsidRDefault="00D70D28">
      <w:pPr>
        <w:pStyle w:val="ListParagraph"/>
        <w:numPr>
          <w:ilvl w:val="1"/>
          <w:numId w:val="5"/>
        </w:numPr>
        <w:tabs>
          <w:tab w:val="left" w:pos="766"/>
        </w:tabs>
        <w:spacing w:before="76" w:line="264" w:lineRule="auto"/>
        <w:ind w:right="990"/>
        <w:rPr>
          <w:rFonts w:ascii="Arial" w:hAnsi="Arial"/>
          <w:sz w:val="19"/>
        </w:rPr>
      </w:pPr>
      <w:r>
        <w:rPr>
          <w:rFonts w:ascii="Arial" w:hAnsi="Arial"/>
          <w:w w:val="105"/>
          <w:sz w:val="19"/>
        </w:rPr>
        <w:t>Most</w:t>
      </w:r>
      <w:r>
        <w:rPr>
          <w:rFonts w:ascii="Arial" w:hAnsi="Arial"/>
          <w:spacing w:val="-23"/>
          <w:w w:val="105"/>
          <w:sz w:val="19"/>
        </w:rPr>
        <w:t xml:space="preserve"> </w:t>
      </w:r>
      <w:r>
        <w:rPr>
          <w:rFonts w:ascii="Arial" w:hAnsi="Arial"/>
          <w:w w:val="105"/>
          <w:sz w:val="19"/>
        </w:rPr>
        <w:t>businesses</w:t>
      </w:r>
      <w:r>
        <w:rPr>
          <w:rFonts w:ascii="Arial" w:hAnsi="Arial"/>
          <w:spacing w:val="-23"/>
          <w:w w:val="105"/>
          <w:sz w:val="19"/>
        </w:rPr>
        <w:t xml:space="preserve"> </w:t>
      </w:r>
      <w:r>
        <w:rPr>
          <w:rFonts w:ascii="Arial" w:hAnsi="Arial"/>
          <w:w w:val="105"/>
          <w:sz w:val="19"/>
        </w:rPr>
        <w:t>that</w:t>
      </w:r>
      <w:r>
        <w:rPr>
          <w:rFonts w:ascii="Arial" w:hAnsi="Arial"/>
          <w:spacing w:val="-24"/>
          <w:w w:val="105"/>
          <w:sz w:val="19"/>
        </w:rPr>
        <w:t xml:space="preserve"> </w:t>
      </w:r>
      <w:r>
        <w:rPr>
          <w:rFonts w:ascii="Arial" w:hAnsi="Arial"/>
          <w:w w:val="105"/>
          <w:sz w:val="19"/>
        </w:rPr>
        <w:t>would</w:t>
      </w:r>
      <w:r>
        <w:rPr>
          <w:rFonts w:ascii="Arial" w:hAnsi="Arial"/>
          <w:spacing w:val="-26"/>
          <w:w w:val="105"/>
          <w:sz w:val="19"/>
        </w:rPr>
        <w:t xml:space="preserve"> </w:t>
      </w:r>
      <w:r>
        <w:rPr>
          <w:rFonts w:ascii="Arial" w:hAnsi="Arial"/>
          <w:w w:val="105"/>
          <w:sz w:val="19"/>
        </w:rPr>
        <w:t>have</w:t>
      </w:r>
      <w:r>
        <w:rPr>
          <w:rFonts w:ascii="Arial" w:hAnsi="Arial"/>
          <w:spacing w:val="-22"/>
          <w:w w:val="105"/>
          <w:sz w:val="19"/>
        </w:rPr>
        <w:t xml:space="preserve"> </w:t>
      </w:r>
      <w:r>
        <w:rPr>
          <w:rFonts w:ascii="Arial" w:hAnsi="Arial"/>
          <w:w w:val="105"/>
          <w:sz w:val="19"/>
        </w:rPr>
        <w:t>sought</w:t>
      </w:r>
      <w:r>
        <w:rPr>
          <w:rFonts w:ascii="Arial" w:hAnsi="Arial"/>
          <w:spacing w:val="-22"/>
          <w:w w:val="105"/>
          <w:sz w:val="19"/>
        </w:rPr>
        <w:t xml:space="preserve"> </w:t>
      </w:r>
      <w:r>
        <w:rPr>
          <w:rFonts w:ascii="Arial" w:hAnsi="Arial"/>
          <w:w w:val="105"/>
          <w:sz w:val="19"/>
        </w:rPr>
        <w:t>to</w:t>
      </w:r>
      <w:r>
        <w:rPr>
          <w:rFonts w:ascii="Arial" w:hAnsi="Arial"/>
          <w:spacing w:val="-25"/>
          <w:w w:val="105"/>
          <w:sz w:val="19"/>
        </w:rPr>
        <w:t xml:space="preserve"> </w:t>
      </w:r>
      <w:r>
        <w:rPr>
          <w:rFonts w:ascii="Arial" w:hAnsi="Arial"/>
          <w:w w:val="105"/>
          <w:sz w:val="19"/>
        </w:rPr>
        <w:t>gain</w:t>
      </w:r>
      <w:r>
        <w:rPr>
          <w:rFonts w:ascii="Arial" w:hAnsi="Arial"/>
          <w:spacing w:val="-23"/>
          <w:w w:val="105"/>
          <w:sz w:val="19"/>
        </w:rPr>
        <w:t xml:space="preserve"> </w:t>
      </w:r>
      <w:r>
        <w:rPr>
          <w:rFonts w:ascii="Arial" w:hAnsi="Arial"/>
          <w:w w:val="105"/>
          <w:sz w:val="19"/>
        </w:rPr>
        <w:t>a</w:t>
      </w:r>
      <w:r>
        <w:rPr>
          <w:rFonts w:ascii="Arial" w:hAnsi="Arial"/>
          <w:spacing w:val="-24"/>
          <w:w w:val="105"/>
          <w:sz w:val="19"/>
        </w:rPr>
        <w:t xml:space="preserve"> </w:t>
      </w:r>
      <w:r>
        <w:rPr>
          <w:rFonts w:ascii="Arial" w:hAnsi="Arial"/>
          <w:w w:val="105"/>
          <w:sz w:val="19"/>
        </w:rPr>
        <w:t>marketing</w:t>
      </w:r>
      <w:r>
        <w:rPr>
          <w:rFonts w:ascii="Arial" w:hAnsi="Arial"/>
          <w:spacing w:val="-24"/>
          <w:w w:val="105"/>
          <w:sz w:val="19"/>
        </w:rPr>
        <w:t xml:space="preserve"> </w:t>
      </w:r>
      <w:r>
        <w:rPr>
          <w:rFonts w:ascii="Arial" w:hAnsi="Arial"/>
          <w:w w:val="105"/>
          <w:sz w:val="19"/>
        </w:rPr>
        <w:t>advantage</w:t>
      </w:r>
      <w:r>
        <w:rPr>
          <w:rFonts w:ascii="Arial" w:hAnsi="Arial"/>
          <w:spacing w:val="-24"/>
          <w:w w:val="105"/>
          <w:sz w:val="19"/>
        </w:rPr>
        <w:t xml:space="preserve"> </w:t>
      </w:r>
      <w:r>
        <w:rPr>
          <w:rFonts w:ascii="Arial" w:hAnsi="Arial"/>
          <w:w w:val="105"/>
          <w:sz w:val="19"/>
        </w:rPr>
        <w:t>of</w:t>
      </w:r>
      <w:r>
        <w:rPr>
          <w:rFonts w:ascii="Arial" w:hAnsi="Arial"/>
          <w:spacing w:val="-24"/>
          <w:w w:val="105"/>
          <w:sz w:val="19"/>
        </w:rPr>
        <w:t xml:space="preserve"> </w:t>
      </w:r>
      <w:r>
        <w:rPr>
          <w:rFonts w:ascii="Arial" w:hAnsi="Arial"/>
          <w:w w:val="105"/>
          <w:sz w:val="19"/>
        </w:rPr>
        <w:t>being</w:t>
      </w:r>
      <w:r>
        <w:rPr>
          <w:rFonts w:ascii="Arial" w:hAnsi="Arial"/>
          <w:spacing w:val="-24"/>
          <w:w w:val="105"/>
          <w:sz w:val="19"/>
        </w:rPr>
        <w:t xml:space="preserve"> </w:t>
      </w:r>
      <w:r>
        <w:rPr>
          <w:rFonts w:ascii="Arial" w:hAnsi="Arial"/>
          <w:w w:val="105"/>
          <w:sz w:val="19"/>
        </w:rPr>
        <w:t>able</w:t>
      </w:r>
      <w:r>
        <w:rPr>
          <w:rFonts w:ascii="Arial" w:hAnsi="Arial"/>
          <w:spacing w:val="-24"/>
          <w:w w:val="105"/>
          <w:sz w:val="19"/>
        </w:rPr>
        <w:t xml:space="preserve"> </w:t>
      </w:r>
      <w:r>
        <w:rPr>
          <w:rFonts w:ascii="Arial" w:hAnsi="Arial"/>
          <w:w w:val="105"/>
          <w:sz w:val="19"/>
        </w:rPr>
        <w:t>to</w:t>
      </w:r>
      <w:r>
        <w:rPr>
          <w:rFonts w:ascii="Arial" w:hAnsi="Arial"/>
          <w:spacing w:val="-23"/>
          <w:w w:val="105"/>
          <w:sz w:val="19"/>
        </w:rPr>
        <w:t xml:space="preserve"> </w:t>
      </w:r>
      <w:r>
        <w:rPr>
          <w:rFonts w:ascii="Arial" w:hAnsi="Arial"/>
          <w:w w:val="105"/>
          <w:sz w:val="19"/>
        </w:rPr>
        <w:t>make higher-level</w:t>
      </w:r>
      <w:r>
        <w:rPr>
          <w:rFonts w:ascii="Arial" w:hAnsi="Arial"/>
          <w:spacing w:val="-34"/>
          <w:w w:val="105"/>
          <w:sz w:val="19"/>
        </w:rPr>
        <w:t xml:space="preserve"> </w:t>
      </w:r>
      <w:r>
        <w:rPr>
          <w:rFonts w:ascii="Arial" w:hAnsi="Arial"/>
          <w:w w:val="105"/>
          <w:sz w:val="19"/>
        </w:rPr>
        <w:t>therapeutic</w:t>
      </w:r>
      <w:r>
        <w:rPr>
          <w:rFonts w:ascii="Arial" w:hAnsi="Arial"/>
          <w:spacing w:val="-33"/>
          <w:w w:val="105"/>
          <w:sz w:val="19"/>
        </w:rPr>
        <w:t xml:space="preserve"> </w:t>
      </w:r>
      <w:r>
        <w:rPr>
          <w:rFonts w:ascii="Arial" w:hAnsi="Arial"/>
          <w:w w:val="105"/>
          <w:sz w:val="19"/>
        </w:rPr>
        <w:t>claims</w:t>
      </w:r>
      <w:r>
        <w:rPr>
          <w:rFonts w:ascii="Arial" w:hAnsi="Arial"/>
          <w:spacing w:val="-32"/>
          <w:w w:val="105"/>
          <w:sz w:val="19"/>
        </w:rPr>
        <w:t xml:space="preserve"> </w:t>
      </w:r>
      <w:r>
        <w:rPr>
          <w:rFonts w:ascii="Arial" w:hAnsi="Arial"/>
          <w:w w:val="105"/>
          <w:sz w:val="19"/>
        </w:rPr>
        <w:t>than</w:t>
      </w:r>
      <w:r>
        <w:rPr>
          <w:rFonts w:ascii="Arial" w:hAnsi="Arial"/>
          <w:spacing w:val="-33"/>
          <w:w w:val="105"/>
          <w:sz w:val="19"/>
        </w:rPr>
        <w:t xml:space="preserve"> </w:t>
      </w:r>
      <w:r>
        <w:rPr>
          <w:rFonts w:ascii="Arial" w:hAnsi="Arial"/>
          <w:w w:val="105"/>
          <w:sz w:val="19"/>
        </w:rPr>
        <w:t>permissible</w:t>
      </w:r>
      <w:r>
        <w:rPr>
          <w:rFonts w:ascii="Arial" w:hAnsi="Arial"/>
          <w:spacing w:val="-33"/>
          <w:w w:val="105"/>
          <w:sz w:val="19"/>
        </w:rPr>
        <w:t xml:space="preserve"> </w:t>
      </w:r>
      <w:r>
        <w:rPr>
          <w:rFonts w:ascii="Arial" w:hAnsi="Arial"/>
          <w:w w:val="105"/>
          <w:sz w:val="19"/>
        </w:rPr>
        <w:t>under</w:t>
      </w:r>
      <w:r>
        <w:rPr>
          <w:rFonts w:ascii="Arial" w:hAnsi="Arial"/>
          <w:spacing w:val="-33"/>
          <w:w w:val="105"/>
          <w:sz w:val="19"/>
        </w:rPr>
        <w:t xml:space="preserve"> </w:t>
      </w:r>
      <w:r>
        <w:rPr>
          <w:rFonts w:ascii="Arial" w:hAnsi="Arial"/>
          <w:w w:val="105"/>
          <w:sz w:val="19"/>
        </w:rPr>
        <w:t>the</w:t>
      </w:r>
      <w:r>
        <w:rPr>
          <w:rFonts w:ascii="Arial" w:hAnsi="Arial"/>
          <w:spacing w:val="-32"/>
          <w:w w:val="105"/>
          <w:sz w:val="19"/>
        </w:rPr>
        <w:t xml:space="preserve"> </w:t>
      </w:r>
      <w:r>
        <w:rPr>
          <w:rFonts w:ascii="Arial" w:hAnsi="Arial"/>
          <w:w w:val="105"/>
          <w:sz w:val="19"/>
        </w:rPr>
        <w:t>Foods</w:t>
      </w:r>
      <w:r>
        <w:rPr>
          <w:rFonts w:ascii="Arial" w:hAnsi="Arial"/>
          <w:spacing w:val="-33"/>
          <w:w w:val="105"/>
          <w:sz w:val="19"/>
        </w:rPr>
        <w:t xml:space="preserve"> </w:t>
      </w:r>
      <w:r>
        <w:rPr>
          <w:rFonts w:ascii="Arial" w:hAnsi="Arial"/>
          <w:w w:val="105"/>
          <w:sz w:val="19"/>
        </w:rPr>
        <w:t>Standards</w:t>
      </w:r>
      <w:r>
        <w:rPr>
          <w:rFonts w:ascii="Arial" w:hAnsi="Arial"/>
          <w:spacing w:val="-32"/>
          <w:w w:val="105"/>
          <w:sz w:val="19"/>
        </w:rPr>
        <w:t xml:space="preserve"> </w:t>
      </w:r>
      <w:r>
        <w:rPr>
          <w:rFonts w:ascii="Arial" w:hAnsi="Arial"/>
          <w:w w:val="105"/>
          <w:sz w:val="19"/>
        </w:rPr>
        <w:t>would</w:t>
      </w:r>
      <w:r>
        <w:rPr>
          <w:rFonts w:ascii="Arial" w:hAnsi="Arial"/>
          <w:spacing w:val="-33"/>
          <w:w w:val="105"/>
          <w:sz w:val="19"/>
        </w:rPr>
        <w:t xml:space="preserve"> </w:t>
      </w:r>
      <w:r>
        <w:rPr>
          <w:rFonts w:ascii="Arial" w:hAnsi="Arial"/>
          <w:w w:val="105"/>
          <w:sz w:val="19"/>
        </w:rPr>
        <w:t>have</w:t>
      </w:r>
      <w:r>
        <w:rPr>
          <w:rFonts w:ascii="Arial" w:hAnsi="Arial"/>
          <w:spacing w:val="-32"/>
          <w:w w:val="105"/>
          <w:sz w:val="19"/>
        </w:rPr>
        <w:t xml:space="preserve"> </w:t>
      </w:r>
      <w:r>
        <w:rPr>
          <w:rFonts w:ascii="Arial" w:hAnsi="Arial"/>
          <w:w w:val="105"/>
          <w:sz w:val="19"/>
        </w:rPr>
        <w:t>already proceeded</w:t>
      </w:r>
      <w:r>
        <w:rPr>
          <w:rFonts w:ascii="Arial" w:hAnsi="Arial"/>
          <w:spacing w:val="-13"/>
          <w:w w:val="105"/>
          <w:sz w:val="19"/>
        </w:rPr>
        <w:t xml:space="preserve"> </w:t>
      </w:r>
      <w:r>
        <w:rPr>
          <w:rFonts w:ascii="Arial" w:hAnsi="Arial"/>
          <w:w w:val="105"/>
          <w:sz w:val="19"/>
        </w:rPr>
        <w:t>down</w:t>
      </w:r>
      <w:r>
        <w:rPr>
          <w:rFonts w:ascii="Arial" w:hAnsi="Arial"/>
          <w:spacing w:val="-11"/>
          <w:w w:val="105"/>
          <w:sz w:val="19"/>
        </w:rPr>
        <w:t xml:space="preserve"> </w:t>
      </w:r>
      <w:r>
        <w:rPr>
          <w:rFonts w:ascii="Arial" w:hAnsi="Arial"/>
          <w:w w:val="105"/>
          <w:sz w:val="19"/>
        </w:rPr>
        <w:t>the</w:t>
      </w:r>
      <w:r>
        <w:rPr>
          <w:rFonts w:ascii="Arial" w:hAnsi="Arial"/>
          <w:spacing w:val="-13"/>
          <w:w w:val="105"/>
          <w:sz w:val="19"/>
        </w:rPr>
        <w:t xml:space="preserve"> </w:t>
      </w:r>
      <w:r>
        <w:rPr>
          <w:rFonts w:ascii="Arial" w:hAnsi="Arial"/>
          <w:w w:val="105"/>
          <w:sz w:val="19"/>
        </w:rPr>
        <w:t>sponsor</w:t>
      </w:r>
      <w:r>
        <w:rPr>
          <w:rFonts w:ascii="Arial" w:hAnsi="Arial"/>
          <w:spacing w:val="-14"/>
          <w:w w:val="105"/>
          <w:sz w:val="19"/>
        </w:rPr>
        <w:t xml:space="preserve"> </w:t>
      </w:r>
      <w:r>
        <w:rPr>
          <w:rFonts w:ascii="Arial" w:hAnsi="Arial"/>
          <w:w w:val="105"/>
          <w:sz w:val="19"/>
        </w:rPr>
        <w:t>pathway.</w:t>
      </w:r>
    </w:p>
    <w:p w:rsidR="007D76BB" w:rsidRDefault="00D70D28">
      <w:pPr>
        <w:spacing w:before="74"/>
        <w:ind w:left="482"/>
        <w:rPr>
          <w:rFonts w:ascii="Arial"/>
          <w:i/>
          <w:sz w:val="20"/>
        </w:rPr>
      </w:pPr>
      <w:r>
        <w:rPr>
          <w:rFonts w:ascii="Arial"/>
          <w:i/>
          <w:sz w:val="20"/>
        </w:rPr>
        <w:t>Inputs</w:t>
      </w:r>
    </w:p>
    <w:p w:rsidR="007D76BB" w:rsidRDefault="00D70D28">
      <w:pPr>
        <w:pStyle w:val="ListParagraph"/>
        <w:numPr>
          <w:ilvl w:val="1"/>
          <w:numId w:val="5"/>
        </w:numPr>
        <w:tabs>
          <w:tab w:val="left" w:pos="766"/>
        </w:tabs>
        <w:spacing w:before="99"/>
        <w:rPr>
          <w:rFonts w:ascii="Arial" w:hAnsi="Arial"/>
          <w:sz w:val="19"/>
        </w:rPr>
      </w:pPr>
      <w:r>
        <w:rPr>
          <w:rFonts w:ascii="Arial" w:hAnsi="Arial"/>
          <w:sz w:val="19"/>
        </w:rPr>
        <w:t>Number of existing sponsors =</w:t>
      </w:r>
      <w:r>
        <w:rPr>
          <w:rFonts w:ascii="Arial" w:hAnsi="Arial"/>
          <w:spacing w:val="-40"/>
          <w:sz w:val="19"/>
        </w:rPr>
        <w:t xml:space="preserve"> </w:t>
      </w:r>
      <w:r>
        <w:rPr>
          <w:rFonts w:ascii="Arial" w:hAnsi="Arial"/>
          <w:sz w:val="19"/>
        </w:rPr>
        <w:t>19</w:t>
      </w:r>
    </w:p>
    <w:p w:rsidR="007D76BB" w:rsidRDefault="00D70D28">
      <w:pPr>
        <w:pStyle w:val="ListParagraph"/>
        <w:numPr>
          <w:ilvl w:val="1"/>
          <w:numId w:val="5"/>
        </w:numPr>
        <w:tabs>
          <w:tab w:val="left" w:pos="766"/>
        </w:tabs>
        <w:spacing w:before="103"/>
        <w:rPr>
          <w:rFonts w:ascii="Arial" w:hAnsi="Arial"/>
          <w:sz w:val="19"/>
        </w:rPr>
      </w:pPr>
      <w:r>
        <w:rPr>
          <w:rFonts w:ascii="Arial" w:hAnsi="Arial"/>
          <w:w w:val="105"/>
          <w:sz w:val="19"/>
        </w:rPr>
        <w:t>Number</w:t>
      </w:r>
      <w:r>
        <w:rPr>
          <w:rFonts w:ascii="Arial" w:hAnsi="Arial"/>
          <w:spacing w:val="-11"/>
          <w:w w:val="105"/>
          <w:sz w:val="19"/>
        </w:rPr>
        <w:t xml:space="preserve"> </w:t>
      </w:r>
      <w:r>
        <w:rPr>
          <w:rFonts w:ascii="Arial" w:hAnsi="Arial"/>
          <w:w w:val="105"/>
          <w:sz w:val="19"/>
        </w:rPr>
        <w:t>of</w:t>
      </w:r>
      <w:r>
        <w:rPr>
          <w:rFonts w:ascii="Arial" w:hAnsi="Arial"/>
          <w:spacing w:val="-12"/>
          <w:w w:val="105"/>
          <w:sz w:val="19"/>
        </w:rPr>
        <w:t xml:space="preserve"> </w:t>
      </w:r>
      <w:r>
        <w:rPr>
          <w:rFonts w:ascii="Arial" w:hAnsi="Arial"/>
          <w:w w:val="105"/>
          <w:sz w:val="19"/>
        </w:rPr>
        <w:t>potential</w:t>
      </w:r>
      <w:r>
        <w:rPr>
          <w:rFonts w:ascii="Arial" w:hAnsi="Arial"/>
          <w:spacing w:val="-12"/>
          <w:w w:val="105"/>
          <w:sz w:val="19"/>
        </w:rPr>
        <w:t xml:space="preserve"> </w:t>
      </w:r>
      <w:r>
        <w:rPr>
          <w:rFonts w:ascii="Arial" w:hAnsi="Arial"/>
          <w:w w:val="105"/>
          <w:sz w:val="19"/>
        </w:rPr>
        <w:t>new</w:t>
      </w:r>
      <w:r>
        <w:rPr>
          <w:rFonts w:ascii="Arial" w:hAnsi="Arial"/>
          <w:spacing w:val="-10"/>
          <w:w w:val="105"/>
          <w:sz w:val="19"/>
        </w:rPr>
        <w:t xml:space="preserve"> </w:t>
      </w:r>
      <w:r>
        <w:rPr>
          <w:rFonts w:ascii="Arial" w:hAnsi="Arial"/>
          <w:w w:val="105"/>
          <w:sz w:val="19"/>
        </w:rPr>
        <w:t>sponsors</w:t>
      </w:r>
      <w:r>
        <w:rPr>
          <w:rFonts w:ascii="Arial" w:hAnsi="Arial"/>
          <w:spacing w:val="-9"/>
          <w:w w:val="105"/>
          <w:sz w:val="19"/>
        </w:rPr>
        <w:t xml:space="preserve"> </w:t>
      </w:r>
      <w:r>
        <w:rPr>
          <w:rFonts w:ascii="Arial" w:hAnsi="Arial"/>
          <w:w w:val="105"/>
          <w:sz w:val="19"/>
        </w:rPr>
        <w:t>=</w:t>
      </w:r>
      <w:r>
        <w:rPr>
          <w:rFonts w:ascii="Arial" w:hAnsi="Arial"/>
          <w:spacing w:val="-11"/>
          <w:w w:val="105"/>
          <w:sz w:val="19"/>
        </w:rPr>
        <w:t xml:space="preserve"> </w:t>
      </w:r>
      <w:r>
        <w:rPr>
          <w:rFonts w:ascii="Arial" w:hAnsi="Arial"/>
          <w:w w:val="105"/>
          <w:sz w:val="19"/>
        </w:rPr>
        <w:t>93</w:t>
      </w:r>
    </w:p>
    <w:p w:rsidR="007D76BB" w:rsidRDefault="00D70D28">
      <w:pPr>
        <w:pStyle w:val="ListParagraph"/>
        <w:numPr>
          <w:ilvl w:val="1"/>
          <w:numId w:val="5"/>
        </w:numPr>
        <w:tabs>
          <w:tab w:val="left" w:pos="766"/>
        </w:tabs>
        <w:spacing w:before="98" w:line="268" w:lineRule="auto"/>
        <w:ind w:right="1076"/>
        <w:rPr>
          <w:rFonts w:ascii="Arial" w:hAnsi="Arial"/>
          <w:sz w:val="19"/>
        </w:rPr>
      </w:pPr>
      <w:r>
        <w:rPr>
          <w:rFonts w:ascii="Arial" w:hAnsi="Arial"/>
          <w:w w:val="110"/>
          <w:sz w:val="19"/>
        </w:rPr>
        <w:t>Number</w:t>
      </w:r>
      <w:r>
        <w:rPr>
          <w:rFonts w:ascii="Arial" w:hAnsi="Arial"/>
          <w:spacing w:val="-39"/>
          <w:w w:val="110"/>
          <w:sz w:val="19"/>
        </w:rPr>
        <w:t xml:space="preserve"> </w:t>
      </w:r>
      <w:r>
        <w:rPr>
          <w:rFonts w:ascii="Arial" w:hAnsi="Arial"/>
          <w:w w:val="110"/>
          <w:sz w:val="19"/>
        </w:rPr>
        <w:t>of</w:t>
      </w:r>
      <w:r>
        <w:rPr>
          <w:rFonts w:ascii="Arial" w:hAnsi="Arial"/>
          <w:spacing w:val="-40"/>
          <w:w w:val="110"/>
          <w:sz w:val="19"/>
        </w:rPr>
        <w:t xml:space="preserve"> </w:t>
      </w:r>
      <w:r>
        <w:rPr>
          <w:rFonts w:ascii="Arial" w:hAnsi="Arial"/>
          <w:w w:val="110"/>
          <w:sz w:val="19"/>
        </w:rPr>
        <w:t>potential</w:t>
      </w:r>
      <w:r>
        <w:rPr>
          <w:rFonts w:ascii="Arial" w:hAnsi="Arial"/>
          <w:spacing w:val="-39"/>
          <w:w w:val="110"/>
          <w:sz w:val="19"/>
        </w:rPr>
        <w:t xml:space="preserve"> </w:t>
      </w:r>
      <w:r>
        <w:rPr>
          <w:rFonts w:ascii="Arial" w:hAnsi="Arial"/>
          <w:w w:val="110"/>
          <w:sz w:val="19"/>
        </w:rPr>
        <w:t>new</w:t>
      </w:r>
      <w:r>
        <w:rPr>
          <w:rFonts w:ascii="Arial" w:hAnsi="Arial"/>
          <w:spacing w:val="-39"/>
          <w:w w:val="110"/>
          <w:sz w:val="19"/>
        </w:rPr>
        <w:t xml:space="preserve"> </w:t>
      </w:r>
      <w:r>
        <w:rPr>
          <w:rFonts w:ascii="Arial" w:hAnsi="Arial"/>
          <w:w w:val="110"/>
          <w:sz w:val="19"/>
        </w:rPr>
        <w:t>sponsors</w:t>
      </w:r>
      <w:r>
        <w:rPr>
          <w:rFonts w:ascii="Arial" w:hAnsi="Arial"/>
          <w:spacing w:val="-38"/>
          <w:w w:val="110"/>
          <w:sz w:val="19"/>
        </w:rPr>
        <w:t xml:space="preserve"> </w:t>
      </w:r>
      <w:r>
        <w:rPr>
          <w:rFonts w:ascii="Arial" w:hAnsi="Arial"/>
          <w:w w:val="110"/>
          <w:sz w:val="19"/>
        </w:rPr>
        <w:t>who</w:t>
      </w:r>
      <w:r>
        <w:rPr>
          <w:rFonts w:ascii="Arial" w:hAnsi="Arial"/>
          <w:spacing w:val="-40"/>
          <w:w w:val="110"/>
          <w:sz w:val="19"/>
        </w:rPr>
        <w:t xml:space="preserve"> </w:t>
      </w:r>
      <w:r>
        <w:rPr>
          <w:rFonts w:ascii="Arial" w:hAnsi="Arial"/>
          <w:w w:val="110"/>
          <w:sz w:val="19"/>
        </w:rPr>
        <w:t>do</w:t>
      </w:r>
      <w:r>
        <w:rPr>
          <w:rFonts w:ascii="Arial" w:hAnsi="Arial"/>
          <w:spacing w:val="-39"/>
          <w:w w:val="110"/>
          <w:sz w:val="19"/>
        </w:rPr>
        <w:t xml:space="preserve"> </w:t>
      </w:r>
      <w:r>
        <w:rPr>
          <w:rFonts w:ascii="Arial" w:hAnsi="Arial"/>
          <w:w w:val="110"/>
          <w:sz w:val="19"/>
        </w:rPr>
        <w:t>not</w:t>
      </w:r>
      <w:r>
        <w:rPr>
          <w:rFonts w:ascii="Arial" w:hAnsi="Arial"/>
          <w:spacing w:val="-39"/>
          <w:w w:val="110"/>
          <w:sz w:val="19"/>
        </w:rPr>
        <w:t xml:space="preserve"> </w:t>
      </w:r>
      <w:r>
        <w:rPr>
          <w:rFonts w:ascii="Arial" w:hAnsi="Arial"/>
          <w:w w:val="110"/>
          <w:sz w:val="19"/>
        </w:rPr>
        <w:t>engage</w:t>
      </w:r>
      <w:r>
        <w:rPr>
          <w:rFonts w:ascii="Arial" w:hAnsi="Arial"/>
          <w:spacing w:val="-39"/>
          <w:w w:val="110"/>
          <w:sz w:val="19"/>
        </w:rPr>
        <w:t xml:space="preserve"> </w:t>
      </w:r>
      <w:r>
        <w:rPr>
          <w:rFonts w:ascii="Arial" w:hAnsi="Arial"/>
          <w:w w:val="110"/>
          <w:sz w:val="19"/>
        </w:rPr>
        <w:t>with</w:t>
      </w:r>
      <w:r>
        <w:rPr>
          <w:rFonts w:ascii="Arial" w:hAnsi="Arial"/>
          <w:spacing w:val="-39"/>
          <w:w w:val="110"/>
          <w:sz w:val="19"/>
        </w:rPr>
        <w:t xml:space="preserve"> </w:t>
      </w:r>
      <w:r>
        <w:rPr>
          <w:rFonts w:ascii="Arial" w:hAnsi="Arial"/>
          <w:w w:val="110"/>
          <w:sz w:val="19"/>
        </w:rPr>
        <w:t>a</w:t>
      </w:r>
      <w:r>
        <w:rPr>
          <w:rFonts w:ascii="Arial" w:hAnsi="Arial"/>
          <w:spacing w:val="-40"/>
          <w:w w:val="110"/>
          <w:sz w:val="19"/>
        </w:rPr>
        <w:t xml:space="preserve"> </w:t>
      </w:r>
      <w:r>
        <w:rPr>
          <w:rFonts w:ascii="Arial" w:hAnsi="Arial"/>
          <w:w w:val="110"/>
          <w:sz w:val="19"/>
        </w:rPr>
        <w:t>regulatory</w:t>
      </w:r>
      <w:r>
        <w:rPr>
          <w:rFonts w:ascii="Arial" w:hAnsi="Arial"/>
          <w:spacing w:val="-40"/>
          <w:w w:val="110"/>
          <w:sz w:val="19"/>
        </w:rPr>
        <w:t xml:space="preserve"> </w:t>
      </w:r>
      <w:r>
        <w:rPr>
          <w:rFonts w:ascii="Arial" w:hAnsi="Arial"/>
          <w:w w:val="110"/>
          <w:sz w:val="19"/>
        </w:rPr>
        <w:t>affairs</w:t>
      </w:r>
      <w:r>
        <w:rPr>
          <w:rFonts w:ascii="Arial" w:hAnsi="Arial"/>
          <w:spacing w:val="-39"/>
          <w:w w:val="110"/>
          <w:sz w:val="19"/>
        </w:rPr>
        <w:t xml:space="preserve"> </w:t>
      </w:r>
      <w:r>
        <w:rPr>
          <w:rFonts w:ascii="Arial" w:hAnsi="Arial"/>
          <w:w w:val="110"/>
          <w:sz w:val="19"/>
        </w:rPr>
        <w:t>consultant</w:t>
      </w:r>
      <w:r>
        <w:rPr>
          <w:rFonts w:ascii="Arial" w:hAnsi="Arial"/>
          <w:spacing w:val="-38"/>
          <w:w w:val="110"/>
          <w:sz w:val="19"/>
        </w:rPr>
        <w:t xml:space="preserve"> </w:t>
      </w:r>
      <w:r>
        <w:rPr>
          <w:rFonts w:ascii="Arial" w:hAnsi="Arial"/>
          <w:w w:val="110"/>
          <w:sz w:val="19"/>
        </w:rPr>
        <w:t xml:space="preserve">to </w:t>
      </w:r>
      <w:r>
        <w:rPr>
          <w:rFonts w:ascii="Arial" w:hAnsi="Arial"/>
          <w:w w:val="105"/>
          <w:sz w:val="19"/>
        </w:rPr>
        <w:t>understand</w:t>
      </w:r>
      <w:r>
        <w:rPr>
          <w:rFonts w:ascii="Arial" w:hAnsi="Arial"/>
          <w:spacing w:val="-20"/>
          <w:w w:val="105"/>
          <w:sz w:val="19"/>
        </w:rPr>
        <w:t xml:space="preserve"> </w:t>
      </w:r>
      <w:r>
        <w:rPr>
          <w:rFonts w:ascii="Arial" w:hAnsi="Arial"/>
          <w:w w:val="105"/>
          <w:sz w:val="19"/>
        </w:rPr>
        <w:t>the</w:t>
      </w:r>
      <w:r>
        <w:rPr>
          <w:rFonts w:ascii="Arial" w:hAnsi="Arial"/>
          <w:spacing w:val="-20"/>
          <w:w w:val="105"/>
          <w:sz w:val="19"/>
        </w:rPr>
        <w:t xml:space="preserve"> </w:t>
      </w:r>
      <w:r>
        <w:rPr>
          <w:rFonts w:ascii="Arial" w:hAnsi="Arial"/>
          <w:w w:val="105"/>
          <w:sz w:val="19"/>
        </w:rPr>
        <w:t>potential</w:t>
      </w:r>
      <w:r>
        <w:rPr>
          <w:rFonts w:ascii="Arial" w:hAnsi="Arial"/>
          <w:spacing w:val="-18"/>
          <w:w w:val="105"/>
          <w:sz w:val="19"/>
        </w:rPr>
        <w:t xml:space="preserve"> </w:t>
      </w:r>
      <w:r>
        <w:rPr>
          <w:rFonts w:ascii="Arial" w:hAnsi="Arial"/>
          <w:w w:val="105"/>
          <w:sz w:val="19"/>
        </w:rPr>
        <w:t>impact</w:t>
      </w:r>
      <w:r>
        <w:rPr>
          <w:rFonts w:ascii="Arial" w:hAnsi="Arial"/>
          <w:spacing w:val="-18"/>
          <w:w w:val="105"/>
          <w:sz w:val="19"/>
        </w:rPr>
        <w:t xml:space="preserve"> </w:t>
      </w:r>
      <w:r>
        <w:rPr>
          <w:rFonts w:ascii="Arial" w:hAnsi="Arial"/>
          <w:w w:val="105"/>
          <w:sz w:val="19"/>
        </w:rPr>
        <w:t>on</w:t>
      </w:r>
      <w:r>
        <w:rPr>
          <w:rFonts w:ascii="Arial" w:hAnsi="Arial"/>
          <w:spacing w:val="-20"/>
          <w:w w:val="105"/>
          <w:sz w:val="19"/>
        </w:rPr>
        <w:t xml:space="preserve"> </w:t>
      </w:r>
      <w:r>
        <w:rPr>
          <w:rFonts w:ascii="Arial" w:hAnsi="Arial"/>
          <w:w w:val="105"/>
          <w:sz w:val="19"/>
        </w:rPr>
        <w:t>their</w:t>
      </w:r>
      <w:r>
        <w:rPr>
          <w:rFonts w:ascii="Arial" w:hAnsi="Arial"/>
          <w:spacing w:val="-18"/>
          <w:w w:val="105"/>
          <w:sz w:val="19"/>
        </w:rPr>
        <w:t xml:space="preserve"> </w:t>
      </w:r>
      <w:r>
        <w:rPr>
          <w:rFonts w:ascii="Arial" w:hAnsi="Arial"/>
          <w:w w:val="105"/>
          <w:sz w:val="19"/>
        </w:rPr>
        <w:t>business</w:t>
      </w:r>
      <w:r>
        <w:rPr>
          <w:rFonts w:ascii="Arial" w:hAnsi="Arial"/>
          <w:spacing w:val="-19"/>
          <w:w w:val="105"/>
          <w:sz w:val="19"/>
        </w:rPr>
        <w:t xml:space="preserve"> </w:t>
      </w:r>
      <w:r>
        <w:rPr>
          <w:rFonts w:ascii="Arial" w:hAnsi="Arial"/>
          <w:w w:val="105"/>
          <w:sz w:val="19"/>
        </w:rPr>
        <w:t>of</w:t>
      </w:r>
      <w:r>
        <w:rPr>
          <w:rFonts w:ascii="Arial" w:hAnsi="Arial"/>
          <w:spacing w:val="-19"/>
          <w:w w:val="105"/>
          <w:sz w:val="19"/>
        </w:rPr>
        <w:t xml:space="preserve"> </w:t>
      </w:r>
      <w:r>
        <w:rPr>
          <w:rFonts w:ascii="Arial" w:hAnsi="Arial"/>
          <w:w w:val="105"/>
          <w:sz w:val="19"/>
        </w:rPr>
        <w:t>the</w:t>
      </w:r>
      <w:r>
        <w:rPr>
          <w:rFonts w:ascii="Arial" w:hAnsi="Arial"/>
          <w:spacing w:val="-20"/>
          <w:w w:val="105"/>
          <w:sz w:val="19"/>
        </w:rPr>
        <w:t xml:space="preserve"> </w:t>
      </w:r>
      <w:r>
        <w:rPr>
          <w:rFonts w:ascii="Arial" w:hAnsi="Arial"/>
          <w:w w:val="105"/>
          <w:sz w:val="19"/>
        </w:rPr>
        <w:t>proposed</w:t>
      </w:r>
      <w:r>
        <w:rPr>
          <w:rFonts w:ascii="Arial" w:hAnsi="Arial"/>
          <w:spacing w:val="-20"/>
          <w:w w:val="105"/>
          <w:sz w:val="19"/>
        </w:rPr>
        <w:t xml:space="preserve"> </w:t>
      </w:r>
      <w:r>
        <w:rPr>
          <w:rFonts w:ascii="Arial" w:hAnsi="Arial"/>
          <w:w w:val="105"/>
          <w:sz w:val="19"/>
        </w:rPr>
        <w:t>regulatory</w:t>
      </w:r>
      <w:r>
        <w:rPr>
          <w:rFonts w:ascii="Arial" w:hAnsi="Arial"/>
          <w:spacing w:val="-19"/>
          <w:w w:val="105"/>
          <w:sz w:val="19"/>
        </w:rPr>
        <w:t xml:space="preserve"> </w:t>
      </w:r>
      <w:r>
        <w:rPr>
          <w:rFonts w:ascii="Arial" w:hAnsi="Arial"/>
          <w:w w:val="105"/>
          <w:sz w:val="19"/>
        </w:rPr>
        <w:t>clarification</w:t>
      </w:r>
      <w:r>
        <w:rPr>
          <w:rFonts w:ascii="Arial" w:hAnsi="Arial"/>
          <w:spacing w:val="-18"/>
          <w:w w:val="105"/>
          <w:sz w:val="19"/>
        </w:rPr>
        <w:t xml:space="preserve"> </w:t>
      </w:r>
      <w:r>
        <w:rPr>
          <w:rFonts w:ascii="Arial" w:hAnsi="Arial"/>
          <w:w w:val="105"/>
          <w:sz w:val="19"/>
        </w:rPr>
        <w:t>=</w:t>
      </w:r>
      <w:r>
        <w:rPr>
          <w:rFonts w:ascii="Arial" w:hAnsi="Arial"/>
          <w:spacing w:val="-12"/>
          <w:w w:val="105"/>
          <w:sz w:val="19"/>
        </w:rPr>
        <w:t xml:space="preserve"> </w:t>
      </w:r>
      <w:r>
        <w:rPr>
          <w:rFonts w:ascii="Arial" w:hAnsi="Arial"/>
          <w:w w:val="105"/>
          <w:sz w:val="19"/>
        </w:rPr>
        <w:t>70</w:t>
      </w:r>
    </w:p>
    <w:p w:rsidR="007D76BB" w:rsidRDefault="00D70D28">
      <w:pPr>
        <w:pStyle w:val="ListParagraph"/>
        <w:numPr>
          <w:ilvl w:val="1"/>
          <w:numId w:val="5"/>
        </w:numPr>
        <w:tabs>
          <w:tab w:val="left" w:pos="766"/>
        </w:tabs>
        <w:spacing w:before="72" w:line="266" w:lineRule="auto"/>
        <w:ind w:right="1066"/>
        <w:rPr>
          <w:rFonts w:ascii="Arial" w:hAnsi="Arial"/>
          <w:sz w:val="19"/>
        </w:rPr>
      </w:pPr>
      <w:r>
        <w:rPr>
          <w:rFonts w:ascii="Arial" w:hAnsi="Arial"/>
          <w:w w:val="110"/>
          <w:sz w:val="19"/>
        </w:rPr>
        <w:t>Number</w:t>
      </w:r>
      <w:r>
        <w:rPr>
          <w:rFonts w:ascii="Arial" w:hAnsi="Arial"/>
          <w:spacing w:val="-33"/>
          <w:w w:val="110"/>
          <w:sz w:val="19"/>
        </w:rPr>
        <w:t xml:space="preserve"> </w:t>
      </w:r>
      <w:r>
        <w:rPr>
          <w:rFonts w:ascii="Arial" w:hAnsi="Arial"/>
          <w:w w:val="110"/>
          <w:sz w:val="19"/>
        </w:rPr>
        <w:t>of</w:t>
      </w:r>
      <w:r>
        <w:rPr>
          <w:rFonts w:ascii="Arial" w:hAnsi="Arial"/>
          <w:spacing w:val="-32"/>
          <w:w w:val="110"/>
          <w:sz w:val="19"/>
        </w:rPr>
        <w:t xml:space="preserve"> </w:t>
      </w:r>
      <w:r>
        <w:rPr>
          <w:rFonts w:ascii="Arial" w:hAnsi="Arial"/>
          <w:w w:val="110"/>
          <w:sz w:val="19"/>
        </w:rPr>
        <w:t>potential</w:t>
      </w:r>
      <w:r>
        <w:rPr>
          <w:rFonts w:ascii="Arial" w:hAnsi="Arial"/>
          <w:spacing w:val="-33"/>
          <w:w w:val="110"/>
          <w:sz w:val="19"/>
        </w:rPr>
        <w:t xml:space="preserve"> </w:t>
      </w:r>
      <w:r>
        <w:rPr>
          <w:rFonts w:ascii="Arial" w:hAnsi="Arial"/>
          <w:w w:val="110"/>
          <w:sz w:val="19"/>
        </w:rPr>
        <w:t>new</w:t>
      </w:r>
      <w:r>
        <w:rPr>
          <w:rFonts w:ascii="Arial" w:hAnsi="Arial"/>
          <w:spacing w:val="-32"/>
          <w:w w:val="110"/>
          <w:sz w:val="19"/>
        </w:rPr>
        <w:t xml:space="preserve"> </w:t>
      </w:r>
      <w:r>
        <w:rPr>
          <w:rFonts w:ascii="Arial" w:hAnsi="Arial"/>
          <w:w w:val="110"/>
          <w:sz w:val="19"/>
        </w:rPr>
        <w:t>sponsors</w:t>
      </w:r>
      <w:r>
        <w:rPr>
          <w:rFonts w:ascii="Arial" w:hAnsi="Arial"/>
          <w:spacing w:val="-33"/>
          <w:w w:val="110"/>
          <w:sz w:val="19"/>
        </w:rPr>
        <w:t xml:space="preserve"> </w:t>
      </w:r>
      <w:r>
        <w:rPr>
          <w:rFonts w:ascii="Arial" w:hAnsi="Arial"/>
          <w:w w:val="110"/>
          <w:sz w:val="19"/>
        </w:rPr>
        <w:t>who</w:t>
      </w:r>
      <w:r>
        <w:rPr>
          <w:rFonts w:ascii="Arial" w:hAnsi="Arial"/>
          <w:spacing w:val="-33"/>
          <w:w w:val="110"/>
          <w:sz w:val="19"/>
        </w:rPr>
        <w:t xml:space="preserve"> </w:t>
      </w:r>
      <w:r>
        <w:rPr>
          <w:rFonts w:ascii="Arial" w:hAnsi="Arial"/>
          <w:w w:val="110"/>
          <w:sz w:val="19"/>
        </w:rPr>
        <w:t>do</w:t>
      </w:r>
      <w:r>
        <w:rPr>
          <w:rFonts w:ascii="Arial" w:hAnsi="Arial"/>
          <w:spacing w:val="-32"/>
          <w:w w:val="110"/>
          <w:sz w:val="19"/>
        </w:rPr>
        <w:t xml:space="preserve"> </w:t>
      </w:r>
      <w:r>
        <w:rPr>
          <w:rFonts w:ascii="Arial" w:hAnsi="Arial"/>
          <w:w w:val="110"/>
          <w:sz w:val="19"/>
        </w:rPr>
        <w:t>engage</w:t>
      </w:r>
      <w:r>
        <w:rPr>
          <w:rFonts w:ascii="Arial" w:hAnsi="Arial"/>
          <w:spacing w:val="-32"/>
          <w:w w:val="110"/>
          <w:sz w:val="19"/>
        </w:rPr>
        <w:t xml:space="preserve"> </w:t>
      </w:r>
      <w:r>
        <w:rPr>
          <w:rFonts w:ascii="Arial" w:hAnsi="Arial"/>
          <w:w w:val="110"/>
          <w:sz w:val="19"/>
        </w:rPr>
        <w:t>with</w:t>
      </w:r>
      <w:r>
        <w:rPr>
          <w:rFonts w:ascii="Arial" w:hAnsi="Arial"/>
          <w:spacing w:val="-33"/>
          <w:w w:val="110"/>
          <w:sz w:val="19"/>
        </w:rPr>
        <w:t xml:space="preserve"> </w:t>
      </w:r>
      <w:r>
        <w:rPr>
          <w:rFonts w:ascii="Arial" w:hAnsi="Arial"/>
          <w:w w:val="110"/>
          <w:sz w:val="19"/>
        </w:rPr>
        <w:t>a</w:t>
      </w:r>
      <w:r>
        <w:rPr>
          <w:rFonts w:ascii="Arial" w:hAnsi="Arial"/>
          <w:spacing w:val="-34"/>
          <w:w w:val="110"/>
          <w:sz w:val="19"/>
        </w:rPr>
        <w:t xml:space="preserve"> </w:t>
      </w:r>
      <w:r>
        <w:rPr>
          <w:rFonts w:ascii="Arial" w:hAnsi="Arial"/>
          <w:w w:val="110"/>
          <w:sz w:val="19"/>
        </w:rPr>
        <w:t>regulatory</w:t>
      </w:r>
      <w:r>
        <w:rPr>
          <w:rFonts w:ascii="Arial" w:hAnsi="Arial"/>
          <w:spacing w:val="-30"/>
          <w:w w:val="110"/>
          <w:sz w:val="19"/>
        </w:rPr>
        <w:t xml:space="preserve"> </w:t>
      </w:r>
      <w:r>
        <w:rPr>
          <w:rFonts w:ascii="Arial" w:hAnsi="Arial"/>
          <w:w w:val="110"/>
          <w:sz w:val="19"/>
        </w:rPr>
        <w:t>affairs</w:t>
      </w:r>
      <w:r>
        <w:rPr>
          <w:rFonts w:ascii="Arial" w:hAnsi="Arial"/>
          <w:spacing w:val="-34"/>
          <w:w w:val="110"/>
          <w:sz w:val="19"/>
        </w:rPr>
        <w:t xml:space="preserve"> </w:t>
      </w:r>
      <w:r>
        <w:rPr>
          <w:rFonts w:ascii="Arial" w:hAnsi="Arial"/>
          <w:w w:val="110"/>
          <w:sz w:val="19"/>
        </w:rPr>
        <w:t>consultant</w:t>
      </w:r>
      <w:r>
        <w:rPr>
          <w:rFonts w:ascii="Arial" w:hAnsi="Arial"/>
          <w:spacing w:val="-33"/>
          <w:w w:val="110"/>
          <w:sz w:val="19"/>
        </w:rPr>
        <w:t xml:space="preserve"> </w:t>
      </w:r>
      <w:r>
        <w:rPr>
          <w:rFonts w:ascii="Arial" w:hAnsi="Arial"/>
          <w:w w:val="110"/>
          <w:sz w:val="19"/>
        </w:rPr>
        <w:t xml:space="preserve">to </w:t>
      </w:r>
      <w:r>
        <w:rPr>
          <w:rFonts w:ascii="Arial" w:hAnsi="Arial"/>
          <w:w w:val="105"/>
          <w:sz w:val="19"/>
        </w:rPr>
        <w:t>understand</w:t>
      </w:r>
      <w:r>
        <w:rPr>
          <w:rFonts w:ascii="Arial" w:hAnsi="Arial"/>
          <w:spacing w:val="-19"/>
          <w:w w:val="105"/>
          <w:sz w:val="19"/>
        </w:rPr>
        <w:t xml:space="preserve"> </w:t>
      </w:r>
      <w:r>
        <w:rPr>
          <w:rFonts w:ascii="Arial" w:hAnsi="Arial"/>
          <w:w w:val="105"/>
          <w:sz w:val="19"/>
        </w:rPr>
        <w:t>the</w:t>
      </w:r>
      <w:r>
        <w:rPr>
          <w:rFonts w:ascii="Arial" w:hAnsi="Arial"/>
          <w:spacing w:val="-19"/>
          <w:w w:val="105"/>
          <w:sz w:val="19"/>
        </w:rPr>
        <w:t xml:space="preserve"> </w:t>
      </w:r>
      <w:r>
        <w:rPr>
          <w:rFonts w:ascii="Arial" w:hAnsi="Arial"/>
          <w:w w:val="105"/>
          <w:sz w:val="19"/>
        </w:rPr>
        <w:t>potential</w:t>
      </w:r>
      <w:r>
        <w:rPr>
          <w:rFonts w:ascii="Arial" w:hAnsi="Arial"/>
          <w:spacing w:val="-17"/>
          <w:w w:val="105"/>
          <w:sz w:val="19"/>
        </w:rPr>
        <w:t xml:space="preserve"> </w:t>
      </w:r>
      <w:r>
        <w:rPr>
          <w:rFonts w:ascii="Arial" w:hAnsi="Arial"/>
          <w:w w:val="105"/>
          <w:sz w:val="19"/>
        </w:rPr>
        <w:t>impact</w:t>
      </w:r>
      <w:r>
        <w:rPr>
          <w:rFonts w:ascii="Arial" w:hAnsi="Arial"/>
          <w:spacing w:val="-17"/>
          <w:w w:val="105"/>
          <w:sz w:val="19"/>
        </w:rPr>
        <w:t xml:space="preserve"> </w:t>
      </w:r>
      <w:r>
        <w:rPr>
          <w:rFonts w:ascii="Arial" w:hAnsi="Arial"/>
          <w:w w:val="105"/>
          <w:sz w:val="19"/>
        </w:rPr>
        <w:t>on</w:t>
      </w:r>
      <w:r>
        <w:rPr>
          <w:rFonts w:ascii="Arial" w:hAnsi="Arial"/>
          <w:spacing w:val="-18"/>
          <w:w w:val="105"/>
          <w:sz w:val="19"/>
        </w:rPr>
        <w:t xml:space="preserve"> </w:t>
      </w:r>
      <w:r>
        <w:rPr>
          <w:rFonts w:ascii="Arial" w:hAnsi="Arial"/>
          <w:w w:val="105"/>
          <w:sz w:val="19"/>
        </w:rPr>
        <w:t>their</w:t>
      </w:r>
      <w:r>
        <w:rPr>
          <w:rFonts w:ascii="Arial" w:hAnsi="Arial"/>
          <w:spacing w:val="-17"/>
          <w:w w:val="105"/>
          <w:sz w:val="19"/>
        </w:rPr>
        <w:t xml:space="preserve"> </w:t>
      </w:r>
      <w:r>
        <w:rPr>
          <w:rFonts w:ascii="Arial" w:hAnsi="Arial"/>
          <w:w w:val="105"/>
          <w:sz w:val="19"/>
        </w:rPr>
        <w:t>business</w:t>
      </w:r>
      <w:r>
        <w:rPr>
          <w:rFonts w:ascii="Arial" w:hAnsi="Arial"/>
          <w:spacing w:val="-18"/>
          <w:w w:val="105"/>
          <w:sz w:val="19"/>
        </w:rPr>
        <w:t xml:space="preserve"> </w:t>
      </w:r>
      <w:r>
        <w:rPr>
          <w:rFonts w:ascii="Arial" w:hAnsi="Arial"/>
          <w:w w:val="105"/>
          <w:sz w:val="19"/>
        </w:rPr>
        <w:t>of</w:t>
      </w:r>
      <w:r>
        <w:rPr>
          <w:rFonts w:ascii="Arial" w:hAnsi="Arial"/>
          <w:spacing w:val="-19"/>
          <w:w w:val="105"/>
          <w:sz w:val="19"/>
        </w:rPr>
        <w:t xml:space="preserve"> </w:t>
      </w:r>
      <w:r>
        <w:rPr>
          <w:rFonts w:ascii="Arial" w:hAnsi="Arial"/>
          <w:w w:val="105"/>
          <w:sz w:val="19"/>
        </w:rPr>
        <w:t>the</w:t>
      </w:r>
      <w:r>
        <w:rPr>
          <w:rFonts w:ascii="Arial" w:hAnsi="Arial"/>
          <w:spacing w:val="-18"/>
          <w:w w:val="105"/>
          <w:sz w:val="19"/>
        </w:rPr>
        <w:t xml:space="preserve"> </w:t>
      </w:r>
      <w:r>
        <w:rPr>
          <w:rFonts w:ascii="Arial" w:hAnsi="Arial"/>
          <w:w w:val="105"/>
          <w:sz w:val="19"/>
        </w:rPr>
        <w:t>proposed</w:t>
      </w:r>
      <w:r>
        <w:rPr>
          <w:rFonts w:ascii="Arial" w:hAnsi="Arial"/>
          <w:spacing w:val="-19"/>
          <w:w w:val="105"/>
          <w:sz w:val="19"/>
        </w:rPr>
        <w:t xml:space="preserve"> </w:t>
      </w:r>
      <w:r>
        <w:rPr>
          <w:rFonts w:ascii="Arial" w:hAnsi="Arial"/>
          <w:w w:val="105"/>
          <w:sz w:val="19"/>
        </w:rPr>
        <w:t>regulatory</w:t>
      </w:r>
      <w:r>
        <w:rPr>
          <w:rFonts w:ascii="Arial" w:hAnsi="Arial"/>
          <w:spacing w:val="-19"/>
          <w:w w:val="105"/>
          <w:sz w:val="19"/>
        </w:rPr>
        <w:t xml:space="preserve"> </w:t>
      </w:r>
      <w:r>
        <w:rPr>
          <w:rFonts w:ascii="Arial" w:hAnsi="Arial"/>
          <w:w w:val="105"/>
          <w:sz w:val="19"/>
        </w:rPr>
        <w:t>clarification</w:t>
      </w:r>
      <w:r>
        <w:rPr>
          <w:rFonts w:ascii="Arial" w:hAnsi="Arial"/>
          <w:spacing w:val="-17"/>
          <w:w w:val="105"/>
          <w:sz w:val="19"/>
        </w:rPr>
        <w:t xml:space="preserve"> </w:t>
      </w:r>
      <w:r>
        <w:rPr>
          <w:rFonts w:ascii="Arial" w:hAnsi="Arial"/>
          <w:w w:val="105"/>
          <w:sz w:val="19"/>
        </w:rPr>
        <w:t>=</w:t>
      </w:r>
      <w:r>
        <w:rPr>
          <w:rFonts w:ascii="Arial" w:hAnsi="Arial"/>
          <w:spacing w:val="-16"/>
          <w:w w:val="105"/>
          <w:sz w:val="19"/>
        </w:rPr>
        <w:t xml:space="preserve"> </w:t>
      </w:r>
      <w:r>
        <w:rPr>
          <w:rFonts w:ascii="Arial" w:hAnsi="Arial"/>
          <w:w w:val="105"/>
          <w:sz w:val="19"/>
        </w:rPr>
        <w:t>23</w:t>
      </w:r>
    </w:p>
    <w:p w:rsidR="007D76BB" w:rsidRDefault="00D70D28">
      <w:pPr>
        <w:pStyle w:val="ListParagraph"/>
        <w:numPr>
          <w:ilvl w:val="1"/>
          <w:numId w:val="5"/>
        </w:numPr>
        <w:tabs>
          <w:tab w:val="left" w:pos="766"/>
        </w:tabs>
        <w:spacing w:before="79"/>
        <w:rPr>
          <w:rFonts w:ascii="Arial" w:hAnsi="Arial"/>
          <w:sz w:val="19"/>
        </w:rPr>
      </w:pPr>
      <w:r>
        <w:rPr>
          <w:rFonts w:ascii="Arial" w:hAnsi="Arial"/>
          <w:w w:val="105"/>
          <w:sz w:val="19"/>
        </w:rPr>
        <w:t>Number</w:t>
      </w:r>
      <w:r>
        <w:rPr>
          <w:rFonts w:ascii="Arial" w:hAnsi="Arial"/>
          <w:spacing w:val="-12"/>
          <w:w w:val="105"/>
          <w:sz w:val="19"/>
        </w:rPr>
        <w:t xml:space="preserve"> </w:t>
      </w:r>
      <w:r>
        <w:rPr>
          <w:rFonts w:ascii="Arial" w:hAnsi="Arial"/>
          <w:w w:val="105"/>
          <w:sz w:val="19"/>
        </w:rPr>
        <w:t>of</w:t>
      </w:r>
      <w:r>
        <w:rPr>
          <w:rFonts w:ascii="Arial" w:hAnsi="Arial"/>
          <w:spacing w:val="-13"/>
          <w:w w:val="105"/>
          <w:sz w:val="19"/>
        </w:rPr>
        <w:t xml:space="preserve"> </w:t>
      </w:r>
      <w:r>
        <w:rPr>
          <w:rFonts w:ascii="Arial" w:hAnsi="Arial"/>
          <w:w w:val="105"/>
          <w:sz w:val="19"/>
        </w:rPr>
        <w:t>potential</w:t>
      </w:r>
      <w:r>
        <w:rPr>
          <w:rFonts w:ascii="Arial" w:hAnsi="Arial"/>
          <w:spacing w:val="-14"/>
          <w:w w:val="105"/>
          <w:sz w:val="19"/>
        </w:rPr>
        <w:t xml:space="preserve"> </w:t>
      </w:r>
      <w:r>
        <w:rPr>
          <w:rFonts w:ascii="Arial" w:hAnsi="Arial"/>
          <w:w w:val="105"/>
          <w:sz w:val="19"/>
        </w:rPr>
        <w:t>new</w:t>
      </w:r>
      <w:r>
        <w:rPr>
          <w:rFonts w:ascii="Arial" w:hAnsi="Arial"/>
          <w:spacing w:val="-12"/>
          <w:w w:val="105"/>
          <w:sz w:val="19"/>
        </w:rPr>
        <w:t xml:space="preserve"> </w:t>
      </w:r>
      <w:r>
        <w:rPr>
          <w:rFonts w:ascii="Arial" w:hAnsi="Arial"/>
          <w:w w:val="105"/>
          <w:sz w:val="19"/>
        </w:rPr>
        <w:t>sponsors</w:t>
      </w:r>
      <w:r>
        <w:rPr>
          <w:rFonts w:ascii="Arial" w:hAnsi="Arial"/>
          <w:spacing w:val="-13"/>
          <w:w w:val="105"/>
          <w:sz w:val="19"/>
        </w:rPr>
        <w:t xml:space="preserve"> </w:t>
      </w:r>
      <w:r>
        <w:rPr>
          <w:rFonts w:ascii="Arial" w:hAnsi="Arial"/>
          <w:w w:val="105"/>
          <w:sz w:val="19"/>
        </w:rPr>
        <w:t>proceeding</w:t>
      </w:r>
      <w:r>
        <w:rPr>
          <w:rFonts w:ascii="Arial" w:hAnsi="Arial"/>
          <w:spacing w:val="-13"/>
          <w:w w:val="105"/>
          <w:sz w:val="19"/>
        </w:rPr>
        <w:t xml:space="preserve"> </w:t>
      </w:r>
      <w:r>
        <w:rPr>
          <w:rFonts w:ascii="Arial" w:hAnsi="Arial"/>
          <w:w w:val="105"/>
          <w:sz w:val="19"/>
        </w:rPr>
        <w:t>to</w:t>
      </w:r>
      <w:r>
        <w:rPr>
          <w:rFonts w:ascii="Arial" w:hAnsi="Arial"/>
          <w:spacing w:val="-13"/>
          <w:w w:val="105"/>
          <w:sz w:val="19"/>
        </w:rPr>
        <w:t xml:space="preserve"> </w:t>
      </w:r>
      <w:r>
        <w:rPr>
          <w:rFonts w:ascii="Arial" w:hAnsi="Arial"/>
          <w:w w:val="105"/>
          <w:sz w:val="19"/>
        </w:rPr>
        <w:t>sponsor</w:t>
      </w:r>
      <w:r>
        <w:rPr>
          <w:rFonts w:ascii="Arial" w:hAnsi="Arial"/>
          <w:spacing w:val="-15"/>
          <w:w w:val="105"/>
          <w:sz w:val="19"/>
        </w:rPr>
        <w:t xml:space="preserve"> </w:t>
      </w:r>
      <w:r>
        <w:rPr>
          <w:rFonts w:ascii="Arial" w:hAnsi="Arial"/>
          <w:w w:val="105"/>
          <w:sz w:val="19"/>
        </w:rPr>
        <w:t>application</w:t>
      </w:r>
      <w:r>
        <w:rPr>
          <w:rFonts w:ascii="Arial" w:hAnsi="Arial"/>
          <w:spacing w:val="-12"/>
          <w:w w:val="105"/>
          <w:sz w:val="19"/>
        </w:rPr>
        <w:t xml:space="preserve"> </w:t>
      </w:r>
      <w:r>
        <w:rPr>
          <w:rFonts w:ascii="Arial" w:hAnsi="Arial"/>
          <w:w w:val="105"/>
          <w:sz w:val="19"/>
        </w:rPr>
        <w:t>=</w:t>
      </w:r>
      <w:r>
        <w:rPr>
          <w:rFonts w:ascii="Arial" w:hAnsi="Arial"/>
          <w:spacing w:val="-7"/>
          <w:w w:val="105"/>
          <w:sz w:val="19"/>
        </w:rPr>
        <w:t xml:space="preserve"> </w:t>
      </w:r>
      <w:r>
        <w:rPr>
          <w:rFonts w:ascii="Arial" w:hAnsi="Arial"/>
          <w:w w:val="105"/>
          <w:sz w:val="19"/>
        </w:rPr>
        <w:t>9</w:t>
      </w:r>
    </w:p>
    <w:p w:rsidR="007D76BB" w:rsidRDefault="00D70D28">
      <w:pPr>
        <w:pStyle w:val="ListParagraph"/>
        <w:numPr>
          <w:ilvl w:val="1"/>
          <w:numId w:val="5"/>
        </w:numPr>
        <w:tabs>
          <w:tab w:val="left" w:pos="766"/>
        </w:tabs>
        <w:spacing w:before="101" w:line="264" w:lineRule="auto"/>
        <w:ind w:right="1208"/>
        <w:rPr>
          <w:rFonts w:ascii="Arial" w:hAnsi="Arial"/>
          <w:sz w:val="19"/>
        </w:rPr>
      </w:pPr>
      <w:r>
        <w:rPr>
          <w:rFonts w:ascii="Arial" w:hAnsi="Arial"/>
          <w:w w:val="105"/>
          <w:sz w:val="19"/>
        </w:rPr>
        <w:t>Time</w:t>
      </w:r>
      <w:r>
        <w:rPr>
          <w:rFonts w:ascii="Arial" w:hAnsi="Arial"/>
          <w:spacing w:val="-23"/>
          <w:w w:val="105"/>
          <w:sz w:val="19"/>
        </w:rPr>
        <w:t xml:space="preserve"> </w:t>
      </w:r>
      <w:r>
        <w:rPr>
          <w:rFonts w:ascii="Arial" w:hAnsi="Arial"/>
          <w:w w:val="105"/>
          <w:sz w:val="19"/>
        </w:rPr>
        <w:t>required</w:t>
      </w:r>
      <w:r>
        <w:rPr>
          <w:rFonts w:ascii="Arial" w:hAnsi="Arial"/>
          <w:spacing w:val="-25"/>
          <w:w w:val="105"/>
          <w:sz w:val="19"/>
        </w:rPr>
        <w:t xml:space="preserve"> </w:t>
      </w:r>
      <w:r>
        <w:rPr>
          <w:rFonts w:ascii="Arial" w:hAnsi="Arial"/>
          <w:w w:val="105"/>
          <w:sz w:val="19"/>
        </w:rPr>
        <w:t>to</w:t>
      </w:r>
      <w:r>
        <w:rPr>
          <w:rFonts w:ascii="Arial" w:hAnsi="Arial"/>
          <w:spacing w:val="-23"/>
          <w:w w:val="105"/>
          <w:sz w:val="19"/>
        </w:rPr>
        <w:t xml:space="preserve"> </w:t>
      </w:r>
      <w:r>
        <w:rPr>
          <w:rFonts w:ascii="Arial" w:hAnsi="Arial"/>
          <w:w w:val="105"/>
          <w:sz w:val="19"/>
        </w:rPr>
        <w:t>read</w:t>
      </w:r>
      <w:r>
        <w:rPr>
          <w:rFonts w:ascii="Arial" w:hAnsi="Arial"/>
          <w:spacing w:val="-24"/>
          <w:w w:val="105"/>
          <w:sz w:val="19"/>
        </w:rPr>
        <w:t xml:space="preserve"> </w:t>
      </w:r>
      <w:r>
        <w:rPr>
          <w:rFonts w:ascii="Arial" w:hAnsi="Arial"/>
          <w:w w:val="105"/>
          <w:sz w:val="19"/>
        </w:rPr>
        <w:t>s.7</w:t>
      </w:r>
      <w:r>
        <w:rPr>
          <w:rFonts w:ascii="Arial" w:hAnsi="Arial"/>
          <w:spacing w:val="-24"/>
          <w:w w:val="105"/>
          <w:sz w:val="19"/>
        </w:rPr>
        <w:t xml:space="preserve"> </w:t>
      </w:r>
      <w:r>
        <w:rPr>
          <w:rFonts w:ascii="Arial" w:hAnsi="Arial"/>
          <w:w w:val="105"/>
          <w:sz w:val="19"/>
        </w:rPr>
        <w:t>declaration</w:t>
      </w:r>
      <w:r>
        <w:rPr>
          <w:rFonts w:ascii="Arial" w:hAnsi="Arial"/>
          <w:spacing w:val="-24"/>
          <w:w w:val="105"/>
          <w:sz w:val="19"/>
        </w:rPr>
        <w:t xml:space="preserve"> </w:t>
      </w:r>
      <w:r>
        <w:rPr>
          <w:rFonts w:ascii="Arial" w:hAnsi="Arial"/>
          <w:w w:val="105"/>
          <w:sz w:val="19"/>
        </w:rPr>
        <w:t>and</w:t>
      </w:r>
      <w:r>
        <w:rPr>
          <w:rFonts w:ascii="Arial" w:hAnsi="Arial"/>
          <w:spacing w:val="-26"/>
          <w:w w:val="105"/>
          <w:sz w:val="19"/>
        </w:rPr>
        <w:t xml:space="preserve"> </w:t>
      </w:r>
      <w:r>
        <w:rPr>
          <w:rFonts w:ascii="Arial" w:hAnsi="Arial"/>
          <w:w w:val="105"/>
          <w:sz w:val="19"/>
        </w:rPr>
        <w:t>explanatory</w:t>
      </w:r>
      <w:r>
        <w:rPr>
          <w:rFonts w:ascii="Arial" w:hAnsi="Arial"/>
          <w:spacing w:val="-23"/>
          <w:w w:val="105"/>
          <w:sz w:val="19"/>
        </w:rPr>
        <w:t xml:space="preserve"> </w:t>
      </w:r>
      <w:r>
        <w:rPr>
          <w:rFonts w:ascii="Arial" w:hAnsi="Arial"/>
          <w:w w:val="105"/>
          <w:sz w:val="19"/>
        </w:rPr>
        <w:t>material</w:t>
      </w:r>
      <w:r>
        <w:rPr>
          <w:rFonts w:ascii="Arial" w:hAnsi="Arial"/>
          <w:spacing w:val="-19"/>
          <w:w w:val="105"/>
          <w:sz w:val="19"/>
        </w:rPr>
        <w:t xml:space="preserve"> </w:t>
      </w:r>
      <w:r>
        <w:rPr>
          <w:rFonts w:ascii="Arial" w:hAnsi="Arial"/>
          <w:w w:val="105"/>
          <w:sz w:val="19"/>
        </w:rPr>
        <w:t>(approximately</w:t>
      </w:r>
      <w:r>
        <w:rPr>
          <w:rFonts w:ascii="Arial" w:hAnsi="Arial"/>
          <w:spacing w:val="-25"/>
          <w:w w:val="105"/>
          <w:sz w:val="19"/>
        </w:rPr>
        <w:t xml:space="preserve"> </w:t>
      </w:r>
      <w:r>
        <w:rPr>
          <w:rFonts w:ascii="Arial" w:hAnsi="Arial"/>
          <w:w w:val="105"/>
          <w:sz w:val="19"/>
        </w:rPr>
        <w:t>10</w:t>
      </w:r>
      <w:r>
        <w:rPr>
          <w:rFonts w:ascii="Arial" w:hAnsi="Arial"/>
          <w:spacing w:val="-24"/>
          <w:w w:val="105"/>
          <w:sz w:val="19"/>
        </w:rPr>
        <w:t xml:space="preserve"> </w:t>
      </w:r>
      <w:r>
        <w:rPr>
          <w:rFonts w:ascii="Arial" w:hAnsi="Arial"/>
          <w:w w:val="105"/>
          <w:sz w:val="19"/>
        </w:rPr>
        <w:t>pages</w:t>
      </w:r>
      <w:r>
        <w:rPr>
          <w:rFonts w:ascii="Arial" w:hAnsi="Arial"/>
          <w:spacing w:val="-24"/>
          <w:w w:val="105"/>
          <w:sz w:val="19"/>
        </w:rPr>
        <w:t xml:space="preserve"> </w:t>
      </w:r>
      <w:r>
        <w:rPr>
          <w:rFonts w:ascii="Arial" w:hAnsi="Arial"/>
          <w:w w:val="105"/>
          <w:sz w:val="19"/>
        </w:rPr>
        <w:t>in total</w:t>
      </w:r>
      <w:proofErr w:type="gramStart"/>
      <w:r>
        <w:rPr>
          <w:rFonts w:ascii="Arial" w:hAnsi="Arial"/>
          <w:w w:val="105"/>
          <w:sz w:val="19"/>
        </w:rPr>
        <w:t>)</w:t>
      </w:r>
      <w:r>
        <w:rPr>
          <w:rFonts w:ascii="Arial" w:hAnsi="Arial"/>
          <w:w w:val="105"/>
          <w:position w:val="7"/>
          <w:sz w:val="11"/>
        </w:rPr>
        <w:t>66</w:t>
      </w:r>
      <w:proofErr w:type="gramEnd"/>
      <w:r>
        <w:rPr>
          <w:rFonts w:ascii="Arial" w:hAnsi="Arial"/>
          <w:spacing w:val="3"/>
          <w:w w:val="105"/>
          <w:position w:val="7"/>
          <w:sz w:val="11"/>
        </w:rPr>
        <w:t xml:space="preserve"> </w:t>
      </w:r>
      <w:r>
        <w:rPr>
          <w:rFonts w:ascii="Arial" w:hAnsi="Arial"/>
          <w:w w:val="105"/>
          <w:sz w:val="19"/>
        </w:rPr>
        <w:t>=</w:t>
      </w:r>
      <w:r>
        <w:rPr>
          <w:rFonts w:ascii="Arial" w:hAnsi="Arial"/>
          <w:spacing w:val="-21"/>
          <w:w w:val="105"/>
          <w:sz w:val="19"/>
        </w:rPr>
        <w:t xml:space="preserve"> </w:t>
      </w:r>
      <w:r>
        <w:rPr>
          <w:rFonts w:ascii="Arial" w:hAnsi="Arial"/>
          <w:w w:val="105"/>
          <w:sz w:val="19"/>
        </w:rPr>
        <w:t>30</w:t>
      </w:r>
      <w:r>
        <w:rPr>
          <w:rFonts w:ascii="Arial" w:hAnsi="Arial"/>
          <w:spacing w:val="-21"/>
          <w:w w:val="105"/>
          <w:sz w:val="19"/>
        </w:rPr>
        <w:t xml:space="preserve"> </w:t>
      </w:r>
      <w:r>
        <w:rPr>
          <w:rFonts w:ascii="Arial" w:hAnsi="Arial"/>
          <w:w w:val="105"/>
          <w:sz w:val="19"/>
        </w:rPr>
        <w:t>minutes</w:t>
      </w:r>
      <w:r>
        <w:rPr>
          <w:rFonts w:ascii="Arial" w:hAnsi="Arial"/>
          <w:spacing w:val="-22"/>
          <w:w w:val="105"/>
          <w:sz w:val="19"/>
        </w:rPr>
        <w:t xml:space="preserve"> </w:t>
      </w:r>
      <w:r>
        <w:rPr>
          <w:rFonts w:ascii="Arial" w:hAnsi="Arial"/>
          <w:w w:val="105"/>
          <w:sz w:val="19"/>
        </w:rPr>
        <w:t>per</w:t>
      </w:r>
      <w:r>
        <w:rPr>
          <w:rFonts w:ascii="Arial" w:hAnsi="Arial"/>
          <w:spacing w:val="-19"/>
          <w:w w:val="105"/>
          <w:sz w:val="19"/>
        </w:rPr>
        <w:t xml:space="preserve"> </w:t>
      </w:r>
      <w:r>
        <w:rPr>
          <w:rFonts w:ascii="Arial" w:hAnsi="Arial"/>
          <w:w w:val="105"/>
          <w:sz w:val="19"/>
        </w:rPr>
        <w:t>person</w:t>
      </w:r>
      <w:r>
        <w:rPr>
          <w:rFonts w:ascii="Arial" w:hAnsi="Arial"/>
          <w:spacing w:val="-20"/>
          <w:w w:val="105"/>
          <w:sz w:val="19"/>
        </w:rPr>
        <w:t xml:space="preserve"> </w:t>
      </w:r>
      <w:r>
        <w:rPr>
          <w:rFonts w:ascii="Arial" w:hAnsi="Arial"/>
          <w:w w:val="105"/>
          <w:sz w:val="19"/>
        </w:rPr>
        <w:t>and</w:t>
      </w:r>
      <w:r>
        <w:rPr>
          <w:rFonts w:ascii="Arial" w:hAnsi="Arial"/>
          <w:spacing w:val="-24"/>
          <w:w w:val="105"/>
          <w:sz w:val="19"/>
        </w:rPr>
        <w:t xml:space="preserve"> </w:t>
      </w:r>
      <w:r>
        <w:rPr>
          <w:rFonts w:ascii="Arial" w:hAnsi="Arial"/>
          <w:w w:val="105"/>
          <w:sz w:val="19"/>
        </w:rPr>
        <w:t>considered</w:t>
      </w:r>
      <w:r>
        <w:rPr>
          <w:rFonts w:ascii="Arial" w:hAnsi="Arial"/>
          <w:spacing w:val="-23"/>
          <w:w w:val="105"/>
          <w:sz w:val="19"/>
        </w:rPr>
        <w:t xml:space="preserve"> </w:t>
      </w:r>
      <w:r>
        <w:rPr>
          <w:rFonts w:ascii="Arial" w:hAnsi="Arial"/>
          <w:w w:val="105"/>
          <w:sz w:val="19"/>
        </w:rPr>
        <w:t>that</w:t>
      </w:r>
      <w:r>
        <w:rPr>
          <w:rFonts w:ascii="Arial" w:hAnsi="Arial"/>
          <w:spacing w:val="-20"/>
          <w:w w:val="105"/>
          <w:sz w:val="19"/>
        </w:rPr>
        <w:t xml:space="preserve"> </w:t>
      </w:r>
      <w:r>
        <w:rPr>
          <w:rFonts w:ascii="Arial" w:hAnsi="Arial"/>
          <w:w w:val="105"/>
          <w:sz w:val="19"/>
        </w:rPr>
        <w:t>a</w:t>
      </w:r>
      <w:r>
        <w:rPr>
          <w:rFonts w:ascii="Arial" w:hAnsi="Arial"/>
          <w:spacing w:val="-22"/>
          <w:w w:val="105"/>
          <w:sz w:val="19"/>
        </w:rPr>
        <w:t xml:space="preserve"> </w:t>
      </w:r>
      <w:r>
        <w:rPr>
          <w:rFonts w:ascii="Arial" w:hAnsi="Arial"/>
          <w:w w:val="105"/>
          <w:sz w:val="19"/>
        </w:rPr>
        <w:t>minimum</w:t>
      </w:r>
      <w:r>
        <w:rPr>
          <w:rFonts w:ascii="Arial" w:hAnsi="Arial"/>
          <w:spacing w:val="-20"/>
          <w:w w:val="105"/>
          <w:sz w:val="19"/>
        </w:rPr>
        <w:t xml:space="preserve"> </w:t>
      </w:r>
      <w:r>
        <w:rPr>
          <w:rFonts w:ascii="Arial" w:hAnsi="Arial"/>
          <w:w w:val="105"/>
          <w:sz w:val="19"/>
        </w:rPr>
        <w:t>of</w:t>
      </w:r>
      <w:r>
        <w:rPr>
          <w:rFonts w:ascii="Arial" w:hAnsi="Arial"/>
          <w:spacing w:val="-22"/>
          <w:w w:val="105"/>
          <w:sz w:val="19"/>
        </w:rPr>
        <w:t xml:space="preserve"> </w:t>
      </w:r>
      <w:r>
        <w:rPr>
          <w:rFonts w:ascii="Arial" w:hAnsi="Arial"/>
          <w:w w:val="105"/>
          <w:sz w:val="19"/>
        </w:rPr>
        <w:t>two</w:t>
      </w:r>
      <w:r>
        <w:rPr>
          <w:rFonts w:ascii="Arial" w:hAnsi="Arial"/>
          <w:spacing w:val="-23"/>
          <w:w w:val="105"/>
          <w:sz w:val="19"/>
        </w:rPr>
        <w:t xml:space="preserve"> </w:t>
      </w:r>
      <w:r>
        <w:rPr>
          <w:rFonts w:ascii="Arial" w:hAnsi="Arial"/>
          <w:w w:val="105"/>
          <w:sz w:val="19"/>
        </w:rPr>
        <w:t>persons</w:t>
      </w:r>
      <w:r>
        <w:rPr>
          <w:rFonts w:ascii="Arial" w:hAnsi="Arial"/>
          <w:spacing w:val="-21"/>
          <w:w w:val="105"/>
          <w:sz w:val="19"/>
        </w:rPr>
        <w:t xml:space="preserve"> </w:t>
      </w:r>
      <w:r>
        <w:rPr>
          <w:rFonts w:ascii="Arial" w:hAnsi="Arial"/>
          <w:w w:val="105"/>
          <w:sz w:val="19"/>
        </w:rPr>
        <w:t>per</w:t>
      </w:r>
      <w:r>
        <w:rPr>
          <w:rFonts w:ascii="Arial" w:hAnsi="Arial"/>
          <w:spacing w:val="-22"/>
          <w:w w:val="105"/>
          <w:sz w:val="19"/>
        </w:rPr>
        <w:t xml:space="preserve"> </w:t>
      </w:r>
      <w:r>
        <w:rPr>
          <w:rFonts w:ascii="Arial" w:hAnsi="Arial"/>
          <w:w w:val="105"/>
          <w:sz w:val="19"/>
        </w:rPr>
        <w:t>company would</w:t>
      </w:r>
      <w:r>
        <w:rPr>
          <w:rFonts w:ascii="Arial" w:hAnsi="Arial"/>
          <w:spacing w:val="-14"/>
          <w:w w:val="105"/>
          <w:sz w:val="19"/>
        </w:rPr>
        <w:t xml:space="preserve"> </w:t>
      </w:r>
      <w:r>
        <w:rPr>
          <w:rFonts w:ascii="Arial" w:hAnsi="Arial"/>
          <w:w w:val="105"/>
          <w:sz w:val="19"/>
        </w:rPr>
        <w:t>read</w:t>
      </w:r>
      <w:r>
        <w:rPr>
          <w:rFonts w:ascii="Arial" w:hAnsi="Arial"/>
          <w:spacing w:val="-13"/>
          <w:w w:val="105"/>
          <w:sz w:val="19"/>
        </w:rPr>
        <w:t xml:space="preserve"> </w:t>
      </w:r>
      <w:r>
        <w:rPr>
          <w:rFonts w:ascii="Arial" w:hAnsi="Arial"/>
          <w:w w:val="105"/>
          <w:sz w:val="19"/>
        </w:rPr>
        <w:t>the</w:t>
      </w:r>
      <w:r>
        <w:rPr>
          <w:rFonts w:ascii="Arial" w:hAnsi="Arial"/>
          <w:spacing w:val="-11"/>
          <w:w w:val="105"/>
          <w:sz w:val="19"/>
        </w:rPr>
        <w:t xml:space="preserve"> </w:t>
      </w:r>
      <w:r>
        <w:rPr>
          <w:rFonts w:ascii="Arial" w:hAnsi="Arial"/>
          <w:w w:val="105"/>
          <w:sz w:val="19"/>
        </w:rPr>
        <w:t>material,</w:t>
      </w:r>
      <w:r>
        <w:rPr>
          <w:rFonts w:ascii="Arial" w:hAnsi="Arial"/>
          <w:spacing w:val="-14"/>
          <w:w w:val="105"/>
          <w:sz w:val="19"/>
        </w:rPr>
        <w:t xml:space="preserve"> </w:t>
      </w:r>
      <w:r>
        <w:rPr>
          <w:rFonts w:ascii="Arial" w:hAnsi="Arial"/>
          <w:w w:val="105"/>
          <w:sz w:val="19"/>
        </w:rPr>
        <w:t>so</w:t>
      </w:r>
      <w:r>
        <w:rPr>
          <w:rFonts w:ascii="Arial" w:hAnsi="Arial"/>
          <w:spacing w:val="-13"/>
          <w:w w:val="105"/>
          <w:sz w:val="19"/>
        </w:rPr>
        <w:t xml:space="preserve"> </w:t>
      </w:r>
      <w:r>
        <w:rPr>
          <w:rFonts w:ascii="Arial" w:hAnsi="Arial"/>
          <w:w w:val="105"/>
          <w:sz w:val="19"/>
        </w:rPr>
        <w:t>a</w:t>
      </w:r>
      <w:r>
        <w:rPr>
          <w:rFonts w:ascii="Arial" w:hAnsi="Arial"/>
          <w:spacing w:val="-13"/>
          <w:w w:val="105"/>
          <w:sz w:val="19"/>
        </w:rPr>
        <w:t xml:space="preserve"> </w:t>
      </w:r>
      <w:r>
        <w:rPr>
          <w:rFonts w:ascii="Arial" w:hAnsi="Arial"/>
          <w:w w:val="105"/>
          <w:sz w:val="19"/>
        </w:rPr>
        <w:t>total</w:t>
      </w:r>
      <w:r>
        <w:rPr>
          <w:rFonts w:ascii="Arial" w:hAnsi="Arial"/>
          <w:spacing w:val="-11"/>
          <w:w w:val="105"/>
          <w:sz w:val="19"/>
        </w:rPr>
        <w:t xml:space="preserve"> </w:t>
      </w:r>
      <w:r>
        <w:rPr>
          <w:rFonts w:ascii="Arial" w:hAnsi="Arial"/>
          <w:w w:val="105"/>
          <w:sz w:val="19"/>
        </w:rPr>
        <w:t>of</w:t>
      </w:r>
      <w:r>
        <w:rPr>
          <w:rFonts w:ascii="Arial" w:hAnsi="Arial"/>
          <w:spacing w:val="-12"/>
          <w:w w:val="105"/>
          <w:sz w:val="19"/>
        </w:rPr>
        <w:t xml:space="preserve"> </w:t>
      </w:r>
      <w:r>
        <w:rPr>
          <w:rFonts w:ascii="Arial" w:hAnsi="Arial"/>
          <w:sz w:val="19"/>
        </w:rPr>
        <w:t>1</w:t>
      </w:r>
      <w:r>
        <w:rPr>
          <w:rFonts w:ascii="Arial" w:hAnsi="Arial"/>
          <w:spacing w:val="-11"/>
          <w:sz w:val="19"/>
        </w:rPr>
        <w:t xml:space="preserve"> </w:t>
      </w:r>
      <w:r>
        <w:rPr>
          <w:rFonts w:ascii="Arial" w:hAnsi="Arial"/>
          <w:w w:val="105"/>
          <w:sz w:val="19"/>
        </w:rPr>
        <w:t>hour</w:t>
      </w:r>
      <w:r>
        <w:rPr>
          <w:rFonts w:ascii="Arial" w:hAnsi="Arial"/>
          <w:spacing w:val="-11"/>
          <w:w w:val="105"/>
          <w:sz w:val="19"/>
        </w:rPr>
        <w:t xml:space="preserve"> </w:t>
      </w:r>
      <w:r>
        <w:rPr>
          <w:rFonts w:ascii="Arial" w:hAnsi="Arial"/>
          <w:w w:val="105"/>
          <w:sz w:val="19"/>
        </w:rPr>
        <w:t>(60</w:t>
      </w:r>
      <w:r>
        <w:rPr>
          <w:rFonts w:ascii="Arial" w:hAnsi="Arial"/>
          <w:spacing w:val="-11"/>
          <w:w w:val="105"/>
          <w:sz w:val="19"/>
        </w:rPr>
        <w:t xml:space="preserve"> </w:t>
      </w:r>
      <w:r>
        <w:rPr>
          <w:rFonts w:ascii="Arial" w:hAnsi="Arial"/>
          <w:w w:val="105"/>
          <w:sz w:val="19"/>
        </w:rPr>
        <w:lastRenderedPageBreak/>
        <w:t>minutes).</w:t>
      </w:r>
    </w:p>
    <w:p w:rsidR="007D76BB" w:rsidRDefault="00D70D28">
      <w:pPr>
        <w:pStyle w:val="ListParagraph"/>
        <w:numPr>
          <w:ilvl w:val="1"/>
          <w:numId w:val="5"/>
        </w:numPr>
        <w:tabs>
          <w:tab w:val="left" w:pos="766"/>
        </w:tabs>
        <w:spacing w:before="81" w:line="266" w:lineRule="auto"/>
        <w:ind w:right="1526"/>
        <w:rPr>
          <w:rFonts w:ascii="Arial" w:hAnsi="Arial"/>
          <w:sz w:val="19"/>
        </w:rPr>
      </w:pPr>
      <w:r>
        <w:rPr>
          <w:rFonts w:ascii="Arial" w:hAnsi="Arial"/>
          <w:w w:val="105"/>
          <w:sz w:val="19"/>
        </w:rPr>
        <w:t>Time</w:t>
      </w:r>
      <w:r>
        <w:rPr>
          <w:rFonts w:ascii="Arial" w:hAnsi="Arial"/>
          <w:spacing w:val="-25"/>
          <w:w w:val="105"/>
          <w:sz w:val="19"/>
        </w:rPr>
        <w:t xml:space="preserve"> </w:t>
      </w:r>
      <w:r>
        <w:rPr>
          <w:rFonts w:ascii="Arial" w:hAnsi="Arial"/>
          <w:w w:val="105"/>
          <w:sz w:val="19"/>
        </w:rPr>
        <w:t>required</w:t>
      </w:r>
      <w:r>
        <w:rPr>
          <w:rFonts w:ascii="Arial" w:hAnsi="Arial"/>
          <w:spacing w:val="-27"/>
          <w:w w:val="105"/>
          <w:sz w:val="19"/>
        </w:rPr>
        <w:t xml:space="preserve"> </w:t>
      </w:r>
      <w:r>
        <w:rPr>
          <w:rFonts w:ascii="Arial" w:hAnsi="Arial"/>
          <w:w w:val="105"/>
          <w:sz w:val="19"/>
        </w:rPr>
        <w:t>for</w:t>
      </w:r>
      <w:r>
        <w:rPr>
          <w:rFonts w:ascii="Arial" w:hAnsi="Arial"/>
          <w:spacing w:val="-25"/>
          <w:w w:val="105"/>
          <w:sz w:val="19"/>
        </w:rPr>
        <w:t xml:space="preserve"> </w:t>
      </w:r>
      <w:r>
        <w:rPr>
          <w:rFonts w:ascii="Arial" w:hAnsi="Arial"/>
          <w:w w:val="105"/>
          <w:sz w:val="19"/>
        </w:rPr>
        <w:t>potential</w:t>
      </w:r>
      <w:r>
        <w:rPr>
          <w:rFonts w:ascii="Arial" w:hAnsi="Arial"/>
          <w:spacing w:val="-26"/>
          <w:w w:val="105"/>
          <w:sz w:val="19"/>
        </w:rPr>
        <w:t xml:space="preserve"> </w:t>
      </w:r>
      <w:r>
        <w:rPr>
          <w:rFonts w:ascii="Arial" w:hAnsi="Arial"/>
          <w:w w:val="105"/>
          <w:sz w:val="19"/>
        </w:rPr>
        <w:t>new</w:t>
      </w:r>
      <w:r>
        <w:rPr>
          <w:rFonts w:ascii="Arial" w:hAnsi="Arial"/>
          <w:spacing w:val="-25"/>
          <w:w w:val="105"/>
          <w:sz w:val="19"/>
        </w:rPr>
        <w:t xml:space="preserve"> </w:t>
      </w:r>
      <w:r>
        <w:rPr>
          <w:rFonts w:ascii="Arial" w:hAnsi="Arial"/>
          <w:w w:val="105"/>
          <w:sz w:val="19"/>
        </w:rPr>
        <w:t>sponsors</w:t>
      </w:r>
      <w:r>
        <w:rPr>
          <w:rFonts w:ascii="Arial" w:hAnsi="Arial"/>
          <w:spacing w:val="-26"/>
          <w:w w:val="105"/>
          <w:sz w:val="19"/>
        </w:rPr>
        <w:t xml:space="preserve"> </w:t>
      </w:r>
      <w:r>
        <w:rPr>
          <w:rFonts w:ascii="Arial" w:hAnsi="Arial"/>
          <w:w w:val="105"/>
          <w:sz w:val="19"/>
        </w:rPr>
        <w:t>to</w:t>
      </w:r>
      <w:r>
        <w:rPr>
          <w:rFonts w:ascii="Arial" w:hAnsi="Arial"/>
          <w:spacing w:val="-27"/>
          <w:w w:val="105"/>
          <w:sz w:val="19"/>
        </w:rPr>
        <w:t xml:space="preserve"> </w:t>
      </w:r>
      <w:r>
        <w:rPr>
          <w:rFonts w:ascii="Arial" w:hAnsi="Arial"/>
          <w:w w:val="105"/>
          <w:sz w:val="19"/>
        </w:rPr>
        <w:t>equate</w:t>
      </w:r>
      <w:r>
        <w:rPr>
          <w:rFonts w:ascii="Arial" w:hAnsi="Arial"/>
          <w:spacing w:val="-26"/>
          <w:w w:val="105"/>
          <w:sz w:val="19"/>
        </w:rPr>
        <w:t xml:space="preserve"> </w:t>
      </w:r>
      <w:r>
        <w:rPr>
          <w:rFonts w:ascii="Arial" w:hAnsi="Arial"/>
          <w:w w:val="105"/>
          <w:sz w:val="19"/>
        </w:rPr>
        <w:t>themselves</w:t>
      </w:r>
      <w:r>
        <w:rPr>
          <w:rFonts w:ascii="Arial" w:hAnsi="Arial"/>
          <w:spacing w:val="-26"/>
          <w:w w:val="105"/>
          <w:sz w:val="19"/>
        </w:rPr>
        <w:t xml:space="preserve"> </w:t>
      </w:r>
      <w:r>
        <w:rPr>
          <w:rFonts w:ascii="Arial" w:hAnsi="Arial"/>
          <w:w w:val="105"/>
          <w:sz w:val="19"/>
        </w:rPr>
        <w:t>with</w:t>
      </w:r>
      <w:r>
        <w:rPr>
          <w:rFonts w:ascii="Arial" w:hAnsi="Arial"/>
          <w:spacing w:val="-26"/>
          <w:w w:val="105"/>
          <w:sz w:val="19"/>
        </w:rPr>
        <w:t xml:space="preserve"> </w:t>
      </w:r>
      <w:r>
        <w:rPr>
          <w:rFonts w:ascii="Arial" w:hAnsi="Arial"/>
          <w:w w:val="105"/>
          <w:sz w:val="19"/>
        </w:rPr>
        <w:t>the</w:t>
      </w:r>
      <w:r>
        <w:rPr>
          <w:rFonts w:ascii="Arial" w:hAnsi="Arial"/>
          <w:spacing w:val="-26"/>
          <w:w w:val="105"/>
          <w:sz w:val="19"/>
        </w:rPr>
        <w:t xml:space="preserve"> </w:t>
      </w:r>
      <w:r>
        <w:rPr>
          <w:rFonts w:ascii="Arial" w:hAnsi="Arial"/>
          <w:w w:val="105"/>
          <w:sz w:val="19"/>
        </w:rPr>
        <w:t>TGA’s</w:t>
      </w:r>
      <w:r>
        <w:rPr>
          <w:rFonts w:ascii="Arial" w:hAnsi="Arial"/>
          <w:spacing w:val="-25"/>
          <w:w w:val="105"/>
          <w:sz w:val="19"/>
        </w:rPr>
        <w:t xml:space="preserve"> </w:t>
      </w:r>
      <w:r>
        <w:rPr>
          <w:rFonts w:ascii="Arial" w:hAnsi="Arial"/>
          <w:w w:val="105"/>
          <w:sz w:val="19"/>
        </w:rPr>
        <w:t>regulatory framework</w:t>
      </w:r>
      <w:r>
        <w:rPr>
          <w:rFonts w:ascii="Arial" w:hAnsi="Arial"/>
          <w:spacing w:val="-20"/>
          <w:w w:val="105"/>
          <w:sz w:val="19"/>
        </w:rPr>
        <w:t xml:space="preserve"> </w:t>
      </w:r>
      <w:r>
        <w:rPr>
          <w:rFonts w:ascii="Arial" w:hAnsi="Arial"/>
          <w:w w:val="105"/>
          <w:sz w:val="19"/>
        </w:rPr>
        <w:t>without</w:t>
      </w:r>
      <w:r>
        <w:rPr>
          <w:rFonts w:ascii="Arial" w:hAnsi="Arial"/>
          <w:spacing w:val="-18"/>
          <w:w w:val="105"/>
          <w:sz w:val="19"/>
        </w:rPr>
        <w:t xml:space="preserve"> </w:t>
      </w:r>
      <w:r>
        <w:rPr>
          <w:rFonts w:ascii="Arial" w:hAnsi="Arial"/>
          <w:w w:val="105"/>
          <w:sz w:val="19"/>
        </w:rPr>
        <w:t>the</w:t>
      </w:r>
      <w:r>
        <w:rPr>
          <w:rFonts w:ascii="Arial" w:hAnsi="Arial"/>
          <w:spacing w:val="-19"/>
          <w:w w:val="105"/>
          <w:sz w:val="19"/>
        </w:rPr>
        <w:t xml:space="preserve"> </w:t>
      </w:r>
      <w:r>
        <w:rPr>
          <w:rFonts w:ascii="Arial" w:hAnsi="Arial"/>
          <w:w w:val="105"/>
          <w:sz w:val="19"/>
        </w:rPr>
        <w:t>advice</w:t>
      </w:r>
      <w:r>
        <w:rPr>
          <w:rFonts w:ascii="Arial" w:hAnsi="Arial"/>
          <w:spacing w:val="-17"/>
          <w:w w:val="105"/>
          <w:sz w:val="19"/>
        </w:rPr>
        <w:t xml:space="preserve"> </w:t>
      </w:r>
      <w:r>
        <w:rPr>
          <w:rFonts w:ascii="Arial" w:hAnsi="Arial"/>
          <w:w w:val="105"/>
          <w:sz w:val="19"/>
        </w:rPr>
        <w:t>of</w:t>
      </w:r>
      <w:r>
        <w:rPr>
          <w:rFonts w:ascii="Arial" w:hAnsi="Arial"/>
          <w:spacing w:val="-18"/>
          <w:w w:val="105"/>
          <w:sz w:val="19"/>
        </w:rPr>
        <w:t xml:space="preserve"> </w:t>
      </w:r>
      <w:r>
        <w:rPr>
          <w:rFonts w:ascii="Arial" w:hAnsi="Arial"/>
          <w:w w:val="105"/>
          <w:sz w:val="19"/>
        </w:rPr>
        <w:t>a</w:t>
      </w:r>
      <w:r>
        <w:rPr>
          <w:rFonts w:ascii="Arial" w:hAnsi="Arial"/>
          <w:spacing w:val="-19"/>
          <w:w w:val="105"/>
          <w:sz w:val="19"/>
        </w:rPr>
        <w:t xml:space="preserve"> </w:t>
      </w:r>
      <w:r>
        <w:rPr>
          <w:rFonts w:ascii="Arial" w:hAnsi="Arial"/>
          <w:w w:val="105"/>
          <w:sz w:val="19"/>
        </w:rPr>
        <w:t>regulatory</w:t>
      </w:r>
      <w:r>
        <w:rPr>
          <w:rFonts w:ascii="Arial" w:hAnsi="Arial"/>
          <w:spacing w:val="-19"/>
          <w:w w:val="105"/>
          <w:sz w:val="19"/>
        </w:rPr>
        <w:t xml:space="preserve"> </w:t>
      </w:r>
      <w:r>
        <w:rPr>
          <w:rFonts w:ascii="Arial" w:hAnsi="Arial"/>
          <w:w w:val="105"/>
          <w:sz w:val="19"/>
        </w:rPr>
        <w:t>affair</w:t>
      </w:r>
      <w:r>
        <w:rPr>
          <w:rFonts w:ascii="Arial" w:hAnsi="Arial"/>
          <w:spacing w:val="-17"/>
          <w:w w:val="105"/>
          <w:sz w:val="19"/>
        </w:rPr>
        <w:t xml:space="preserve"> </w:t>
      </w:r>
      <w:r>
        <w:rPr>
          <w:rFonts w:ascii="Arial" w:hAnsi="Arial"/>
          <w:w w:val="105"/>
          <w:sz w:val="19"/>
        </w:rPr>
        <w:t>consultant</w:t>
      </w:r>
      <w:r>
        <w:rPr>
          <w:rFonts w:ascii="Arial" w:hAnsi="Arial"/>
          <w:spacing w:val="-17"/>
          <w:w w:val="105"/>
          <w:sz w:val="19"/>
        </w:rPr>
        <w:t xml:space="preserve"> </w:t>
      </w:r>
      <w:r>
        <w:rPr>
          <w:rFonts w:ascii="Arial" w:hAnsi="Arial"/>
          <w:w w:val="105"/>
          <w:sz w:val="19"/>
        </w:rPr>
        <w:t>=</w:t>
      </w:r>
      <w:r>
        <w:rPr>
          <w:rFonts w:ascii="Arial" w:hAnsi="Arial"/>
          <w:spacing w:val="-17"/>
          <w:w w:val="105"/>
          <w:sz w:val="19"/>
        </w:rPr>
        <w:t xml:space="preserve"> </w:t>
      </w:r>
      <w:r>
        <w:rPr>
          <w:rFonts w:ascii="Arial" w:hAnsi="Arial"/>
          <w:sz w:val="19"/>
        </w:rPr>
        <w:t>1</w:t>
      </w:r>
      <w:r>
        <w:rPr>
          <w:rFonts w:ascii="Arial" w:hAnsi="Arial"/>
          <w:spacing w:val="-14"/>
          <w:sz w:val="19"/>
        </w:rPr>
        <w:t xml:space="preserve"> </w:t>
      </w:r>
      <w:r>
        <w:rPr>
          <w:rFonts w:ascii="Arial" w:hAnsi="Arial"/>
          <w:w w:val="105"/>
          <w:sz w:val="19"/>
        </w:rPr>
        <w:t>day</w:t>
      </w:r>
      <w:r>
        <w:rPr>
          <w:rFonts w:ascii="Arial" w:hAnsi="Arial"/>
          <w:spacing w:val="-19"/>
          <w:w w:val="105"/>
          <w:sz w:val="19"/>
        </w:rPr>
        <w:t xml:space="preserve"> </w:t>
      </w:r>
      <w:r>
        <w:rPr>
          <w:rFonts w:ascii="Arial" w:hAnsi="Arial"/>
          <w:w w:val="105"/>
          <w:sz w:val="19"/>
        </w:rPr>
        <w:t>(so</w:t>
      </w:r>
      <w:r>
        <w:rPr>
          <w:rFonts w:ascii="Arial" w:hAnsi="Arial"/>
          <w:spacing w:val="-18"/>
          <w:w w:val="105"/>
          <w:sz w:val="19"/>
        </w:rPr>
        <w:t xml:space="preserve"> </w:t>
      </w:r>
      <w:r>
        <w:rPr>
          <w:rFonts w:ascii="Arial" w:hAnsi="Arial"/>
          <w:w w:val="105"/>
          <w:sz w:val="19"/>
        </w:rPr>
        <w:t>480</w:t>
      </w:r>
      <w:r>
        <w:rPr>
          <w:rFonts w:ascii="Arial" w:hAnsi="Arial"/>
          <w:spacing w:val="-17"/>
          <w:w w:val="105"/>
          <w:sz w:val="19"/>
        </w:rPr>
        <w:t xml:space="preserve"> </w:t>
      </w:r>
      <w:r>
        <w:rPr>
          <w:rFonts w:ascii="Arial" w:hAnsi="Arial"/>
          <w:w w:val="105"/>
          <w:sz w:val="19"/>
        </w:rPr>
        <w:t>minutes).</w:t>
      </w:r>
    </w:p>
    <w:p w:rsidR="007D76BB" w:rsidRDefault="00D70D28">
      <w:pPr>
        <w:pStyle w:val="ListParagraph"/>
        <w:numPr>
          <w:ilvl w:val="1"/>
          <w:numId w:val="5"/>
        </w:numPr>
        <w:tabs>
          <w:tab w:val="left" w:pos="766"/>
        </w:tabs>
        <w:spacing w:before="77"/>
        <w:rPr>
          <w:rFonts w:ascii="Arial" w:hAnsi="Arial"/>
          <w:sz w:val="19"/>
        </w:rPr>
      </w:pPr>
      <w:r>
        <w:rPr>
          <w:rFonts w:ascii="Arial" w:hAnsi="Arial"/>
          <w:w w:val="105"/>
          <w:sz w:val="19"/>
        </w:rPr>
        <w:t>Time</w:t>
      </w:r>
      <w:r>
        <w:rPr>
          <w:rFonts w:ascii="Arial" w:hAnsi="Arial"/>
          <w:spacing w:val="-12"/>
          <w:w w:val="105"/>
          <w:sz w:val="19"/>
        </w:rPr>
        <w:t xml:space="preserve"> </w:t>
      </w:r>
      <w:r>
        <w:rPr>
          <w:rFonts w:ascii="Arial" w:hAnsi="Arial"/>
          <w:w w:val="105"/>
          <w:sz w:val="19"/>
        </w:rPr>
        <w:t>required</w:t>
      </w:r>
      <w:r>
        <w:rPr>
          <w:rFonts w:ascii="Arial" w:hAnsi="Arial"/>
          <w:spacing w:val="-14"/>
          <w:w w:val="105"/>
          <w:sz w:val="19"/>
        </w:rPr>
        <w:t xml:space="preserve"> </w:t>
      </w:r>
      <w:r>
        <w:rPr>
          <w:rFonts w:ascii="Arial" w:hAnsi="Arial"/>
          <w:w w:val="105"/>
          <w:sz w:val="19"/>
        </w:rPr>
        <w:t>to</w:t>
      </w:r>
      <w:r>
        <w:rPr>
          <w:rFonts w:ascii="Arial" w:hAnsi="Arial"/>
          <w:spacing w:val="-13"/>
          <w:w w:val="105"/>
          <w:sz w:val="19"/>
        </w:rPr>
        <w:t xml:space="preserve"> </w:t>
      </w:r>
      <w:r>
        <w:rPr>
          <w:rFonts w:ascii="Arial" w:hAnsi="Arial"/>
          <w:w w:val="105"/>
          <w:sz w:val="19"/>
        </w:rPr>
        <w:t>consult</w:t>
      </w:r>
      <w:r>
        <w:rPr>
          <w:rFonts w:ascii="Arial" w:hAnsi="Arial"/>
          <w:spacing w:val="-13"/>
          <w:w w:val="105"/>
          <w:sz w:val="19"/>
        </w:rPr>
        <w:t xml:space="preserve"> </w:t>
      </w:r>
      <w:r>
        <w:rPr>
          <w:rFonts w:ascii="Arial" w:hAnsi="Arial"/>
          <w:w w:val="105"/>
          <w:sz w:val="19"/>
        </w:rPr>
        <w:t>with</w:t>
      </w:r>
      <w:r>
        <w:rPr>
          <w:rFonts w:ascii="Arial" w:hAnsi="Arial"/>
          <w:spacing w:val="-12"/>
          <w:w w:val="105"/>
          <w:sz w:val="19"/>
        </w:rPr>
        <w:t xml:space="preserve"> </w:t>
      </w:r>
      <w:r>
        <w:rPr>
          <w:rFonts w:ascii="Arial" w:hAnsi="Arial"/>
          <w:w w:val="105"/>
          <w:sz w:val="19"/>
        </w:rPr>
        <w:t>a</w:t>
      </w:r>
      <w:r>
        <w:rPr>
          <w:rFonts w:ascii="Arial" w:hAnsi="Arial"/>
          <w:spacing w:val="-14"/>
          <w:w w:val="105"/>
          <w:sz w:val="19"/>
        </w:rPr>
        <w:t xml:space="preserve"> </w:t>
      </w:r>
      <w:r>
        <w:rPr>
          <w:rFonts w:ascii="Arial" w:hAnsi="Arial"/>
          <w:w w:val="105"/>
          <w:sz w:val="19"/>
        </w:rPr>
        <w:t>regulatory</w:t>
      </w:r>
      <w:r>
        <w:rPr>
          <w:rFonts w:ascii="Arial" w:hAnsi="Arial"/>
          <w:spacing w:val="-15"/>
          <w:w w:val="105"/>
          <w:sz w:val="19"/>
        </w:rPr>
        <w:t xml:space="preserve"> </w:t>
      </w:r>
      <w:r>
        <w:rPr>
          <w:rFonts w:ascii="Arial" w:hAnsi="Arial"/>
          <w:w w:val="105"/>
          <w:sz w:val="19"/>
        </w:rPr>
        <w:t>affairs</w:t>
      </w:r>
      <w:r>
        <w:rPr>
          <w:rFonts w:ascii="Arial" w:hAnsi="Arial"/>
          <w:spacing w:val="-13"/>
          <w:w w:val="105"/>
          <w:sz w:val="19"/>
        </w:rPr>
        <w:t xml:space="preserve"> </w:t>
      </w:r>
      <w:r>
        <w:rPr>
          <w:rFonts w:ascii="Arial" w:hAnsi="Arial"/>
          <w:w w:val="105"/>
          <w:sz w:val="19"/>
        </w:rPr>
        <w:t>consultant</w:t>
      </w:r>
      <w:r>
        <w:rPr>
          <w:rFonts w:ascii="Arial" w:hAnsi="Arial"/>
          <w:spacing w:val="-14"/>
          <w:w w:val="105"/>
          <w:sz w:val="19"/>
        </w:rPr>
        <w:t xml:space="preserve"> </w:t>
      </w:r>
      <w:r>
        <w:rPr>
          <w:rFonts w:ascii="Arial" w:hAnsi="Arial"/>
          <w:w w:val="105"/>
          <w:sz w:val="19"/>
        </w:rPr>
        <w:t>=</w:t>
      </w:r>
      <w:r>
        <w:rPr>
          <w:rFonts w:ascii="Arial" w:hAnsi="Arial"/>
          <w:spacing w:val="-7"/>
          <w:w w:val="105"/>
          <w:sz w:val="19"/>
        </w:rPr>
        <w:t xml:space="preserve"> </w:t>
      </w:r>
      <w:r>
        <w:rPr>
          <w:rFonts w:ascii="Arial" w:hAnsi="Arial"/>
          <w:w w:val="105"/>
          <w:sz w:val="19"/>
        </w:rPr>
        <w:t>3</w:t>
      </w:r>
      <w:r>
        <w:rPr>
          <w:rFonts w:ascii="Arial" w:hAnsi="Arial"/>
          <w:spacing w:val="-14"/>
          <w:w w:val="105"/>
          <w:sz w:val="19"/>
        </w:rPr>
        <w:t xml:space="preserve"> </w:t>
      </w:r>
      <w:r>
        <w:rPr>
          <w:rFonts w:ascii="Arial" w:hAnsi="Arial"/>
          <w:w w:val="105"/>
          <w:sz w:val="19"/>
        </w:rPr>
        <w:t>hours</w:t>
      </w:r>
      <w:r>
        <w:rPr>
          <w:rFonts w:ascii="Arial" w:hAnsi="Arial"/>
          <w:spacing w:val="-12"/>
          <w:w w:val="105"/>
          <w:sz w:val="19"/>
        </w:rPr>
        <w:t xml:space="preserve"> </w:t>
      </w:r>
      <w:r>
        <w:rPr>
          <w:rFonts w:ascii="Arial" w:hAnsi="Arial"/>
          <w:w w:val="105"/>
          <w:sz w:val="19"/>
        </w:rPr>
        <w:t>(so</w:t>
      </w:r>
      <w:r>
        <w:rPr>
          <w:rFonts w:ascii="Arial" w:hAnsi="Arial"/>
          <w:spacing w:val="-15"/>
          <w:w w:val="105"/>
          <w:sz w:val="19"/>
        </w:rPr>
        <w:t xml:space="preserve"> </w:t>
      </w:r>
      <w:r>
        <w:rPr>
          <w:rFonts w:ascii="Arial" w:hAnsi="Arial"/>
          <w:w w:val="105"/>
          <w:sz w:val="19"/>
        </w:rPr>
        <w:t>180</w:t>
      </w:r>
      <w:r>
        <w:rPr>
          <w:rFonts w:ascii="Arial" w:hAnsi="Arial"/>
          <w:spacing w:val="-14"/>
          <w:w w:val="105"/>
          <w:sz w:val="19"/>
        </w:rPr>
        <w:t xml:space="preserve"> </w:t>
      </w:r>
      <w:r>
        <w:rPr>
          <w:rFonts w:ascii="Arial" w:hAnsi="Arial"/>
          <w:w w:val="105"/>
          <w:sz w:val="19"/>
        </w:rPr>
        <w:t>minutes)</w:t>
      </w:r>
    </w:p>
    <w:p w:rsidR="007D76BB" w:rsidRDefault="007D76BB">
      <w:pPr>
        <w:pStyle w:val="BodyText"/>
        <w:rPr>
          <w:rFonts w:ascii="Arial"/>
          <w:sz w:val="20"/>
        </w:rPr>
      </w:pPr>
    </w:p>
    <w:p w:rsidR="007D76BB" w:rsidRDefault="00D70D28">
      <w:pPr>
        <w:pStyle w:val="BodyText"/>
        <w:spacing w:before="2"/>
        <w:rPr>
          <w:rFonts w:ascii="Arial"/>
          <w:sz w:val="25"/>
        </w:rPr>
      </w:pPr>
      <w:r>
        <w:rPr>
          <w:noProof/>
          <w:lang w:val="en-AU" w:eastAsia="en-AU"/>
        </w:rPr>
        <mc:AlternateContent>
          <mc:Choice Requires="wps">
            <w:drawing>
              <wp:anchor distT="0" distB="0" distL="0" distR="0" simplePos="0" relativeHeight="251746304" behindDoc="1" locked="0" layoutInCell="1" allowOverlap="1">
                <wp:simplePos x="0" y="0"/>
                <wp:positionH relativeFrom="page">
                  <wp:posOffset>1080770</wp:posOffset>
                </wp:positionH>
                <wp:positionV relativeFrom="paragraph">
                  <wp:posOffset>214630</wp:posOffset>
                </wp:positionV>
                <wp:extent cx="1829435" cy="1270"/>
                <wp:effectExtent l="0" t="0" r="0" b="0"/>
                <wp:wrapTopAndBottom/>
                <wp:docPr id="283"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ACACB" id="Freeform 139" o:spid="_x0000_s1026" style="position:absolute;margin-left:85.1pt;margin-top:16.9pt;width:144.05pt;height:.1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" path="m,l2880,e" filled="f" strokeweight=".84pt">
                <v:path arrowok="t" o:connecttype="custom" o:connectlocs="0,0;1828800,0" o:connectangles="0,0"/>
                <w10:wrap type="topAndBottom" anchorx="page"/>
              </v:shape>
            </w:pict>
          </mc:Fallback>
        </mc:AlternateContent>
      </w:r>
    </w:p>
    <w:p w:rsidR="007D76BB" w:rsidRDefault="00D70D28">
      <w:pPr>
        <w:spacing w:before="132" w:line="268" w:lineRule="auto"/>
        <w:ind w:left="594" w:right="688" w:hanging="113"/>
        <w:rPr>
          <w:rFonts w:ascii="Arial" w:hAnsi="Arial"/>
          <w:sz w:val="14"/>
        </w:rPr>
      </w:pPr>
      <w:r>
        <w:rPr>
          <w:rFonts w:ascii="Arial" w:hAnsi="Arial"/>
          <w:color w:val="5B6761"/>
          <w:w w:val="105"/>
          <w:position w:val="5"/>
          <w:sz w:val="8"/>
        </w:rPr>
        <w:t>64</w:t>
      </w:r>
      <w:r>
        <w:rPr>
          <w:rFonts w:ascii="Arial" w:hAnsi="Arial"/>
          <w:color w:val="5B6761"/>
          <w:spacing w:val="-3"/>
          <w:w w:val="105"/>
          <w:position w:val="5"/>
          <w:sz w:val="8"/>
        </w:rPr>
        <w:t xml:space="preserve"> </w:t>
      </w:r>
      <w:r>
        <w:rPr>
          <w:rFonts w:ascii="Arial" w:hAnsi="Arial"/>
          <w:color w:val="5B6761"/>
          <w:w w:val="105"/>
          <w:sz w:val="14"/>
        </w:rPr>
        <w:t>Choosing</w:t>
      </w:r>
      <w:r>
        <w:rPr>
          <w:rFonts w:ascii="Arial" w:hAnsi="Arial"/>
          <w:color w:val="5B6761"/>
          <w:spacing w:val="-20"/>
          <w:w w:val="105"/>
          <w:sz w:val="14"/>
        </w:rPr>
        <w:t xml:space="preserve"> </w:t>
      </w:r>
      <w:r>
        <w:rPr>
          <w:rFonts w:ascii="Arial" w:hAnsi="Arial"/>
          <w:color w:val="5B6761"/>
          <w:w w:val="105"/>
          <w:sz w:val="14"/>
        </w:rPr>
        <w:t>to</w:t>
      </w:r>
      <w:r>
        <w:rPr>
          <w:rFonts w:ascii="Arial" w:hAnsi="Arial"/>
          <w:color w:val="5B6761"/>
          <w:spacing w:val="-22"/>
          <w:w w:val="105"/>
          <w:sz w:val="14"/>
        </w:rPr>
        <w:t xml:space="preserve"> </w:t>
      </w:r>
      <w:r>
        <w:rPr>
          <w:rFonts w:ascii="Arial" w:hAnsi="Arial"/>
          <w:color w:val="5B6761"/>
          <w:w w:val="105"/>
          <w:sz w:val="14"/>
        </w:rPr>
        <w:t>submit</w:t>
      </w:r>
      <w:r>
        <w:rPr>
          <w:rFonts w:ascii="Arial" w:hAnsi="Arial"/>
          <w:color w:val="5B6761"/>
          <w:spacing w:val="-20"/>
          <w:w w:val="105"/>
          <w:sz w:val="14"/>
        </w:rPr>
        <w:t xml:space="preserve"> </w:t>
      </w:r>
      <w:r>
        <w:rPr>
          <w:rFonts w:ascii="Arial" w:hAnsi="Arial"/>
          <w:color w:val="5B6761"/>
          <w:w w:val="105"/>
          <w:sz w:val="14"/>
        </w:rPr>
        <w:t>a</w:t>
      </w:r>
      <w:r>
        <w:rPr>
          <w:rFonts w:ascii="Arial" w:hAnsi="Arial"/>
          <w:color w:val="5B6761"/>
          <w:spacing w:val="-20"/>
          <w:w w:val="105"/>
          <w:sz w:val="14"/>
        </w:rPr>
        <w:t xml:space="preserve"> </w:t>
      </w:r>
      <w:r>
        <w:rPr>
          <w:rFonts w:ascii="Arial" w:hAnsi="Arial"/>
          <w:color w:val="5B6761"/>
          <w:w w:val="105"/>
          <w:sz w:val="14"/>
        </w:rPr>
        <w:t>response</w:t>
      </w:r>
      <w:r>
        <w:rPr>
          <w:rFonts w:ascii="Arial" w:hAnsi="Arial"/>
          <w:color w:val="5B6761"/>
          <w:spacing w:val="-22"/>
          <w:w w:val="105"/>
          <w:sz w:val="14"/>
        </w:rPr>
        <w:t xml:space="preserve"> </w:t>
      </w:r>
      <w:r>
        <w:rPr>
          <w:rFonts w:ascii="Arial" w:hAnsi="Arial"/>
          <w:color w:val="5B6761"/>
          <w:w w:val="105"/>
          <w:sz w:val="14"/>
        </w:rPr>
        <w:t>to</w:t>
      </w:r>
      <w:r>
        <w:rPr>
          <w:rFonts w:ascii="Arial" w:hAnsi="Arial"/>
          <w:color w:val="5B6761"/>
          <w:spacing w:val="-21"/>
          <w:w w:val="105"/>
          <w:sz w:val="14"/>
        </w:rPr>
        <w:t xml:space="preserve"> </w:t>
      </w:r>
      <w:r>
        <w:rPr>
          <w:rFonts w:ascii="Arial" w:hAnsi="Arial"/>
          <w:color w:val="5B6761"/>
          <w:w w:val="105"/>
          <w:sz w:val="14"/>
        </w:rPr>
        <w:t>the</w:t>
      </w:r>
      <w:r>
        <w:rPr>
          <w:rFonts w:ascii="Arial" w:hAnsi="Arial"/>
          <w:color w:val="5B6761"/>
          <w:spacing w:val="-22"/>
          <w:w w:val="105"/>
          <w:sz w:val="14"/>
        </w:rPr>
        <w:t xml:space="preserve"> </w:t>
      </w:r>
      <w:r>
        <w:rPr>
          <w:rFonts w:ascii="Arial" w:hAnsi="Arial"/>
          <w:color w:val="5B6761"/>
          <w:w w:val="105"/>
          <w:sz w:val="14"/>
        </w:rPr>
        <w:t>public</w:t>
      </w:r>
      <w:r>
        <w:rPr>
          <w:rFonts w:ascii="Arial" w:hAnsi="Arial"/>
          <w:color w:val="5B6761"/>
          <w:spacing w:val="-20"/>
          <w:w w:val="105"/>
          <w:sz w:val="14"/>
        </w:rPr>
        <w:t xml:space="preserve"> </w:t>
      </w:r>
      <w:r>
        <w:rPr>
          <w:rFonts w:ascii="Arial" w:hAnsi="Arial"/>
          <w:color w:val="5B6761"/>
          <w:w w:val="105"/>
          <w:sz w:val="14"/>
        </w:rPr>
        <w:t>consultation</w:t>
      </w:r>
      <w:r>
        <w:rPr>
          <w:rFonts w:ascii="Arial" w:hAnsi="Arial"/>
          <w:color w:val="5B6761"/>
          <w:spacing w:val="-21"/>
          <w:w w:val="105"/>
          <w:sz w:val="14"/>
        </w:rPr>
        <w:t xml:space="preserve"> </w:t>
      </w:r>
      <w:r>
        <w:rPr>
          <w:rFonts w:ascii="Arial" w:hAnsi="Arial"/>
          <w:color w:val="5B6761"/>
          <w:w w:val="105"/>
          <w:sz w:val="14"/>
        </w:rPr>
        <w:t>paper</w:t>
      </w:r>
      <w:r>
        <w:rPr>
          <w:rFonts w:ascii="Arial" w:hAnsi="Arial"/>
          <w:color w:val="5B6761"/>
          <w:spacing w:val="-20"/>
          <w:w w:val="105"/>
          <w:sz w:val="14"/>
        </w:rPr>
        <w:t xml:space="preserve"> </w:t>
      </w:r>
      <w:r>
        <w:rPr>
          <w:rFonts w:ascii="Arial" w:hAnsi="Arial"/>
          <w:color w:val="5B6761"/>
          <w:w w:val="105"/>
          <w:sz w:val="14"/>
        </w:rPr>
        <w:t>and/or</w:t>
      </w:r>
      <w:r>
        <w:rPr>
          <w:rFonts w:ascii="Arial" w:hAnsi="Arial"/>
          <w:color w:val="5B6761"/>
          <w:spacing w:val="-20"/>
          <w:w w:val="105"/>
          <w:sz w:val="14"/>
        </w:rPr>
        <w:t xml:space="preserve"> </w:t>
      </w:r>
      <w:r>
        <w:rPr>
          <w:rFonts w:ascii="Arial" w:hAnsi="Arial"/>
          <w:color w:val="5B6761"/>
          <w:w w:val="105"/>
          <w:sz w:val="14"/>
        </w:rPr>
        <w:t>attend</w:t>
      </w:r>
      <w:r>
        <w:rPr>
          <w:rFonts w:ascii="Arial" w:hAnsi="Arial"/>
          <w:color w:val="5B6761"/>
          <w:spacing w:val="-20"/>
          <w:w w:val="105"/>
          <w:sz w:val="14"/>
        </w:rPr>
        <w:t xml:space="preserve"> </w:t>
      </w:r>
      <w:r>
        <w:rPr>
          <w:rFonts w:ascii="Arial" w:hAnsi="Arial"/>
          <w:color w:val="5B6761"/>
          <w:w w:val="105"/>
          <w:sz w:val="14"/>
        </w:rPr>
        <w:t>a</w:t>
      </w:r>
      <w:r>
        <w:rPr>
          <w:rFonts w:ascii="Arial" w:hAnsi="Arial"/>
          <w:color w:val="5B6761"/>
          <w:spacing w:val="-21"/>
          <w:w w:val="105"/>
          <w:sz w:val="14"/>
        </w:rPr>
        <w:t xml:space="preserve"> </w:t>
      </w:r>
      <w:r>
        <w:rPr>
          <w:rFonts w:ascii="Arial" w:hAnsi="Arial"/>
          <w:color w:val="5B6761"/>
          <w:w w:val="105"/>
          <w:sz w:val="14"/>
        </w:rPr>
        <w:t>TGA</w:t>
      </w:r>
      <w:r>
        <w:rPr>
          <w:rFonts w:ascii="Arial" w:hAnsi="Arial"/>
          <w:color w:val="5B6761"/>
          <w:spacing w:val="-21"/>
          <w:w w:val="105"/>
          <w:sz w:val="14"/>
        </w:rPr>
        <w:t xml:space="preserve"> </w:t>
      </w:r>
      <w:r>
        <w:rPr>
          <w:rFonts w:ascii="Arial" w:hAnsi="Arial"/>
          <w:color w:val="5B6761"/>
          <w:w w:val="105"/>
          <w:sz w:val="14"/>
        </w:rPr>
        <w:t>sponsored</w:t>
      </w:r>
      <w:r>
        <w:rPr>
          <w:rFonts w:ascii="Arial" w:hAnsi="Arial"/>
          <w:color w:val="5B6761"/>
          <w:spacing w:val="-20"/>
          <w:w w:val="105"/>
          <w:sz w:val="14"/>
        </w:rPr>
        <w:t xml:space="preserve"> </w:t>
      </w:r>
      <w:r>
        <w:rPr>
          <w:rFonts w:ascii="Arial" w:hAnsi="Arial"/>
          <w:color w:val="5B6761"/>
          <w:w w:val="105"/>
          <w:sz w:val="14"/>
        </w:rPr>
        <w:t>stakeholder</w:t>
      </w:r>
      <w:r>
        <w:rPr>
          <w:rFonts w:ascii="Arial" w:hAnsi="Arial"/>
          <w:color w:val="5B6761"/>
          <w:spacing w:val="-21"/>
          <w:w w:val="105"/>
          <w:sz w:val="14"/>
        </w:rPr>
        <w:t xml:space="preserve"> </w:t>
      </w:r>
      <w:r>
        <w:rPr>
          <w:rFonts w:ascii="Arial" w:hAnsi="Arial"/>
          <w:color w:val="5B6761"/>
          <w:w w:val="105"/>
          <w:sz w:val="14"/>
        </w:rPr>
        <w:t>workshop</w:t>
      </w:r>
      <w:r>
        <w:rPr>
          <w:rFonts w:ascii="Arial" w:hAnsi="Arial"/>
          <w:color w:val="5B6761"/>
          <w:spacing w:val="-20"/>
          <w:w w:val="105"/>
          <w:sz w:val="14"/>
        </w:rPr>
        <w:t xml:space="preserve"> </w:t>
      </w:r>
      <w:r>
        <w:rPr>
          <w:rFonts w:ascii="Arial" w:hAnsi="Arial"/>
          <w:color w:val="5B6761"/>
          <w:w w:val="105"/>
          <w:sz w:val="14"/>
        </w:rPr>
        <w:t>is</w:t>
      </w:r>
      <w:r>
        <w:rPr>
          <w:rFonts w:ascii="Arial" w:hAnsi="Arial"/>
          <w:color w:val="5B6761"/>
          <w:spacing w:val="-21"/>
          <w:w w:val="105"/>
          <w:sz w:val="14"/>
        </w:rPr>
        <w:t xml:space="preserve"> </w:t>
      </w:r>
      <w:r>
        <w:rPr>
          <w:rFonts w:ascii="Arial" w:hAnsi="Arial"/>
          <w:color w:val="5B6761"/>
          <w:w w:val="105"/>
          <w:sz w:val="14"/>
        </w:rPr>
        <w:t>considered</w:t>
      </w:r>
      <w:r>
        <w:rPr>
          <w:rFonts w:ascii="Arial" w:hAnsi="Arial"/>
          <w:color w:val="5B6761"/>
          <w:spacing w:val="-20"/>
          <w:w w:val="105"/>
          <w:sz w:val="14"/>
        </w:rPr>
        <w:t xml:space="preserve"> </w:t>
      </w:r>
      <w:r>
        <w:rPr>
          <w:rFonts w:ascii="Arial" w:hAnsi="Arial"/>
          <w:color w:val="5B6761"/>
          <w:w w:val="105"/>
          <w:sz w:val="14"/>
        </w:rPr>
        <w:t>a business</w:t>
      </w:r>
      <w:r>
        <w:rPr>
          <w:rFonts w:ascii="Arial" w:hAnsi="Arial"/>
          <w:color w:val="5B6761"/>
          <w:spacing w:val="-17"/>
          <w:w w:val="105"/>
          <w:sz w:val="14"/>
        </w:rPr>
        <w:t xml:space="preserve"> </w:t>
      </w:r>
      <w:r>
        <w:rPr>
          <w:rFonts w:ascii="Arial" w:hAnsi="Arial"/>
          <w:color w:val="5B6761"/>
          <w:w w:val="105"/>
          <w:sz w:val="14"/>
        </w:rPr>
        <w:t>decision</w:t>
      </w:r>
      <w:r>
        <w:rPr>
          <w:rFonts w:ascii="Arial" w:hAnsi="Arial"/>
          <w:color w:val="5B6761"/>
          <w:spacing w:val="-15"/>
          <w:w w:val="105"/>
          <w:sz w:val="14"/>
        </w:rPr>
        <w:t xml:space="preserve"> </w:t>
      </w:r>
      <w:r>
        <w:rPr>
          <w:rFonts w:ascii="Arial" w:hAnsi="Arial"/>
          <w:color w:val="5B6761"/>
          <w:w w:val="105"/>
          <w:sz w:val="14"/>
        </w:rPr>
        <w:t>and</w:t>
      </w:r>
      <w:r>
        <w:rPr>
          <w:rFonts w:ascii="Arial" w:hAnsi="Arial"/>
          <w:color w:val="5B6761"/>
          <w:spacing w:val="-16"/>
          <w:w w:val="105"/>
          <w:sz w:val="14"/>
        </w:rPr>
        <w:t xml:space="preserve"> </w:t>
      </w:r>
      <w:r>
        <w:rPr>
          <w:rFonts w:ascii="Arial" w:hAnsi="Arial"/>
          <w:color w:val="5B6761"/>
          <w:w w:val="105"/>
          <w:sz w:val="14"/>
        </w:rPr>
        <w:t>not</w:t>
      </w:r>
      <w:r>
        <w:rPr>
          <w:rFonts w:ascii="Arial" w:hAnsi="Arial"/>
          <w:color w:val="5B6761"/>
          <w:spacing w:val="-15"/>
          <w:w w:val="105"/>
          <w:sz w:val="14"/>
        </w:rPr>
        <w:t xml:space="preserve"> </w:t>
      </w:r>
      <w:r>
        <w:rPr>
          <w:rFonts w:ascii="Arial" w:hAnsi="Arial"/>
          <w:color w:val="5B6761"/>
          <w:w w:val="105"/>
          <w:sz w:val="14"/>
        </w:rPr>
        <w:t>necessarily</w:t>
      </w:r>
      <w:r>
        <w:rPr>
          <w:rFonts w:ascii="Arial" w:hAnsi="Arial"/>
          <w:color w:val="5B6761"/>
          <w:spacing w:val="-16"/>
          <w:w w:val="105"/>
          <w:sz w:val="14"/>
        </w:rPr>
        <w:t xml:space="preserve"> </w:t>
      </w:r>
      <w:r>
        <w:rPr>
          <w:rFonts w:ascii="Arial" w:hAnsi="Arial"/>
          <w:color w:val="5B6761"/>
          <w:w w:val="105"/>
          <w:sz w:val="14"/>
        </w:rPr>
        <w:t>the</w:t>
      </w:r>
      <w:r>
        <w:rPr>
          <w:rFonts w:ascii="Arial" w:hAnsi="Arial"/>
          <w:color w:val="5B6761"/>
          <w:spacing w:val="-17"/>
          <w:w w:val="105"/>
          <w:sz w:val="14"/>
        </w:rPr>
        <w:t xml:space="preserve"> </w:t>
      </w:r>
      <w:r>
        <w:rPr>
          <w:rFonts w:ascii="Arial" w:hAnsi="Arial"/>
          <w:color w:val="5B6761"/>
          <w:w w:val="105"/>
          <w:sz w:val="14"/>
        </w:rPr>
        <w:t>action</w:t>
      </w:r>
      <w:r>
        <w:rPr>
          <w:rFonts w:ascii="Arial" w:hAnsi="Arial"/>
          <w:color w:val="5B6761"/>
          <w:spacing w:val="-16"/>
          <w:w w:val="105"/>
          <w:sz w:val="14"/>
        </w:rPr>
        <w:t xml:space="preserve"> </w:t>
      </w:r>
      <w:r>
        <w:rPr>
          <w:rFonts w:ascii="Arial" w:hAnsi="Arial"/>
          <w:color w:val="5B6761"/>
          <w:w w:val="105"/>
          <w:sz w:val="14"/>
        </w:rPr>
        <w:t>of</w:t>
      </w:r>
      <w:r>
        <w:rPr>
          <w:rFonts w:ascii="Arial" w:hAnsi="Arial"/>
          <w:color w:val="5B6761"/>
          <w:spacing w:val="-16"/>
          <w:w w:val="105"/>
          <w:sz w:val="14"/>
        </w:rPr>
        <w:t xml:space="preserve"> </w:t>
      </w:r>
      <w:proofErr w:type="gramStart"/>
      <w:r>
        <w:rPr>
          <w:rFonts w:ascii="Arial" w:hAnsi="Arial"/>
          <w:color w:val="5B6761"/>
          <w:w w:val="105"/>
          <w:sz w:val="14"/>
        </w:rPr>
        <w:t>the</w:t>
      </w:r>
      <w:r>
        <w:rPr>
          <w:rFonts w:ascii="Arial" w:hAnsi="Arial"/>
          <w:color w:val="5B6761"/>
          <w:spacing w:val="-17"/>
          <w:w w:val="105"/>
          <w:sz w:val="14"/>
        </w:rPr>
        <w:t xml:space="preserve"> </w:t>
      </w:r>
      <w:r>
        <w:rPr>
          <w:rFonts w:ascii="Arial" w:hAnsi="Arial"/>
          <w:color w:val="5B6761"/>
          <w:w w:val="105"/>
          <w:sz w:val="14"/>
        </w:rPr>
        <w:t>a</w:t>
      </w:r>
      <w:proofErr w:type="gramEnd"/>
      <w:r>
        <w:rPr>
          <w:rFonts w:ascii="Arial" w:hAnsi="Arial"/>
          <w:color w:val="5B6761"/>
          <w:spacing w:val="-16"/>
          <w:w w:val="105"/>
          <w:sz w:val="14"/>
        </w:rPr>
        <w:t xml:space="preserve"> </w:t>
      </w:r>
      <w:r>
        <w:rPr>
          <w:rFonts w:ascii="Arial" w:hAnsi="Arial"/>
          <w:color w:val="5B6761"/>
          <w:w w:val="105"/>
          <w:sz w:val="14"/>
        </w:rPr>
        <w:t>‘normal</w:t>
      </w:r>
      <w:r>
        <w:rPr>
          <w:rFonts w:ascii="Arial" w:hAnsi="Arial"/>
          <w:color w:val="5B6761"/>
          <w:spacing w:val="-16"/>
          <w:w w:val="105"/>
          <w:sz w:val="14"/>
        </w:rPr>
        <w:t xml:space="preserve"> </w:t>
      </w:r>
      <w:r>
        <w:rPr>
          <w:rFonts w:ascii="Arial" w:hAnsi="Arial"/>
          <w:color w:val="5B6761"/>
          <w:w w:val="105"/>
          <w:sz w:val="14"/>
        </w:rPr>
        <w:t>efficient</w:t>
      </w:r>
      <w:r>
        <w:rPr>
          <w:rFonts w:ascii="Arial" w:hAnsi="Arial"/>
          <w:color w:val="5B6761"/>
          <w:spacing w:val="-15"/>
          <w:w w:val="105"/>
          <w:sz w:val="14"/>
        </w:rPr>
        <w:t xml:space="preserve"> </w:t>
      </w:r>
      <w:r>
        <w:rPr>
          <w:rFonts w:ascii="Arial" w:hAnsi="Arial"/>
          <w:color w:val="5B6761"/>
          <w:w w:val="105"/>
          <w:sz w:val="14"/>
        </w:rPr>
        <w:t>business’,</w:t>
      </w:r>
      <w:r>
        <w:rPr>
          <w:rFonts w:ascii="Arial" w:hAnsi="Arial"/>
          <w:color w:val="5B6761"/>
          <w:spacing w:val="-17"/>
          <w:w w:val="105"/>
          <w:sz w:val="14"/>
        </w:rPr>
        <w:t xml:space="preserve"> </w:t>
      </w:r>
      <w:r>
        <w:rPr>
          <w:rFonts w:ascii="Arial" w:hAnsi="Arial"/>
          <w:color w:val="5B6761"/>
          <w:w w:val="105"/>
          <w:sz w:val="14"/>
        </w:rPr>
        <w:t>and</w:t>
      </w:r>
      <w:r>
        <w:rPr>
          <w:rFonts w:ascii="Arial" w:hAnsi="Arial"/>
          <w:color w:val="5B6761"/>
          <w:spacing w:val="-15"/>
          <w:w w:val="105"/>
          <w:sz w:val="14"/>
        </w:rPr>
        <w:t xml:space="preserve"> </w:t>
      </w:r>
      <w:r>
        <w:rPr>
          <w:rFonts w:ascii="Arial" w:hAnsi="Arial"/>
          <w:color w:val="5B6761"/>
          <w:w w:val="105"/>
          <w:sz w:val="14"/>
        </w:rPr>
        <w:t>therefore</w:t>
      </w:r>
      <w:r>
        <w:rPr>
          <w:rFonts w:ascii="Arial" w:hAnsi="Arial"/>
          <w:color w:val="5B6761"/>
          <w:spacing w:val="-17"/>
          <w:w w:val="105"/>
          <w:sz w:val="14"/>
        </w:rPr>
        <w:t xml:space="preserve"> </w:t>
      </w:r>
      <w:r>
        <w:rPr>
          <w:rFonts w:ascii="Arial" w:hAnsi="Arial"/>
          <w:color w:val="5B6761"/>
          <w:w w:val="105"/>
          <w:sz w:val="14"/>
        </w:rPr>
        <w:t>is</w:t>
      </w:r>
      <w:r>
        <w:rPr>
          <w:rFonts w:ascii="Arial" w:hAnsi="Arial"/>
          <w:color w:val="5B6761"/>
          <w:spacing w:val="-16"/>
          <w:w w:val="105"/>
          <w:sz w:val="14"/>
        </w:rPr>
        <w:t xml:space="preserve"> </w:t>
      </w:r>
      <w:r>
        <w:rPr>
          <w:rFonts w:ascii="Arial" w:hAnsi="Arial"/>
          <w:color w:val="5B6761"/>
          <w:w w:val="105"/>
          <w:sz w:val="14"/>
        </w:rPr>
        <w:t>excluded</w:t>
      </w:r>
      <w:r>
        <w:rPr>
          <w:rFonts w:ascii="Arial" w:hAnsi="Arial"/>
          <w:color w:val="5B6761"/>
          <w:spacing w:val="-16"/>
          <w:w w:val="105"/>
          <w:sz w:val="14"/>
        </w:rPr>
        <w:t xml:space="preserve"> </w:t>
      </w:r>
      <w:r>
        <w:rPr>
          <w:rFonts w:ascii="Arial" w:hAnsi="Arial"/>
          <w:color w:val="5B6761"/>
          <w:w w:val="105"/>
          <w:sz w:val="14"/>
        </w:rPr>
        <w:t>from</w:t>
      </w:r>
      <w:r>
        <w:rPr>
          <w:rFonts w:ascii="Arial" w:hAnsi="Arial"/>
          <w:color w:val="5B6761"/>
          <w:spacing w:val="-16"/>
          <w:w w:val="105"/>
          <w:sz w:val="14"/>
        </w:rPr>
        <w:t xml:space="preserve"> </w:t>
      </w:r>
      <w:r>
        <w:rPr>
          <w:rFonts w:ascii="Arial" w:hAnsi="Arial"/>
          <w:color w:val="5B6761"/>
          <w:w w:val="105"/>
          <w:sz w:val="14"/>
        </w:rPr>
        <w:t>the</w:t>
      </w:r>
      <w:r>
        <w:rPr>
          <w:rFonts w:ascii="Arial" w:hAnsi="Arial"/>
          <w:color w:val="5B6761"/>
          <w:spacing w:val="-17"/>
          <w:w w:val="105"/>
          <w:sz w:val="14"/>
        </w:rPr>
        <w:t xml:space="preserve"> </w:t>
      </w:r>
      <w:r>
        <w:rPr>
          <w:rFonts w:ascii="Arial" w:hAnsi="Arial"/>
          <w:color w:val="5B6761"/>
          <w:w w:val="105"/>
          <w:sz w:val="14"/>
        </w:rPr>
        <w:t>regulatory costing.</w:t>
      </w:r>
    </w:p>
    <w:p w:rsidR="007D76BB" w:rsidRDefault="00D70D28">
      <w:pPr>
        <w:spacing w:before="59" w:line="268" w:lineRule="auto"/>
        <w:ind w:left="594" w:right="688" w:hanging="113"/>
        <w:rPr>
          <w:rFonts w:ascii="Arial"/>
          <w:sz w:val="14"/>
        </w:rPr>
      </w:pPr>
      <w:r>
        <w:rPr>
          <w:rFonts w:ascii="Arial"/>
          <w:color w:val="5B6761"/>
          <w:w w:val="105"/>
          <w:position w:val="5"/>
          <w:sz w:val="8"/>
        </w:rPr>
        <w:t>65</w:t>
      </w:r>
      <w:r>
        <w:rPr>
          <w:rFonts w:ascii="Arial"/>
          <w:color w:val="5B6761"/>
          <w:spacing w:val="-2"/>
          <w:w w:val="105"/>
          <w:position w:val="5"/>
          <w:sz w:val="8"/>
        </w:rPr>
        <w:t xml:space="preserve"> </w:t>
      </w:r>
      <w:r>
        <w:rPr>
          <w:rFonts w:ascii="Arial"/>
          <w:color w:val="5B6761"/>
          <w:w w:val="105"/>
          <w:sz w:val="14"/>
        </w:rPr>
        <w:t>This</w:t>
      </w:r>
      <w:r>
        <w:rPr>
          <w:rFonts w:ascii="Arial"/>
          <w:color w:val="5B6761"/>
          <w:spacing w:val="-21"/>
          <w:w w:val="105"/>
          <w:sz w:val="14"/>
        </w:rPr>
        <w:t xml:space="preserve"> </w:t>
      </w:r>
      <w:r>
        <w:rPr>
          <w:rFonts w:ascii="Arial"/>
          <w:color w:val="5B6761"/>
          <w:w w:val="105"/>
          <w:sz w:val="14"/>
        </w:rPr>
        <w:t>equates</w:t>
      </w:r>
      <w:r>
        <w:rPr>
          <w:rFonts w:ascii="Arial"/>
          <w:color w:val="5B6761"/>
          <w:spacing w:val="-20"/>
          <w:w w:val="105"/>
          <w:sz w:val="14"/>
        </w:rPr>
        <w:t xml:space="preserve"> </w:t>
      </w:r>
      <w:r>
        <w:rPr>
          <w:rFonts w:ascii="Arial"/>
          <w:color w:val="5B6761"/>
          <w:w w:val="105"/>
          <w:sz w:val="14"/>
        </w:rPr>
        <w:t>to</w:t>
      </w:r>
      <w:r>
        <w:rPr>
          <w:rFonts w:ascii="Arial"/>
          <w:color w:val="5B6761"/>
          <w:spacing w:val="-21"/>
          <w:w w:val="105"/>
          <w:sz w:val="14"/>
        </w:rPr>
        <w:t xml:space="preserve"> </w:t>
      </w:r>
      <w:r>
        <w:rPr>
          <w:rFonts w:ascii="Arial"/>
          <w:color w:val="5B6761"/>
          <w:w w:val="105"/>
          <w:sz w:val="14"/>
        </w:rPr>
        <w:t>a</w:t>
      </w:r>
      <w:r>
        <w:rPr>
          <w:rFonts w:ascii="Arial"/>
          <w:color w:val="5B6761"/>
          <w:spacing w:val="-20"/>
          <w:w w:val="105"/>
          <w:sz w:val="14"/>
        </w:rPr>
        <w:t xml:space="preserve"> </w:t>
      </w:r>
      <w:r>
        <w:rPr>
          <w:rFonts w:ascii="Arial"/>
          <w:color w:val="5B6761"/>
          <w:w w:val="105"/>
          <w:sz w:val="14"/>
        </w:rPr>
        <w:t>projected</w:t>
      </w:r>
      <w:r>
        <w:rPr>
          <w:rFonts w:ascii="Arial"/>
          <w:color w:val="5B6761"/>
          <w:spacing w:val="-20"/>
          <w:w w:val="105"/>
          <w:sz w:val="14"/>
        </w:rPr>
        <w:t xml:space="preserve"> </w:t>
      </w:r>
      <w:r>
        <w:rPr>
          <w:rFonts w:ascii="Arial"/>
          <w:color w:val="5B6761"/>
          <w:w w:val="105"/>
          <w:sz w:val="14"/>
        </w:rPr>
        <w:t>new</w:t>
      </w:r>
      <w:r>
        <w:rPr>
          <w:rFonts w:ascii="Arial"/>
          <w:color w:val="5B6761"/>
          <w:spacing w:val="-20"/>
          <w:w w:val="105"/>
          <w:sz w:val="14"/>
        </w:rPr>
        <w:t xml:space="preserve"> </w:t>
      </w:r>
      <w:r>
        <w:rPr>
          <w:rFonts w:ascii="Arial"/>
          <w:color w:val="5B6761"/>
          <w:w w:val="105"/>
          <w:sz w:val="14"/>
        </w:rPr>
        <w:t>sponsor</w:t>
      </w:r>
      <w:r>
        <w:rPr>
          <w:rFonts w:ascii="Arial"/>
          <w:color w:val="5B6761"/>
          <w:spacing w:val="-20"/>
          <w:w w:val="105"/>
          <w:sz w:val="14"/>
        </w:rPr>
        <w:t xml:space="preserve"> </w:t>
      </w:r>
      <w:r>
        <w:rPr>
          <w:rFonts w:ascii="Arial"/>
          <w:color w:val="5B6761"/>
          <w:w w:val="105"/>
          <w:sz w:val="14"/>
        </w:rPr>
        <w:t>population</w:t>
      </w:r>
      <w:r>
        <w:rPr>
          <w:rFonts w:ascii="Arial"/>
          <w:color w:val="5B6761"/>
          <w:spacing w:val="-20"/>
          <w:w w:val="105"/>
          <w:sz w:val="14"/>
        </w:rPr>
        <w:t xml:space="preserve"> </w:t>
      </w:r>
      <w:r>
        <w:rPr>
          <w:rFonts w:ascii="Arial"/>
          <w:color w:val="5B6761"/>
          <w:w w:val="105"/>
          <w:sz w:val="14"/>
        </w:rPr>
        <w:t>of</w:t>
      </w:r>
      <w:r>
        <w:rPr>
          <w:rFonts w:ascii="Arial"/>
          <w:color w:val="5B6761"/>
          <w:spacing w:val="-21"/>
          <w:w w:val="105"/>
          <w:sz w:val="14"/>
        </w:rPr>
        <w:t xml:space="preserve"> </w:t>
      </w:r>
      <w:r>
        <w:rPr>
          <w:rFonts w:ascii="Arial"/>
          <w:color w:val="5B6761"/>
          <w:w w:val="105"/>
          <w:sz w:val="14"/>
        </w:rPr>
        <w:t>28</w:t>
      </w:r>
      <w:r>
        <w:rPr>
          <w:rFonts w:ascii="Arial"/>
          <w:color w:val="5B6761"/>
          <w:spacing w:val="-21"/>
          <w:w w:val="105"/>
          <w:sz w:val="14"/>
        </w:rPr>
        <w:t xml:space="preserve"> </w:t>
      </w:r>
      <w:r>
        <w:rPr>
          <w:rFonts w:ascii="Arial"/>
          <w:color w:val="5B6761"/>
          <w:w w:val="105"/>
          <w:sz w:val="14"/>
        </w:rPr>
        <w:t>for</w:t>
      </w:r>
      <w:r>
        <w:rPr>
          <w:rFonts w:ascii="Arial"/>
          <w:color w:val="5B6761"/>
          <w:spacing w:val="-20"/>
          <w:w w:val="105"/>
          <w:sz w:val="14"/>
        </w:rPr>
        <w:t xml:space="preserve"> </w:t>
      </w:r>
      <w:r>
        <w:rPr>
          <w:rFonts w:ascii="Arial"/>
          <w:color w:val="5B6761"/>
          <w:w w:val="105"/>
          <w:sz w:val="14"/>
        </w:rPr>
        <w:t>sports</w:t>
      </w:r>
      <w:r>
        <w:rPr>
          <w:rFonts w:ascii="Arial"/>
          <w:color w:val="5B6761"/>
          <w:spacing w:val="-20"/>
          <w:w w:val="105"/>
          <w:sz w:val="14"/>
        </w:rPr>
        <w:t xml:space="preserve"> </w:t>
      </w:r>
      <w:r>
        <w:rPr>
          <w:rFonts w:ascii="Arial"/>
          <w:color w:val="5B6761"/>
          <w:w w:val="105"/>
          <w:sz w:val="14"/>
        </w:rPr>
        <w:t>supplements.</w:t>
      </w:r>
      <w:r>
        <w:rPr>
          <w:rFonts w:ascii="Arial"/>
          <w:color w:val="5B6761"/>
          <w:spacing w:val="-20"/>
          <w:w w:val="105"/>
          <w:sz w:val="14"/>
        </w:rPr>
        <w:t xml:space="preserve"> </w:t>
      </w:r>
      <w:r>
        <w:rPr>
          <w:rFonts w:ascii="Arial"/>
          <w:color w:val="5B6761"/>
          <w:w w:val="105"/>
          <w:sz w:val="14"/>
        </w:rPr>
        <w:t>Therefore</w:t>
      </w:r>
      <w:r>
        <w:rPr>
          <w:rFonts w:ascii="Arial"/>
          <w:color w:val="5B6761"/>
          <w:spacing w:val="-22"/>
          <w:w w:val="105"/>
          <w:sz w:val="14"/>
        </w:rPr>
        <w:t xml:space="preserve"> </w:t>
      </w:r>
      <w:r>
        <w:rPr>
          <w:rFonts w:ascii="Arial"/>
          <w:color w:val="5B6761"/>
          <w:w w:val="105"/>
          <w:sz w:val="14"/>
        </w:rPr>
        <w:t>the</w:t>
      </w:r>
      <w:r>
        <w:rPr>
          <w:rFonts w:ascii="Arial"/>
          <w:color w:val="5B6761"/>
          <w:spacing w:val="-21"/>
          <w:w w:val="105"/>
          <w:sz w:val="14"/>
        </w:rPr>
        <w:t xml:space="preserve"> </w:t>
      </w:r>
      <w:r>
        <w:rPr>
          <w:rFonts w:ascii="Arial"/>
          <w:color w:val="5B6761"/>
          <w:w w:val="105"/>
          <w:sz w:val="14"/>
        </w:rPr>
        <w:t>projected</w:t>
      </w:r>
      <w:r>
        <w:rPr>
          <w:rFonts w:ascii="Arial"/>
          <w:color w:val="5B6761"/>
          <w:spacing w:val="-19"/>
          <w:w w:val="105"/>
          <w:sz w:val="14"/>
        </w:rPr>
        <w:t xml:space="preserve"> </w:t>
      </w:r>
      <w:r>
        <w:rPr>
          <w:rFonts w:ascii="Arial"/>
          <w:color w:val="5B6761"/>
          <w:w w:val="105"/>
          <w:sz w:val="14"/>
        </w:rPr>
        <w:t>increase</w:t>
      </w:r>
      <w:r>
        <w:rPr>
          <w:rFonts w:ascii="Arial"/>
          <w:color w:val="5B6761"/>
          <w:spacing w:val="-22"/>
          <w:w w:val="105"/>
          <w:sz w:val="14"/>
        </w:rPr>
        <w:t xml:space="preserve"> </w:t>
      </w:r>
      <w:r>
        <w:rPr>
          <w:rFonts w:ascii="Arial"/>
          <w:color w:val="5B6761"/>
          <w:w w:val="105"/>
          <w:sz w:val="14"/>
        </w:rPr>
        <w:t>of</w:t>
      </w:r>
      <w:r>
        <w:rPr>
          <w:rFonts w:ascii="Arial"/>
          <w:color w:val="5B6761"/>
          <w:spacing w:val="-21"/>
          <w:w w:val="105"/>
          <w:sz w:val="14"/>
        </w:rPr>
        <w:t xml:space="preserve"> </w:t>
      </w:r>
      <w:r>
        <w:rPr>
          <w:rFonts w:ascii="Arial"/>
          <w:color w:val="5B6761"/>
          <w:w w:val="105"/>
          <w:sz w:val="14"/>
        </w:rPr>
        <w:t>87</w:t>
      </w:r>
      <w:r>
        <w:rPr>
          <w:rFonts w:ascii="Arial"/>
          <w:color w:val="5B6761"/>
          <w:spacing w:val="-21"/>
          <w:w w:val="105"/>
          <w:sz w:val="14"/>
        </w:rPr>
        <w:t xml:space="preserve"> </w:t>
      </w:r>
      <w:r>
        <w:rPr>
          <w:rFonts w:ascii="Arial"/>
          <w:color w:val="5B6761"/>
          <w:w w:val="105"/>
          <w:sz w:val="14"/>
        </w:rPr>
        <w:t>new</w:t>
      </w:r>
      <w:r>
        <w:rPr>
          <w:rFonts w:ascii="Arial"/>
          <w:color w:val="5B6761"/>
          <w:spacing w:val="-20"/>
          <w:w w:val="105"/>
          <w:sz w:val="14"/>
        </w:rPr>
        <w:t xml:space="preserve"> </w:t>
      </w:r>
      <w:r>
        <w:rPr>
          <w:rFonts w:ascii="Arial"/>
          <w:color w:val="5B6761"/>
          <w:w w:val="105"/>
          <w:sz w:val="14"/>
        </w:rPr>
        <w:t>ARTG listings</w:t>
      </w:r>
      <w:r>
        <w:rPr>
          <w:rFonts w:ascii="Arial"/>
          <w:color w:val="5B6761"/>
          <w:spacing w:val="-9"/>
          <w:w w:val="105"/>
          <w:sz w:val="14"/>
        </w:rPr>
        <w:t xml:space="preserve"> </w:t>
      </w:r>
      <w:r>
        <w:rPr>
          <w:rFonts w:ascii="Arial"/>
          <w:color w:val="5B6761"/>
          <w:w w:val="105"/>
          <w:sz w:val="14"/>
        </w:rPr>
        <w:t>equates</w:t>
      </w:r>
      <w:r>
        <w:rPr>
          <w:rFonts w:ascii="Arial"/>
          <w:color w:val="5B6761"/>
          <w:spacing w:val="-9"/>
          <w:w w:val="105"/>
          <w:sz w:val="14"/>
        </w:rPr>
        <w:t xml:space="preserve"> </w:t>
      </w:r>
      <w:r>
        <w:rPr>
          <w:rFonts w:ascii="Arial"/>
          <w:color w:val="5B6761"/>
          <w:w w:val="105"/>
          <w:sz w:val="14"/>
        </w:rPr>
        <w:t>to</w:t>
      </w:r>
      <w:r>
        <w:rPr>
          <w:rFonts w:ascii="Arial"/>
          <w:color w:val="5B6761"/>
          <w:spacing w:val="-10"/>
          <w:w w:val="105"/>
          <w:sz w:val="14"/>
        </w:rPr>
        <w:t xml:space="preserve"> </w:t>
      </w:r>
      <w:r>
        <w:rPr>
          <w:rFonts w:ascii="Arial"/>
          <w:color w:val="5B6761"/>
          <w:w w:val="105"/>
          <w:sz w:val="14"/>
        </w:rPr>
        <w:t>an</w:t>
      </w:r>
      <w:r>
        <w:rPr>
          <w:rFonts w:ascii="Arial"/>
          <w:color w:val="5B6761"/>
          <w:spacing w:val="-8"/>
          <w:w w:val="105"/>
          <w:sz w:val="14"/>
        </w:rPr>
        <w:t xml:space="preserve"> </w:t>
      </w:r>
      <w:r>
        <w:rPr>
          <w:rFonts w:ascii="Arial"/>
          <w:color w:val="5B6761"/>
          <w:w w:val="105"/>
          <w:sz w:val="14"/>
        </w:rPr>
        <w:t>average</w:t>
      </w:r>
      <w:r>
        <w:rPr>
          <w:rFonts w:ascii="Arial"/>
          <w:color w:val="5B6761"/>
          <w:spacing w:val="-10"/>
          <w:w w:val="105"/>
          <w:sz w:val="14"/>
        </w:rPr>
        <w:t xml:space="preserve"> </w:t>
      </w:r>
      <w:r>
        <w:rPr>
          <w:rFonts w:ascii="Arial"/>
          <w:color w:val="5B6761"/>
          <w:w w:val="105"/>
          <w:sz w:val="14"/>
        </w:rPr>
        <w:t>of</w:t>
      </w:r>
      <w:r>
        <w:rPr>
          <w:rFonts w:ascii="Arial"/>
          <w:color w:val="5B6761"/>
          <w:spacing w:val="-10"/>
          <w:w w:val="105"/>
          <w:sz w:val="14"/>
        </w:rPr>
        <w:t xml:space="preserve"> </w:t>
      </w:r>
      <w:r>
        <w:rPr>
          <w:rFonts w:ascii="Arial"/>
          <w:color w:val="5B6761"/>
          <w:w w:val="105"/>
          <w:sz w:val="14"/>
        </w:rPr>
        <w:t>three</w:t>
      </w:r>
      <w:r>
        <w:rPr>
          <w:rFonts w:ascii="Arial"/>
          <w:color w:val="5B6761"/>
          <w:spacing w:val="-10"/>
          <w:w w:val="105"/>
          <w:sz w:val="14"/>
        </w:rPr>
        <w:t xml:space="preserve"> </w:t>
      </w:r>
      <w:r>
        <w:rPr>
          <w:rFonts w:ascii="Arial"/>
          <w:color w:val="5B6761"/>
          <w:w w:val="105"/>
          <w:sz w:val="14"/>
        </w:rPr>
        <w:t>new</w:t>
      </w:r>
      <w:r>
        <w:rPr>
          <w:rFonts w:ascii="Arial"/>
          <w:color w:val="5B6761"/>
          <w:spacing w:val="-8"/>
          <w:w w:val="105"/>
          <w:sz w:val="14"/>
        </w:rPr>
        <w:t xml:space="preserve"> </w:t>
      </w:r>
      <w:r>
        <w:rPr>
          <w:rFonts w:ascii="Arial"/>
          <w:color w:val="5B6761"/>
          <w:w w:val="105"/>
          <w:sz w:val="14"/>
        </w:rPr>
        <w:t>listings</w:t>
      </w:r>
      <w:r>
        <w:rPr>
          <w:rFonts w:ascii="Arial"/>
          <w:color w:val="5B6761"/>
          <w:spacing w:val="-9"/>
          <w:w w:val="105"/>
          <w:sz w:val="14"/>
        </w:rPr>
        <w:t xml:space="preserve"> </w:t>
      </w:r>
      <w:r>
        <w:rPr>
          <w:rFonts w:ascii="Arial"/>
          <w:color w:val="5B6761"/>
          <w:w w:val="105"/>
          <w:sz w:val="14"/>
        </w:rPr>
        <w:t>per</w:t>
      </w:r>
      <w:r>
        <w:rPr>
          <w:rFonts w:ascii="Arial"/>
          <w:color w:val="5B6761"/>
          <w:spacing w:val="-8"/>
          <w:w w:val="105"/>
          <w:sz w:val="14"/>
        </w:rPr>
        <w:t xml:space="preserve"> </w:t>
      </w:r>
      <w:r>
        <w:rPr>
          <w:rFonts w:ascii="Arial"/>
          <w:color w:val="5B6761"/>
          <w:w w:val="105"/>
          <w:sz w:val="14"/>
        </w:rPr>
        <w:t>sponsor.</w:t>
      </w:r>
    </w:p>
    <w:p w:rsidR="007D76BB" w:rsidRDefault="00D70D28">
      <w:pPr>
        <w:spacing w:before="59" w:line="268" w:lineRule="auto"/>
        <w:ind w:left="594" w:right="688" w:hanging="113"/>
        <w:rPr>
          <w:rFonts w:ascii="Arial"/>
          <w:sz w:val="14"/>
        </w:rPr>
      </w:pPr>
      <w:r>
        <w:rPr>
          <w:rFonts w:ascii="Arial"/>
          <w:color w:val="5B6761"/>
          <w:w w:val="105"/>
          <w:position w:val="5"/>
          <w:sz w:val="8"/>
        </w:rPr>
        <w:t xml:space="preserve">66 </w:t>
      </w:r>
      <w:r>
        <w:rPr>
          <w:rFonts w:ascii="Arial"/>
          <w:color w:val="5B6761"/>
          <w:w w:val="105"/>
          <w:sz w:val="14"/>
        </w:rPr>
        <w:t xml:space="preserve">It is noted that a range of explanatory material has already been produced by the TGA (including a consultation paper and the </w:t>
      </w:r>
      <w:proofErr w:type="spellStart"/>
      <w:r>
        <w:rPr>
          <w:rFonts w:ascii="Arial"/>
          <w:color w:val="5B6761"/>
          <w:w w:val="105"/>
          <w:sz w:val="14"/>
        </w:rPr>
        <w:t>Powerpoint</w:t>
      </w:r>
      <w:proofErr w:type="spellEnd"/>
      <w:r>
        <w:rPr>
          <w:rFonts w:ascii="Arial"/>
          <w:color w:val="5B6761"/>
          <w:spacing w:val="-19"/>
          <w:w w:val="105"/>
          <w:sz w:val="14"/>
        </w:rPr>
        <w:t xml:space="preserve"> </w:t>
      </w:r>
      <w:r>
        <w:rPr>
          <w:rFonts w:ascii="Arial"/>
          <w:color w:val="5B6761"/>
          <w:w w:val="105"/>
          <w:sz w:val="14"/>
        </w:rPr>
        <w:t>presentations</w:t>
      </w:r>
      <w:r>
        <w:rPr>
          <w:rFonts w:ascii="Arial"/>
          <w:color w:val="5B6761"/>
          <w:spacing w:val="-18"/>
          <w:w w:val="105"/>
          <w:sz w:val="14"/>
        </w:rPr>
        <w:t xml:space="preserve"> </w:t>
      </w:r>
      <w:r>
        <w:rPr>
          <w:rFonts w:ascii="Arial"/>
          <w:color w:val="5B6761"/>
          <w:w w:val="105"/>
          <w:sz w:val="14"/>
        </w:rPr>
        <w:t>from</w:t>
      </w:r>
      <w:r>
        <w:rPr>
          <w:rFonts w:ascii="Arial"/>
          <w:color w:val="5B6761"/>
          <w:spacing w:val="-20"/>
          <w:w w:val="105"/>
          <w:sz w:val="14"/>
        </w:rPr>
        <w:t xml:space="preserve"> </w:t>
      </w:r>
      <w:r>
        <w:rPr>
          <w:rFonts w:ascii="Arial"/>
          <w:color w:val="5B6761"/>
          <w:w w:val="105"/>
          <w:sz w:val="14"/>
        </w:rPr>
        <w:t>the</w:t>
      </w:r>
      <w:r>
        <w:rPr>
          <w:rFonts w:ascii="Arial"/>
          <w:color w:val="5B6761"/>
          <w:spacing w:val="-20"/>
          <w:w w:val="105"/>
          <w:sz w:val="14"/>
        </w:rPr>
        <w:t xml:space="preserve"> </w:t>
      </w:r>
      <w:r>
        <w:rPr>
          <w:rFonts w:ascii="Arial"/>
          <w:color w:val="5B6761"/>
          <w:w w:val="105"/>
          <w:sz w:val="14"/>
        </w:rPr>
        <w:t>stakeholder</w:t>
      </w:r>
      <w:r>
        <w:rPr>
          <w:rFonts w:ascii="Arial"/>
          <w:color w:val="5B6761"/>
          <w:spacing w:val="-19"/>
          <w:w w:val="105"/>
          <w:sz w:val="14"/>
        </w:rPr>
        <w:t xml:space="preserve"> </w:t>
      </w:r>
      <w:r>
        <w:rPr>
          <w:rFonts w:ascii="Arial"/>
          <w:color w:val="5B6761"/>
          <w:w w:val="105"/>
          <w:sz w:val="14"/>
        </w:rPr>
        <w:t>workshops)</w:t>
      </w:r>
      <w:r>
        <w:rPr>
          <w:rFonts w:ascii="Arial"/>
          <w:color w:val="5B6761"/>
          <w:spacing w:val="-19"/>
          <w:w w:val="105"/>
          <w:sz w:val="14"/>
        </w:rPr>
        <w:t xml:space="preserve"> </w:t>
      </w:r>
      <w:r>
        <w:rPr>
          <w:rFonts w:ascii="Arial"/>
          <w:color w:val="5B6761"/>
          <w:w w:val="105"/>
          <w:sz w:val="14"/>
        </w:rPr>
        <w:t>and</w:t>
      </w:r>
      <w:r>
        <w:rPr>
          <w:rFonts w:ascii="Arial"/>
          <w:color w:val="5B6761"/>
          <w:spacing w:val="-19"/>
          <w:w w:val="105"/>
          <w:sz w:val="14"/>
        </w:rPr>
        <w:t xml:space="preserve"> </w:t>
      </w:r>
      <w:r>
        <w:rPr>
          <w:rFonts w:ascii="Arial"/>
          <w:color w:val="5B6761"/>
          <w:w w:val="105"/>
          <w:sz w:val="14"/>
        </w:rPr>
        <w:t>while</w:t>
      </w:r>
      <w:r>
        <w:rPr>
          <w:rFonts w:ascii="Arial"/>
          <w:color w:val="5B6761"/>
          <w:spacing w:val="-20"/>
          <w:w w:val="105"/>
          <w:sz w:val="14"/>
        </w:rPr>
        <w:t xml:space="preserve"> </w:t>
      </w:r>
      <w:r>
        <w:rPr>
          <w:rFonts w:ascii="Arial"/>
          <w:color w:val="5B6761"/>
          <w:w w:val="105"/>
          <w:sz w:val="14"/>
        </w:rPr>
        <w:t>this</w:t>
      </w:r>
      <w:r>
        <w:rPr>
          <w:rFonts w:ascii="Arial"/>
          <w:color w:val="5B6761"/>
          <w:spacing w:val="-22"/>
          <w:w w:val="105"/>
          <w:sz w:val="14"/>
        </w:rPr>
        <w:t xml:space="preserve"> </w:t>
      </w:r>
      <w:r>
        <w:rPr>
          <w:rFonts w:ascii="Arial"/>
          <w:color w:val="5B6761"/>
          <w:w w:val="105"/>
          <w:sz w:val="14"/>
        </w:rPr>
        <w:t>would</w:t>
      </w:r>
      <w:r>
        <w:rPr>
          <w:rFonts w:ascii="Arial"/>
          <w:color w:val="5B6761"/>
          <w:spacing w:val="-18"/>
          <w:w w:val="105"/>
          <w:sz w:val="14"/>
        </w:rPr>
        <w:t xml:space="preserve"> </w:t>
      </w:r>
      <w:r>
        <w:rPr>
          <w:rFonts w:ascii="Arial"/>
          <w:color w:val="5B6761"/>
          <w:w w:val="105"/>
          <w:sz w:val="14"/>
        </w:rPr>
        <w:t>likely</w:t>
      </w:r>
      <w:r>
        <w:rPr>
          <w:rFonts w:ascii="Arial"/>
          <w:color w:val="5B6761"/>
          <w:spacing w:val="-20"/>
          <w:w w:val="105"/>
          <w:sz w:val="14"/>
        </w:rPr>
        <w:t xml:space="preserve"> </w:t>
      </w:r>
      <w:r>
        <w:rPr>
          <w:rFonts w:ascii="Arial"/>
          <w:color w:val="5B6761"/>
          <w:w w:val="105"/>
          <w:sz w:val="14"/>
        </w:rPr>
        <w:t>have</w:t>
      </w:r>
      <w:r>
        <w:rPr>
          <w:rFonts w:ascii="Arial"/>
          <w:color w:val="5B6761"/>
          <w:spacing w:val="-20"/>
          <w:w w:val="105"/>
          <w:sz w:val="14"/>
        </w:rPr>
        <w:t xml:space="preserve"> </w:t>
      </w:r>
      <w:r>
        <w:rPr>
          <w:rFonts w:ascii="Arial"/>
          <w:color w:val="5B6761"/>
          <w:w w:val="105"/>
          <w:sz w:val="14"/>
        </w:rPr>
        <w:t>been</w:t>
      </w:r>
      <w:r>
        <w:rPr>
          <w:rFonts w:ascii="Arial"/>
          <w:color w:val="5B6761"/>
          <w:spacing w:val="-19"/>
          <w:w w:val="105"/>
          <w:sz w:val="14"/>
        </w:rPr>
        <w:t xml:space="preserve"> </w:t>
      </w:r>
      <w:r>
        <w:rPr>
          <w:rFonts w:ascii="Arial"/>
          <w:color w:val="5B6761"/>
          <w:w w:val="105"/>
          <w:sz w:val="14"/>
        </w:rPr>
        <w:t>read</w:t>
      </w:r>
      <w:r>
        <w:rPr>
          <w:rFonts w:ascii="Arial"/>
          <w:color w:val="5B6761"/>
          <w:spacing w:val="-19"/>
          <w:w w:val="105"/>
          <w:sz w:val="14"/>
        </w:rPr>
        <w:t xml:space="preserve"> </w:t>
      </w:r>
      <w:r>
        <w:rPr>
          <w:rFonts w:ascii="Arial"/>
          <w:color w:val="5B6761"/>
          <w:w w:val="105"/>
          <w:sz w:val="14"/>
        </w:rPr>
        <w:t>by</w:t>
      </w:r>
      <w:r>
        <w:rPr>
          <w:rFonts w:ascii="Arial"/>
          <w:color w:val="5B6761"/>
          <w:spacing w:val="-20"/>
          <w:w w:val="105"/>
          <w:sz w:val="14"/>
        </w:rPr>
        <w:t xml:space="preserve"> </w:t>
      </w:r>
      <w:r>
        <w:rPr>
          <w:rFonts w:ascii="Arial"/>
          <w:color w:val="5B6761"/>
          <w:w w:val="105"/>
          <w:sz w:val="14"/>
        </w:rPr>
        <w:t>current</w:t>
      </w:r>
      <w:r>
        <w:rPr>
          <w:rFonts w:ascii="Arial"/>
          <w:color w:val="5B6761"/>
          <w:spacing w:val="-21"/>
          <w:w w:val="105"/>
          <w:sz w:val="14"/>
        </w:rPr>
        <w:t xml:space="preserve"> </w:t>
      </w:r>
      <w:r>
        <w:rPr>
          <w:rFonts w:ascii="Arial"/>
          <w:color w:val="5B6761"/>
          <w:w w:val="105"/>
          <w:sz w:val="14"/>
        </w:rPr>
        <w:t>sports</w:t>
      </w:r>
      <w:r>
        <w:rPr>
          <w:rFonts w:ascii="Arial"/>
          <w:color w:val="5B6761"/>
          <w:spacing w:val="-20"/>
          <w:w w:val="105"/>
          <w:sz w:val="14"/>
        </w:rPr>
        <w:t xml:space="preserve"> </w:t>
      </w:r>
      <w:r>
        <w:rPr>
          <w:rFonts w:ascii="Arial"/>
          <w:color w:val="5B6761"/>
          <w:w w:val="105"/>
          <w:sz w:val="14"/>
        </w:rPr>
        <w:t>supplements manufacturers</w:t>
      </w:r>
      <w:r>
        <w:rPr>
          <w:rFonts w:ascii="Arial"/>
          <w:color w:val="5B6761"/>
          <w:spacing w:val="-19"/>
          <w:w w:val="105"/>
          <w:sz w:val="14"/>
        </w:rPr>
        <w:t xml:space="preserve"> </w:t>
      </w:r>
      <w:r>
        <w:rPr>
          <w:rFonts w:ascii="Arial"/>
          <w:color w:val="5B6761"/>
          <w:w w:val="105"/>
          <w:sz w:val="14"/>
        </w:rPr>
        <w:t>and</w:t>
      </w:r>
      <w:r>
        <w:rPr>
          <w:rFonts w:ascii="Arial"/>
          <w:color w:val="5B6761"/>
          <w:spacing w:val="-19"/>
          <w:w w:val="105"/>
          <w:sz w:val="14"/>
        </w:rPr>
        <w:t xml:space="preserve"> </w:t>
      </w:r>
      <w:r>
        <w:rPr>
          <w:rFonts w:ascii="Arial"/>
          <w:color w:val="5B6761"/>
          <w:w w:val="105"/>
          <w:sz w:val="14"/>
        </w:rPr>
        <w:t>brand</w:t>
      </w:r>
      <w:r>
        <w:rPr>
          <w:rFonts w:ascii="Arial"/>
          <w:color w:val="5B6761"/>
          <w:spacing w:val="-18"/>
          <w:w w:val="105"/>
          <w:sz w:val="14"/>
        </w:rPr>
        <w:t xml:space="preserve"> </w:t>
      </w:r>
      <w:r>
        <w:rPr>
          <w:rFonts w:ascii="Arial"/>
          <w:color w:val="5B6761"/>
          <w:w w:val="105"/>
          <w:sz w:val="14"/>
        </w:rPr>
        <w:t>owners,</w:t>
      </w:r>
      <w:r>
        <w:rPr>
          <w:rFonts w:ascii="Arial"/>
          <w:color w:val="5B6761"/>
          <w:spacing w:val="-18"/>
          <w:w w:val="105"/>
          <w:sz w:val="14"/>
        </w:rPr>
        <w:t xml:space="preserve"> </w:t>
      </w:r>
      <w:r>
        <w:rPr>
          <w:rFonts w:ascii="Arial"/>
          <w:color w:val="5B6761"/>
          <w:w w:val="105"/>
          <w:sz w:val="14"/>
        </w:rPr>
        <w:t>technically,</w:t>
      </w:r>
      <w:r>
        <w:rPr>
          <w:rFonts w:ascii="Arial"/>
          <w:color w:val="5B6761"/>
          <w:spacing w:val="-18"/>
          <w:w w:val="105"/>
          <w:sz w:val="14"/>
        </w:rPr>
        <w:t xml:space="preserve"> </w:t>
      </w:r>
      <w:r>
        <w:rPr>
          <w:rFonts w:ascii="Arial"/>
          <w:color w:val="5B6761"/>
          <w:w w:val="105"/>
          <w:sz w:val="14"/>
        </w:rPr>
        <w:t>as</w:t>
      </w:r>
      <w:r>
        <w:rPr>
          <w:rFonts w:ascii="Arial"/>
          <w:color w:val="5B6761"/>
          <w:spacing w:val="-19"/>
          <w:w w:val="105"/>
          <w:sz w:val="14"/>
        </w:rPr>
        <w:t xml:space="preserve"> </w:t>
      </w:r>
      <w:r>
        <w:rPr>
          <w:rFonts w:ascii="Arial"/>
          <w:color w:val="5B6761"/>
          <w:w w:val="105"/>
          <w:sz w:val="14"/>
        </w:rPr>
        <w:t>this</w:t>
      </w:r>
      <w:r>
        <w:rPr>
          <w:rFonts w:ascii="Arial"/>
          <w:color w:val="5B6761"/>
          <w:spacing w:val="-18"/>
          <w:w w:val="105"/>
          <w:sz w:val="14"/>
        </w:rPr>
        <w:t xml:space="preserve"> </w:t>
      </w:r>
      <w:r>
        <w:rPr>
          <w:rFonts w:ascii="Arial"/>
          <w:color w:val="5B6761"/>
          <w:w w:val="105"/>
          <w:sz w:val="14"/>
        </w:rPr>
        <w:t>effort</w:t>
      </w:r>
      <w:r>
        <w:rPr>
          <w:rFonts w:ascii="Arial"/>
          <w:color w:val="5B6761"/>
          <w:spacing w:val="-18"/>
          <w:w w:val="105"/>
          <w:sz w:val="14"/>
        </w:rPr>
        <w:t xml:space="preserve"> </w:t>
      </w:r>
      <w:r>
        <w:rPr>
          <w:rFonts w:ascii="Arial"/>
          <w:color w:val="5B6761"/>
          <w:w w:val="105"/>
          <w:sz w:val="14"/>
        </w:rPr>
        <w:t>was</w:t>
      </w:r>
      <w:r>
        <w:rPr>
          <w:rFonts w:ascii="Arial"/>
          <w:color w:val="5B6761"/>
          <w:spacing w:val="-18"/>
          <w:w w:val="105"/>
          <w:sz w:val="14"/>
        </w:rPr>
        <w:t xml:space="preserve"> </w:t>
      </w:r>
      <w:r>
        <w:rPr>
          <w:rFonts w:ascii="Arial"/>
          <w:color w:val="5B6761"/>
          <w:w w:val="105"/>
          <w:sz w:val="14"/>
        </w:rPr>
        <w:t>incurred</w:t>
      </w:r>
      <w:r>
        <w:rPr>
          <w:rFonts w:ascii="Arial"/>
          <w:color w:val="5B6761"/>
          <w:spacing w:val="-19"/>
          <w:w w:val="105"/>
          <w:sz w:val="14"/>
        </w:rPr>
        <w:t xml:space="preserve"> </w:t>
      </w:r>
      <w:r>
        <w:rPr>
          <w:rFonts w:ascii="Arial"/>
          <w:color w:val="5B6761"/>
          <w:w w:val="105"/>
          <w:sz w:val="14"/>
        </w:rPr>
        <w:t>prior</w:t>
      </w:r>
      <w:r>
        <w:rPr>
          <w:rFonts w:ascii="Arial"/>
          <w:color w:val="5B6761"/>
          <w:spacing w:val="-19"/>
          <w:w w:val="105"/>
          <w:sz w:val="14"/>
        </w:rPr>
        <w:t xml:space="preserve"> </w:t>
      </w:r>
      <w:r>
        <w:rPr>
          <w:rFonts w:ascii="Arial"/>
          <w:color w:val="5B6761"/>
          <w:w w:val="105"/>
          <w:sz w:val="14"/>
        </w:rPr>
        <w:t>to</w:t>
      </w:r>
      <w:r>
        <w:rPr>
          <w:rFonts w:ascii="Arial"/>
          <w:color w:val="5B6761"/>
          <w:spacing w:val="-19"/>
          <w:w w:val="105"/>
          <w:sz w:val="14"/>
        </w:rPr>
        <w:t xml:space="preserve"> </w:t>
      </w:r>
      <w:r>
        <w:rPr>
          <w:rFonts w:ascii="Arial"/>
          <w:color w:val="5B6761"/>
          <w:w w:val="105"/>
          <w:sz w:val="14"/>
        </w:rPr>
        <w:t>the</w:t>
      </w:r>
      <w:r>
        <w:rPr>
          <w:rFonts w:ascii="Arial"/>
          <w:color w:val="5B6761"/>
          <w:spacing w:val="-19"/>
          <w:w w:val="105"/>
          <w:sz w:val="14"/>
        </w:rPr>
        <w:t xml:space="preserve"> </w:t>
      </w:r>
      <w:r>
        <w:rPr>
          <w:rFonts w:ascii="Arial"/>
          <w:color w:val="5B6761"/>
          <w:w w:val="105"/>
          <w:sz w:val="14"/>
        </w:rPr>
        <w:t>Ministerial</w:t>
      </w:r>
      <w:r>
        <w:rPr>
          <w:rFonts w:ascii="Arial"/>
          <w:color w:val="5B6761"/>
          <w:spacing w:val="-21"/>
          <w:w w:val="105"/>
          <w:sz w:val="14"/>
        </w:rPr>
        <w:t xml:space="preserve"> </w:t>
      </w:r>
      <w:r>
        <w:rPr>
          <w:rFonts w:ascii="Arial"/>
          <w:color w:val="5B6761"/>
          <w:w w:val="105"/>
          <w:sz w:val="14"/>
        </w:rPr>
        <w:t>decision,</w:t>
      </w:r>
      <w:r>
        <w:rPr>
          <w:rFonts w:ascii="Arial"/>
          <w:color w:val="5B6761"/>
          <w:spacing w:val="-18"/>
          <w:w w:val="105"/>
          <w:sz w:val="14"/>
        </w:rPr>
        <w:t xml:space="preserve"> </w:t>
      </w:r>
      <w:r>
        <w:rPr>
          <w:rFonts w:ascii="Arial"/>
          <w:color w:val="5B6761"/>
          <w:w w:val="105"/>
          <w:sz w:val="14"/>
        </w:rPr>
        <w:t>it</w:t>
      </w:r>
      <w:r>
        <w:rPr>
          <w:rFonts w:ascii="Arial"/>
          <w:color w:val="5B6761"/>
          <w:spacing w:val="-18"/>
          <w:w w:val="105"/>
          <w:sz w:val="14"/>
        </w:rPr>
        <w:t xml:space="preserve"> </w:t>
      </w:r>
      <w:r>
        <w:rPr>
          <w:rFonts w:ascii="Arial"/>
          <w:color w:val="5B6761"/>
          <w:w w:val="105"/>
          <w:sz w:val="14"/>
        </w:rPr>
        <w:t>has</w:t>
      </w:r>
      <w:r>
        <w:rPr>
          <w:rFonts w:ascii="Arial"/>
          <w:color w:val="5B6761"/>
          <w:spacing w:val="-18"/>
          <w:w w:val="105"/>
          <w:sz w:val="14"/>
        </w:rPr>
        <w:t xml:space="preserve"> </w:t>
      </w:r>
      <w:r>
        <w:rPr>
          <w:rFonts w:ascii="Arial"/>
          <w:color w:val="5B6761"/>
          <w:w w:val="105"/>
          <w:sz w:val="14"/>
        </w:rPr>
        <w:t>been</w:t>
      </w:r>
      <w:r>
        <w:rPr>
          <w:rFonts w:ascii="Arial"/>
          <w:color w:val="5B6761"/>
          <w:spacing w:val="-20"/>
          <w:w w:val="105"/>
          <w:sz w:val="14"/>
        </w:rPr>
        <w:t xml:space="preserve"> </w:t>
      </w:r>
      <w:r>
        <w:rPr>
          <w:rFonts w:ascii="Arial"/>
          <w:color w:val="5B6761"/>
          <w:w w:val="105"/>
          <w:sz w:val="14"/>
        </w:rPr>
        <w:t>excluded</w:t>
      </w:r>
      <w:r>
        <w:rPr>
          <w:rFonts w:ascii="Arial"/>
          <w:color w:val="5B6761"/>
          <w:spacing w:val="-18"/>
          <w:w w:val="105"/>
          <w:sz w:val="14"/>
        </w:rPr>
        <w:t xml:space="preserve"> </w:t>
      </w:r>
      <w:r>
        <w:rPr>
          <w:rFonts w:ascii="Arial"/>
          <w:color w:val="5B6761"/>
          <w:w w:val="105"/>
          <w:sz w:val="14"/>
        </w:rPr>
        <w:t>from</w:t>
      </w:r>
      <w:r>
        <w:rPr>
          <w:rFonts w:ascii="Arial"/>
          <w:color w:val="5B6761"/>
          <w:spacing w:val="-18"/>
          <w:w w:val="105"/>
          <w:sz w:val="14"/>
        </w:rPr>
        <w:t xml:space="preserve"> </w:t>
      </w:r>
      <w:r>
        <w:rPr>
          <w:rFonts w:ascii="Arial"/>
          <w:color w:val="5B6761"/>
          <w:w w:val="105"/>
          <w:sz w:val="14"/>
        </w:rPr>
        <w:t>the regulatory</w:t>
      </w:r>
      <w:r>
        <w:rPr>
          <w:rFonts w:ascii="Arial"/>
          <w:color w:val="5B6761"/>
          <w:spacing w:val="-9"/>
          <w:w w:val="105"/>
          <w:sz w:val="14"/>
        </w:rPr>
        <w:t xml:space="preserve"> </w:t>
      </w:r>
      <w:r>
        <w:rPr>
          <w:rFonts w:ascii="Arial"/>
          <w:color w:val="5B6761"/>
          <w:w w:val="105"/>
          <w:sz w:val="14"/>
        </w:rPr>
        <w:t>costing.</w:t>
      </w:r>
    </w:p>
    <w:p w:rsidR="007D76BB" w:rsidRDefault="007D76BB">
      <w:pPr>
        <w:spacing w:line="268" w:lineRule="auto"/>
        <w:rPr>
          <w:rFonts w:ascii="Arial"/>
          <w:sz w:val="14"/>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8"/>
        </w:rPr>
      </w:pPr>
    </w:p>
    <w:p w:rsidR="007D76BB" w:rsidRDefault="00D70D28">
      <w:pPr>
        <w:pStyle w:val="ListParagraph"/>
        <w:numPr>
          <w:ilvl w:val="1"/>
          <w:numId w:val="5"/>
        </w:numPr>
        <w:tabs>
          <w:tab w:val="left" w:pos="766"/>
        </w:tabs>
        <w:spacing w:before="108" w:line="266" w:lineRule="auto"/>
        <w:ind w:right="1046"/>
        <w:rPr>
          <w:rFonts w:ascii="Arial" w:hAnsi="Arial"/>
          <w:sz w:val="19"/>
        </w:rPr>
      </w:pPr>
      <w:r>
        <w:rPr>
          <w:rFonts w:ascii="Arial" w:hAnsi="Arial"/>
          <w:w w:val="105"/>
          <w:sz w:val="19"/>
        </w:rPr>
        <w:t>Approximate</w:t>
      </w:r>
      <w:r>
        <w:rPr>
          <w:rFonts w:ascii="Arial" w:hAnsi="Arial"/>
          <w:spacing w:val="-23"/>
          <w:w w:val="105"/>
          <w:sz w:val="19"/>
        </w:rPr>
        <w:t xml:space="preserve"> </w:t>
      </w:r>
      <w:r>
        <w:rPr>
          <w:rFonts w:ascii="Arial" w:hAnsi="Arial"/>
          <w:w w:val="105"/>
          <w:sz w:val="19"/>
        </w:rPr>
        <w:t>cost</w:t>
      </w:r>
      <w:r>
        <w:rPr>
          <w:rFonts w:ascii="Arial" w:hAnsi="Arial"/>
          <w:spacing w:val="-21"/>
          <w:w w:val="105"/>
          <w:sz w:val="19"/>
        </w:rPr>
        <w:t xml:space="preserve"> </w:t>
      </w:r>
      <w:r>
        <w:rPr>
          <w:rFonts w:ascii="Arial" w:hAnsi="Arial"/>
          <w:w w:val="105"/>
          <w:sz w:val="19"/>
        </w:rPr>
        <w:t>of</w:t>
      </w:r>
      <w:r>
        <w:rPr>
          <w:rFonts w:ascii="Arial" w:hAnsi="Arial"/>
          <w:spacing w:val="-23"/>
          <w:w w:val="105"/>
          <w:sz w:val="19"/>
        </w:rPr>
        <w:t xml:space="preserve"> </w:t>
      </w:r>
      <w:r>
        <w:rPr>
          <w:rFonts w:ascii="Arial" w:hAnsi="Arial"/>
          <w:w w:val="105"/>
          <w:sz w:val="19"/>
        </w:rPr>
        <w:t>the</w:t>
      </w:r>
      <w:r>
        <w:rPr>
          <w:rFonts w:ascii="Arial" w:hAnsi="Arial"/>
          <w:spacing w:val="-21"/>
          <w:w w:val="105"/>
          <w:sz w:val="19"/>
        </w:rPr>
        <w:t xml:space="preserve"> </w:t>
      </w:r>
      <w:r>
        <w:rPr>
          <w:rFonts w:ascii="Arial" w:hAnsi="Arial"/>
          <w:w w:val="105"/>
          <w:sz w:val="19"/>
        </w:rPr>
        <w:t>awareness</w:t>
      </w:r>
      <w:r>
        <w:rPr>
          <w:rFonts w:ascii="Arial" w:hAnsi="Arial"/>
          <w:spacing w:val="-23"/>
          <w:w w:val="105"/>
          <w:sz w:val="19"/>
        </w:rPr>
        <w:t xml:space="preserve"> </w:t>
      </w:r>
      <w:r>
        <w:rPr>
          <w:rFonts w:ascii="Arial" w:hAnsi="Arial"/>
          <w:w w:val="105"/>
          <w:sz w:val="19"/>
        </w:rPr>
        <w:t>advice</w:t>
      </w:r>
      <w:r>
        <w:rPr>
          <w:rFonts w:ascii="Arial" w:hAnsi="Arial"/>
          <w:spacing w:val="-21"/>
          <w:w w:val="105"/>
          <w:sz w:val="19"/>
        </w:rPr>
        <w:t xml:space="preserve"> </w:t>
      </w:r>
      <w:r>
        <w:rPr>
          <w:rFonts w:ascii="Arial" w:hAnsi="Arial"/>
          <w:w w:val="105"/>
          <w:sz w:val="19"/>
        </w:rPr>
        <w:t>provided</w:t>
      </w:r>
      <w:r>
        <w:rPr>
          <w:rFonts w:ascii="Arial" w:hAnsi="Arial"/>
          <w:spacing w:val="-22"/>
          <w:w w:val="105"/>
          <w:sz w:val="19"/>
        </w:rPr>
        <w:t xml:space="preserve"> </w:t>
      </w:r>
      <w:r>
        <w:rPr>
          <w:rFonts w:ascii="Arial" w:hAnsi="Arial"/>
          <w:w w:val="105"/>
          <w:sz w:val="19"/>
        </w:rPr>
        <w:t>by</w:t>
      </w:r>
      <w:r>
        <w:rPr>
          <w:rFonts w:ascii="Arial" w:hAnsi="Arial"/>
          <w:spacing w:val="-22"/>
          <w:w w:val="105"/>
          <w:sz w:val="19"/>
        </w:rPr>
        <w:t xml:space="preserve"> </w:t>
      </w:r>
      <w:r>
        <w:rPr>
          <w:rFonts w:ascii="Arial" w:hAnsi="Arial"/>
          <w:w w:val="105"/>
          <w:sz w:val="19"/>
        </w:rPr>
        <w:t>a</w:t>
      </w:r>
      <w:r>
        <w:rPr>
          <w:rFonts w:ascii="Arial" w:hAnsi="Arial"/>
          <w:spacing w:val="-21"/>
          <w:w w:val="105"/>
          <w:sz w:val="19"/>
        </w:rPr>
        <w:t xml:space="preserve"> </w:t>
      </w:r>
      <w:r>
        <w:rPr>
          <w:rFonts w:ascii="Arial" w:hAnsi="Arial"/>
          <w:w w:val="105"/>
          <w:sz w:val="19"/>
        </w:rPr>
        <w:t>regulatory</w:t>
      </w:r>
      <w:r>
        <w:rPr>
          <w:rFonts w:ascii="Arial" w:hAnsi="Arial"/>
          <w:spacing w:val="-21"/>
          <w:w w:val="105"/>
          <w:sz w:val="19"/>
        </w:rPr>
        <w:t xml:space="preserve"> </w:t>
      </w:r>
      <w:r>
        <w:rPr>
          <w:rFonts w:ascii="Arial" w:hAnsi="Arial"/>
          <w:w w:val="105"/>
          <w:sz w:val="19"/>
        </w:rPr>
        <w:t>affairs</w:t>
      </w:r>
      <w:r>
        <w:rPr>
          <w:rFonts w:ascii="Arial" w:hAnsi="Arial"/>
          <w:spacing w:val="-23"/>
          <w:w w:val="105"/>
          <w:sz w:val="19"/>
        </w:rPr>
        <w:t xml:space="preserve"> </w:t>
      </w:r>
      <w:r>
        <w:rPr>
          <w:rFonts w:ascii="Arial" w:hAnsi="Arial"/>
          <w:w w:val="105"/>
          <w:sz w:val="19"/>
        </w:rPr>
        <w:t>consultant</w:t>
      </w:r>
      <w:r>
        <w:rPr>
          <w:rFonts w:ascii="Arial" w:hAnsi="Arial"/>
          <w:spacing w:val="-23"/>
          <w:w w:val="105"/>
          <w:sz w:val="19"/>
        </w:rPr>
        <w:t xml:space="preserve"> </w:t>
      </w:r>
      <w:r>
        <w:rPr>
          <w:rFonts w:ascii="Arial" w:hAnsi="Arial"/>
          <w:w w:val="105"/>
          <w:sz w:val="19"/>
        </w:rPr>
        <w:t>=</w:t>
      </w:r>
      <w:r>
        <w:rPr>
          <w:rFonts w:ascii="Arial" w:hAnsi="Arial"/>
          <w:spacing w:val="-20"/>
          <w:w w:val="105"/>
          <w:sz w:val="19"/>
        </w:rPr>
        <w:t xml:space="preserve"> </w:t>
      </w:r>
      <w:r>
        <w:rPr>
          <w:rFonts w:ascii="Arial" w:hAnsi="Arial"/>
          <w:w w:val="105"/>
          <w:sz w:val="19"/>
        </w:rPr>
        <w:t>$300</w:t>
      </w:r>
      <w:r>
        <w:rPr>
          <w:rFonts w:ascii="Arial" w:hAnsi="Arial"/>
          <w:w w:val="105"/>
          <w:position w:val="7"/>
          <w:sz w:val="11"/>
        </w:rPr>
        <w:t>67</w:t>
      </w:r>
      <w:r>
        <w:rPr>
          <w:rFonts w:ascii="Arial" w:hAnsi="Arial"/>
          <w:w w:val="105"/>
          <w:sz w:val="11"/>
        </w:rPr>
        <w:t xml:space="preserve"> </w:t>
      </w:r>
      <w:r>
        <w:rPr>
          <w:rFonts w:ascii="Arial" w:hAnsi="Arial"/>
          <w:w w:val="105"/>
          <w:sz w:val="19"/>
        </w:rPr>
        <w:t>per</w:t>
      </w:r>
      <w:r>
        <w:rPr>
          <w:rFonts w:ascii="Arial" w:hAnsi="Arial"/>
          <w:spacing w:val="-15"/>
          <w:w w:val="105"/>
          <w:sz w:val="19"/>
        </w:rPr>
        <w:t xml:space="preserve"> </w:t>
      </w:r>
      <w:r>
        <w:rPr>
          <w:rFonts w:ascii="Arial" w:hAnsi="Arial"/>
          <w:w w:val="105"/>
          <w:sz w:val="19"/>
        </w:rPr>
        <w:t>hour</w:t>
      </w:r>
      <w:r>
        <w:rPr>
          <w:rFonts w:ascii="Arial" w:hAnsi="Arial"/>
          <w:spacing w:val="-14"/>
          <w:w w:val="105"/>
          <w:sz w:val="19"/>
        </w:rPr>
        <w:t xml:space="preserve"> </w:t>
      </w:r>
      <w:r>
        <w:rPr>
          <w:rFonts w:ascii="Arial" w:hAnsi="Arial"/>
          <w:w w:val="105"/>
          <w:sz w:val="19"/>
        </w:rPr>
        <w:t>x</w:t>
      </w:r>
      <w:r>
        <w:rPr>
          <w:rFonts w:ascii="Arial" w:hAnsi="Arial"/>
          <w:spacing w:val="-14"/>
          <w:w w:val="105"/>
          <w:sz w:val="19"/>
        </w:rPr>
        <w:t xml:space="preserve"> </w:t>
      </w:r>
      <w:r>
        <w:rPr>
          <w:rFonts w:ascii="Arial" w:hAnsi="Arial"/>
          <w:w w:val="105"/>
          <w:sz w:val="19"/>
        </w:rPr>
        <w:t>16</w:t>
      </w:r>
      <w:r>
        <w:rPr>
          <w:rFonts w:ascii="Arial" w:hAnsi="Arial"/>
          <w:spacing w:val="-13"/>
          <w:w w:val="105"/>
          <w:sz w:val="19"/>
        </w:rPr>
        <w:t xml:space="preserve"> </w:t>
      </w:r>
      <w:r>
        <w:rPr>
          <w:rFonts w:ascii="Arial" w:hAnsi="Arial"/>
          <w:w w:val="105"/>
          <w:sz w:val="19"/>
        </w:rPr>
        <w:t>hours</w:t>
      </w:r>
      <w:r>
        <w:rPr>
          <w:rFonts w:ascii="Arial" w:hAnsi="Arial"/>
          <w:spacing w:val="-13"/>
          <w:w w:val="105"/>
          <w:sz w:val="19"/>
        </w:rPr>
        <w:t xml:space="preserve"> </w:t>
      </w:r>
      <w:r>
        <w:rPr>
          <w:rFonts w:ascii="Arial" w:hAnsi="Arial"/>
          <w:w w:val="105"/>
          <w:sz w:val="19"/>
        </w:rPr>
        <w:t>(2</w:t>
      </w:r>
      <w:r>
        <w:rPr>
          <w:rFonts w:ascii="Arial" w:hAnsi="Arial"/>
          <w:spacing w:val="-14"/>
          <w:w w:val="105"/>
          <w:sz w:val="19"/>
        </w:rPr>
        <w:t xml:space="preserve"> </w:t>
      </w:r>
      <w:r>
        <w:rPr>
          <w:rFonts w:ascii="Arial" w:hAnsi="Arial"/>
          <w:w w:val="105"/>
          <w:sz w:val="19"/>
        </w:rPr>
        <w:t>days)</w:t>
      </w:r>
      <w:r>
        <w:rPr>
          <w:rFonts w:ascii="Arial" w:hAnsi="Arial"/>
          <w:spacing w:val="-14"/>
          <w:w w:val="105"/>
          <w:sz w:val="19"/>
        </w:rPr>
        <w:t xml:space="preserve"> </w:t>
      </w:r>
      <w:r>
        <w:rPr>
          <w:rFonts w:ascii="Arial" w:hAnsi="Arial"/>
          <w:w w:val="105"/>
          <w:sz w:val="19"/>
        </w:rPr>
        <w:t>=</w:t>
      </w:r>
      <w:r>
        <w:rPr>
          <w:rFonts w:ascii="Arial" w:hAnsi="Arial"/>
          <w:spacing w:val="-13"/>
          <w:w w:val="105"/>
          <w:sz w:val="19"/>
        </w:rPr>
        <w:t xml:space="preserve"> </w:t>
      </w:r>
      <w:r>
        <w:rPr>
          <w:rFonts w:ascii="Arial" w:hAnsi="Arial"/>
          <w:w w:val="105"/>
          <w:sz w:val="19"/>
        </w:rPr>
        <w:t>$4,800</w:t>
      </w:r>
      <w:r>
        <w:rPr>
          <w:rFonts w:ascii="Arial" w:hAnsi="Arial"/>
          <w:spacing w:val="-11"/>
          <w:w w:val="105"/>
          <w:sz w:val="19"/>
        </w:rPr>
        <w:t xml:space="preserve"> </w:t>
      </w:r>
      <w:r>
        <w:rPr>
          <w:rFonts w:ascii="Arial" w:hAnsi="Arial"/>
          <w:w w:val="105"/>
          <w:sz w:val="19"/>
        </w:rPr>
        <w:t>x</w:t>
      </w:r>
      <w:r>
        <w:rPr>
          <w:rFonts w:ascii="Arial" w:hAnsi="Arial"/>
          <w:spacing w:val="-12"/>
          <w:w w:val="105"/>
          <w:sz w:val="19"/>
        </w:rPr>
        <w:t xml:space="preserve"> </w:t>
      </w:r>
      <w:r>
        <w:rPr>
          <w:rFonts w:ascii="Arial" w:hAnsi="Arial"/>
          <w:w w:val="105"/>
          <w:sz w:val="19"/>
        </w:rPr>
        <w:t>23</w:t>
      </w:r>
      <w:r>
        <w:rPr>
          <w:rFonts w:ascii="Arial" w:hAnsi="Arial"/>
          <w:spacing w:val="-12"/>
          <w:w w:val="105"/>
          <w:sz w:val="19"/>
        </w:rPr>
        <w:t xml:space="preserve"> </w:t>
      </w:r>
      <w:r>
        <w:rPr>
          <w:rFonts w:ascii="Arial" w:hAnsi="Arial"/>
          <w:w w:val="105"/>
          <w:sz w:val="19"/>
        </w:rPr>
        <w:t>business</w:t>
      </w:r>
      <w:r>
        <w:rPr>
          <w:rFonts w:ascii="Arial" w:hAnsi="Arial"/>
          <w:spacing w:val="-13"/>
          <w:w w:val="105"/>
          <w:sz w:val="19"/>
        </w:rPr>
        <w:t xml:space="preserve"> </w:t>
      </w:r>
      <w:r>
        <w:rPr>
          <w:rFonts w:ascii="Arial" w:hAnsi="Arial"/>
          <w:w w:val="105"/>
          <w:sz w:val="19"/>
        </w:rPr>
        <w:t>=</w:t>
      </w:r>
      <w:r>
        <w:rPr>
          <w:rFonts w:ascii="Arial" w:hAnsi="Arial"/>
          <w:spacing w:val="-13"/>
          <w:w w:val="105"/>
          <w:sz w:val="19"/>
        </w:rPr>
        <w:t xml:space="preserve"> </w:t>
      </w:r>
      <w:r>
        <w:rPr>
          <w:rFonts w:ascii="Arial" w:hAnsi="Arial"/>
          <w:w w:val="105"/>
          <w:sz w:val="19"/>
        </w:rPr>
        <w:t>$110,400</w:t>
      </w:r>
    </w:p>
    <w:p w:rsidR="007D76BB" w:rsidRDefault="00D70D28">
      <w:pPr>
        <w:pStyle w:val="ListParagraph"/>
        <w:numPr>
          <w:ilvl w:val="1"/>
          <w:numId w:val="5"/>
        </w:numPr>
        <w:tabs>
          <w:tab w:val="left" w:pos="766"/>
        </w:tabs>
        <w:spacing w:before="79"/>
        <w:rPr>
          <w:rFonts w:ascii="Arial" w:hAnsi="Arial"/>
          <w:sz w:val="19"/>
        </w:rPr>
      </w:pPr>
      <w:r>
        <w:rPr>
          <w:rFonts w:ascii="Arial" w:hAnsi="Arial"/>
          <w:w w:val="105"/>
          <w:sz w:val="19"/>
        </w:rPr>
        <w:t>Time</w:t>
      </w:r>
      <w:r>
        <w:rPr>
          <w:rFonts w:ascii="Arial" w:hAnsi="Arial"/>
          <w:spacing w:val="-15"/>
          <w:w w:val="105"/>
          <w:sz w:val="19"/>
        </w:rPr>
        <w:t xml:space="preserve"> </w:t>
      </w:r>
      <w:r>
        <w:rPr>
          <w:rFonts w:ascii="Arial" w:hAnsi="Arial"/>
          <w:w w:val="105"/>
          <w:sz w:val="19"/>
        </w:rPr>
        <w:t>taken</w:t>
      </w:r>
      <w:r>
        <w:rPr>
          <w:rFonts w:ascii="Arial" w:hAnsi="Arial"/>
          <w:spacing w:val="-16"/>
          <w:w w:val="105"/>
          <w:sz w:val="19"/>
        </w:rPr>
        <w:t xml:space="preserve"> </w:t>
      </w:r>
      <w:r>
        <w:rPr>
          <w:rFonts w:ascii="Arial" w:hAnsi="Arial"/>
          <w:w w:val="105"/>
          <w:sz w:val="19"/>
        </w:rPr>
        <w:t>to</w:t>
      </w:r>
      <w:r>
        <w:rPr>
          <w:rFonts w:ascii="Arial" w:hAnsi="Arial"/>
          <w:spacing w:val="-15"/>
          <w:w w:val="105"/>
          <w:sz w:val="19"/>
        </w:rPr>
        <w:t xml:space="preserve"> </w:t>
      </w:r>
      <w:r>
        <w:rPr>
          <w:rFonts w:ascii="Arial" w:hAnsi="Arial"/>
          <w:w w:val="105"/>
          <w:sz w:val="19"/>
        </w:rPr>
        <w:t>become</w:t>
      </w:r>
      <w:r>
        <w:rPr>
          <w:rFonts w:ascii="Arial" w:hAnsi="Arial"/>
          <w:spacing w:val="-14"/>
          <w:w w:val="105"/>
          <w:sz w:val="19"/>
        </w:rPr>
        <w:t xml:space="preserve"> </w:t>
      </w:r>
      <w:r>
        <w:rPr>
          <w:rFonts w:ascii="Arial" w:hAnsi="Arial"/>
          <w:w w:val="105"/>
          <w:sz w:val="19"/>
        </w:rPr>
        <w:t>aware</w:t>
      </w:r>
      <w:r>
        <w:rPr>
          <w:rFonts w:ascii="Arial" w:hAnsi="Arial"/>
          <w:spacing w:val="-16"/>
          <w:w w:val="105"/>
          <w:sz w:val="19"/>
        </w:rPr>
        <w:t xml:space="preserve"> </w:t>
      </w:r>
      <w:r>
        <w:rPr>
          <w:rFonts w:ascii="Arial" w:hAnsi="Arial"/>
          <w:w w:val="105"/>
          <w:sz w:val="19"/>
        </w:rPr>
        <w:t>of</w:t>
      </w:r>
      <w:r>
        <w:rPr>
          <w:rFonts w:ascii="Arial" w:hAnsi="Arial"/>
          <w:spacing w:val="-17"/>
          <w:w w:val="105"/>
          <w:sz w:val="19"/>
        </w:rPr>
        <w:t xml:space="preserve"> </w:t>
      </w:r>
      <w:r>
        <w:rPr>
          <w:rFonts w:ascii="Arial" w:hAnsi="Arial"/>
          <w:w w:val="105"/>
          <w:sz w:val="19"/>
        </w:rPr>
        <w:t>responsibilities</w:t>
      </w:r>
      <w:r>
        <w:rPr>
          <w:rFonts w:ascii="Arial" w:hAnsi="Arial"/>
          <w:spacing w:val="-17"/>
          <w:w w:val="105"/>
          <w:sz w:val="19"/>
        </w:rPr>
        <w:t xml:space="preserve"> </w:t>
      </w:r>
      <w:r>
        <w:rPr>
          <w:rFonts w:ascii="Arial" w:hAnsi="Arial"/>
          <w:w w:val="105"/>
          <w:sz w:val="19"/>
        </w:rPr>
        <w:t>of</w:t>
      </w:r>
      <w:r>
        <w:rPr>
          <w:rFonts w:ascii="Arial" w:hAnsi="Arial"/>
          <w:spacing w:val="-16"/>
          <w:w w:val="105"/>
          <w:sz w:val="19"/>
        </w:rPr>
        <w:t xml:space="preserve"> </w:t>
      </w:r>
      <w:r>
        <w:rPr>
          <w:rFonts w:ascii="Arial" w:hAnsi="Arial"/>
          <w:w w:val="105"/>
          <w:sz w:val="19"/>
        </w:rPr>
        <w:t>being</w:t>
      </w:r>
      <w:r>
        <w:rPr>
          <w:rFonts w:ascii="Arial" w:hAnsi="Arial"/>
          <w:spacing w:val="-16"/>
          <w:w w:val="105"/>
          <w:sz w:val="19"/>
        </w:rPr>
        <w:t xml:space="preserve"> </w:t>
      </w:r>
      <w:r>
        <w:rPr>
          <w:rFonts w:ascii="Arial" w:hAnsi="Arial"/>
          <w:w w:val="105"/>
          <w:sz w:val="19"/>
        </w:rPr>
        <w:t>a</w:t>
      </w:r>
      <w:r>
        <w:rPr>
          <w:rFonts w:ascii="Arial" w:hAnsi="Arial"/>
          <w:spacing w:val="-17"/>
          <w:w w:val="105"/>
          <w:sz w:val="19"/>
        </w:rPr>
        <w:t xml:space="preserve"> </w:t>
      </w:r>
      <w:r>
        <w:rPr>
          <w:rFonts w:ascii="Arial" w:hAnsi="Arial"/>
          <w:w w:val="105"/>
          <w:sz w:val="19"/>
        </w:rPr>
        <w:t>sponsor</w:t>
      </w:r>
      <w:r>
        <w:rPr>
          <w:rFonts w:ascii="Arial" w:hAnsi="Arial"/>
          <w:spacing w:val="-15"/>
          <w:w w:val="105"/>
          <w:sz w:val="19"/>
        </w:rPr>
        <w:t xml:space="preserve"> </w:t>
      </w:r>
      <w:r>
        <w:rPr>
          <w:rFonts w:ascii="Arial" w:hAnsi="Arial"/>
          <w:w w:val="105"/>
          <w:sz w:val="19"/>
        </w:rPr>
        <w:t>=</w:t>
      </w:r>
      <w:r>
        <w:rPr>
          <w:rFonts w:ascii="Arial" w:hAnsi="Arial"/>
          <w:spacing w:val="-15"/>
          <w:w w:val="105"/>
          <w:sz w:val="19"/>
        </w:rPr>
        <w:t xml:space="preserve"> </w:t>
      </w:r>
      <w:r>
        <w:rPr>
          <w:rFonts w:ascii="Arial" w:hAnsi="Arial"/>
          <w:w w:val="105"/>
          <w:sz w:val="19"/>
        </w:rPr>
        <w:t>4</w:t>
      </w:r>
      <w:r>
        <w:rPr>
          <w:rFonts w:ascii="Arial" w:hAnsi="Arial"/>
          <w:spacing w:val="-18"/>
          <w:w w:val="105"/>
          <w:sz w:val="19"/>
        </w:rPr>
        <w:t xml:space="preserve"> </w:t>
      </w:r>
      <w:r>
        <w:rPr>
          <w:rFonts w:ascii="Arial" w:hAnsi="Arial"/>
          <w:w w:val="105"/>
          <w:sz w:val="19"/>
        </w:rPr>
        <w:t>hours</w:t>
      </w:r>
      <w:r>
        <w:rPr>
          <w:rFonts w:ascii="Arial" w:hAnsi="Arial"/>
          <w:spacing w:val="-10"/>
          <w:w w:val="105"/>
          <w:sz w:val="19"/>
        </w:rPr>
        <w:t xml:space="preserve"> </w:t>
      </w:r>
      <w:r>
        <w:rPr>
          <w:rFonts w:ascii="Arial" w:hAnsi="Arial"/>
          <w:w w:val="105"/>
          <w:sz w:val="19"/>
        </w:rPr>
        <w:t>(so</w:t>
      </w:r>
      <w:r>
        <w:rPr>
          <w:rFonts w:ascii="Arial" w:hAnsi="Arial"/>
          <w:spacing w:val="-16"/>
          <w:w w:val="105"/>
          <w:sz w:val="19"/>
        </w:rPr>
        <w:t xml:space="preserve"> </w:t>
      </w:r>
      <w:r>
        <w:rPr>
          <w:rFonts w:ascii="Arial" w:hAnsi="Arial"/>
          <w:w w:val="105"/>
          <w:sz w:val="19"/>
        </w:rPr>
        <w:t>240</w:t>
      </w:r>
      <w:r>
        <w:rPr>
          <w:rFonts w:ascii="Arial" w:hAnsi="Arial"/>
          <w:spacing w:val="-16"/>
          <w:w w:val="105"/>
          <w:sz w:val="19"/>
        </w:rPr>
        <w:t xml:space="preserve"> </w:t>
      </w:r>
      <w:r>
        <w:rPr>
          <w:rFonts w:ascii="Arial" w:hAnsi="Arial"/>
          <w:w w:val="105"/>
          <w:sz w:val="19"/>
        </w:rPr>
        <w:t>minutes)</w:t>
      </w:r>
    </w:p>
    <w:p w:rsidR="007D76BB" w:rsidRDefault="00D70D28">
      <w:pPr>
        <w:pStyle w:val="ListParagraph"/>
        <w:numPr>
          <w:ilvl w:val="1"/>
          <w:numId w:val="5"/>
        </w:numPr>
        <w:tabs>
          <w:tab w:val="left" w:pos="766"/>
        </w:tabs>
        <w:spacing w:before="98" w:line="266" w:lineRule="auto"/>
        <w:ind w:right="1081"/>
        <w:rPr>
          <w:rFonts w:ascii="Arial" w:hAnsi="Arial"/>
          <w:sz w:val="19"/>
        </w:rPr>
      </w:pPr>
      <w:r>
        <w:rPr>
          <w:rFonts w:ascii="Arial" w:hAnsi="Arial"/>
          <w:w w:val="105"/>
          <w:sz w:val="19"/>
        </w:rPr>
        <w:t>Time</w:t>
      </w:r>
      <w:r>
        <w:rPr>
          <w:rFonts w:ascii="Arial" w:hAnsi="Arial"/>
          <w:spacing w:val="-26"/>
          <w:w w:val="105"/>
          <w:sz w:val="19"/>
        </w:rPr>
        <w:t xml:space="preserve"> </w:t>
      </w:r>
      <w:r>
        <w:rPr>
          <w:rFonts w:ascii="Arial" w:hAnsi="Arial"/>
          <w:w w:val="105"/>
          <w:sz w:val="19"/>
        </w:rPr>
        <w:t>required</w:t>
      </w:r>
      <w:r>
        <w:rPr>
          <w:rFonts w:ascii="Arial" w:hAnsi="Arial"/>
          <w:spacing w:val="-26"/>
          <w:w w:val="105"/>
          <w:sz w:val="19"/>
        </w:rPr>
        <w:t xml:space="preserve"> </w:t>
      </w:r>
      <w:r>
        <w:rPr>
          <w:rFonts w:ascii="Arial" w:hAnsi="Arial"/>
          <w:w w:val="105"/>
          <w:sz w:val="19"/>
        </w:rPr>
        <w:t>to</w:t>
      </w:r>
      <w:r>
        <w:rPr>
          <w:rFonts w:ascii="Arial" w:hAnsi="Arial"/>
          <w:spacing w:val="-26"/>
          <w:w w:val="105"/>
          <w:sz w:val="19"/>
        </w:rPr>
        <w:t xml:space="preserve"> </w:t>
      </w:r>
      <w:r>
        <w:rPr>
          <w:rFonts w:ascii="Arial" w:hAnsi="Arial"/>
          <w:w w:val="105"/>
          <w:sz w:val="19"/>
        </w:rPr>
        <w:t>complete</w:t>
      </w:r>
      <w:r>
        <w:rPr>
          <w:rFonts w:ascii="Arial" w:hAnsi="Arial"/>
          <w:spacing w:val="-24"/>
          <w:w w:val="105"/>
          <w:sz w:val="19"/>
        </w:rPr>
        <w:t xml:space="preserve"> </w:t>
      </w:r>
      <w:r>
        <w:rPr>
          <w:rFonts w:ascii="Arial" w:hAnsi="Arial"/>
          <w:w w:val="105"/>
          <w:sz w:val="19"/>
        </w:rPr>
        <w:t>‘</w:t>
      </w:r>
      <w:proofErr w:type="spellStart"/>
      <w:r>
        <w:rPr>
          <w:rFonts w:ascii="Arial" w:hAnsi="Arial"/>
          <w:w w:val="105"/>
          <w:sz w:val="19"/>
        </w:rPr>
        <w:t>Organisation</w:t>
      </w:r>
      <w:proofErr w:type="spellEnd"/>
      <w:r>
        <w:rPr>
          <w:rFonts w:ascii="Arial" w:hAnsi="Arial"/>
          <w:spacing w:val="-27"/>
          <w:w w:val="105"/>
          <w:sz w:val="19"/>
        </w:rPr>
        <w:t xml:space="preserve"> </w:t>
      </w:r>
      <w:r>
        <w:rPr>
          <w:rFonts w:ascii="Arial" w:hAnsi="Arial"/>
          <w:w w:val="105"/>
          <w:sz w:val="19"/>
        </w:rPr>
        <w:t>Details’</w:t>
      </w:r>
      <w:r>
        <w:rPr>
          <w:rFonts w:ascii="Arial" w:hAnsi="Arial"/>
          <w:spacing w:val="-25"/>
          <w:w w:val="105"/>
          <w:sz w:val="19"/>
        </w:rPr>
        <w:t xml:space="preserve"> </w:t>
      </w:r>
      <w:r>
        <w:rPr>
          <w:rFonts w:ascii="Arial" w:hAnsi="Arial"/>
          <w:w w:val="105"/>
          <w:sz w:val="19"/>
        </w:rPr>
        <w:t>form</w:t>
      </w:r>
      <w:r>
        <w:rPr>
          <w:rFonts w:ascii="Arial" w:hAnsi="Arial"/>
          <w:spacing w:val="-27"/>
          <w:w w:val="105"/>
          <w:sz w:val="19"/>
        </w:rPr>
        <w:t xml:space="preserve"> </w:t>
      </w:r>
      <w:r>
        <w:rPr>
          <w:rFonts w:ascii="Arial" w:hAnsi="Arial"/>
          <w:w w:val="105"/>
          <w:sz w:val="19"/>
        </w:rPr>
        <w:t>(3</w:t>
      </w:r>
      <w:r>
        <w:rPr>
          <w:rFonts w:ascii="Arial" w:hAnsi="Arial"/>
          <w:spacing w:val="-26"/>
          <w:w w:val="105"/>
          <w:sz w:val="19"/>
        </w:rPr>
        <w:t xml:space="preserve"> </w:t>
      </w:r>
      <w:r>
        <w:rPr>
          <w:rFonts w:ascii="Arial" w:hAnsi="Arial"/>
          <w:w w:val="105"/>
          <w:sz w:val="19"/>
        </w:rPr>
        <w:t>pages),</w:t>
      </w:r>
      <w:r>
        <w:rPr>
          <w:rFonts w:ascii="Arial" w:hAnsi="Arial"/>
          <w:spacing w:val="-27"/>
          <w:w w:val="105"/>
          <w:sz w:val="19"/>
        </w:rPr>
        <w:t xml:space="preserve"> </w:t>
      </w:r>
      <w:r>
        <w:rPr>
          <w:rFonts w:ascii="Arial" w:hAnsi="Arial"/>
          <w:w w:val="105"/>
          <w:sz w:val="19"/>
        </w:rPr>
        <w:t>have</w:t>
      </w:r>
      <w:r>
        <w:rPr>
          <w:rFonts w:ascii="Arial" w:hAnsi="Arial"/>
          <w:spacing w:val="-25"/>
          <w:w w:val="105"/>
          <w:sz w:val="19"/>
        </w:rPr>
        <w:t xml:space="preserve"> </w:t>
      </w:r>
      <w:r>
        <w:rPr>
          <w:rFonts w:ascii="Arial" w:hAnsi="Arial"/>
          <w:w w:val="105"/>
          <w:sz w:val="19"/>
        </w:rPr>
        <w:t>it</w:t>
      </w:r>
      <w:r>
        <w:rPr>
          <w:rFonts w:ascii="Arial" w:hAnsi="Arial"/>
          <w:spacing w:val="-25"/>
          <w:w w:val="105"/>
          <w:sz w:val="19"/>
        </w:rPr>
        <w:t xml:space="preserve"> </w:t>
      </w:r>
      <w:r>
        <w:rPr>
          <w:rFonts w:ascii="Arial" w:hAnsi="Arial"/>
          <w:w w:val="105"/>
          <w:sz w:val="19"/>
        </w:rPr>
        <w:t>checked</w:t>
      </w:r>
      <w:r>
        <w:rPr>
          <w:rFonts w:ascii="Arial" w:hAnsi="Arial"/>
          <w:spacing w:val="-27"/>
          <w:w w:val="105"/>
          <w:sz w:val="19"/>
        </w:rPr>
        <w:t xml:space="preserve"> </w:t>
      </w:r>
      <w:r>
        <w:rPr>
          <w:rFonts w:ascii="Arial" w:hAnsi="Arial"/>
          <w:w w:val="105"/>
          <w:sz w:val="19"/>
        </w:rPr>
        <w:t>and</w:t>
      </w:r>
      <w:r>
        <w:rPr>
          <w:rFonts w:ascii="Arial" w:hAnsi="Arial"/>
          <w:spacing w:val="-28"/>
          <w:w w:val="105"/>
          <w:sz w:val="19"/>
        </w:rPr>
        <w:t xml:space="preserve"> </w:t>
      </w:r>
      <w:r>
        <w:rPr>
          <w:rFonts w:ascii="Arial" w:hAnsi="Arial"/>
          <w:w w:val="105"/>
          <w:sz w:val="19"/>
        </w:rPr>
        <w:t>submit</w:t>
      </w:r>
      <w:r>
        <w:rPr>
          <w:rFonts w:ascii="Arial" w:hAnsi="Arial"/>
          <w:spacing w:val="-24"/>
          <w:w w:val="105"/>
          <w:sz w:val="19"/>
        </w:rPr>
        <w:t xml:space="preserve"> </w:t>
      </w:r>
      <w:r>
        <w:rPr>
          <w:rFonts w:ascii="Arial" w:hAnsi="Arial"/>
          <w:w w:val="105"/>
          <w:sz w:val="19"/>
        </w:rPr>
        <w:t>to obtain</w:t>
      </w:r>
      <w:r>
        <w:rPr>
          <w:rFonts w:ascii="Arial" w:hAnsi="Arial"/>
          <w:spacing w:val="-12"/>
          <w:w w:val="105"/>
          <w:sz w:val="19"/>
        </w:rPr>
        <w:t xml:space="preserve"> </w:t>
      </w:r>
      <w:r>
        <w:rPr>
          <w:rFonts w:ascii="Arial" w:hAnsi="Arial"/>
          <w:w w:val="105"/>
          <w:sz w:val="19"/>
        </w:rPr>
        <w:t>a</w:t>
      </w:r>
      <w:r>
        <w:rPr>
          <w:rFonts w:ascii="Arial" w:hAnsi="Arial"/>
          <w:spacing w:val="-13"/>
          <w:w w:val="105"/>
          <w:sz w:val="19"/>
        </w:rPr>
        <w:t xml:space="preserve"> </w:t>
      </w:r>
      <w:r>
        <w:rPr>
          <w:rFonts w:ascii="Arial" w:hAnsi="Arial"/>
          <w:w w:val="105"/>
          <w:sz w:val="19"/>
        </w:rPr>
        <w:t>Client</w:t>
      </w:r>
      <w:r>
        <w:rPr>
          <w:rFonts w:ascii="Arial" w:hAnsi="Arial"/>
          <w:spacing w:val="-12"/>
          <w:w w:val="105"/>
          <w:sz w:val="19"/>
        </w:rPr>
        <w:t xml:space="preserve"> </w:t>
      </w:r>
      <w:r>
        <w:rPr>
          <w:rFonts w:ascii="Arial" w:hAnsi="Arial"/>
          <w:w w:val="105"/>
          <w:sz w:val="19"/>
        </w:rPr>
        <w:t>ID</w:t>
      </w:r>
      <w:r>
        <w:rPr>
          <w:rFonts w:ascii="Arial" w:hAnsi="Arial"/>
          <w:spacing w:val="-13"/>
          <w:w w:val="105"/>
          <w:sz w:val="19"/>
        </w:rPr>
        <w:t xml:space="preserve"> </w:t>
      </w:r>
      <w:r>
        <w:rPr>
          <w:rFonts w:ascii="Arial" w:hAnsi="Arial"/>
          <w:w w:val="105"/>
          <w:sz w:val="19"/>
        </w:rPr>
        <w:t>and</w:t>
      </w:r>
      <w:r>
        <w:rPr>
          <w:rFonts w:ascii="Arial" w:hAnsi="Arial"/>
          <w:spacing w:val="-14"/>
          <w:w w:val="105"/>
          <w:sz w:val="19"/>
        </w:rPr>
        <w:t xml:space="preserve"> </w:t>
      </w:r>
      <w:r>
        <w:rPr>
          <w:rFonts w:ascii="Arial" w:hAnsi="Arial"/>
          <w:w w:val="105"/>
          <w:sz w:val="19"/>
        </w:rPr>
        <w:t>then</w:t>
      </w:r>
      <w:r>
        <w:rPr>
          <w:rFonts w:ascii="Arial" w:hAnsi="Arial"/>
          <w:spacing w:val="-13"/>
          <w:w w:val="105"/>
          <w:sz w:val="19"/>
        </w:rPr>
        <w:t xml:space="preserve"> </w:t>
      </w:r>
      <w:r>
        <w:rPr>
          <w:rFonts w:ascii="Arial" w:hAnsi="Arial"/>
          <w:w w:val="105"/>
          <w:sz w:val="19"/>
        </w:rPr>
        <w:t>create</w:t>
      </w:r>
      <w:r>
        <w:rPr>
          <w:rFonts w:ascii="Arial" w:hAnsi="Arial"/>
          <w:spacing w:val="-12"/>
          <w:w w:val="105"/>
          <w:sz w:val="19"/>
        </w:rPr>
        <w:t xml:space="preserve"> </w:t>
      </w:r>
      <w:proofErr w:type="spellStart"/>
      <w:r>
        <w:rPr>
          <w:rFonts w:ascii="Arial" w:hAnsi="Arial"/>
          <w:w w:val="105"/>
          <w:sz w:val="19"/>
        </w:rPr>
        <w:t>eBS</w:t>
      </w:r>
      <w:proofErr w:type="spellEnd"/>
      <w:r>
        <w:rPr>
          <w:rFonts w:ascii="Arial" w:hAnsi="Arial"/>
          <w:spacing w:val="-12"/>
          <w:w w:val="105"/>
          <w:sz w:val="19"/>
        </w:rPr>
        <w:t xml:space="preserve"> </w:t>
      </w:r>
      <w:r>
        <w:rPr>
          <w:rFonts w:ascii="Arial" w:hAnsi="Arial"/>
          <w:w w:val="105"/>
          <w:sz w:val="19"/>
        </w:rPr>
        <w:t>account</w:t>
      </w:r>
      <w:r>
        <w:rPr>
          <w:rFonts w:ascii="Arial" w:hAnsi="Arial"/>
          <w:spacing w:val="-11"/>
          <w:w w:val="105"/>
          <w:sz w:val="19"/>
        </w:rPr>
        <w:t xml:space="preserve"> </w:t>
      </w:r>
      <w:r>
        <w:rPr>
          <w:rFonts w:ascii="Arial" w:hAnsi="Arial"/>
          <w:w w:val="105"/>
          <w:sz w:val="19"/>
        </w:rPr>
        <w:t>=</w:t>
      </w:r>
      <w:r>
        <w:rPr>
          <w:rFonts w:ascii="Arial" w:hAnsi="Arial"/>
          <w:spacing w:val="-14"/>
          <w:w w:val="105"/>
          <w:sz w:val="19"/>
        </w:rPr>
        <w:t xml:space="preserve"> </w:t>
      </w:r>
      <w:r>
        <w:rPr>
          <w:rFonts w:ascii="Arial" w:hAnsi="Arial"/>
          <w:w w:val="105"/>
          <w:sz w:val="19"/>
        </w:rPr>
        <w:t>30</w:t>
      </w:r>
      <w:r>
        <w:rPr>
          <w:rFonts w:ascii="Arial" w:hAnsi="Arial"/>
          <w:spacing w:val="-14"/>
          <w:w w:val="105"/>
          <w:sz w:val="19"/>
        </w:rPr>
        <w:t xml:space="preserve"> </w:t>
      </w:r>
      <w:r>
        <w:rPr>
          <w:rFonts w:ascii="Arial" w:hAnsi="Arial"/>
          <w:w w:val="105"/>
          <w:sz w:val="19"/>
        </w:rPr>
        <w:t>minutes</w:t>
      </w:r>
    </w:p>
    <w:p w:rsidR="007D76BB" w:rsidRDefault="00D70D28">
      <w:pPr>
        <w:spacing w:before="70"/>
        <w:ind w:left="482"/>
        <w:rPr>
          <w:rFonts w:ascii="Arial"/>
          <w:i/>
          <w:sz w:val="20"/>
        </w:rPr>
      </w:pPr>
      <w:r>
        <w:rPr>
          <w:rFonts w:ascii="Arial"/>
          <w:i/>
          <w:sz w:val="20"/>
        </w:rPr>
        <w:t>Current population</w:t>
      </w:r>
    </w:p>
    <w:p w:rsidR="007D76BB" w:rsidRDefault="00D70D28">
      <w:pPr>
        <w:spacing w:before="89"/>
        <w:ind w:left="482"/>
        <w:rPr>
          <w:rFonts w:ascii="Arial"/>
          <w:sz w:val="19"/>
        </w:rPr>
      </w:pPr>
      <w:r>
        <w:rPr>
          <w:rFonts w:ascii="Arial"/>
          <w:i/>
          <w:sz w:val="20"/>
        </w:rPr>
        <w:t>Step 1</w:t>
      </w:r>
      <w:r>
        <w:rPr>
          <w:rFonts w:ascii="Arial"/>
          <w:sz w:val="19"/>
        </w:rPr>
        <w:t>. Calculate total time in minutes to fulfil regulatory requirement:</w:t>
      </w:r>
    </w:p>
    <w:p w:rsidR="007D76BB" w:rsidRDefault="00D70D28">
      <w:pPr>
        <w:pStyle w:val="ListParagraph"/>
        <w:numPr>
          <w:ilvl w:val="1"/>
          <w:numId w:val="5"/>
        </w:numPr>
        <w:tabs>
          <w:tab w:val="left" w:pos="766"/>
        </w:tabs>
        <w:spacing w:before="161"/>
        <w:rPr>
          <w:rFonts w:ascii="Arial" w:hAnsi="Arial"/>
          <w:sz w:val="19"/>
        </w:rPr>
      </w:pPr>
      <w:r>
        <w:rPr>
          <w:rFonts w:ascii="Arial" w:hAnsi="Arial"/>
          <w:w w:val="105"/>
          <w:sz w:val="19"/>
        </w:rPr>
        <w:t>Existing</w:t>
      </w:r>
      <w:r>
        <w:rPr>
          <w:rFonts w:ascii="Arial" w:hAnsi="Arial"/>
          <w:spacing w:val="-13"/>
          <w:w w:val="105"/>
          <w:sz w:val="19"/>
        </w:rPr>
        <w:t xml:space="preserve"> </w:t>
      </w:r>
      <w:r>
        <w:rPr>
          <w:rFonts w:ascii="Arial" w:hAnsi="Arial"/>
          <w:w w:val="105"/>
          <w:sz w:val="19"/>
        </w:rPr>
        <w:t>sponsors</w:t>
      </w:r>
      <w:r>
        <w:rPr>
          <w:rFonts w:ascii="Arial" w:hAnsi="Arial"/>
          <w:spacing w:val="-15"/>
          <w:w w:val="105"/>
          <w:sz w:val="19"/>
        </w:rPr>
        <w:t xml:space="preserve"> </w:t>
      </w:r>
      <w:r>
        <w:rPr>
          <w:rFonts w:ascii="Arial" w:hAnsi="Arial"/>
          <w:w w:val="105"/>
          <w:sz w:val="19"/>
        </w:rPr>
        <w:t>review</w:t>
      </w:r>
      <w:r>
        <w:rPr>
          <w:rFonts w:ascii="Arial" w:hAnsi="Arial"/>
          <w:spacing w:val="-14"/>
          <w:w w:val="105"/>
          <w:sz w:val="19"/>
        </w:rPr>
        <w:t xml:space="preserve"> </w:t>
      </w:r>
      <w:r>
        <w:rPr>
          <w:rFonts w:ascii="Arial" w:hAnsi="Arial"/>
          <w:w w:val="105"/>
          <w:sz w:val="19"/>
        </w:rPr>
        <w:t>regulatory</w:t>
      </w:r>
      <w:r>
        <w:rPr>
          <w:rFonts w:ascii="Arial" w:hAnsi="Arial"/>
          <w:spacing w:val="-15"/>
          <w:w w:val="105"/>
          <w:sz w:val="19"/>
        </w:rPr>
        <w:t xml:space="preserve"> </w:t>
      </w:r>
      <w:r>
        <w:rPr>
          <w:rFonts w:ascii="Arial" w:hAnsi="Arial"/>
          <w:w w:val="105"/>
          <w:sz w:val="19"/>
        </w:rPr>
        <w:t>clarification:</w:t>
      </w:r>
      <w:r>
        <w:rPr>
          <w:rFonts w:ascii="Arial" w:hAnsi="Arial"/>
          <w:spacing w:val="-15"/>
          <w:w w:val="105"/>
          <w:sz w:val="19"/>
        </w:rPr>
        <w:t xml:space="preserve"> </w:t>
      </w:r>
      <w:r>
        <w:rPr>
          <w:rFonts w:ascii="Arial" w:hAnsi="Arial"/>
          <w:w w:val="105"/>
          <w:sz w:val="19"/>
        </w:rPr>
        <w:t>19</w:t>
      </w:r>
      <w:r>
        <w:rPr>
          <w:rFonts w:ascii="Arial" w:hAnsi="Arial"/>
          <w:spacing w:val="-13"/>
          <w:w w:val="105"/>
          <w:sz w:val="19"/>
        </w:rPr>
        <w:t xml:space="preserve"> </w:t>
      </w:r>
      <w:r>
        <w:rPr>
          <w:rFonts w:ascii="Arial" w:hAnsi="Arial"/>
          <w:w w:val="105"/>
          <w:sz w:val="19"/>
        </w:rPr>
        <w:t>x</w:t>
      </w:r>
      <w:r>
        <w:rPr>
          <w:rFonts w:ascii="Arial" w:hAnsi="Arial"/>
          <w:spacing w:val="-15"/>
          <w:w w:val="105"/>
          <w:sz w:val="19"/>
        </w:rPr>
        <w:t xml:space="preserve"> </w:t>
      </w:r>
      <w:r>
        <w:rPr>
          <w:rFonts w:ascii="Arial" w:hAnsi="Arial"/>
          <w:w w:val="105"/>
          <w:sz w:val="19"/>
        </w:rPr>
        <w:t>60=</w:t>
      </w:r>
      <w:r>
        <w:rPr>
          <w:rFonts w:ascii="Arial" w:hAnsi="Arial"/>
          <w:spacing w:val="-14"/>
          <w:w w:val="105"/>
          <w:sz w:val="19"/>
        </w:rPr>
        <w:t xml:space="preserve"> </w:t>
      </w:r>
      <w:r>
        <w:rPr>
          <w:rFonts w:ascii="Arial" w:hAnsi="Arial"/>
          <w:w w:val="105"/>
          <w:sz w:val="19"/>
        </w:rPr>
        <w:t>1,140</w:t>
      </w:r>
      <w:r>
        <w:rPr>
          <w:rFonts w:ascii="Arial" w:hAnsi="Arial"/>
          <w:spacing w:val="-11"/>
          <w:w w:val="105"/>
          <w:sz w:val="19"/>
        </w:rPr>
        <w:t xml:space="preserve"> </w:t>
      </w:r>
      <w:r>
        <w:rPr>
          <w:rFonts w:ascii="Arial" w:hAnsi="Arial"/>
          <w:w w:val="105"/>
          <w:sz w:val="19"/>
        </w:rPr>
        <w:t>minutes</w:t>
      </w:r>
    </w:p>
    <w:p w:rsidR="007D76BB" w:rsidRDefault="00D70D28">
      <w:pPr>
        <w:pStyle w:val="ListParagraph"/>
        <w:numPr>
          <w:ilvl w:val="1"/>
          <w:numId w:val="5"/>
        </w:numPr>
        <w:tabs>
          <w:tab w:val="left" w:pos="766"/>
        </w:tabs>
        <w:spacing w:before="101" w:line="266" w:lineRule="auto"/>
        <w:ind w:right="1526"/>
        <w:rPr>
          <w:rFonts w:ascii="Arial" w:hAnsi="Arial"/>
          <w:sz w:val="19"/>
        </w:rPr>
      </w:pPr>
      <w:r>
        <w:rPr>
          <w:rFonts w:ascii="Arial" w:hAnsi="Arial"/>
          <w:w w:val="105"/>
          <w:sz w:val="19"/>
        </w:rPr>
        <w:t>Potential</w:t>
      </w:r>
      <w:r>
        <w:rPr>
          <w:rFonts w:ascii="Arial" w:hAnsi="Arial"/>
          <w:spacing w:val="-29"/>
          <w:w w:val="105"/>
          <w:sz w:val="19"/>
        </w:rPr>
        <w:t xml:space="preserve"> </w:t>
      </w:r>
      <w:r>
        <w:rPr>
          <w:rFonts w:ascii="Arial" w:hAnsi="Arial"/>
          <w:w w:val="105"/>
          <w:sz w:val="19"/>
        </w:rPr>
        <w:t>new</w:t>
      </w:r>
      <w:r>
        <w:rPr>
          <w:rFonts w:ascii="Arial" w:hAnsi="Arial"/>
          <w:spacing w:val="-27"/>
          <w:w w:val="105"/>
          <w:sz w:val="19"/>
        </w:rPr>
        <w:t xml:space="preserve"> </w:t>
      </w:r>
      <w:r>
        <w:rPr>
          <w:rFonts w:ascii="Arial" w:hAnsi="Arial"/>
          <w:w w:val="105"/>
          <w:sz w:val="19"/>
        </w:rPr>
        <w:t>sponsors</w:t>
      </w:r>
      <w:r>
        <w:rPr>
          <w:rFonts w:ascii="Arial" w:hAnsi="Arial"/>
          <w:spacing w:val="-27"/>
          <w:w w:val="105"/>
          <w:sz w:val="19"/>
        </w:rPr>
        <w:t xml:space="preserve"> </w:t>
      </w:r>
      <w:r>
        <w:rPr>
          <w:rFonts w:ascii="Arial" w:hAnsi="Arial"/>
          <w:w w:val="105"/>
          <w:sz w:val="19"/>
        </w:rPr>
        <w:t>equate</w:t>
      </w:r>
      <w:r>
        <w:rPr>
          <w:rFonts w:ascii="Arial" w:hAnsi="Arial"/>
          <w:spacing w:val="-29"/>
          <w:w w:val="105"/>
          <w:sz w:val="19"/>
        </w:rPr>
        <w:t xml:space="preserve"> </w:t>
      </w:r>
      <w:r>
        <w:rPr>
          <w:rFonts w:ascii="Arial" w:hAnsi="Arial"/>
          <w:w w:val="105"/>
          <w:sz w:val="19"/>
        </w:rPr>
        <w:t>themselves</w:t>
      </w:r>
      <w:r>
        <w:rPr>
          <w:rFonts w:ascii="Arial" w:hAnsi="Arial"/>
          <w:spacing w:val="-28"/>
          <w:w w:val="105"/>
          <w:sz w:val="19"/>
        </w:rPr>
        <w:t xml:space="preserve"> </w:t>
      </w:r>
      <w:r>
        <w:rPr>
          <w:rFonts w:ascii="Arial" w:hAnsi="Arial"/>
          <w:w w:val="105"/>
          <w:sz w:val="19"/>
        </w:rPr>
        <w:t>without</w:t>
      </w:r>
      <w:r>
        <w:rPr>
          <w:rFonts w:ascii="Arial" w:hAnsi="Arial"/>
          <w:spacing w:val="-28"/>
          <w:w w:val="105"/>
          <w:sz w:val="19"/>
        </w:rPr>
        <w:t xml:space="preserve"> </w:t>
      </w:r>
      <w:r>
        <w:rPr>
          <w:rFonts w:ascii="Arial" w:hAnsi="Arial"/>
          <w:w w:val="105"/>
          <w:sz w:val="19"/>
        </w:rPr>
        <w:t>use</w:t>
      </w:r>
      <w:r>
        <w:rPr>
          <w:rFonts w:ascii="Arial" w:hAnsi="Arial"/>
          <w:spacing w:val="-27"/>
          <w:w w:val="105"/>
          <w:sz w:val="19"/>
        </w:rPr>
        <w:t xml:space="preserve"> </w:t>
      </w:r>
      <w:r>
        <w:rPr>
          <w:rFonts w:ascii="Arial" w:hAnsi="Arial"/>
          <w:w w:val="105"/>
          <w:sz w:val="19"/>
        </w:rPr>
        <w:t>of</w:t>
      </w:r>
      <w:r>
        <w:rPr>
          <w:rFonts w:ascii="Arial" w:hAnsi="Arial"/>
          <w:spacing w:val="-30"/>
          <w:w w:val="105"/>
          <w:sz w:val="19"/>
        </w:rPr>
        <w:t xml:space="preserve"> </w:t>
      </w:r>
      <w:r>
        <w:rPr>
          <w:rFonts w:ascii="Arial" w:hAnsi="Arial"/>
          <w:w w:val="105"/>
          <w:sz w:val="19"/>
        </w:rPr>
        <w:t>regulatory</w:t>
      </w:r>
      <w:r>
        <w:rPr>
          <w:rFonts w:ascii="Arial" w:hAnsi="Arial"/>
          <w:spacing w:val="-28"/>
          <w:w w:val="105"/>
          <w:sz w:val="19"/>
        </w:rPr>
        <w:t xml:space="preserve"> </w:t>
      </w:r>
      <w:r>
        <w:rPr>
          <w:rFonts w:ascii="Arial" w:hAnsi="Arial"/>
          <w:w w:val="105"/>
          <w:sz w:val="19"/>
        </w:rPr>
        <w:t>consultant</w:t>
      </w:r>
      <w:r>
        <w:rPr>
          <w:rFonts w:ascii="Arial" w:hAnsi="Arial"/>
          <w:spacing w:val="-29"/>
          <w:w w:val="105"/>
          <w:sz w:val="19"/>
        </w:rPr>
        <w:t xml:space="preserve"> </w:t>
      </w:r>
      <w:r>
        <w:rPr>
          <w:rFonts w:ascii="Arial" w:hAnsi="Arial"/>
          <w:w w:val="105"/>
          <w:sz w:val="19"/>
        </w:rPr>
        <w:t>with</w:t>
      </w:r>
      <w:r>
        <w:rPr>
          <w:rFonts w:ascii="Arial" w:hAnsi="Arial"/>
          <w:spacing w:val="-27"/>
          <w:w w:val="105"/>
          <w:sz w:val="19"/>
        </w:rPr>
        <w:t xml:space="preserve"> </w:t>
      </w:r>
      <w:r>
        <w:rPr>
          <w:rFonts w:ascii="Arial" w:hAnsi="Arial"/>
          <w:w w:val="105"/>
          <w:sz w:val="19"/>
        </w:rPr>
        <w:t>TGA regulatory</w:t>
      </w:r>
      <w:r>
        <w:rPr>
          <w:rFonts w:ascii="Arial" w:hAnsi="Arial"/>
          <w:spacing w:val="-11"/>
          <w:w w:val="105"/>
          <w:sz w:val="19"/>
        </w:rPr>
        <w:t xml:space="preserve"> </w:t>
      </w:r>
      <w:r>
        <w:rPr>
          <w:rFonts w:ascii="Arial" w:hAnsi="Arial"/>
          <w:w w:val="105"/>
          <w:sz w:val="19"/>
        </w:rPr>
        <w:t>framework:</w:t>
      </w:r>
      <w:r>
        <w:rPr>
          <w:rFonts w:ascii="Arial" w:hAnsi="Arial"/>
          <w:spacing w:val="-13"/>
          <w:w w:val="105"/>
          <w:sz w:val="19"/>
        </w:rPr>
        <w:t xml:space="preserve"> </w:t>
      </w:r>
      <w:r>
        <w:rPr>
          <w:rFonts w:ascii="Arial" w:hAnsi="Arial"/>
          <w:w w:val="105"/>
          <w:sz w:val="19"/>
        </w:rPr>
        <w:t>70</w:t>
      </w:r>
      <w:r>
        <w:rPr>
          <w:rFonts w:ascii="Arial" w:hAnsi="Arial"/>
          <w:spacing w:val="-9"/>
          <w:w w:val="105"/>
          <w:sz w:val="19"/>
        </w:rPr>
        <w:t xml:space="preserve"> </w:t>
      </w:r>
      <w:r>
        <w:rPr>
          <w:rFonts w:ascii="Arial" w:hAnsi="Arial"/>
          <w:w w:val="105"/>
          <w:sz w:val="19"/>
        </w:rPr>
        <w:t>x</w:t>
      </w:r>
      <w:r>
        <w:rPr>
          <w:rFonts w:ascii="Arial" w:hAnsi="Arial"/>
          <w:spacing w:val="-15"/>
          <w:w w:val="105"/>
          <w:sz w:val="19"/>
        </w:rPr>
        <w:t xml:space="preserve"> </w:t>
      </w:r>
      <w:r>
        <w:rPr>
          <w:rFonts w:ascii="Arial" w:hAnsi="Arial"/>
          <w:w w:val="105"/>
          <w:sz w:val="19"/>
        </w:rPr>
        <w:t>480</w:t>
      </w:r>
      <w:r>
        <w:rPr>
          <w:rFonts w:ascii="Arial" w:hAnsi="Arial"/>
          <w:spacing w:val="-9"/>
          <w:w w:val="105"/>
          <w:sz w:val="19"/>
        </w:rPr>
        <w:t xml:space="preserve"> </w:t>
      </w:r>
      <w:r>
        <w:rPr>
          <w:rFonts w:ascii="Arial" w:hAnsi="Arial"/>
          <w:w w:val="105"/>
          <w:sz w:val="19"/>
        </w:rPr>
        <w:t>=</w:t>
      </w:r>
      <w:r>
        <w:rPr>
          <w:rFonts w:ascii="Arial" w:hAnsi="Arial"/>
          <w:spacing w:val="-10"/>
          <w:w w:val="105"/>
          <w:sz w:val="19"/>
        </w:rPr>
        <w:t xml:space="preserve"> </w:t>
      </w:r>
      <w:r>
        <w:rPr>
          <w:rFonts w:ascii="Arial" w:hAnsi="Arial"/>
          <w:w w:val="105"/>
          <w:sz w:val="19"/>
        </w:rPr>
        <w:t>33,600</w:t>
      </w:r>
      <w:r>
        <w:rPr>
          <w:rFonts w:ascii="Arial" w:hAnsi="Arial"/>
          <w:spacing w:val="-9"/>
          <w:w w:val="105"/>
          <w:sz w:val="19"/>
        </w:rPr>
        <w:t xml:space="preserve"> </w:t>
      </w:r>
      <w:r>
        <w:rPr>
          <w:rFonts w:ascii="Arial" w:hAnsi="Arial"/>
          <w:w w:val="105"/>
          <w:sz w:val="19"/>
        </w:rPr>
        <w:t>minutes</w:t>
      </w:r>
    </w:p>
    <w:p w:rsidR="007D76BB" w:rsidRDefault="00D70D28">
      <w:pPr>
        <w:pStyle w:val="ListParagraph"/>
        <w:numPr>
          <w:ilvl w:val="1"/>
          <w:numId w:val="5"/>
        </w:numPr>
        <w:tabs>
          <w:tab w:val="left" w:pos="766"/>
        </w:tabs>
        <w:spacing w:before="74" w:line="268" w:lineRule="auto"/>
        <w:ind w:right="1807"/>
        <w:rPr>
          <w:rFonts w:ascii="Arial" w:hAnsi="Arial"/>
          <w:sz w:val="19"/>
        </w:rPr>
      </w:pPr>
      <w:r>
        <w:rPr>
          <w:rFonts w:ascii="Arial" w:hAnsi="Arial"/>
          <w:w w:val="105"/>
          <w:sz w:val="19"/>
        </w:rPr>
        <w:t>Potential</w:t>
      </w:r>
      <w:r>
        <w:rPr>
          <w:rFonts w:ascii="Arial" w:hAnsi="Arial"/>
          <w:spacing w:val="-29"/>
          <w:w w:val="105"/>
          <w:sz w:val="19"/>
        </w:rPr>
        <w:t xml:space="preserve"> </w:t>
      </w:r>
      <w:r>
        <w:rPr>
          <w:rFonts w:ascii="Arial" w:hAnsi="Arial"/>
          <w:w w:val="105"/>
          <w:sz w:val="19"/>
        </w:rPr>
        <w:t>new</w:t>
      </w:r>
      <w:r>
        <w:rPr>
          <w:rFonts w:ascii="Arial" w:hAnsi="Arial"/>
          <w:spacing w:val="-27"/>
          <w:w w:val="105"/>
          <w:sz w:val="19"/>
        </w:rPr>
        <w:t xml:space="preserve"> </w:t>
      </w:r>
      <w:r>
        <w:rPr>
          <w:rFonts w:ascii="Arial" w:hAnsi="Arial"/>
          <w:w w:val="105"/>
          <w:sz w:val="19"/>
        </w:rPr>
        <w:t>sponsors</w:t>
      </w:r>
      <w:r>
        <w:rPr>
          <w:rFonts w:ascii="Arial" w:hAnsi="Arial"/>
          <w:spacing w:val="-29"/>
          <w:w w:val="105"/>
          <w:sz w:val="19"/>
        </w:rPr>
        <w:t xml:space="preserve"> </w:t>
      </w:r>
      <w:r>
        <w:rPr>
          <w:rFonts w:ascii="Arial" w:hAnsi="Arial"/>
          <w:w w:val="105"/>
          <w:sz w:val="19"/>
        </w:rPr>
        <w:t>equate</w:t>
      </w:r>
      <w:r>
        <w:rPr>
          <w:rFonts w:ascii="Arial" w:hAnsi="Arial"/>
          <w:spacing w:val="-28"/>
          <w:w w:val="105"/>
          <w:sz w:val="19"/>
        </w:rPr>
        <w:t xml:space="preserve"> </w:t>
      </w:r>
      <w:r>
        <w:rPr>
          <w:rFonts w:ascii="Arial" w:hAnsi="Arial"/>
          <w:w w:val="105"/>
          <w:sz w:val="19"/>
        </w:rPr>
        <w:t>themselves</w:t>
      </w:r>
      <w:r>
        <w:rPr>
          <w:rFonts w:ascii="Arial" w:hAnsi="Arial"/>
          <w:spacing w:val="-28"/>
          <w:w w:val="105"/>
          <w:sz w:val="19"/>
        </w:rPr>
        <w:t xml:space="preserve"> </w:t>
      </w:r>
      <w:r>
        <w:rPr>
          <w:rFonts w:ascii="Arial" w:hAnsi="Arial"/>
          <w:w w:val="105"/>
          <w:sz w:val="19"/>
        </w:rPr>
        <w:t>with</w:t>
      </w:r>
      <w:r>
        <w:rPr>
          <w:rFonts w:ascii="Arial" w:hAnsi="Arial"/>
          <w:spacing w:val="-29"/>
          <w:w w:val="105"/>
          <w:sz w:val="19"/>
        </w:rPr>
        <w:t xml:space="preserve"> </w:t>
      </w:r>
      <w:r>
        <w:rPr>
          <w:rFonts w:ascii="Arial" w:hAnsi="Arial"/>
          <w:w w:val="105"/>
          <w:sz w:val="19"/>
        </w:rPr>
        <w:t>use</w:t>
      </w:r>
      <w:r>
        <w:rPr>
          <w:rFonts w:ascii="Arial" w:hAnsi="Arial"/>
          <w:spacing w:val="-28"/>
          <w:w w:val="105"/>
          <w:sz w:val="19"/>
        </w:rPr>
        <w:t xml:space="preserve"> </w:t>
      </w:r>
      <w:r>
        <w:rPr>
          <w:rFonts w:ascii="Arial" w:hAnsi="Arial"/>
          <w:w w:val="105"/>
          <w:sz w:val="19"/>
        </w:rPr>
        <w:t>of</w:t>
      </w:r>
      <w:r>
        <w:rPr>
          <w:rFonts w:ascii="Arial" w:hAnsi="Arial"/>
          <w:spacing w:val="-29"/>
          <w:w w:val="105"/>
          <w:sz w:val="19"/>
        </w:rPr>
        <w:t xml:space="preserve"> </w:t>
      </w:r>
      <w:r>
        <w:rPr>
          <w:rFonts w:ascii="Arial" w:hAnsi="Arial"/>
          <w:w w:val="105"/>
          <w:sz w:val="19"/>
        </w:rPr>
        <w:t>regulatory</w:t>
      </w:r>
      <w:r>
        <w:rPr>
          <w:rFonts w:ascii="Arial" w:hAnsi="Arial"/>
          <w:spacing w:val="-29"/>
          <w:w w:val="105"/>
          <w:sz w:val="19"/>
        </w:rPr>
        <w:t xml:space="preserve"> </w:t>
      </w:r>
      <w:r>
        <w:rPr>
          <w:rFonts w:ascii="Arial" w:hAnsi="Arial"/>
          <w:w w:val="105"/>
          <w:sz w:val="19"/>
        </w:rPr>
        <w:t>consultant</w:t>
      </w:r>
      <w:r>
        <w:rPr>
          <w:rFonts w:ascii="Arial" w:hAnsi="Arial"/>
          <w:spacing w:val="-28"/>
          <w:w w:val="105"/>
          <w:sz w:val="19"/>
        </w:rPr>
        <w:t xml:space="preserve"> </w:t>
      </w:r>
      <w:r>
        <w:rPr>
          <w:rFonts w:ascii="Arial" w:hAnsi="Arial"/>
          <w:w w:val="105"/>
          <w:sz w:val="19"/>
        </w:rPr>
        <w:t>with</w:t>
      </w:r>
      <w:r>
        <w:rPr>
          <w:rFonts w:ascii="Arial" w:hAnsi="Arial"/>
          <w:spacing w:val="-28"/>
          <w:w w:val="105"/>
          <w:sz w:val="19"/>
        </w:rPr>
        <w:t xml:space="preserve"> </w:t>
      </w:r>
      <w:r>
        <w:rPr>
          <w:rFonts w:ascii="Arial" w:hAnsi="Arial"/>
          <w:w w:val="105"/>
          <w:sz w:val="19"/>
        </w:rPr>
        <w:t>TGA regulatory</w:t>
      </w:r>
      <w:r>
        <w:rPr>
          <w:rFonts w:ascii="Arial" w:hAnsi="Arial"/>
          <w:spacing w:val="-12"/>
          <w:w w:val="105"/>
          <w:sz w:val="19"/>
        </w:rPr>
        <w:t xml:space="preserve"> </w:t>
      </w:r>
      <w:r>
        <w:rPr>
          <w:rFonts w:ascii="Arial" w:hAnsi="Arial"/>
          <w:w w:val="105"/>
          <w:sz w:val="19"/>
        </w:rPr>
        <w:t>framework:</w:t>
      </w:r>
      <w:r>
        <w:rPr>
          <w:rFonts w:ascii="Arial" w:hAnsi="Arial"/>
          <w:spacing w:val="-14"/>
          <w:w w:val="105"/>
          <w:sz w:val="19"/>
        </w:rPr>
        <w:t xml:space="preserve"> </w:t>
      </w:r>
      <w:r>
        <w:rPr>
          <w:rFonts w:ascii="Arial" w:hAnsi="Arial"/>
          <w:w w:val="105"/>
          <w:sz w:val="19"/>
        </w:rPr>
        <w:t>23</w:t>
      </w:r>
      <w:r>
        <w:rPr>
          <w:rFonts w:ascii="Arial" w:hAnsi="Arial"/>
          <w:spacing w:val="-11"/>
          <w:w w:val="105"/>
          <w:sz w:val="19"/>
        </w:rPr>
        <w:t xml:space="preserve"> </w:t>
      </w:r>
      <w:r>
        <w:rPr>
          <w:rFonts w:ascii="Arial" w:hAnsi="Arial"/>
          <w:w w:val="105"/>
          <w:sz w:val="19"/>
        </w:rPr>
        <w:t>x</w:t>
      </w:r>
      <w:r>
        <w:rPr>
          <w:rFonts w:ascii="Arial" w:hAnsi="Arial"/>
          <w:spacing w:val="-13"/>
          <w:w w:val="105"/>
          <w:sz w:val="19"/>
        </w:rPr>
        <w:t xml:space="preserve"> </w:t>
      </w:r>
      <w:r>
        <w:rPr>
          <w:rFonts w:ascii="Arial" w:hAnsi="Arial"/>
          <w:w w:val="105"/>
          <w:sz w:val="19"/>
        </w:rPr>
        <w:t>180</w:t>
      </w:r>
      <w:r>
        <w:rPr>
          <w:rFonts w:ascii="Arial" w:hAnsi="Arial"/>
          <w:spacing w:val="-10"/>
          <w:w w:val="105"/>
          <w:sz w:val="19"/>
        </w:rPr>
        <w:t xml:space="preserve"> </w:t>
      </w:r>
      <w:r>
        <w:rPr>
          <w:rFonts w:ascii="Arial" w:hAnsi="Arial"/>
          <w:w w:val="105"/>
          <w:sz w:val="19"/>
        </w:rPr>
        <w:t>=</w:t>
      </w:r>
      <w:r>
        <w:rPr>
          <w:rFonts w:ascii="Arial" w:hAnsi="Arial"/>
          <w:spacing w:val="-12"/>
          <w:w w:val="105"/>
          <w:sz w:val="19"/>
        </w:rPr>
        <w:t xml:space="preserve"> </w:t>
      </w:r>
      <w:r>
        <w:rPr>
          <w:rFonts w:ascii="Arial" w:hAnsi="Arial"/>
          <w:w w:val="105"/>
          <w:sz w:val="19"/>
        </w:rPr>
        <w:t>4,140</w:t>
      </w:r>
      <w:r>
        <w:rPr>
          <w:rFonts w:ascii="Arial" w:hAnsi="Arial"/>
          <w:spacing w:val="-12"/>
          <w:w w:val="105"/>
          <w:sz w:val="19"/>
        </w:rPr>
        <w:t xml:space="preserve"> </w:t>
      </w:r>
      <w:r>
        <w:rPr>
          <w:rFonts w:ascii="Arial" w:hAnsi="Arial"/>
          <w:w w:val="105"/>
          <w:sz w:val="19"/>
        </w:rPr>
        <w:t>minutes</w:t>
      </w:r>
    </w:p>
    <w:p w:rsidR="007D76BB" w:rsidRDefault="00D70D28">
      <w:pPr>
        <w:pStyle w:val="ListParagraph"/>
        <w:numPr>
          <w:ilvl w:val="1"/>
          <w:numId w:val="5"/>
        </w:numPr>
        <w:tabs>
          <w:tab w:val="left" w:pos="766"/>
        </w:tabs>
        <w:spacing w:before="75"/>
        <w:rPr>
          <w:rFonts w:ascii="Arial" w:hAnsi="Arial"/>
          <w:sz w:val="19"/>
        </w:rPr>
      </w:pPr>
      <w:r>
        <w:rPr>
          <w:rFonts w:ascii="Arial" w:hAnsi="Arial"/>
          <w:w w:val="105"/>
          <w:sz w:val="19"/>
        </w:rPr>
        <w:t>New</w:t>
      </w:r>
      <w:r>
        <w:rPr>
          <w:rFonts w:ascii="Arial" w:hAnsi="Arial"/>
          <w:spacing w:val="-15"/>
          <w:w w:val="105"/>
          <w:sz w:val="19"/>
        </w:rPr>
        <w:t xml:space="preserve"> </w:t>
      </w:r>
      <w:r>
        <w:rPr>
          <w:rFonts w:ascii="Arial" w:hAnsi="Arial"/>
          <w:w w:val="105"/>
          <w:sz w:val="19"/>
        </w:rPr>
        <w:t>sponsors</w:t>
      </w:r>
      <w:r>
        <w:rPr>
          <w:rFonts w:ascii="Arial" w:hAnsi="Arial"/>
          <w:spacing w:val="-16"/>
          <w:w w:val="105"/>
          <w:sz w:val="19"/>
        </w:rPr>
        <w:t xml:space="preserve"> </w:t>
      </w:r>
      <w:r>
        <w:rPr>
          <w:rFonts w:ascii="Arial" w:hAnsi="Arial"/>
          <w:w w:val="105"/>
          <w:sz w:val="19"/>
        </w:rPr>
        <w:t>become</w:t>
      </w:r>
      <w:r>
        <w:rPr>
          <w:rFonts w:ascii="Arial" w:hAnsi="Arial"/>
          <w:spacing w:val="-18"/>
          <w:w w:val="105"/>
          <w:sz w:val="19"/>
        </w:rPr>
        <w:t xml:space="preserve"> </w:t>
      </w:r>
      <w:r>
        <w:rPr>
          <w:rFonts w:ascii="Arial" w:hAnsi="Arial"/>
          <w:w w:val="105"/>
          <w:sz w:val="19"/>
        </w:rPr>
        <w:t>aware</w:t>
      </w:r>
      <w:r>
        <w:rPr>
          <w:rFonts w:ascii="Arial" w:hAnsi="Arial"/>
          <w:spacing w:val="-15"/>
          <w:w w:val="105"/>
          <w:sz w:val="19"/>
        </w:rPr>
        <w:t xml:space="preserve"> </w:t>
      </w:r>
      <w:r>
        <w:rPr>
          <w:rFonts w:ascii="Arial" w:hAnsi="Arial"/>
          <w:w w:val="105"/>
          <w:sz w:val="19"/>
        </w:rPr>
        <w:t>of</w:t>
      </w:r>
      <w:r>
        <w:rPr>
          <w:rFonts w:ascii="Arial" w:hAnsi="Arial"/>
          <w:spacing w:val="-18"/>
          <w:w w:val="105"/>
          <w:sz w:val="19"/>
        </w:rPr>
        <w:t xml:space="preserve"> </w:t>
      </w:r>
      <w:r>
        <w:rPr>
          <w:rFonts w:ascii="Arial" w:hAnsi="Arial"/>
          <w:w w:val="105"/>
          <w:sz w:val="19"/>
        </w:rPr>
        <w:t>responsibilities</w:t>
      </w:r>
      <w:r>
        <w:rPr>
          <w:rFonts w:ascii="Arial" w:hAnsi="Arial"/>
          <w:spacing w:val="-17"/>
          <w:w w:val="105"/>
          <w:sz w:val="19"/>
        </w:rPr>
        <w:t xml:space="preserve"> </w:t>
      </w:r>
      <w:r>
        <w:rPr>
          <w:rFonts w:ascii="Arial" w:hAnsi="Arial"/>
          <w:w w:val="105"/>
          <w:sz w:val="19"/>
        </w:rPr>
        <w:t>of</w:t>
      </w:r>
      <w:r>
        <w:rPr>
          <w:rFonts w:ascii="Arial" w:hAnsi="Arial"/>
          <w:spacing w:val="-17"/>
          <w:w w:val="105"/>
          <w:sz w:val="19"/>
        </w:rPr>
        <w:t xml:space="preserve"> </w:t>
      </w:r>
      <w:r>
        <w:rPr>
          <w:rFonts w:ascii="Arial" w:hAnsi="Arial"/>
          <w:w w:val="105"/>
          <w:sz w:val="19"/>
        </w:rPr>
        <w:t>being</w:t>
      </w:r>
      <w:r>
        <w:rPr>
          <w:rFonts w:ascii="Arial" w:hAnsi="Arial"/>
          <w:spacing w:val="-18"/>
          <w:w w:val="105"/>
          <w:sz w:val="19"/>
        </w:rPr>
        <w:t xml:space="preserve"> </w:t>
      </w:r>
      <w:r>
        <w:rPr>
          <w:rFonts w:ascii="Arial" w:hAnsi="Arial"/>
          <w:w w:val="105"/>
          <w:sz w:val="19"/>
        </w:rPr>
        <w:t>a</w:t>
      </w:r>
      <w:r>
        <w:rPr>
          <w:rFonts w:ascii="Arial" w:hAnsi="Arial"/>
          <w:spacing w:val="-15"/>
          <w:w w:val="105"/>
          <w:sz w:val="19"/>
        </w:rPr>
        <w:t xml:space="preserve"> </w:t>
      </w:r>
      <w:r>
        <w:rPr>
          <w:rFonts w:ascii="Arial" w:hAnsi="Arial"/>
          <w:w w:val="105"/>
          <w:sz w:val="19"/>
        </w:rPr>
        <w:t>sponsor:</w:t>
      </w:r>
      <w:r>
        <w:rPr>
          <w:rFonts w:ascii="Arial" w:hAnsi="Arial"/>
          <w:spacing w:val="-18"/>
          <w:w w:val="105"/>
          <w:sz w:val="19"/>
        </w:rPr>
        <w:t xml:space="preserve"> </w:t>
      </w:r>
      <w:r>
        <w:rPr>
          <w:rFonts w:ascii="Arial" w:hAnsi="Arial"/>
          <w:w w:val="105"/>
          <w:sz w:val="19"/>
        </w:rPr>
        <w:t>9</w:t>
      </w:r>
      <w:r>
        <w:rPr>
          <w:rFonts w:ascii="Arial" w:hAnsi="Arial"/>
          <w:spacing w:val="-12"/>
          <w:w w:val="105"/>
          <w:sz w:val="19"/>
        </w:rPr>
        <w:t xml:space="preserve"> </w:t>
      </w:r>
      <w:r>
        <w:rPr>
          <w:rFonts w:ascii="Arial" w:hAnsi="Arial"/>
          <w:w w:val="105"/>
          <w:sz w:val="19"/>
        </w:rPr>
        <w:t>x</w:t>
      </w:r>
      <w:r>
        <w:rPr>
          <w:rFonts w:ascii="Arial" w:hAnsi="Arial"/>
          <w:spacing w:val="-16"/>
          <w:w w:val="105"/>
          <w:sz w:val="19"/>
        </w:rPr>
        <w:t xml:space="preserve"> </w:t>
      </w:r>
      <w:r>
        <w:rPr>
          <w:rFonts w:ascii="Arial" w:hAnsi="Arial"/>
          <w:w w:val="105"/>
          <w:sz w:val="19"/>
        </w:rPr>
        <w:t>240</w:t>
      </w:r>
      <w:r>
        <w:rPr>
          <w:rFonts w:ascii="Arial" w:hAnsi="Arial"/>
          <w:spacing w:val="-17"/>
          <w:w w:val="105"/>
          <w:sz w:val="19"/>
        </w:rPr>
        <w:t xml:space="preserve"> </w:t>
      </w:r>
      <w:r>
        <w:rPr>
          <w:rFonts w:ascii="Arial" w:hAnsi="Arial"/>
          <w:w w:val="105"/>
          <w:sz w:val="19"/>
        </w:rPr>
        <w:t>=</w:t>
      </w:r>
      <w:r>
        <w:rPr>
          <w:rFonts w:ascii="Arial" w:hAnsi="Arial"/>
          <w:spacing w:val="-16"/>
          <w:w w:val="105"/>
          <w:sz w:val="19"/>
        </w:rPr>
        <w:t xml:space="preserve"> </w:t>
      </w:r>
      <w:r>
        <w:rPr>
          <w:rFonts w:ascii="Arial" w:hAnsi="Arial"/>
          <w:w w:val="105"/>
          <w:sz w:val="19"/>
        </w:rPr>
        <w:t>2,160</w:t>
      </w:r>
      <w:r>
        <w:rPr>
          <w:rFonts w:ascii="Arial" w:hAnsi="Arial"/>
          <w:spacing w:val="-18"/>
          <w:w w:val="105"/>
          <w:sz w:val="19"/>
        </w:rPr>
        <w:t xml:space="preserve"> </w:t>
      </w:r>
      <w:r>
        <w:rPr>
          <w:rFonts w:ascii="Arial" w:hAnsi="Arial"/>
          <w:w w:val="105"/>
          <w:sz w:val="19"/>
        </w:rPr>
        <w:t>minutes</w:t>
      </w:r>
    </w:p>
    <w:p w:rsidR="007D76BB" w:rsidRDefault="00D70D28">
      <w:pPr>
        <w:pStyle w:val="ListParagraph"/>
        <w:numPr>
          <w:ilvl w:val="1"/>
          <w:numId w:val="5"/>
        </w:numPr>
        <w:tabs>
          <w:tab w:val="left" w:pos="766"/>
        </w:tabs>
        <w:spacing w:before="103"/>
        <w:rPr>
          <w:rFonts w:ascii="Arial" w:hAnsi="Arial"/>
          <w:sz w:val="19"/>
        </w:rPr>
      </w:pPr>
      <w:r>
        <w:rPr>
          <w:rFonts w:ascii="Arial" w:hAnsi="Arial"/>
          <w:w w:val="105"/>
          <w:sz w:val="19"/>
        </w:rPr>
        <w:t>New</w:t>
      </w:r>
      <w:r>
        <w:rPr>
          <w:rFonts w:ascii="Arial" w:hAnsi="Arial"/>
          <w:spacing w:val="-15"/>
          <w:w w:val="105"/>
          <w:sz w:val="19"/>
        </w:rPr>
        <w:t xml:space="preserve"> </w:t>
      </w:r>
      <w:r>
        <w:rPr>
          <w:rFonts w:ascii="Arial" w:hAnsi="Arial"/>
          <w:w w:val="105"/>
          <w:sz w:val="19"/>
        </w:rPr>
        <w:t>sponsors</w:t>
      </w:r>
      <w:r>
        <w:rPr>
          <w:rFonts w:ascii="Arial" w:hAnsi="Arial"/>
          <w:spacing w:val="-16"/>
          <w:w w:val="105"/>
          <w:sz w:val="19"/>
        </w:rPr>
        <w:t xml:space="preserve"> </w:t>
      </w:r>
      <w:r>
        <w:rPr>
          <w:rFonts w:ascii="Arial" w:hAnsi="Arial"/>
          <w:w w:val="105"/>
          <w:sz w:val="19"/>
        </w:rPr>
        <w:t>complete</w:t>
      </w:r>
      <w:r>
        <w:rPr>
          <w:rFonts w:ascii="Arial" w:hAnsi="Arial"/>
          <w:spacing w:val="-15"/>
          <w:w w:val="105"/>
          <w:sz w:val="19"/>
        </w:rPr>
        <w:t xml:space="preserve"> </w:t>
      </w:r>
      <w:r>
        <w:rPr>
          <w:rFonts w:ascii="Arial" w:hAnsi="Arial"/>
          <w:w w:val="105"/>
          <w:sz w:val="19"/>
        </w:rPr>
        <w:t>‘</w:t>
      </w:r>
      <w:proofErr w:type="spellStart"/>
      <w:r>
        <w:rPr>
          <w:rFonts w:ascii="Arial" w:hAnsi="Arial"/>
          <w:w w:val="105"/>
          <w:sz w:val="19"/>
        </w:rPr>
        <w:t>Organisation</w:t>
      </w:r>
      <w:proofErr w:type="spellEnd"/>
      <w:r>
        <w:rPr>
          <w:rFonts w:ascii="Arial" w:hAnsi="Arial"/>
          <w:spacing w:val="-17"/>
          <w:w w:val="105"/>
          <w:sz w:val="19"/>
        </w:rPr>
        <w:t xml:space="preserve"> </w:t>
      </w:r>
      <w:r>
        <w:rPr>
          <w:rFonts w:ascii="Arial" w:hAnsi="Arial"/>
          <w:w w:val="105"/>
          <w:sz w:val="19"/>
        </w:rPr>
        <w:t>Details’</w:t>
      </w:r>
      <w:r>
        <w:rPr>
          <w:rFonts w:ascii="Arial" w:hAnsi="Arial"/>
          <w:spacing w:val="-17"/>
          <w:w w:val="105"/>
          <w:sz w:val="19"/>
        </w:rPr>
        <w:t xml:space="preserve"> </w:t>
      </w:r>
      <w:r>
        <w:rPr>
          <w:rFonts w:ascii="Arial" w:hAnsi="Arial"/>
          <w:w w:val="105"/>
          <w:sz w:val="19"/>
        </w:rPr>
        <w:t>form</w:t>
      </w:r>
      <w:r>
        <w:rPr>
          <w:rFonts w:ascii="Arial" w:hAnsi="Arial"/>
          <w:spacing w:val="-16"/>
          <w:w w:val="105"/>
          <w:sz w:val="19"/>
        </w:rPr>
        <w:t xml:space="preserve"> </w:t>
      </w:r>
      <w:r>
        <w:rPr>
          <w:rFonts w:ascii="Arial" w:hAnsi="Arial"/>
          <w:w w:val="105"/>
          <w:sz w:val="19"/>
        </w:rPr>
        <w:t>and</w:t>
      </w:r>
      <w:r>
        <w:rPr>
          <w:rFonts w:ascii="Arial" w:hAnsi="Arial"/>
          <w:spacing w:val="-18"/>
          <w:w w:val="105"/>
          <w:sz w:val="19"/>
        </w:rPr>
        <w:t xml:space="preserve"> </w:t>
      </w:r>
      <w:r>
        <w:rPr>
          <w:rFonts w:ascii="Arial" w:hAnsi="Arial"/>
          <w:w w:val="105"/>
          <w:sz w:val="19"/>
        </w:rPr>
        <w:t>register</w:t>
      </w:r>
      <w:r>
        <w:rPr>
          <w:rFonts w:ascii="Arial" w:hAnsi="Arial"/>
          <w:spacing w:val="-16"/>
          <w:w w:val="105"/>
          <w:sz w:val="19"/>
        </w:rPr>
        <w:t xml:space="preserve"> </w:t>
      </w:r>
      <w:r>
        <w:rPr>
          <w:rFonts w:ascii="Arial" w:hAnsi="Arial"/>
          <w:w w:val="105"/>
          <w:sz w:val="19"/>
        </w:rPr>
        <w:t>on</w:t>
      </w:r>
      <w:r>
        <w:rPr>
          <w:rFonts w:ascii="Arial" w:hAnsi="Arial"/>
          <w:spacing w:val="-15"/>
          <w:w w:val="105"/>
          <w:sz w:val="19"/>
        </w:rPr>
        <w:t xml:space="preserve"> </w:t>
      </w:r>
      <w:proofErr w:type="spellStart"/>
      <w:r>
        <w:rPr>
          <w:rFonts w:ascii="Arial" w:hAnsi="Arial"/>
          <w:w w:val="105"/>
          <w:sz w:val="19"/>
        </w:rPr>
        <w:t>eBS</w:t>
      </w:r>
      <w:proofErr w:type="spellEnd"/>
      <w:r>
        <w:rPr>
          <w:rFonts w:ascii="Arial" w:hAnsi="Arial"/>
          <w:w w:val="105"/>
          <w:sz w:val="19"/>
        </w:rPr>
        <w:t>:</w:t>
      </w:r>
      <w:r>
        <w:rPr>
          <w:rFonts w:ascii="Arial" w:hAnsi="Arial"/>
          <w:spacing w:val="-16"/>
          <w:w w:val="105"/>
          <w:sz w:val="19"/>
        </w:rPr>
        <w:t xml:space="preserve"> </w:t>
      </w:r>
      <w:r>
        <w:rPr>
          <w:rFonts w:ascii="Arial" w:hAnsi="Arial"/>
          <w:w w:val="105"/>
          <w:sz w:val="19"/>
        </w:rPr>
        <w:t>9</w:t>
      </w:r>
      <w:r>
        <w:rPr>
          <w:rFonts w:ascii="Arial" w:hAnsi="Arial"/>
          <w:spacing w:val="-18"/>
          <w:w w:val="105"/>
          <w:sz w:val="19"/>
        </w:rPr>
        <w:t xml:space="preserve"> </w:t>
      </w:r>
      <w:r>
        <w:rPr>
          <w:rFonts w:ascii="Arial" w:hAnsi="Arial"/>
          <w:w w:val="105"/>
          <w:sz w:val="19"/>
        </w:rPr>
        <w:t>x</w:t>
      </w:r>
      <w:r>
        <w:rPr>
          <w:rFonts w:ascii="Arial" w:hAnsi="Arial"/>
          <w:spacing w:val="-15"/>
          <w:w w:val="105"/>
          <w:sz w:val="19"/>
        </w:rPr>
        <w:t xml:space="preserve"> </w:t>
      </w:r>
      <w:r>
        <w:rPr>
          <w:rFonts w:ascii="Arial" w:hAnsi="Arial"/>
          <w:w w:val="105"/>
          <w:sz w:val="19"/>
        </w:rPr>
        <w:t>30</w:t>
      </w:r>
      <w:r>
        <w:rPr>
          <w:rFonts w:ascii="Arial" w:hAnsi="Arial"/>
          <w:spacing w:val="-15"/>
          <w:w w:val="105"/>
          <w:sz w:val="19"/>
        </w:rPr>
        <w:t xml:space="preserve"> </w:t>
      </w:r>
      <w:r>
        <w:rPr>
          <w:rFonts w:ascii="Arial" w:hAnsi="Arial"/>
          <w:w w:val="105"/>
          <w:sz w:val="19"/>
        </w:rPr>
        <w:t>=</w:t>
      </w:r>
      <w:r>
        <w:rPr>
          <w:rFonts w:ascii="Arial" w:hAnsi="Arial"/>
          <w:spacing w:val="-17"/>
          <w:w w:val="105"/>
          <w:sz w:val="19"/>
        </w:rPr>
        <w:t xml:space="preserve"> </w:t>
      </w:r>
      <w:r>
        <w:rPr>
          <w:rFonts w:ascii="Arial" w:hAnsi="Arial"/>
          <w:w w:val="105"/>
          <w:sz w:val="19"/>
        </w:rPr>
        <w:t>270</w:t>
      </w:r>
      <w:r>
        <w:rPr>
          <w:rFonts w:ascii="Arial" w:hAnsi="Arial"/>
          <w:spacing w:val="-17"/>
          <w:w w:val="105"/>
          <w:sz w:val="19"/>
        </w:rPr>
        <w:t xml:space="preserve"> </w:t>
      </w:r>
      <w:r>
        <w:rPr>
          <w:rFonts w:ascii="Arial" w:hAnsi="Arial"/>
          <w:w w:val="105"/>
          <w:sz w:val="19"/>
        </w:rPr>
        <w:t>minutes</w:t>
      </w:r>
    </w:p>
    <w:p w:rsidR="007D76BB" w:rsidRDefault="00D70D28">
      <w:pPr>
        <w:pStyle w:val="ListParagraph"/>
        <w:numPr>
          <w:ilvl w:val="1"/>
          <w:numId w:val="5"/>
        </w:numPr>
        <w:tabs>
          <w:tab w:val="left" w:pos="766"/>
        </w:tabs>
        <w:spacing w:before="99" w:line="266" w:lineRule="auto"/>
        <w:ind w:right="981"/>
        <w:rPr>
          <w:rFonts w:ascii="Arial" w:hAnsi="Arial"/>
          <w:sz w:val="19"/>
        </w:rPr>
      </w:pPr>
      <w:r>
        <w:rPr>
          <w:rFonts w:ascii="Arial" w:hAnsi="Arial"/>
          <w:w w:val="105"/>
          <w:sz w:val="19"/>
        </w:rPr>
        <w:t>Time</w:t>
      </w:r>
      <w:r>
        <w:rPr>
          <w:rFonts w:ascii="Arial" w:hAnsi="Arial"/>
          <w:spacing w:val="-26"/>
          <w:w w:val="105"/>
          <w:sz w:val="19"/>
        </w:rPr>
        <w:t xml:space="preserve"> </w:t>
      </w:r>
      <w:r>
        <w:rPr>
          <w:rFonts w:ascii="Arial" w:hAnsi="Arial"/>
          <w:w w:val="105"/>
          <w:sz w:val="19"/>
        </w:rPr>
        <w:t>required</w:t>
      </w:r>
      <w:r>
        <w:rPr>
          <w:rFonts w:ascii="Arial" w:hAnsi="Arial"/>
          <w:spacing w:val="-26"/>
          <w:w w:val="105"/>
          <w:sz w:val="19"/>
        </w:rPr>
        <w:t xml:space="preserve"> </w:t>
      </w:r>
      <w:r>
        <w:rPr>
          <w:rFonts w:ascii="Arial" w:hAnsi="Arial"/>
          <w:w w:val="105"/>
          <w:sz w:val="19"/>
        </w:rPr>
        <w:t>for</w:t>
      </w:r>
      <w:r>
        <w:rPr>
          <w:rFonts w:ascii="Arial" w:hAnsi="Arial"/>
          <w:spacing w:val="-26"/>
          <w:w w:val="105"/>
          <w:sz w:val="19"/>
        </w:rPr>
        <w:t xml:space="preserve"> </w:t>
      </w:r>
      <w:r>
        <w:rPr>
          <w:rFonts w:ascii="Arial" w:hAnsi="Arial"/>
          <w:w w:val="105"/>
          <w:sz w:val="19"/>
        </w:rPr>
        <w:t>awareness</w:t>
      </w:r>
      <w:r>
        <w:rPr>
          <w:rFonts w:ascii="Arial" w:hAnsi="Arial"/>
          <w:spacing w:val="-27"/>
          <w:w w:val="105"/>
          <w:sz w:val="19"/>
        </w:rPr>
        <w:t xml:space="preserve"> </w:t>
      </w:r>
      <w:r>
        <w:rPr>
          <w:rFonts w:ascii="Arial" w:hAnsi="Arial"/>
          <w:w w:val="105"/>
          <w:sz w:val="19"/>
        </w:rPr>
        <w:t>activities:</w:t>
      </w:r>
      <w:r>
        <w:rPr>
          <w:rFonts w:ascii="Arial" w:hAnsi="Arial"/>
          <w:spacing w:val="-23"/>
          <w:w w:val="105"/>
          <w:sz w:val="19"/>
        </w:rPr>
        <w:t xml:space="preserve"> </w:t>
      </w:r>
      <w:r>
        <w:rPr>
          <w:rFonts w:ascii="Arial" w:hAnsi="Arial"/>
          <w:w w:val="105"/>
          <w:sz w:val="19"/>
        </w:rPr>
        <w:t>1,140</w:t>
      </w:r>
      <w:r>
        <w:rPr>
          <w:rFonts w:ascii="Arial" w:hAnsi="Arial"/>
          <w:spacing w:val="-27"/>
          <w:w w:val="105"/>
          <w:sz w:val="19"/>
        </w:rPr>
        <w:t xml:space="preserve"> </w:t>
      </w:r>
      <w:r>
        <w:rPr>
          <w:rFonts w:ascii="Arial" w:hAnsi="Arial"/>
          <w:w w:val="105"/>
          <w:sz w:val="19"/>
        </w:rPr>
        <w:t>(existing</w:t>
      </w:r>
      <w:r>
        <w:rPr>
          <w:rFonts w:ascii="Arial" w:hAnsi="Arial"/>
          <w:spacing w:val="-25"/>
          <w:w w:val="105"/>
          <w:sz w:val="19"/>
        </w:rPr>
        <w:t xml:space="preserve"> </w:t>
      </w:r>
      <w:r>
        <w:rPr>
          <w:rFonts w:ascii="Arial" w:hAnsi="Arial"/>
          <w:w w:val="105"/>
          <w:sz w:val="19"/>
        </w:rPr>
        <w:t>sponsors</w:t>
      </w:r>
      <w:r>
        <w:rPr>
          <w:rFonts w:ascii="Arial" w:hAnsi="Arial"/>
          <w:spacing w:val="-26"/>
          <w:w w:val="105"/>
          <w:sz w:val="19"/>
        </w:rPr>
        <w:t xml:space="preserve"> </w:t>
      </w:r>
      <w:r>
        <w:rPr>
          <w:rFonts w:ascii="Arial" w:hAnsi="Arial"/>
          <w:w w:val="105"/>
          <w:sz w:val="19"/>
        </w:rPr>
        <w:t>review</w:t>
      </w:r>
      <w:r>
        <w:rPr>
          <w:rFonts w:ascii="Arial" w:hAnsi="Arial"/>
          <w:spacing w:val="-26"/>
          <w:w w:val="105"/>
          <w:sz w:val="19"/>
        </w:rPr>
        <w:t xml:space="preserve"> </w:t>
      </w:r>
      <w:r>
        <w:rPr>
          <w:rFonts w:ascii="Arial" w:hAnsi="Arial"/>
          <w:w w:val="105"/>
          <w:sz w:val="19"/>
        </w:rPr>
        <w:t>documents)</w:t>
      </w:r>
      <w:r>
        <w:rPr>
          <w:rFonts w:ascii="Arial" w:hAnsi="Arial"/>
          <w:spacing w:val="-26"/>
          <w:w w:val="105"/>
          <w:sz w:val="19"/>
        </w:rPr>
        <w:t xml:space="preserve"> </w:t>
      </w:r>
      <w:r>
        <w:rPr>
          <w:rFonts w:ascii="Arial" w:hAnsi="Arial"/>
          <w:w w:val="105"/>
          <w:sz w:val="19"/>
        </w:rPr>
        <w:t>+</w:t>
      </w:r>
      <w:r>
        <w:rPr>
          <w:rFonts w:ascii="Arial" w:hAnsi="Arial"/>
          <w:spacing w:val="-27"/>
          <w:w w:val="105"/>
          <w:sz w:val="19"/>
        </w:rPr>
        <w:t xml:space="preserve"> </w:t>
      </w:r>
      <w:r>
        <w:rPr>
          <w:rFonts w:ascii="Arial" w:hAnsi="Arial"/>
          <w:w w:val="105"/>
          <w:sz w:val="19"/>
        </w:rPr>
        <w:t>33,600 (new</w:t>
      </w:r>
      <w:r>
        <w:rPr>
          <w:rFonts w:ascii="Arial" w:hAnsi="Arial"/>
          <w:spacing w:val="-30"/>
          <w:w w:val="105"/>
          <w:sz w:val="19"/>
        </w:rPr>
        <w:t xml:space="preserve"> </w:t>
      </w:r>
      <w:r>
        <w:rPr>
          <w:rFonts w:ascii="Arial" w:hAnsi="Arial"/>
          <w:w w:val="105"/>
          <w:sz w:val="19"/>
        </w:rPr>
        <w:t>sponsors</w:t>
      </w:r>
      <w:r>
        <w:rPr>
          <w:rFonts w:ascii="Arial" w:hAnsi="Arial"/>
          <w:spacing w:val="-30"/>
          <w:w w:val="105"/>
          <w:sz w:val="19"/>
        </w:rPr>
        <w:t xml:space="preserve"> </w:t>
      </w:r>
      <w:r>
        <w:rPr>
          <w:rFonts w:ascii="Arial" w:hAnsi="Arial"/>
          <w:w w:val="105"/>
          <w:sz w:val="19"/>
        </w:rPr>
        <w:t>without</w:t>
      </w:r>
      <w:r>
        <w:rPr>
          <w:rFonts w:ascii="Arial" w:hAnsi="Arial"/>
          <w:spacing w:val="-29"/>
          <w:w w:val="105"/>
          <w:sz w:val="19"/>
        </w:rPr>
        <w:t xml:space="preserve"> </w:t>
      </w:r>
      <w:r>
        <w:rPr>
          <w:rFonts w:ascii="Arial" w:hAnsi="Arial"/>
          <w:w w:val="105"/>
          <w:sz w:val="19"/>
        </w:rPr>
        <w:t>regulatory</w:t>
      </w:r>
      <w:r>
        <w:rPr>
          <w:rFonts w:ascii="Arial" w:hAnsi="Arial"/>
          <w:spacing w:val="-31"/>
          <w:w w:val="105"/>
          <w:sz w:val="19"/>
        </w:rPr>
        <w:t xml:space="preserve"> </w:t>
      </w:r>
      <w:r>
        <w:rPr>
          <w:rFonts w:ascii="Arial" w:hAnsi="Arial"/>
          <w:w w:val="105"/>
          <w:sz w:val="19"/>
        </w:rPr>
        <w:t>consultant</w:t>
      </w:r>
      <w:r>
        <w:rPr>
          <w:rFonts w:ascii="Arial" w:hAnsi="Arial"/>
          <w:spacing w:val="-29"/>
          <w:w w:val="105"/>
          <w:sz w:val="19"/>
        </w:rPr>
        <w:t xml:space="preserve"> </w:t>
      </w:r>
      <w:r>
        <w:rPr>
          <w:rFonts w:ascii="Arial" w:hAnsi="Arial"/>
          <w:w w:val="105"/>
          <w:sz w:val="19"/>
        </w:rPr>
        <w:t>support</w:t>
      </w:r>
      <w:r>
        <w:rPr>
          <w:rFonts w:ascii="Arial" w:hAnsi="Arial"/>
          <w:spacing w:val="-29"/>
          <w:w w:val="105"/>
          <w:sz w:val="19"/>
        </w:rPr>
        <w:t xml:space="preserve"> </w:t>
      </w:r>
      <w:r>
        <w:rPr>
          <w:rFonts w:ascii="Arial" w:hAnsi="Arial"/>
          <w:w w:val="105"/>
          <w:sz w:val="19"/>
        </w:rPr>
        <w:t>review</w:t>
      </w:r>
      <w:r>
        <w:rPr>
          <w:rFonts w:ascii="Arial" w:hAnsi="Arial"/>
          <w:spacing w:val="-29"/>
          <w:w w:val="105"/>
          <w:sz w:val="19"/>
        </w:rPr>
        <w:t xml:space="preserve"> </w:t>
      </w:r>
      <w:r>
        <w:rPr>
          <w:rFonts w:ascii="Arial" w:hAnsi="Arial"/>
          <w:w w:val="105"/>
          <w:sz w:val="19"/>
        </w:rPr>
        <w:t>documents)</w:t>
      </w:r>
      <w:r>
        <w:rPr>
          <w:rFonts w:ascii="Arial" w:hAnsi="Arial"/>
          <w:spacing w:val="-28"/>
          <w:w w:val="105"/>
          <w:sz w:val="19"/>
        </w:rPr>
        <w:t xml:space="preserve"> </w:t>
      </w:r>
      <w:r>
        <w:rPr>
          <w:rFonts w:ascii="Arial" w:hAnsi="Arial"/>
          <w:w w:val="105"/>
          <w:sz w:val="19"/>
        </w:rPr>
        <w:t>+</w:t>
      </w:r>
      <w:r>
        <w:rPr>
          <w:rFonts w:ascii="Arial" w:hAnsi="Arial"/>
          <w:spacing w:val="-30"/>
          <w:w w:val="105"/>
          <w:sz w:val="19"/>
        </w:rPr>
        <w:t xml:space="preserve"> </w:t>
      </w:r>
      <w:r>
        <w:rPr>
          <w:rFonts w:ascii="Arial" w:hAnsi="Arial"/>
          <w:w w:val="105"/>
          <w:sz w:val="19"/>
        </w:rPr>
        <w:t>4,140</w:t>
      </w:r>
      <w:r>
        <w:rPr>
          <w:rFonts w:ascii="Arial" w:hAnsi="Arial"/>
          <w:spacing w:val="-29"/>
          <w:w w:val="105"/>
          <w:sz w:val="19"/>
        </w:rPr>
        <w:t xml:space="preserve"> </w:t>
      </w:r>
      <w:r>
        <w:rPr>
          <w:rFonts w:ascii="Arial" w:hAnsi="Arial"/>
          <w:w w:val="105"/>
          <w:sz w:val="19"/>
        </w:rPr>
        <w:t>(new</w:t>
      </w:r>
      <w:r>
        <w:rPr>
          <w:rFonts w:ascii="Arial" w:hAnsi="Arial"/>
          <w:spacing w:val="-29"/>
          <w:w w:val="105"/>
          <w:sz w:val="19"/>
        </w:rPr>
        <w:t xml:space="preserve"> </w:t>
      </w:r>
      <w:r>
        <w:rPr>
          <w:rFonts w:ascii="Arial" w:hAnsi="Arial"/>
          <w:w w:val="105"/>
          <w:sz w:val="19"/>
        </w:rPr>
        <w:t>sponsors with</w:t>
      </w:r>
      <w:r>
        <w:rPr>
          <w:rFonts w:ascii="Arial" w:hAnsi="Arial"/>
          <w:spacing w:val="-27"/>
          <w:w w:val="105"/>
          <w:sz w:val="19"/>
        </w:rPr>
        <w:t xml:space="preserve"> </w:t>
      </w:r>
      <w:r>
        <w:rPr>
          <w:rFonts w:ascii="Arial" w:hAnsi="Arial"/>
          <w:w w:val="105"/>
          <w:sz w:val="19"/>
        </w:rPr>
        <w:t>regulatory</w:t>
      </w:r>
      <w:r>
        <w:rPr>
          <w:rFonts w:ascii="Arial" w:hAnsi="Arial"/>
          <w:spacing w:val="-28"/>
          <w:w w:val="105"/>
          <w:sz w:val="19"/>
        </w:rPr>
        <w:t xml:space="preserve"> </w:t>
      </w:r>
      <w:r>
        <w:rPr>
          <w:rFonts w:ascii="Arial" w:hAnsi="Arial"/>
          <w:w w:val="105"/>
          <w:sz w:val="19"/>
        </w:rPr>
        <w:t>consultant</w:t>
      </w:r>
      <w:r>
        <w:rPr>
          <w:rFonts w:ascii="Arial" w:hAnsi="Arial"/>
          <w:spacing w:val="-27"/>
          <w:w w:val="105"/>
          <w:sz w:val="19"/>
        </w:rPr>
        <w:t xml:space="preserve"> </w:t>
      </w:r>
      <w:r>
        <w:rPr>
          <w:rFonts w:ascii="Arial" w:hAnsi="Arial"/>
          <w:w w:val="105"/>
          <w:sz w:val="19"/>
        </w:rPr>
        <w:t>support</w:t>
      </w:r>
      <w:r>
        <w:rPr>
          <w:rFonts w:ascii="Arial" w:hAnsi="Arial"/>
          <w:spacing w:val="-27"/>
          <w:w w:val="105"/>
          <w:sz w:val="19"/>
        </w:rPr>
        <w:t xml:space="preserve"> </w:t>
      </w:r>
      <w:r>
        <w:rPr>
          <w:rFonts w:ascii="Arial" w:hAnsi="Arial"/>
          <w:w w:val="105"/>
          <w:sz w:val="19"/>
        </w:rPr>
        <w:t>review</w:t>
      </w:r>
      <w:r>
        <w:rPr>
          <w:rFonts w:ascii="Arial" w:hAnsi="Arial"/>
          <w:spacing w:val="-27"/>
          <w:w w:val="105"/>
          <w:sz w:val="19"/>
        </w:rPr>
        <w:t xml:space="preserve"> </w:t>
      </w:r>
      <w:r>
        <w:rPr>
          <w:rFonts w:ascii="Arial" w:hAnsi="Arial"/>
          <w:w w:val="105"/>
          <w:sz w:val="19"/>
        </w:rPr>
        <w:t>documents)</w:t>
      </w:r>
      <w:r>
        <w:rPr>
          <w:rFonts w:ascii="Arial" w:hAnsi="Arial"/>
          <w:spacing w:val="-24"/>
          <w:w w:val="105"/>
          <w:sz w:val="19"/>
        </w:rPr>
        <w:t xml:space="preserve"> </w:t>
      </w:r>
      <w:r>
        <w:rPr>
          <w:rFonts w:ascii="Arial" w:hAnsi="Arial"/>
          <w:w w:val="105"/>
          <w:sz w:val="19"/>
        </w:rPr>
        <w:t>+</w:t>
      </w:r>
      <w:r>
        <w:rPr>
          <w:rFonts w:ascii="Arial" w:hAnsi="Arial"/>
          <w:spacing w:val="-29"/>
          <w:w w:val="105"/>
          <w:sz w:val="19"/>
        </w:rPr>
        <w:t xml:space="preserve"> </w:t>
      </w:r>
      <w:r>
        <w:rPr>
          <w:rFonts w:ascii="Arial" w:hAnsi="Arial"/>
          <w:w w:val="105"/>
          <w:sz w:val="19"/>
        </w:rPr>
        <w:t>2,160</w:t>
      </w:r>
      <w:r>
        <w:rPr>
          <w:rFonts w:ascii="Arial" w:hAnsi="Arial"/>
          <w:spacing w:val="-27"/>
          <w:w w:val="105"/>
          <w:sz w:val="19"/>
        </w:rPr>
        <w:t xml:space="preserve"> </w:t>
      </w:r>
      <w:r>
        <w:rPr>
          <w:rFonts w:ascii="Arial" w:hAnsi="Arial"/>
          <w:w w:val="105"/>
          <w:sz w:val="19"/>
        </w:rPr>
        <w:t>(new</w:t>
      </w:r>
      <w:r>
        <w:rPr>
          <w:rFonts w:ascii="Arial" w:hAnsi="Arial"/>
          <w:spacing w:val="-27"/>
          <w:w w:val="105"/>
          <w:sz w:val="19"/>
        </w:rPr>
        <w:t xml:space="preserve"> </w:t>
      </w:r>
      <w:r>
        <w:rPr>
          <w:rFonts w:ascii="Arial" w:hAnsi="Arial"/>
          <w:w w:val="105"/>
          <w:sz w:val="19"/>
        </w:rPr>
        <w:t>sponsors</w:t>
      </w:r>
      <w:r>
        <w:rPr>
          <w:rFonts w:ascii="Arial" w:hAnsi="Arial"/>
          <w:spacing w:val="-27"/>
          <w:w w:val="105"/>
          <w:sz w:val="19"/>
        </w:rPr>
        <w:t xml:space="preserve"> </w:t>
      </w:r>
      <w:r>
        <w:rPr>
          <w:rFonts w:ascii="Arial" w:hAnsi="Arial"/>
          <w:w w:val="105"/>
          <w:sz w:val="19"/>
        </w:rPr>
        <w:t>become</w:t>
      </w:r>
      <w:r>
        <w:rPr>
          <w:rFonts w:ascii="Arial" w:hAnsi="Arial"/>
          <w:spacing w:val="-28"/>
          <w:w w:val="105"/>
          <w:sz w:val="19"/>
        </w:rPr>
        <w:t xml:space="preserve"> </w:t>
      </w:r>
      <w:r>
        <w:rPr>
          <w:rFonts w:ascii="Arial" w:hAnsi="Arial"/>
          <w:w w:val="105"/>
          <w:sz w:val="19"/>
        </w:rPr>
        <w:t>aware</w:t>
      </w:r>
      <w:r>
        <w:rPr>
          <w:rFonts w:ascii="Arial" w:hAnsi="Arial"/>
          <w:spacing w:val="-28"/>
          <w:w w:val="105"/>
          <w:sz w:val="19"/>
        </w:rPr>
        <w:t xml:space="preserve"> </w:t>
      </w:r>
      <w:r>
        <w:rPr>
          <w:rFonts w:ascii="Arial" w:hAnsi="Arial"/>
          <w:w w:val="105"/>
          <w:sz w:val="19"/>
        </w:rPr>
        <w:t>of sponsor</w:t>
      </w:r>
      <w:r>
        <w:rPr>
          <w:rFonts w:ascii="Arial" w:hAnsi="Arial"/>
          <w:spacing w:val="-17"/>
          <w:w w:val="105"/>
          <w:sz w:val="19"/>
        </w:rPr>
        <w:t xml:space="preserve"> </w:t>
      </w:r>
      <w:r>
        <w:rPr>
          <w:rFonts w:ascii="Arial" w:hAnsi="Arial"/>
          <w:w w:val="105"/>
          <w:sz w:val="19"/>
        </w:rPr>
        <w:t>responsibilities)</w:t>
      </w:r>
      <w:r>
        <w:rPr>
          <w:rFonts w:ascii="Arial" w:hAnsi="Arial"/>
          <w:spacing w:val="-15"/>
          <w:w w:val="105"/>
          <w:sz w:val="19"/>
        </w:rPr>
        <w:t xml:space="preserve"> </w:t>
      </w:r>
      <w:r>
        <w:rPr>
          <w:rFonts w:ascii="Arial" w:hAnsi="Arial"/>
          <w:w w:val="105"/>
          <w:sz w:val="19"/>
        </w:rPr>
        <w:t>+</w:t>
      </w:r>
      <w:r>
        <w:rPr>
          <w:rFonts w:ascii="Arial" w:hAnsi="Arial"/>
          <w:spacing w:val="-16"/>
          <w:w w:val="105"/>
          <w:sz w:val="19"/>
        </w:rPr>
        <w:t xml:space="preserve"> </w:t>
      </w:r>
      <w:r>
        <w:rPr>
          <w:rFonts w:ascii="Arial" w:hAnsi="Arial"/>
          <w:w w:val="105"/>
          <w:sz w:val="19"/>
        </w:rPr>
        <w:t>270</w:t>
      </w:r>
      <w:r>
        <w:rPr>
          <w:rFonts w:ascii="Arial" w:hAnsi="Arial"/>
          <w:spacing w:val="-15"/>
          <w:w w:val="105"/>
          <w:sz w:val="19"/>
        </w:rPr>
        <w:t xml:space="preserve"> </w:t>
      </w:r>
      <w:r>
        <w:rPr>
          <w:rFonts w:ascii="Arial" w:hAnsi="Arial"/>
          <w:w w:val="105"/>
          <w:sz w:val="19"/>
        </w:rPr>
        <w:t>(new</w:t>
      </w:r>
      <w:r>
        <w:rPr>
          <w:rFonts w:ascii="Arial" w:hAnsi="Arial"/>
          <w:spacing w:val="-16"/>
          <w:w w:val="105"/>
          <w:sz w:val="19"/>
        </w:rPr>
        <w:t xml:space="preserve"> </w:t>
      </w:r>
      <w:r>
        <w:rPr>
          <w:rFonts w:ascii="Arial" w:hAnsi="Arial"/>
          <w:w w:val="105"/>
          <w:sz w:val="19"/>
        </w:rPr>
        <w:t>sponsors</w:t>
      </w:r>
      <w:r>
        <w:rPr>
          <w:rFonts w:ascii="Arial" w:hAnsi="Arial"/>
          <w:spacing w:val="-18"/>
          <w:w w:val="105"/>
          <w:sz w:val="19"/>
        </w:rPr>
        <w:t xml:space="preserve"> </w:t>
      </w:r>
      <w:r>
        <w:rPr>
          <w:rFonts w:ascii="Arial" w:hAnsi="Arial"/>
          <w:w w:val="105"/>
          <w:sz w:val="19"/>
        </w:rPr>
        <w:t>get</w:t>
      </w:r>
      <w:r>
        <w:rPr>
          <w:rFonts w:ascii="Arial" w:hAnsi="Arial"/>
          <w:spacing w:val="-16"/>
          <w:w w:val="105"/>
          <w:sz w:val="19"/>
        </w:rPr>
        <w:t xml:space="preserve"> </w:t>
      </w:r>
      <w:r>
        <w:rPr>
          <w:rFonts w:ascii="Arial" w:hAnsi="Arial"/>
          <w:w w:val="105"/>
          <w:sz w:val="19"/>
        </w:rPr>
        <w:t>onto</w:t>
      </w:r>
      <w:r>
        <w:rPr>
          <w:rFonts w:ascii="Arial" w:hAnsi="Arial"/>
          <w:spacing w:val="-14"/>
          <w:w w:val="105"/>
          <w:sz w:val="19"/>
        </w:rPr>
        <w:t xml:space="preserve"> </w:t>
      </w:r>
      <w:proofErr w:type="spellStart"/>
      <w:proofErr w:type="gramStart"/>
      <w:r>
        <w:rPr>
          <w:rFonts w:ascii="Arial" w:hAnsi="Arial"/>
          <w:w w:val="105"/>
          <w:sz w:val="19"/>
        </w:rPr>
        <w:t>eBS</w:t>
      </w:r>
      <w:proofErr w:type="spellEnd"/>
      <w:proofErr w:type="gramEnd"/>
      <w:r>
        <w:rPr>
          <w:rFonts w:ascii="Arial" w:hAnsi="Arial"/>
          <w:w w:val="105"/>
          <w:sz w:val="19"/>
        </w:rPr>
        <w:t>)</w:t>
      </w:r>
      <w:r>
        <w:rPr>
          <w:rFonts w:ascii="Arial" w:hAnsi="Arial"/>
          <w:spacing w:val="-17"/>
          <w:w w:val="105"/>
          <w:sz w:val="19"/>
        </w:rPr>
        <w:t xml:space="preserve"> </w:t>
      </w:r>
      <w:r>
        <w:rPr>
          <w:rFonts w:ascii="Arial" w:hAnsi="Arial"/>
          <w:w w:val="105"/>
          <w:sz w:val="19"/>
        </w:rPr>
        <w:t>=</w:t>
      </w:r>
      <w:r>
        <w:rPr>
          <w:rFonts w:ascii="Arial" w:hAnsi="Arial"/>
          <w:spacing w:val="-16"/>
          <w:w w:val="105"/>
          <w:sz w:val="19"/>
        </w:rPr>
        <w:t xml:space="preserve"> </w:t>
      </w:r>
      <w:r>
        <w:rPr>
          <w:rFonts w:ascii="Arial" w:hAnsi="Arial"/>
          <w:w w:val="105"/>
          <w:sz w:val="19"/>
        </w:rPr>
        <w:t>41,310</w:t>
      </w:r>
      <w:r>
        <w:rPr>
          <w:rFonts w:ascii="Arial" w:hAnsi="Arial"/>
          <w:spacing w:val="-15"/>
          <w:w w:val="105"/>
          <w:sz w:val="19"/>
        </w:rPr>
        <w:t xml:space="preserve"> </w:t>
      </w:r>
      <w:r>
        <w:rPr>
          <w:rFonts w:ascii="Arial" w:hAnsi="Arial"/>
          <w:w w:val="105"/>
          <w:sz w:val="19"/>
        </w:rPr>
        <w:t>minutes.</w:t>
      </w:r>
    </w:p>
    <w:p w:rsidR="007D76BB" w:rsidRDefault="00D70D28">
      <w:pPr>
        <w:spacing w:before="67"/>
        <w:ind w:left="482"/>
        <w:rPr>
          <w:rFonts w:ascii="Arial"/>
          <w:sz w:val="19"/>
        </w:rPr>
      </w:pPr>
      <w:r>
        <w:rPr>
          <w:rFonts w:ascii="Arial"/>
          <w:i/>
          <w:spacing w:val="-1"/>
          <w:w w:val="85"/>
          <w:sz w:val="20"/>
        </w:rPr>
        <w:t>S</w:t>
      </w:r>
      <w:r>
        <w:rPr>
          <w:rFonts w:ascii="Arial"/>
          <w:i/>
          <w:w w:val="127"/>
          <w:sz w:val="20"/>
        </w:rPr>
        <w:t>t</w:t>
      </w:r>
      <w:r>
        <w:rPr>
          <w:rFonts w:ascii="Arial"/>
          <w:i/>
          <w:w w:val="91"/>
          <w:sz w:val="20"/>
        </w:rPr>
        <w:t>e</w:t>
      </w:r>
      <w:r>
        <w:rPr>
          <w:rFonts w:ascii="Arial"/>
          <w:i/>
          <w:w w:val="96"/>
          <w:sz w:val="20"/>
        </w:rPr>
        <w:t>p</w:t>
      </w:r>
      <w:r>
        <w:rPr>
          <w:rFonts w:ascii="Arial"/>
          <w:i/>
          <w:spacing w:val="-10"/>
          <w:sz w:val="20"/>
        </w:rPr>
        <w:t xml:space="preserve"> </w:t>
      </w:r>
      <w:r>
        <w:rPr>
          <w:rFonts w:ascii="Arial"/>
          <w:i/>
          <w:spacing w:val="-1"/>
          <w:w w:val="104"/>
          <w:sz w:val="20"/>
        </w:rPr>
        <w:t>2</w:t>
      </w:r>
      <w:r>
        <w:rPr>
          <w:rFonts w:ascii="Arial"/>
          <w:i/>
          <w:w w:val="76"/>
          <w:sz w:val="20"/>
        </w:rPr>
        <w:t>.</w:t>
      </w:r>
      <w:r>
        <w:rPr>
          <w:rFonts w:ascii="Arial"/>
          <w:i/>
          <w:spacing w:val="-9"/>
          <w:sz w:val="20"/>
        </w:rPr>
        <w:t xml:space="preserve"> </w:t>
      </w:r>
      <w:r>
        <w:rPr>
          <w:rFonts w:ascii="Arial"/>
          <w:w w:val="91"/>
          <w:sz w:val="19"/>
        </w:rPr>
        <w:t>C</w:t>
      </w:r>
      <w:r>
        <w:rPr>
          <w:rFonts w:ascii="Arial"/>
          <w:spacing w:val="-2"/>
          <w:w w:val="91"/>
          <w:sz w:val="19"/>
        </w:rPr>
        <w:t>a</w:t>
      </w:r>
      <w:r>
        <w:rPr>
          <w:rFonts w:ascii="Arial"/>
          <w:w w:val="117"/>
          <w:sz w:val="19"/>
        </w:rPr>
        <w:t>l</w:t>
      </w:r>
      <w:r>
        <w:rPr>
          <w:rFonts w:ascii="Arial"/>
          <w:w w:val="99"/>
          <w:sz w:val="19"/>
        </w:rPr>
        <w:t>c</w:t>
      </w:r>
      <w:r>
        <w:rPr>
          <w:rFonts w:ascii="Arial"/>
          <w:spacing w:val="-2"/>
          <w:w w:val="101"/>
          <w:sz w:val="19"/>
        </w:rPr>
        <w:t>u</w:t>
      </w:r>
      <w:r>
        <w:rPr>
          <w:rFonts w:ascii="Arial"/>
          <w:w w:val="117"/>
          <w:sz w:val="19"/>
        </w:rPr>
        <w:t>l</w:t>
      </w:r>
      <w:r>
        <w:rPr>
          <w:rFonts w:ascii="Arial"/>
          <w:w w:val="94"/>
          <w:sz w:val="19"/>
        </w:rPr>
        <w:t>a</w:t>
      </w:r>
      <w:r>
        <w:rPr>
          <w:rFonts w:ascii="Arial"/>
          <w:spacing w:val="-2"/>
          <w:w w:val="134"/>
          <w:sz w:val="19"/>
        </w:rPr>
        <w:t>t</w:t>
      </w:r>
      <w:r>
        <w:rPr>
          <w:rFonts w:ascii="Arial"/>
          <w:w w:val="96"/>
          <w:sz w:val="19"/>
        </w:rPr>
        <w:t>e</w:t>
      </w:r>
      <w:r>
        <w:rPr>
          <w:rFonts w:ascii="Arial"/>
          <w:spacing w:val="-9"/>
          <w:sz w:val="19"/>
        </w:rPr>
        <w:t xml:space="preserve"> </w:t>
      </w:r>
      <w:r>
        <w:rPr>
          <w:rFonts w:ascii="Arial"/>
          <w:w w:val="134"/>
          <w:sz w:val="19"/>
        </w:rPr>
        <w:t>t</w:t>
      </w:r>
      <w:r>
        <w:rPr>
          <w:rFonts w:ascii="Arial"/>
          <w:w w:val="111"/>
          <w:sz w:val="19"/>
        </w:rPr>
        <w:t>ot</w:t>
      </w:r>
      <w:r>
        <w:rPr>
          <w:rFonts w:ascii="Arial"/>
          <w:w w:val="94"/>
          <w:sz w:val="19"/>
        </w:rPr>
        <w:t>a</w:t>
      </w:r>
      <w:r>
        <w:rPr>
          <w:rFonts w:ascii="Arial"/>
          <w:w w:val="117"/>
          <w:sz w:val="19"/>
        </w:rPr>
        <w:t>l</w:t>
      </w:r>
      <w:r>
        <w:rPr>
          <w:rFonts w:ascii="Arial"/>
          <w:spacing w:val="-9"/>
          <w:sz w:val="19"/>
        </w:rPr>
        <w:t xml:space="preserve"> </w:t>
      </w:r>
      <w:r>
        <w:rPr>
          <w:rFonts w:ascii="Arial"/>
          <w:w w:val="134"/>
          <w:sz w:val="19"/>
        </w:rPr>
        <w:t>t</w:t>
      </w:r>
      <w:r>
        <w:rPr>
          <w:rFonts w:ascii="Arial"/>
          <w:w w:val="104"/>
          <w:sz w:val="19"/>
        </w:rPr>
        <w:t>i</w:t>
      </w:r>
      <w:r>
        <w:rPr>
          <w:rFonts w:ascii="Arial"/>
          <w:spacing w:val="-3"/>
          <w:w w:val="104"/>
          <w:sz w:val="19"/>
        </w:rPr>
        <w:t>m</w:t>
      </w:r>
      <w:r>
        <w:rPr>
          <w:rFonts w:ascii="Arial"/>
          <w:w w:val="96"/>
          <w:sz w:val="19"/>
        </w:rPr>
        <w:t>e</w:t>
      </w:r>
      <w:r>
        <w:rPr>
          <w:rFonts w:ascii="Arial"/>
          <w:spacing w:val="-7"/>
          <w:sz w:val="19"/>
        </w:rPr>
        <w:t xml:space="preserve"> </w:t>
      </w:r>
      <w:r>
        <w:rPr>
          <w:rFonts w:ascii="Arial"/>
          <w:spacing w:val="-3"/>
          <w:w w:val="114"/>
          <w:sz w:val="19"/>
        </w:rPr>
        <w:t>i</w:t>
      </w:r>
      <w:r>
        <w:rPr>
          <w:rFonts w:ascii="Arial"/>
          <w:w w:val="101"/>
          <w:sz w:val="19"/>
        </w:rPr>
        <w:t>n</w:t>
      </w:r>
      <w:r>
        <w:rPr>
          <w:rFonts w:ascii="Arial"/>
          <w:spacing w:val="-7"/>
          <w:sz w:val="19"/>
        </w:rPr>
        <w:t xml:space="preserve"> </w:t>
      </w:r>
      <w:r>
        <w:rPr>
          <w:rFonts w:ascii="Arial"/>
          <w:spacing w:val="1"/>
          <w:w w:val="101"/>
          <w:sz w:val="19"/>
        </w:rPr>
        <w:t>h</w:t>
      </w:r>
      <w:r>
        <w:rPr>
          <w:rFonts w:ascii="Arial"/>
          <w:sz w:val="19"/>
        </w:rPr>
        <w:t>o</w:t>
      </w:r>
      <w:r>
        <w:rPr>
          <w:rFonts w:ascii="Arial"/>
          <w:spacing w:val="-2"/>
          <w:sz w:val="19"/>
        </w:rPr>
        <w:t>u</w:t>
      </w:r>
      <w:r>
        <w:rPr>
          <w:rFonts w:ascii="Arial"/>
          <w:w w:val="116"/>
          <w:sz w:val="19"/>
        </w:rPr>
        <w:t>r</w:t>
      </w:r>
      <w:r>
        <w:rPr>
          <w:rFonts w:ascii="Arial"/>
          <w:w w:val="93"/>
          <w:sz w:val="19"/>
        </w:rPr>
        <w:t>s</w:t>
      </w:r>
      <w:r>
        <w:rPr>
          <w:rFonts w:ascii="Arial"/>
          <w:spacing w:val="-8"/>
          <w:sz w:val="19"/>
        </w:rPr>
        <w:t xml:space="preserve"> </w:t>
      </w:r>
      <w:r>
        <w:rPr>
          <w:rFonts w:ascii="Arial"/>
          <w:w w:val="134"/>
          <w:sz w:val="19"/>
        </w:rPr>
        <w:t>t</w:t>
      </w:r>
      <w:r>
        <w:rPr>
          <w:rFonts w:ascii="Arial"/>
          <w:sz w:val="19"/>
        </w:rPr>
        <w:t>o</w:t>
      </w:r>
      <w:r>
        <w:rPr>
          <w:rFonts w:ascii="Arial"/>
          <w:spacing w:val="-10"/>
          <w:sz w:val="19"/>
        </w:rPr>
        <w:t xml:space="preserve"> </w:t>
      </w:r>
      <w:r>
        <w:rPr>
          <w:rFonts w:ascii="Arial"/>
          <w:spacing w:val="-1"/>
          <w:w w:val="119"/>
          <w:sz w:val="19"/>
        </w:rPr>
        <w:t>f</w:t>
      </w:r>
      <w:r>
        <w:rPr>
          <w:rFonts w:ascii="Arial"/>
          <w:spacing w:val="1"/>
          <w:w w:val="101"/>
          <w:sz w:val="19"/>
        </w:rPr>
        <w:t>u</w:t>
      </w:r>
      <w:r>
        <w:rPr>
          <w:rFonts w:ascii="Arial"/>
          <w:w w:val="117"/>
          <w:sz w:val="19"/>
        </w:rPr>
        <w:t>l</w:t>
      </w:r>
      <w:r>
        <w:rPr>
          <w:rFonts w:ascii="Arial"/>
          <w:spacing w:val="-1"/>
          <w:w w:val="119"/>
          <w:sz w:val="19"/>
        </w:rPr>
        <w:t>f</w:t>
      </w:r>
      <w:r>
        <w:rPr>
          <w:rFonts w:ascii="Arial"/>
          <w:w w:val="115"/>
          <w:sz w:val="19"/>
        </w:rPr>
        <w:t>il</w:t>
      </w:r>
      <w:r>
        <w:rPr>
          <w:rFonts w:ascii="Arial"/>
          <w:spacing w:val="-7"/>
          <w:sz w:val="19"/>
        </w:rPr>
        <w:t xml:space="preserve"> </w:t>
      </w:r>
      <w:r>
        <w:rPr>
          <w:rFonts w:ascii="Arial"/>
          <w:spacing w:val="-2"/>
          <w:w w:val="116"/>
          <w:sz w:val="19"/>
        </w:rPr>
        <w:t>r</w:t>
      </w:r>
      <w:r>
        <w:rPr>
          <w:rFonts w:ascii="Arial"/>
          <w:w w:val="96"/>
          <w:sz w:val="19"/>
        </w:rPr>
        <w:t>e</w:t>
      </w:r>
      <w:r>
        <w:rPr>
          <w:rFonts w:ascii="Arial"/>
          <w:spacing w:val="-2"/>
          <w:w w:val="101"/>
          <w:sz w:val="19"/>
        </w:rPr>
        <w:t>g</w:t>
      </w:r>
      <w:r>
        <w:rPr>
          <w:rFonts w:ascii="Arial"/>
          <w:spacing w:val="1"/>
          <w:w w:val="101"/>
          <w:sz w:val="19"/>
        </w:rPr>
        <w:t>u</w:t>
      </w:r>
      <w:r>
        <w:rPr>
          <w:rFonts w:ascii="Arial"/>
          <w:w w:val="117"/>
          <w:sz w:val="19"/>
        </w:rPr>
        <w:t>l</w:t>
      </w:r>
      <w:r>
        <w:rPr>
          <w:rFonts w:ascii="Arial"/>
          <w:spacing w:val="-2"/>
          <w:w w:val="94"/>
          <w:sz w:val="19"/>
        </w:rPr>
        <w:t>a</w:t>
      </w:r>
      <w:r>
        <w:rPr>
          <w:rFonts w:ascii="Arial"/>
          <w:w w:val="134"/>
          <w:sz w:val="19"/>
        </w:rPr>
        <w:t>t</w:t>
      </w:r>
      <w:r>
        <w:rPr>
          <w:rFonts w:ascii="Arial"/>
          <w:w w:val="106"/>
          <w:sz w:val="19"/>
        </w:rPr>
        <w:t>ory</w:t>
      </w:r>
      <w:r>
        <w:rPr>
          <w:rFonts w:ascii="Arial"/>
          <w:spacing w:val="-7"/>
          <w:sz w:val="19"/>
        </w:rPr>
        <w:t xml:space="preserve"> </w:t>
      </w:r>
      <w:r>
        <w:rPr>
          <w:rFonts w:ascii="Arial"/>
          <w:spacing w:val="-2"/>
          <w:w w:val="116"/>
          <w:sz w:val="19"/>
        </w:rPr>
        <w:t>r</w:t>
      </w:r>
      <w:r>
        <w:rPr>
          <w:rFonts w:ascii="Arial"/>
          <w:spacing w:val="-2"/>
          <w:w w:val="96"/>
          <w:sz w:val="19"/>
        </w:rPr>
        <w:t>e</w:t>
      </w:r>
      <w:r>
        <w:rPr>
          <w:rFonts w:ascii="Arial"/>
          <w:spacing w:val="1"/>
          <w:w w:val="101"/>
          <w:sz w:val="19"/>
        </w:rPr>
        <w:t>qu</w:t>
      </w:r>
      <w:r>
        <w:rPr>
          <w:rFonts w:ascii="Arial"/>
          <w:w w:val="106"/>
          <w:sz w:val="19"/>
        </w:rPr>
        <w:t>ir</w:t>
      </w:r>
      <w:r>
        <w:rPr>
          <w:rFonts w:ascii="Arial"/>
          <w:spacing w:val="1"/>
          <w:w w:val="106"/>
          <w:sz w:val="19"/>
        </w:rPr>
        <w:t>e</w:t>
      </w:r>
      <w:r>
        <w:rPr>
          <w:rFonts w:ascii="Arial"/>
          <w:spacing w:val="-3"/>
          <w:w w:val="101"/>
          <w:sz w:val="19"/>
        </w:rPr>
        <w:t>m</w:t>
      </w:r>
      <w:r>
        <w:rPr>
          <w:rFonts w:ascii="Arial"/>
          <w:w w:val="96"/>
          <w:sz w:val="19"/>
        </w:rPr>
        <w:t>e</w:t>
      </w:r>
      <w:r>
        <w:rPr>
          <w:rFonts w:ascii="Arial"/>
          <w:spacing w:val="-2"/>
          <w:w w:val="101"/>
          <w:sz w:val="19"/>
        </w:rPr>
        <w:t>n</w:t>
      </w:r>
      <w:r>
        <w:rPr>
          <w:rFonts w:ascii="Arial"/>
          <w:w w:val="134"/>
          <w:sz w:val="19"/>
        </w:rPr>
        <w:t>t</w:t>
      </w:r>
      <w:r>
        <w:rPr>
          <w:rFonts w:ascii="Arial"/>
          <w:w w:val="80"/>
          <w:sz w:val="19"/>
        </w:rPr>
        <w:t>:</w:t>
      </w:r>
      <w:r>
        <w:rPr>
          <w:rFonts w:ascii="Arial"/>
          <w:spacing w:val="-1"/>
          <w:sz w:val="19"/>
        </w:rPr>
        <w:t xml:space="preserve"> </w:t>
      </w:r>
      <w:r>
        <w:rPr>
          <w:rFonts w:ascii="Arial"/>
          <w:w w:val="89"/>
          <w:sz w:val="19"/>
        </w:rPr>
        <w:t>4</w:t>
      </w:r>
      <w:r>
        <w:rPr>
          <w:rFonts w:ascii="Arial"/>
          <w:spacing w:val="-2"/>
          <w:w w:val="89"/>
          <w:sz w:val="19"/>
        </w:rPr>
        <w:t>1</w:t>
      </w:r>
      <w:r>
        <w:rPr>
          <w:rFonts w:ascii="Arial"/>
          <w:w w:val="98"/>
          <w:sz w:val="19"/>
        </w:rPr>
        <w:t>,</w:t>
      </w:r>
      <w:r>
        <w:rPr>
          <w:rFonts w:ascii="Arial"/>
          <w:spacing w:val="1"/>
          <w:w w:val="98"/>
          <w:sz w:val="19"/>
        </w:rPr>
        <w:t>3</w:t>
      </w:r>
      <w:r>
        <w:rPr>
          <w:rFonts w:ascii="Arial"/>
          <w:spacing w:val="-2"/>
          <w:w w:val="66"/>
          <w:sz w:val="19"/>
        </w:rPr>
        <w:t>1</w:t>
      </w:r>
      <w:r>
        <w:rPr>
          <w:rFonts w:ascii="Arial"/>
          <w:spacing w:val="1"/>
          <w:w w:val="114"/>
          <w:sz w:val="19"/>
        </w:rPr>
        <w:t>0</w:t>
      </w:r>
      <w:r>
        <w:rPr>
          <w:rFonts w:ascii="Arial"/>
          <w:w w:val="175"/>
          <w:sz w:val="19"/>
        </w:rPr>
        <w:t>/</w:t>
      </w:r>
      <w:r>
        <w:rPr>
          <w:rFonts w:ascii="Arial"/>
          <w:spacing w:val="-1"/>
          <w:w w:val="110"/>
          <w:sz w:val="19"/>
        </w:rPr>
        <w:t>6</w:t>
      </w:r>
      <w:r>
        <w:rPr>
          <w:rFonts w:ascii="Arial"/>
          <w:w w:val="110"/>
          <w:sz w:val="19"/>
        </w:rPr>
        <w:t>0</w:t>
      </w:r>
      <w:r>
        <w:rPr>
          <w:rFonts w:ascii="Arial"/>
          <w:spacing w:val="-9"/>
          <w:sz w:val="19"/>
        </w:rPr>
        <w:t xml:space="preserve"> </w:t>
      </w:r>
      <w:r>
        <w:rPr>
          <w:rFonts w:ascii="Arial"/>
          <w:w w:val="110"/>
          <w:sz w:val="19"/>
        </w:rPr>
        <w:t>=</w:t>
      </w:r>
      <w:r>
        <w:rPr>
          <w:rFonts w:ascii="Arial"/>
          <w:spacing w:val="-8"/>
          <w:sz w:val="19"/>
        </w:rPr>
        <w:t xml:space="preserve"> </w:t>
      </w:r>
      <w:r>
        <w:rPr>
          <w:rFonts w:ascii="Arial"/>
          <w:w w:val="108"/>
          <w:sz w:val="19"/>
        </w:rPr>
        <w:t>6</w:t>
      </w:r>
      <w:r>
        <w:rPr>
          <w:rFonts w:ascii="Arial"/>
          <w:spacing w:val="-1"/>
          <w:w w:val="108"/>
          <w:sz w:val="19"/>
        </w:rPr>
        <w:t>8</w:t>
      </w:r>
      <w:r>
        <w:rPr>
          <w:rFonts w:ascii="Arial"/>
          <w:w w:val="107"/>
          <w:sz w:val="19"/>
        </w:rPr>
        <w:t>9</w:t>
      </w:r>
      <w:r>
        <w:rPr>
          <w:rFonts w:ascii="Arial"/>
          <w:spacing w:val="-8"/>
          <w:sz w:val="19"/>
        </w:rPr>
        <w:t xml:space="preserve"> </w:t>
      </w:r>
      <w:r>
        <w:rPr>
          <w:rFonts w:ascii="Arial"/>
          <w:spacing w:val="1"/>
          <w:w w:val="101"/>
          <w:sz w:val="19"/>
        </w:rPr>
        <w:t>h</w:t>
      </w:r>
      <w:r>
        <w:rPr>
          <w:rFonts w:ascii="Arial"/>
          <w:sz w:val="19"/>
        </w:rPr>
        <w:t>ou</w:t>
      </w:r>
      <w:r>
        <w:rPr>
          <w:rFonts w:ascii="Arial"/>
          <w:w w:val="116"/>
          <w:sz w:val="19"/>
        </w:rPr>
        <w:t>r</w:t>
      </w:r>
      <w:r>
        <w:rPr>
          <w:rFonts w:ascii="Arial"/>
          <w:w w:val="93"/>
          <w:sz w:val="19"/>
        </w:rPr>
        <w:t>s</w:t>
      </w:r>
    </w:p>
    <w:p w:rsidR="007D76BB" w:rsidRDefault="00D70D28">
      <w:pPr>
        <w:spacing w:before="149"/>
        <w:ind w:left="482"/>
        <w:rPr>
          <w:rFonts w:ascii="Arial"/>
          <w:sz w:val="19"/>
        </w:rPr>
      </w:pPr>
      <w:r>
        <w:rPr>
          <w:rFonts w:ascii="Arial"/>
          <w:i/>
          <w:sz w:val="20"/>
        </w:rPr>
        <w:t>Step 3</w:t>
      </w:r>
      <w:r>
        <w:rPr>
          <w:rFonts w:ascii="Arial"/>
          <w:sz w:val="19"/>
        </w:rPr>
        <w:t>.</w:t>
      </w:r>
    </w:p>
    <w:p w:rsidR="007D76BB" w:rsidRDefault="00D70D28">
      <w:pPr>
        <w:pStyle w:val="ListParagraph"/>
        <w:numPr>
          <w:ilvl w:val="1"/>
          <w:numId w:val="5"/>
        </w:numPr>
        <w:tabs>
          <w:tab w:val="left" w:pos="766"/>
        </w:tabs>
        <w:spacing w:before="161"/>
        <w:rPr>
          <w:rFonts w:ascii="Arial" w:hAnsi="Arial"/>
          <w:sz w:val="19"/>
        </w:rPr>
      </w:pPr>
      <w:r>
        <w:rPr>
          <w:rFonts w:ascii="Arial" w:hAnsi="Arial"/>
          <w:w w:val="110"/>
          <w:sz w:val="19"/>
        </w:rPr>
        <w:t>Apply</w:t>
      </w:r>
      <w:r>
        <w:rPr>
          <w:rFonts w:ascii="Arial" w:hAnsi="Arial"/>
          <w:spacing w:val="-27"/>
          <w:w w:val="110"/>
          <w:sz w:val="19"/>
        </w:rPr>
        <w:t xml:space="preserve"> </w:t>
      </w:r>
      <w:r>
        <w:rPr>
          <w:rFonts w:ascii="Arial" w:hAnsi="Arial"/>
          <w:w w:val="110"/>
          <w:sz w:val="19"/>
        </w:rPr>
        <w:t>the</w:t>
      </w:r>
      <w:r>
        <w:rPr>
          <w:rFonts w:ascii="Arial" w:hAnsi="Arial"/>
          <w:spacing w:val="-26"/>
          <w:w w:val="110"/>
          <w:sz w:val="19"/>
        </w:rPr>
        <w:t xml:space="preserve"> </w:t>
      </w:r>
      <w:r>
        <w:rPr>
          <w:rFonts w:ascii="Arial" w:hAnsi="Arial"/>
          <w:w w:val="110"/>
          <w:sz w:val="19"/>
        </w:rPr>
        <w:t>hourly</w:t>
      </w:r>
      <w:r>
        <w:rPr>
          <w:rFonts w:ascii="Arial" w:hAnsi="Arial"/>
          <w:spacing w:val="-27"/>
          <w:w w:val="110"/>
          <w:sz w:val="19"/>
        </w:rPr>
        <w:t xml:space="preserve"> </w:t>
      </w:r>
      <w:r>
        <w:rPr>
          <w:rFonts w:ascii="Arial" w:hAnsi="Arial"/>
          <w:w w:val="110"/>
          <w:sz w:val="19"/>
        </w:rPr>
        <w:t>rate</w:t>
      </w:r>
      <w:r>
        <w:rPr>
          <w:rFonts w:ascii="Arial" w:hAnsi="Arial"/>
          <w:spacing w:val="-26"/>
          <w:w w:val="110"/>
          <w:sz w:val="19"/>
        </w:rPr>
        <w:t xml:space="preserve"> </w:t>
      </w:r>
      <w:r>
        <w:rPr>
          <w:rFonts w:ascii="Arial" w:hAnsi="Arial"/>
          <w:w w:val="110"/>
          <w:sz w:val="19"/>
        </w:rPr>
        <w:t>to</w:t>
      </w:r>
      <w:r>
        <w:rPr>
          <w:rFonts w:ascii="Arial" w:hAnsi="Arial"/>
          <w:spacing w:val="-25"/>
          <w:w w:val="110"/>
          <w:sz w:val="19"/>
        </w:rPr>
        <w:t xml:space="preserve"> </w:t>
      </w:r>
      <w:r>
        <w:rPr>
          <w:rFonts w:ascii="Arial" w:hAnsi="Arial"/>
          <w:w w:val="110"/>
          <w:sz w:val="19"/>
        </w:rPr>
        <w:t>determine</w:t>
      </w:r>
      <w:r>
        <w:rPr>
          <w:rFonts w:ascii="Arial" w:hAnsi="Arial"/>
          <w:spacing w:val="-25"/>
          <w:w w:val="110"/>
          <w:sz w:val="19"/>
        </w:rPr>
        <w:t xml:space="preserve"> </w:t>
      </w:r>
      <w:r>
        <w:rPr>
          <w:rFonts w:ascii="Arial" w:hAnsi="Arial"/>
          <w:w w:val="110"/>
          <w:sz w:val="19"/>
        </w:rPr>
        <w:t>overall</w:t>
      </w:r>
      <w:r>
        <w:rPr>
          <w:rFonts w:ascii="Arial" w:hAnsi="Arial"/>
          <w:spacing w:val="-26"/>
          <w:w w:val="110"/>
          <w:sz w:val="19"/>
        </w:rPr>
        <w:t xml:space="preserve"> </w:t>
      </w:r>
      <w:r>
        <w:rPr>
          <w:rFonts w:ascii="Arial" w:hAnsi="Arial"/>
          <w:w w:val="110"/>
          <w:sz w:val="19"/>
        </w:rPr>
        <w:t>regulatory</w:t>
      </w:r>
      <w:r>
        <w:rPr>
          <w:rFonts w:ascii="Arial" w:hAnsi="Arial"/>
          <w:spacing w:val="-26"/>
          <w:w w:val="110"/>
          <w:sz w:val="19"/>
        </w:rPr>
        <w:t xml:space="preserve"> </w:t>
      </w:r>
      <w:r>
        <w:rPr>
          <w:rFonts w:ascii="Arial" w:hAnsi="Arial"/>
          <w:w w:val="110"/>
          <w:sz w:val="19"/>
        </w:rPr>
        <w:t>compliance</w:t>
      </w:r>
      <w:r>
        <w:rPr>
          <w:rFonts w:ascii="Arial" w:hAnsi="Arial"/>
          <w:spacing w:val="-26"/>
          <w:w w:val="110"/>
          <w:sz w:val="19"/>
        </w:rPr>
        <w:t xml:space="preserve"> </w:t>
      </w:r>
      <w:r>
        <w:rPr>
          <w:rFonts w:ascii="Arial" w:hAnsi="Arial"/>
          <w:w w:val="110"/>
          <w:sz w:val="19"/>
        </w:rPr>
        <w:t>cost:</w:t>
      </w:r>
      <w:r>
        <w:rPr>
          <w:rFonts w:ascii="Arial" w:hAnsi="Arial"/>
          <w:spacing w:val="-20"/>
          <w:w w:val="110"/>
          <w:sz w:val="19"/>
        </w:rPr>
        <w:t xml:space="preserve"> </w:t>
      </w:r>
      <w:r>
        <w:rPr>
          <w:rFonts w:ascii="Arial" w:hAnsi="Arial"/>
          <w:w w:val="110"/>
          <w:sz w:val="19"/>
        </w:rPr>
        <w:t>689</w:t>
      </w:r>
      <w:r>
        <w:rPr>
          <w:rFonts w:ascii="Arial" w:hAnsi="Arial"/>
          <w:spacing w:val="-26"/>
          <w:w w:val="110"/>
          <w:sz w:val="19"/>
        </w:rPr>
        <w:t xml:space="preserve"> </w:t>
      </w:r>
      <w:r>
        <w:rPr>
          <w:rFonts w:ascii="Arial" w:hAnsi="Arial"/>
          <w:w w:val="110"/>
          <w:sz w:val="19"/>
        </w:rPr>
        <w:t>x</w:t>
      </w:r>
      <w:r>
        <w:rPr>
          <w:rFonts w:ascii="Arial" w:hAnsi="Arial"/>
          <w:spacing w:val="-24"/>
          <w:w w:val="110"/>
          <w:sz w:val="19"/>
        </w:rPr>
        <w:t xml:space="preserve"> </w:t>
      </w:r>
      <w:r>
        <w:rPr>
          <w:rFonts w:ascii="Arial" w:hAnsi="Arial"/>
          <w:w w:val="110"/>
          <w:sz w:val="19"/>
        </w:rPr>
        <w:t>$84.84=</w:t>
      </w:r>
      <w:r>
        <w:rPr>
          <w:rFonts w:ascii="Arial" w:hAnsi="Arial"/>
          <w:spacing w:val="-26"/>
          <w:w w:val="110"/>
          <w:sz w:val="19"/>
        </w:rPr>
        <w:t xml:space="preserve"> </w:t>
      </w:r>
      <w:r>
        <w:rPr>
          <w:rFonts w:ascii="Arial" w:hAnsi="Arial"/>
          <w:w w:val="110"/>
          <w:sz w:val="19"/>
        </w:rPr>
        <w:t>$58,412</w:t>
      </w:r>
    </w:p>
    <w:p w:rsidR="007D76BB" w:rsidRDefault="00D70D28">
      <w:pPr>
        <w:pStyle w:val="ListParagraph"/>
        <w:numPr>
          <w:ilvl w:val="1"/>
          <w:numId w:val="5"/>
        </w:numPr>
        <w:tabs>
          <w:tab w:val="left" w:pos="766"/>
        </w:tabs>
        <w:spacing w:before="100"/>
        <w:rPr>
          <w:rFonts w:ascii="Arial" w:hAnsi="Arial"/>
          <w:sz w:val="19"/>
        </w:rPr>
      </w:pPr>
      <w:r>
        <w:rPr>
          <w:rFonts w:ascii="Arial" w:hAnsi="Arial"/>
          <w:w w:val="105"/>
          <w:sz w:val="19"/>
        </w:rPr>
        <w:t>Add</w:t>
      </w:r>
      <w:r>
        <w:rPr>
          <w:rFonts w:ascii="Arial" w:hAnsi="Arial"/>
          <w:spacing w:val="-15"/>
          <w:w w:val="105"/>
          <w:sz w:val="19"/>
        </w:rPr>
        <w:t xml:space="preserve"> </w:t>
      </w:r>
      <w:r>
        <w:rPr>
          <w:rFonts w:ascii="Arial" w:hAnsi="Arial"/>
          <w:w w:val="105"/>
          <w:sz w:val="19"/>
        </w:rPr>
        <w:t>the</w:t>
      </w:r>
      <w:r>
        <w:rPr>
          <w:rFonts w:ascii="Arial" w:hAnsi="Arial"/>
          <w:spacing w:val="-13"/>
          <w:w w:val="105"/>
          <w:sz w:val="19"/>
        </w:rPr>
        <w:t xml:space="preserve"> </w:t>
      </w:r>
      <w:r>
        <w:rPr>
          <w:rFonts w:ascii="Arial" w:hAnsi="Arial"/>
          <w:w w:val="105"/>
          <w:sz w:val="19"/>
        </w:rPr>
        <w:t>regulatory</w:t>
      </w:r>
      <w:r>
        <w:rPr>
          <w:rFonts w:ascii="Arial" w:hAnsi="Arial"/>
          <w:spacing w:val="-14"/>
          <w:w w:val="105"/>
          <w:sz w:val="19"/>
        </w:rPr>
        <w:t xml:space="preserve"> </w:t>
      </w:r>
      <w:r>
        <w:rPr>
          <w:rFonts w:ascii="Arial" w:hAnsi="Arial"/>
          <w:w w:val="105"/>
          <w:sz w:val="19"/>
        </w:rPr>
        <w:t>consultant</w:t>
      </w:r>
      <w:r>
        <w:rPr>
          <w:rFonts w:ascii="Arial" w:hAnsi="Arial"/>
          <w:spacing w:val="-14"/>
          <w:w w:val="105"/>
          <w:sz w:val="19"/>
        </w:rPr>
        <w:t xml:space="preserve"> </w:t>
      </w:r>
      <w:r>
        <w:rPr>
          <w:rFonts w:ascii="Arial" w:hAnsi="Arial"/>
          <w:w w:val="105"/>
          <w:sz w:val="19"/>
        </w:rPr>
        <w:t>charges:</w:t>
      </w:r>
      <w:r>
        <w:rPr>
          <w:rFonts w:ascii="Arial" w:hAnsi="Arial"/>
          <w:spacing w:val="-13"/>
          <w:w w:val="105"/>
          <w:sz w:val="19"/>
        </w:rPr>
        <w:t xml:space="preserve"> </w:t>
      </w:r>
      <w:r>
        <w:rPr>
          <w:rFonts w:ascii="Arial" w:hAnsi="Arial"/>
          <w:w w:val="105"/>
          <w:sz w:val="19"/>
        </w:rPr>
        <w:t>$58,412</w:t>
      </w:r>
      <w:r>
        <w:rPr>
          <w:rFonts w:ascii="Arial" w:hAnsi="Arial"/>
          <w:spacing w:val="-12"/>
          <w:w w:val="105"/>
          <w:sz w:val="19"/>
        </w:rPr>
        <w:t xml:space="preserve"> </w:t>
      </w:r>
      <w:r>
        <w:rPr>
          <w:rFonts w:ascii="Arial" w:hAnsi="Arial"/>
          <w:w w:val="105"/>
          <w:sz w:val="19"/>
        </w:rPr>
        <w:t>+</w:t>
      </w:r>
      <w:r>
        <w:rPr>
          <w:rFonts w:ascii="Arial" w:hAnsi="Arial"/>
          <w:spacing w:val="-13"/>
          <w:w w:val="105"/>
          <w:sz w:val="19"/>
        </w:rPr>
        <w:t xml:space="preserve"> </w:t>
      </w:r>
      <w:r>
        <w:rPr>
          <w:rFonts w:ascii="Arial" w:hAnsi="Arial"/>
          <w:w w:val="105"/>
          <w:sz w:val="19"/>
        </w:rPr>
        <w:t>$110,400</w:t>
      </w:r>
      <w:r>
        <w:rPr>
          <w:rFonts w:ascii="Arial" w:hAnsi="Arial"/>
          <w:spacing w:val="-13"/>
          <w:w w:val="105"/>
          <w:sz w:val="19"/>
        </w:rPr>
        <w:t xml:space="preserve"> </w:t>
      </w:r>
      <w:r>
        <w:rPr>
          <w:rFonts w:ascii="Arial" w:hAnsi="Arial"/>
          <w:w w:val="105"/>
          <w:sz w:val="19"/>
        </w:rPr>
        <w:t>=</w:t>
      </w:r>
      <w:r>
        <w:rPr>
          <w:rFonts w:ascii="Arial" w:hAnsi="Arial"/>
          <w:spacing w:val="-14"/>
          <w:w w:val="105"/>
          <w:sz w:val="19"/>
        </w:rPr>
        <w:t xml:space="preserve"> </w:t>
      </w:r>
      <w:r>
        <w:rPr>
          <w:rFonts w:ascii="Arial" w:hAnsi="Arial"/>
          <w:w w:val="105"/>
          <w:sz w:val="19"/>
        </w:rPr>
        <w:t>$168,812</w:t>
      </w:r>
    </w:p>
    <w:p w:rsidR="007D76BB" w:rsidRDefault="007D76BB">
      <w:pPr>
        <w:pStyle w:val="BodyText"/>
        <w:spacing w:before="5"/>
        <w:rPr>
          <w:rFonts w:ascii="Arial"/>
        </w:rPr>
      </w:pPr>
    </w:p>
    <w:p w:rsidR="007D76BB" w:rsidRDefault="00D70D28">
      <w:pPr>
        <w:pStyle w:val="BodyText"/>
        <w:ind w:left="482"/>
        <w:rPr>
          <w:rFonts w:ascii="Lucida Sans"/>
          <w:b/>
        </w:rPr>
      </w:pPr>
      <w:r>
        <w:rPr>
          <w:rFonts w:ascii="Lucida Sans"/>
          <w:b/>
          <w:color w:val="608FB5"/>
        </w:rPr>
        <w:t>Ingredients</w:t>
      </w:r>
    </w:p>
    <w:p w:rsidR="007D76BB" w:rsidRDefault="007D76BB">
      <w:pPr>
        <w:pStyle w:val="BodyText"/>
        <w:spacing w:before="2"/>
        <w:rPr>
          <w:rFonts w:ascii="Lucida Sans"/>
          <w:b/>
        </w:rPr>
      </w:pPr>
    </w:p>
    <w:p w:rsidR="007D76BB" w:rsidRDefault="00D70D28">
      <w:pPr>
        <w:spacing w:line="264" w:lineRule="auto"/>
        <w:ind w:left="482" w:right="778"/>
        <w:rPr>
          <w:rFonts w:ascii="Arial" w:hAnsi="Arial"/>
          <w:sz w:val="19"/>
        </w:rPr>
      </w:pPr>
      <w:r>
        <w:rPr>
          <w:rFonts w:ascii="Arial" w:hAnsi="Arial"/>
          <w:w w:val="105"/>
          <w:sz w:val="19"/>
        </w:rPr>
        <w:t>The</w:t>
      </w:r>
      <w:r>
        <w:rPr>
          <w:rFonts w:ascii="Arial" w:hAnsi="Arial"/>
          <w:spacing w:val="-25"/>
          <w:w w:val="105"/>
          <w:sz w:val="19"/>
        </w:rPr>
        <w:t xml:space="preserve"> </w:t>
      </w:r>
      <w:r>
        <w:rPr>
          <w:rFonts w:ascii="Arial" w:hAnsi="Arial"/>
          <w:w w:val="105"/>
          <w:sz w:val="19"/>
        </w:rPr>
        <w:t>extant</w:t>
      </w:r>
      <w:r>
        <w:rPr>
          <w:rFonts w:ascii="Arial" w:hAnsi="Arial"/>
          <w:spacing w:val="-26"/>
          <w:w w:val="105"/>
          <w:sz w:val="19"/>
        </w:rPr>
        <w:t xml:space="preserve"> </w:t>
      </w:r>
      <w:r>
        <w:rPr>
          <w:rFonts w:ascii="Arial" w:hAnsi="Arial"/>
          <w:w w:val="105"/>
          <w:sz w:val="19"/>
        </w:rPr>
        <w:t>Permissible</w:t>
      </w:r>
      <w:r>
        <w:rPr>
          <w:rFonts w:ascii="Arial" w:hAnsi="Arial"/>
          <w:spacing w:val="-27"/>
          <w:w w:val="105"/>
          <w:sz w:val="19"/>
        </w:rPr>
        <w:t xml:space="preserve"> </w:t>
      </w:r>
      <w:r>
        <w:rPr>
          <w:rFonts w:ascii="Arial" w:hAnsi="Arial"/>
          <w:w w:val="105"/>
          <w:sz w:val="19"/>
        </w:rPr>
        <w:t>Ingredients</w:t>
      </w:r>
      <w:r>
        <w:rPr>
          <w:rFonts w:ascii="Arial" w:hAnsi="Arial"/>
          <w:spacing w:val="-25"/>
          <w:w w:val="105"/>
          <w:sz w:val="19"/>
        </w:rPr>
        <w:t xml:space="preserve"> </w:t>
      </w:r>
      <w:r>
        <w:rPr>
          <w:rFonts w:ascii="Arial" w:hAnsi="Arial"/>
          <w:w w:val="105"/>
          <w:sz w:val="19"/>
        </w:rPr>
        <w:t>Determination</w:t>
      </w:r>
      <w:r>
        <w:rPr>
          <w:rFonts w:ascii="Arial" w:hAnsi="Arial"/>
          <w:w w:val="105"/>
          <w:position w:val="7"/>
          <w:sz w:val="11"/>
        </w:rPr>
        <w:t>68</w:t>
      </w:r>
      <w:r>
        <w:rPr>
          <w:rFonts w:ascii="Arial" w:hAnsi="Arial"/>
          <w:spacing w:val="-1"/>
          <w:w w:val="105"/>
          <w:position w:val="7"/>
          <w:sz w:val="11"/>
        </w:rPr>
        <w:t xml:space="preserve"> </w:t>
      </w:r>
      <w:r>
        <w:rPr>
          <w:rFonts w:ascii="Arial" w:hAnsi="Arial"/>
          <w:w w:val="105"/>
          <w:sz w:val="19"/>
        </w:rPr>
        <w:t>lists</w:t>
      </w:r>
      <w:r>
        <w:rPr>
          <w:rFonts w:ascii="Arial" w:hAnsi="Arial"/>
          <w:spacing w:val="-27"/>
          <w:w w:val="105"/>
          <w:sz w:val="19"/>
        </w:rPr>
        <w:t xml:space="preserve"> </w:t>
      </w:r>
      <w:r>
        <w:rPr>
          <w:rFonts w:ascii="Arial" w:hAnsi="Arial"/>
          <w:w w:val="105"/>
          <w:sz w:val="19"/>
        </w:rPr>
        <w:t>5250</w:t>
      </w:r>
      <w:r>
        <w:rPr>
          <w:rFonts w:ascii="Arial" w:hAnsi="Arial"/>
          <w:spacing w:val="-24"/>
          <w:w w:val="105"/>
          <w:sz w:val="19"/>
        </w:rPr>
        <w:t xml:space="preserve"> </w:t>
      </w:r>
      <w:r>
        <w:rPr>
          <w:rFonts w:ascii="Arial" w:hAnsi="Arial"/>
          <w:w w:val="105"/>
          <w:sz w:val="19"/>
        </w:rPr>
        <w:t>ingredients</w:t>
      </w:r>
      <w:r>
        <w:rPr>
          <w:rFonts w:ascii="Arial" w:hAnsi="Arial"/>
          <w:spacing w:val="-25"/>
          <w:w w:val="105"/>
          <w:sz w:val="19"/>
        </w:rPr>
        <w:t xml:space="preserve"> </w:t>
      </w:r>
      <w:r>
        <w:rPr>
          <w:rFonts w:ascii="Arial" w:hAnsi="Arial"/>
          <w:w w:val="105"/>
          <w:sz w:val="19"/>
        </w:rPr>
        <w:t>(across</w:t>
      </w:r>
      <w:r>
        <w:rPr>
          <w:rFonts w:ascii="Arial" w:hAnsi="Arial"/>
          <w:spacing w:val="-26"/>
          <w:w w:val="105"/>
          <w:sz w:val="19"/>
        </w:rPr>
        <w:t xml:space="preserve"> </w:t>
      </w:r>
      <w:r>
        <w:rPr>
          <w:rFonts w:ascii="Arial" w:hAnsi="Arial"/>
          <w:w w:val="105"/>
          <w:sz w:val="19"/>
        </w:rPr>
        <w:t>6</w:t>
      </w:r>
      <w:r>
        <w:rPr>
          <w:rFonts w:ascii="Arial" w:hAnsi="Arial"/>
          <w:spacing w:val="-25"/>
          <w:w w:val="105"/>
          <w:sz w:val="19"/>
        </w:rPr>
        <w:t xml:space="preserve"> </w:t>
      </w:r>
      <w:r>
        <w:rPr>
          <w:rFonts w:ascii="Arial" w:hAnsi="Arial"/>
          <w:w w:val="105"/>
          <w:sz w:val="19"/>
        </w:rPr>
        <w:t>volumes)</w:t>
      </w:r>
      <w:r>
        <w:rPr>
          <w:rFonts w:ascii="Arial" w:hAnsi="Arial"/>
          <w:spacing w:val="-27"/>
          <w:w w:val="105"/>
          <w:sz w:val="19"/>
        </w:rPr>
        <w:t xml:space="preserve"> </w:t>
      </w:r>
      <w:r>
        <w:rPr>
          <w:rFonts w:ascii="Arial" w:hAnsi="Arial"/>
          <w:w w:val="105"/>
          <w:sz w:val="19"/>
        </w:rPr>
        <w:t>and their</w:t>
      </w:r>
      <w:r>
        <w:rPr>
          <w:rFonts w:ascii="Arial" w:hAnsi="Arial"/>
          <w:spacing w:val="-30"/>
          <w:w w:val="105"/>
          <w:sz w:val="19"/>
        </w:rPr>
        <w:t xml:space="preserve"> </w:t>
      </w:r>
      <w:r>
        <w:rPr>
          <w:rFonts w:ascii="Arial" w:hAnsi="Arial"/>
          <w:w w:val="105"/>
          <w:sz w:val="19"/>
        </w:rPr>
        <w:t>permitted</w:t>
      </w:r>
      <w:r>
        <w:rPr>
          <w:rFonts w:ascii="Arial" w:hAnsi="Arial"/>
          <w:spacing w:val="-30"/>
          <w:w w:val="105"/>
          <w:sz w:val="19"/>
        </w:rPr>
        <w:t xml:space="preserve"> </w:t>
      </w:r>
      <w:r>
        <w:rPr>
          <w:rFonts w:ascii="Arial" w:hAnsi="Arial"/>
          <w:w w:val="105"/>
          <w:sz w:val="19"/>
        </w:rPr>
        <w:t>uses</w:t>
      </w:r>
      <w:r>
        <w:rPr>
          <w:rFonts w:ascii="Arial" w:hAnsi="Arial"/>
          <w:spacing w:val="-30"/>
          <w:w w:val="105"/>
          <w:sz w:val="19"/>
        </w:rPr>
        <w:t xml:space="preserve"> </w:t>
      </w:r>
      <w:r>
        <w:rPr>
          <w:rFonts w:ascii="Arial" w:hAnsi="Arial"/>
          <w:w w:val="105"/>
          <w:sz w:val="19"/>
        </w:rPr>
        <w:t>when</w:t>
      </w:r>
      <w:r>
        <w:rPr>
          <w:rFonts w:ascii="Arial" w:hAnsi="Arial"/>
          <w:spacing w:val="-29"/>
          <w:w w:val="105"/>
          <w:sz w:val="19"/>
        </w:rPr>
        <w:t xml:space="preserve"> </w:t>
      </w:r>
      <w:r>
        <w:rPr>
          <w:rFonts w:ascii="Arial" w:hAnsi="Arial"/>
          <w:w w:val="105"/>
          <w:sz w:val="19"/>
        </w:rPr>
        <w:t>contained</w:t>
      </w:r>
      <w:r>
        <w:rPr>
          <w:rFonts w:ascii="Arial" w:hAnsi="Arial"/>
          <w:spacing w:val="-30"/>
          <w:w w:val="105"/>
          <w:sz w:val="19"/>
        </w:rPr>
        <w:t xml:space="preserve"> </w:t>
      </w:r>
      <w:r>
        <w:rPr>
          <w:rFonts w:ascii="Arial" w:hAnsi="Arial"/>
          <w:w w:val="105"/>
          <w:sz w:val="19"/>
        </w:rPr>
        <w:t>in</w:t>
      </w:r>
      <w:r>
        <w:rPr>
          <w:rFonts w:ascii="Arial" w:hAnsi="Arial"/>
          <w:spacing w:val="-29"/>
          <w:w w:val="105"/>
          <w:sz w:val="19"/>
        </w:rPr>
        <w:t xml:space="preserve"> </w:t>
      </w:r>
      <w:r>
        <w:rPr>
          <w:rFonts w:ascii="Arial" w:hAnsi="Arial"/>
          <w:w w:val="105"/>
          <w:sz w:val="19"/>
        </w:rPr>
        <w:t>a</w:t>
      </w:r>
      <w:r>
        <w:rPr>
          <w:rFonts w:ascii="Arial" w:hAnsi="Arial"/>
          <w:spacing w:val="-28"/>
          <w:w w:val="105"/>
          <w:sz w:val="19"/>
        </w:rPr>
        <w:t xml:space="preserve"> </w:t>
      </w:r>
      <w:r>
        <w:rPr>
          <w:rFonts w:ascii="Arial" w:hAnsi="Arial"/>
          <w:w w:val="105"/>
          <w:sz w:val="19"/>
        </w:rPr>
        <w:t>medicine.</w:t>
      </w:r>
      <w:r>
        <w:rPr>
          <w:rFonts w:ascii="Arial" w:hAnsi="Arial"/>
          <w:spacing w:val="-30"/>
          <w:w w:val="105"/>
          <w:sz w:val="19"/>
        </w:rPr>
        <w:t xml:space="preserve"> </w:t>
      </w:r>
      <w:r>
        <w:rPr>
          <w:rFonts w:ascii="Arial" w:hAnsi="Arial"/>
          <w:w w:val="105"/>
          <w:sz w:val="19"/>
        </w:rPr>
        <w:t>Listed</w:t>
      </w:r>
      <w:r>
        <w:rPr>
          <w:rFonts w:ascii="Arial" w:hAnsi="Arial"/>
          <w:spacing w:val="-30"/>
          <w:w w:val="105"/>
          <w:sz w:val="19"/>
        </w:rPr>
        <w:t xml:space="preserve"> </w:t>
      </w:r>
      <w:r>
        <w:rPr>
          <w:rFonts w:ascii="Arial" w:hAnsi="Arial"/>
          <w:w w:val="105"/>
          <w:sz w:val="19"/>
        </w:rPr>
        <w:t>complementary</w:t>
      </w:r>
      <w:r>
        <w:rPr>
          <w:rFonts w:ascii="Arial" w:hAnsi="Arial"/>
          <w:spacing w:val="-29"/>
          <w:w w:val="105"/>
          <w:sz w:val="19"/>
        </w:rPr>
        <w:t xml:space="preserve"> </w:t>
      </w:r>
      <w:r>
        <w:rPr>
          <w:rFonts w:ascii="Arial" w:hAnsi="Arial"/>
          <w:w w:val="105"/>
          <w:sz w:val="19"/>
        </w:rPr>
        <w:t>medicines</w:t>
      </w:r>
      <w:r>
        <w:rPr>
          <w:rFonts w:ascii="Arial" w:hAnsi="Arial"/>
          <w:spacing w:val="-31"/>
          <w:w w:val="105"/>
          <w:sz w:val="19"/>
        </w:rPr>
        <w:t xml:space="preserve"> </w:t>
      </w:r>
      <w:r>
        <w:rPr>
          <w:rFonts w:ascii="Arial" w:hAnsi="Arial"/>
          <w:w w:val="105"/>
          <w:sz w:val="19"/>
        </w:rPr>
        <w:t>must</w:t>
      </w:r>
      <w:r>
        <w:rPr>
          <w:rFonts w:ascii="Arial" w:hAnsi="Arial"/>
          <w:spacing w:val="-30"/>
          <w:w w:val="105"/>
          <w:sz w:val="19"/>
        </w:rPr>
        <w:t xml:space="preserve"> </w:t>
      </w:r>
      <w:r>
        <w:rPr>
          <w:rFonts w:ascii="Arial" w:hAnsi="Arial"/>
          <w:w w:val="105"/>
          <w:sz w:val="19"/>
        </w:rPr>
        <w:t>contain only</w:t>
      </w:r>
      <w:r>
        <w:rPr>
          <w:rFonts w:ascii="Arial" w:hAnsi="Arial"/>
          <w:spacing w:val="-20"/>
          <w:w w:val="105"/>
          <w:sz w:val="19"/>
        </w:rPr>
        <w:t xml:space="preserve"> </w:t>
      </w:r>
      <w:r>
        <w:rPr>
          <w:rFonts w:ascii="Arial" w:hAnsi="Arial"/>
          <w:w w:val="105"/>
          <w:sz w:val="19"/>
        </w:rPr>
        <w:t>ingredients</w:t>
      </w:r>
      <w:r>
        <w:rPr>
          <w:rFonts w:ascii="Arial" w:hAnsi="Arial"/>
          <w:spacing w:val="-20"/>
          <w:w w:val="105"/>
          <w:sz w:val="19"/>
        </w:rPr>
        <w:t xml:space="preserve"> </w:t>
      </w:r>
      <w:r>
        <w:rPr>
          <w:rFonts w:ascii="Arial" w:hAnsi="Arial"/>
          <w:w w:val="105"/>
          <w:sz w:val="19"/>
        </w:rPr>
        <w:t>included</w:t>
      </w:r>
      <w:r>
        <w:rPr>
          <w:rFonts w:ascii="Arial" w:hAnsi="Arial"/>
          <w:spacing w:val="-21"/>
          <w:w w:val="105"/>
          <w:sz w:val="19"/>
        </w:rPr>
        <w:t xml:space="preserve"> </w:t>
      </w:r>
      <w:r>
        <w:rPr>
          <w:rFonts w:ascii="Arial" w:hAnsi="Arial"/>
          <w:w w:val="105"/>
          <w:sz w:val="19"/>
        </w:rPr>
        <w:t>in</w:t>
      </w:r>
      <w:r>
        <w:rPr>
          <w:rFonts w:ascii="Arial" w:hAnsi="Arial"/>
          <w:spacing w:val="-20"/>
          <w:w w:val="105"/>
          <w:sz w:val="19"/>
        </w:rPr>
        <w:t xml:space="preserve"> </w:t>
      </w:r>
      <w:r>
        <w:rPr>
          <w:rFonts w:ascii="Arial" w:hAnsi="Arial"/>
          <w:w w:val="105"/>
          <w:sz w:val="19"/>
        </w:rPr>
        <w:t>this</w:t>
      </w:r>
      <w:r>
        <w:rPr>
          <w:rFonts w:ascii="Arial" w:hAnsi="Arial"/>
          <w:spacing w:val="-20"/>
          <w:w w:val="105"/>
          <w:sz w:val="19"/>
        </w:rPr>
        <w:t xml:space="preserve"> </w:t>
      </w:r>
      <w:r>
        <w:rPr>
          <w:rFonts w:ascii="Arial" w:hAnsi="Arial"/>
          <w:w w:val="105"/>
          <w:sz w:val="19"/>
        </w:rPr>
        <w:t>determination.</w:t>
      </w:r>
      <w:r>
        <w:rPr>
          <w:rFonts w:ascii="Arial" w:hAnsi="Arial"/>
          <w:spacing w:val="-20"/>
          <w:w w:val="105"/>
          <w:sz w:val="19"/>
        </w:rPr>
        <w:t xml:space="preserve"> </w:t>
      </w:r>
      <w:r>
        <w:rPr>
          <w:rFonts w:ascii="Arial" w:hAnsi="Arial"/>
          <w:w w:val="105"/>
          <w:sz w:val="19"/>
        </w:rPr>
        <w:t>Additions</w:t>
      </w:r>
      <w:r>
        <w:rPr>
          <w:rFonts w:ascii="Arial" w:hAnsi="Arial"/>
          <w:spacing w:val="-20"/>
          <w:w w:val="105"/>
          <w:sz w:val="19"/>
        </w:rPr>
        <w:t xml:space="preserve"> </w:t>
      </w:r>
      <w:r>
        <w:rPr>
          <w:rFonts w:ascii="Arial" w:hAnsi="Arial"/>
          <w:w w:val="105"/>
          <w:sz w:val="19"/>
        </w:rPr>
        <w:t>to</w:t>
      </w:r>
      <w:r>
        <w:rPr>
          <w:rFonts w:ascii="Arial" w:hAnsi="Arial"/>
          <w:spacing w:val="-20"/>
          <w:w w:val="105"/>
          <w:sz w:val="19"/>
        </w:rPr>
        <w:t xml:space="preserve"> </w:t>
      </w:r>
      <w:r>
        <w:rPr>
          <w:rFonts w:ascii="Arial" w:hAnsi="Arial"/>
          <w:w w:val="105"/>
          <w:sz w:val="19"/>
        </w:rPr>
        <w:t>the</w:t>
      </w:r>
      <w:r>
        <w:rPr>
          <w:rFonts w:ascii="Arial" w:hAnsi="Arial"/>
          <w:spacing w:val="-19"/>
          <w:w w:val="105"/>
          <w:sz w:val="19"/>
        </w:rPr>
        <w:t xml:space="preserve"> </w:t>
      </w:r>
      <w:r>
        <w:rPr>
          <w:rFonts w:ascii="Arial" w:hAnsi="Arial"/>
          <w:w w:val="105"/>
          <w:sz w:val="19"/>
        </w:rPr>
        <w:t>list</w:t>
      </w:r>
      <w:r>
        <w:rPr>
          <w:rFonts w:ascii="Arial" w:hAnsi="Arial"/>
          <w:spacing w:val="-19"/>
          <w:w w:val="105"/>
          <w:sz w:val="19"/>
        </w:rPr>
        <w:t xml:space="preserve"> </w:t>
      </w:r>
      <w:r>
        <w:rPr>
          <w:rFonts w:ascii="Arial" w:hAnsi="Arial"/>
          <w:w w:val="105"/>
          <w:sz w:val="19"/>
        </w:rPr>
        <w:t>are</w:t>
      </w:r>
      <w:r>
        <w:rPr>
          <w:rFonts w:ascii="Arial" w:hAnsi="Arial"/>
          <w:spacing w:val="-19"/>
          <w:w w:val="105"/>
          <w:sz w:val="19"/>
        </w:rPr>
        <w:t xml:space="preserve"> </w:t>
      </w:r>
      <w:r>
        <w:rPr>
          <w:rFonts w:ascii="Arial" w:hAnsi="Arial"/>
          <w:w w:val="105"/>
          <w:sz w:val="19"/>
        </w:rPr>
        <w:t>made</w:t>
      </w:r>
      <w:r>
        <w:rPr>
          <w:rFonts w:ascii="Arial" w:hAnsi="Arial"/>
          <w:spacing w:val="-19"/>
          <w:w w:val="105"/>
          <w:sz w:val="19"/>
        </w:rPr>
        <w:t xml:space="preserve"> </w:t>
      </w:r>
      <w:r>
        <w:rPr>
          <w:rFonts w:ascii="Arial" w:hAnsi="Arial"/>
          <w:w w:val="105"/>
          <w:sz w:val="19"/>
        </w:rPr>
        <w:t>via</w:t>
      </w:r>
      <w:r>
        <w:rPr>
          <w:rFonts w:ascii="Arial" w:hAnsi="Arial"/>
          <w:spacing w:val="-20"/>
          <w:w w:val="105"/>
          <w:sz w:val="19"/>
        </w:rPr>
        <w:t xml:space="preserve"> </w:t>
      </w:r>
      <w:r>
        <w:rPr>
          <w:rFonts w:ascii="Arial" w:hAnsi="Arial"/>
          <w:w w:val="105"/>
          <w:sz w:val="19"/>
        </w:rPr>
        <w:t>the</w:t>
      </w:r>
      <w:r>
        <w:rPr>
          <w:rFonts w:ascii="Arial" w:hAnsi="Arial"/>
          <w:spacing w:val="-21"/>
          <w:w w:val="105"/>
          <w:sz w:val="19"/>
        </w:rPr>
        <w:t xml:space="preserve"> </w:t>
      </w:r>
      <w:r>
        <w:rPr>
          <w:rFonts w:ascii="Arial" w:hAnsi="Arial"/>
          <w:w w:val="105"/>
          <w:sz w:val="19"/>
        </w:rPr>
        <w:t>‘Substance Evaluation’</w:t>
      </w:r>
      <w:r>
        <w:rPr>
          <w:rFonts w:ascii="Arial" w:hAnsi="Arial"/>
          <w:spacing w:val="-40"/>
          <w:w w:val="105"/>
          <w:sz w:val="19"/>
        </w:rPr>
        <w:t xml:space="preserve"> </w:t>
      </w:r>
      <w:r>
        <w:rPr>
          <w:rFonts w:ascii="Arial" w:hAnsi="Arial"/>
          <w:w w:val="105"/>
          <w:sz w:val="19"/>
        </w:rPr>
        <w:t>form</w:t>
      </w:r>
      <w:r>
        <w:rPr>
          <w:rFonts w:ascii="Arial" w:hAnsi="Arial"/>
          <w:spacing w:val="-39"/>
          <w:w w:val="105"/>
          <w:sz w:val="19"/>
        </w:rPr>
        <w:t xml:space="preserve"> </w:t>
      </w:r>
      <w:r>
        <w:rPr>
          <w:rFonts w:ascii="Arial" w:hAnsi="Arial"/>
          <w:w w:val="105"/>
          <w:sz w:val="19"/>
        </w:rPr>
        <w:t>on</w:t>
      </w:r>
      <w:r>
        <w:rPr>
          <w:rFonts w:ascii="Arial" w:hAnsi="Arial"/>
          <w:spacing w:val="-39"/>
          <w:w w:val="105"/>
          <w:sz w:val="19"/>
        </w:rPr>
        <w:t xml:space="preserve"> </w:t>
      </w:r>
      <w:r>
        <w:rPr>
          <w:rFonts w:ascii="Arial" w:hAnsi="Arial"/>
          <w:w w:val="105"/>
          <w:sz w:val="19"/>
        </w:rPr>
        <w:t>the</w:t>
      </w:r>
      <w:r>
        <w:rPr>
          <w:rFonts w:ascii="Arial" w:hAnsi="Arial"/>
          <w:spacing w:val="-39"/>
          <w:w w:val="105"/>
          <w:sz w:val="19"/>
        </w:rPr>
        <w:t xml:space="preserve"> </w:t>
      </w:r>
      <w:r>
        <w:rPr>
          <w:rFonts w:ascii="Arial" w:hAnsi="Arial"/>
          <w:w w:val="105"/>
          <w:sz w:val="19"/>
        </w:rPr>
        <w:t>TGA</w:t>
      </w:r>
      <w:r>
        <w:rPr>
          <w:rFonts w:ascii="Arial" w:hAnsi="Arial"/>
          <w:spacing w:val="-39"/>
          <w:w w:val="105"/>
          <w:sz w:val="19"/>
        </w:rPr>
        <w:t xml:space="preserve"> </w:t>
      </w:r>
      <w:r>
        <w:rPr>
          <w:rFonts w:ascii="Arial" w:hAnsi="Arial"/>
          <w:w w:val="105"/>
          <w:sz w:val="19"/>
        </w:rPr>
        <w:t>Electronic</w:t>
      </w:r>
      <w:r>
        <w:rPr>
          <w:rFonts w:ascii="Arial" w:hAnsi="Arial"/>
          <w:spacing w:val="-39"/>
          <w:w w:val="105"/>
          <w:sz w:val="19"/>
        </w:rPr>
        <w:t xml:space="preserve"> </w:t>
      </w:r>
      <w:r>
        <w:rPr>
          <w:rFonts w:ascii="Arial" w:hAnsi="Arial"/>
          <w:w w:val="105"/>
          <w:sz w:val="19"/>
        </w:rPr>
        <w:t>Business</w:t>
      </w:r>
      <w:r>
        <w:rPr>
          <w:rFonts w:ascii="Arial" w:hAnsi="Arial"/>
          <w:spacing w:val="-39"/>
          <w:w w:val="105"/>
          <w:sz w:val="19"/>
        </w:rPr>
        <w:t xml:space="preserve"> </w:t>
      </w:r>
      <w:r>
        <w:rPr>
          <w:rFonts w:ascii="Arial" w:hAnsi="Arial"/>
          <w:w w:val="105"/>
          <w:sz w:val="19"/>
        </w:rPr>
        <w:t>Services</w:t>
      </w:r>
      <w:r>
        <w:rPr>
          <w:rFonts w:ascii="Arial" w:hAnsi="Arial"/>
          <w:spacing w:val="-39"/>
          <w:w w:val="105"/>
          <w:sz w:val="19"/>
        </w:rPr>
        <w:t xml:space="preserve"> </w:t>
      </w:r>
      <w:r>
        <w:rPr>
          <w:rFonts w:ascii="Arial" w:hAnsi="Arial"/>
          <w:w w:val="105"/>
          <w:sz w:val="19"/>
        </w:rPr>
        <w:t>TGA</w:t>
      </w:r>
      <w:r>
        <w:rPr>
          <w:rFonts w:ascii="Arial" w:hAnsi="Arial"/>
          <w:spacing w:val="-38"/>
          <w:w w:val="105"/>
          <w:sz w:val="19"/>
        </w:rPr>
        <w:t xml:space="preserve"> </w:t>
      </w:r>
      <w:r>
        <w:rPr>
          <w:rFonts w:ascii="Arial" w:hAnsi="Arial"/>
          <w:w w:val="105"/>
          <w:sz w:val="19"/>
        </w:rPr>
        <w:t>Business</w:t>
      </w:r>
      <w:r>
        <w:rPr>
          <w:rFonts w:ascii="Arial" w:hAnsi="Arial"/>
          <w:spacing w:val="-40"/>
          <w:w w:val="105"/>
          <w:sz w:val="19"/>
        </w:rPr>
        <w:t xml:space="preserve"> </w:t>
      </w:r>
      <w:r>
        <w:rPr>
          <w:rFonts w:ascii="Arial" w:hAnsi="Arial"/>
          <w:w w:val="105"/>
          <w:sz w:val="19"/>
        </w:rPr>
        <w:t>Services</w:t>
      </w:r>
      <w:r>
        <w:rPr>
          <w:rFonts w:ascii="Arial" w:hAnsi="Arial"/>
          <w:spacing w:val="-39"/>
          <w:w w:val="105"/>
          <w:sz w:val="19"/>
        </w:rPr>
        <w:t xml:space="preserve"> </w:t>
      </w:r>
      <w:r>
        <w:rPr>
          <w:rFonts w:ascii="Arial" w:hAnsi="Arial"/>
          <w:w w:val="105"/>
          <w:sz w:val="19"/>
        </w:rPr>
        <w:t>(</w:t>
      </w:r>
      <w:proofErr w:type="spellStart"/>
      <w:proofErr w:type="gramStart"/>
      <w:r>
        <w:rPr>
          <w:rFonts w:ascii="Arial" w:hAnsi="Arial"/>
          <w:w w:val="105"/>
          <w:sz w:val="19"/>
        </w:rPr>
        <w:t>eBS</w:t>
      </w:r>
      <w:proofErr w:type="spellEnd"/>
      <w:proofErr w:type="gramEnd"/>
      <w:r>
        <w:rPr>
          <w:rFonts w:ascii="Arial" w:hAnsi="Arial"/>
          <w:w w:val="105"/>
          <w:sz w:val="19"/>
        </w:rPr>
        <w:t>)</w:t>
      </w:r>
      <w:r>
        <w:rPr>
          <w:rFonts w:ascii="Arial" w:hAnsi="Arial"/>
          <w:spacing w:val="-39"/>
          <w:w w:val="105"/>
          <w:sz w:val="19"/>
        </w:rPr>
        <w:t xml:space="preserve"> </w:t>
      </w:r>
      <w:r>
        <w:rPr>
          <w:rFonts w:ascii="Arial" w:hAnsi="Arial"/>
          <w:w w:val="105"/>
          <w:sz w:val="19"/>
        </w:rPr>
        <w:t>electronic platform.</w:t>
      </w:r>
      <w:r>
        <w:rPr>
          <w:rFonts w:ascii="Arial" w:hAnsi="Arial"/>
          <w:spacing w:val="-14"/>
          <w:w w:val="105"/>
          <w:sz w:val="19"/>
        </w:rPr>
        <w:t xml:space="preserve"> </w:t>
      </w:r>
      <w:r>
        <w:rPr>
          <w:rFonts w:ascii="Arial" w:hAnsi="Arial"/>
          <w:w w:val="105"/>
          <w:sz w:val="19"/>
        </w:rPr>
        <w:t>An</w:t>
      </w:r>
      <w:r>
        <w:rPr>
          <w:rFonts w:ascii="Arial" w:hAnsi="Arial"/>
          <w:spacing w:val="-12"/>
          <w:w w:val="105"/>
          <w:sz w:val="19"/>
        </w:rPr>
        <w:t xml:space="preserve"> </w:t>
      </w:r>
      <w:r>
        <w:rPr>
          <w:rFonts w:ascii="Arial" w:hAnsi="Arial"/>
          <w:w w:val="105"/>
          <w:sz w:val="19"/>
        </w:rPr>
        <w:t>application</w:t>
      </w:r>
      <w:r>
        <w:rPr>
          <w:rFonts w:ascii="Arial" w:hAnsi="Arial"/>
          <w:spacing w:val="-13"/>
          <w:w w:val="105"/>
          <w:sz w:val="19"/>
        </w:rPr>
        <w:t xml:space="preserve"> </w:t>
      </w:r>
      <w:r>
        <w:rPr>
          <w:rFonts w:ascii="Arial" w:hAnsi="Arial"/>
          <w:w w:val="105"/>
          <w:sz w:val="19"/>
        </w:rPr>
        <w:t>can</w:t>
      </w:r>
      <w:r>
        <w:rPr>
          <w:rFonts w:ascii="Arial" w:hAnsi="Arial"/>
          <w:spacing w:val="-12"/>
          <w:w w:val="105"/>
          <w:sz w:val="19"/>
        </w:rPr>
        <w:t xml:space="preserve"> </w:t>
      </w:r>
      <w:r>
        <w:rPr>
          <w:rFonts w:ascii="Arial" w:hAnsi="Arial"/>
          <w:w w:val="105"/>
          <w:sz w:val="19"/>
        </w:rPr>
        <w:t>be</w:t>
      </w:r>
      <w:r>
        <w:rPr>
          <w:rFonts w:ascii="Arial" w:hAnsi="Arial"/>
          <w:spacing w:val="-10"/>
          <w:w w:val="105"/>
          <w:sz w:val="19"/>
        </w:rPr>
        <w:t xml:space="preserve"> </w:t>
      </w:r>
      <w:r>
        <w:rPr>
          <w:rFonts w:ascii="Arial" w:hAnsi="Arial"/>
          <w:w w:val="105"/>
          <w:sz w:val="19"/>
        </w:rPr>
        <w:t>submitted</w:t>
      </w:r>
      <w:r>
        <w:rPr>
          <w:rFonts w:ascii="Arial" w:hAnsi="Arial"/>
          <w:spacing w:val="-13"/>
          <w:w w:val="105"/>
          <w:sz w:val="19"/>
        </w:rPr>
        <w:t xml:space="preserve"> </w:t>
      </w:r>
      <w:r>
        <w:rPr>
          <w:rFonts w:ascii="Arial" w:hAnsi="Arial"/>
          <w:w w:val="105"/>
          <w:sz w:val="19"/>
        </w:rPr>
        <w:t>for:</w:t>
      </w:r>
    </w:p>
    <w:p w:rsidR="007D76BB" w:rsidRDefault="00D70D28">
      <w:pPr>
        <w:pStyle w:val="ListParagraph"/>
        <w:numPr>
          <w:ilvl w:val="1"/>
          <w:numId w:val="5"/>
        </w:numPr>
        <w:tabs>
          <w:tab w:val="left" w:pos="766"/>
        </w:tabs>
        <w:spacing w:before="186"/>
        <w:rPr>
          <w:rFonts w:ascii="Arial" w:hAnsi="Arial"/>
          <w:sz w:val="19"/>
        </w:rPr>
      </w:pPr>
      <w:r>
        <w:rPr>
          <w:rFonts w:ascii="Arial" w:hAnsi="Arial"/>
          <w:w w:val="105"/>
          <w:sz w:val="19"/>
        </w:rPr>
        <w:t>a</w:t>
      </w:r>
      <w:r>
        <w:rPr>
          <w:rFonts w:ascii="Arial" w:hAnsi="Arial"/>
          <w:spacing w:val="-13"/>
          <w:w w:val="105"/>
          <w:sz w:val="19"/>
        </w:rPr>
        <w:t xml:space="preserve"> </w:t>
      </w:r>
      <w:r>
        <w:rPr>
          <w:rFonts w:ascii="Arial" w:hAnsi="Arial"/>
          <w:w w:val="105"/>
          <w:sz w:val="19"/>
        </w:rPr>
        <w:t>new</w:t>
      </w:r>
      <w:r>
        <w:rPr>
          <w:rFonts w:ascii="Arial" w:hAnsi="Arial"/>
          <w:spacing w:val="-14"/>
          <w:w w:val="105"/>
          <w:sz w:val="19"/>
        </w:rPr>
        <w:t xml:space="preserve"> </w:t>
      </w:r>
      <w:r>
        <w:rPr>
          <w:rFonts w:ascii="Arial" w:hAnsi="Arial"/>
          <w:w w:val="105"/>
          <w:sz w:val="19"/>
        </w:rPr>
        <w:t>complementary</w:t>
      </w:r>
      <w:r>
        <w:rPr>
          <w:rFonts w:ascii="Arial" w:hAnsi="Arial"/>
          <w:spacing w:val="-14"/>
          <w:w w:val="105"/>
          <w:sz w:val="19"/>
        </w:rPr>
        <w:t xml:space="preserve"> </w:t>
      </w:r>
      <w:r>
        <w:rPr>
          <w:rFonts w:ascii="Arial" w:hAnsi="Arial"/>
          <w:w w:val="105"/>
          <w:sz w:val="19"/>
        </w:rPr>
        <w:t>medicine</w:t>
      </w:r>
      <w:r>
        <w:rPr>
          <w:rFonts w:ascii="Arial" w:hAnsi="Arial"/>
          <w:spacing w:val="-13"/>
          <w:w w:val="105"/>
          <w:sz w:val="19"/>
        </w:rPr>
        <w:t xml:space="preserve"> </w:t>
      </w:r>
      <w:r>
        <w:rPr>
          <w:rFonts w:ascii="Arial" w:hAnsi="Arial"/>
          <w:w w:val="105"/>
          <w:sz w:val="19"/>
        </w:rPr>
        <w:t>substance</w:t>
      </w:r>
      <w:r>
        <w:rPr>
          <w:rFonts w:ascii="Arial" w:hAnsi="Arial"/>
          <w:spacing w:val="-13"/>
          <w:w w:val="105"/>
          <w:sz w:val="19"/>
        </w:rPr>
        <w:t xml:space="preserve"> </w:t>
      </w:r>
      <w:r>
        <w:rPr>
          <w:rFonts w:ascii="Arial" w:hAnsi="Arial"/>
          <w:w w:val="105"/>
          <w:sz w:val="19"/>
        </w:rPr>
        <w:t>not</w:t>
      </w:r>
      <w:r>
        <w:rPr>
          <w:rFonts w:ascii="Arial" w:hAnsi="Arial"/>
          <w:spacing w:val="-14"/>
          <w:w w:val="105"/>
          <w:sz w:val="19"/>
        </w:rPr>
        <w:t xml:space="preserve"> </w:t>
      </w:r>
      <w:r>
        <w:rPr>
          <w:rFonts w:ascii="Arial" w:hAnsi="Arial"/>
          <w:w w:val="105"/>
          <w:sz w:val="19"/>
        </w:rPr>
        <w:t>currently</w:t>
      </w:r>
      <w:r>
        <w:rPr>
          <w:rFonts w:ascii="Arial" w:hAnsi="Arial"/>
          <w:spacing w:val="-15"/>
          <w:w w:val="105"/>
          <w:sz w:val="19"/>
        </w:rPr>
        <w:t xml:space="preserve"> </w:t>
      </w:r>
      <w:r>
        <w:rPr>
          <w:rFonts w:ascii="Arial" w:hAnsi="Arial"/>
          <w:w w:val="105"/>
          <w:sz w:val="19"/>
        </w:rPr>
        <w:t>listed</w:t>
      </w:r>
      <w:r>
        <w:rPr>
          <w:rFonts w:ascii="Arial" w:hAnsi="Arial"/>
          <w:spacing w:val="-14"/>
          <w:w w:val="105"/>
          <w:sz w:val="19"/>
        </w:rPr>
        <w:t xml:space="preserve"> </w:t>
      </w:r>
      <w:r>
        <w:rPr>
          <w:rFonts w:ascii="Arial" w:hAnsi="Arial"/>
          <w:w w:val="105"/>
          <w:sz w:val="19"/>
        </w:rPr>
        <w:t>in</w:t>
      </w:r>
      <w:r>
        <w:rPr>
          <w:rFonts w:ascii="Arial" w:hAnsi="Arial"/>
          <w:spacing w:val="-14"/>
          <w:w w:val="105"/>
          <w:sz w:val="19"/>
        </w:rPr>
        <w:t xml:space="preserve"> </w:t>
      </w:r>
      <w:r>
        <w:rPr>
          <w:rFonts w:ascii="Arial" w:hAnsi="Arial"/>
          <w:w w:val="105"/>
          <w:sz w:val="19"/>
        </w:rPr>
        <w:t>the</w:t>
      </w:r>
      <w:r>
        <w:rPr>
          <w:rFonts w:ascii="Arial" w:hAnsi="Arial"/>
          <w:spacing w:val="-14"/>
          <w:w w:val="105"/>
          <w:sz w:val="19"/>
        </w:rPr>
        <w:t xml:space="preserve"> </w:t>
      </w:r>
      <w:r>
        <w:rPr>
          <w:rFonts w:ascii="Arial" w:hAnsi="Arial"/>
          <w:w w:val="105"/>
          <w:sz w:val="19"/>
        </w:rPr>
        <w:t>determination</w:t>
      </w:r>
    </w:p>
    <w:p w:rsidR="007D76BB" w:rsidRDefault="00D70D28">
      <w:pPr>
        <w:pStyle w:val="ListParagraph"/>
        <w:numPr>
          <w:ilvl w:val="1"/>
          <w:numId w:val="5"/>
        </w:numPr>
        <w:tabs>
          <w:tab w:val="left" w:pos="766"/>
        </w:tabs>
        <w:spacing w:before="98" w:line="266" w:lineRule="auto"/>
        <w:ind w:right="1499"/>
        <w:rPr>
          <w:rFonts w:ascii="Arial" w:hAnsi="Arial"/>
          <w:sz w:val="19"/>
        </w:rPr>
      </w:pPr>
      <w:r>
        <w:rPr>
          <w:rFonts w:ascii="Arial" w:hAnsi="Arial"/>
          <w:w w:val="105"/>
          <w:sz w:val="19"/>
        </w:rPr>
        <w:t>a</w:t>
      </w:r>
      <w:r>
        <w:rPr>
          <w:rFonts w:ascii="Arial" w:hAnsi="Arial"/>
          <w:spacing w:val="-19"/>
          <w:w w:val="105"/>
          <w:sz w:val="19"/>
        </w:rPr>
        <w:t xml:space="preserve"> </w:t>
      </w:r>
      <w:r>
        <w:rPr>
          <w:rFonts w:ascii="Arial" w:hAnsi="Arial"/>
          <w:w w:val="105"/>
          <w:sz w:val="19"/>
        </w:rPr>
        <w:t>proposed</w:t>
      </w:r>
      <w:r>
        <w:rPr>
          <w:rFonts w:ascii="Arial" w:hAnsi="Arial"/>
          <w:spacing w:val="-21"/>
          <w:w w:val="105"/>
          <w:sz w:val="19"/>
        </w:rPr>
        <w:t xml:space="preserve"> </w:t>
      </w:r>
      <w:r>
        <w:rPr>
          <w:rFonts w:ascii="Arial" w:hAnsi="Arial"/>
          <w:w w:val="105"/>
          <w:sz w:val="19"/>
        </w:rPr>
        <w:t>new</w:t>
      </w:r>
      <w:r>
        <w:rPr>
          <w:rFonts w:ascii="Arial" w:hAnsi="Arial"/>
          <w:spacing w:val="-19"/>
          <w:w w:val="105"/>
          <w:sz w:val="19"/>
        </w:rPr>
        <w:t xml:space="preserve"> </w:t>
      </w:r>
      <w:r>
        <w:rPr>
          <w:rFonts w:ascii="Arial" w:hAnsi="Arial"/>
          <w:w w:val="105"/>
          <w:sz w:val="19"/>
        </w:rPr>
        <w:t>role</w:t>
      </w:r>
      <w:r>
        <w:rPr>
          <w:rFonts w:ascii="Arial" w:hAnsi="Arial"/>
          <w:spacing w:val="-19"/>
          <w:w w:val="105"/>
          <w:sz w:val="19"/>
        </w:rPr>
        <w:t xml:space="preserve"> </w:t>
      </w:r>
      <w:r>
        <w:rPr>
          <w:rFonts w:ascii="Arial" w:hAnsi="Arial"/>
          <w:w w:val="105"/>
          <w:sz w:val="19"/>
        </w:rPr>
        <w:t>or</w:t>
      </w:r>
      <w:r>
        <w:rPr>
          <w:rFonts w:ascii="Arial" w:hAnsi="Arial"/>
          <w:spacing w:val="-21"/>
          <w:w w:val="105"/>
          <w:sz w:val="19"/>
        </w:rPr>
        <w:t xml:space="preserve"> </w:t>
      </w:r>
      <w:r>
        <w:rPr>
          <w:rFonts w:ascii="Arial" w:hAnsi="Arial"/>
          <w:w w:val="105"/>
          <w:sz w:val="19"/>
        </w:rPr>
        <w:t>change</w:t>
      </w:r>
      <w:r>
        <w:rPr>
          <w:rFonts w:ascii="Arial" w:hAnsi="Arial"/>
          <w:spacing w:val="-21"/>
          <w:w w:val="105"/>
          <w:sz w:val="19"/>
        </w:rPr>
        <w:t xml:space="preserve"> </w:t>
      </w:r>
      <w:r>
        <w:rPr>
          <w:rFonts w:ascii="Arial" w:hAnsi="Arial"/>
          <w:w w:val="105"/>
          <w:sz w:val="19"/>
        </w:rPr>
        <w:t>to</w:t>
      </w:r>
      <w:r>
        <w:rPr>
          <w:rFonts w:ascii="Arial" w:hAnsi="Arial"/>
          <w:spacing w:val="-19"/>
          <w:w w:val="105"/>
          <w:sz w:val="19"/>
        </w:rPr>
        <w:t xml:space="preserve"> </w:t>
      </w:r>
      <w:r>
        <w:rPr>
          <w:rFonts w:ascii="Arial" w:hAnsi="Arial"/>
          <w:w w:val="105"/>
          <w:sz w:val="19"/>
        </w:rPr>
        <w:t>the</w:t>
      </w:r>
      <w:r>
        <w:rPr>
          <w:rFonts w:ascii="Arial" w:hAnsi="Arial"/>
          <w:spacing w:val="-21"/>
          <w:w w:val="105"/>
          <w:sz w:val="19"/>
        </w:rPr>
        <w:t xml:space="preserve"> </w:t>
      </w:r>
      <w:r>
        <w:rPr>
          <w:rFonts w:ascii="Arial" w:hAnsi="Arial"/>
          <w:w w:val="105"/>
          <w:sz w:val="19"/>
        </w:rPr>
        <w:t>existing</w:t>
      </w:r>
      <w:r>
        <w:rPr>
          <w:rFonts w:ascii="Arial" w:hAnsi="Arial"/>
          <w:spacing w:val="-20"/>
          <w:w w:val="105"/>
          <w:sz w:val="19"/>
        </w:rPr>
        <w:t xml:space="preserve"> </w:t>
      </w:r>
      <w:r>
        <w:rPr>
          <w:rFonts w:ascii="Arial" w:hAnsi="Arial"/>
          <w:w w:val="105"/>
          <w:sz w:val="19"/>
        </w:rPr>
        <w:t>requirements</w:t>
      </w:r>
      <w:r>
        <w:rPr>
          <w:rFonts w:ascii="Arial" w:hAnsi="Arial"/>
          <w:spacing w:val="-20"/>
          <w:w w:val="105"/>
          <w:sz w:val="19"/>
        </w:rPr>
        <w:t xml:space="preserve"> </w:t>
      </w:r>
      <w:r>
        <w:rPr>
          <w:rFonts w:ascii="Arial" w:hAnsi="Arial"/>
          <w:w w:val="105"/>
          <w:sz w:val="19"/>
        </w:rPr>
        <w:t>for</w:t>
      </w:r>
      <w:r>
        <w:rPr>
          <w:rFonts w:ascii="Arial" w:hAnsi="Arial"/>
          <w:spacing w:val="-21"/>
          <w:w w:val="105"/>
          <w:sz w:val="19"/>
        </w:rPr>
        <w:t xml:space="preserve"> </w:t>
      </w:r>
      <w:r>
        <w:rPr>
          <w:rFonts w:ascii="Arial" w:hAnsi="Arial"/>
          <w:w w:val="105"/>
          <w:sz w:val="19"/>
        </w:rPr>
        <w:t>use</w:t>
      </w:r>
      <w:r>
        <w:rPr>
          <w:rFonts w:ascii="Arial" w:hAnsi="Arial"/>
          <w:spacing w:val="-19"/>
          <w:w w:val="105"/>
          <w:sz w:val="19"/>
        </w:rPr>
        <w:t xml:space="preserve"> </w:t>
      </w:r>
      <w:r>
        <w:rPr>
          <w:rFonts w:ascii="Arial" w:hAnsi="Arial"/>
          <w:w w:val="105"/>
          <w:sz w:val="19"/>
        </w:rPr>
        <w:t>of</w:t>
      </w:r>
      <w:r>
        <w:rPr>
          <w:rFonts w:ascii="Arial" w:hAnsi="Arial"/>
          <w:spacing w:val="-21"/>
          <w:w w:val="105"/>
          <w:sz w:val="19"/>
        </w:rPr>
        <w:t xml:space="preserve"> </w:t>
      </w:r>
      <w:r>
        <w:rPr>
          <w:rFonts w:ascii="Arial" w:hAnsi="Arial"/>
          <w:w w:val="105"/>
          <w:sz w:val="19"/>
        </w:rPr>
        <w:t>a</w:t>
      </w:r>
      <w:r>
        <w:rPr>
          <w:rFonts w:ascii="Arial" w:hAnsi="Arial"/>
          <w:spacing w:val="-20"/>
          <w:w w:val="105"/>
          <w:sz w:val="19"/>
        </w:rPr>
        <w:t xml:space="preserve"> </w:t>
      </w:r>
      <w:r>
        <w:rPr>
          <w:rFonts w:ascii="Arial" w:hAnsi="Arial"/>
          <w:w w:val="105"/>
          <w:sz w:val="19"/>
        </w:rPr>
        <w:t>current</w:t>
      </w:r>
      <w:r>
        <w:rPr>
          <w:rFonts w:ascii="Arial" w:hAnsi="Arial"/>
          <w:spacing w:val="-21"/>
          <w:w w:val="105"/>
          <w:sz w:val="19"/>
        </w:rPr>
        <w:t xml:space="preserve"> </w:t>
      </w:r>
      <w:r>
        <w:rPr>
          <w:rFonts w:ascii="Arial" w:hAnsi="Arial"/>
          <w:w w:val="105"/>
          <w:sz w:val="19"/>
        </w:rPr>
        <w:t>permitted ingredient, such</w:t>
      </w:r>
      <w:r>
        <w:rPr>
          <w:rFonts w:ascii="Arial" w:hAnsi="Arial"/>
          <w:spacing w:val="-24"/>
          <w:w w:val="105"/>
          <w:sz w:val="19"/>
        </w:rPr>
        <w:t xml:space="preserve"> </w:t>
      </w:r>
      <w:r>
        <w:rPr>
          <w:rFonts w:ascii="Arial" w:hAnsi="Arial"/>
          <w:w w:val="105"/>
          <w:sz w:val="19"/>
        </w:rPr>
        <w:t>as:</w:t>
      </w:r>
    </w:p>
    <w:p w:rsidR="007D76BB" w:rsidRDefault="00D70D28">
      <w:pPr>
        <w:spacing w:before="76"/>
        <w:ind w:left="765"/>
        <w:rPr>
          <w:rFonts w:ascii="Arial"/>
          <w:sz w:val="11"/>
        </w:rPr>
      </w:pPr>
      <w:r>
        <w:rPr>
          <w:rFonts w:ascii="Calibri"/>
          <w:color w:val="005386"/>
          <w:w w:val="105"/>
          <w:sz w:val="19"/>
        </w:rPr>
        <w:t xml:space="preserve">+ </w:t>
      </w:r>
      <w:proofErr w:type="gramStart"/>
      <w:r>
        <w:rPr>
          <w:rFonts w:ascii="Arial"/>
          <w:w w:val="105"/>
          <w:sz w:val="19"/>
        </w:rPr>
        <w:t>for</w:t>
      </w:r>
      <w:proofErr w:type="gramEnd"/>
      <w:r>
        <w:rPr>
          <w:rFonts w:ascii="Arial"/>
          <w:w w:val="105"/>
          <w:sz w:val="19"/>
        </w:rPr>
        <w:t xml:space="preserve"> an ingredient permitted for use as an excipient to be used as an active ingredient</w:t>
      </w:r>
      <w:r>
        <w:rPr>
          <w:rFonts w:ascii="Arial"/>
          <w:w w:val="105"/>
          <w:position w:val="7"/>
          <w:sz w:val="11"/>
        </w:rPr>
        <w:t>69</w:t>
      </w:r>
    </w:p>
    <w:p w:rsidR="007D76BB" w:rsidRDefault="00D70D28">
      <w:pPr>
        <w:spacing w:before="90"/>
        <w:ind w:left="765"/>
        <w:rPr>
          <w:rFonts w:ascii="Arial"/>
          <w:sz w:val="19"/>
        </w:rPr>
      </w:pPr>
      <w:r>
        <w:rPr>
          <w:rFonts w:ascii="Calibri"/>
          <w:color w:val="005386"/>
          <w:w w:val="110"/>
          <w:sz w:val="19"/>
        </w:rPr>
        <w:t xml:space="preserve">+ </w:t>
      </w:r>
      <w:proofErr w:type="gramStart"/>
      <w:r>
        <w:rPr>
          <w:rFonts w:ascii="Arial"/>
          <w:w w:val="110"/>
          <w:sz w:val="19"/>
        </w:rPr>
        <w:t>to</w:t>
      </w:r>
      <w:proofErr w:type="gramEnd"/>
      <w:r>
        <w:rPr>
          <w:rFonts w:ascii="Arial"/>
          <w:w w:val="110"/>
          <w:sz w:val="19"/>
        </w:rPr>
        <w:t xml:space="preserve"> change the permitted level of use</w:t>
      </w:r>
    </w:p>
    <w:p w:rsidR="007D76BB" w:rsidRDefault="00D70D28">
      <w:pPr>
        <w:spacing w:before="87"/>
        <w:ind w:left="765"/>
        <w:rPr>
          <w:rFonts w:ascii="Arial"/>
          <w:sz w:val="19"/>
        </w:rPr>
      </w:pPr>
      <w:r>
        <w:rPr>
          <w:rFonts w:ascii="Calibri"/>
          <w:color w:val="005386"/>
          <w:w w:val="105"/>
          <w:sz w:val="19"/>
        </w:rPr>
        <w:lastRenderedPageBreak/>
        <w:t xml:space="preserve">+ </w:t>
      </w:r>
      <w:proofErr w:type="gramStart"/>
      <w:r>
        <w:rPr>
          <w:rFonts w:ascii="Arial"/>
          <w:w w:val="105"/>
          <w:sz w:val="19"/>
        </w:rPr>
        <w:t>to</w:t>
      </w:r>
      <w:proofErr w:type="gramEnd"/>
      <w:r>
        <w:rPr>
          <w:rFonts w:ascii="Arial"/>
          <w:w w:val="105"/>
          <w:sz w:val="19"/>
        </w:rPr>
        <w:t xml:space="preserve"> change the permitted route(s) of administration.</w:t>
      </w:r>
    </w:p>
    <w:p w:rsidR="007D76BB" w:rsidRDefault="00D70D28">
      <w:pPr>
        <w:spacing w:before="192" w:line="264" w:lineRule="auto"/>
        <w:ind w:left="482" w:right="844"/>
        <w:rPr>
          <w:rFonts w:ascii="Arial"/>
          <w:sz w:val="19"/>
        </w:rPr>
      </w:pPr>
      <w:r>
        <w:rPr>
          <w:rFonts w:ascii="Arial"/>
          <w:w w:val="105"/>
          <w:sz w:val="19"/>
        </w:rPr>
        <w:t>The</w:t>
      </w:r>
      <w:r>
        <w:rPr>
          <w:rFonts w:ascii="Arial"/>
          <w:spacing w:val="-19"/>
          <w:w w:val="105"/>
          <w:sz w:val="19"/>
        </w:rPr>
        <w:t xml:space="preserve"> </w:t>
      </w:r>
      <w:r>
        <w:rPr>
          <w:rFonts w:ascii="Arial"/>
          <w:w w:val="105"/>
          <w:sz w:val="19"/>
        </w:rPr>
        <w:t>evaluation</w:t>
      </w:r>
      <w:r>
        <w:rPr>
          <w:rFonts w:ascii="Arial"/>
          <w:spacing w:val="-17"/>
          <w:w w:val="105"/>
          <w:sz w:val="19"/>
        </w:rPr>
        <w:t xml:space="preserve"> </w:t>
      </w:r>
      <w:r>
        <w:rPr>
          <w:rFonts w:ascii="Arial"/>
          <w:w w:val="105"/>
          <w:sz w:val="19"/>
        </w:rPr>
        <w:t>of</w:t>
      </w:r>
      <w:r>
        <w:rPr>
          <w:rFonts w:ascii="Arial"/>
          <w:spacing w:val="-21"/>
          <w:w w:val="105"/>
          <w:sz w:val="19"/>
        </w:rPr>
        <w:t xml:space="preserve"> </w:t>
      </w:r>
      <w:r>
        <w:rPr>
          <w:rFonts w:ascii="Arial"/>
          <w:w w:val="105"/>
          <w:sz w:val="19"/>
        </w:rPr>
        <w:t>the</w:t>
      </w:r>
      <w:r>
        <w:rPr>
          <w:rFonts w:ascii="Arial"/>
          <w:spacing w:val="-20"/>
          <w:w w:val="105"/>
          <w:sz w:val="19"/>
        </w:rPr>
        <w:t xml:space="preserve"> </w:t>
      </w:r>
      <w:r>
        <w:rPr>
          <w:rFonts w:ascii="Arial"/>
          <w:w w:val="105"/>
          <w:sz w:val="19"/>
        </w:rPr>
        <w:t>substance</w:t>
      </w:r>
      <w:r>
        <w:rPr>
          <w:rFonts w:ascii="Arial"/>
          <w:spacing w:val="-20"/>
          <w:w w:val="105"/>
          <w:sz w:val="19"/>
        </w:rPr>
        <w:t xml:space="preserve"> </w:t>
      </w:r>
      <w:r>
        <w:rPr>
          <w:rFonts w:ascii="Arial"/>
          <w:w w:val="105"/>
          <w:sz w:val="19"/>
        </w:rPr>
        <w:t>will</w:t>
      </w:r>
      <w:r>
        <w:rPr>
          <w:rFonts w:ascii="Arial"/>
          <w:spacing w:val="-19"/>
          <w:w w:val="105"/>
          <w:sz w:val="19"/>
        </w:rPr>
        <w:t xml:space="preserve"> </w:t>
      </w:r>
      <w:r>
        <w:rPr>
          <w:rFonts w:ascii="Arial"/>
          <w:w w:val="105"/>
          <w:sz w:val="19"/>
        </w:rPr>
        <w:t>consider</w:t>
      </w:r>
      <w:r>
        <w:rPr>
          <w:rFonts w:ascii="Arial"/>
          <w:spacing w:val="-16"/>
          <w:w w:val="105"/>
          <w:sz w:val="19"/>
        </w:rPr>
        <w:t xml:space="preserve"> </w:t>
      </w:r>
      <w:r>
        <w:rPr>
          <w:rFonts w:ascii="Arial"/>
          <w:w w:val="105"/>
          <w:sz w:val="19"/>
        </w:rPr>
        <w:t>whether</w:t>
      </w:r>
      <w:r>
        <w:rPr>
          <w:rFonts w:ascii="Arial"/>
          <w:spacing w:val="-20"/>
          <w:w w:val="105"/>
          <w:sz w:val="19"/>
        </w:rPr>
        <w:t xml:space="preserve"> </w:t>
      </w:r>
      <w:r>
        <w:rPr>
          <w:rFonts w:ascii="Arial"/>
          <w:w w:val="105"/>
          <w:sz w:val="19"/>
        </w:rPr>
        <w:t>it</w:t>
      </w:r>
      <w:r>
        <w:rPr>
          <w:rFonts w:ascii="Arial"/>
          <w:spacing w:val="-18"/>
          <w:w w:val="105"/>
          <w:sz w:val="19"/>
        </w:rPr>
        <w:t xml:space="preserve"> </w:t>
      </w:r>
      <w:r>
        <w:rPr>
          <w:rFonts w:ascii="Arial"/>
          <w:w w:val="105"/>
          <w:sz w:val="19"/>
        </w:rPr>
        <w:t>is</w:t>
      </w:r>
      <w:r>
        <w:rPr>
          <w:rFonts w:ascii="Arial"/>
          <w:spacing w:val="-19"/>
          <w:w w:val="105"/>
          <w:sz w:val="19"/>
        </w:rPr>
        <w:t xml:space="preserve"> </w:t>
      </w:r>
      <w:r>
        <w:rPr>
          <w:rFonts w:ascii="Arial"/>
          <w:w w:val="105"/>
          <w:sz w:val="19"/>
        </w:rPr>
        <w:t>of</w:t>
      </w:r>
      <w:r>
        <w:rPr>
          <w:rFonts w:ascii="Arial"/>
          <w:spacing w:val="-19"/>
          <w:w w:val="105"/>
          <w:sz w:val="19"/>
        </w:rPr>
        <w:t xml:space="preserve"> </w:t>
      </w:r>
      <w:r>
        <w:rPr>
          <w:rFonts w:ascii="Arial"/>
          <w:w w:val="105"/>
          <w:sz w:val="19"/>
        </w:rPr>
        <w:t>appropriate</w:t>
      </w:r>
      <w:r>
        <w:rPr>
          <w:rFonts w:ascii="Arial"/>
          <w:spacing w:val="-20"/>
          <w:w w:val="105"/>
          <w:sz w:val="19"/>
        </w:rPr>
        <w:t xml:space="preserve"> </w:t>
      </w:r>
      <w:r>
        <w:rPr>
          <w:rFonts w:ascii="Arial"/>
          <w:w w:val="105"/>
          <w:sz w:val="19"/>
        </w:rPr>
        <w:t>quality</w:t>
      </w:r>
      <w:r>
        <w:rPr>
          <w:rFonts w:ascii="Arial"/>
          <w:spacing w:val="-21"/>
          <w:w w:val="105"/>
          <w:sz w:val="19"/>
        </w:rPr>
        <w:t xml:space="preserve"> </w:t>
      </w:r>
      <w:r>
        <w:rPr>
          <w:rFonts w:ascii="Arial"/>
          <w:w w:val="105"/>
          <w:sz w:val="19"/>
        </w:rPr>
        <w:t>and</w:t>
      </w:r>
      <w:r>
        <w:rPr>
          <w:rFonts w:ascii="Arial"/>
          <w:spacing w:val="-21"/>
          <w:w w:val="105"/>
          <w:sz w:val="19"/>
        </w:rPr>
        <w:t xml:space="preserve"> </w:t>
      </w:r>
      <w:r>
        <w:rPr>
          <w:rFonts w:ascii="Arial"/>
          <w:w w:val="105"/>
          <w:sz w:val="19"/>
        </w:rPr>
        <w:t>safety</w:t>
      </w:r>
      <w:r>
        <w:rPr>
          <w:rFonts w:ascii="Arial"/>
          <w:spacing w:val="-19"/>
          <w:w w:val="105"/>
          <w:sz w:val="19"/>
        </w:rPr>
        <w:t xml:space="preserve"> </w:t>
      </w:r>
      <w:r>
        <w:rPr>
          <w:rFonts w:ascii="Arial"/>
          <w:w w:val="105"/>
          <w:sz w:val="19"/>
        </w:rPr>
        <w:t>to</w:t>
      </w:r>
      <w:r>
        <w:rPr>
          <w:rFonts w:ascii="Arial"/>
          <w:spacing w:val="-20"/>
          <w:w w:val="105"/>
          <w:sz w:val="19"/>
        </w:rPr>
        <w:t xml:space="preserve"> </w:t>
      </w:r>
      <w:r>
        <w:rPr>
          <w:rFonts w:ascii="Arial"/>
          <w:w w:val="105"/>
          <w:sz w:val="19"/>
        </w:rPr>
        <w:t>be permitted</w:t>
      </w:r>
      <w:r>
        <w:rPr>
          <w:rFonts w:ascii="Arial"/>
          <w:spacing w:val="-27"/>
          <w:w w:val="105"/>
          <w:sz w:val="19"/>
        </w:rPr>
        <w:t xml:space="preserve"> </w:t>
      </w:r>
      <w:r>
        <w:rPr>
          <w:rFonts w:ascii="Arial"/>
          <w:w w:val="105"/>
          <w:sz w:val="19"/>
        </w:rPr>
        <w:t>for</w:t>
      </w:r>
      <w:r>
        <w:rPr>
          <w:rFonts w:ascii="Arial"/>
          <w:spacing w:val="-26"/>
          <w:w w:val="105"/>
          <w:sz w:val="19"/>
        </w:rPr>
        <w:t xml:space="preserve"> </w:t>
      </w:r>
      <w:r>
        <w:rPr>
          <w:rFonts w:ascii="Arial"/>
          <w:w w:val="105"/>
          <w:sz w:val="19"/>
        </w:rPr>
        <w:t>use</w:t>
      </w:r>
      <w:r>
        <w:rPr>
          <w:rFonts w:ascii="Arial"/>
          <w:spacing w:val="-25"/>
          <w:w w:val="105"/>
          <w:sz w:val="19"/>
        </w:rPr>
        <w:t xml:space="preserve"> </w:t>
      </w:r>
      <w:r>
        <w:rPr>
          <w:rFonts w:ascii="Arial"/>
          <w:w w:val="105"/>
          <w:sz w:val="19"/>
        </w:rPr>
        <w:t>in</w:t>
      </w:r>
      <w:r>
        <w:rPr>
          <w:rFonts w:ascii="Arial"/>
          <w:spacing w:val="-27"/>
          <w:w w:val="105"/>
          <w:sz w:val="19"/>
        </w:rPr>
        <w:t xml:space="preserve"> </w:t>
      </w:r>
      <w:r>
        <w:rPr>
          <w:rFonts w:ascii="Arial"/>
          <w:w w:val="105"/>
          <w:sz w:val="19"/>
        </w:rPr>
        <w:t>listed</w:t>
      </w:r>
      <w:r>
        <w:rPr>
          <w:rFonts w:ascii="Arial"/>
          <w:spacing w:val="-26"/>
          <w:w w:val="105"/>
          <w:sz w:val="19"/>
        </w:rPr>
        <w:t xml:space="preserve"> </w:t>
      </w:r>
      <w:r>
        <w:rPr>
          <w:rFonts w:ascii="Arial"/>
          <w:w w:val="105"/>
          <w:sz w:val="19"/>
        </w:rPr>
        <w:t>complementary</w:t>
      </w:r>
      <w:r>
        <w:rPr>
          <w:rFonts w:ascii="Arial"/>
          <w:spacing w:val="-26"/>
          <w:w w:val="105"/>
          <w:sz w:val="19"/>
        </w:rPr>
        <w:t xml:space="preserve"> </w:t>
      </w:r>
      <w:r>
        <w:rPr>
          <w:rFonts w:ascii="Arial"/>
          <w:w w:val="105"/>
          <w:sz w:val="19"/>
        </w:rPr>
        <w:t>medicines.</w:t>
      </w:r>
      <w:r>
        <w:rPr>
          <w:rFonts w:ascii="Arial"/>
          <w:spacing w:val="-28"/>
          <w:w w:val="105"/>
          <w:sz w:val="19"/>
        </w:rPr>
        <w:t xml:space="preserve"> </w:t>
      </w:r>
      <w:r>
        <w:rPr>
          <w:rFonts w:ascii="Arial"/>
          <w:w w:val="105"/>
          <w:sz w:val="19"/>
        </w:rPr>
        <w:t>Key</w:t>
      </w:r>
      <w:r>
        <w:rPr>
          <w:rFonts w:ascii="Arial"/>
          <w:spacing w:val="-27"/>
          <w:w w:val="105"/>
          <w:sz w:val="19"/>
        </w:rPr>
        <w:t xml:space="preserve"> </w:t>
      </w:r>
      <w:r>
        <w:rPr>
          <w:rFonts w:ascii="Arial"/>
          <w:w w:val="105"/>
          <w:sz w:val="19"/>
        </w:rPr>
        <w:t>considerations</w:t>
      </w:r>
      <w:r>
        <w:rPr>
          <w:rFonts w:ascii="Arial"/>
          <w:spacing w:val="-26"/>
          <w:w w:val="105"/>
          <w:sz w:val="19"/>
        </w:rPr>
        <w:t xml:space="preserve"> </w:t>
      </w:r>
      <w:r>
        <w:rPr>
          <w:rFonts w:ascii="Arial"/>
          <w:spacing w:val="2"/>
          <w:w w:val="105"/>
          <w:sz w:val="19"/>
        </w:rPr>
        <w:t>are</w:t>
      </w:r>
      <w:r>
        <w:rPr>
          <w:rFonts w:ascii="Arial"/>
          <w:spacing w:val="-27"/>
          <w:w w:val="105"/>
          <w:sz w:val="19"/>
        </w:rPr>
        <w:t xml:space="preserve"> </w:t>
      </w:r>
      <w:r>
        <w:rPr>
          <w:rFonts w:ascii="Arial"/>
          <w:w w:val="105"/>
          <w:sz w:val="19"/>
        </w:rPr>
        <w:t>that</w:t>
      </w:r>
      <w:r>
        <w:rPr>
          <w:rFonts w:ascii="Arial"/>
          <w:spacing w:val="-26"/>
          <w:w w:val="105"/>
          <w:sz w:val="19"/>
        </w:rPr>
        <w:t xml:space="preserve"> </w:t>
      </w:r>
      <w:r>
        <w:rPr>
          <w:rFonts w:ascii="Arial"/>
          <w:w w:val="105"/>
          <w:sz w:val="19"/>
        </w:rPr>
        <w:t>the</w:t>
      </w:r>
      <w:r>
        <w:rPr>
          <w:rFonts w:ascii="Arial"/>
          <w:spacing w:val="-27"/>
          <w:w w:val="105"/>
          <w:sz w:val="19"/>
        </w:rPr>
        <w:t xml:space="preserve"> </w:t>
      </w:r>
      <w:r>
        <w:rPr>
          <w:rFonts w:ascii="Arial"/>
          <w:w w:val="105"/>
          <w:sz w:val="19"/>
        </w:rPr>
        <w:t>substance</w:t>
      </w:r>
      <w:r>
        <w:rPr>
          <w:rFonts w:ascii="Arial"/>
          <w:spacing w:val="-25"/>
          <w:w w:val="105"/>
          <w:sz w:val="19"/>
        </w:rPr>
        <w:t xml:space="preserve"> </w:t>
      </w:r>
      <w:r>
        <w:rPr>
          <w:rFonts w:ascii="Arial"/>
          <w:w w:val="105"/>
          <w:sz w:val="19"/>
        </w:rPr>
        <w:t>is not</w:t>
      </w:r>
      <w:r>
        <w:rPr>
          <w:rFonts w:ascii="Arial"/>
          <w:spacing w:val="-17"/>
          <w:w w:val="105"/>
          <w:sz w:val="19"/>
        </w:rPr>
        <w:t xml:space="preserve"> </w:t>
      </w:r>
      <w:r>
        <w:rPr>
          <w:rFonts w:ascii="Arial"/>
          <w:w w:val="105"/>
          <w:sz w:val="19"/>
        </w:rPr>
        <w:t>a</w:t>
      </w:r>
      <w:r>
        <w:rPr>
          <w:rFonts w:ascii="Arial"/>
          <w:spacing w:val="-18"/>
          <w:w w:val="105"/>
          <w:sz w:val="19"/>
        </w:rPr>
        <w:t xml:space="preserve"> </w:t>
      </w:r>
      <w:r>
        <w:rPr>
          <w:rFonts w:ascii="Arial"/>
          <w:w w:val="105"/>
          <w:sz w:val="19"/>
        </w:rPr>
        <w:t>prohibited</w:t>
      </w:r>
      <w:r>
        <w:rPr>
          <w:rFonts w:ascii="Arial"/>
          <w:spacing w:val="-18"/>
          <w:w w:val="105"/>
          <w:sz w:val="19"/>
        </w:rPr>
        <w:t xml:space="preserve"> </w:t>
      </w:r>
      <w:r>
        <w:rPr>
          <w:rFonts w:ascii="Arial"/>
          <w:w w:val="105"/>
          <w:sz w:val="19"/>
        </w:rPr>
        <w:t>import,</w:t>
      </w:r>
      <w:r>
        <w:rPr>
          <w:rFonts w:ascii="Arial"/>
          <w:spacing w:val="-19"/>
          <w:w w:val="105"/>
          <w:sz w:val="19"/>
        </w:rPr>
        <w:t xml:space="preserve"> </w:t>
      </w:r>
      <w:r>
        <w:rPr>
          <w:rFonts w:ascii="Arial"/>
          <w:w w:val="105"/>
          <w:sz w:val="19"/>
        </w:rPr>
        <w:t>and</w:t>
      </w:r>
      <w:r>
        <w:rPr>
          <w:rFonts w:ascii="Arial"/>
          <w:spacing w:val="-20"/>
          <w:w w:val="105"/>
          <w:sz w:val="19"/>
        </w:rPr>
        <w:t xml:space="preserve"> </w:t>
      </w:r>
      <w:r>
        <w:rPr>
          <w:rFonts w:ascii="Arial"/>
          <w:w w:val="105"/>
          <w:sz w:val="19"/>
        </w:rPr>
        <w:t>for</w:t>
      </w:r>
      <w:r>
        <w:rPr>
          <w:rFonts w:ascii="Arial"/>
          <w:spacing w:val="-16"/>
          <w:w w:val="105"/>
          <w:sz w:val="19"/>
        </w:rPr>
        <w:t xml:space="preserve"> </w:t>
      </w:r>
      <w:r>
        <w:rPr>
          <w:rFonts w:ascii="Arial"/>
          <w:w w:val="105"/>
          <w:sz w:val="19"/>
        </w:rPr>
        <w:t>substances</w:t>
      </w:r>
      <w:r>
        <w:rPr>
          <w:rFonts w:ascii="Arial"/>
          <w:spacing w:val="-17"/>
          <w:w w:val="105"/>
          <w:sz w:val="19"/>
        </w:rPr>
        <w:t xml:space="preserve"> </w:t>
      </w:r>
      <w:r>
        <w:rPr>
          <w:rFonts w:ascii="Arial"/>
          <w:w w:val="105"/>
          <w:sz w:val="19"/>
        </w:rPr>
        <w:t>of</w:t>
      </w:r>
      <w:r>
        <w:rPr>
          <w:rFonts w:ascii="Arial"/>
          <w:spacing w:val="-18"/>
          <w:w w:val="105"/>
          <w:sz w:val="19"/>
        </w:rPr>
        <w:t xml:space="preserve"> </w:t>
      </w:r>
      <w:r>
        <w:rPr>
          <w:rFonts w:ascii="Arial"/>
          <w:w w:val="105"/>
          <w:sz w:val="19"/>
        </w:rPr>
        <w:t>herbal</w:t>
      </w:r>
      <w:r>
        <w:rPr>
          <w:rFonts w:ascii="Arial"/>
          <w:spacing w:val="-17"/>
          <w:w w:val="105"/>
          <w:sz w:val="19"/>
        </w:rPr>
        <w:t xml:space="preserve"> </w:t>
      </w:r>
      <w:r>
        <w:rPr>
          <w:rFonts w:ascii="Arial"/>
          <w:w w:val="105"/>
          <w:sz w:val="19"/>
        </w:rPr>
        <w:t>origin,</w:t>
      </w:r>
      <w:r>
        <w:rPr>
          <w:rFonts w:ascii="Arial"/>
          <w:spacing w:val="-16"/>
          <w:w w:val="105"/>
          <w:sz w:val="19"/>
        </w:rPr>
        <w:t xml:space="preserve"> </w:t>
      </w:r>
      <w:r>
        <w:rPr>
          <w:rFonts w:ascii="Arial"/>
          <w:w w:val="105"/>
          <w:sz w:val="19"/>
        </w:rPr>
        <w:t>the</w:t>
      </w:r>
      <w:r>
        <w:rPr>
          <w:rFonts w:ascii="Arial"/>
          <w:spacing w:val="-18"/>
          <w:w w:val="105"/>
          <w:sz w:val="19"/>
        </w:rPr>
        <w:t xml:space="preserve"> </w:t>
      </w:r>
      <w:r>
        <w:rPr>
          <w:rFonts w:ascii="Arial"/>
          <w:w w:val="105"/>
          <w:sz w:val="19"/>
        </w:rPr>
        <w:t>substance</w:t>
      </w:r>
      <w:r>
        <w:rPr>
          <w:rFonts w:ascii="Arial"/>
          <w:spacing w:val="-18"/>
          <w:w w:val="105"/>
          <w:sz w:val="19"/>
        </w:rPr>
        <w:t xml:space="preserve"> </w:t>
      </w:r>
      <w:r>
        <w:rPr>
          <w:rFonts w:ascii="Arial"/>
          <w:w w:val="105"/>
          <w:sz w:val="19"/>
        </w:rPr>
        <w:t>or</w:t>
      </w:r>
      <w:r>
        <w:rPr>
          <w:rFonts w:ascii="Arial"/>
          <w:spacing w:val="-16"/>
          <w:w w:val="105"/>
          <w:sz w:val="19"/>
        </w:rPr>
        <w:t xml:space="preserve"> </w:t>
      </w:r>
      <w:r>
        <w:rPr>
          <w:rFonts w:ascii="Arial"/>
          <w:w w:val="105"/>
          <w:sz w:val="19"/>
        </w:rPr>
        <w:t>its</w:t>
      </w:r>
      <w:r>
        <w:rPr>
          <w:rFonts w:ascii="Arial"/>
          <w:spacing w:val="-19"/>
          <w:w w:val="105"/>
          <w:sz w:val="19"/>
        </w:rPr>
        <w:t xml:space="preserve"> </w:t>
      </w:r>
      <w:r>
        <w:rPr>
          <w:rFonts w:ascii="Arial"/>
          <w:w w:val="105"/>
          <w:sz w:val="19"/>
        </w:rPr>
        <w:t>constituent(s)</w:t>
      </w:r>
    </w:p>
    <w:p w:rsidR="007D76BB" w:rsidRDefault="00D70D28">
      <w:pPr>
        <w:pStyle w:val="BodyText"/>
        <w:spacing w:before="7"/>
        <w:rPr>
          <w:rFonts w:ascii="Arial"/>
        </w:rPr>
      </w:pPr>
      <w:r>
        <w:rPr>
          <w:noProof/>
          <w:lang w:val="en-AU" w:eastAsia="en-AU"/>
        </w:rPr>
        <mc:AlternateContent>
          <mc:Choice Requires="wps">
            <w:drawing>
              <wp:anchor distT="0" distB="0" distL="0" distR="0" simplePos="0" relativeHeight="251747328" behindDoc="1" locked="0" layoutInCell="1" allowOverlap="1">
                <wp:simplePos x="0" y="0"/>
                <wp:positionH relativeFrom="page">
                  <wp:posOffset>1080770</wp:posOffset>
                </wp:positionH>
                <wp:positionV relativeFrom="paragraph">
                  <wp:posOffset>195580</wp:posOffset>
                </wp:positionV>
                <wp:extent cx="1829435" cy="1270"/>
                <wp:effectExtent l="0" t="0" r="0" b="0"/>
                <wp:wrapTopAndBottom/>
                <wp:docPr id="282"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579C6" id="Freeform 138" o:spid="_x0000_s1026" style="position:absolute;margin-left:85.1pt;margin-top:15.4pt;width:144.05pt;height:.1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" path="m,l2880,e" filled="f" strokeweight=".84pt">
                <v:path arrowok="t" o:connecttype="custom" o:connectlocs="0,0;1828800,0" o:connectangles="0,0"/>
                <w10:wrap type="topAndBottom" anchorx="page"/>
              </v:shape>
            </w:pict>
          </mc:Fallback>
        </mc:AlternateContent>
      </w:r>
    </w:p>
    <w:p w:rsidR="007D76BB" w:rsidRDefault="00D70D28">
      <w:pPr>
        <w:spacing w:before="132"/>
        <w:ind w:left="482"/>
        <w:rPr>
          <w:rFonts w:ascii="Arial"/>
          <w:sz w:val="14"/>
        </w:rPr>
      </w:pPr>
      <w:r>
        <w:rPr>
          <w:rFonts w:ascii="Arial"/>
          <w:color w:val="5B6761"/>
          <w:position w:val="5"/>
          <w:sz w:val="8"/>
        </w:rPr>
        <w:t xml:space="preserve">67 </w:t>
      </w:r>
      <w:r>
        <w:rPr>
          <w:rFonts w:ascii="Arial"/>
          <w:color w:val="5B6761"/>
          <w:sz w:val="14"/>
        </w:rPr>
        <w:t>As advised by industry stakeholders.</w:t>
      </w:r>
    </w:p>
    <w:p w:rsidR="007D76BB" w:rsidRDefault="00D70D28">
      <w:pPr>
        <w:spacing w:before="79" w:line="268" w:lineRule="auto"/>
        <w:ind w:left="594" w:right="688" w:hanging="113"/>
        <w:rPr>
          <w:rFonts w:ascii="Arial" w:hAnsi="Arial"/>
          <w:sz w:val="14"/>
        </w:rPr>
      </w:pPr>
      <w:r>
        <w:rPr>
          <w:rFonts w:ascii="Arial" w:hAnsi="Arial"/>
          <w:color w:val="5B6761"/>
          <w:w w:val="105"/>
          <w:position w:val="5"/>
          <w:sz w:val="8"/>
        </w:rPr>
        <w:t>68</w:t>
      </w:r>
      <w:r>
        <w:rPr>
          <w:rFonts w:ascii="Arial" w:hAnsi="Arial"/>
          <w:color w:val="5B6761"/>
          <w:spacing w:val="-6"/>
          <w:w w:val="105"/>
          <w:position w:val="5"/>
          <w:sz w:val="8"/>
        </w:rPr>
        <w:t xml:space="preserve"> </w:t>
      </w:r>
      <w:r>
        <w:rPr>
          <w:rFonts w:ascii="Arial" w:hAnsi="Arial"/>
          <w:color w:val="5B6761"/>
          <w:w w:val="105"/>
          <w:sz w:val="14"/>
        </w:rPr>
        <w:t>The</w:t>
      </w:r>
      <w:r>
        <w:rPr>
          <w:rFonts w:ascii="Arial" w:hAnsi="Arial"/>
          <w:color w:val="5B6761"/>
          <w:spacing w:val="-24"/>
          <w:w w:val="105"/>
          <w:sz w:val="14"/>
        </w:rPr>
        <w:t xml:space="preserve"> </w:t>
      </w:r>
      <w:r>
        <w:rPr>
          <w:rFonts w:ascii="Arial" w:hAnsi="Arial"/>
          <w:color w:val="5B6761"/>
          <w:w w:val="105"/>
          <w:sz w:val="14"/>
        </w:rPr>
        <w:t>current</w:t>
      </w:r>
      <w:r>
        <w:rPr>
          <w:rFonts w:ascii="Arial" w:hAnsi="Arial"/>
          <w:color w:val="5B6761"/>
          <w:spacing w:val="-22"/>
          <w:w w:val="105"/>
          <w:sz w:val="14"/>
        </w:rPr>
        <w:t xml:space="preserve"> </w:t>
      </w:r>
      <w:r>
        <w:rPr>
          <w:rFonts w:ascii="Arial" w:hAnsi="Arial"/>
          <w:color w:val="5B6761"/>
          <w:w w:val="105"/>
          <w:sz w:val="14"/>
        </w:rPr>
        <w:t>determination</w:t>
      </w:r>
      <w:r>
        <w:rPr>
          <w:rFonts w:ascii="Arial" w:hAnsi="Arial"/>
          <w:color w:val="5B6761"/>
          <w:spacing w:val="-23"/>
          <w:w w:val="105"/>
          <w:sz w:val="14"/>
        </w:rPr>
        <w:t xml:space="preserve"> </w:t>
      </w:r>
      <w:r>
        <w:rPr>
          <w:rFonts w:ascii="Arial" w:hAnsi="Arial"/>
          <w:color w:val="5B6761"/>
          <w:w w:val="105"/>
          <w:sz w:val="14"/>
        </w:rPr>
        <w:t>is</w:t>
      </w:r>
      <w:r>
        <w:rPr>
          <w:rFonts w:ascii="Arial" w:hAnsi="Arial"/>
          <w:color w:val="5B6761"/>
          <w:spacing w:val="-23"/>
          <w:w w:val="105"/>
          <w:sz w:val="14"/>
        </w:rPr>
        <w:t xml:space="preserve"> </w:t>
      </w:r>
      <w:r>
        <w:rPr>
          <w:rFonts w:ascii="Arial" w:hAnsi="Arial"/>
          <w:color w:val="5B6761"/>
          <w:w w:val="105"/>
          <w:sz w:val="14"/>
        </w:rPr>
        <w:t>‘Therapeutic</w:t>
      </w:r>
      <w:r>
        <w:rPr>
          <w:rFonts w:ascii="Arial" w:hAnsi="Arial"/>
          <w:color w:val="5B6761"/>
          <w:spacing w:val="-23"/>
          <w:w w:val="105"/>
          <w:sz w:val="14"/>
        </w:rPr>
        <w:t xml:space="preserve"> </w:t>
      </w:r>
      <w:r>
        <w:rPr>
          <w:rFonts w:ascii="Arial" w:hAnsi="Arial"/>
          <w:color w:val="5B6761"/>
          <w:w w:val="105"/>
          <w:sz w:val="14"/>
        </w:rPr>
        <w:t>Goods</w:t>
      </w:r>
      <w:r>
        <w:rPr>
          <w:rFonts w:ascii="Arial" w:hAnsi="Arial"/>
          <w:color w:val="5B6761"/>
          <w:spacing w:val="-23"/>
          <w:w w:val="105"/>
          <w:sz w:val="14"/>
        </w:rPr>
        <w:t xml:space="preserve"> </w:t>
      </w:r>
      <w:r>
        <w:rPr>
          <w:rFonts w:ascii="Arial" w:hAnsi="Arial"/>
          <w:color w:val="5B6761"/>
          <w:w w:val="105"/>
          <w:sz w:val="14"/>
        </w:rPr>
        <w:t>(Permissible</w:t>
      </w:r>
      <w:r>
        <w:rPr>
          <w:rFonts w:ascii="Arial" w:hAnsi="Arial"/>
          <w:color w:val="5B6761"/>
          <w:spacing w:val="-24"/>
          <w:w w:val="105"/>
          <w:sz w:val="14"/>
        </w:rPr>
        <w:t xml:space="preserve"> </w:t>
      </w:r>
      <w:r>
        <w:rPr>
          <w:rFonts w:ascii="Arial" w:hAnsi="Arial"/>
          <w:color w:val="5B6761"/>
          <w:w w:val="105"/>
          <w:sz w:val="14"/>
        </w:rPr>
        <w:t>Ingredients)</w:t>
      </w:r>
      <w:r>
        <w:rPr>
          <w:rFonts w:ascii="Arial" w:hAnsi="Arial"/>
          <w:color w:val="5B6761"/>
          <w:spacing w:val="-23"/>
          <w:w w:val="105"/>
          <w:sz w:val="14"/>
        </w:rPr>
        <w:t xml:space="preserve"> </w:t>
      </w:r>
      <w:r>
        <w:rPr>
          <w:rFonts w:ascii="Arial" w:hAnsi="Arial"/>
          <w:color w:val="5B6761"/>
          <w:w w:val="105"/>
          <w:sz w:val="14"/>
        </w:rPr>
        <w:t>Determination</w:t>
      </w:r>
      <w:r>
        <w:rPr>
          <w:rFonts w:ascii="Arial" w:hAnsi="Arial"/>
          <w:color w:val="5B6761"/>
          <w:spacing w:val="-22"/>
          <w:w w:val="105"/>
          <w:sz w:val="14"/>
        </w:rPr>
        <w:t xml:space="preserve"> </w:t>
      </w:r>
      <w:r>
        <w:rPr>
          <w:rFonts w:ascii="Arial" w:hAnsi="Arial"/>
          <w:color w:val="5B6761"/>
          <w:w w:val="105"/>
          <w:sz w:val="14"/>
        </w:rPr>
        <w:t>(No.2)</w:t>
      </w:r>
      <w:r>
        <w:rPr>
          <w:rFonts w:ascii="Arial" w:hAnsi="Arial"/>
          <w:color w:val="5B6761"/>
          <w:spacing w:val="-23"/>
          <w:w w:val="105"/>
          <w:sz w:val="14"/>
        </w:rPr>
        <w:t xml:space="preserve"> </w:t>
      </w:r>
      <w:r>
        <w:rPr>
          <w:rFonts w:ascii="Arial" w:hAnsi="Arial"/>
          <w:color w:val="5B6761"/>
          <w:w w:val="105"/>
          <w:sz w:val="14"/>
        </w:rPr>
        <w:t>2020’,</w:t>
      </w:r>
      <w:r>
        <w:rPr>
          <w:rFonts w:ascii="Arial" w:hAnsi="Arial"/>
          <w:color w:val="5B6761"/>
          <w:spacing w:val="-23"/>
          <w:w w:val="105"/>
          <w:sz w:val="14"/>
        </w:rPr>
        <w:t xml:space="preserve"> </w:t>
      </w:r>
      <w:r>
        <w:rPr>
          <w:rFonts w:ascii="Arial" w:hAnsi="Arial"/>
          <w:color w:val="5B6761"/>
          <w:w w:val="105"/>
          <w:sz w:val="14"/>
        </w:rPr>
        <w:t>which</w:t>
      </w:r>
      <w:r>
        <w:rPr>
          <w:rFonts w:ascii="Arial" w:hAnsi="Arial"/>
          <w:color w:val="5B6761"/>
          <w:spacing w:val="-23"/>
          <w:w w:val="105"/>
          <w:sz w:val="14"/>
        </w:rPr>
        <w:t xml:space="preserve"> </w:t>
      </w:r>
      <w:r>
        <w:rPr>
          <w:rFonts w:ascii="Arial" w:hAnsi="Arial"/>
          <w:color w:val="5B6761"/>
          <w:w w:val="105"/>
          <w:sz w:val="14"/>
        </w:rPr>
        <w:t>commenced</w:t>
      </w:r>
      <w:r>
        <w:rPr>
          <w:rFonts w:ascii="Arial" w:hAnsi="Arial"/>
          <w:color w:val="5B6761"/>
          <w:spacing w:val="-22"/>
          <w:w w:val="105"/>
          <w:sz w:val="14"/>
        </w:rPr>
        <w:t xml:space="preserve"> </w:t>
      </w:r>
      <w:r>
        <w:rPr>
          <w:rFonts w:ascii="Arial" w:hAnsi="Arial"/>
          <w:color w:val="5B6761"/>
          <w:w w:val="105"/>
          <w:sz w:val="14"/>
        </w:rPr>
        <w:t>on</w:t>
      </w:r>
      <w:r>
        <w:rPr>
          <w:rFonts w:ascii="Arial" w:hAnsi="Arial"/>
          <w:color w:val="5B6761"/>
          <w:spacing w:val="-23"/>
          <w:w w:val="105"/>
          <w:sz w:val="14"/>
        </w:rPr>
        <w:t xml:space="preserve"> </w:t>
      </w:r>
      <w:r>
        <w:rPr>
          <w:rFonts w:ascii="Arial" w:hAnsi="Arial"/>
          <w:color w:val="5B6761"/>
          <w:w w:val="105"/>
          <w:sz w:val="14"/>
        </w:rPr>
        <w:t>27</w:t>
      </w:r>
      <w:r>
        <w:rPr>
          <w:rFonts w:ascii="Arial" w:hAnsi="Arial"/>
          <w:color w:val="5B6761"/>
          <w:spacing w:val="-23"/>
          <w:w w:val="105"/>
          <w:sz w:val="14"/>
        </w:rPr>
        <w:t xml:space="preserve"> </w:t>
      </w:r>
      <w:r>
        <w:rPr>
          <w:rFonts w:ascii="Arial" w:hAnsi="Arial"/>
          <w:color w:val="5B6761"/>
          <w:w w:val="105"/>
          <w:sz w:val="14"/>
        </w:rPr>
        <w:t>May 2020.</w:t>
      </w:r>
    </w:p>
    <w:p w:rsidR="007D76BB" w:rsidRDefault="00D70D28">
      <w:pPr>
        <w:spacing w:before="59" w:line="268" w:lineRule="auto"/>
        <w:ind w:left="594" w:right="928" w:hanging="113"/>
        <w:rPr>
          <w:rFonts w:ascii="Arial" w:hAnsi="Arial"/>
          <w:sz w:val="14"/>
        </w:rPr>
      </w:pPr>
      <w:r>
        <w:rPr>
          <w:rFonts w:ascii="Arial" w:hAnsi="Arial"/>
          <w:color w:val="5B6761"/>
          <w:w w:val="105"/>
          <w:position w:val="5"/>
          <w:sz w:val="8"/>
        </w:rPr>
        <w:t>69</w:t>
      </w:r>
      <w:r>
        <w:rPr>
          <w:rFonts w:ascii="Arial" w:hAnsi="Arial"/>
          <w:color w:val="5B6761"/>
          <w:spacing w:val="-3"/>
          <w:w w:val="105"/>
          <w:position w:val="5"/>
          <w:sz w:val="8"/>
        </w:rPr>
        <w:t xml:space="preserve"> </w:t>
      </w:r>
      <w:r>
        <w:rPr>
          <w:rFonts w:ascii="Arial" w:hAnsi="Arial"/>
          <w:color w:val="5B6761"/>
          <w:w w:val="105"/>
          <w:sz w:val="14"/>
        </w:rPr>
        <w:t>The</w:t>
      </w:r>
      <w:r>
        <w:rPr>
          <w:rFonts w:ascii="Arial" w:hAnsi="Arial"/>
          <w:color w:val="5B6761"/>
          <w:spacing w:val="-21"/>
          <w:w w:val="105"/>
          <w:sz w:val="14"/>
        </w:rPr>
        <w:t xml:space="preserve"> </w:t>
      </w:r>
      <w:r>
        <w:rPr>
          <w:rFonts w:ascii="Arial" w:hAnsi="Arial"/>
          <w:color w:val="5B6761"/>
          <w:w w:val="105"/>
          <w:sz w:val="14"/>
        </w:rPr>
        <w:t>TGA</w:t>
      </w:r>
      <w:r>
        <w:rPr>
          <w:rFonts w:ascii="Arial" w:hAnsi="Arial"/>
          <w:color w:val="5B6761"/>
          <w:spacing w:val="-21"/>
          <w:w w:val="105"/>
          <w:sz w:val="14"/>
        </w:rPr>
        <w:t xml:space="preserve"> </w:t>
      </w:r>
      <w:r>
        <w:rPr>
          <w:rFonts w:ascii="Arial" w:hAnsi="Arial"/>
          <w:color w:val="5B6761"/>
          <w:w w:val="105"/>
          <w:sz w:val="14"/>
        </w:rPr>
        <w:t>Regulations</w:t>
      </w:r>
      <w:r>
        <w:rPr>
          <w:rFonts w:ascii="Arial" w:hAnsi="Arial"/>
          <w:color w:val="5B6761"/>
          <w:spacing w:val="-21"/>
          <w:w w:val="105"/>
          <w:sz w:val="14"/>
        </w:rPr>
        <w:t xml:space="preserve"> </w:t>
      </w:r>
      <w:r>
        <w:rPr>
          <w:rFonts w:ascii="Arial" w:hAnsi="Arial"/>
          <w:color w:val="5B6761"/>
          <w:w w:val="105"/>
          <w:sz w:val="14"/>
        </w:rPr>
        <w:t>1990</w:t>
      </w:r>
      <w:r>
        <w:rPr>
          <w:rFonts w:ascii="Arial" w:hAnsi="Arial"/>
          <w:color w:val="5B6761"/>
          <w:spacing w:val="-18"/>
          <w:w w:val="105"/>
          <w:sz w:val="14"/>
        </w:rPr>
        <w:t xml:space="preserve"> </w:t>
      </w:r>
      <w:r>
        <w:rPr>
          <w:rFonts w:ascii="Arial" w:hAnsi="Arial"/>
          <w:color w:val="5B6761"/>
          <w:w w:val="105"/>
          <w:sz w:val="14"/>
        </w:rPr>
        <w:t>define</w:t>
      </w:r>
      <w:r>
        <w:rPr>
          <w:rFonts w:ascii="Arial" w:hAnsi="Arial"/>
          <w:color w:val="5B6761"/>
          <w:spacing w:val="-21"/>
          <w:w w:val="105"/>
          <w:sz w:val="14"/>
        </w:rPr>
        <w:t xml:space="preserve"> </w:t>
      </w:r>
      <w:r>
        <w:rPr>
          <w:rFonts w:ascii="Arial" w:hAnsi="Arial"/>
          <w:color w:val="5B6761"/>
          <w:w w:val="105"/>
          <w:sz w:val="14"/>
        </w:rPr>
        <w:t>an</w:t>
      </w:r>
      <w:r>
        <w:rPr>
          <w:rFonts w:ascii="Arial" w:hAnsi="Arial"/>
          <w:color w:val="5B6761"/>
          <w:spacing w:val="-20"/>
          <w:w w:val="105"/>
          <w:sz w:val="14"/>
        </w:rPr>
        <w:t xml:space="preserve"> </w:t>
      </w:r>
      <w:r>
        <w:rPr>
          <w:rFonts w:ascii="Arial" w:hAnsi="Arial"/>
          <w:color w:val="5B6761"/>
          <w:w w:val="105"/>
          <w:sz w:val="14"/>
        </w:rPr>
        <w:t>active</w:t>
      </w:r>
      <w:r>
        <w:rPr>
          <w:rFonts w:ascii="Arial" w:hAnsi="Arial"/>
          <w:color w:val="5B6761"/>
          <w:spacing w:val="-21"/>
          <w:w w:val="105"/>
          <w:sz w:val="14"/>
        </w:rPr>
        <w:t xml:space="preserve"> </w:t>
      </w:r>
      <w:r>
        <w:rPr>
          <w:rFonts w:ascii="Arial" w:hAnsi="Arial"/>
          <w:color w:val="5B6761"/>
          <w:w w:val="105"/>
          <w:sz w:val="14"/>
        </w:rPr>
        <w:t>ingredient</w:t>
      </w:r>
      <w:r>
        <w:rPr>
          <w:rFonts w:ascii="Arial" w:hAnsi="Arial"/>
          <w:color w:val="5B6761"/>
          <w:spacing w:val="-20"/>
          <w:w w:val="105"/>
          <w:sz w:val="14"/>
        </w:rPr>
        <w:t xml:space="preserve"> </w:t>
      </w:r>
      <w:r>
        <w:rPr>
          <w:rFonts w:ascii="Arial" w:hAnsi="Arial"/>
          <w:color w:val="5B6761"/>
          <w:w w:val="105"/>
          <w:sz w:val="14"/>
        </w:rPr>
        <w:t>for</w:t>
      </w:r>
      <w:r>
        <w:rPr>
          <w:rFonts w:ascii="Arial" w:hAnsi="Arial"/>
          <w:color w:val="5B6761"/>
          <w:spacing w:val="-20"/>
          <w:w w:val="105"/>
          <w:sz w:val="14"/>
        </w:rPr>
        <w:t xml:space="preserve"> </w:t>
      </w:r>
      <w:r>
        <w:rPr>
          <w:rFonts w:ascii="Arial" w:hAnsi="Arial"/>
          <w:color w:val="5B6761"/>
          <w:w w:val="105"/>
          <w:sz w:val="14"/>
        </w:rPr>
        <w:t>a</w:t>
      </w:r>
      <w:r>
        <w:rPr>
          <w:rFonts w:ascii="Arial" w:hAnsi="Arial"/>
          <w:color w:val="5B6761"/>
          <w:spacing w:val="-21"/>
          <w:w w:val="105"/>
          <w:sz w:val="14"/>
        </w:rPr>
        <w:t xml:space="preserve"> </w:t>
      </w:r>
      <w:r>
        <w:rPr>
          <w:rFonts w:ascii="Arial" w:hAnsi="Arial"/>
          <w:color w:val="5B6761"/>
          <w:w w:val="105"/>
          <w:sz w:val="14"/>
        </w:rPr>
        <w:t>medicine</w:t>
      </w:r>
      <w:r>
        <w:rPr>
          <w:rFonts w:ascii="Arial" w:hAnsi="Arial"/>
          <w:color w:val="5B6761"/>
          <w:spacing w:val="-21"/>
          <w:w w:val="105"/>
          <w:sz w:val="14"/>
        </w:rPr>
        <w:t xml:space="preserve"> </w:t>
      </w:r>
      <w:r>
        <w:rPr>
          <w:rFonts w:ascii="Arial" w:hAnsi="Arial"/>
          <w:color w:val="5B6761"/>
          <w:w w:val="105"/>
          <w:sz w:val="14"/>
        </w:rPr>
        <w:t>as</w:t>
      </w:r>
      <w:r>
        <w:rPr>
          <w:rFonts w:ascii="Arial" w:hAnsi="Arial"/>
          <w:color w:val="5B6761"/>
          <w:spacing w:val="-20"/>
          <w:w w:val="105"/>
          <w:sz w:val="14"/>
        </w:rPr>
        <w:t xml:space="preserve"> </w:t>
      </w:r>
      <w:r>
        <w:rPr>
          <w:rFonts w:ascii="Arial" w:hAnsi="Arial"/>
          <w:color w:val="5B6761"/>
          <w:w w:val="105"/>
          <w:sz w:val="14"/>
        </w:rPr>
        <w:t>the</w:t>
      </w:r>
      <w:r>
        <w:rPr>
          <w:rFonts w:ascii="Arial" w:hAnsi="Arial"/>
          <w:color w:val="5B6761"/>
          <w:spacing w:val="-21"/>
          <w:w w:val="105"/>
          <w:sz w:val="14"/>
        </w:rPr>
        <w:t xml:space="preserve"> </w:t>
      </w:r>
      <w:r>
        <w:rPr>
          <w:rFonts w:ascii="Arial" w:hAnsi="Arial"/>
          <w:color w:val="5B6761"/>
          <w:w w:val="105"/>
          <w:sz w:val="14"/>
        </w:rPr>
        <w:t>‘therapeutically</w:t>
      </w:r>
      <w:r>
        <w:rPr>
          <w:rFonts w:ascii="Arial" w:hAnsi="Arial"/>
          <w:color w:val="5B6761"/>
          <w:spacing w:val="-21"/>
          <w:w w:val="105"/>
          <w:sz w:val="14"/>
        </w:rPr>
        <w:t xml:space="preserve"> </w:t>
      </w:r>
      <w:r>
        <w:rPr>
          <w:rFonts w:ascii="Arial" w:hAnsi="Arial"/>
          <w:color w:val="5B6761"/>
          <w:w w:val="105"/>
          <w:sz w:val="14"/>
        </w:rPr>
        <w:t>active</w:t>
      </w:r>
      <w:r>
        <w:rPr>
          <w:rFonts w:ascii="Arial" w:hAnsi="Arial"/>
          <w:color w:val="5B6761"/>
          <w:spacing w:val="-21"/>
          <w:w w:val="105"/>
          <w:sz w:val="14"/>
        </w:rPr>
        <w:t xml:space="preserve"> </w:t>
      </w:r>
      <w:r>
        <w:rPr>
          <w:rFonts w:ascii="Arial" w:hAnsi="Arial"/>
          <w:color w:val="5B6761"/>
          <w:w w:val="105"/>
          <w:sz w:val="14"/>
        </w:rPr>
        <w:t>component</w:t>
      </w:r>
      <w:r>
        <w:rPr>
          <w:rFonts w:ascii="Arial" w:hAnsi="Arial"/>
          <w:color w:val="5B6761"/>
          <w:spacing w:val="-19"/>
          <w:w w:val="105"/>
          <w:sz w:val="14"/>
        </w:rPr>
        <w:t xml:space="preserve"> </w:t>
      </w:r>
      <w:r>
        <w:rPr>
          <w:rFonts w:ascii="Arial" w:hAnsi="Arial"/>
          <w:color w:val="5B6761"/>
          <w:w w:val="105"/>
          <w:sz w:val="14"/>
        </w:rPr>
        <w:t>of</w:t>
      </w:r>
      <w:r>
        <w:rPr>
          <w:rFonts w:ascii="Arial" w:hAnsi="Arial"/>
          <w:color w:val="5B6761"/>
          <w:spacing w:val="-21"/>
          <w:w w:val="105"/>
          <w:sz w:val="14"/>
        </w:rPr>
        <w:t xml:space="preserve"> </w:t>
      </w:r>
      <w:r>
        <w:rPr>
          <w:rFonts w:ascii="Arial" w:hAnsi="Arial"/>
          <w:color w:val="5B6761"/>
          <w:w w:val="105"/>
          <w:sz w:val="14"/>
        </w:rPr>
        <w:t>the</w:t>
      </w:r>
      <w:r>
        <w:rPr>
          <w:rFonts w:ascii="Arial" w:hAnsi="Arial"/>
          <w:color w:val="5B6761"/>
          <w:spacing w:val="-20"/>
          <w:w w:val="105"/>
          <w:sz w:val="14"/>
        </w:rPr>
        <w:t xml:space="preserve"> </w:t>
      </w:r>
      <w:r>
        <w:rPr>
          <w:rFonts w:ascii="Arial" w:hAnsi="Arial"/>
          <w:color w:val="5B6761"/>
          <w:w w:val="105"/>
          <w:sz w:val="14"/>
        </w:rPr>
        <w:t>medicine’s</w:t>
      </w:r>
      <w:r>
        <w:rPr>
          <w:rFonts w:ascii="Arial" w:hAnsi="Arial"/>
          <w:color w:val="5B6761"/>
          <w:spacing w:val="-21"/>
          <w:w w:val="105"/>
          <w:sz w:val="14"/>
        </w:rPr>
        <w:t xml:space="preserve"> </w:t>
      </w:r>
      <w:r>
        <w:rPr>
          <w:rFonts w:ascii="Arial" w:hAnsi="Arial"/>
          <w:color w:val="5B6761"/>
          <w:w w:val="105"/>
          <w:sz w:val="14"/>
        </w:rPr>
        <w:t>final formulation</w:t>
      </w:r>
      <w:r>
        <w:rPr>
          <w:rFonts w:ascii="Arial" w:hAnsi="Arial"/>
          <w:color w:val="5B6761"/>
          <w:spacing w:val="-15"/>
          <w:w w:val="105"/>
          <w:sz w:val="14"/>
        </w:rPr>
        <w:t xml:space="preserve"> </w:t>
      </w:r>
      <w:r>
        <w:rPr>
          <w:rFonts w:ascii="Arial" w:hAnsi="Arial"/>
          <w:color w:val="5B6761"/>
          <w:w w:val="105"/>
          <w:sz w:val="14"/>
        </w:rPr>
        <w:t>that</w:t>
      </w:r>
      <w:r>
        <w:rPr>
          <w:rFonts w:ascii="Arial" w:hAnsi="Arial"/>
          <w:color w:val="5B6761"/>
          <w:spacing w:val="-14"/>
          <w:w w:val="105"/>
          <w:sz w:val="14"/>
        </w:rPr>
        <w:t xml:space="preserve"> </w:t>
      </w:r>
      <w:r>
        <w:rPr>
          <w:rFonts w:ascii="Arial" w:hAnsi="Arial"/>
          <w:color w:val="5B6761"/>
          <w:w w:val="105"/>
          <w:sz w:val="14"/>
        </w:rPr>
        <w:t>is</w:t>
      </w:r>
      <w:r>
        <w:rPr>
          <w:rFonts w:ascii="Arial" w:hAnsi="Arial"/>
          <w:color w:val="5B6761"/>
          <w:spacing w:val="-15"/>
          <w:w w:val="105"/>
          <w:sz w:val="14"/>
        </w:rPr>
        <w:t xml:space="preserve"> </w:t>
      </w:r>
      <w:r>
        <w:rPr>
          <w:rFonts w:ascii="Arial" w:hAnsi="Arial"/>
          <w:color w:val="5B6761"/>
          <w:w w:val="105"/>
          <w:sz w:val="14"/>
        </w:rPr>
        <w:t>responsible</w:t>
      </w:r>
      <w:r>
        <w:rPr>
          <w:rFonts w:ascii="Arial" w:hAnsi="Arial"/>
          <w:color w:val="5B6761"/>
          <w:spacing w:val="-15"/>
          <w:w w:val="105"/>
          <w:sz w:val="14"/>
        </w:rPr>
        <w:t xml:space="preserve"> </w:t>
      </w:r>
      <w:r>
        <w:rPr>
          <w:rFonts w:ascii="Arial" w:hAnsi="Arial"/>
          <w:color w:val="5B6761"/>
          <w:w w:val="105"/>
          <w:sz w:val="14"/>
        </w:rPr>
        <w:t>for</w:t>
      </w:r>
      <w:r>
        <w:rPr>
          <w:rFonts w:ascii="Arial" w:hAnsi="Arial"/>
          <w:color w:val="5B6761"/>
          <w:spacing w:val="-15"/>
          <w:w w:val="105"/>
          <w:sz w:val="14"/>
        </w:rPr>
        <w:t xml:space="preserve"> </w:t>
      </w:r>
      <w:r>
        <w:rPr>
          <w:rFonts w:ascii="Arial" w:hAnsi="Arial"/>
          <w:color w:val="5B6761"/>
          <w:w w:val="105"/>
          <w:sz w:val="14"/>
        </w:rPr>
        <w:t>its</w:t>
      </w:r>
      <w:r>
        <w:rPr>
          <w:rFonts w:ascii="Arial" w:hAnsi="Arial"/>
          <w:color w:val="5B6761"/>
          <w:spacing w:val="-15"/>
          <w:w w:val="105"/>
          <w:sz w:val="14"/>
        </w:rPr>
        <w:t xml:space="preserve"> </w:t>
      </w:r>
      <w:r>
        <w:rPr>
          <w:rFonts w:ascii="Arial" w:hAnsi="Arial"/>
          <w:color w:val="5B6761"/>
          <w:w w:val="105"/>
          <w:sz w:val="14"/>
        </w:rPr>
        <w:t>physiological</w:t>
      </w:r>
      <w:r>
        <w:rPr>
          <w:rFonts w:ascii="Arial" w:hAnsi="Arial"/>
          <w:color w:val="5B6761"/>
          <w:spacing w:val="-15"/>
          <w:w w:val="105"/>
          <w:sz w:val="14"/>
        </w:rPr>
        <w:t xml:space="preserve"> </w:t>
      </w:r>
      <w:r>
        <w:rPr>
          <w:rFonts w:ascii="Arial" w:hAnsi="Arial"/>
          <w:color w:val="5B6761"/>
          <w:w w:val="105"/>
          <w:sz w:val="14"/>
        </w:rPr>
        <w:t>or</w:t>
      </w:r>
      <w:r>
        <w:rPr>
          <w:rFonts w:ascii="Arial" w:hAnsi="Arial"/>
          <w:color w:val="5B6761"/>
          <w:spacing w:val="-14"/>
          <w:w w:val="105"/>
          <w:sz w:val="14"/>
        </w:rPr>
        <w:t xml:space="preserve"> </w:t>
      </w:r>
      <w:r>
        <w:rPr>
          <w:rFonts w:ascii="Arial" w:hAnsi="Arial"/>
          <w:color w:val="5B6761"/>
          <w:w w:val="105"/>
          <w:sz w:val="14"/>
        </w:rPr>
        <w:t>pharmacological</w:t>
      </w:r>
      <w:r>
        <w:rPr>
          <w:rFonts w:ascii="Arial" w:hAnsi="Arial"/>
          <w:color w:val="5B6761"/>
          <w:spacing w:val="-15"/>
          <w:w w:val="105"/>
          <w:sz w:val="14"/>
        </w:rPr>
        <w:t xml:space="preserve"> </w:t>
      </w:r>
      <w:r>
        <w:rPr>
          <w:rFonts w:ascii="Arial" w:hAnsi="Arial"/>
          <w:color w:val="5B6761"/>
          <w:w w:val="105"/>
          <w:sz w:val="14"/>
        </w:rPr>
        <w:t>action’.</w:t>
      </w:r>
      <w:r>
        <w:rPr>
          <w:rFonts w:ascii="Arial" w:hAnsi="Arial"/>
          <w:color w:val="5B6761"/>
          <w:spacing w:val="-15"/>
          <w:w w:val="105"/>
          <w:sz w:val="14"/>
        </w:rPr>
        <w:t xml:space="preserve"> </w:t>
      </w:r>
      <w:r>
        <w:rPr>
          <w:rFonts w:ascii="Arial" w:hAnsi="Arial"/>
          <w:color w:val="5B6761"/>
          <w:w w:val="105"/>
          <w:sz w:val="14"/>
        </w:rPr>
        <w:t>An</w:t>
      </w:r>
      <w:r>
        <w:rPr>
          <w:rFonts w:ascii="Arial" w:hAnsi="Arial"/>
          <w:color w:val="5B6761"/>
          <w:spacing w:val="-14"/>
          <w:w w:val="105"/>
          <w:sz w:val="14"/>
        </w:rPr>
        <w:t xml:space="preserve"> </w:t>
      </w:r>
      <w:r>
        <w:rPr>
          <w:rFonts w:ascii="Arial" w:hAnsi="Arial"/>
          <w:color w:val="5B6761"/>
          <w:w w:val="105"/>
          <w:sz w:val="14"/>
        </w:rPr>
        <w:t>excipient</w:t>
      </w:r>
      <w:r>
        <w:rPr>
          <w:rFonts w:ascii="Arial" w:hAnsi="Arial"/>
          <w:color w:val="5B6761"/>
          <w:spacing w:val="-14"/>
          <w:w w:val="105"/>
          <w:sz w:val="14"/>
        </w:rPr>
        <w:t xml:space="preserve"> </w:t>
      </w:r>
      <w:r>
        <w:rPr>
          <w:rFonts w:ascii="Arial" w:hAnsi="Arial"/>
          <w:color w:val="5B6761"/>
          <w:w w:val="105"/>
          <w:sz w:val="14"/>
        </w:rPr>
        <w:t>ingredient</w:t>
      </w:r>
      <w:r>
        <w:rPr>
          <w:rFonts w:ascii="Arial" w:hAnsi="Arial"/>
          <w:color w:val="5B6761"/>
          <w:spacing w:val="-14"/>
          <w:w w:val="105"/>
          <w:sz w:val="14"/>
        </w:rPr>
        <w:t xml:space="preserve"> </w:t>
      </w:r>
      <w:r>
        <w:rPr>
          <w:rFonts w:ascii="Arial" w:hAnsi="Arial"/>
          <w:color w:val="5B6761"/>
          <w:w w:val="105"/>
          <w:sz w:val="14"/>
        </w:rPr>
        <w:t>is</w:t>
      </w:r>
      <w:r>
        <w:rPr>
          <w:rFonts w:ascii="Arial" w:hAnsi="Arial"/>
          <w:color w:val="5B6761"/>
          <w:spacing w:val="-15"/>
          <w:w w:val="105"/>
          <w:sz w:val="14"/>
        </w:rPr>
        <w:t xml:space="preserve"> </w:t>
      </w:r>
      <w:r>
        <w:rPr>
          <w:rFonts w:ascii="Arial" w:hAnsi="Arial"/>
          <w:color w:val="5B6761"/>
          <w:w w:val="105"/>
          <w:sz w:val="14"/>
        </w:rPr>
        <w:t>not</w:t>
      </w:r>
      <w:r>
        <w:rPr>
          <w:rFonts w:ascii="Arial" w:hAnsi="Arial"/>
          <w:color w:val="5B6761"/>
          <w:spacing w:val="-16"/>
          <w:w w:val="105"/>
          <w:sz w:val="14"/>
        </w:rPr>
        <w:t xml:space="preserve"> </w:t>
      </w:r>
      <w:r>
        <w:rPr>
          <w:rFonts w:ascii="Arial" w:hAnsi="Arial"/>
          <w:color w:val="5B6761"/>
          <w:w w:val="105"/>
          <w:sz w:val="14"/>
        </w:rPr>
        <w:t>therapeutically</w:t>
      </w:r>
      <w:r>
        <w:rPr>
          <w:rFonts w:ascii="Arial" w:hAnsi="Arial"/>
          <w:color w:val="5B6761"/>
          <w:spacing w:val="-15"/>
          <w:w w:val="105"/>
          <w:sz w:val="14"/>
        </w:rPr>
        <w:t xml:space="preserve"> </w:t>
      </w:r>
      <w:r>
        <w:rPr>
          <w:rFonts w:ascii="Arial" w:hAnsi="Arial"/>
          <w:color w:val="5B6761"/>
          <w:w w:val="105"/>
          <w:sz w:val="14"/>
        </w:rPr>
        <w:t>active and</w:t>
      </w:r>
      <w:r>
        <w:rPr>
          <w:rFonts w:ascii="Arial" w:hAnsi="Arial"/>
          <w:color w:val="5B6761"/>
          <w:spacing w:val="-15"/>
          <w:w w:val="105"/>
          <w:sz w:val="14"/>
        </w:rPr>
        <w:t xml:space="preserve"> </w:t>
      </w:r>
      <w:r>
        <w:rPr>
          <w:rFonts w:ascii="Arial" w:hAnsi="Arial"/>
          <w:color w:val="5B6761"/>
          <w:w w:val="105"/>
          <w:sz w:val="14"/>
        </w:rPr>
        <w:t>does</w:t>
      </w:r>
      <w:r>
        <w:rPr>
          <w:rFonts w:ascii="Arial" w:hAnsi="Arial"/>
          <w:color w:val="5B6761"/>
          <w:spacing w:val="-15"/>
          <w:w w:val="105"/>
          <w:sz w:val="14"/>
        </w:rPr>
        <w:t xml:space="preserve"> </w:t>
      </w:r>
      <w:r>
        <w:rPr>
          <w:rFonts w:ascii="Arial" w:hAnsi="Arial"/>
          <w:color w:val="5B6761"/>
          <w:w w:val="105"/>
          <w:sz w:val="14"/>
        </w:rPr>
        <w:t>not</w:t>
      </w:r>
      <w:r>
        <w:rPr>
          <w:rFonts w:ascii="Arial" w:hAnsi="Arial"/>
          <w:color w:val="5B6761"/>
          <w:spacing w:val="-14"/>
          <w:w w:val="105"/>
          <w:sz w:val="14"/>
        </w:rPr>
        <w:t xml:space="preserve"> </w:t>
      </w:r>
      <w:r>
        <w:rPr>
          <w:rFonts w:ascii="Arial" w:hAnsi="Arial"/>
          <w:color w:val="5B6761"/>
          <w:w w:val="105"/>
          <w:sz w:val="14"/>
        </w:rPr>
        <w:t>contribute</w:t>
      </w:r>
      <w:r>
        <w:rPr>
          <w:rFonts w:ascii="Arial" w:hAnsi="Arial"/>
          <w:color w:val="5B6761"/>
          <w:spacing w:val="-16"/>
          <w:w w:val="105"/>
          <w:sz w:val="14"/>
        </w:rPr>
        <w:t xml:space="preserve"> </w:t>
      </w:r>
      <w:r>
        <w:rPr>
          <w:rFonts w:ascii="Arial" w:hAnsi="Arial"/>
          <w:color w:val="5B6761"/>
          <w:w w:val="105"/>
          <w:sz w:val="14"/>
        </w:rPr>
        <w:t>to</w:t>
      </w:r>
      <w:r>
        <w:rPr>
          <w:rFonts w:ascii="Arial" w:hAnsi="Arial"/>
          <w:color w:val="5B6761"/>
          <w:spacing w:val="-16"/>
          <w:w w:val="105"/>
          <w:sz w:val="14"/>
        </w:rPr>
        <w:t xml:space="preserve"> </w:t>
      </w:r>
      <w:r>
        <w:rPr>
          <w:rFonts w:ascii="Arial" w:hAnsi="Arial"/>
          <w:color w:val="5B6761"/>
          <w:w w:val="105"/>
          <w:sz w:val="14"/>
        </w:rPr>
        <w:t>the</w:t>
      </w:r>
      <w:r>
        <w:rPr>
          <w:rFonts w:ascii="Arial" w:hAnsi="Arial"/>
          <w:color w:val="5B6761"/>
          <w:spacing w:val="-16"/>
          <w:w w:val="105"/>
          <w:sz w:val="14"/>
        </w:rPr>
        <w:t xml:space="preserve"> </w:t>
      </w:r>
      <w:r>
        <w:rPr>
          <w:rFonts w:ascii="Arial" w:hAnsi="Arial"/>
          <w:color w:val="5B6761"/>
          <w:w w:val="105"/>
          <w:sz w:val="14"/>
        </w:rPr>
        <w:t>physiological</w:t>
      </w:r>
      <w:r>
        <w:rPr>
          <w:rFonts w:ascii="Arial" w:hAnsi="Arial"/>
          <w:color w:val="5B6761"/>
          <w:spacing w:val="-15"/>
          <w:w w:val="105"/>
          <w:sz w:val="14"/>
        </w:rPr>
        <w:t xml:space="preserve"> </w:t>
      </w:r>
      <w:r>
        <w:rPr>
          <w:rFonts w:ascii="Arial" w:hAnsi="Arial"/>
          <w:color w:val="5B6761"/>
          <w:w w:val="105"/>
          <w:sz w:val="14"/>
        </w:rPr>
        <w:t>or</w:t>
      </w:r>
      <w:r>
        <w:rPr>
          <w:rFonts w:ascii="Arial" w:hAnsi="Arial"/>
          <w:color w:val="5B6761"/>
          <w:spacing w:val="-15"/>
          <w:w w:val="105"/>
          <w:sz w:val="14"/>
        </w:rPr>
        <w:t xml:space="preserve"> </w:t>
      </w:r>
      <w:r>
        <w:rPr>
          <w:rFonts w:ascii="Arial" w:hAnsi="Arial"/>
          <w:color w:val="5B6761"/>
          <w:w w:val="105"/>
          <w:sz w:val="14"/>
        </w:rPr>
        <w:t>pharmacological</w:t>
      </w:r>
      <w:r>
        <w:rPr>
          <w:rFonts w:ascii="Arial" w:hAnsi="Arial"/>
          <w:color w:val="5B6761"/>
          <w:spacing w:val="-15"/>
          <w:w w:val="105"/>
          <w:sz w:val="14"/>
        </w:rPr>
        <w:t xml:space="preserve"> </w:t>
      </w:r>
      <w:r>
        <w:rPr>
          <w:rFonts w:ascii="Arial" w:hAnsi="Arial"/>
          <w:color w:val="5B6761"/>
          <w:w w:val="105"/>
          <w:sz w:val="14"/>
        </w:rPr>
        <w:t>action</w:t>
      </w:r>
      <w:r>
        <w:rPr>
          <w:rFonts w:ascii="Arial" w:hAnsi="Arial"/>
          <w:color w:val="5B6761"/>
          <w:spacing w:val="-14"/>
          <w:w w:val="105"/>
          <w:sz w:val="14"/>
        </w:rPr>
        <w:t xml:space="preserve"> </w:t>
      </w:r>
      <w:r>
        <w:rPr>
          <w:rFonts w:ascii="Arial" w:hAnsi="Arial"/>
          <w:color w:val="5B6761"/>
          <w:w w:val="105"/>
          <w:sz w:val="14"/>
        </w:rPr>
        <w:t>within</w:t>
      </w:r>
      <w:r>
        <w:rPr>
          <w:rFonts w:ascii="Arial" w:hAnsi="Arial"/>
          <w:color w:val="5B6761"/>
          <w:spacing w:val="-14"/>
          <w:w w:val="105"/>
          <w:sz w:val="14"/>
        </w:rPr>
        <w:t xml:space="preserve"> </w:t>
      </w:r>
      <w:r>
        <w:rPr>
          <w:rFonts w:ascii="Arial" w:hAnsi="Arial"/>
          <w:color w:val="5B6761"/>
          <w:w w:val="105"/>
          <w:sz w:val="14"/>
        </w:rPr>
        <w:t>the</w:t>
      </w:r>
      <w:r>
        <w:rPr>
          <w:rFonts w:ascii="Arial" w:hAnsi="Arial"/>
          <w:color w:val="5B6761"/>
          <w:spacing w:val="-16"/>
          <w:w w:val="105"/>
          <w:sz w:val="14"/>
        </w:rPr>
        <w:t xml:space="preserve"> </w:t>
      </w:r>
      <w:r>
        <w:rPr>
          <w:rFonts w:ascii="Arial" w:hAnsi="Arial"/>
          <w:color w:val="5B6761"/>
          <w:w w:val="105"/>
          <w:sz w:val="14"/>
        </w:rPr>
        <w:t>medicine’s</w:t>
      </w:r>
      <w:r>
        <w:rPr>
          <w:rFonts w:ascii="Arial" w:hAnsi="Arial"/>
          <w:color w:val="5B6761"/>
          <w:spacing w:val="-16"/>
          <w:w w:val="105"/>
          <w:sz w:val="14"/>
        </w:rPr>
        <w:t xml:space="preserve"> </w:t>
      </w:r>
      <w:r>
        <w:rPr>
          <w:rFonts w:ascii="Arial" w:hAnsi="Arial"/>
          <w:color w:val="5B6761"/>
          <w:w w:val="105"/>
          <w:sz w:val="14"/>
        </w:rPr>
        <w:t>final</w:t>
      </w:r>
      <w:r>
        <w:rPr>
          <w:rFonts w:ascii="Arial" w:hAnsi="Arial"/>
          <w:color w:val="5B6761"/>
          <w:spacing w:val="-15"/>
          <w:w w:val="105"/>
          <w:sz w:val="14"/>
        </w:rPr>
        <w:t xml:space="preserve"> </w:t>
      </w:r>
      <w:r>
        <w:rPr>
          <w:rFonts w:ascii="Arial" w:hAnsi="Arial"/>
          <w:color w:val="5B6761"/>
          <w:w w:val="105"/>
          <w:sz w:val="14"/>
        </w:rPr>
        <w:t>formulation.</w:t>
      </w:r>
      <w:r>
        <w:rPr>
          <w:rFonts w:ascii="Arial" w:hAnsi="Arial"/>
          <w:color w:val="5B6761"/>
          <w:spacing w:val="-16"/>
          <w:w w:val="105"/>
          <w:sz w:val="14"/>
        </w:rPr>
        <w:t xml:space="preserve"> </w:t>
      </w:r>
      <w:r>
        <w:rPr>
          <w:rFonts w:ascii="Arial" w:hAnsi="Arial"/>
          <w:color w:val="5B6761"/>
          <w:w w:val="105"/>
          <w:sz w:val="14"/>
        </w:rPr>
        <w:t>Types</w:t>
      </w:r>
      <w:r>
        <w:rPr>
          <w:rFonts w:ascii="Arial" w:hAnsi="Arial"/>
          <w:color w:val="5B6761"/>
          <w:spacing w:val="-15"/>
          <w:w w:val="105"/>
          <w:sz w:val="14"/>
        </w:rPr>
        <w:t xml:space="preserve"> </w:t>
      </w:r>
      <w:r>
        <w:rPr>
          <w:rFonts w:ascii="Arial" w:hAnsi="Arial"/>
          <w:color w:val="5B6761"/>
          <w:w w:val="105"/>
          <w:sz w:val="14"/>
        </w:rPr>
        <w:t>of</w:t>
      </w:r>
      <w:r>
        <w:rPr>
          <w:rFonts w:ascii="Arial" w:hAnsi="Arial"/>
          <w:color w:val="5B6761"/>
          <w:spacing w:val="-16"/>
          <w:w w:val="105"/>
          <w:sz w:val="14"/>
        </w:rPr>
        <w:t xml:space="preserve"> </w:t>
      </w:r>
      <w:r>
        <w:rPr>
          <w:rFonts w:ascii="Arial" w:hAnsi="Arial"/>
          <w:color w:val="5B6761"/>
          <w:w w:val="105"/>
          <w:sz w:val="14"/>
        </w:rPr>
        <w:t>excipient ingredients</w:t>
      </w:r>
      <w:r>
        <w:rPr>
          <w:rFonts w:ascii="Arial" w:hAnsi="Arial"/>
          <w:color w:val="5B6761"/>
          <w:spacing w:val="-19"/>
          <w:w w:val="105"/>
          <w:sz w:val="14"/>
        </w:rPr>
        <w:t xml:space="preserve"> </w:t>
      </w:r>
      <w:r>
        <w:rPr>
          <w:rFonts w:ascii="Arial" w:hAnsi="Arial"/>
          <w:color w:val="5B6761"/>
          <w:w w:val="105"/>
          <w:sz w:val="14"/>
        </w:rPr>
        <w:t>include:</w:t>
      </w:r>
      <w:r>
        <w:rPr>
          <w:rFonts w:ascii="Arial" w:hAnsi="Arial"/>
          <w:color w:val="5B6761"/>
          <w:spacing w:val="-19"/>
          <w:w w:val="105"/>
          <w:sz w:val="14"/>
        </w:rPr>
        <w:t xml:space="preserve"> </w:t>
      </w:r>
      <w:r>
        <w:rPr>
          <w:rFonts w:ascii="Arial" w:hAnsi="Arial"/>
          <w:color w:val="5B6761"/>
          <w:w w:val="105"/>
          <w:sz w:val="14"/>
        </w:rPr>
        <w:t>a</w:t>
      </w:r>
      <w:r>
        <w:rPr>
          <w:rFonts w:ascii="Arial" w:hAnsi="Arial"/>
          <w:color w:val="5B6761"/>
          <w:spacing w:val="-19"/>
          <w:w w:val="105"/>
          <w:sz w:val="14"/>
        </w:rPr>
        <w:t xml:space="preserve"> </w:t>
      </w:r>
      <w:r>
        <w:rPr>
          <w:rFonts w:ascii="Arial" w:hAnsi="Arial"/>
          <w:color w:val="5B6761"/>
          <w:w w:val="105"/>
          <w:sz w:val="14"/>
        </w:rPr>
        <w:t>fragrance,</w:t>
      </w:r>
      <w:r>
        <w:rPr>
          <w:rFonts w:ascii="Arial" w:hAnsi="Arial"/>
          <w:color w:val="5B6761"/>
          <w:spacing w:val="-19"/>
          <w:w w:val="105"/>
          <w:sz w:val="14"/>
        </w:rPr>
        <w:t xml:space="preserve"> </w:t>
      </w:r>
      <w:proofErr w:type="spellStart"/>
      <w:r>
        <w:rPr>
          <w:rFonts w:ascii="Arial" w:hAnsi="Arial"/>
          <w:color w:val="5B6761"/>
          <w:w w:val="105"/>
          <w:sz w:val="14"/>
        </w:rPr>
        <w:t>flavour</w:t>
      </w:r>
      <w:proofErr w:type="spellEnd"/>
      <w:r>
        <w:rPr>
          <w:rFonts w:ascii="Arial" w:hAnsi="Arial"/>
          <w:color w:val="5B6761"/>
          <w:w w:val="105"/>
          <w:sz w:val="14"/>
        </w:rPr>
        <w:t>,</w:t>
      </w:r>
      <w:r>
        <w:rPr>
          <w:rFonts w:ascii="Arial" w:hAnsi="Arial"/>
          <w:color w:val="5B6761"/>
          <w:spacing w:val="-19"/>
          <w:w w:val="105"/>
          <w:sz w:val="14"/>
        </w:rPr>
        <w:t xml:space="preserve"> </w:t>
      </w:r>
      <w:r>
        <w:rPr>
          <w:rFonts w:ascii="Arial" w:hAnsi="Arial"/>
          <w:color w:val="5B6761"/>
          <w:w w:val="105"/>
          <w:sz w:val="14"/>
        </w:rPr>
        <w:t>preservative,</w:t>
      </w:r>
      <w:r>
        <w:rPr>
          <w:rFonts w:ascii="Arial" w:hAnsi="Arial"/>
          <w:color w:val="5B6761"/>
          <w:spacing w:val="-18"/>
          <w:w w:val="105"/>
          <w:sz w:val="14"/>
        </w:rPr>
        <w:t xml:space="preserve"> </w:t>
      </w:r>
      <w:r>
        <w:rPr>
          <w:rFonts w:ascii="Arial" w:hAnsi="Arial"/>
          <w:color w:val="5B6761"/>
          <w:w w:val="105"/>
          <w:sz w:val="14"/>
        </w:rPr>
        <w:t>printing</w:t>
      </w:r>
      <w:r>
        <w:rPr>
          <w:rFonts w:ascii="Arial" w:hAnsi="Arial"/>
          <w:color w:val="5B6761"/>
          <w:spacing w:val="-21"/>
          <w:w w:val="105"/>
          <w:sz w:val="14"/>
        </w:rPr>
        <w:t xml:space="preserve"> </w:t>
      </w:r>
      <w:r>
        <w:rPr>
          <w:rFonts w:ascii="Arial" w:hAnsi="Arial"/>
          <w:color w:val="5B6761"/>
          <w:w w:val="105"/>
          <w:sz w:val="14"/>
        </w:rPr>
        <w:t>ink,</w:t>
      </w:r>
      <w:r>
        <w:rPr>
          <w:rFonts w:ascii="Arial" w:hAnsi="Arial"/>
          <w:color w:val="5B6761"/>
          <w:spacing w:val="-19"/>
          <w:w w:val="105"/>
          <w:sz w:val="14"/>
        </w:rPr>
        <w:t xml:space="preserve"> </w:t>
      </w:r>
      <w:r>
        <w:rPr>
          <w:rFonts w:ascii="Arial" w:hAnsi="Arial"/>
          <w:color w:val="5B6761"/>
          <w:w w:val="105"/>
          <w:sz w:val="14"/>
        </w:rPr>
        <w:t>antioxidant,</w:t>
      </w:r>
      <w:r>
        <w:rPr>
          <w:rFonts w:ascii="Arial" w:hAnsi="Arial"/>
          <w:color w:val="5B6761"/>
          <w:spacing w:val="-19"/>
          <w:w w:val="105"/>
          <w:sz w:val="14"/>
        </w:rPr>
        <w:t xml:space="preserve"> </w:t>
      </w:r>
      <w:r>
        <w:rPr>
          <w:rFonts w:ascii="Arial" w:hAnsi="Arial"/>
          <w:color w:val="5B6761"/>
          <w:w w:val="105"/>
          <w:sz w:val="14"/>
        </w:rPr>
        <w:t>coating,</w:t>
      </w:r>
      <w:r>
        <w:rPr>
          <w:rFonts w:ascii="Arial" w:hAnsi="Arial"/>
          <w:color w:val="5B6761"/>
          <w:spacing w:val="-19"/>
          <w:w w:val="105"/>
          <w:sz w:val="14"/>
        </w:rPr>
        <w:t xml:space="preserve"> </w:t>
      </w:r>
      <w:r>
        <w:rPr>
          <w:rFonts w:ascii="Arial" w:hAnsi="Arial"/>
          <w:color w:val="5B6761"/>
          <w:w w:val="105"/>
          <w:sz w:val="14"/>
        </w:rPr>
        <w:t>binding</w:t>
      </w:r>
      <w:r>
        <w:rPr>
          <w:rFonts w:ascii="Arial" w:hAnsi="Arial"/>
          <w:color w:val="5B6761"/>
          <w:spacing w:val="-20"/>
          <w:w w:val="105"/>
          <w:sz w:val="14"/>
        </w:rPr>
        <w:t xml:space="preserve"> </w:t>
      </w:r>
      <w:r>
        <w:rPr>
          <w:rFonts w:ascii="Arial" w:hAnsi="Arial"/>
          <w:color w:val="5B6761"/>
          <w:w w:val="105"/>
          <w:sz w:val="14"/>
        </w:rPr>
        <w:t>agent,</w:t>
      </w:r>
      <w:r>
        <w:rPr>
          <w:rFonts w:ascii="Arial" w:hAnsi="Arial"/>
          <w:color w:val="5B6761"/>
          <w:spacing w:val="-19"/>
          <w:w w:val="105"/>
          <w:sz w:val="14"/>
        </w:rPr>
        <w:t xml:space="preserve"> </w:t>
      </w:r>
      <w:r>
        <w:rPr>
          <w:rFonts w:ascii="Arial" w:hAnsi="Arial"/>
          <w:color w:val="5B6761"/>
          <w:w w:val="105"/>
          <w:sz w:val="14"/>
        </w:rPr>
        <w:t>filler</w:t>
      </w:r>
      <w:r>
        <w:rPr>
          <w:rFonts w:ascii="Arial" w:hAnsi="Arial"/>
          <w:color w:val="5B6761"/>
          <w:spacing w:val="-18"/>
          <w:w w:val="105"/>
          <w:sz w:val="14"/>
        </w:rPr>
        <w:t xml:space="preserve"> </w:t>
      </w:r>
      <w:r>
        <w:rPr>
          <w:rFonts w:ascii="Arial" w:hAnsi="Arial"/>
          <w:color w:val="5B6761"/>
          <w:w w:val="105"/>
          <w:sz w:val="14"/>
        </w:rPr>
        <w:t>or</w:t>
      </w:r>
      <w:r>
        <w:rPr>
          <w:rFonts w:ascii="Arial" w:hAnsi="Arial"/>
          <w:color w:val="5B6761"/>
          <w:spacing w:val="-18"/>
          <w:w w:val="105"/>
          <w:sz w:val="14"/>
        </w:rPr>
        <w:t xml:space="preserve"> </w:t>
      </w:r>
      <w:r>
        <w:rPr>
          <w:rFonts w:ascii="Arial" w:hAnsi="Arial"/>
          <w:color w:val="5B6761"/>
          <w:w w:val="105"/>
          <w:sz w:val="14"/>
        </w:rPr>
        <w:t>an</w:t>
      </w:r>
      <w:r>
        <w:rPr>
          <w:rFonts w:ascii="Arial" w:hAnsi="Arial"/>
          <w:color w:val="5B6761"/>
          <w:spacing w:val="-19"/>
          <w:w w:val="105"/>
          <w:sz w:val="14"/>
        </w:rPr>
        <w:t xml:space="preserve"> </w:t>
      </w:r>
      <w:r>
        <w:rPr>
          <w:rFonts w:ascii="Arial" w:hAnsi="Arial"/>
          <w:color w:val="5B6761"/>
          <w:w w:val="105"/>
          <w:sz w:val="14"/>
        </w:rPr>
        <w:t>anticaking</w:t>
      </w:r>
      <w:r>
        <w:rPr>
          <w:rFonts w:ascii="Arial" w:hAnsi="Arial"/>
          <w:color w:val="5B6761"/>
          <w:spacing w:val="-18"/>
          <w:w w:val="105"/>
          <w:sz w:val="14"/>
        </w:rPr>
        <w:t xml:space="preserve"> </w:t>
      </w:r>
      <w:r>
        <w:rPr>
          <w:rFonts w:ascii="Arial" w:hAnsi="Arial"/>
          <w:color w:val="5B6761"/>
          <w:w w:val="105"/>
          <w:sz w:val="14"/>
        </w:rPr>
        <w:t xml:space="preserve">agent. </w:t>
      </w:r>
      <w:r>
        <w:rPr>
          <w:rFonts w:ascii="Arial" w:hAnsi="Arial"/>
          <w:color w:val="5B6761"/>
          <w:w w:val="91"/>
          <w:sz w:val="14"/>
        </w:rPr>
        <w:t>R</w:t>
      </w:r>
      <w:r>
        <w:rPr>
          <w:rFonts w:ascii="Arial" w:hAnsi="Arial"/>
          <w:color w:val="5B6761"/>
          <w:spacing w:val="-1"/>
          <w:w w:val="96"/>
          <w:sz w:val="14"/>
        </w:rPr>
        <w:t>e</w:t>
      </w:r>
      <w:r>
        <w:rPr>
          <w:rFonts w:ascii="Arial" w:hAnsi="Arial"/>
          <w:color w:val="5B6761"/>
          <w:spacing w:val="-1"/>
          <w:w w:val="119"/>
          <w:sz w:val="14"/>
        </w:rPr>
        <w:t>f</w:t>
      </w:r>
      <w:r>
        <w:rPr>
          <w:rFonts w:ascii="Arial" w:hAnsi="Arial"/>
          <w:color w:val="5B6761"/>
          <w:spacing w:val="-1"/>
          <w:w w:val="96"/>
          <w:sz w:val="14"/>
        </w:rPr>
        <w:t>e</w:t>
      </w:r>
      <w:r>
        <w:rPr>
          <w:rFonts w:ascii="Arial" w:hAnsi="Arial"/>
          <w:color w:val="5B6761"/>
          <w:w w:val="116"/>
          <w:sz w:val="14"/>
        </w:rPr>
        <w:t>r</w:t>
      </w:r>
      <w:r>
        <w:rPr>
          <w:rFonts w:ascii="Arial" w:hAnsi="Arial"/>
          <w:color w:val="5B6761"/>
          <w:spacing w:val="-5"/>
          <w:sz w:val="14"/>
        </w:rPr>
        <w:t xml:space="preserve"> </w:t>
      </w:r>
      <w:r>
        <w:rPr>
          <w:rFonts w:ascii="Arial" w:hAnsi="Arial"/>
          <w:color w:val="5B6761"/>
          <w:w w:val="133"/>
          <w:sz w:val="14"/>
        </w:rPr>
        <w:t>t</w:t>
      </w:r>
      <w:r>
        <w:rPr>
          <w:rFonts w:ascii="Arial" w:hAnsi="Arial"/>
          <w:color w:val="5B6761"/>
          <w:w w:val="99"/>
          <w:sz w:val="14"/>
        </w:rPr>
        <w:t>o</w:t>
      </w:r>
      <w:r>
        <w:rPr>
          <w:rFonts w:ascii="Arial" w:hAnsi="Arial"/>
          <w:color w:val="5B6761"/>
          <w:spacing w:val="-6"/>
          <w:sz w:val="14"/>
        </w:rPr>
        <w:t xml:space="preserve"> </w:t>
      </w:r>
      <w:hyperlink r:id="rId221">
        <w:r>
          <w:rPr>
            <w:rFonts w:ascii="Arial" w:hAnsi="Arial"/>
            <w:sz w:val="14"/>
            <w:u w:val="single" w:color="006FC0"/>
          </w:rPr>
          <w:t>h</w:t>
        </w:r>
        <w:r>
          <w:rPr>
            <w:rFonts w:ascii="Arial" w:hAnsi="Arial"/>
            <w:w w:val="133"/>
            <w:sz w:val="14"/>
            <w:u w:val="single" w:color="006FC0"/>
          </w:rPr>
          <w:t>tt</w:t>
        </w:r>
        <w:r>
          <w:rPr>
            <w:rFonts w:ascii="Arial" w:hAnsi="Arial"/>
            <w:sz w:val="14"/>
            <w:u w:val="single" w:color="006FC0"/>
          </w:rPr>
          <w:t>p</w:t>
        </w:r>
        <w:r>
          <w:rPr>
            <w:rFonts w:ascii="Arial" w:hAnsi="Arial"/>
            <w:spacing w:val="-1"/>
            <w:w w:val="93"/>
            <w:sz w:val="14"/>
            <w:u w:val="single" w:color="006FC0"/>
          </w:rPr>
          <w:t>s</w:t>
        </w:r>
        <w:r>
          <w:rPr>
            <w:rFonts w:ascii="Arial" w:hAnsi="Arial"/>
            <w:w w:val="127"/>
            <w:sz w:val="14"/>
            <w:u w:val="single" w:color="006FC0"/>
          </w:rPr>
          <w:t>:</w:t>
        </w:r>
        <w:r>
          <w:rPr>
            <w:rFonts w:ascii="Arial" w:hAnsi="Arial"/>
            <w:spacing w:val="1"/>
            <w:w w:val="127"/>
            <w:sz w:val="14"/>
            <w:u w:val="single" w:color="006FC0"/>
          </w:rPr>
          <w:t>/</w:t>
        </w:r>
        <w:r>
          <w:rPr>
            <w:rFonts w:ascii="Arial" w:hAnsi="Arial"/>
            <w:spacing w:val="-1"/>
            <w:w w:val="175"/>
            <w:sz w:val="14"/>
            <w:u w:val="single" w:color="006FC0"/>
          </w:rPr>
          <w:t>/</w:t>
        </w:r>
        <w:r>
          <w:rPr>
            <w:rFonts w:ascii="Arial" w:hAnsi="Arial"/>
            <w:spacing w:val="1"/>
            <w:w w:val="98"/>
            <w:sz w:val="14"/>
            <w:u w:val="single" w:color="006FC0"/>
          </w:rPr>
          <w:t>www</w:t>
        </w:r>
        <w:r>
          <w:rPr>
            <w:rFonts w:ascii="Arial" w:hAnsi="Arial"/>
            <w:w w:val="107"/>
            <w:sz w:val="14"/>
            <w:u w:val="single" w:color="006FC0"/>
          </w:rPr>
          <w:t>.t</w:t>
        </w:r>
        <w:r>
          <w:rPr>
            <w:rFonts w:ascii="Arial" w:hAnsi="Arial"/>
            <w:sz w:val="14"/>
            <w:u w:val="single" w:color="006FC0"/>
          </w:rPr>
          <w:t>g</w:t>
        </w:r>
        <w:r>
          <w:rPr>
            <w:rFonts w:ascii="Arial" w:hAnsi="Arial"/>
            <w:w w:val="94"/>
            <w:sz w:val="14"/>
            <w:u w:val="single" w:color="006FC0"/>
          </w:rPr>
          <w:t>a</w:t>
        </w:r>
        <w:r>
          <w:rPr>
            <w:rFonts w:ascii="Arial" w:hAnsi="Arial"/>
            <w:w w:val="93"/>
            <w:sz w:val="14"/>
            <w:u w:val="single" w:color="006FC0"/>
          </w:rPr>
          <w:t>.g</w:t>
        </w:r>
        <w:r>
          <w:rPr>
            <w:rFonts w:ascii="Arial" w:hAnsi="Arial"/>
            <w:spacing w:val="-1"/>
            <w:w w:val="99"/>
            <w:sz w:val="14"/>
            <w:u w:val="single" w:color="006FC0"/>
          </w:rPr>
          <w:t>o</w:t>
        </w:r>
        <w:r>
          <w:rPr>
            <w:rFonts w:ascii="Arial" w:hAnsi="Arial"/>
            <w:w w:val="101"/>
            <w:sz w:val="14"/>
            <w:u w:val="single" w:color="006FC0"/>
          </w:rPr>
          <w:t>v</w:t>
        </w:r>
        <w:r>
          <w:rPr>
            <w:rFonts w:ascii="Arial" w:hAnsi="Arial"/>
            <w:w w:val="89"/>
            <w:sz w:val="14"/>
            <w:u w:val="single" w:color="006FC0"/>
          </w:rPr>
          <w:t>.a</w:t>
        </w:r>
        <w:r>
          <w:rPr>
            <w:rFonts w:ascii="Arial" w:hAnsi="Arial"/>
            <w:sz w:val="14"/>
            <w:u w:val="single" w:color="006FC0"/>
          </w:rPr>
          <w:t>u</w:t>
        </w:r>
        <w:r>
          <w:rPr>
            <w:rFonts w:ascii="Arial" w:hAnsi="Arial"/>
            <w:spacing w:val="-1"/>
            <w:w w:val="175"/>
            <w:sz w:val="14"/>
            <w:u w:val="single" w:color="006FC0"/>
          </w:rPr>
          <w:t>/</w:t>
        </w:r>
        <w:r>
          <w:rPr>
            <w:rFonts w:ascii="Arial" w:hAnsi="Arial"/>
            <w:w w:val="133"/>
            <w:sz w:val="14"/>
            <w:u w:val="single" w:color="006FC0"/>
          </w:rPr>
          <w:t>t</w:t>
        </w:r>
        <w:r>
          <w:rPr>
            <w:rFonts w:ascii="Arial" w:hAnsi="Arial"/>
            <w:w w:val="105"/>
            <w:sz w:val="14"/>
            <w:u w:val="single" w:color="006FC0"/>
          </w:rPr>
          <w:t>y</w:t>
        </w:r>
        <w:r>
          <w:rPr>
            <w:rFonts w:ascii="Arial" w:hAnsi="Arial"/>
            <w:sz w:val="14"/>
            <w:u w:val="single" w:color="006FC0"/>
          </w:rPr>
          <w:t>p</w:t>
        </w:r>
        <w:r>
          <w:rPr>
            <w:rFonts w:ascii="Arial" w:hAnsi="Arial"/>
            <w:spacing w:val="-1"/>
            <w:w w:val="96"/>
            <w:sz w:val="14"/>
            <w:u w:val="single" w:color="006FC0"/>
          </w:rPr>
          <w:t>e</w:t>
        </w:r>
        <w:r>
          <w:rPr>
            <w:rFonts w:ascii="Arial" w:hAnsi="Arial"/>
            <w:spacing w:val="2"/>
            <w:w w:val="93"/>
            <w:sz w:val="14"/>
            <w:u w:val="single" w:color="006FC0"/>
          </w:rPr>
          <w:t>s</w:t>
        </w:r>
        <w:r>
          <w:rPr>
            <w:rFonts w:ascii="Arial" w:hAnsi="Arial"/>
            <w:spacing w:val="-1"/>
            <w:w w:val="119"/>
            <w:sz w:val="14"/>
            <w:u w:val="single" w:color="006FC0"/>
          </w:rPr>
          <w:t>-</w:t>
        </w:r>
        <w:r>
          <w:rPr>
            <w:rFonts w:ascii="Arial" w:hAnsi="Arial"/>
            <w:w w:val="113"/>
            <w:sz w:val="14"/>
            <w:u w:val="single" w:color="006FC0"/>
          </w:rPr>
          <w:t>i</w:t>
        </w:r>
        <w:r>
          <w:rPr>
            <w:rFonts w:ascii="Arial" w:hAnsi="Arial"/>
            <w:sz w:val="14"/>
            <w:u w:val="single" w:color="006FC0"/>
          </w:rPr>
          <w:t>ng</w:t>
        </w:r>
        <w:r>
          <w:rPr>
            <w:rFonts w:ascii="Arial" w:hAnsi="Arial"/>
            <w:w w:val="116"/>
            <w:sz w:val="14"/>
            <w:u w:val="single" w:color="006FC0"/>
          </w:rPr>
          <w:t>r</w:t>
        </w:r>
        <w:r>
          <w:rPr>
            <w:rFonts w:ascii="Arial" w:hAnsi="Arial"/>
            <w:spacing w:val="-1"/>
            <w:w w:val="96"/>
            <w:sz w:val="14"/>
            <w:u w:val="single" w:color="006FC0"/>
          </w:rPr>
          <w:t>e</w:t>
        </w:r>
        <w:r>
          <w:rPr>
            <w:rFonts w:ascii="Arial" w:hAnsi="Arial"/>
            <w:sz w:val="14"/>
            <w:u w:val="single" w:color="006FC0"/>
          </w:rPr>
          <w:t>d</w:t>
        </w:r>
        <w:r>
          <w:rPr>
            <w:rFonts w:ascii="Arial" w:hAnsi="Arial"/>
            <w:w w:val="113"/>
            <w:sz w:val="14"/>
            <w:u w:val="single" w:color="006FC0"/>
          </w:rPr>
          <w:t>i</w:t>
        </w:r>
        <w:r>
          <w:rPr>
            <w:rFonts w:ascii="Arial" w:hAnsi="Arial"/>
            <w:spacing w:val="-1"/>
            <w:w w:val="96"/>
            <w:sz w:val="14"/>
            <w:u w:val="single" w:color="006FC0"/>
          </w:rPr>
          <w:t>e</w:t>
        </w:r>
        <w:r>
          <w:rPr>
            <w:rFonts w:ascii="Arial" w:hAnsi="Arial"/>
            <w:sz w:val="14"/>
            <w:u w:val="single" w:color="006FC0"/>
          </w:rPr>
          <w:t>n</w:t>
        </w:r>
        <w:r>
          <w:rPr>
            <w:rFonts w:ascii="Arial" w:hAnsi="Arial"/>
            <w:w w:val="133"/>
            <w:sz w:val="14"/>
            <w:u w:val="single" w:color="006FC0"/>
          </w:rPr>
          <w:t>t</w:t>
        </w:r>
        <w:r>
          <w:rPr>
            <w:rFonts w:ascii="Arial" w:hAnsi="Arial"/>
            <w:w w:val="93"/>
            <w:sz w:val="14"/>
            <w:u w:val="single" w:color="006FC0"/>
          </w:rPr>
          <w:t>s</w:t>
        </w:r>
        <w:r>
          <w:rPr>
            <w:rFonts w:ascii="Arial" w:hAnsi="Arial"/>
            <w:spacing w:val="-1"/>
            <w:w w:val="119"/>
            <w:sz w:val="14"/>
            <w:u w:val="single" w:color="006FC0"/>
          </w:rPr>
          <w:t>-</w:t>
        </w:r>
        <w:r>
          <w:rPr>
            <w:rFonts w:ascii="Arial" w:hAnsi="Arial"/>
            <w:spacing w:val="-1"/>
            <w:w w:val="117"/>
            <w:sz w:val="14"/>
            <w:u w:val="single" w:color="006FC0"/>
          </w:rPr>
          <w:t>l</w:t>
        </w:r>
        <w:r>
          <w:rPr>
            <w:rFonts w:ascii="Arial" w:hAnsi="Arial"/>
            <w:w w:val="113"/>
            <w:sz w:val="14"/>
            <w:u w:val="single" w:color="006FC0"/>
          </w:rPr>
          <w:t>i</w:t>
        </w:r>
        <w:r>
          <w:rPr>
            <w:rFonts w:ascii="Arial" w:hAnsi="Arial"/>
            <w:spacing w:val="-1"/>
            <w:w w:val="93"/>
            <w:sz w:val="14"/>
            <w:u w:val="single" w:color="006FC0"/>
          </w:rPr>
          <w:t>s</w:t>
        </w:r>
        <w:r>
          <w:rPr>
            <w:rFonts w:ascii="Arial" w:hAnsi="Arial"/>
            <w:w w:val="133"/>
            <w:sz w:val="14"/>
            <w:u w:val="single" w:color="006FC0"/>
          </w:rPr>
          <w:t>t</w:t>
        </w:r>
        <w:r>
          <w:rPr>
            <w:rFonts w:ascii="Arial" w:hAnsi="Arial"/>
            <w:spacing w:val="-1"/>
            <w:w w:val="96"/>
            <w:sz w:val="14"/>
            <w:u w:val="single" w:color="006FC0"/>
          </w:rPr>
          <w:t>e</w:t>
        </w:r>
        <w:r>
          <w:rPr>
            <w:rFonts w:ascii="Arial" w:hAnsi="Arial"/>
            <w:spacing w:val="1"/>
            <w:sz w:val="14"/>
            <w:u w:val="single" w:color="006FC0"/>
          </w:rPr>
          <w:t>d</w:t>
        </w:r>
        <w:r>
          <w:rPr>
            <w:rFonts w:ascii="Arial" w:hAnsi="Arial"/>
            <w:spacing w:val="-1"/>
            <w:w w:val="119"/>
            <w:sz w:val="14"/>
            <w:u w:val="single" w:color="006FC0"/>
          </w:rPr>
          <w:t>-</w:t>
        </w:r>
        <w:r>
          <w:rPr>
            <w:rFonts w:ascii="Arial" w:hAnsi="Arial"/>
            <w:w w:val="94"/>
            <w:sz w:val="14"/>
            <w:u w:val="single" w:color="006FC0"/>
          </w:rPr>
          <w:t>a</w:t>
        </w:r>
        <w:r>
          <w:rPr>
            <w:rFonts w:ascii="Arial" w:hAnsi="Arial"/>
            <w:sz w:val="14"/>
            <w:u w:val="single" w:color="006FC0"/>
          </w:rPr>
          <w:t>n</w:t>
        </w:r>
        <w:r>
          <w:rPr>
            <w:rFonts w:ascii="Arial" w:hAnsi="Arial"/>
            <w:spacing w:val="1"/>
            <w:sz w:val="14"/>
            <w:u w:val="single" w:color="006FC0"/>
          </w:rPr>
          <w:t>d</w:t>
        </w:r>
        <w:r>
          <w:rPr>
            <w:rFonts w:ascii="Arial" w:hAnsi="Arial"/>
            <w:spacing w:val="-1"/>
            <w:w w:val="119"/>
            <w:sz w:val="14"/>
            <w:u w:val="single" w:color="006FC0"/>
          </w:rPr>
          <w:t>-</w:t>
        </w:r>
        <w:r>
          <w:rPr>
            <w:rFonts w:ascii="Arial" w:hAnsi="Arial"/>
            <w:w w:val="116"/>
            <w:sz w:val="14"/>
            <w:u w:val="single" w:color="006FC0"/>
          </w:rPr>
          <w:t>r</w:t>
        </w:r>
        <w:r>
          <w:rPr>
            <w:rFonts w:ascii="Arial" w:hAnsi="Arial"/>
            <w:spacing w:val="-1"/>
            <w:w w:val="96"/>
            <w:sz w:val="14"/>
            <w:u w:val="single" w:color="006FC0"/>
          </w:rPr>
          <w:t>e</w:t>
        </w:r>
        <w:r>
          <w:rPr>
            <w:rFonts w:ascii="Arial" w:hAnsi="Arial"/>
            <w:sz w:val="14"/>
            <w:u w:val="single" w:color="006FC0"/>
          </w:rPr>
          <w:t>g</w:t>
        </w:r>
        <w:r>
          <w:rPr>
            <w:rFonts w:ascii="Arial" w:hAnsi="Arial"/>
            <w:w w:val="113"/>
            <w:sz w:val="14"/>
            <w:u w:val="single" w:color="006FC0"/>
          </w:rPr>
          <w:t>i</w:t>
        </w:r>
        <w:r>
          <w:rPr>
            <w:rFonts w:ascii="Arial" w:hAnsi="Arial"/>
            <w:spacing w:val="-1"/>
            <w:w w:val="93"/>
            <w:sz w:val="14"/>
            <w:u w:val="single" w:color="006FC0"/>
          </w:rPr>
          <w:t>s</w:t>
        </w:r>
        <w:r>
          <w:rPr>
            <w:rFonts w:ascii="Arial" w:hAnsi="Arial"/>
            <w:w w:val="133"/>
            <w:sz w:val="14"/>
            <w:u w:val="single" w:color="006FC0"/>
          </w:rPr>
          <w:t>t</w:t>
        </w:r>
        <w:r>
          <w:rPr>
            <w:rFonts w:ascii="Arial" w:hAnsi="Arial"/>
            <w:spacing w:val="-1"/>
            <w:w w:val="96"/>
            <w:sz w:val="14"/>
            <w:u w:val="single" w:color="006FC0"/>
          </w:rPr>
          <w:t>e</w:t>
        </w:r>
        <w:r>
          <w:rPr>
            <w:rFonts w:ascii="Arial" w:hAnsi="Arial"/>
            <w:w w:val="116"/>
            <w:sz w:val="14"/>
            <w:u w:val="single" w:color="006FC0"/>
          </w:rPr>
          <w:t>r</w:t>
        </w:r>
        <w:r>
          <w:rPr>
            <w:rFonts w:ascii="Arial" w:hAnsi="Arial"/>
            <w:spacing w:val="-1"/>
            <w:w w:val="96"/>
            <w:sz w:val="14"/>
            <w:u w:val="single" w:color="006FC0"/>
          </w:rPr>
          <w:t>e</w:t>
        </w:r>
        <w:r>
          <w:rPr>
            <w:rFonts w:ascii="Arial" w:hAnsi="Arial"/>
            <w:spacing w:val="2"/>
            <w:sz w:val="14"/>
            <w:u w:val="single" w:color="006FC0"/>
          </w:rPr>
          <w:t>d</w:t>
        </w:r>
        <w:r>
          <w:rPr>
            <w:rFonts w:ascii="Arial" w:hAnsi="Arial"/>
            <w:spacing w:val="-1"/>
            <w:w w:val="119"/>
            <w:sz w:val="14"/>
            <w:u w:val="single" w:color="006FC0"/>
          </w:rPr>
          <w:t>-</w:t>
        </w:r>
        <w:r>
          <w:rPr>
            <w:rFonts w:ascii="Arial" w:hAnsi="Arial"/>
            <w:spacing w:val="2"/>
            <w:w w:val="99"/>
            <w:sz w:val="14"/>
            <w:u w:val="single" w:color="006FC0"/>
          </w:rPr>
          <w:t>c</w:t>
        </w:r>
        <w:r>
          <w:rPr>
            <w:rFonts w:ascii="Arial" w:hAnsi="Arial"/>
            <w:spacing w:val="1"/>
            <w:w w:val="99"/>
            <w:sz w:val="14"/>
            <w:u w:val="single" w:color="006FC0"/>
          </w:rPr>
          <w:t>o</w:t>
        </w:r>
        <w:r>
          <w:rPr>
            <w:rFonts w:ascii="Arial" w:hAnsi="Arial"/>
            <w:sz w:val="14"/>
            <w:u w:val="single" w:color="006FC0"/>
          </w:rPr>
          <w:t>mp</w:t>
        </w:r>
        <w:r>
          <w:rPr>
            <w:rFonts w:ascii="Arial" w:hAnsi="Arial"/>
            <w:spacing w:val="-1"/>
            <w:w w:val="117"/>
            <w:sz w:val="14"/>
            <w:u w:val="single" w:color="006FC0"/>
          </w:rPr>
          <w:t>l</w:t>
        </w:r>
        <w:r>
          <w:rPr>
            <w:rFonts w:ascii="Arial" w:hAnsi="Arial"/>
            <w:spacing w:val="-1"/>
            <w:w w:val="96"/>
            <w:sz w:val="14"/>
            <w:u w:val="single" w:color="006FC0"/>
          </w:rPr>
          <w:t>e</w:t>
        </w:r>
        <w:r>
          <w:rPr>
            <w:rFonts w:ascii="Arial" w:hAnsi="Arial"/>
            <w:spacing w:val="2"/>
            <w:sz w:val="14"/>
            <w:u w:val="single" w:color="006FC0"/>
          </w:rPr>
          <w:t>m</w:t>
        </w:r>
        <w:r>
          <w:rPr>
            <w:rFonts w:ascii="Arial" w:hAnsi="Arial"/>
            <w:spacing w:val="-1"/>
            <w:w w:val="96"/>
            <w:sz w:val="14"/>
            <w:u w:val="single" w:color="006FC0"/>
          </w:rPr>
          <w:t>e</w:t>
        </w:r>
        <w:r>
          <w:rPr>
            <w:rFonts w:ascii="Arial" w:hAnsi="Arial"/>
            <w:sz w:val="14"/>
            <w:u w:val="single" w:color="006FC0"/>
          </w:rPr>
          <w:t>n</w:t>
        </w:r>
        <w:r>
          <w:rPr>
            <w:rFonts w:ascii="Arial" w:hAnsi="Arial"/>
            <w:w w:val="133"/>
            <w:sz w:val="14"/>
            <w:u w:val="single" w:color="006FC0"/>
          </w:rPr>
          <w:t>t</w:t>
        </w:r>
        <w:r>
          <w:rPr>
            <w:rFonts w:ascii="Arial" w:hAnsi="Arial"/>
            <w:w w:val="94"/>
            <w:sz w:val="14"/>
            <w:u w:val="single" w:color="006FC0"/>
          </w:rPr>
          <w:t>a</w:t>
        </w:r>
        <w:r>
          <w:rPr>
            <w:rFonts w:ascii="Arial" w:hAnsi="Arial"/>
            <w:w w:val="116"/>
            <w:sz w:val="14"/>
            <w:u w:val="single" w:color="006FC0"/>
          </w:rPr>
          <w:t>r</w:t>
        </w:r>
        <w:r>
          <w:rPr>
            <w:rFonts w:ascii="Arial" w:hAnsi="Arial"/>
            <w:spacing w:val="1"/>
            <w:w w:val="105"/>
            <w:sz w:val="14"/>
            <w:u w:val="single" w:color="006FC0"/>
          </w:rPr>
          <w:t>y</w:t>
        </w:r>
        <w:r>
          <w:rPr>
            <w:rFonts w:ascii="Arial" w:hAnsi="Arial"/>
            <w:spacing w:val="-1"/>
            <w:w w:val="119"/>
            <w:sz w:val="14"/>
            <w:u w:val="single" w:color="006FC0"/>
          </w:rPr>
          <w:t>-</w:t>
        </w:r>
        <w:r>
          <w:rPr>
            <w:rFonts w:ascii="Arial" w:hAnsi="Arial"/>
            <w:w w:val="99"/>
            <w:sz w:val="14"/>
            <w:u w:val="single" w:color="006FC0"/>
          </w:rPr>
          <w:t>m</w:t>
        </w:r>
        <w:r>
          <w:rPr>
            <w:rFonts w:ascii="Arial" w:hAnsi="Arial"/>
            <w:spacing w:val="-1"/>
            <w:w w:val="99"/>
            <w:sz w:val="14"/>
            <w:u w:val="single" w:color="006FC0"/>
          </w:rPr>
          <w:t>e</w:t>
        </w:r>
        <w:r>
          <w:rPr>
            <w:rFonts w:ascii="Arial" w:hAnsi="Arial"/>
            <w:sz w:val="14"/>
            <w:u w:val="single" w:color="006FC0"/>
          </w:rPr>
          <w:t>d</w:t>
        </w:r>
        <w:r>
          <w:rPr>
            <w:rFonts w:ascii="Arial" w:hAnsi="Arial"/>
            <w:w w:val="113"/>
            <w:sz w:val="14"/>
            <w:u w:val="single" w:color="006FC0"/>
          </w:rPr>
          <w:t>i</w:t>
        </w:r>
        <w:r>
          <w:rPr>
            <w:rFonts w:ascii="Arial" w:hAnsi="Arial"/>
            <w:w w:val="103"/>
            <w:sz w:val="14"/>
            <w:u w:val="single" w:color="006FC0"/>
          </w:rPr>
          <w:t>ci</w:t>
        </w:r>
        <w:r>
          <w:rPr>
            <w:rFonts w:ascii="Arial" w:hAnsi="Arial"/>
            <w:sz w:val="14"/>
            <w:u w:val="single" w:color="006FC0"/>
          </w:rPr>
          <w:t>n</w:t>
        </w:r>
        <w:r>
          <w:rPr>
            <w:rFonts w:ascii="Arial" w:hAnsi="Arial"/>
            <w:spacing w:val="-1"/>
            <w:w w:val="96"/>
            <w:sz w:val="14"/>
            <w:u w:val="single" w:color="006FC0"/>
          </w:rPr>
          <w:t>e</w:t>
        </w:r>
        <w:r>
          <w:rPr>
            <w:rFonts w:ascii="Arial" w:hAnsi="Arial"/>
            <w:w w:val="93"/>
            <w:sz w:val="14"/>
            <w:u w:val="single" w:color="006FC0"/>
          </w:rPr>
          <w:t>s</w:t>
        </w:r>
        <w:r>
          <w:rPr>
            <w:rFonts w:ascii="Arial" w:hAnsi="Arial"/>
            <w:color w:val="5B6761"/>
            <w:w w:val="80"/>
            <w:sz w:val="14"/>
          </w:rPr>
          <w:t>.</w:t>
        </w:r>
      </w:hyperlink>
    </w:p>
    <w:p w:rsidR="007D76BB" w:rsidRDefault="007D76BB">
      <w:pPr>
        <w:spacing w:line="268" w:lineRule="auto"/>
        <w:rPr>
          <w:rFonts w:ascii="Arial" w:hAnsi="Arial"/>
          <w:sz w:val="14"/>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8"/>
        </w:rPr>
      </w:pPr>
    </w:p>
    <w:p w:rsidR="007D76BB" w:rsidRDefault="00D70D28">
      <w:pPr>
        <w:spacing w:before="108" w:line="264" w:lineRule="auto"/>
        <w:ind w:left="482" w:right="688"/>
        <w:rPr>
          <w:rFonts w:ascii="Arial"/>
          <w:sz w:val="19"/>
        </w:rPr>
      </w:pPr>
      <w:proofErr w:type="gramStart"/>
      <w:r>
        <w:rPr>
          <w:rFonts w:ascii="Arial"/>
          <w:w w:val="105"/>
          <w:sz w:val="19"/>
        </w:rPr>
        <w:t>is/are</w:t>
      </w:r>
      <w:proofErr w:type="gramEnd"/>
      <w:r>
        <w:rPr>
          <w:rFonts w:ascii="Arial"/>
          <w:spacing w:val="-24"/>
          <w:w w:val="105"/>
          <w:sz w:val="19"/>
        </w:rPr>
        <w:t xml:space="preserve"> </w:t>
      </w:r>
      <w:r>
        <w:rPr>
          <w:rFonts w:ascii="Arial"/>
          <w:w w:val="105"/>
          <w:sz w:val="19"/>
        </w:rPr>
        <w:t>not</w:t>
      </w:r>
      <w:r>
        <w:rPr>
          <w:rFonts w:ascii="Arial"/>
          <w:spacing w:val="-23"/>
          <w:w w:val="105"/>
          <w:sz w:val="19"/>
        </w:rPr>
        <w:t xml:space="preserve"> </w:t>
      </w:r>
      <w:r>
        <w:rPr>
          <w:rFonts w:ascii="Arial"/>
          <w:w w:val="105"/>
          <w:sz w:val="19"/>
        </w:rPr>
        <w:t>subject</w:t>
      </w:r>
      <w:r>
        <w:rPr>
          <w:rFonts w:ascii="Arial"/>
          <w:spacing w:val="-24"/>
          <w:w w:val="105"/>
          <w:sz w:val="19"/>
        </w:rPr>
        <w:t xml:space="preserve"> </w:t>
      </w:r>
      <w:r>
        <w:rPr>
          <w:rFonts w:ascii="Arial"/>
          <w:w w:val="105"/>
          <w:sz w:val="19"/>
        </w:rPr>
        <w:t>to</w:t>
      </w:r>
      <w:r>
        <w:rPr>
          <w:rFonts w:ascii="Arial"/>
          <w:spacing w:val="-24"/>
          <w:w w:val="105"/>
          <w:sz w:val="19"/>
        </w:rPr>
        <w:t xml:space="preserve"> </w:t>
      </w:r>
      <w:r>
        <w:rPr>
          <w:rFonts w:ascii="Arial"/>
          <w:w w:val="105"/>
          <w:sz w:val="19"/>
        </w:rPr>
        <w:t>the</w:t>
      </w:r>
      <w:r>
        <w:rPr>
          <w:rFonts w:ascii="Arial"/>
          <w:spacing w:val="-24"/>
          <w:w w:val="105"/>
          <w:sz w:val="19"/>
        </w:rPr>
        <w:t xml:space="preserve"> </w:t>
      </w:r>
      <w:r>
        <w:rPr>
          <w:rFonts w:ascii="Arial"/>
          <w:w w:val="105"/>
          <w:sz w:val="19"/>
        </w:rPr>
        <w:t>conditions</w:t>
      </w:r>
      <w:r>
        <w:rPr>
          <w:rFonts w:ascii="Arial"/>
          <w:spacing w:val="-23"/>
          <w:w w:val="105"/>
          <w:sz w:val="19"/>
        </w:rPr>
        <w:t xml:space="preserve"> </w:t>
      </w:r>
      <w:r>
        <w:rPr>
          <w:rFonts w:ascii="Arial"/>
          <w:w w:val="105"/>
          <w:sz w:val="19"/>
        </w:rPr>
        <w:t>of</w:t>
      </w:r>
      <w:r>
        <w:rPr>
          <w:rFonts w:ascii="Arial"/>
          <w:spacing w:val="-24"/>
          <w:w w:val="105"/>
          <w:sz w:val="19"/>
        </w:rPr>
        <w:t xml:space="preserve"> </w:t>
      </w:r>
      <w:r>
        <w:rPr>
          <w:rFonts w:ascii="Arial"/>
          <w:w w:val="105"/>
          <w:sz w:val="19"/>
        </w:rPr>
        <w:t>a</w:t>
      </w:r>
      <w:r>
        <w:rPr>
          <w:rFonts w:ascii="Arial"/>
          <w:spacing w:val="-22"/>
          <w:w w:val="105"/>
          <w:sz w:val="19"/>
        </w:rPr>
        <w:t xml:space="preserve"> </w:t>
      </w:r>
      <w:r>
        <w:rPr>
          <w:rFonts w:ascii="Arial"/>
          <w:w w:val="105"/>
          <w:sz w:val="19"/>
        </w:rPr>
        <w:t>Schedule</w:t>
      </w:r>
      <w:r>
        <w:rPr>
          <w:rFonts w:ascii="Arial"/>
          <w:spacing w:val="-24"/>
          <w:w w:val="105"/>
          <w:sz w:val="19"/>
        </w:rPr>
        <w:t xml:space="preserve"> </w:t>
      </w:r>
      <w:r>
        <w:rPr>
          <w:rFonts w:ascii="Arial"/>
          <w:w w:val="105"/>
          <w:sz w:val="19"/>
        </w:rPr>
        <w:t>(or</w:t>
      </w:r>
      <w:r>
        <w:rPr>
          <w:rFonts w:ascii="Arial"/>
          <w:spacing w:val="-23"/>
          <w:w w:val="105"/>
          <w:sz w:val="19"/>
        </w:rPr>
        <w:t xml:space="preserve"> </w:t>
      </w:r>
      <w:r>
        <w:rPr>
          <w:rFonts w:ascii="Arial"/>
          <w:w w:val="105"/>
          <w:sz w:val="19"/>
        </w:rPr>
        <w:t>applicable</w:t>
      </w:r>
      <w:r>
        <w:rPr>
          <w:rFonts w:ascii="Arial"/>
          <w:spacing w:val="-24"/>
          <w:w w:val="105"/>
          <w:sz w:val="19"/>
        </w:rPr>
        <w:t xml:space="preserve"> </w:t>
      </w:r>
      <w:r>
        <w:rPr>
          <w:rFonts w:ascii="Arial"/>
          <w:w w:val="105"/>
          <w:sz w:val="19"/>
        </w:rPr>
        <w:t>Appendix)</w:t>
      </w:r>
      <w:r>
        <w:rPr>
          <w:rFonts w:ascii="Arial"/>
          <w:spacing w:val="-23"/>
          <w:w w:val="105"/>
          <w:sz w:val="19"/>
        </w:rPr>
        <w:t xml:space="preserve"> </w:t>
      </w:r>
      <w:r>
        <w:rPr>
          <w:rFonts w:ascii="Arial"/>
          <w:w w:val="105"/>
          <w:sz w:val="19"/>
        </w:rPr>
        <w:t>to</w:t>
      </w:r>
      <w:r>
        <w:rPr>
          <w:rFonts w:ascii="Arial"/>
          <w:spacing w:val="-25"/>
          <w:w w:val="105"/>
          <w:sz w:val="19"/>
        </w:rPr>
        <w:t xml:space="preserve"> </w:t>
      </w:r>
      <w:r>
        <w:rPr>
          <w:rFonts w:ascii="Arial"/>
          <w:w w:val="105"/>
          <w:sz w:val="19"/>
        </w:rPr>
        <w:t>the</w:t>
      </w:r>
      <w:r>
        <w:rPr>
          <w:rFonts w:ascii="Arial"/>
          <w:spacing w:val="-22"/>
          <w:w w:val="105"/>
          <w:sz w:val="19"/>
        </w:rPr>
        <w:t xml:space="preserve"> </w:t>
      </w:r>
      <w:r>
        <w:rPr>
          <w:rFonts w:ascii="Arial"/>
          <w:w w:val="105"/>
          <w:sz w:val="19"/>
        </w:rPr>
        <w:t>Poisons</w:t>
      </w:r>
      <w:r>
        <w:rPr>
          <w:rFonts w:ascii="Arial"/>
          <w:spacing w:val="-23"/>
          <w:w w:val="105"/>
          <w:sz w:val="19"/>
        </w:rPr>
        <w:t xml:space="preserve"> </w:t>
      </w:r>
      <w:r>
        <w:rPr>
          <w:rFonts w:ascii="Arial"/>
          <w:w w:val="105"/>
          <w:sz w:val="19"/>
        </w:rPr>
        <w:t>Standard. Once</w:t>
      </w:r>
      <w:r>
        <w:rPr>
          <w:rFonts w:ascii="Arial"/>
          <w:spacing w:val="-27"/>
          <w:w w:val="105"/>
          <w:sz w:val="19"/>
        </w:rPr>
        <w:t xml:space="preserve"> </w:t>
      </w:r>
      <w:r>
        <w:rPr>
          <w:rFonts w:ascii="Arial"/>
          <w:w w:val="105"/>
          <w:sz w:val="19"/>
        </w:rPr>
        <w:t>determined</w:t>
      </w:r>
      <w:r>
        <w:rPr>
          <w:rFonts w:ascii="Arial"/>
          <w:spacing w:val="-26"/>
          <w:w w:val="105"/>
          <w:sz w:val="19"/>
        </w:rPr>
        <w:t xml:space="preserve"> </w:t>
      </w:r>
      <w:r>
        <w:rPr>
          <w:rFonts w:ascii="Arial"/>
          <w:w w:val="105"/>
          <w:sz w:val="19"/>
        </w:rPr>
        <w:t>to</w:t>
      </w:r>
      <w:r>
        <w:rPr>
          <w:rFonts w:ascii="Arial"/>
          <w:spacing w:val="-25"/>
          <w:w w:val="105"/>
          <w:sz w:val="19"/>
        </w:rPr>
        <w:t xml:space="preserve"> </w:t>
      </w:r>
      <w:r>
        <w:rPr>
          <w:rFonts w:ascii="Arial"/>
          <w:w w:val="105"/>
          <w:sz w:val="19"/>
        </w:rPr>
        <w:t>be</w:t>
      </w:r>
      <w:r>
        <w:rPr>
          <w:rFonts w:ascii="Arial"/>
          <w:spacing w:val="-25"/>
          <w:w w:val="105"/>
          <w:sz w:val="19"/>
        </w:rPr>
        <w:t xml:space="preserve"> </w:t>
      </w:r>
      <w:r>
        <w:rPr>
          <w:rFonts w:ascii="Arial"/>
          <w:w w:val="105"/>
          <w:sz w:val="19"/>
        </w:rPr>
        <w:t>safe</w:t>
      </w:r>
      <w:r>
        <w:rPr>
          <w:rFonts w:ascii="Arial"/>
          <w:spacing w:val="-26"/>
          <w:w w:val="105"/>
          <w:sz w:val="19"/>
        </w:rPr>
        <w:t xml:space="preserve"> </w:t>
      </w:r>
      <w:r>
        <w:rPr>
          <w:rFonts w:ascii="Arial"/>
          <w:w w:val="105"/>
          <w:sz w:val="19"/>
        </w:rPr>
        <w:t>and</w:t>
      </w:r>
      <w:r>
        <w:rPr>
          <w:rFonts w:ascii="Arial"/>
          <w:spacing w:val="-26"/>
          <w:w w:val="105"/>
          <w:sz w:val="19"/>
        </w:rPr>
        <w:t xml:space="preserve"> </w:t>
      </w:r>
      <w:r>
        <w:rPr>
          <w:rFonts w:ascii="Arial"/>
          <w:w w:val="105"/>
          <w:sz w:val="19"/>
        </w:rPr>
        <w:t>listed</w:t>
      </w:r>
      <w:r>
        <w:rPr>
          <w:rFonts w:ascii="Arial"/>
          <w:spacing w:val="-26"/>
          <w:w w:val="105"/>
          <w:sz w:val="19"/>
        </w:rPr>
        <w:t xml:space="preserve"> </w:t>
      </w:r>
      <w:r>
        <w:rPr>
          <w:rFonts w:ascii="Arial"/>
          <w:w w:val="105"/>
          <w:sz w:val="19"/>
        </w:rPr>
        <w:t>in</w:t>
      </w:r>
      <w:r>
        <w:rPr>
          <w:rFonts w:ascii="Arial"/>
          <w:spacing w:val="-26"/>
          <w:w w:val="105"/>
          <w:sz w:val="19"/>
        </w:rPr>
        <w:t xml:space="preserve"> </w:t>
      </w:r>
      <w:r>
        <w:rPr>
          <w:rFonts w:ascii="Arial"/>
          <w:w w:val="105"/>
          <w:sz w:val="19"/>
        </w:rPr>
        <w:t>the</w:t>
      </w:r>
      <w:r>
        <w:rPr>
          <w:rFonts w:ascii="Arial"/>
          <w:spacing w:val="-26"/>
          <w:w w:val="105"/>
          <w:sz w:val="19"/>
        </w:rPr>
        <w:t xml:space="preserve"> </w:t>
      </w:r>
      <w:r>
        <w:rPr>
          <w:rFonts w:ascii="Arial"/>
          <w:w w:val="105"/>
          <w:sz w:val="19"/>
        </w:rPr>
        <w:t>Determination,</w:t>
      </w:r>
      <w:r>
        <w:rPr>
          <w:rFonts w:ascii="Arial"/>
          <w:spacing w:val="-25"/>
          <w:w w:val="105"/>
          <w:sz w:val="19"/>
        </w:rPr>
        <w:t xml:space="preserve"> </w:t>
      </w:r>
      <w:r>
        <w:rPr>
          <w:rFonts w:ascii="Arial"/>
          <w:w w:val="105"/>
          <w:sz w:val="19"/>
        </w:rPr>
        <w:t>the</w:t>
      </w:r>
      <w:r>
        <w:rPr>
          <w:rFonts w:ascii="Arial"/>
          <w:spacing w:val="-25"/>
          <w:w w:val="105"/>
          <w:sz w:val="19"/>
        </w:rPr>
        <w:t xml:space="preserve"> </w:t>
      </w:r>
      <w:r>
        <w:rPr>
          <w:rFonts w:ascii="Arial"/>
          <w:w w:val="105"/>
          <w:sz w:val="19"/>
        </w:rPr>
        <w:t>substance</w:t>
      </w:r>
      <w:r>
        <w:rPr>
          <w:rFonts w:ascii="Arial"/>
          <w:spacing w:val="-26"/>
          <w:w w:val="105"/>
          <w:sz w:val="19"/>
        </w:rPr>
        <w:t xml:space="preserve"> </w:t>
      </w:r>
      <w:r>
        <w:rPr>
          <w:rFonts w:ascii="Arial"/>
          <w:w w:val="105"/>
          <w:sz w:val="19"/>
        </w:rPr>
        <w:t>may</w:t>
      </w:r>
      <w:r>
        <w:rPr>
          <w:rFonts w:ascii="Arial"/>
          <w:spacing w:val="-25"/>
          <w:w w:val="105"/>
          <w:sz w:val="19"/>
        </w:rPr>
        <w:t xml:space="preserve"> </w:t>
      </w:r>
      <w:r>
        <w:rPr>
          <w:rFonts w:ascii="Arial"/>
          <w:w w:val="105"/>
          <w:sz w:val="19"/>
        </w:rPr>
        <w:t>be</w:t>
      </w:r>
      <w:r>
        <w:rPr>
          <w:rFonts w:ascii="Arial"/>
          <w:spacing w:val="-27"/>
          <w:w w:val="105"/>
          <w:sz w:val="19"/>
        </w:rPr>
        <w:t xml:space="preserve"> </w:t>
      </w:r>
      <w:r>
        <w:rPr>
          <w:rFonts w:ascii="Arial"/>
          <w:w w:val="105"/>
          <w:sz w:val="19"/>
        </w:rPr>
        <w:t>used</w:t>
      </w:r>
      <w:r>
        <w:rPr>
          <w:rFonts w:ascii="Arial"/>
          <w:spacing w:val="-26"/>
          <w:w w:val="105"/>
          <w:sz w:val="19"/>
        </w:rPr>
        <w:t xml:space="preserve"> </w:t>
      </w:r>
      <w:r>
        <w:rPr>
          <w:rFonts w:ascii="Arial"/>
          <w:w w:val="105"/>
          <w:sz w:val="19"/>
        </w:rPr>
        <w:t>in</w:t>
      </w:r>
      <w:r>
        <w:rPr>
          <w:rFonts w:ascii="Arial"/>
          <w:spacing w:val="-24"/>
          <w:w w:val="105"/>
          <w:sz w:val="19"/>
        </w:rPr>
        <w:t xml:space="preserve"> </w:t>
      </w:r>
      <w:r>
        <w:rPr>
          <w:rFonts w:ascii="Arial"/>
          <w:w w:val="105"/>
          <w:sz w:val="19"/>
        </w:rPr>
        <w:t>any</w:t>
      </w:r>
      <w:r>
        <w:rPr>
          <w:rFonts w:ascii="Arial"/>
          <w:spacing w:val="-26"/>
          <w:w w:val="105"/>
          <w:sz w:val="19"/>
        </w:rPr>
        <w:t xml:space="preserve"> </w:t>
      </w:r>
      <w:r>
        <w:rPr>
          <w:rFonts w:ascii="Arial"/>
          <w:w w:val="105"/>
          <w:sz w:val="19"/>
        </w:rPr>
        <w:t>listed complementary</w:t>
      </w:r>
      <w:r>
        <w:rPr>
          <w:rFonts w:ascii="Arial"/>
          <w:spacing w:val="-17"/>
          <w:w w:val="105"/>
          <w:sz w:val="19"/>
        </w:rPr>
        <w:t xml:space="preserve"> </w:t>
      </w:r>
      <w:r>
        <w:rPr>
          <w:rFonts w:ascii="Arial"/>
          <w:w w:val="105"/>
          <w:sz w:val="19"/>
        </w:rPr>
        <w:t>medicine</w:t>
      </w:r>
      <w:r>
        <w:rPr>
          <w:rFonts w:ascii="Arial"/>
          <w:spacing w:val="-15"/>
          <w:w w:val="105"/>
          <w:sz w:val="19"/>
        </w:rPr>
        <w:t xml:space="preserve"> </w:t>
      </w:r>
      <w:r>
        <w:rPr>
          <w:rFonts w:ascii="Arial"/>
          <w:w w:val="105"/>
          <w:sz w:val="19"/>
        </w:rPr>
        <w:t>provided</w:t>
      </w:r>
      <w:r>
        <w:rPr>
          <w:rFonts w:ascii="Arial"/>
          <w:spacing w:val="-15"/>
          <w:w w:val="105"/>
          <w:sz w:val="19"/>
        </w:rPr>
        <w:t xml:space="preserve"> </w:t>
      </w:r>
      <w:r>
        <w:rPr>
          <w:rFonts w:ascii="Arial"/>
          <w:w w:val="105"/>
          <w:sz w:val="19"/>
        </w:rPr>
        <w:t>any</w:t>
      </w:r>
      <w:r>
        <w:rPr>
          <w:rFonts w:ascii="Arial"/>
          <w:spacing w:val="-15"/>
          <w:w w:val="105"/>
          <w:sz w:val="19"/>
        </w:rPr>
        <w:t xml:space="preserve"> </w:t>
      </w:r>
      <w:r>
        <w:rPr>
          <w:rFonts w:ascii="Arial"/>
          <w:w w:val="105"/>
          <w:sz w:val="19"/>
        </w:rPr>
        <w:t>requirements</w:t>
      </w:r>
      <w:r>
        <w:rPr>
          <w:rFonts w:ascii="Arial"/>
          <w:spacing w:val="-16"/>
          <w:w w:val="105"/>
          <w:sz w:val="19"/>
        </w:rPr>
        <w:t xml:space="preserve"> </w:t>
      </w:r>
      <w:r>
        <w:rPr>
          <w:rFonts w:ascii="Arial"/>
          <w:w w:val="105"/>
          <w:sz w:val="19"/>
        </w:rPr>
        <w:t>for</w:t>
      </w:r>
      <w:r>
        <w:rPr>
          <w:rFonts w:ascii="Arial"/>
          <w:spacing w:val="-16"/>
          <w:w w:val="105"/>
          <w:sz w:val="19"/>
        </w:rPr>
        <w:t xml:space="preserve"> </w:t>
      </w:r>
      <w:r>
        <w:rPr>
          <w:rFonts w:ascii="Arial"/>
          <w:w w:val="105"/>
          <w:sz w:val="19"/>
        </w:rPr>
        <w:t>use</w:t>
      </w:r>
      <w:r>
        <w:rPr>
          <w:rFonts w:ascii="Arial"/>
          <w:spacing w:val="-14"/>
          <w:w w:val="105"/>
          <w:sz w:val="19"/>
        </w:rPr>
        <w:t xml:space="preserve"> </w:t>
      </w:r>
      <w:r>
        <w:rPr>
          <w:rFonts w:ascii="Arial"/>
          <w:w w:val="105"/>
          <w:sz w:val="19"/>
        </w:rPr>
        <w:t>are</w:t>
      </w:r>
      <w:r>
        <w:rPr>
          <w:rFonts w:ascii="Arial"/>
          <w:spacing w:val="-12"/>
          <w:w w:val="105"/>
          <w:sz w:val="19"/>
        </w:rPr>
        <w:t xml:space="preserve"> </w:t>
      </w:r>
      <w:r>
        <w:rPr>
          <w:rFonts w:ascii="Arial"/>
          <w:w w:val="105"/>
          <w:sz w:val="19"/>
        </w:rPr>
        <w:t>complied</w:t>
      </w:r>
      <w:r>
        <w:rPr>
          <w:rFonts w:ascii="Arial"/>
          <w:spacing w:val="-16"/>
          <w:w w:val="105"/>
          <w:sz w:val="19"/>
        </w:rPr>
        <w:t xml:space="preserve"> </w:t>
      </w:r>
      <w:r>
        <w:rPr>
          <w:rFonts w:ascii="Arial"/>
          <w:w w:val="105"/>
          <w:sz w:val="19"/>
        </w:rPr>
        <w:t>with.</w:t>
      </w:r>
    </w:p>
    <w:p w:rsidR="007D76BB" w:rsidRDefault="00D70D28">
      <w:pPr>
        <w:spacing w:before="181" w:line="264" w:lineRule="auto"/>
        <w:ind w:left="482" w:right="688"/>
        <w:rPr>
          <w:rFonts w:ascii="Arial"/>
          <w:sz w:val="19"/>
        </w:rPr>
      </w:pPr>
      <w:r>
        <w:rPr>
          <w:rFonts w:ascii="Arial"/>
          <w:w w:val="105"/>
          <w:sz w:val="19"/>
        </w:rPr>
        <w:t>Industry</w:t>
      </w:r>
      <w:r>
        <w:rPr>
          <w:rFonts w:ascii="Arial"/>
          <w:spacing w:val="-28"/>
          <w:w w:val="105"/>
          <w:sz w:val="19"/>
        </w:rPr>
        <w:t xml:space="preserve"> </w:t>
      </w:r>
      <w:r>
        <w:rPr>
          <w:rFonts w:ascii="Arial"/>
          <w:w w:val="105"/>
          <w:sz w:val="19"/>
        </w:rPr>
        <w:t>stakeholders</w:t>
      </w:r>
      <w:r>
        <w:rPr>
          <w:rFonts w:ascii="Arial"/>
          <w:spacing w:val="-28"/>
          <w:w w:val="105"/>
          <w:sz w:val="19"/>
        </w:rPr>
        <w:t xml:space="preserve"> </w:t>
      </w:r>
      <w:r>
        <w:rPr>
          <w:rFonts w:ascii="Arial"/>
          <w:w w:val="105"/>
          <w:sz w:val="19"/>
        </w:rPr>
        <w:t>have</w:t>
      </w:r>
      <w:r>
        <w:rPr>
          <w:rFonts w:ascii="Arial"/>
          <w:spacing w:val="-27"/>
          <w:w w:val="105"/>
          <w:sz w:val="19"/>
        </w:rPr>
        <w:t xml:space="preserve"> </w:t>
      </w:r>
      <w:r>
        <w:rPr>
          <w:rFonts w:ascii="Arial"/>
          <w:w w:val="105"/>
          <w:sz w:val="19"/>
        </w:rPr>
        <w:t>raised</w:t>
      </w:r>
      <w:r>
        <w:rPr>
          <w:rFonts w:ascii="Arial"/>
          <w:spacing w:val="-28"/>
          <w:w w:val="105"/>
          <w:sz w:val="19"/>
        </w:rPr>
        <w:t xml:space="preserve"> </w:t>
      </w:r>
      <w:r>
        <w:rPr>
          <w:rFonts w:ascii="Arial"/>
          <w:w w:val="105"/>
          <w:sz w:val="19"/>
        </w:rPr>
        <w:t>concerns</w:t>
      </w:r>
      <w:r>
        <w:rPr>
          <w:rFonts w:ascii="Arial"/>
          <w:spacing w:val="-26"/>
          <w:w w:val="105"/>
          <w:sz w:val="19"/>
        </w:rPr>
        <w:t xml:space="preserve"> </w:t>
      </w:r>
      <w:r>
        <w:rPr>
          <w:rFonts w:ascii="Arial"/>
          <w:w w:val="105"/>
          <w:sz w:val="19"/>
        </w:rPr>
        <w:t>with</w:t>
      </w:r>
      <w:r>
        <w:rPr>
          <w:rFonts w:ascii="Arial"/>
          <w:spacing w:val="-26"/>
          <w:w w:val="105"/>
          <w:sz w:val="19"/>
        </w:rPr>
        <w:t xml:space="preserve"> </w:t>
      </w:r>
      <w:r>
        <w:rPr>
          <w:rFonts w:ascii="Arial"/>
          <w:w w:val="105"/>
          <w:sz w:val="19"/>
        </w:rPr>
        <w:t>Noetic</w:t>
      </w:r>
      <w:r>
        <w:rPr>
          <w:rFonts w:ascii="Arial"/>
          <w:spacing w:val="-27"/>
          <w:w w:val="105"/>
          <w:sz w:val="19"/>
        </w:rPr>
        <w:t xml:space="preserve"> </w:t>
      </w:r>
      <w:r>
        <w:rPr>
          <w:rFonts w:ascii="Arial"/>
          <w:w w:val="105"/>
          <w:sz w:val="19"/>
        </w:rPr>
        <w:t>that</w:t>
      </w:r>
      <w:r>
        <w:rPr>
          <w:rFonts w:ascii="Arial"/>
          <w:spacing w:val="-28"/>
          <w:w w:val="105"/>
          <w:sz w:val="19"/>
        </w:rPr>
        <w:t xml:space="preserve"> </w:t>
      </w:r>
      <w:r>
        <w:rPr>
          <w:rFonts w:ascii="Arial"/>
          <w:w w:val="105"/>
          <w:sz w:val="19"/>
        </w:rPr>
        <w:t>many</w:t>
      </w:r>
      <w:r>
        <w:rPr>
          <w:rFonts w:ascii="Arial"/>
          <w:spacing w:val="-27"/>
          <w:w w:val="105"/>
          <w:sz w:val="19"/>
        </w:rPr>
        <w:t xml:space="preserve"> </w:t>
      </w:r>
      <w:r>
        <w:rPr>
          <w:rFonts w:ascii="Arial"/>
          <w:w w:val="105"/>
          <w:sz w:val="19"/>
        </w:rPr>
        <w:t>common</w:t>
      </w:r>
      <w:r>
        <w:rPr>
          <w:rFonts w:ascii="Arial"/>
          <w:spacing w:val="-28"/>
          <w:w w:val="105"/>
          <w:sz w:val="19"/>
        </w:rPr>
        <w:t xml:space="preserve"> </w:t>
      </w:r>
      <w:r>
        <w:rPr>
          <w:rFonts w:ascii="Arial"/>
          <w:w w:val="105"/>
          <w:sz w:val="19"/>
        </w:rPr>
        <w:t>ingredients</w:t>
      </w:r>
      <w:r>
        <w:rPr>
          <w:rFonts w:ascii="Arial"/>
          <w:spacing w:val="-26"/>
          <w:w w:val="105"/>
          <w:sz w:val="19"/>
        </w:rPr>
        <w:t xml:space="preserve"> </w:t>
      </w:r>
      <w:r>
        <w:rPr>
          <w:rFonts w:ascii="Arial"/>
          <w:w w:val="105"/>
          <w:sz w:val="19"/>
        </w:rPr>
        <w:t>in</w:t>
      </w:r>
      <w:r>
        <w:rPr>
          <w:rFonts w:ascii="Arial"/>
          <w:spacing w:val="-26"/>
          <w:w w:val="105"/>
          <w:sz w:val="19"/>
        </w:rPr>
        <w:t xml:space="preserve"> </w:t>
      </w:r>
      <w:r>
        <w:rPr>
          <w:rFonts w:ascii="Arial"/>
          <w:w w:val="105"/>
          <w:sz w:val="19"/>
        </w:rPr>
        <w:t>sports supplements</w:t>
      </w:r>
      <w:r>
        <w:rPr>
          <w:rFonts w:ascii="Arial"/>
          <w:spacing w:val="-24"/>
          <w:w w:val="105"/>
          <w:sz w:val="19"/>
        </w:rPr>
        <w:t xml:space="preserve"> </w:t>
      </w:r>
      <w:r>
        <w:rPr>
          <w:rFonts w:ascii="Arial"/>
          <w:w w:val="105"/>
          <w:sz w:val="19"/>
        </w:rPr>
        <w:t>are</w:t>
      </w:r>
      <w:r>
        <w:rPr>
          <w:rFonts w:ascii="Arial"/>
          <w:spacing w:val="-23"/>
          <w:w w:val="105"/>
          <w:sz w:val="19"/>
        </w:rPr>
        <w:t xml:space="preserve"> </w:t>
      </w:r>
      <w:r>
        <w:rPr>
          <w:rFonts w:ascii="Arial"/>
          <w:w w:val="105"/>
          <w:sz w:val="19"/>
        </w:rPr>
        <w:t>not</w:t>
      </w:r>
      <w:r>
        <w:rPr>
          <w:rFonts w:ascii="Arial"/>
          <w:spacing w:val="-22"/>
          <w:w w:val="105"/>
          <w:sz w:val="19"/>
        </w:rPr>
        <w:t xml:space="preserve"> </w:t>
      </w:r>
      <w:r>
        <w:rPr>
          <w:rFonts w:ascii="Arial"/>
          <w:w w:val="105"/>
          <w:sz w:val="19"/>
        </w:rPr>
        <w:t>listed</w:t>
      </w:r>
      <w:r>
        <w:rPr>
          <w:rFonts w:ascii="Arial"/>
          <w:spacing w:val="-23"/>
          <w:w w:val="105"/>
          <w:sz w:val="19"/>
        </w:rPr>
        <w:t xml:space="preserve"> </w:t>
      </w:r>
      <w:r>
        <w:rPr>
          <w:rFonts w:ascii="Arial"/>
          <w:w w:val="105"/>
          <w:sz w:val="19"/>
        </w:rPr>
        <w:t>on</w:t>
      </w:r>
      <w:r>
        <w:rPr>
          <w:rFonts w:ascii="Arial"/>
          <w:spacing w:val="-22"/>
          <w:w w:val="105"/>
          <w:sz w:val="19"/>
        </w:rPr>
        <w:t xml:space="preserve"> </w:t>
      </w:r>
      <w:r>
        <w:rPr>
          <w:rFonts w:ascii="Arial"/>
          <w:w w:val="105"/>
          <w:sz w:val="19"/>
        </w:rPr>
        <w:t>the</w:t>
      </w:r>
      <w:r>
        <w:rPr>
          <w:rFonts w:ascii="Arial"/>
          <w:spacing w:val="-21"/>
          <w:w w:val="105"/>
          <w:sz w:val="19"/>
        </w:rPr>
        <w:t xml:space="preserve"> </w:t>
      </w:r>
      <w:r>
        <w:rPr>
          <w:rFonts w:ascii="Arial"/>
          <w:w w:val="105"/>
          <w:sz w:val="19"/>
        </w:rPr>
        <w:t>determination.</w:t>
      </w:r>
      <w:r>
        <w:rPr>
          <w:rFonts w:ascii="Arial"/>
          <w:spacing w:val="-22"/>
          <w:w w:val="105"/>
          <w:sz w:val="19"/>
        </w:rPr>
        <w:t xml:space="preserve"> </w:t>
      </w:r>
      <w:r>
        <w:rPr>
          <w:rFonts w:ascii="Arial"/>
          <w:w w:val="105"/>
          <w:sz w:val="19"/>
        </w:rPr>
        <w:t>Noetic</w:t>
      </w:r>
      <w:r>
        <w:rPr>
          <w:rFonts w:ascii="Arial"/>
          <w:spacing w:val="-23"/>
          <w:w w:val="105"/>
          <w:sz w:val="19"/>
        </w:rPr>
        <w:t xml:space="preserve"> </w:t>
      </w:r>
      <w:r>
        <w:rPr>
          <w:rFonts w:ascii="Arial"/>
          <w:w w:val="105"/>
          <w:sz w:val="19"/>
        </w:rPr>
        <w:t>checked</w:t>
      </w:r>
      <w:r>
        <w:rPr>
          <w:rFonts w:ascii="Arial"/>
          <w:spacing w:val="-23"/>
          <w:w w:val="105"/>
          <w:sz w:val="19"/>
        </w:rPr>
        <w:t xml:space="preserve"> </w:t>
      </w:r>
      <w:r>
        <w:rPr>
          <w:rFonts w:ascii="Arial"/>
          <w:w w:val="105"/>
          <w:sz w:val="19"/>
        </w:rPr>
        <w:t>common</w:t>
      </w:r>
      <w:r>
        <w:rPr>
          <w:rFonts w:ascii="Arial"/>
          <w:spacing w:val="-23"/>
          <w:w w:val="105"/>
          <w:sz w:val="19"/>
        </w:rPr>
        <w:t xml:space="preserve"> </w:t>
      </w:r>
      <w:r>
        <w:rPr>
          <w:rFonts w:ascii="Arial"/>
          <w:w w:val="105"/>
          <w:sz w:val="19"/>
        </w:rPr>
        <w:t>ingredients</w:t>
      </w:r>
      <w:r>
        <w:rPr>
          <w:rFonts w:ascii="Arial"/>
          <w:spacing w:val="-22"/>
          <w:w w:val="105"/>
          <w:sz w:val="19"/>
        </w:rPr>
        <w:t xml:space="preserve"> </w:t>
      </w:r>
      <w:r>
        <w:rPr>
          <w:rFonts w:ascii="Arial"/>
          <w:w w:val="105"/>
          <w:sz w:val="19"/>
        </w:rPr>
        <w:t>used</w:t>
      </w:r>
      <w:r>
        <w:rPr>
          <w:rFonts w:ascii="Arial"/>
          <w:spacing w:val="-23"/>
          <w:w w:val="105"/>
          <w:sz w:val="19"/>
        </w:rPr>
        <w:t xml:space="preserve"> </w:t>
      </w:r>
      <w:r>
        <w:rPr>
          <w:rFonts w:ascii="Arial"/>
          <w:w w:val="105"/>
          <w:sz w:val="19"/>
        </w:rPr>
        <w:t>in products in the pre-workout</w:t>
      </w:r>
      <w:r>
        <w:rPr>
          <w:rFonts w:ascii="Arial"/>
          <w:w w:val="105"/>
          <w:position w:val="7"/>
          <w:sz w:val="11"/>
        </w:rPr>
        <w:t xml:space="preserve">70 </w:t>
      </w:r>
      <w:r>
        <w:rPr>
          <w:rFonts w:ascii="Arial"/>
          <w:w w:val="105"/>
          <w:sz w:val="19"/>
        </w:rPr>
        <w:t>and fat burner</w:t>
      </w:r>
      <w:r>
        <w:rPr>
          <w:rFonts w:ascii="Arial"/>
          <w:w w:val="105"/>
          <w:position w:val="7"/>
          <w:sz w:val="11"/>
        </w:rPr>
        <w:t xml:space="preserve">71 </w:t>
      </w:r>
      <w:r>
        <w:rPr>
          <w:rFonts w:ascii="Arial"/>
          <w:w w:val="105"/>
          <w:sz w:val="19"/>
        </w:rPr>
        <w:t>categories against the Permissible Ingredients Determination</w:t>
      </w:r>
      <w:r>
        <w:rPr>
          <w:rFonts w:ascii="Arial"/>
          <w:spacing w:val="-16"/>
          <w:w w:val="105"/>
          <w:sz w:val="19"/>
        </w:rPr>
        <w:t xml:space="preserve"> </w:t>
      </w:r>
      <w:r>
        <w:rPr>
          <w:rFonts w:ascii="Arial"/>
          <w:w w:val="105"/>
          <w:sz w:val="19"/>
        </w:rPr>
        <w:t>and</w:t>
      </w:r>
      <w:r>
        <w:rPr>
          <w:rFonts w:ascii="Arial"/>
          <w:spacing w:val="-17"/>
          <w:w w:val="105"/>
          <w:sz w:val="19"/>
        </w:rPr>
        <w:t xml:space="preserve"> </w:t>
      </w:r>
      <w:r>
        <w:rPr>
          <w:rFonts w:ascii="Arial"/>
          <w:w w:val="105"/>
          <w:sz w:val="19"/>
        </w:rPr>
        <w:t>that</w:t>
      </w:r>
      <w:r>
        <w:rPr>
          <w:rFonts w:ascii="Arial"/>
          <w:spacing w:val="-17"/>
          <w:w w:val="105"/>
          <w:sz w:val="19"/>
        </w:rPr>
        <w:t xml:space="preserve"> </w:t>
      </w:r>
      <w:r>
        <w:rPr>
          <w:rFonts w:ascii="Arial"/>
          <w:w w:val="105"/>
          <w:sz w:val="19"/>
        </w:rPr>
        <w:t>some</w:t>
      </w:r>
      <w:r>
        <w:rPr>
          <w:rFonts w:ascii="Arial"/>
          <w:spacing w:val="-15"/>
          <w:w w:val="105"/>
          <w:sz w:val="19"/>
        </w:rPr>
        <w:t xml:space="preserve"> </w:t>
      </w:r>
      <w:r>
        <w:rPr>
          <w:rFonts w:ascii="Arial"/>
          <w:w w:val="105"/>
          <w:sz w:val="19"/>
        </w:rPr>
        <w:t>ingredients</w:t>
      </w:r>
      <w:r>
        <w:rPr>
          <w:rFonts w:ascii="Arial"/>
          <w:spacing w:val="-16"/>
          <w:w w:val="105"/>
          <w:sz w:val="19"/>
        </w:rPr>
        <w:t xml:space="preserve"> </w:t>
      </w:r>
      <w:r>
        <w:rPr>
          <w:rFonts w:ascii="Arial"/>
          <w:w w:val="105"/>
          <w:sz w:val="19"/>
        </w:rPr>
        <w:t>are</w:t>
      </w:r>
      <w:r>
        <w:rPr>
          <w:rFonts w:ascii="Arial"/>
          <w:spacing w:val="-17"/>
          <w:w w:val="105"/>
          <w:sz w:val="19"/>
        </w:rPr>
        <w:t xml:space="preserve"> </w:t>
      </w:r>
      <w:r>
        <w:rPr>
          <w:rFonts w:ascii="Arial"/>
          <w:w w:val="105"/>
          <w:sz w:val="19"/>
        </w:rPr>
        <w:t>not</w:t>
      </w:r>
      <w:r>
        <w:rPr>
          <w:rFonts w:ascii="Arial"/>
          <w:spacing w:val="-17"/>
          <w:w w:val="105"/>
          <w:sz w:val="19"/>
        </w:rPr>
        <w:t xml:space="preserve"> </w:t>
      </w:r>
      <w:r>
        <w:rPr>
          <w:rFonts w:ascii="Arial"/>
          <w:w w:val="105"/>
          <w:sz w:val="19"/>
        </w:rPr>
        <w:t>currently</w:t>
      </w:r>
      <w:r>
        <w:rPr>
          <w:rFonts w:ascii="Arial"/>
          <w:spacing w:val="-16"/>
          <w:w w:val="105"/>
          <w:sz w:val="19"/>
        </w:rPr>
        <w:t xml:space="preserve"> </w:t>
      </w:r>
      <w:r>
        <w:rPr>
          <w:rFonts w:ascii="Arial"/>
          <w:w w:val="105"/>
          <w:sz w:val="19"/>
        </w:rPr>
        <w:t>included</w:t>
      </w:r>
      <w:r>
        <w:rPr>
          <w:rFonts w:ascii="Arial"/>
          <w:spacing w:val="-17"/>
          <w:w w:val="105"/>
          <w:sz w:val="19"/>
        </w:rPr>
        <w:t xml:space="preserve"> </w:t>
      </w:r>
      <w:r>
        <w:rPr>
          <w:rFonts w:ascii="Arial"/>
          <w:w w:val="105"/>
          <w:sz w:val="19"/>
        </w:rPr>
        <w:t>in</w:t>
      </w:r>
      <w:r>
        <w:rPr>
          <w:rFonts w:ascii="Arial"/>
          <w:spacing w:val="-17"/>
          <w:w w:val="105"/>
          <w:sz w:val="19"/>
        </w:rPr>
        <w:t xml:space="preserve"> </w:t>
      </w:r>
      <w:r>
        <w:rPr>
          <w:rFonts w:ascii="Arial"/>
          <w:w w:val="105"/>
          <w:sz w:val="19"/>
        </w:rPr>
        <w:t>the</w:t>
      </w:r>
      <w:r>
        <w:rPr>
          <w:rFonts w:ascii="Arial"/>
          <w:spacing w:val="-15"/>
          <w:w w:val="105"/>
          <w:sz w:val="19"/>
        </w:rPr>
        <w:t xml:space="preserve"> </w:t>
      </w:r>
      <w:r>
        <w:rPr>
          <w:rFonts w:ascii="Arial"/>
          <w:w w:val="105"/>
          <w:sz w:val="19"/>
        </w:rPr>
        <w:t>Determination.</w:t>
      </w:r>
    </w:p>
    <w:p w:rsidR="007D76BB" w:rsidRDefault="00D70D28">
      <w:pPr>
        <w:spacing w:before="181" w:line="264" w:lineRule="auto"/>
        <w:ind w:left="482" w:right="1079"/>
        <w:rPr>
          <w:rFonts w:ascii="Arial"/>
          <w:sz w:val="19"/>
        </w:rPr>
      </w:pPr>
      <w:r>
        <w:rPr>
          <w:rFonts w:ascii="Arial"/>
          <w:w w:val="105"/>
          <w:sz w:val="19"/>
        </w:rPr>
        <w:t>Following</w:t>
      </w:r>
      <w:r>
        <w:rPr>
          <w:rFonts w:ascii="Arial"/>
          <w:spacing w:val="-23"/>
          <w:w w:val="105"/>
          <w:sz w:val="19"/>
        </w:rPr>
        <w:t xml:space="preserve"> </w:t>
      </w:r>
      <w:r>
        <w:rPr>
          <w:rFonts w:ascii="Arial"/>
          <w:w w:val="105"/>
          <w:sz w:val="19"/>
        </w:rPr>
        <w:t>an</w:t>
      </w:r>
      <w:r>
        <w:rPr>
          <w:rFonts w:ascii="Arial"/>
          <w:spacing w:val="-23"/>
          <w:w w:val="105"/>
          <w:sz w:val="19"/>
        </w:rPr>
        <w:t xml:space="preserve"> </w:t>
      </w:r>
      <w:r>
        <w:rPr>
          <w:rFonts w:ascii="Arial"/>
          <w:w w:val="105"/>
          <w:sz w:val="19"/>
        </w:rPr>
        <w:t>evaluation</w:t>
      </w:r>
      <w:r>
        <w:rPr>
          <w:rFonts w:ascii="Arial"/>
          <w:spacing w:val="-23"/>
          <w:w w:val="105"/>
          <w:sz w:val="19"/>
        </w:rPr>
        <w:t xml:space="preserve"> </w:t>
      </w:r>
      <w:r>
        <w:rPr>
          <w:rFonts w:ascii="Arial"/>
          <w:w w:val="105"/>
          <w:sz w:val="19"/>
        </w:rPr>
        <w:t>of</w:t>
      </w:r>
      <w:r>
        <w:rPr>
          <w:rFonts w:ascii="Arial"/>
          <w:spacing w:val="-22"/>
          <w:w w:val="105"/>
          <w:sz w:val="19"/>
        </w:rPr>
        <w:t xml:space="preserve"> </w:t>
      </w:r>
      <w:r>
        <w:rPr>
          <w:rFonts w:ascii="Arial"/>
          <w:w w:val="105"/>
          <w:sz w:val="19"/>
        </w:rPr>
        <w:t>a</w:t>
      </w:r>
      <w:r>
        <w:rPr>
          <w:rFonts w:ascii="Arial"/>
          <w:spacing w:val="-23"/>
          <w:w w:val="105"/>
          <w:sz w:val="19"/>
        </w:rPr>
        <w:t xml:space="preserve"> </w:t>
      </w:r>
      <w:r>
        <w:rPr>
          <w:rFonts w:ascii="Arial"/>
          <w:w w:val="105"/>
          <w:sz w:val="19"/>
        </w:rPr>
        <w:t>substance,</w:t>
      </w:r>
      <w:r>
        <w:rPr>
          <w:rFonts w:ascii="Arial"/>
          <w:spacing w:val="-21"/>
          <w:w w:val="105"/>
          <w:sz w:val="19"/>
        </w:rPr>
        <w:t xml:space="preserve"> </w:t>
      </w:r>
      <w:r>
        <w:rPr>
          <w:rFonts w:ascii="Arial"/>
          <w:w w:val="105"/>
          <w:sz w:val="19"/>
        </w:rPr>
        <w:t>subsection</w:t>
      </w:r>
      <w:r>
        <w:rPr>
          <w:rFonts w:ascii="Arial"/>
          <w:spacing w:val="-23"/>
          <w:w w:val="105"/>
          <w:sz w:val="19"/>
        </w:rPr>
        <w:t xml:space="preserve"> </w:t>
      </w:r>
      <w:proofErr w:type="gramStart"/>
      <w:r>
        <w:rPr>
          <w:rFonts w:ascii="Arial"/>
          <w:w w:val="105"/>
          <w:sz w:val="19"/>
        </w:rPr>
        <w:t>s.26BB(</w:t>
      </w:r>
      <w:proofErr w:type="gramEnd"/>
      <w:r>
        <w:rPr>
          <w:rFonts w:ascii="Arial"/>
          <w:w w:val="105"/>
          <w:sz w:val="19"/>
        </w:rPr>
        <w:t>2A)</w:t>
      </w:r>
      <w:r>
        <w:rPr>
          <w:rFonts w:ascii="Arial"/>
          <w:spacing w:val="-22"/>
          <w:w w:val="105"/>
          <w:sz w:val="19"/>
        </w:rPr>
        <w:t xml:space="preserve"> </w:t>
      </w:r>
      <w:r>
        <w:rPr>
          <w:rFonts w:ascii="Arial"/>
          <w:w w:val="105"/>
          <w:sz w:val="19"/>
        </w:rPr>
        <w:t>of</w:t>
      </w:r>
      <w:r>
        <w:rPr>
          <w:rFonts w:ascii="Arial"/>
          <w:spacing w:val="-23"/>
          <w:w w:val="105"/>
          <w:sz w:val="19"/>
        </w:rPr>
        <w:t xml:space="preserve"> </w:t>
      </w:r>
      <w:r>
        <w:rPr>
          <w:rFonts w:ascii="Arial"/>
          <w:w w:val="105"/>
          <w:sz w:val="19"/>
        </w:rPr>
        <w:t>the</w:t>
      </w:r>
      <w:r>
        <w:rPr>
          <w:rFonts w:ascii="Arial"/>
          <w:spacing w:val="-23"/>
          <w:w w:val="105"/>
          <w:sz w:val="19"/>
        </w:rPr>
        <w:t xml:space="preserve"> </w:t>
      </w:r>
      <w:r>
        <w:rPr>
          <w:rFonts w:ascii="Arial"/>
          <w:w w:val="105"/>
          <w:sz w:val="19"/>
        </w:rPr>
        <w:t>Act</w:t>
      </w:r>
      <w:r>
        <w:rPr>
          <w:rFonts w:ascii="Arial"/>
          <w:spacing w:val="-22"/>
          <w:w w:val="105"/>
          <w:sz w:val="19"/>
        </w:rPr>
        <w:t xml:space="preserve"> </w:t>
      </w:r>
      <w:r>
        <w:rPr>
          <w:rFonts w:ascii="Arial"/>
          <w:w w:val="105"/>
          <w:sz w:val="19"/>
        </w:rPr>
        <w:t>allows</w:t>
      </w:r>
      <w:r>
        <w:rPr>
          <w:rFonts w:ascii="Arial"/>
          <w:spacing w:val="-24"/>
          <w:w w:val="105"/>
          <w:sz w:val="19"/>
        </w:rPr>
        <w:t xml:space="preserve"> </w:t>
      </w:r>
      <w:r>
        <w:rPr>
          <w:rFonts w:ascii="Arial"/>
          <w:w w:val="105"/>
          <w:sz w:val="19"/>
        </w:rPr>
        <w:t>the</w:t>
      </w:r>
      <w:r>
        <w:rPr>
          <w:rFonts w:ascii="Arial"/>
          <w:spacing w:val="-24"/>
          <w:w w:val="105"/>
          <w:sz w:val="19"/>
        </w:rPr>
        <w:t xml:space="preserve"> </w:t>
      </w:r>
      <w:r>
        <w:rPr>
          <w:rFonts w:ascii="Arial"/>
          <w:w w:val="105"/>
          <w:sz w:val="19"/>
        </w:rPr>
        <w:t>Minister</w:t>
      </w:r>
      <w:r>
        <w:rPr>
          <w:rFonts w:ascii="Arial"/>
          <w:spacing w:val="-21"/>
          <w:w w:val="105"/>
          <w:sz w:val="19"/>
        </w:rPr>
        <w:t xml:space="preserve"> </w:t>
      </w:r>
      <w:r>
        <w:rPr>
          <w:rFonts w:ascii="Arial"/>
          <w:w w:val="105"/>
          <w:sz w:val="19"/>
        </w:rPr>
        <w:t>to permit</w:t>
      </w:r>
      <w:r>
        <w:rPr>
          <w:rFonts w:ascii="Arial"/>
          <w:spacing w:val="-22"/>
          <w:w w:val="105"/>
          <w:sz w:val="19"/>
        </w:rPr>
        <w:t xml:space="preserve"> </w:t>
      </w:r>
      <w:r>
        <w:rPr>
          <w:rFonts w:ascii="Arial"/>
          <w:w w:val="105"/>
          <w:sz w:val="19"/>
        </w:rPr>
        <w:t>the</w:t>
      </w:r>
      <w:r>
        <w:rPr>
          <w:rFonts w:ascii="Arial"/>
          <w:spacing w:val="-20"/>
          <w:w w:val="105"/>
          <w:sz w:val="19"/>
        </w:rPr>
        <w:t xml:space="preserve"> </w:t>
      </w:r>
      <w:r>
        <w:rPr>
          <w:rFonts w:ascii="Arial"/>
          <w:w w:val="105"/>
          <w:sz w:val="19"/>
        </w:rPr>
        <w:t>successful</w:t>
      </w:r>
      <w:r>
        <w:rPr>
          <w:rFonts w:ascii="Arial"/>
          <w:spacing w:val="-22"/>
          <w:w w:val="105"/>
          <w:sz w:val="19"/>
        </w:rPr>
        <w:t xml:space="preserve"> </w:t>
      </w:r>
      <w:r>
        <w:rPr>
          <w:rFonts w:ascii="Arial"/>
          <w:w w:val="105"/>
          <w:sz w:val="19"/>
        </w:rPr>
        <w:t>applicant</w:t>
      </w:r>
      <w:r>
        <w:rPr>
          <w:rFonts w:ascii="Arial"/>
          <w:spacing w:val="-19"/>
          <w:w w:val="105"/>
          <w:sz w:val="19"/>
        </w:rPr>
        <w:t xml:space="preserve"> </w:t>
      </w:r>
      <w:r>
        <w:rPr>
          <w:rFonts w:ascii="Arial"/>
          <w:w w:val="105"/>
          <w:sz w:val="19"/>
        </w:rPr>
        <w:t>to</w:t>
      </w:r>
      <w:r>
        <w:rPr>
          <w:rFonts w:ascii="Arial"/>
          <w:spacing w:val="-22"/>
          <w:w w:val="105"/>
          <w:sz w:val="19"/>
        </w:rPr>
        <w:t xml:space="preserve"> </w:t>
      </w:r>
      <w:r>
        <w:rPr>
          <w:rFonts w:ascii="Arial"/>
          <w:w w:val="105"/>
          <w:sz w:val="19"/>
        </w:rPr>
        <w:t>have</w:t>
      </w:r>
      <w:r>
        <w:rPr>
          <w:rFonts w:ascii="Arial"/>
          <w:spacing w:val="-22"/>
          <w:w w:val="105"/>
          <w:sz w:val="19"/>
        </w:rPr>
        <w:t xml:space="preserve"> </w:t>
      </w:r>
      <w:r>
        <w:rPr>
          <w:rFonts w:ascii="Arial"/>
          <w:w w:val="105"/>
          <w:sz w:val="19"/>
        </w:rPr>
        <w:t>exclusive</w:t>
      </w:r>
      <w:r>
        <w:rPr>
          <w:rFonts w:ascii="Arial"/>
          <w:spacing w:val="-20"/>
          <w:w w:val="105"/>
          <w:sz w:val="19"/>
        </w:rPr>
        <w:t xml:space="preserve"> </w:t>
      </w:r>
      <w:r>
        <w:rPr>
          <w:rFonts w:ascii="Arial"/>
          <w:w w:val="105"/>
          <w:sz w:val="19"/>
        </w:rPr>
        <w:t>use</w:t>
      </w:r>
      <w:r>
        <w:rPr>
          <w:rFonts w:ascii="Arial"/>
          <w:spacing w:val="-20"/>
          <w:w w:val="105"/>
          <w:sz w:val="19"/>
        </w:rPr>
        <w:t xml:space="preserve"> </w:t>
      </w:r>
      <w:r>
        <w:rPr>
          <w:rFonts w:ascii="Arial"/>
          <w:w w:val="105"/>
          <w:sz w:val="19"/>
        </w:rPr>
        <w:t>of</w:t>
      </w:r>
      <w:r>
        <w:rPr>
          <w:rFonts w:ascii="Arial"/>
          <w:spacing w:val="-23"/>
          <w:w w:val="105"/>
          <w:sz w:val="19"/>
        </w:rPr>
        <w:t xml:space="preserve"> </w:t>
      </w:r>
      <w:r>
        <w:rPr>
          <w:rFonts w:ascii="Arial"/>
          <w:w w:val="105"/>
          <w:sz w:val="19"/>
        </w:rPr>
        <w:t>that</w:t>
      </w:r>
      <w:r>
        <w:rPr>
          <w:rFonts w:ascii="Arial"/>
          <w:spacing w:val="-20"/>
          <w:w w:val="105"/>
          <w:sz w:val="19"/>
        </w:rPr>
        <w:t xml:space="preserve"> </w:t>
      </w:r>
      <w:r>
        <w:rPr>
          <w:rFonts w:ascii="Arial"/>
          <w:w w:val="105"/>
          <w:sz w:val="19"/>
        </w:rPr>
        <w:t>ingredient</w:t>
      </w:r>
      <w:r>
        <w:rPr>
          <w:rFonts w:ascii="Arial"/>
          <w:spacing w:val="-20"/>
          <w:w w:val="105"/>
          <w:sz w:val="19"/>
        </w:rPr>
        <w:t xml:space="preserve"> </w:t>
      </w:r>
      <w:r>
        <w:rPr>
          <w:rFonts w:ascii="Arial"/>
          <w:w w:val="105"/>
          <w:sz w:val="19"/>
        </w:rPr>
        <w:t>(the</w:t>
      </w:r>
      <w:r>
        <w:rPr>
          <w:rFonts w:ascii="Arial"/>
          <w:spacing w:val="-21"/>
          <w:w w:val="105"/>
          <w:sz w:val="19"/>
        </w:rPr>
        <w:t xml:space="preserve"> </w:t>
      </w:r>
      <w:r>
        <w:rPr>
          <w:rFonts w:ascii="Arial"/>
          <w:w w:val="105"/>
          <w:sz w:val="19"/>
        </w:rPr>
        <w:t>protected</w:t>
      </w:r>
      <w:r>
        <w:rPr>
          <w:rFonts w:ascii="Arial"/>
          <w:spacing w:val="-22"/>
          <w:w w:val="105"/>
          <w:sz w:val="19"/>
        </w:rPr>
        <w:t xml:space="preserve"> </w:t>
      </w:r>
      <w:r>
        <w:rPr>
          <w:rFonts w:ascii="Arial"/>
          <w:w w:val="105"/>
          <w:sz w:val="19"/>
        </w:rPr>
        <w:t>ingredient) for</w:t>
      </w:r>
      <w:r>
        <w:rPr>
          <w:rFonts w:ascii="Arial"/>
          <w:spacing w:val="-19"/>
          <w:w w:val="105"/>
          <w:sz w:val="19"/>
        </w:rPr>
        <w:t xml:space="preserve"> </w:t>
      </w:r>
      <w:r>
        <w:rPr>
          <w:rFonts w:ascii="Arial"/>
          <w:w w:val="105"/>
          <w:sz w:val="19"/>
        </w:rPr>
        <w:t>a</w:t>
      </w:r>
      <w:r>
        <w:rPr>
          <w:rFonts w:ascii="Arial"/>
          <w:spacing w:val="-18"/>
          <w:w w:val="105"/>
          <w:sz w:val="19"/>
        </w:rPr>
        <w:t xml:space="preserve"> </w:t>
      </w:r>
      <w:r>
        <w:rPr>
          <w:rFonts w:ascii="Arial"/>
          <w:w w:val="105"/>
          <w:sz w:val="19"/>
        </w:rPr>
        <w:t>period</w:t>
      </w:r>
      <w:r>
        <w:rPr>
          <w:rFonts w:ascii="Arial"/>
          <w:spacing w:val="-20"/>
          <w:w w:val="105"/>
          <w:sz w:val="19"/>
        </w:rPr>
        <w:t xml:space="preserve"> </w:t>
      </w:r>
      <w:r>
        <w:rPr>
          <w:rFonts w:ascii="Arial"/>
          <w:w w:val="105"/>
          <w:sz w:val="19"/>
        </w:rPr>
        <w:t>of</w:t>
      </w:r>
      <w:r>
        <w:rPr>
          <w:rFonts w:ascii="Arial"/>
          <w:spacing w:val="-19"/>
          <w:w w:val="105"/>
          <w:sz w:val="19"/>
        </w:rPr>
        <w:t xml:space="preserve"> </w:t>
      </w:r>
      <w:r>
        <w:rPr>
          <w:rFonts w:ascii="Arial"/>
          <w:w w:val="105"/>
          <w:sz w:val="19"/>
        </w:rPr>
        <w:t>two</w:t>
      </w:r>
      <w:r>
        <w:rPr>
          <w:rFonts w:ascii="Arial"/>
          <w:spacing w:val="-19"/>
          <w:w w:val="105"/>
          <w:sz w:val="19"/>
        </w:rPr>
        <w:t xml:space="preserve"> </w:t>
      </w:r>
      <w:r>
        <w:rPr>
          <w:rFonts w:ascii="Arial"/>
          <w:w w:val="105"/>
          <w:sz w:val="19"/>
        </w:rPr>
        <w:t>years.</w:t>
      </w:r>
      <w:r>
        <w:rPr>
          <w:rFonts w:ascii="Arial"/>
          <w:spacing w:val="-21"/>
          <w:w w:val="105"/>
          <w:sz w:val="19"/>
        </w:rPr>
        <w:t xml:space="preserve"> </w:t>
      </w:r>
      <w:r>
        <w:rPr>
          <w:rFonts w:ascii="Arial"/>
          <w:w w:val="105"/>
          <w:sz w:val="19"/>
        </w:rPr>
        <w:t>During</w:t>
      </w:r>
      <w:r>
        <w:rPr>
          <w:rFonts w:ascii="Arial"/>
          <w:spacing w:val="-20"/>
          <w:w w:val="105"/>
          <w:sz w:val="19"/>
        </w:rPr>
        <w:t xml:space="preserve"> </w:t>
      </w:r>
      <w:r>
        <w:rPr>
          <w:rFonts w:ascii="Arial"/>
          <w:w w:val="105"/>
          <w:sz w:val="19"/>
        </w:rPr>
        <w:t>this</w:t>
      </w:r>
      <w:r>
        <w:rPr>
          <w:rFonts w:ascii="Arial"/>
          <w:spacing w:val="-18"/>
          <w:w w:val="105"/>
          <w:sz w:val="19"/>
        </w:rPr>
        <w:t xml:space="preserve"> </w:t>
      </w:r>
      <w:r>
        <w:rPr>
          <w:rFonts w:ascii="Arial"/>
          <w:w w:val="105"/>
          <w:sz w:val="19"/>
        </w:rPr>
        <w:t>period,</w:t>
      </w:r>
      <w:r>
        <w:rPr>
          <w:rFonts w:ascii="Arial"/>
          <w:spacing w:val="-17"/>
          <w:w w:val="105"/>
          <w:sz w:val="19"/>
        </w:rPr>
        <w:t xml:space="preserve"> </w:t>
      </w:r>
      <w:r>
        <w:rPr>
          <w:rFonts w:ascii="Arial"/>
          <w:w w:val="105"/>
          <w:sz w:val="19"/>
        </w:rPr>
        <w:t>the</w:t>
      </w:r>
      <w:r>
        <w:rPr>
          <w:rFonts w:ascii="Arial"/>
          <w:spacing w:val="-20"/>
          <w:w w:val="105"/>
          <w:sz w:val="19"/>
        </w:rPr>
        <w:t xml:space="preserve"> </w:t>
      </w:r>
      <w:r>
        <w:rPr>
          <w:rFonts w:ascii="Arial"/>
          <w:w w:val="105"/>
          <w:sz w:val="19"/>
        </w:rPr>
        <w:t>use</w:t>
      </w:r>
      <w:r>
        <w:rPr>
          <w:rFonts w:ascii="Arial"/>
          <w:spacing w:val="-20"/>
          <w:w w:val="105"/>
          <w:sz w:val="19"/>
        </w:rPr>
        <w:t xml:space="preserve"> </w:t>
      </w:r>
      <w:r>
        <w:rPr>
          <w:rFonts w:ascii="Arial"/>
          <w:w w:val="105"/>
          <w:sz w:val="19"/>
        </w:rPr>
        <w:t>of</w:t>
      </w:r>
      <w:r>
        <w:rPr>
          <w:rFonts w:ascii="Arial"/>
          <w:spacing w:val="-19"/>
          <w:w w:val="105"/>
          <w:sz w:val="19"/>
        </w:rPr>
        <w:t xml:space="preserve"> </w:t>
      </w:r>
      <w:r>
        <w:rPr>
          <w:rFonts w:ascii="Arial"/>
          <w:w w:val="105"/>
          <w:sz w:val="19"/>
        </w:rPr>
        <w:t>a</w:t>
      </w:r>
      <w:r>
        <w:rPr>
          <w:rFonts w:ascii="Arial"/>
          <w:spacing w:val="-20"/>
          <w:w w:val="105"/>
          <w:sz w:val="19"/>
        </w:rPr>
        <w:t xml:space="preserve"> </w:t>
      </w:r>
      <w:r>
        <w:rPr>
          <w:rFonts w:ascii="Arial"/>
          <w:w w:val="105"/>
          <w:sz w:val="19"/>
        </w:rPr>
        <w:t>protected</w:t>
      </w:r>
      <w:r>
        <w:rPr>
          <w:rFonts w:ascii="Arial"/>
          <w:spacing w:val="-20"/>
          <w:w w:val="105"/>
          <w:sz w:val="19"/>
        </w:rPr>
        <w:t xml:space="preserve"> </w:t>
      </w:r>
      <w:r>
        <w:rPr>
          <w:rFonts w:ascii="Arial"/>
          <w:w w:val="105"/>
          <w:sz w:val="19"/>
        </w:rPr>
        <w:t>ingredient</w:t>
      </w:r>
      <w:r>
        <w:rPr>
          <w:rFonts w:ascii="Arial"/>
          <w:spacing w:val="-20"/>
          <w:w w:val="105"/>
          <w:sz w:val="19"/>
        </w:rPr>
        <w:t xml:space="preserve"> </w:t>
      </w:r>
      <w:r>
        <w:rPr>
          <w:rFonts w:ascii="Arial"/>
          <w:w w:val="105"/>
          <w:sz w:val="19"/>
        </w:rPr>
        <w:t>in</w:t>
      </w:r>
      <w:r>
        <w:rPr>
          <w:rFonts w:ascii="Arial"/>
          <w:spacing w:val="-19"/>
          <w:w w:val="105"/>
          <w:sz w:val="19"/>
        </w:rPr>
        <w:t xml:space="preserve"> </w:t>
      </w:r>
      <w:r>
        <w:rPr>
          <w:rFonts w:ascii="Arial"/>
          <w:w w:val="105"/>
          <w:sz w:val="19"/>
        </w:rPr>
        <w:t>a</w:t>
      </w:r>
      <w:r>
        <w:rPr>
          <w:rFonts w:ascii="Arial"/>
          <w:spacing w:val="-19"/>
          <w:w w:val="105"/>
          <w:sz w:val="19"/>
        </w:rPr>
        <w:t xml:space="preserve"> </w:t>
      </w:r>
      <w:r>
        <w:rPr>
          <w:rFonts w:ascii="Arial"/>
          <w:w w:val="105"/>
          <w:sz w:val="19"/>
        </w:rPr>
        <w:t>listed</w:t>
      </w:r>
      <w:r>
        <w:rPr>
          <w:rFonts w:ascii="Arial"/>
          <w:spacing w:val="-19"/>
          <w:w w:val="105"/>
          <w:sz w:val="19"/>
        </w:rPr>
        <w:t xml:space="preserve"> </w:t>
      </w:r>
      <w:r>
        <w:rPr>
          <w:rFonts w:ascii="Arial"/>
          <w:w w:val="105"/>
          <w:sz w:val="19"/>
        </w:rPr>
        <w:t>medicine will be restricted</w:t>
      </w:r>
      <w:r>
        <w:rPr>
          <w:rFonts w:ascii="Arial"/>
          <w:spacing w:val="-33"/>
          <w:w w:val="105"/>
          <w:sz w:val="19"/>
        </w:rPr>
        <w:t xml:space="preserve"> </w:t>
      </w:r>
      <w:r>
        <w:rPr>
          <w:rFonts w:ascii="Arial"/>
          <w:w w:val="105"/>
          <w:sz w:val="19"/>
        </w:rPr>
        <w:t>to:</w:t>
      </w:r>
    </w:p>
    <w:p w:rsidR="007D76BB" w:rsidRDefault="00D70D28">
      <w:pPr>
        <w:pStyle w:val="ListParagraph"/>
        <w:numPr>
          <w:ilvl w:val="1"/>
          <w:numId w:val="5"/>
        </w:numPr>
        <w:tabs>
          <w:tab w:val="left" w:pos="766"/>
        </w:tabs>
        <w:spacing w:before="81" w:line="266" w:lineRule="auto"/>
        <w:ind w:right="1270"/>
        <w:rPr>
          <w:rFonts w:ascii="Arial" w:hAnsi="Arial"/>
          <w:sz w:val="19"/>
        </w:rPr>
      </w:pPr>
      <w:r>
        <w:rPr>
          <w:rFonts w:ascii="Arial" w:hAnsi="Arial"/>
          <w:w w:val="105"/>
          <w:sz w:val="19"/>
        </w:rPr>
        <w:t>the</w:t>
      </w:r>
      <w:r>
        <w:rPr>
          <w:rFonts w:ascii="Arial" w:hAnsi="Arial"/>
          <w:spacing w:val="-27"/>
          <w:w w:val="105"/>
          <w:sz w:val="19"/>
        </w:rPr>
        <w:t xml:space="preserve"> </w:t>
      </w:r>
      <w:r>
        <w:rPr>
          <w:rFonts w:ascii="Arial" w:hAnsi="Arial"/>
          <w:w w:val="105"/>
          <w:sz w:val="19"/>
        </w:rPr>
        <w:t>applicant</w:t>
      </w:r>
      <w:r>
        <w:rPr>
          <w:rFonts w:ascii="Arial" w:hAnsi="Arial"/>
          <w:spacing w:val="-26"/>
          <w:w w:val="105"/>
          <w:sz w:val="19"/>
        </w:rPr>
        <w:t xml:space="preserve"> </w:t>
      </w:r>
      <w:r>
        <w:rPr>
          <w:rFonts w:ascii="Arial" w:hAnsi="Arial"/>
          <w:w w:val="105"/>
          <w:sz w:val="19"/>
        </w:rPr>
        <w:t>who</w:t>
      </w:r>
      <w:r>
        <w:rPr>
          <w:rFonts w:ascii="Arial" w:hAnsi="Arial"/>
          <w:spacing w:val="-25"/>
          <w:w w:val="105"/>
          <w:sz w:val="19"/>
        </w:rPr>
        <w:t xml:space="preserve"> </w:t>
      </w:r>
      <w:r>
        <w:rPr>
          <w:rFonts w:ascii="Arial" w:hAnsi="Arial"/>
          <w:w w:val="105"/>
          <w:sz w:val="19"/>
        </w:rPr>
        <w:t>requested</w:t>
      </w:r>
      <w:r>
        <w:rPr>
          <w:rFonts w:ascii="Arial" w:hAnsi="Arial"/>
          <w:spacing w:val="-28"/>
          <w:w w:val="105"/>
          <w:sz w:val="19"/>
        </w:rPr>
        <w:t xml:space="preserve"> </w:t>
      </w:r>
      <w:r>
        <w:rPr>
          <w:rFonts w:ascii="Arial" w:hAnsi="Arial"/>
          <w:w w:val="105"/>
          <w:sz w:val="19"/>
        </w:rPr>
        <w:t>evaluation</w:t>
      </w:r>
      <w:r>
        <w:rPr>
          <w:rFonts w:ascii="Arial" w:hAnsi="Arial"/>
          <w:spacing w:val="-25"/>
          <w:w w:val="105"/>
          <w:sz w:val="19"/>
        </w:rPr>
        <w:t xml:space="preserve"> </w:t>
      </w:r>
      <w:r>
        <w:rPr>
          <w:rFonts w:ascii="Arial" w:hAnsi="Arial"/>
          <w:w w:val="105"/>
          <w:sz w:val="19"/>
        </w:rPr>
        <w:t>of</w:t>
      </w:r>
      <w:r>
        <w:rPr>
          <w:rFonts w:ascii="Arial" w:hAnsi="Arial"/>
          <w:spacing w:val="-26"/>
          <w:w w:val="105"/>
          <w:sz w:val="19"/>
        </w:rPr>
        <w:t xml:space="preserve"> </w:t>
      </w:r>
      <w:r>
        <w:rPr>
          <w:rFonts w:ascii="Arial" w:hAnsi="Arial"/>
          <w:w w:val="105"/>
          <w:sz w:val="19"/>
        </w:rPr>
        <w:t>the</w:t>
      </w:r>
      <w:r>
        <w:rPr>
          <w:rFonts w:ascii="Arial" w:hAnsi="Arial"/>
          <w:spacing w:val="-26"/>
          <w:w w:val="105"/>
          <w:sz w:val="19"/>
        </w:rPr>
        <w:t xml:space="preserve"> </w:t>
      </w:r>
      <w:r>
        <w:rPr>
          <w:rFonts w:ascii="Arial" w:hAnsi="Arial"/>
          <w:w w:val="105"/>
          <w:sz w:val="19"/>
        </w:rPr>
        <w:t>substance</w:t>
      </w:r>
      <w:r>
        <w:rPr>
          <w:rFonts w:ascii="Arial" w:hAnsi="Arial"/>
          <w:spacing w:val="-27"/>
          <w:w w:val="105"/>
          <w:sz w:val="19"/>
        </w:rPr>
        <w:t xml:space="preserve"> </w:t>
      </w:r>
      <w:r>
        <w:rPr>
          <w:rFonts w:ascii="Arial" w:hAnsi="Arial"/>
          <w:w w:val="105"/>
          <w:sz w:val="19"/>
        </w:rPr>
        <w:t>(who</w:t>
      </w:r>
      <w:r>
        <w:rPr>
          <w:rFonts w:ascii="Arial" w:hAnsi="Arial"/>
          <w:spacing w:val="-25"/>
          <w:w w:val="105"/>
          <w:sz w:val="19"/>
        </w:rPr>
        <w:t xml:space="preserve"> </w:t>
      </w:r>
      <w:r>
        <w:rPr>
          <w:rFonts w:ascii="Arial" w:hAnsi="Arial"/>
          <w:w w:val="105"/>
          <w:sz w:val="19"/>
        </w:rPr>
        <w:t>may</w:t>
      </w:r>
      <w:r>
        <w:rPr>
          <w:rFonts w:ascii="Arial" w:hAnsi="Arial"/>
          <w:spacing w:val="-27"/>
          <w:w w:val="105"/>
          <w:sz w:val="19"/>
        </w:rPr>
        <w:t xml:space="preserve"> </w:t>
      </w:r>
      <w:r>
        <w:rPr>
          <w:rFonts w:ascii="Arial" w:hAnsi="Arial"/>
          <w:w w:val="105"/>
          <w:sz w:val="19"/>
        </w:rPr>
        <w:t>or</w:t>
      </w:r>
      <w:r>
        <w:rPr>
          <w:rFonts w:ascii="Arial" w:hAnsi="Arial"/>
          <w:spacing w:val="-25"/>
          <w:w w:val="105"/>
          <w:sz w:val="19"/>
        </w:rPr>
        <w:t xml:space="preserve"> </w:t>
      </w:r>
      <w:r>
        <w:rPr>
          <w:rFonts w:ascii="Arial" w:hAnsi="Arial"/>
          <w:w w:val="105"/>
          <w:sz w:val="19"/>
        </w:rPr>
        <w:t>may</w:t>
      </w:r>
      <w:r>
        <w:rPr>
          <w:rFonts w:ascii="Arial" w:hAnsi="Arial"/>
          <w:spacing w:val="-27"/>
          <w:w w:val="105"/>
          <w:sz w:val="19"/>
        </w:rPr>
        <w:t xml:space="preserve"> </w:t>
      </w:r>
      <w:r>
        <w:rPr>
          <w:rFonts w:ascii="Arial" w:hAnsi="Arial"/>
          <w:w w:val="105"/>
          <w:sz w:val="19"/>
        </w:rPr>
        <w:t>not</w:t>
      </w:r>
      <w:r>
        <w:rPr>
          <w:rFonts w:ascii="Arial" w:hAnsi="Arial"/>
          <w:spacing w:val="-25"/>
          <w:w w:val="105"/>
          <w:sz w:val="19"/>
        </w:rPr>
        <w:t xml:space="preserve"> </w:t>
      </w:r>
      <w:r>
        <w:rPr>
          <w:rFonts w:ascii="Arial" w:hAnsi="Arial"/>
          <w:w w:val="105"/>
          <w:sz w:val="19"/>
        </w:rPr>
        <w:t>be</w:t>
      </w:r>
      <w:r>
        <w:rPr>
          <w:rFonts w:ascii="Arial" w:hAnsi="Arial"/>
          <w:spacing w:val="-26"/>
          <w:w w:val="105"/>
          <w:sz w:val="19"/>
        </w:rPr>
        <w:t xml:space="preserve"> </w:t>
      </w:r>
      <w:r>
        <w:rPr>
          <w:rFonts w:ascii="Arial" w:hAnsi="Arial"/>
          <w:w w:val="105"/>
          <w:sz w:val="19"/>
        </w:rPr>
        <w:t>a</w:t>
      </w:r>
      <w:r>
        <w:rPr>
          <w:rFonts w:ascii="Arial" w:hAnsi="Arial"/>
          <w:spacing w:val="-25"/>
          <w:w w:val="105"/>
          <w:sz w:val="19"/>
        </w:rPr>
        <w:t xml:space="preserve"> </w:t>
      </w:r>
      <w:r>
        <w:rPr>
          <w:rFonts w:ascii="Arial" w:hAnsi="Arial"/>
          <w:w w:val="105"/>
          <w:sz w:val="19"/>
        </w:rPr>
        <w:t>medicine sponsor)</w:t>
      </w:r>
    </w:p>
    <w:p w:rsidR="007D76BB" w:rsidRDefault="00D70D28">
      <w:pPr>
        <w:pStyle w:val="ListParagraph"/>
        <w:numPr>
          <w:ilvl w:val="1"/>
          <w:numId w:val="5"/>
        </w:numPr>
        <w:tabs>
          <w:tab w:val="left" w:pos="766"/>
        </w:tabs>
        <w:spacing w:before="77"/>
        <w:rPr>
          <w:rFonts w:ascii="Arial" w:hAnsi="Arial"/>
          <w:sz w:val="11"/>
        </w:rPr>
      </w:pPr>
      <w:r>
        <w:rPr>
          <w:rFonts w:ascii="Arial" w:hAnsi="Arial"/>
          <w:w w:val="105"/>
          <w:sz w:val="19"/>
        </w:rPr>
        <w:t>other</w:t>
      </w:r>
      <w:r>
        <w:rPr>
          <w:rFonts w:ascii="Arial" w:hAnsi="Arial"/>
          <w:spacing w:val="-13"/>
          <w:w w:val="105"/>
          <w:sz w:val="19"/>
        </w:rPr>
        <w:t xml:space="preserve"> </w:t>
      </w:r>
      <w:r>
        <w:rPr>
          <w:rFonts w:ascii="Arial" w:hAnsi="Arial"/>
          <w:w w:val="105"/>
          <w:sz w:val="19"/>
        </w:rPr>
        <w:t>persons</w:t>
      </w:r>
      <w:r>
        <w:rPr>
          <w:rFonts w:ascii="Arial" w:hAnsi="Arial"/>
          <w:spacing w:val="-11"/>
          <w:w w:val="105"/>
          <w:sz w:val="19"/>
        </w:rPr>
        <w:t xml:space="preserve"> </w:t>
      </w:r>
      <w:r>
        <w:rPr>
          <w:rFonts w:ascii="Arial" w:hAnsi="Arial"/>
          <w:w w:val="105"/>
          <w:sz w:val="19"/>
        </w:rPr>
        <w:t>nominated</w:t>
      </w:r>
      <w:r>
        <w:rPr>
          <w:rFonts w:ascii="Arial" w:hAnsi="Arial"/>
          <w:spacing w:val="-13"/>
          <w:w w:val="105"/>
          <w:sz w:val="19"/>
        </w:rPr>
        <w:t xml:space="preserve"> </w:t>
      </w:r>
      <w:r>
        <w:rPr>
          <w:rFonts w:ascii="Arial" w:hAnsi="Arial"/>
          <w:w w:val="105"/>
          <w:sz w:val="19"/>
        </w:rPr>
        <w:t>by</w:t>
      </w:r>
      <w:r>
        <w:rPr>
          <w:rFonts w:ascii="Arial" w:hAnsi="Arial"/>
          <w:spacing w:val="-13"/>
          <w:w w:val="105"/>
          <w:sz w:val="19"/>
        </w:rPr>
        <w:t xml:space="preserve"> </w:t>
      </w:r>
      <w:r>
        <w:rPr>
          <w:rFonts w:ascii="Arial" w:hAnsi="Arial"/>
          <w:w w:val="105"/>
          <w:sz w:val="19"/>
        </w:rPr>
        <w:t>the</w:t>
      </w:r>
      <w:r>
        <w:rPr>
          <w:rFonts w:ascii="Arial" w:hAnsi="Arial"/>
          <w:spacing w:val="-13"/>
          <w:w w:val="105"/>
          <w:sz w:val="19"/>
        </w:rPr>
        <w:t xml:space="preserve"> </w:t>
      </w:r>
      <w:r>
        <w:rPr>
          <w:rFonts w:ascii="Arial" w:hAnsi="Arial"/>
          <w:w w:val="105"/>
          <w:sz w:val="19"/>
        </w:rPr>
        <w:t>applicant.</w:t>
      </w:r>
      <w:r>
        <w:rPr>
          <w:rFonts w:ascii="Arial" w:hAnsi="Arial"/>
          <w:w w:val="105"/>
          <w:position w:val="7"/>
          <w:sz w:val="11"/>
        </w:rPr>
        <w:t>72</w:t>
      </w:r>
    </w:p>
    <w:p w:rsidR="007D76BB" w:rsidRDefault="00D70D28">
      <w:pPr>
        <w:spacing w:before="201" w:line="264" w:lineRule="auto"/>
        <w:ind w:left="482" w:right="928"/>
        <w:rPr>
          <w:rFonts w:ascii="Arial"/>
          <w:sz w:val="19"/>
        </w:rPr>
      </w:pPr>
      <w:r>
        <w:rPr>
          <w:rFonts w:ascii="Arial"/>
          <w:w w:val="105"/>
          <w:sz w:val="19"/>
        </w:rPr>
        <w:t>At</w:t>
      </w:r>
      <w:r>
        <w:rPr>
          <w:rFonts w:ascii="Arial"/>
          <w:spacing w:val="-18"/>
          <w:w w:val="105"/>
          <w:sz w:val="19"/>
        </w:rPr>
        <w:t xml:space="preserve"> </w:t>
      </w:r>
      <w:r>
        <w:rPr>
          <w:rFonts w:ascii="Arial"/>
          <w:w w:val="105"/>
          <w:sz w:val="19"/>
        </w:rPr>
        <w:t>the</w:t>
      </w:r>
      <w:r>
        <w:rPr>
          <w:rFonts w:ascii="Arial"/>
          <w:spacing w:val="-20"/>
          <w:w w:val="105"/>
          <w:sz w:val="19"/>
        </w:rPr>
        <w:t xml:space="preserve"> </w:t>
      </w:r>
      <w:r>
        <w:rPr>
          <w:rFonts w:ascii="Arial"/>
          <w:w w:val="105"/>
          <w:sz w:val="19"/>
        </w:rPr>
        <w:t>end</w:t>
      </w:r>
      <w:r>
        <w:rPr>
          <w:rFonts w:ascii="Arial"/>
          <w:spacing w:val="-20"/>
          <w:w w:val="105"/>
          <w:sz w:val="19"/>
        </w:rPr>
        <w:t xml:space="preserve"> </w:t>
      </w:r>
      <w:r>
        <w:rPr>
          <w:rFonts w:ascii="Arial"/>
          <w:w w:val="105"/>
          <w:sz w:val="19"/>
        </w:rPr>
        <w:t>of</w:t>
      </w:r>
      <w:r>
        <w:rPr>
          <w:rFonts w:ascii="Arial"/>
          <w:spacing w:val="-21"/>
          <w:w w:val="105"/>
          <w:sz w:val="19"/>
        </w:rPr>
        <w:t xml:space="preserve"> </w:t>
      </w:r>
      <w:r>
        <w:rPr>
          <w:rFonts w:ascii="Arial"/>
          <w:w w:val="105"/>
          <w:sz w:val="19"/>
        </w:rPr>
        <w:t>the</w:t>
      </w:r>
      <w:r>
        <w:rPr>
          <w:rFonts w:ascii="Arial"/>
          <w:spacing w:val="-19"/>
          <w:w w:val="105"/>
          <w:sz w:val="19"/>
        </w:rPr>
        <w:t xml:space="preserve"> </w:t>
      </w:r>
      <w:r>
        <w:rPr>
          <w:rFonts w:ascii="Arial"/>
          <w:w w:val="105"/>
          <w:sz w:val="19"/>
        </w:rPr>
        <w:t>exclusivity</w:t>
      </w:r>
      <w:r>
        <w:rPr>
          <w:rFonts w:ascii="Arial"/>
          <w:spacing w:val="-19"/>
          <w:w w:val="105"/>
          <w:sz w:val="19"/>
        </w:rPr>
        <w:t xml:space="preserve"> </w:t>
      </w:r>
      <w:r>
        <w:rPr>
          <w:rFonts w:ascii="Arial"/>
          <w:w w:val="105"/>
          <w:sz w:val="19"/>
        </w:rPr>
        <w:t>period,</w:t>
      </w:r>
      <w:r>
        <w:rPr>
          <w:rFonts w:ascii="Arial"/>
          <w:spacing w:val="-18"/>
          <w:w w:val="105"/>
          <w:sz w:val="19"/>
        </w:rPr>
        <w:t xml:space="preserve"> </w:t>
      </w:r>
      <w:r>
        <w:rPr>
          <w:rFonts w:ascii="Arial"/>
          <w:w w:val="105"/>
          <w:sz w:val="19"/>
        </w:rPr>
        <w:t>any</w:t>
      </w:r>
      <w:r>
        <w:rPr>
          <w:rFonts w:ascii="Arial"/>
          <w:spacing w:val="-19"/>
          <w:w w:val="105"/>
          <w:sz w:val="19"/>
        </w:rPr>
        <w:t xml:space="preserve"> </w:t>
      </w:r>
      <w:r>
        <w:rPr>
          <w:rFonts w:ascii="Arial"/>
          <w:w w:val="105"/>
          <w:sz w:val="19"/>
        </w:rPr>
        <w:t>sponsor</w:t>
      </w:r>
      <w:r>
        <w:rPr>
          <w:rFonts w:ascii="Arial"/>
          <w:spacing w:val="-16"/>
          <w:w w:val="105"/>
          <w:sz w:val="19"/>
        </w:rPr>
        <w:t xml:space="preserve"> </w:t>
      </w:r>
      <w:r>
        <w:rPr>
          <w:rFonts w:ascii="Arial"/>
          <w:w w:val="105"/>
          <w:sz w:val="19"/>
        </w:rPr>
        <w:t>can</w:t>
      </w:r>
      <w:r>
        <w:rPr>
          <w:rFonts w:ascii="Arial"/>
          <w:spacing w:val="-18"/>
          <w:w w:val="105"/>
          <w:sz w:val="19"/>
        </w:rPr>
        <w:t xml:space="preserve"> </w:t>
      </w:r>
      <w:r>
        <w:rPr>
          <w:rFonts w:ascii="Arial"/>
          <w:w w:val="105"/>
          <w:sz w:val="19"/>
        </w:rPr>
        <w:t>include</w:t>
      </w:r>
      <w:r>
        <w:rPr>
          <w:rFonts w:ascii="Arial"/>
          <w:spacing w:val="-18"/>
          <w:w w:val="105"/>
          <w:sz w:val="19"/>
        </w:rPr>
        <w:t xml:space="preserve"> </w:t>
      </w:r>
      <w:r>
        <w:rPr>
          <w:rFonts w:ascii="Arial"/>
          <w:w w:val="105"/>
          <w:sz w:val="19"/>
        </w:rPr>
        <w:t>the</w:t>
      </w:r>
      <w:r>
        <w:rPr>
          <w:rFonts w:ascii="Arial"/>
          <w:spacing w:val="-18"/>
          <w:w w:val="105"/>
          <w:sz w:val="19"/>
        </w:rPr>
        <w:t xml:space="preserve"> </w:t>
      </w:r>
      <w:r>
        <w:rPr>
          <w:rFonts w:ascii="Arial"/>
          <w:w w:val="105"/>
          <w:sz w:val="19"/>
        </w:rPr>
        <w:t>ingredient</w:t>
      </w:r>
      <w:r>
        <w:rPr>
          <w:rFonts w:ascii="Arial"/>
          <w:spacing w:val="-20"/>
          <w:w w:val="105"/>
          <w:sz w:val="19"/>
        </w:rPr>
        <w:t xml:space="preserve"> </w:t>
      </w:r>
      <w:r>
        <w:rPr>
          <w:rFonts w:ascii="Arial"/>
          <w:w w:val="105"/>
          <w:sz w:val="19"/>
        </w:rPr>
        <w:t>in</w:t>
      </w:r>
      <w:r>
        <w:rPr>
          <w:rFonts w:ascii="Arial"/>
          <w:spacing w:val="-19"/>
          <w:w w:val="105"/>
          <w:sz w:val="19"/>
        </w:rPr>
        <w:t xml:space="preserve"> </w:t>
      </w:r>
      <w:r>
        <w:rPr>
          <w:rFonts w:ascii="Arial"/>
          <w:w w:val="105"/>
          <w:sz w:val="19"/>
        </w:rPr>
        <w:t>a</w:t>
      </w:r>
      <w:r>
        <w:rPr>
          <w:rFonts w:ascii="Arial"/>
          <w:spacing w:val="-18"/>
          <w:w w:val="105"/>
          <w:sz w:val="19"/>
        </w:rPr>
        <w:t xml:space="preserve"> </w:t>
      </w:r>
      <w:r>
        <w:rPr>
          <w:rFonts w:ascii="Arial"/>
          <w:w w:val="105"/>
          <w:sz w:val="19"/>
        </w:rPr>
        <w:t>medicine</w:t>
      </w:r>
      <w:r>
        <w:rPr>
          <w:rFonts w:ascii="Arial"/>
          <w:spacing w:val="-20"/>
          <w:w w:val="105"/>
          <w:sz w:val="19"/>
        </w:rPr>
        <w:t xml:space="preserve"> </w:t>
      </w:r>
      <w:r>
        <w:rPr>
          <w:rFonts w:ascii="Arial"/>
          <w:w w:val="105"/>
          <w:sz w:val="19"/>
        </w:rPr>
        <w:t>and</w:t>
      </w:r>
      <w:r>
        <w:rPr>
          <w:rFonts w:ascii="Arial"/>
          <w:spacing w:val="-19"/>
          <w:w w:val="105"/>
          <w:sz w:val="19"/>
        </w:rPr>
        <w:t xml:space="preserve"> </w:t>
      </w:r>
      <w:r>
        <w:rPr>
          <w:rFonts w:ascii="Arial"/>
          <w:w w:val="105"/>
          <w:sz w:val="19"/>
        </w:rPr>
        <w:t>list that</w:t>
      </w:r>
      <w:r>
        <w:rPr>
          <w:rFonts w:ascii="Arial"/>
          <w:spacing w:val="-18"/>
          <w:w w:val="105"/>
          <w:sz w:val="19"/>
        </w:rPr>
        <w:t xml:space="preserve"> </w:t>
      </w:r>
      <w:r>
        <w:rPr>
          <w:rFonts w:ascii="Arial"/>
          <w:w w:val="105"/>
          <w:sz w:val="19"/>
        </w:rPr>
        <w:t>medicine</w:t>
      </w:r>
      <w:r>
        <w:rPr>
          <w:rFonts w:ascii="Arial"/>
          <w:spacing w:val="-17"/>
          <w:w w:val="105"/>
          <w:sz w:val="19"/>
        </w:rPr>
        <w:t xml:space="preserve"> </w:t>
      </w:r>
      <w:r>
        <w:rPr>
          <w:rFonts w:ascii="Arial"/>
          <w:w w:val="105"/>
          <w:sz w:val="19"/>
        </w:rPr>
        <w:t>in</w:t>
      </w:r>
      <w:r>
        <w:rPr>
          <w:rFonts w:ascii="Arial"/>
          <w:spacing w:val="-18"/>
          <w:w w:val="105"/>
          <w:sz w:val="19"/>
        </w:rPr>
        <w:t xml:space="preserve"> </w:t>
      </w:r>
      <w:r>
        <w:rPr>
          <w:rFonts w:ascii="Arial"/>
          <w:w w:val="105"/>
          <w:sz w:val="19"/>
        </w:rPr>
        <w:t>the</w:t>
      </w:r>
      <w:r>
        <w:rPr>
          <w:rFonts w:ascii="Arial"/>
          <w:spacing w:val="-19"/>
          <w:w w:val="105"/>
          <w:sz w:val="19"/>
        </w:rPr>
        <w:t xml:space="preserve"> </w:t>
      </w:r>
      <w:r>
        <w:rPr>
          <w:rFonts w:ascii="Arial"/>
          <w:w w:val="105"/>
          <w:sz w:val="19"/>
        </w:rPr>
        <w:t>ARTG.</w:t>
      </w:r>
      <w:r>
        <w:rPr>
          <w:rFonts w:ascii="Arial"/>
          <w:spacing w:val="-17"/>
          <w:w w:val="105"/>
          <w:sz w:val="19"/>
        </w:rPr>
        <w:t xml:space="preserve"> </w:t>
      </w:r>
      <w:r>
        <w:rPr>
          <w:rFonts w:ascii="Arial"/>
          <w:w w:val="105"/>
          <w:sz w:val="19"/>
        </w:rPr>
        <w:t>Use</w:t>
      </w:r>
      <w:r>
        <w:rPr>
          <w:rFonts w:ascii="Arial"/>
          <w:spacing w:val="-18"/>
          <w:w w:val="105"/>
          <w:sz w:val="19"/>
        </w:rPr>
        <w:t xml:space="preserve"> </w:t>
      </w:r>
      <w:r>
        <w:rPr>
          <w:rFonts w:ascii="Arial"/>
          <w:w w:val="105"/>
          <w:sz w:val="19"/>
        </w:rPr>
        <w:t>of</w:t>
      </w:r>
      <w:r>
        <w:rPr>
          <w:rFonts w:ascii="Arial"/>
          <w:spacing w:val="-19"/>
          <w:w w:val="105"/>
          <w:sz w:val="19"/>
        </w:rPr>
        <w:t xml:space="preserve"> </w:t>
      </w:r>
      <w:r>
        <w:rPr>
          <w:rFonts w:ascii="Arial"/>
          <w:w w:val="105"/>
          <w:sz w:val="19"/>
        </w:rPr>
        <w:t>a</w:t>
      </w:r>
      <w:r>
        <w:rPr>
          <w:rFonts w:ascii="Arial"/>
          <w:spacing w:val="-19"/>
          <w:w w:val="105"/>
          <w:sz w:val="19"/>
        </w:rPr>
        <w:t xml:space="preserve"> </w:t>
      </w:r>
      <w:r>
        <w:rPr>
          <w:rFonts w:ascii="Arial"/>
          <w:w w:val="105"/>
          <w:sz w:val="19"/>
        </w:rPr>
        <w:t>protected</w:t>
      </w:r>
      <w:r>
        <w:rPr>
          <w:rFonts w:ascii="Arial"/>
          <w:spacing w:val="-19"/>
          <w:w w:val="105"/>
          <w:sz w:val="19"/>
        </w:rPr>
        <w:t xml:space="preserve"> </w:t>
      </w:r>
      <w:r>
        <w:rPr>
          <w:rFonts w:ascii="Arial"/>
          <w:w w:val="105"/>
          <w:sz w:val="19"/>
        </w:rPr>
        <w:t>ingredient</w:t>
      </w:r>
      <w:r>
        <w:rPr>
          <w:rFonts w:ascii="Arial"/>
          <w:spacing w:val="-19"/>
          <w:w w:val="105"/>
          <w:sz w:val="19"/>
        </w:rPr>
        <w:t xml:space="preserve"> </w:t>
      </w:r>
      <w:r>
        <w:rPr>
          <w:rFonts w:ascii="Arial"/>
          <w:w w:val="105"/>
          <w:sz w:val="19"/>
        </w:rPr>
        <w:t>within</w:t>
      </w:r>
      <w:r>
        <w:rPr>
          <w:rFonts w:ascii="Arial"/>
          <w:spacing w:val="-19"/>
          <w:w w:val="105"/>
          <w:sz w:val="19"/>
        </w:rPr>
        <w:t xml:space="preserve"> </w:t>
      </w:r>
      <w:r>
        <w:rPr>
          <w:rFonts w:ascii="Arial"/>
          <w:w w:val="105"/>
          <w:sz w:val="19"/>
        </w:rPr>
        <w:t>the</w:t>
      </w:r>
      <w:r>
        <w:rPr>
          <w:rFonts w:ascii="Arial"/>
          <w:spacing w:val="-19"/>
          <w:w w:val="105"/>
          <w:sz w:val="19"/>
        </w:rPr>
        <w:t xml:space="preserve"> </w:t>
      </w:r>
      <w:r>
        <w:rPr>
          <w:rFonts w:ascii="Arial"/>
          <w:w w:val="105"/>
          <w:sz w:val="19"/>
        </w:rPr>
        <w:t>exclusivity</w:t>
      </w:r>
      <w:r>
        <w:rPr>
          <w:rFonts w:ascii="Arial"/>
          <w:spacing w:val="-19"/>
          <w:w w:val="105"/>
          <w:sz w:val="19"/>
        </w:rPr>
        <w:t xml:space="preserve"> </w:t>
      </w:r>
      <w:r>
        <w:rPr>
          <w:rFonts w:ascii="Arial"/>
          <w:w w:val="105"/>
          <w:sz w:val="19"/>
        </w:rPr>
        <w:t>period</w:t>
      </w:r>
      <w:r>
        <w:rPr>
          <w:rFonts w:ascii="Arial"/>
          <w:spacing w:val="-20"/>
          <w:w w:val="105"/>
          <w:sz w:val="19"/>
        </w:rPr>
        <w:t xml:space="preserve"> </w:t>
      </w:r>
      <w:r>
        <w:rPr>
          <w:rFonts w:ascii="Arial"/>
          <w:w w:val="105"/>
          <w:sz w:val="19"/>
        </w:rPr>
        <w:t>without</w:t>
      </w:r>
      <w:r>
        <w:rPr>
          <w:rFonts w:ascii="Arial"/>
          <w:spacing w:val="-18"/>
          <w:w w:val="105"/>
          <w:sz w:val="19"/>
        </w:rPr>
        <w:t xml:space="preserve"> </w:t>
      </w:r>
      <w:r>
        <w:rPr>
          <w:rFonts w:ascii="Arial"/>
          <w:w w:val="105"/>
          <w:sz w:val="19"/>
        </w:rPr>
        <w:t>an approval</w:t>
      </w:r>
      <w:r>
        <w:rPr>
          <w:rFonts w:ascii="Arial"/>
          <w:spacing w:val="-20"/>
          <w:w w:val="105"/>
          <w:sz w:val="19"/>
        </w:rPr>
        <w:t xml:space="preserve"> </w:t>
      </w:r>
      <w:r>
        <w:rPr>
          <w:rFonts w:ascii="Arial"/>
          <w:w w:val="105"/>
          <w:sz w:val="19"/>
        </w:rPr>
        <w:t>from</w:t>
      </w:r>
      <w:r>
        <w:rPr>
          <w:rFonts w:ascii="Arial"/>
          <w:spacing w:val="-18"/>
          <w:w w:val="105"/>
          <w:sz w:val="19"/>
        </w:rPr>
        <w:t xml:space="preserve"> </w:t>
      </w:r>
      <w:r>
        <w:rPr>
          <w:rFonts w:ascii="Arial"/>
          <w:w w:val="105"/>
          <w:sz w:val="19"/>
        </w:rPr>
        <w:t>the</w:t>
      </w:r>
      <w:r>
        <w:rPr>
          <w:rFonts w:ascii="Arial"/>
          <w:spacing w:val="-18"/>
          <w:w w:val="105"/>
          <w:sz w:val="19"/>
        </w:rPr>
        <w:t xml:space="preserve"> </w:t>
      </w:r>
      <w:r>
        <w:rPr>
          <w:rFonts w:ascii="Arial"/>
          <w:w w:val="105"/>
          <w:sz w:val="19"/>
        </w:rPr>
        <w:t>ingredient</w:t>
      </w:r>
      <w:r>
        <w:rPr>
          <w:rFonts w:ascii="Arial"/>
          <w:spacing w:val="-20"/>
          <w:w w:val="105"/>
          <w:sz w:val="19"/>
        </w:rPr>
        <w:t xml:space="preserve"> </w:t>
      </w:r>
      <w:r>
        <w:rPr>
          <w:rFonts w:ascii="Arial"/>
          <w:w w:val="105"/>
          <w:sz w:val="19"/>
        </w:rPr>
        <w:t>applicant</w:t>
      </w:r>
      <w:r>
        <w:rPr>
          <w:rFonts w:ascii="Arial"/>
          <w:spacing w:val="-19"/>
          <w:w w:val="105"/>
          <w:sz w:val="19"/>
        </w:rPr>
        <w:t xml:space="preserve"> </w:t>
      </w:r>
      <w:r>
        <w:rPr>
          <w:rFonts w:ascii="Arial"/>
          <w:w w:val="105"/>
          <w:sz w:val="19"/>
        </w:rPr>
        <w:t>would</w:t>
      </w:r>
      <w:r>
        <w:rPr>
          <w:rFonts w:ascii="Arial"/>
          <w:spacing w:val="-21"/>
          <w:w w:val="105"/>
          <w:sz w:val="19"/>
        </w:rPr>
        <w:t xml:space="preserve"> </w:t>
      </w:r>
      <w:r>
        <w:rPr>
          <w:rFonts w:ascii="Arial"/>
          <w:w w:val="105"/>
          <w:sz w:val="19"/>
        </w:rPr>
        <w:t>contravene</w:t>
      </w:r>
      <w:r>
        <w:rPr>
          <w:rFonts w:ascii="Arial"/>
          <w:spacing w:val="-20"/>
          <w:w w:val="105"/>
          <w:sz w:val="19"/>
        </w:rPr>
        <w:t xml:space="preserve"> </w:t>
      </w:r>
      <w:r>
        <w:rPr>
          <w:rFonts w:ascii="Arial"/>
          <w:w w:val="105"/>
          <w:sz w:val="19"/>
        </w:rPr>
        <w:t>the</w:t>
      </w:r>
      <w:r>
        <w:rPr>
          <w:rFonts w:ascii="Arial"/>
          <w:spacing w:val="-19"/>
          <w:w w:val="105"/>
          <w:sz w:val="19"/>
        </w:rPr>
        <w:t xml:space="preserve"> </w:t>
      </w:r>
      <w:r>
        <w:rPr>
          <w:rFonts w:ascii="Arial"/>
          <w:w w:val="105"/>
          <w:sz w:val="19"/>
        </w:rPr>
        <w:t>requirement</w:t>
      </w:r>
      <w:r>
        <w:rPr>
          <w:rFonts w:ascii="Arial"/>
          <w:spacing w:val="-18"/>
          <w:w w:val="105"/>
          <w:sz w:val="19"/>
        </w:rPr>
        <w:t xml:space="preserve"> </w:t>
      </w:r>
      <w:r>
        <w:rPr>
          <w:rFonts w:ascii="Arial"/>
          <w:w w:val="105"/>
          <w:sz w:val="19"/>
        </w:rPr>
        <w:t>relating</w:t>
      </w:r>
      <w:r>
        <w:rPr>
          <w:rFonts w:ascii="Arial"/>
          <w:spacing w:val="-18"/>
          <w:w w:val="105"/>
          <w:sz w:val="19"/>
        </w:rPr>
        <w:t xml:space="preserve"> </w:t>
      </w:r>
      <w:r>
        <w:rPr>
          <w:rFonts w:ascii="Arial"/>
          <w:w w:val="105"/>
          <w:sz w:val="19"/>
        </w:rPr>
        <w:t>to</w:t>
      </w:r>
      <w:r>
        <w:rPr>
          <w:rFonts w:ascii="Arial"/>
          <w:spacing w:val="-20"/>
          <w:w w:val="105"/>
          <w:sz w:val="19"/>
        </w:rPr>
        <w:t xml:space="preserve"> </w:t>
      </w:r>
      <w:r>
        <w:rPr>
          <w:rFonts w:ascii="Arial"/>
          <w:w w:val="105"/>
          <w:sz w:val="19"/>
        </w:rPr>
        <w:t>the</w:t>
      </w:r>
      <w:r>
        <w:rPr>
          <w:rFonts w:ascii="Arial"/>
          <w:spacing w:val="-19"/>
          <w:w w:val="105"/>
          <w:sz w:val="19"/>
        </w:rPr>
        <w:t xml:space="preserve"> </w:t>
      </w:r>
      <w:r>
        <w:rPr>
          <w:rFonts w:ascii="Arial"/>
          <w:w w:val="105"/>
          <w:sz w:val="19"/>
        </w:rPr>
        <w:t>use</w:t>
      </w:r>
      <w:r>
        <w:rPr>
          <w:rFonts w:ascii="Arial"/>
          <w:spacing w:val="-18"/>
          <w:w w:val="105"/>
          <w:sz w:val="19"/>
        </w:rPr>
        <w:t xml:space="preserve"> </w:t>
      </w:r>
      <w:r>
        <w:rPr>
          <w:rFonts w:ascii="Arial"/>
          <w:w w:val="105"/>
          <w:sz w:val="19"/>
        </w:rPr>
        <w:t>of</w:t>
      </w:r>
      <w:r>
        <w:rPr>
          <w:rFonts w:ascii="Arial"/>
          <w:spacing w:val="-21"/>
          <w:w w:val="105"/>
          <w:sz w:val="19"/>
        </w:rPr>
        <w:t xml:space="preserve"> </w:t>
      </w:r>
      <w:r>
        <w:rPr>
          <w:rFonts w:ascii="Arial"/>
          <w:w w:val="105"/>
          <w:sz w:val="19"/>
        </w:rPr>
        <w:t>the ingredient</w:t>
      </w:r>
      <w:r>
        <w:rPr>
          <w:rFonts w:ascii="Arial"/>
          <w:spacing w:val="-19"/>
          <w:w w:val="105"/>
          <w:sz w:val="19"/>
        </w:rPr>
        <w:t xml:space="preserve"> </w:t>
      </w:r>
      <w:r>
        <w:rPr>
          <w:rFonts w:ascii="Arial"/>
          <w:w w:val="105"/>
          <w:sz w:val="19"/>
        </w:rPr>
        <w:t>and</w:t>
      </w:r>
      <w:r>
        <w:rPr>
          <w:rFonts w:ascii="Arial"/>
          <w:spacing w:val="-18"/>
          <w:w w:val="105"/>
          <w:sz w:val="19"/>
        </w:rPr>
        <w:t xml:space="preserve"> </w:t>
      </w:r>
      <w:r>
        <w:rPr>
          <w:rFonts w:ascii="Arial"/>
          <w:w w:val="105"/>
          <w:sz w:val="19"/>
        </w:rPr>
        <w:t>is</w:t>
      </w:r>
      <w:r>
        <w:rPr>
          <w:rFonts w:ascii="Arial"/>
          <w:spacing w:val="-19"/>
          <w:w w:val="105"/>
          <w:sz w:val="19"/>
        </w:rPr>
        <w:t xml:space="preserve"> </w:t>
      </w:r>
      <w:r>
        <w:rPr>
          <w:rFonts w:ascii="Arial"/>
          <w:w w:val="105"/>
          <w:sz w:val="19"/>
        </w:rPr>
        <w:t>grounds</w:t>
      </w:r>
      <w:r>
        <w:rPr>
          <w:rFonts w:ascii="Arial"/>
          <w:spacing w:val="-18"/>
          <w:w w:val="105"/>
          <w:sz w:val="19"/>
        </w:rPr>
        <w:t xml:space="preserve"> </w:t>
      </w:r>
      <w:r>
        <w:rPr>
          <w:rFonts w:ascii="Arial"/>
          <w:w w:val="105"/>
          <w:sz w:val="19"/>
        </w:rPr>
        <w:t>to</w:t>
      </w:r>
      <w:r>
        <w:rPr>
          <w:rFonts w:ascii="Arial"/>
          <w:spacing w:val="-19"/>
          <w:w w:val="105"/>
          <w:sz w:val="19"/>
        </w:rPr>
        <w:t xml:space="preserve"> </w:t>
      </w:r>
      <w:r>
        <w:rPr>
          <w:rFonts w:ascii="Arial"/>
          <w:w w:val="105"/>
          <w:sz w:val="19"/>
        </w:rPr>
        <w:t>cancel</w:t>
      </w:r>
      <w:r>
        <w:rPr>
          <w:rFonts w:ascii="Arial"/>
          <w:spacing w:val="-18"/>
          <w:w w:val="105"/>
          <w:sz w:val="19"/>
        </w:rPr>
        <w:t xml:space="preserve"> </w:t>
      </w:r>
      <w:r>
        <w:rPr>
          <w:rFonts w:ascii="Arial"/>
          <w:w w:val="105"/>
          <w:sz w:val="19"/>
        </w:rPr>
        <w:t>the</w:t>
      </w:r>
      <w:r>
        <w:rPr>
          <w:rFonts w:ascii="Arial"/>
          <w:spacing w:val="-17"/>
          <w:w w:val="105"/>
          <w:sz w:val="19"/>
        </w:rPr>
        <w:t xml:space="preserve"> </w:t>
      </w:r>
      <w:r>
        <w:rPr>
          <w:rFonts w:ascii="Arial"/>
          <w:w w:val="105"/>
          <w:sz w:val="19"/>
        </w:rPr>
        <w:t>medicine</w:t>
      </w:r>
      <w:r>
        <w:rPr>
          <w:rFonts w:ascii="Arial"/>
          <w:spacing w:val="-18"/>
          <w:w w:val="105"/>
          <w:sz w:val="19"/>
        </w:rPr>
        <w:t xml:space="preserve"> </w:t>
      </w:r>
      <w:r>
        <w:rPr>
          <w:rFonts w:ascii="Arial"/>
          <w:w w:val="105"/>
          <w:sz w:val="19"/>
        </w:rPr>
        <w:t>from</w:t>
      </w:r>
      <w:r>
        <w:rPr>
          <w:rFonts w:ascii="Arial"/>
          <w:spacing w:val="-17"/>
          <w:w w:val="105"/>
          <w:sz w:val="19"/>
        </w:rPr>
        <w:t xml:space="preserve"> </w:t>
      </w:r>
      <w:r>
        <w:rPr>
          <w:rFonts w:ascii="Arial"/>
          <w:w w:val="105"/>
          <w:sz w:val="19"/>
        </w:rPr>
        <w:t>the</w:t>
      </w:r>
      <w:r>
        <w:rPr>
          <w:rFonts w:ascii="Arial"/>
          <w:spacing w:val="-17"/>
          <w:w w:val="105"/>
          <w:sz w:val="19"/>
        </w:rPr>
        <w:t xml:space="preserve"> </w:t>
      </w:r>
      <w:r>
        <w:rPr>
          <w:rFonts w:ascii="Arial"/>
          <w:w w:val="105"/>
          <w:sz w:val="19"/>
        </w:rPr>
        <w:t>ARTG</w:t>
      </w:r>
      <w:r>
        <w:rPr>
          <w:rFonts w:ascii="Arial"/>
          <w:spacing w:val="-20"/>
          <w:w w:val="105"/>
          <w:sz w:val="19"/>
        </w:rPr>
        <w:t xml:space="preserve"> </w:t>
      </w:r>
      <w:r>
        <w:rPr>
          <w:rFonts w:ascii="Arial"/>
          <w:w w:val="105"/>
          <w:sz w:val="19"/>
        </w:rPr>
        <w:t>under</w:t>
      </w:r>
      <w:r>
        <w:rPr>
          <w:rFonts w:ascii="Arial"/>
          <w:spacing w:val="-18"/>
          <w:w w:val="105"/>
          <w:sz w:val="19"/>
        </w:rPr>
        <w:t xml:space="preserve"> </w:t>
      </w:r>
      <w:r>
        <w:rPr>
          <w:rFonts w:ascii="Arial"/>
          <w:w w:val="105"/>
          <w:sz w:val="19"/>
        </w:rPr>
        <w:t>s.30</w:t>
      </w:r>
      <w:r>
        <w:rPr>
          <w:rFonts w:ascii="Arial"/>
          <w:spacing w:val="-19"/>
          <w:w w:val="105"/>
          <w:sz w:val="19"/>
        </w:rPr>
        <w:t xml:space="preserve"> </w:t>
      </w:r>
      <w:r>
        <w:rPr>
          <w:rFonts w:ascii="Arial"/>
          <w:w w:val="105"/>
          <w:sz w:val="19"/>
        </w:rPr>
        <w:t>of</w:t>
      </w:r>
      <w:r>
        <w:rPr>
          <w:rFonts w:ascii="Arial"/>
          <w:spacing w:val="-18"/>
          <w:w w:val="105"/>
          <w:sz w:val="19"/>
        </w:rPr>
        <w:t xml:space="preserve"> </w:t>
      </w:r>
      <w:r>
        <w:rPr>
          <w:rFonts w:ascii="Arial"/>
          <w:w w:val="105"/>
          <w:sz w:val="19"/>
        </w:rPr>
        <w:t>the</w:t>
      </w:r>
      <w:r>
        <w:rPr>
          <w:rFonts w:ascii="Arial"/>
          <w:spacing w:val="-16"/>
          <w:w w:val="105"/>
          <w:sz w:val="19"/>
        </w:rPr>
        <w:t xml:space="preserve"> </w:t>
      </w:r>
      <w:r>
        <w:rPr>
          <w:rFonts w:ascii="Arial"/>
          <w:w w:val="105"/>
          <w:sz w:val="19"/>
        </w:rPr>
        <w:t>TG</w:t>
      </w:r>
      <w:r>
        <w:rPr>
          <w:rFonts w:ascii="Arial"/>
          <w:spacing w:val="-20"/>
          <w:w w:val="105"/>
          <w:sz w:val="19"/>
        </w:rPr>
        <w:t xml:space="preserve"> </w:t>
      </w:r>
      <w:r>
        <w:rPr>
          <w:rFonts w:ascii="Arial"/>
          <w:w w:val="105"/>
          <w:sz w:val="19"/>
        </w:rPr>
        <w:t>Act.</w:t>
      </w:r>
    </w:p>
    <w:p w:rsidR="007D76BB" w:rsidRDefault="00D70D28">
      <w:pPr>
        <w:spacing w:before="181" w:line="266" w:lineRule="auto"/>
        <w:ind w:left="482" w:right="688"/>
        <w:rPr>
          <w:rFonts w:ascii="Arial"/>
          <w:sz w:val="19"/>
        </w:rPr>
      </w:pPr>
      <w:r>
        <w:rPr>
          <w:rFonts w:ascii="Arial"/>
          <w:w w:val="105"/>
          <w:sz w:val="19"/>
        </w:rPr>
        <w:t>Exclusivity</w:t>
      </w:r>
      <w:r>
        <w:rPr>
          <w:rFonts w:ascii="Arial"/>
          <w:spacing w:val="-22"/>
          <w:w w:val="105"/>
          <w:sz w:val="19"/>
        </w:rPr>
        <w:t xml:space="preserve"> </w:t>
      </w:r>
      <w:r>
        <w:rPr>
          <w:rFonts w:ascii="Arial"/>
          <w:w w:val="105"/>
          <w:sz w:val="19"/>
        </w:rPr>
        <w:t>will</w:t>
      </w:r>
      <w:r>
        <w:rPr>
          <w:rFonts w:ascii="Arial"/>
          <w:spacing w:val="-19"/>
          <w:w w:val="105"/>
          <w:sz w:val="19"/>
        </w:rPr>
        <w:t xml:space="preserve"> </w:t>
      </w:r>
      <w:r>
        <w:rPr>
          <w:rFonts w:ascii="Arial"/>
          <w:w w:val="105"/>
          <w:sz w:val="19"/>
        </w:rPr>
        <w:t>only</w:t>
      </w:r>
      <w:r>
        <w:rPr>
          <w:rFonts w:ascii="Arial"/>
          <w:spacing w:val="-22"/>
          <w:w w:val="105"/>
          <w:sz w:val="19"/>
        </w:rPr>
        <w:t xml:space="preserve"> </w:t>
      </w:r>
      <w:r>
        <w:rPr>
          <w:rFonts w:ascii="Arial"/>
          <w:w w:val="105"/>
          <w:sz w:val="19"/>
        </w:rPr>
        <w:t>be</w:t>
      </w:r>
      <w:r>
        <w:rPr>
          <w:rFonts w:ascii="Arial"/>
          <w:spacing w:val="-22"/>
          <w:w w:val="105"/>
          <w:sz w:val="19"/>
        </w:rPr>
        <w:t xml:space="preserve"> </w:t>
      </w:r>
      <w:r>
        <w:rPr>
          <w:rFonts w:ascii="Arial"/>
          <w:w w:val="105"/>
          <w:sz w:val="19"/>
        </w:rPr>
        <w:t>permitted</w:t>
      </w:r>
      <w:r>
        <w:rPr>
          <w:rFonts w:ascii="Arial"/>
          <w:spacing w:val="-22"/>
          <w:w w:val="105"/>
          <w:sz w:val="19"/>
        </w:rPr>
        <w:t xml:space="preserve"> </w:t>
      </w:r>
      <w:r>
        <w:rPr>
          <w:rFonts w:ascii="Arial"/>
          <w:w w:val="105"/>
          <w:sz w:val="19"/>
        </w:rPr>
        <w:t>for</w:t>
      </w:r>
      <w:r>
        <w:rPr>
          <w:rFonts w:ascii="Arial"/>
          <w:spacing w:val="-23"/>
          <w:w w:val="105"/>
          <w:sz w:val="19"/>
        </w:rPr>
        <w:t xml:space="preserve"> </w:t>
      </w:r>
      <w:r>
        <w:rPr>
          <w:rFonts w:ascii="Arial"/>
          <w:w w:val="105"/>
          <w:sz w:val="19"/>
        </w:rPr>
        <w:t>a</w:t>
      </w:r>
      <w:r>
        <w:rPr>
          <w:rFonts w:ascii="Arial"/>
          <w:spacing w:val="-20"/>
          <w:w w:val="105"/>
          <w:sz w:val="19"/>
        </w:rPr>
        <w:t xml:space="preserve"> </w:t>
      </w:r>
      <w:r>
        <w:rPr>
          <w:rFonts w:ascii="Arial"/>
          <w:w w:val="105"/>
          <w:sz w:val="19"/>
        </w:rPr>
        <w:t>new</w:t>
      </w:r>
      <w:r>
        <w:rPr>
          <w:rFonts w:ascii="Arial"/>
          <w:spacing w:val="-22"/>
          <w:w w:val="105"/>
          <w:sz w:val="19"/>
        </w:rPr>
        <w:t xml:space="preserve"> </w:t>
      </w:r>
      <w:r>
        <w:rPr>
          <w:rFonts w:ascii="Arial"/>
          <w:w w:val="105"/>
          <w:sz w:val="19"/>
        </w:rPr>
        <w:t>complementary</w:t>
      </w:r>
      <w:r>
        <w:rPr>
          <w:rFonts w:ascii="Arial"/>
          <w:spacing w:val="-21"/>
          <w:w w:val="105"/>
          <w:sz w:val="19"/>
        </w:rPr>
        <w:t xml:space="preserve"> </w:t>
      </w:r>
      <w:r>
        <w:rPr>
          <w:rFonts w:ascii="Arial"/>
          <w:w w:val="105"/>
          <w:sz w:val="19"/>
        </w:rPr>
        <w:t>medicine</w:t>
      </w:r>
      <w:r>
        <w:rPr>
          <w:rFonts w:ascii="Arial"/>
          <w:spacing w:val="-22"/>
          <w:w w:val="105"/>
          <w:sz w:val="19"/>
        </w:rPr>
        <w:t xml:space="preserve"> </w:t>
      </w:r>
      <w:r>
        <w:rPr>
          <w:rFonts w:ascii="Arial"/>
          <w:w w:val="105"/>
          <w:sz w:val="19"/>
        </w:rPr>
        <w:t>ingredient</w:t>
      </w:r>
      <w:r>
        <w:rPr>
          <w:rFonts w:ascii="Arial"/>
          <w:spacing w:val="-21"/>
          <w:w w:val="105"/>
          <w:sz w:val="19"/>
        </w:rPr>
        <w:t xml:space="preserve"> </w:t>
      </w:r>
      <w:r>
        <w:rPr>
          <w:rFonts w:ascii="Arial"/>
          <w:w w:val="105"/>
          <w:sz w:val="19"/>
        </w:rPr>
        <w:t>(active</w:t>
      </w:r>
      <w:r>
        <w:rPr>
          <w:rFonts w:ascii="Arial"/>
          <w:spacing w:val="-20"/>
          <w:w w:val="105"/>
          <w:sz w:val="19"/>
        </w:rPr>
        <w:t xml:space="preserve"> </w:t>
      </w:r>
      <w:r>
        <w:rPr>
          <w:rFonts w:ascii="Arial"/>
          <w:w w:val="105"/>
          <w:sz w:val="19"/>
        </w:rPr>
        <w:t>or</w:t>
      </w:r>
      <w:r>
        <w:rPr>
          <w:rFonts w:ascii="Arial"/>
          <w:spacing w:val="-23"/>
          <w:w w:val="105"/>
          <w:sz w:val="19"/>
        </w:rPr>
        <w:t xml:space="preserve"> </w:t>
      </w:r>
      <w:r>
        <w:rPr>
          <w:rFonts w:ascii="Arial"/>
          <w:w w:val="105"/>
          <w:sz w:val="19"/>
        </w:rPr>
        <w:t>excipient) that</w:t>
      </w:r>
      <w:r>
        <w:rPr>
          <w:rFonts w:ascii="Arial"/>
          <w:spacing w:val="-11"/>
          <w:w w:val="105"/>
          <w:sz w:val="19"/>
        </w:rPr>
        <w:t xml:space="preserve"> </w:t>
      </w:r>
      <w:r>
        <w:rPr>
          <w:rFonts w:ascii="Arial"/>
          <w:w w:val="105"/>
          <w:sz w:val="19"/>
        </w:rPr>
        <w:t>is</w:t>
      </w:r>
      <w:r>
        <w:rPr>
          <w:rFonts w:ascii="Arial"/>
          <w:spacing w:val="-13"/>
          <w:w w:val="105"/>
          <w:sz w:val="19"/>
        </w:rPr>
        <w:t xml:space="preserve"> </w:t>
      </w:r>
      <w:r>
        <w:rPr>
          <w:rFonts w:ascii="Arial"/>
          <w:w w:val="105"/>
          <w:sz w:val="19"/>
        </w:rPr>
        <w:t>not</w:t>
      </w:r>
      <w:r>
        <w:rPr>
          <w:rFonts w:ascii="Arial"/>
          <w:spacing w:val="-12"/>
          <w:w w:val="105"/>
          <w:sz w:val="19"/>
        </w:rPr>
        <w:t xml:space="preserve"> </w:t>
      </w:r>
      <w:r>
        <w:rPr>
          <w:rFonts w:ascii="Arial"/>
          <w:w w:val="105"/>
          <w:sz w:val="19"/>
        </w:rPr>
        <w:t>currently</w:t>
      </w:r>
      <w:r>
        <w:rPr>
          <w:rFonts w:ascii="Arial"/>
          <w:spacing w:val="-11"/>
          <w:w w:val="105"/>
          <w:sz w:val="19"/>
        </w:rPr>
        <w:t xml:space="preserve"> </w:t>
      </w:r>
      <w:r>
        <w:rPr>
          <w:rFonts w:ascii="Arial"/>
          <w:w w:val="105"/>
          <w:sz w:val="19"/>
        </w:rPr>
        <w:t>included</w:t>
      </w:r>
      <w:r>
        <w:rPr>
          <w:rFonts w:ascii="Arial"/>
          <w:spacing w:val="-12"/>
          <w:w w:val="105"/>
          <w:sz w:val="19"/>
        </w:rPr>
        <w:t xml:space="preserve"> </w:t>
      </w:r>
      <w:r>
        <w:rPr>
          <w:rFonts w:ascii="Arial"/>
          <w:w w:val="105"/>
          <w:sz w:val="19"/>
        </w:rPr>
        <w:t>in</w:t>
      </w:r>
      <w:r>
        <w:rPr>
          <w:rFonts w:ascii="Arial"/>
          <w:spacing w:val="-10"/>
          <w:w w:val="105"/>
          <w:sz w:val="19"/>
        </w:rPr>
        <w:t xml:space="preserve"> </w:t>
      </w:r>
      <w:r>
        <w:rPr>
          <w:rFonts w:ascii="Arial"/>
          <w:w w:val="105"/>
          <w:sz w:val="19"/>
        </w:rPr>
        <w:t>the</w:t>
      </w:r>
      <w:r>
        <w:rPr>
          <w:rFonts w:ascii="Arial"/>
          <w:spacing w:val="-13"/>
          <w:w w:val="105"/>
          <w:sz w:val="19"/>
        </w:rPr>
        <w:t xml:space="preserve"> </w:t>
      </w:r>
      <w:r>
        <w:rPr>
          <w:rFonts w:ascii="Arial"/>
          <w:w w:val="105"/>
          <w:sz w:val="19"/>
        </w:rPr>
        <w:t>Determination</w:t>
      </w:r>
      <w:r>
        <w:rPr>
          <w:rFonts w:ascii="Arial"/>
          <w:spacing w:val="-12"/>
          <w:w w:val="105"/>
          <w:sz w:val="19"/>
        </w:rPr>
        <w:t xml:space="preserve"> </w:t>
      </w:r>
      <w:r>
        <w:rPr>
          <w:rFonts w:ascii="Arial"/>
          <w:w w:val="105"/>
          <w:sz w:val="19"/>
        </w:rPr>
        <w:t>provided</w:t>
      </w:r>
      <w:r>
        <w:rPr>
          <w:rFonts w:ascii="Arial"/>
          <w:spacing w:val="-12"/>
          <w:w w:val="105"/>
          <w:sz w:val="19"/>
        </w:rPr>
        <w:t xml:space="preserve"> </w:t>
      </w:r>
      <w:r>
        <w:rPr>
          <w:rFonts w:ascii="Arial"/>
          <w:w w:val="105"/>
          <w:sz w:val="19"/>
        </w:rPr>
        <w:t>that:</w:t>
      </w:r>
    </w:p>
    <w:p w:rsidR="007D76BB" w:rsidRDefault="00D70D28">
      <w:pPr>
        <w:pStyle w:val="ListParagraph"/>
        <w:numPr>
          <w:ilvl w:val="1"/>
          <w:numId w:val="5"/>
        </w:numPr>
        <w:tabs>
          <w:tab w:val="left" w:pos="766"/>
        </w:tabs>
        <w:spacing w:before="77"/>
        <w:rPr>
          <w:rFonts w:ascii="Arial" w:hAnsi="Arial"/>
          <w:sz w:val="19"/>
        </w:rPr>
      </w:pPr>
      <w:r>
        <w:rPr>
          <w:rFonts w:ascii="Arial" w:hAnsi="Arial"/>
          <w:w w:val="105"/>
          <w:sz w:val="19"/>
        </w:rPr>
        <w:t>it</w:t>
      </w:r>
      <w:r>
        <w:rPr>
          <w:rFonts w:ascii="Arial" w:hAnsi="Arial"/>
          <w:spacing w:val="-14"/>
          <w:w w:val="105"/>
          <w:sz w:val="19"/>
        </w:rPr>
        <w:t xml:space="preserve"> </w:t>
      </w:r>
      <w:r>
        <w:rPr>
          <w:rFonts w:ascii="Arial" w:hAnsi="Arial"/>
          <w:w w:val="105"/>
          <w:sz w:val="19"/>
        </w:rPr>
        <w:t>has</w:t>
      </w:r>
      <w:r>
        <w:rPr>
          <w:rFonts w:ascii="Arial" w:hAnsi="Arial"/>
          <w:spacing w:val="-16"/>
          <w:w w:val="105"/>
          <w:sz w:val="19"/>
        </w:rPr>
        <w:t xml:space="preserve"> </w:t>
      </w:r>
      <w:r>
        <w:rPr>
          <w:rFonts w:ascii="Arial" w:hAnsi="Arial"/>
          <w:w w:val="105"/>
          <w:sz w:val="19"/>
        </w:rPr>
        <w:t>not</w:t>
      </w:r>
      <w:r>
        <w:rPr>
          <w:rFonts w:ascii="Arial" w:hAnsi="Arial"/>
          <w:spacing w:val="-16"/>
          <w:w w:val="105"/>
          <w:sz w:val="19"/>
        </w:rPr>
        <w:t xml:space="preserve"> </w:t>
      </w:r>
      <w:r>
        <w:rPr>
          <w:rFonts w:ascii="Arial" w:hAnsi="Arial"/>
          <w:w w:val="105"/>
          <w:sz w:val="19"/>
        </w:rPr>
        <w:t>previously</w:t>
      </w:r>
      <w:r>
        <w:rPr>
          <w:rFonts w:ascii="Arial" w:hAnsi="Arial"/>
          <w:spacing w:val="-14"/>
          <w:w w:val="105"/>
          <w:sz w:val="19"/>
        </w:rPr>
        <w:t xml:space="preserve"> </w:t>
      </w:r>
      <w:r>
        <w:rPr>
          <w:rFonts w:ascii="Arial" w:hAnsi="Arial"/>
          <w:w w:val="105"/>
          <w:sz w:val="19"/>
        </w:rPr>
        <w:t>been</w:t>
      </w:r>
      <w:r>
        <w:rPr>
          <w:rFonts w:ascii="Arial" w:hAnsi="Arial"/>
          <w:spacing w:val="-14"/>
          <w:w w:val="105"/>
          <w:sz w:val="19"/>
        </w:rPr>
        <w:t xml:space="preserve"> </w:t>
      </w:r>
      <w:r>
        <w:rPr>
          <w:rFonts w:ascii="Arial" w:hAnsi="Arial"/>
          <w:w w:val="105"/>
          <w:sz w:val="19"/>
        </w:rPr>
        <w:t>evaluated</w:t>
      </w:r>
      <w:r>
        <w:rPr>
          <w:rFonts w:ascii="Arial" w:hAnsi="Arial"/>
          <w:spacing w:val="-16"/>
          <w:w w:val="105"/>
          <w:sz w:val="19"/>
        </w:rPr>
        <w:t xml:space="preserve"> </w:t>
      </w:r>
      <w:r>
        <w:rPr>
          <w:rFonts w:ascii="Arial" w:hAnsi="Arial"/>
          <w:w w:val="105"/>
          <w:sz w:val="19"/>
        </w:rPr>
        <w:t>by</w:t>
      </w:r>
      <w:r>
        <w:rPr>
          <w:rFonts w:ascii="Arial" w:hAnsi="Arial"/>
          <w:spacing w:val="-14"/>
          <w:w w:val="105"/>
          <w:sz w:val="19"/>
        </w:rPr>
        <w:t xml:space="preserve"> </w:t>
      </w:r>
      <w:r>
        <w:rPr>
          <w:rFonts w:ascii="Arial" w:hAnsi="Arial"/>
          <w:w w:val="105"/>
          <w:sz w:val="19"/>
        </w:rPr>
        <w:t>the</w:t>
      </w:r>
      <w:r>
        <w:rPr>
          <w:rFonts w:ascii="Arial" w:hAnsi="Arial"/>
          <w:spacing w:val="-15"/>
          <w:w w:val="105"/>
          <w:sz w:val="19"/>
        </w:rPr>
        <w:t xml:space="preserve"> </w:t>
      </w:r>
      <w:r>
        <w:rPr>
          <w:rFonts w:ascii="Arial" w:hAnsi="Arial"/>
          <w:w w:val="105"/>
          <w:sz w:val="19"/>
        </w:rPr>
        <w:t>TGA</w:t>
      </w:r>
      <w:r>
        <w:rPr>
          <w:rFonts w:ascii="Arial" w:hAnsi="Arial"/>
          <w:spacing w:val="-14"/>
          <w:w w:val="105"/>
          <w:sz w:val="19"/>
        </w:rPr>
        <w:t xml:space="preserve"> </w:t>
      </w:r>
      <w:r>
        <w:rPr>
          <w:rFonts w:ascii="Arial" w:hAnsi="Arial"/>
          <w:w w:val="105"/>
          <w:sz w:val="19"/>
        </w:rPr>
        <w:t>for</w:t>
      </w:r>
      <w:r>
        <w:rPr>
          <w:rFonts w:ascii="Arial" w:hAnsi="Arial"/>
          <w:spacing w:val="-14"/>
          <w:w w:val="105"/>
          <w:sz w:val="19"/>
        </w:rPr>
        <w:t xml:space="preserve"> </w:t>
      </w:r>
      <w:r>
        <w:rPr>
          <w:rFonts w:ascii="Arial" w:hAnsi="Arial"/>
          <w:w w:val="105"/>
          <w:sz w:val="19"/>
        </w:rPr>
        <w:t>use</w:t>
      </w:r>
      <w:r>
        <w:rPr>
          <w:rFonts w:ascii="Arial" w:hAnsi="Arial"/>
          <w:spacing w:val="-15"/>
          <w:w w:val="105"/>
          <w:sz w:val="19"/>
        </w:rPr>
        <w:t xml:space="preserve"> </w:t>
      </w:r>
      <w:r>
        <w:rPr>
          <w:rFonts w:ascii="Arial" w:hAnsi="Arial"/>
          <w:w w:val="105"/>
          <w:sz w:val="19"/>
        </w:rPr>
        <w:t>in</w:t>
      </w:r>
      <w:r>
        <w:rPr>
          <w:rFonts w:ascii="Arial" w:hAnsi="Arial"/>
          <w:spacing w:val="-14"/>
          <w:w w:val="105"/>
          <w:sz w:val="19"/>
        </w:rPr>
        <w:t xml:space="preserve"> </w:t>
      </w:r>
      <w:r>
        <w:rPr>
          <w:rFonts w:ascii="Arial" w:hAnsi="Arial"/>
          <w:w w:val="105"/>
          <w:sz w:val="19"/>
        </w:rPr>
        <w:t>listed</w:t>
      </w:r>
      <w:r>
        <w:rPr>
          <w:rFonts w:ascii="Arial" w:hAnsi="Arial"/>
          <w:spacing w:val="-15"/>
          <w:w w:val="105"/>
          <w:sz w:val="19"/>
        </w:rPr>
        <w:t xml:space="preserve"> </w:t>
      </w:r>
      <w:r>
        <w:rPr>
          <w:rFonts w:ascii="Arial" w:hAnsi="Arial"/>
          <w:w w:val="105"/>
          <w:sz w:val="19"/>
        </w:rPr>
        <w:t>or</w:t>
      </w:r>
      <w:r>
        <w:rPr>
          <w:rFonts w:ascii="Arial" w:hAnsi="Arial"/>
          <w:spacing w:val="-14"/>
          <w:w w:val="105"/>
          <w:sz w:val="19"/>
        </w:rPr>
        <w:t xml:space="preserve"> </w:t>
      </w:r>
      <w:r>
        <w:rPr>
          <w:rFonts w:ascii="Arial" w:hAnsi="Arial"/>
          <w:w w:val="105"/>
          <w:sz w:val="19"/>
        </w:rPr>
        <w:t>registered</w:t>
      </w:r>
      <w:r>
        <w:rPr>
          <w:rFonts w:ascii="Arial" w:hAnsi="Arial"/>
          <w:spacing w:val="-15"/>
          <w:w w:val="105"/>
          <w:sz w:val="19"/>
        </w:rPr>
        <w:t xml:space="preserve"> </w:t>
      </w:r>
      <w:r>
        <w:rPr>
          <w:rFonts w:ascii="Arial" w:hAnsi="Arial"/>
          <w:w w:val="105"/>
          <w:sz w:val="19"/>
        </w:rPr>
        <w:t>medicines</w:t>
      </w:r>
    </w:p>
    <w:p w:rsidR="007D76BB" w:rsidRDefault="00D70D28">
      <w:pPr>
        <w:pStyle w:val="ListParagraph"/>
        <w:numPr>
          <w:ilvl w:val="1"/>
          <w:numId w:val="5"/>
        </w:numPr>
        <w:tabs>
          <w:tab w:val="left" w:pos="766"/>
        </w:tabs>
        <w:spacing w:before="103"/>
        <w:rPr>
          <w:rFonts w:ascii="Arial" w:hAnsi="Arial"/>
          <w:sz w:val="19"/>
        </w:rPr>
      </w:pPr>
      <w:proofErr w:type="gramStart"/>
      <w:r>
        <w:rPr>
          <w:rFonts w:ascii="Arial" w:hAnsi="Arial"/>
          <w:w w:val="105"/>
          <w:sz w:val="19"/>
        </w:rPr>
        <w:t>it</w:t>
      </w:r>
      <w:proofErr w:type="gramEnd"/>
      <w:r>
        <w:rPr>
          <w:rFonts w:ascii="Arial" w:hAnsi="Arial"/>
          <w:spacing w:val="-12"/>
          <w:w w:val="105"/>
          <w:sz w:val="19"/>
        </w:rPr>
        <w:t xml:space="preserve"> </w:t>
      </w:r>
      <w:r>
        <w:rPr>
          <w:rFonts w:ascii="Arial" w:hAnsi="Arial"/>
          <w:w w:val="105"/>
          <w:sz w:val="19"/>
        </w:rPr>
        <w:t>is</w:t>
      </w:r>
      <w:r>
        <w:rPr>
          <w:rFonts w:ascii="Arial" w:hAnsi="Arial"/>
          <w:spacing w:val="-12"/>
          <w:w w:val="105"/>
          <w:sz w:val="19"/>
        </w:rPr>
        <w:t xml:space="preserve"> </w:t>
      </w:r>
      <w:r>
        <w:rPr>
          <w:rFonts w:ascii="Arial" w:hAnsi="Arial"/>
          <w:w w:val="105"/>
          <w:sz w:val="19"/>
        </w:rPr>
        <w:t>not</w:t>
      </w:r>
      <w:r>
        <w:rPr>
          <w:rFonts w:ascii="Arial" w:hAnsi="Arial"/>
          <w:spacing w:val="-13"/>
          <w:w w:val="105"/>
          <w:sz w:val="19"/>
        </w:rPr>
        <w:t xml:space="preserve"> </w:t>
      </w:r>
      <w:r>
        <w:rPr>
          <w:rFonts w:ascii="Arial" w:hAnsi="Arial"/>
          <w:w w:val="105"/>
          <w:sz w:val="19"/>
        </w:rPr>
        <w:t>used</w:t>
      </w:r>
      <w:r>
        <w:rPr>
          <w:rFonts w:ascii="Arial" w:hAnsi="Arial"/>
          <w:spacing w:val="-12"/>
          <w:w w:val="105"/>
          <w:sz w:val="19"/>
        </w:rPr>
        <w:t xml:space="preserve"> </w:t>
      </w:r>
      <w:r>
        <w:rPr>
          <w:rFonts w:ascii="Arial" w:hAnsi="Arial"/>
          <w:w w:val="105"/>
          <w:sz w:val="19"/>
        </w:rPr>
        <w:t>in,</w:t>
      </w:r>
      <w:r>
        <w:rPr>
          <w:rFonts w:ascii="Arial" w:hAnsi="Arial"/>
          <w:spacing w:val="-12"/>
          <w:w w:val="105"/>
          <w:sz w:val="19"/>
        </w:rPr>
        <w:t xml:space="preserve"> </w:t>
      </w:r>
      <w:r>
        <w:rPr>
          <w:rFonts w:ascii="Arial" w:hAnsi="Arial"/>
          <w:w w:val="105"/>
          <w:sz w:val="19"/>
        </w:rPr>
        <w:t>or</w:t>
      </w:r>
      <w:r>
        <w:rPr>
          <w:rFonts w:ascii="Arial" w:hAnsi="Arial"/>
          <w:spacing w:val="-14"/>
          <w:w w:val="105"/>
          <w:sz w:val="19"/>
        </w:rPr>
        <w:t xml:space="preserve"> </w:t>
      </w:r>
      <w:r>
        <w:rPr>
          <w:rFonts w:ascii="Arial" w:hAnsi="Arial"/>
          <w:w w:val="105"/>
          <w:sz w:val="19"/>
        </w:rPr>
        <w:t>available</w:t>
      </w:r>
      <w:r>
        <w:rPr>
          <w:rFonts w:ascii="Arial" w:hAnsi="Arial"/>
          <w:spacing w:val="-11"/>
          <w:w w:val="105"/>
          <w:sz w:val="19"/>
        </w:rPr>
        <w:t xml:space="preserve"> </w:t>
      </w:r>
      <w:r>
        <w:rPr>
          <w:rFonts w:ascii="Arial" w:hAnsi="Arial"/>
          <w:w w:val="105"/>
          <w:sz w:val="19"/>
        </w:rPr>
        <w:t>for</w:t>
      </w:r>
      <w:r>
        <w:rPr>
          <w:rFonts w:ascii="Arial" w:hAnsi="Arial"/>
          <w:spacing w:val="-12"/>
          <w:w w:val="105"/>
          <w:sz w:val="19"/>
        </w:rPr>
        <w:t xml:space="preserve"> </w:t>
      </w:r>
      <w:r>
        <w:rPr>
          <w:rFonts w:ascii="Arial" w:hAnsi="Arial"/>
          <w:w w:val="105"/>
          <w:sz w:val="19"/>
        </w:rPr>
        <w:t>use</w:t>
      </w:r>
      <w:r>
        <w:rPr>
          <w:rFonts w:ascii="Arial" w:hAnsi="Arial"/>
          <w:spacing w:val="-11"/>
          <w:w w:val="105"/>
          <w:sz w:val="19"/>
        </w:rPr>
        <w:t xml:space="preserve"> </w:t>
      </w:r>
      <w:r>
        <w:rPr>
          <w:rFonts w:ascii="Arial" w:hAnsi="Arial"/>
          <w:w w:val="105"/>
          <w:sz w:val="19"/>
        </w:rPr>
        <w:t>in,</w:t>
      </w:r>
      <w:r>
        <w:rPr>
          <w:rFonts w:ascii="Arial" w:hAnsi="Arial"/>
          <w:spacing w:val="-13"/>
          <w:w w:val="105"/>
          <w:sz w:val="19"/>
        </w:rPr>
        <w:t xml:space="preserve"> </w:t>
      </w:r>
      <w:r>
        <w:rPr>
          <w:rFonts w:ascii="Arial" w:hAnsi="Arial"/>
          <w:w w:val="105"/>
          <w:sz w:val="19"/>
        </w:rPr>
        <w:t>registered</w:t>
      </w:r>
      <w:r>
        <w:rPr>
          <w:rFonts w:ascii="Arial" w:hAnsi="Arial"/>
          <w:spacing w:val="-13"/>
          <w:w w:val="105"/>
          <w:sz w:val="19"/>
        </w:rPr>
        <w:t xml:space="preserve"> </w:t>
      </w:r>
      <w:r>
        <w:rPr>
          <w:rFonts w:ascii="Arial" w:hAnsi="Arial"/>
          <w:w w:val="105"/>
          <w:sz w:val="19"/>
        </w:rPr>
        <w:t>medicines.</w:t>
      </w:r>
    </w:p>
    <w:p w:rsidR="007D76BB" w:rsidRDefault="00D70D28">
      <w:pPr>
        <w:spacing w:before="199" w:line="266" w:lineRule="auto"/>
        <w:ind w:left="482" w:right="688"/>
        <w:rPr>
          <w:rFonts w:ascii="Arial"/>
          <w:sz w:val="19"/>
        </w:rPr>
      </w:pPr>
      <w:r>
        <w:rPr>
          <w:rFonts w:ascii="Arial"/>
          <w:w w:val="105"/>
          <w:sz w:val="19"/>
        </w:rPr>
        <w:t>Exclusivity</w:t>
      </w:r>
      <w:r>
        <w:rPr>
          <w:rFonts w:ascii="Arial"/>
          <w:spacing w:val="-20"/>
          <w:w w:val="105"/>
          <w:sz w:val="19"/>
        </w:rPr>
        <w:t xml:space="preserve"> </w:t>
      </w:r>
      <w:r>
        <w:rPr>
          <w:rFonts w:ascii="Arial"/>
          <w:w w:val="105"/>
          <w:sz w:val="19"/>
        </w:rPr>
        <w:t>will</w:t>
      </w:r>
      <w:r>
        <w:rPr>
          <w:rFonts w:ascii="Arial"/>
          <w:spacing w:val="-18"/>
          <w:w w:val="105"/>
          <w:sz w:val="19"/>
        </w:rPr>
        <w:t xml:space="preserve"> </w:t>
      </w:r>
      <w:r>
        <w:rPr>
          <w:rFonts w:ascii="Arial"/>
          <w:w w:val="105"/>
          <w:sz w:val="19"/>
        </w:rPr>
        <w:t>not</w:t>
      </w:r>
      <w:r>
        <w:rPr>
          <w:rFonts w:ascii="Arial"/>
          <w:spacing w:val="-18"/>
          <w:w w:val="105"/>
          <w:sz w:val="19"/>
        </w:rPr>
        <w:t xml:space="preserve"> </w:t>
      </w:r>
      <w:r>
        <w:rPr>
          <w:rFonts w:ascii="Arial"/>
          <w:w w:val="105"/>
          <w:sz w:val="19"/>
        </w:rPr>
        <w:t>apply</w:t>
      </w:r>
      <w:r>
        <w:rPr>
          <w:rFonts w:ascii="Arial"/>
          <w:spacing w:val="-21"/>
          <w:w w:val="105"/>
          <w:sz w:val="19"/>
        </w:rPr>
        <w:t xml:space="preserve"> </w:t>
      </w:r>
      <w:r>
        <w:rPr>
          <w:rFonts w:ascii="Arial"/>
          <w:w w:val="105"/>
          <w:sz w:val="19"/>
        </w:rPr>
        <w:t>to</w:t>
      </w:r>
      <w:r>
        <w:rPr>
          <w:rFonts w:ascii="Arial"/>
          <w:spacing w:val="-20"/>
          <w:w w:val="105"/>
          <w:sz w:val="19"/>
        </w:rPr>
        <w:t xml:space="preserve"> </w:t>
      </w:r>
      <w:r>
        <w:rPr>
          <w:rFonts w:ascii="Arial"/>
          <w:w w:val="105"/>
          <w:sz w:val="19"/>
        </w:rPr>
        <w:t>applications</w:t>
      </w:r>
      <w:r>
        <w:rPr>
          <w:rFonts w:ascii="Arial"/>
          <w:spacing w:val="-19"/>
          <w:w w:val="105"/>
          <w:sz w:val="19"/>
        </w:rPr>
        <w:t xml:space="preserve"> </w:t>
      </w:r>
      <w:r>
        <w:rPr>
          <w:rFonts w:ascii="Arial"/>
          <w:w w:val="105"/>
          <w:sz w:val="19"/>
        </w:rPr>
        <w:t>submitted</w:t>
      </w:r>
      <w:r>
        <w:rPr>
          <w:rFonts w:ascii="Arial"/>
          <w:spacing w:val="-20"/>
          <w:w w:val="105"/>
          <w:sz w:val="19"/>
        </w:rPr>
        <w:t xml:space="preserve"> </w:t>
      </w:r>
      <w:r>
        <w:rPr>
          <w:rFonts w:ascii="Arial"/>
          <w:w w:val="105"/>
          <w:sz w:val="19"/>
        </w:rPr>
        <w:t>for</w:t>
      </w:r>
      <w:r>
        <w:rPr>
          <w:rFonts w:ascii="Arial"/>
          <w:spacing w:val="-21"/>
          <w:w w:val="105"/>
          <w:sz w:val="19"/>
        </w:rPr>
        <w:t xml:space="preserve"> </w:t>
      </w:r>
      <w:r>
        <w:rPr>
          <w:rFonts w:ascii="Arial"/>
          <w:w w:val="105"/>
          <w:sz w:val="19"/>
        </w:rPr>
        <w:t>a</w:t>
      </w:r>
      <w:r>
        <w:rPr>
          <w:rFonts w:ascii="Arial"/>
          <w:spacing w:val="-18"/>
          <w:w w:val="105"/>
          <w:sz w:val="19"/>
        </w:rPr>
        <w:t xml:space="preserve"> </w:t>
      </w:r>
      <w:r>
        <w:rPr>
          <w:rFonts w:ascii="Arial"/>
          <w:w w:val="105"/>
          <w:sz w:val="19"/>
        </w:rPr>
        <w:t>new</w:t>
      </w:r>
      <w:r>
        <w:rPr>
          <w:rFonts w:ascii="Arial"/>
          <w:spacing w:val="-18"/>
          <w:w w:val="105"/>
          <w:sz w:val="19"/>
        </w:rPr>
        <w:t xml:space="preserve"> </w:t>
      </w:r>
      <w:r>
        <w:rPr>
          <w:rFonts w:ascii="Arial"/>
          <w:w w:val="105"/>
          <w:sz w:val="19"/>
        </w:rPr>
        <w:t>role</w:t>
      </w:r>
      <w:r>
        <w:rPr>
          <w:rFonts w:ascii="Arial"/>
          <w:spacing w:val="-19"/>
          <w:w w:val="105"/>
          <w:sz w:val="19"/>
        </w:rPr>
        <w:t xml:space="preserve"> </w:t>
      </w:r>
      <w:r>
        <w:rPr>
          <w:rFonts w:ascii="Arial"/>
          <w:w w:val="105"/>
          <w:sz w:val="19"/>
        </w:rPr>
        <w:t>or</w:t>
      </w:r>
      <w:r>
        <w:rPr>
          <w:rFonts w:ascii="Arial"/>
          <w:spacing w:val="-20"/>
          <w:w w:val="105"/>
          <w:sz w:val="19"/>
        </w:rPr>
        <w:t xml:space="preserve"> </w:t>
      </w:r>
      <w:r>
        <w:rPr>
          <w:rFonts w:ascii="Arial"/>
          <w:w w:val="105"/>
          <w:sz w:val="19"/>
        </w:rPr>
        <w:t>a</w:t>
      </w:r>
      <w:r>
        <w:rPr>
          <w:rFonts w:ascii="Arial"/>
          <w:spacing w:val="-20"/>
          <w:w w:val="105"/>
          <w:sz w:val="19"/>
        </w:rPr>
        <w:t xml:space="preserve"> </w:t>
      </w:r>
      <w:r>
        <w:rPr>
          <w:rFonts w:ascii="Arial"/>
          <w:w w:val="105"/>
          <w:sz w:val="19"/>
        </w:rPr>
        <w:t>change</w:t>
      </w:r>
      <w:r>
        <w:rPr>
          <w:rFonts w:ascii="Arial"/>
          <w:spacing w:val="-20"/>
          <w:w w:val="105"/>
          <w:sz w:val="19"/>
        </w:rPr>
        <w:t xml:space="preserve"> </w:t>
      </w:r>
      <w:r>
        <w:rPr>
          <w:rFonts w:ascii="Arial"/>
          <w:w w:val="105"/>
          <w:sz w:val="19"/>
        </w:rPr>
        <w:t>to</w:t>
      </w:r>
      <w:r>
        <w:rPr>
          <w:rFonts w:ascii="Arial"/>
          <w:spacing w:val="-19"/>
          <w:w w:val="105"/>
          <w:sz w:val="19"/>
        </w:rPr>
        <w:t xml:space="preserve"> </w:t>
      </w:r>
      <w:r>
        <w:rPr>
          <w:rFonts w:ascii="Arial"/>
          <w:w w:val="105"/>
          <w:sz w:val="19"/>
        </w:rPr>
        <w:t>any</w:t>
      </w:r>
      <w:r>
        <w:rPr>
          <w:rFonts w:ascii="Arial"/>
          <w:spacing w:val="-21"/>
          <w:w w:val="105"/>
          <w:sz w:val="19"/>
        </w:rPr>
        <w:t xml:space="preserve"> </w:t>
      </w:r>
      <w:r>
        <w:rPr>
          <w:rFonts w:ascii="Arial"/>
          <w:w w:val="105"/>
          <w:sz w:val="19"/>
        </w:rPr>
        <w:t>existing requirements</w:t>
      </w:r>
      <w:r>
        <w:rPr>
          <w:rFonts w:ascii="Arial"/>
          <w:spacing w:val="-12"/>
          <w:w w:val="105"/>
          <w:sz w:val="19"/>
        </w:rPr>
        <w:t xml:space="preserve"> </w:t>
      </w:r>
      <w:r>
        <w:rPr>
          <w:rFonts w:ascii="Arial"/>
          <w:w w:val="105"/>
          <w:sz w:val="19"/>
        </w:rPr>
        <w:t>for</w:t>
      </w:r>
      <w:r>
        <w:rPr>
          <w:rFonts w:ascii="Arial"/>
          <w:spacing w:val="-13"/>
          <w:w w:val="105"/>
          <w:sz w:val="19"/>
        </w:rPr>
        <w:t xml:space="preserve"> </w:t>
      </w:r>
      <w:r>
        <w:rPr>
          <w:rFonts w:ascii="Arial"/>
          <w:w w:val="105"/>
          <w:sz w:val="19"/>
        </w:rPr>
        <w:t>use</w:t>
      </w:r>
      <w:r>
        <w:rPr>
          <w:rFonts w:ascii="Arial"/>
          <w:spacing w:val="-12"/>
          <w:w w:val="105"/>
          <w:sz w:val="19"/>
        </w:rPr>
        <w:t xml:space="preserve"> </w:t>
      </w:r>
      <w:r>
        <w:rPr>
          <w:rFonts w:ascii="Arial"/>
          <w:w w:val="105"/>
          <w:sz w:val="19"/>
        </w:rPr>
        <w:t>of</w:t>
      </w:r>
      <w:r>
        <w:rPr>
          <w:rFonts w:ascii="Arial"/>
          <w:spacing w:val="-12"/>
          <w:w w:val="105"/>
          <w:sz w:val="19"/>
        </w:rPr>
        <w:t xml:space="preserve"> </w:t>
      </w:r>
      <w:r>
        <w:rPr>
          <w:rFonts w:ascii="Arial"/>
          <w:w w:val="105"/>
          <w:sz w:val="19"/>
        </w:rPr>
        <w:t>a</w:t>
      </w:r>
      <w:r>
        <w:rPr>
          <w:rFonts w:ascii="Arial"/>
          <w:spacing w:val="-13"/>
          <w:w w:val="105"/>
          <w:sz w:val="19"/>
        </w:rPr>
        <w:t xml:space="preserve"> </w:t>
      </w:r>
      <w:r>
        <w:rPr>
          <w:rFonts w:ascii="Arial"/>
          <w:w w:val="105"/>
          <w:sz w:val="19"/>
        </w:rPr>
        <w:t>permitted</w:t>
      </w:r>
      <w:r>
        <w:rPr>
          <w:rFonts w:ascii="Arial"/>
          <w:spacing w:val="-12"/>
          <w:w w:val="105"/>
          <w:sz w:val="19"/>
        </w:rPr>
        <w:t xml:space="preserve"> </w:t>
      </w:r>
      <w:r>
        <w:rPr>
          <w:rFonts w:ascii="Arial"/>
          <w:w w:val="105"/>
          <w:sz w:val="19"/>
        </w:rPr>
        <w:t>ingredient.</w:t>
      </w:r>
    </w:p>
    <w:p w:rsidR="007D76BB" w:rsidRDefault="00D70D28">
      <w:pPr>
        <w:spacing w:before="70"/>
        <w:ind w:left="482"/>
        <w:rPr>
          <w:rFonts w:ascii="Arial"/>
          <w:i/>
          <w:sz w:val="20"/>
        </w:rPr>
      </w:pPr>
      <w:r>
        <w:rPr>
          <w:rFonts w:ascii="Arial"/>
          <w:i/>
          <w:sz w:val="20"/>
        </w:rPr>
        <w:t>Determination of current population</w:t>
      </w:r>
    </w:p>
    <w:p w:rsidR="007D76BB" w:rsidRDefault="00D70D28">
      <w:pPr>
        <w:spacing w:before="197" w:line="264" w:lineRule="auto"/>
        <w:ind w:left="482" w:right="844"/>
        <w:rPr>
          <w:rFonts w:ascii="Arial" w:hAnsi="Arial"/>
          <w:sz w:val="19"/>
        </w:rPr>
      </w:pPr>
      <w:r>
        <w:rPr>
          <w:rFonts w:ascii="Arial" w:hAnsi="Arial"/>
          <w:w w:val="105"/>
          <w:sz w:val="19"/>
        </w:rPr>
        <w:t>As</w:t>
      </w:r>
      <w:r>
        <w:rPr>
          <w:rFonts w:ascii="Arial" w:hAnsi="Arial"/>
          <w:spacing w:val="-23"/>
          <w:w w:val="105"/>
          <w:sz w:val="19"/>
        </w:rPr>
        <w:t xml:space="preserve"> </w:t>
      </w:r>
      <w:r>
        <w:rPr>
          <w:rFonts w:ascii="Arial" w:hAnsi="Arial"/>
          <w:w w:val="105"/>
          <w:sz w:val="19"/>
        </w:rPr>
        <w:t>noted</w:t>
      </w:r>
      <w:r>
        <w:rPr>
          <w:rFonts w:ascii="Arial" w:hAnsi="Arial"/>
          <w:spacing w:val="-23"/>
          <w:w w:val="105"/>
          <w:sz w:val="19"/>
        </w:rPr>
        <w:t xml:space="preserve"> </w:t>
      </w:r>
      <w:r>
        <w:rPr>
          <w:rFonts w:ascii="Arial" w:hAnsi="Arial"/>
          <w:w w:val="105"/>
          <w:sz w:val="19"/>
        </w:rPr>
        <w:t>previously,</w:t>
      </w:r>
      <w:r>
        <w:rPr>
          <w:rFonts w:ascii="Arial" w:hAnsi="Arial"/>
          <w:spacing w:val="-23"/>
          <w:w w:val="105"/>
          <w:sz w:val="19"/>
        </w:rPr>
        <w:t xml:space="preserve"> </w:t>
      </w:r>
      <w:r>
        <w:rPr>
          <w:rFonts w:ascii="Arial" w:hAnsi="Arial"/>
          <w:w w:val="105"/>
          <w:sz w:val="19"/>
        </w:rPr>
        <w:t>one</w:t>
      </w:r>
      <w:r>
        <w:rPr>
          <w:rFonts w:ascii="Arial" w:hAnsi="Arial"/>
          <w:spacing w:val="-23"/>
          <w:w w:val="105"/>
          <w:sz w:val="19"/>
        </w:rPr>
        <w:t xml:space="preserve"> </w:t>
      </w:r>
      <w:r>
        <w:rPr>
          <w:rFonts w:ascii="Arial" w:hAnsi="Arial"/>
          <w:w w:val="105"/>
          <w:sz w:val="19"/>
        </w:rPr>
        <w:t>of</w:t>
      </w:r>
      <w:r>
        <w:rPr>
          <w:rFonts w:ascii="Arial" w:hAnsi="Arial"/>
          <w:spacing w:val="-23"/>
          <w:w w:val="105"/>
          <w:sz w:val="19"/>
        </w:rPr>
        <w:t xml:space="preserve"> </w:t>
      </w:r>
      <w:r>
        <w:rPr>
          <w:rFonts w:ascii="Arial" w:hAnsi="Arial"/>
          <w:w w:val="105"/>
          <w:sz w:val="19"/>
        </w:rPr>
        <w:t>the</w:t>
      </w:r>
      <w:r>
        <w:rPr>
          <w:rFonts w:ascii="Arial" w:hAnsi="Arial"/>
          <w:spacing w:val="-22"/>
          <w:w w:val="105"/>
          <w:sz w:val="19"/>
        </w:rPr>
        <w:t xml:space="preserve"> </w:t>
      </w:r>
      <w:r>
        <w:rPr>
          <w:rFonts w:ascii="Arial" w:hAnsi="Arial"/>
          <w:w w:val="105"/>
          <w:sz w:val="19"/>
        </w:rPr>
        <w:t>defining</w:t>
      </w:r>
      <w:r>
        <w:rPr>
          <w:rFonts w:ascii="Arial" w:hAnsi="Arial"/>
          <w:spacing w:val="-23"/>
          <w:w w:val="105"/>
          <w:sz w:val="19"/>
        </w:rPr>
        <w:t xml:space="preserve"> </w:t>
      </w:r>
      <w:r>
        <w:rPr>
          <w:rFonts w:ascii="Arial" w:hAnsi="Arial"/>
          <w:w w:val="105"/>
          <w:sz w:val="19"/>
        </w:rPr>
        <w:t>characteristics</w:t>
      </w:r>
      <w:r>
        <w:rPr>
          <w:rFonts w:ascii="Arial" w:hAnsi="Arial"/>
          <w:spacing w:val="-23"/>
          <w:w w:val="105"/>
          <w:sz w:val="19"/>
        </w:rPr>
        <w:t xml:space="preserve"> </w:t>
      </w:r>
      <w:r>
        <w:rPr>
          <w:rFonts w:ascii="Arial" w:hAnsi="Arial"/>
          <w:w w:val="105"/>
          <w:sz w:val="19"/>
        </w:rPr>
        <w:t>of</w:t>
      </w:r>
      <w:r>
        <w:rPr>
          <w:rFonts w:ascii="Arial" w:hAnsi="Arial"/>
          <w:spacing w:val="-23"/>
          <w:w w:val="105"/>
          <w:sz w:val="19"/>
        </w:rPr>
        <w:t xml:space="preserve"> </w:t>
      </w:r>
      <w:r>
        <w:rPr>
          <w:rFonts w:ascii="Arial" w:hAnsi="Arial"/>
          <w:w w:val="105"/>
          <w:sz w:val="19"/>
        </w:rPr>
        <w:t>the</w:t>
      </w:r>
      <w:r>
        <w:rPr>
          <w:rFonts w:ascii="Arial" w:hAnsi="Arial"/>
          <w:spacing w:val="-23"/>
          <w:w w:val="105"/>
          <w:sz w:val="19"/>
        </w:rPr>
        <w:t xml:space="preserve"> </w:t>
      </w:r>
      <w:r>
        <w:rPr>
          <w:rFonts w:ascii="Arial" w:hAnsi="Arial"/>
          <w:w w:val="105"/>
          <w:sz w:val="19"/>
        </w:rPr>
        <w:t>sports</w:t>
      </w:r>
      <w:r>
        <w:rPr>
          <w:rFonts w:ascii="Arial" w:hAnsi="Arial"/>
          <w:spacing w:val="-24"/>
          <w:w w:val="105"/>
          <w:sz w:val="19"/>
        </w:rPr>
        <w:t xml:space="preserve"> </w:t>
      </w:r>
      <w:r>
        <w:rPr>
          <w:rFonts w:ascii="Arial" w:hAnsi="Arial"/>
          <w:w w:val="105"/>
          <w:sz w:val="19"/>
        </w:rPr>
        <w:t>supplement</w:t>
      </w:r>
      <w:r>
        <w:rPr>
          <w:rFonts w:ascii="Arial" w:hAnsi="Arial"/>
          <w:spacing w:val="-23"/>
          <w:w w:val="105"/>
          <w:sz w:val="19"/>
        </w:rPr>
        <w:t xml:space="preserve"> </w:t>
      </w:r>
      <w:r>
        <w:rPr>
          <w:rFonts w:ascii="Arial" w:hAnsi="Arial"/>
          <w:w w:val="105"/>
          <w:sz w:val="19"/>
        </w:rPr>
        <w:t>sector</w:t>
      </w:r>
      <w:r>
        <w:rPr>
          <w:rFonts w:ascii="Arial" w:hAnsi="Arial"/>
          <w:spacing w:val="-21"/>
          <w:w w:val="105"/>
          <w:sz w:val="19"/>
        </w:rPr>
        <w:t xml:space="preserve"> </w:t>
      </w:r>
      <w:r>
        <w:rPr>
          <w:rFonts w:ascii="Arial" w:hAnsi="Arial"/>
          <w:w w:val="105"/>
          <w:sz w:val="19"/>
        </w:rPr>
        <w:t>is</w:t>
      </w:r>
      <w:r>
        <w:rPr>
          <w:rFonts w:ascii="Arial" w:hAnsi="Arial"/>
          <w:spacing w:val="-23"/>
          <w:w w:val="105"/>
          <w:sz w:val="19"/>
        </w:rPr>
        <w:t xml:space="preserve"> </w:t>
      </w:r>
      <w:r>
        <w:rPr>
          <w:rFonts w:ascii="Arial" w:hAnsi="Arial"/>
          <w:w w:val="105"/>
          <w:sz w:val="19"/>
        </w:rPr>
        <w:t>continual product</w:t>
      </w:r>
      <w:r>
        <w:rPr>
          <w:rFonts w:ascii="Arial" w:hAnsi="Arial"/>
          <w:spacing w:val="-20"/>
          <w:w w:val="105"/>
          <w:sz w:val="19"/>
        </w:rPr>
        <w:t xml:space="preserve"> </w:t>
      </w:r>
      <w:r>
        <w:rPr>
          <w:rFonts w:ascii="Arial" w:hAnsi="Arial"/>
          <w:w w:val="105"/>
          <w:sz w:val="19"/>
        </w:rPr>
        <w:t>development</w:t>
      </w:r>
      <w:r>
        <w:rPr>
          <w:rFonts w:ascii="Arial" w:hAnsi="Arial"/>
          <w:spacing w:val="-18"/>
          <w:w w:val="105"/>
          <w:sz w:val="19"/>
        </w:rPr>
        <w:t xml:space="preserve"> </w:t>
      </w:r>
      <w:r>
        <w:rPr>
          <w:rFonts w:ascii="Arial" w:hAnsi="Arial"/>
          <w:w w:val="105"/>
          <w:sz w:val="19"/>
        </w:rPr>
        <w:t>driven</w:t>
      </w:r>
      <w:r>
        <w:rPr>
          <w:rFonts w:ascii="Arial" w:hAnsi="Arial"/>
          <w:spacing w:val="-21"/>
          <w:w w:val="105"/>
          <w:sz w:val="19"/>
        </w:rPr>
        <w:t xml:space="preserve"> </w:t>
      </w:r>
      <w:r>
        <w:rPr>
          <w:rFonts w:ascii="Arial" w:hAnsi="Arial"/>
          <w:w w:val="105"/>
          <w:sz w:val="19"/>
        </w:rPr>
        <w:t>by</w:t>
      </w:r>
      <w:r>
        <w:rPr>
          <w:rFonts w:ascii="Arial" w:hAnsi="Arial"/>
          <w:spacing w:val="-18"/>
          <w:w w:val="105"/>
          <w:sz w:val="19"/>
        </w:rPr>
        <w:t xml:space="preserve"> </w:t>
      </w:r>
      <w:r>
        <w:rPr>
          <w:rFonts w:ascii="Arial" w:hAnsi="Arial"/>
          <w:w w:val="105"/>
          <w:sz w:val="19"/>
        </w:rPr>
        <w:t>customers</w:t>
      </w:r>
      <w:r>
        <w:rPr>
          <w:rFonts w:ascii="Arial" w:hAnsi="Arial"/>
          <w:spacing w:val="-21"/>
          <w:w w:val="105"/>
          <w:sz w:val="19"/>
        </w:rPr>
        <w:t xml:space="preserve"> </w:t>
      </w:r>
      <w:r>
        <w:rPr>
          <w:rFonts w:ascii="Arial" w:hAnsi="Arial"/>
          <w:w w:val="105"/>
          <w:sz w:val="19"/>
        </w:rPr>
        <w:t>seeking</w:t>
      </w:r>
      <w:r>
        <w:rPr>
          <w:rFonts w:ascii="Arial" w:hAnsi="Arial"/>
          <w:spacing w:val="-19"/>
          <w:w w:val="105"/>
          <w:sz w:val="19"/>
        </w:rPr>
        <w:t xml:space="preserve"> </w:t>
      </w:r>
      <w:r>
        <w:rPr>
          <w:rFonts w:ascii="Arial" w:hAnsi="Arial"/>
          <w:w w:val="105"/>
          <w:sz w:val="19"/>
        </w:rPr>
        <w:t>the</w:t>
      </w:r>
      <w:r>
        <w:rPr>
          <w:rFonts w:ascii="Arial" w:hAnsi="Arial"/>
          <w:spacing w:val="-18"/>
          <w:w w:val="105"/>
          <w:sz w:val="19"/>
        </w:rPr>
        <w:t xml:space="preserve"> </w:t>
      </w:r>
      <w:r>
        <w:rPr>
          <w:rFonts w:ascii="Arial" w:hAnsi="Arial"/>
          <w:w w:val="105"/>
          <w:sz w:val="19"/>
        </w:rPr>
        <w:t>‘next</w:t>
      </w:r>
      <w:r>
        <w:rPr>
          <w:rFonts w:ascii="Arial" w:hAnsi="Arial"/>
          <w:spacing w:val="-19"/>
          <w:w w:val="105"/>
          <w:sz w:val="19"/>
        </w:rPr>
        <w:t xml:space="preserve"> </w:t>
      </w:r>
      <w:r>
        <w:rPr>
          <w:rFonts w:ascii="Arial" w:hAnsi="Arial"/>
          <w:w w:val="105"/>
          <w:sz w:val="19"/>
        </w:rPr>
        <w:t>new</w:t>
      </w:r>
      <w:r>
        <w:rPr>
          <w:rFonts w:ascii="Arial" w:hAnsi="Arial"/>
          <w:spacing w:val="-18"/>
          <w:w w:val="105"/>
          <w:sz w:val="19"/>
        </w:rPr>
        <w:t xml:space="preserve"> </w:t>
      </w:r>
      <w:r>
        <w:rPr>
          <w:rFonts w:ascii="Arial" w:hAnsi="Arial"/>
          <w:w w:val="105"/>
          <w:sz w:val="19"/>
        </w:rPr>
        <w:t>thing’.</w:t>
      </w:r>
      <w:r>
        <w:rPr>
          <w:rFonts w:ascii="Arial" w:hAnsi="Arial"/>
          <w:spacing w:val="-18"/>
          <w:w w:val="105"/>
          <w:sz w:val="19"/>
        </w:rPr>
        <w:t xml:space="preserve"> </w:t>
      </w:r>
      <w:r>
        <w:rPr>
          <w:rFonts w:ascii="Arial" w:hAnsi="Arial"/>
          <w:w w:val="105"/>
          <w:sz w:val="19"/>
        </w:rPr>
        <w:t>Therefore,</w:t>
      </w:r>
      <w:r>
        <w:rPr>
          <w:rFonts w:ascii="Arial" w:hAnsi="Arial"/>
          <w:spacing w:val="-18"/>
          <w:w w:val="105"/>
          <w:sz w:val="19"/>
        </w:rPr>
        <w:t xml:space="preserve"> </w:t>
      </w:r>
      <w:r>
        <w:rPr>
          <w:rFonts w:ascii="Arial" w:hAnsi="Arial"/>
          <w:w w:val="105"/>
          <w:sz w:val="19"/>
        </w:rPr>
        <w:t>it</w:t>
      </w:r>
      <w:r>
        <w:rPr>
          <w:rFonts w:ascii="Arial" w:hAnsi="Arial"/>
          <w:spacing w:val="-18"/>
          <w:w w:val="105"/>
          <w:sz w:val="19"/>
        </w:rPr>
        <w:t xml:space="preserve"> </w:t>
      </w:r>
      <w:r>
        <w:rPr>
          <w:rFonts w:ascii="Arial" w:hAnsi="Arial"/>
          <w:w w:val="105"/>
          <w:sz w:val="19"/>
        </w:rPr>
        <w:t>is</w:t>
      </w:r>
      <w:r>
        <w:rPr>
          <w:rFonts w:ascii="Arial" w:hAnsi="Arial"/>
          <w:spacing w:val="-18"/>
          <w:w w:val="105"/>
          <w:sz w:val="19"/>
        </w:rPr>
        <w:t xml:space="preserve"> </w:t>
      </w:r>
      <w:r>
        <w:rPr>
          <w:rFonts w:ascii="Arial" w:hAnsi="Arial"/>
          <w:w w:val="105"/>
          <w:sz w:val="19"/>
        </w:rPr>
        <w:t>likely</w:t>
      </w:r>
      <w:r>
        <w:rPr>
          <w:rFonts w:ascii="Arial" w:hAnsi="Arial"/>
          <w:spacing w:val="-20"/>
          <w:w w:val="105"/>
          <w:sz w:val="19"/>
        </w:rPr>
        <w:t xml:space="preserve"> </w:t>
      </w:r>
      <w:r>
        <w:rPr>
          <w:rFonts w:ascii="Arial" w:hAnsi="Arial"/>
          <w:w w:val="105"/>
          <w:sz w:val="19"/>
        </w:rPr>
        <w:t>that new ingredients will be continually sourced, evaluated and used in sports supplements. Further complications</w:t>
      </w:r>
      <w:r>
        <w:rPr>
          <w:rFonts w:ascii="Arial" w:hAnsi="Arial"/>
          <w:spacing w:val="-25"/>
          <w:w w:val="105"/>
          <w:sz w:val="19"/>
        </w:rPr>
        <w:t xml:space="preserve"> </w:t>
      </w:r>
      <w:r>
        <w:rPr>
          <w:rFonts w:ascii="Arial" w:hAnsi="Arial"/>
          <w:w w:val="105"/>
          <w:sz w:val="19"/>
        </w:rPr>
        <w:t>are</w:t>
      </w:r>
      <w:r>
        <w:rPr>
          <w:rFonts w:ascii="Arial" w:hAnsi="Arial"/>
          <w:spacing w:val="-23"/>
          <w:w w:val="105"/>
          <w:sz w:val="19"/>
        </w:rPr>
        <w:t xml:space="preserve"> </w:t>
      </w:r>
      <w:r>
        <w:rPr>
          <w:rFonts w:ascii="Arial" w:hAnsi="Arial"/>
          <w:w w:val="105"/>
          <w:sz w:val="19"/>
        </w:rPr>
        <w:t>that</w:t>
      </w:r>
      <w:r>
        <w:rPr>
          <w:rFonts w:ascii="Arial" w:hAnsi="Arial"/>
          <w:spacing w:val="-24"/>
          <w:w w:val="105"/>
          <w:sz w:val="19"/>
        </w:rPr>
        <w:t xml:space="preserve"> </w:t>
      </w:r>
      <w:r>
        <w:rPr>
          <w:rFonts w:ascii="Arial" w:hAnsi="Arial"/>
          <w:w w:val="105"/>
          <w:sz w:val="19"/>
        </w:rPr>
        <w:t>there</w:t>
      </w:r>
      <w:r>
        <w:rPr>
          <w:rFonts w:ascii="Arial" w:hAnsi="Arial"/>
          <w:spacing w:val="-25"/>
          <w:w w:val="105"/>
          <w:sz w:val="19"/>
        </w:rPr>
        <w:t xml:space="preserve"> </w:t>
      </w:r>
      <w:r>
        <w:rPr>
          <w:rFonts w:ascii="Arial" w:hAnsi="Arial"/>
          <w:w w:val="105"/>
          <w:sz w:val="19"/>
        </w:rPr>
        <w:t>is</w:t>
      </w:r>
      <w:r>
        <w:rPr>
          <w:rFonts w:ascii="Arial" w:hAnsi="Arial"/>
          <w:spacing w:val="-23"/>
          <w:w w:val="105"/>
          <w:sz w:val="19"/>
        </w:rPr>
        <w:t xml:space="preserve"> </w:t>
      </w:r>
      <w:r>
        <w:rPr>
          <w:rFonts w:ascii="Arial" w:hAnsi="Arial"/>
          <w:w w:val="105"/>
          <w:sz w:val="19"/>
        </w:rPr>
        <w:t>no</w:t>
      </w:r>
      <w:r>
        <w:rPr>
          <w:rFonts w:ascii="Arial" w:hAnsi="Arial"/>
          <w:spacing w:val="-23"/>
          <w:w w:val="105"/>
          <w:sz w:val="19"/>
        </w:rPr>
        <w:t xml:space="preserve"> </w:t>
      </w:r>
      <w:r>
        <w:rPr>
          <w:rFonts w:ascii="Arial" w:hAnsi="Arial"/>
          <w:w w:val="105"/>
          <w:sz w:val="19"/>
        </w:rPr>
        <w:t>comprehensive</w:t>
      </w:r>
      <w:r>
        <w:rPr>
          <w:rFonts w:ascii="Arial" w:hAnsi="Arial"/>
          <w:spacing w:val="-23"/>
          <w:w w:val="105"/>
          <w:sz w:val="19"/>
        </w:rPr>
        <w:t xml:space="preserve"> </w:t>
      </w:r>
      <w:r>
        <w:rPr>
          <w:rFonts w:ascii="Arial" w:hAnsi="Arial"/>
          <w:w w:val="105"/>
          <w:sz w:val="19"/>
        </w:rPr>
        <w:t>listing</w:t>
      </w:r>
      <w:r>
        <w:rPr>
          <w:rFonts w:ascii="Arial" w:hAnsi="Arial"/>
          <w:spacing w:val="-24"/>
          <w:w w:val="105"/>
          <w:sz w:val="19"/>
        </w:rPr>
        <w:t xml:space="preserve"> </w:t>
      </w:r>
      <w:r>
        <w:rPr>
          <w:rFonts w:ascii="Arial" w:hAnsi="Arial"/>
          <w:w w:val="105"/>
          <w:sz w:val="19"/>
        </w:rPr>
        <w:t>of</w:t>
      </w:r>
      <w:r>
        <w:rPr>
          <w:rFonts w:ascii="Arial" w:hAnsi="Arial"/>
          <w:spacing w:val="-24"/>
          <w:w w:val="105"/>
          <w:sz w:val="19"/>
        </w:rPr>
        <w:t xml:space="preserve"> </w:t>
      </w:r>
      <w:r>
        <w:rPr>
          <w:rFonts w:ascii="Arial" w:hAnsi="Arial"/>
          <w:w w:val="105"/>
          <w:sz w:val="19"/>
        </w:rPr>
        <w:t>ingredients</w:t>
      </w:r>
      <w:r>
        <w:rPr>
          <w:rFonts w:ascii="Arial" w:hAnsi="Arial"/>
          <w:spacing w:val="-24"/>
          <w:w w:val="105"/>
          <w:sz w:val="19"/>
        </w:rPr>
        <w:t xml:space="preserve"> </w:t>
      </w:r>
      <w:r>
        <w:rPr>
          <w:rFonts w:ascii="Arial" w:hAnsi="Arial"/>
          <w:w w:val="105"/>
          <w:sz w:val="19"/>
        </w:rPr>
        <w:t>used</w:t>
      </w:r>
      <w:r>
        <w:rPr>
          <w:rFonts w:ascii="Arial" w:hAnsi="Arial"/>
          <w:spacing w:val="-23"/>
          <w:w w:val="105"/>
          <w:sz w:val="19"/>
        </w:rPr>
        <w:t xml:space="preserve"> </w:t>
      </w:r>
      <w:r>
        <w:rPr>
          <w:rFonts w:ascii="Arial" w:hAnsi="Arial"/>
          <w:w w:val="105"/>
          <w:sz w:val="19"/>
        </w:rPr>
        <w:t>in</w:t>
      </w:r>
      <w:r>
        <w:rPr>
          <w:rFonts w:ascii="Arial" w:hAnsi="Arial"/>
          <w:spacing w:val="-24"/>
          <w:w w:val="105"/>
          <w:sz w:val="19"/>
        </w:rPr>
        <w:t xml:space="preserve"> </w:t>
      </w:r>
      <w:r>
        <w:rPr>
          <w:rFonts w:ascii="Arial" w:hAnsi="Arial"/>
          <w:w w:val="105"/>
          <w:sz w:val="19"/>
        </w:rPr>
        <w:t>sports</w:t>
      </w:r>
      <w:r>
        <w:rPr>
          <w:rFonts w:ascii="Arial" w:hAnsi="Arial"/>
          <w:spacing w:val="-23"/>
          <w:w w:val="105"/>
          <w:sz w:val="19"/>
        </w:rPr>
        <w:t xml:space="preserve"> </w:t>
      </w:r>
      <w:r>
        <w:rPr>
          <w:rFonts w:ascii="Arial" w:hAnsi="Arial"/>
          <w:w w:val="105"/>
          <w:sz w:val="19"/>
        </w:rPr>
        <w:t>supplements and</w:t>
      </w:r>
      <w:r>
        <w:rPr>
          <w:rFonts w:ascii="Arial" w:hAnsi="Arial"/>
          <w:spacing w:val="-23"/>
          <w:w w:val="105"/>
          <w:sz w:val="19"/>
        </w:rPr>
        <w:t xml:space="preserve"> </w:t>
      </w:r>
      <w:r>
        <w:rPr>
          <w:rFonts w:ascii="Arial" w:hAnsi="Arial"/>
          <w:w w:val="105"/>
          <w:sz w:val="19"/>
        </w:rPr>
        <w:t>that</w:t>
      </w:r>
      <w:r>
        <w:rPr>
          <w:rFonts w:ascii="Arial" w:hAnsi="Arial"/>
          <w:spacing w:val="-22"/>
          <w:w w:val="105"/>
          <w:sz w:val="19"/>
        </w:rPr>
        <w:t xml:space="preserve"> </w:t>
      </w:r>
      <w:r>
        <w:rPr>
          <w:rFonts w:ascii="Arial" w:hAnsi="Arial"/>
          <w:w w:val="105"/>
          <w:sz w:val="19"/>
        </w:rPr>
        <w:t>the</w:t>
      </w:r>
      <w:r>
        <w:rPr>
          <w:rFonts w:ascii="Arial" w:hAnsi="Arial"/>
          <w:spacing w:val="-23"/>
          <w:w w:val="105"/>
          <w:sz w:val="19"/>
        </w:rPr>
        <w:t xml:space="preserve"> </w:t>
      </w:r>
      <w:r>
        <w:rPr>
          <w:rFonts w:ascii="Arial" w:hAnsi="Arial"/>
          <w:w w:val="105"/>
          <w:sz w:val="19"/>
        </w:rPr>
        <w:t>use</w:t>
      </w:r>
      <w:r>
        <w:rPr>
          <w:rFonts w:ascii="Arial" w:hAnsi="Arial"/>
          <w:spacing w:val="-21"/>
          <w:w w:val="105"/>
          <w:sz w:val="19"/>
        </w:rPr>
        <w:t xml:space="preserve"> </w:t>
      </w:r>
      <w:r>
        <w:rPr>
          <w:rFonts w:ascii="Arial" w:hAnsi="Arial"/>
          <w:w w:val="105"/>
          <w:sz w:val="19"/>
        </w:rPr>
        <w:t>of</w:t>
      </w:r>
      <w:r>
        <w:rPr>
          <w:rFonts w:ascii="Arial" w:hAnsi="Arial"/>
          <w:spacing w:val="-22"/>
          <w:w w:val="105"/>
          <w:sz w:val="19"/>
        </w:rPr>
        <w:t xml:space="preserve"> </w:t>
      </w:r>
      <w:r>
        <w:rPr>
          <w:rFonts w:ascii="Arial" w:hAnsi="Arial"/>
          <w:w w:val="105"/>
          <w:sz w:val="19"/>
        </w:rPr>
        <w:t>synonyms</w:t>
      </w:r>
      <w:r>
        <w:rPr>
          <w:rFonts w:ascii="Arial" w:hAnsi="Arial"/>
          <w:spacing w:val="-22"/>
          <w:w w:val="105"/>
          <w:sz w:val="19"/>
        </w:rPr>
        <w:t xml:space="preserve"> </w:t>
      </w:r>
      <w:r>
        <w:rPr>
          <w:rFonts w:ascii="Arial" w:hAnsi="Arial"/>
          <w:w w:val="105"/>
          <w:sz w:val="19"/>
        </w:rPr>
        <w:t>for</w:t>
      </w:r>
      <w:r>
        <w:rPr>
          <w:rFonts w:ascii="Arial" w:hAnsi="Arial"/>
          <w:spacing w:val="-20"/>
          <w:w w:val="105"/>
          <w:sz w:val="19"/>
        </w:rPr>
        <w:t xml:space="preserve"> </w:t>
      </w:r>
      <w:r>
        <w:rPr>
          <w:rFonts w:ascii="Arial" w:hAnsi="Arial"/>
          <w:w w:val="105"/>
          <w:sz w:val="19"/>
        </w:rPr>
        <w:t>ingredients</w:t>
      </w:r>
      <w:r>
        <w:rPr>
          <w:rFonts w:ascii="Arial" w:hAnsi="Arial"/>
          <w:spacing w:val="-24"/>
          <w:w w:val="105"/>
          <w:sz w:val="19"/>
        </w:rPr>
        <w:t xml:space="preserve"> </w:t>
      </w:r>
      <w:r>
        <w:rPr>
          <w:rFonts w:ascii="Arial" w:hAnsi="Arial"/>
          <w:w w:val="105"/>
          <w:sz w:val="19"/>
        </w:rPr>
        <w:t>is</w:t>
      </w:r>
      <w:r>
        <w:rPr>
          <w:rFonts w:ascii="Arial" w:hAnsi="Arial"/>
          <w:spacing w:val="-21"/>
          <w:w w:val="105"/>
          <w:sz w:val="19"/>
        </w:rPr>
        <w:t xml:space="preserve"> </w:t>
      </w:r>
      <w:r>
        <w:rPr>
          <w:rFonts w:ascii="Arial" w:hAnsi="Arial"/>
          <w:w w:val="105"/>
          <w:sz w:val="19"/>
        </w:rPr>
        <w:t>common</w:t>
      </w:r>
      <w:r>
        <w:rPr>
          <w:rFonts w:ascii="Arial" w:hAnsi="Arial"/>
          <w:spacing w:val="-24"/>
          <w:w w:val="105"/>
          <w:sz w:val="19"/>
        </w:rPr>
        <w:t xml:space="preserve"> </w:t>
      </w:r>
      <w:r>
        <w:rPr>
          <w:rFonts w:ascii="Arial" w:hAnsi="Arial"/>
          <w:w w:val="105"/>
          <w:sz w:val="19"/>
        </w:rPr>
        <w:t>practice.</w:t>
      </w:r>
      <w:r>
        <w:rPr>
          <w:rFonts w:ascii="Arial" w:hAnsi="Arial"/>
          <w:w w:val="105"/>
          <w:position w:val="7"/>
          <w:sz w:val="11"/>
        </w:rPr>
        <w:t>73</w:t>
      </w:r>
      <w:r>
        <w:rPr>
          <w:rFonts w:ascii="Arial" w:hAnsi="Arial"/>
          <w:spacing w:val="3"/>
          <w:w w:val="105"/>
          <w:position w:val="7"/>
          <w:sz w:val="11"/>
        </w:rPr>
        <w:t xml:space="preserve"> </w:t>
      </w:r>
      <w:r>
        <w:rPr>
          <w:rFonts w:ascii="Arial" w:hAnsi="Arial"/>
          <w:w w:val="105"/>
          <w:sz w:val="19"/>
        </w:rPr>
        <w:t>Noetic</w:t>
      </w:r>
      <w:r>
        <w:rPr>
          <w:rFonts w:ascii="Arial" w:hAnsi="Arial"/>
          <w:spacing w:val="-23"/>
          <w:w w:val="105"/>
          <w:sz w:val="19"/>
        </w:rPr>
        <w:t xml:space="preserve"> </w:t>
      </w:r>
      <w:r>
        <w:rPr>
          <w:rFonts w:ascii="Arial" w:hAnsi="Arial"/>
          <w:w w:val="105"/>
          <w:sz w:val="19"/>
        </w:rPr>
        <w:t>was</w:t>
      </w:r>
      <w:r>
        <w:rPr>
          <w:rFonts w:ascii="Arial" w:hAnsi="Arial"/>
          <w:spacing w:val="-23"/>
          <w:w w:val="105"/>
          <w:sz w:val="19"/>
        </w:rPr>
        <w:t xml:space="preserve"> </w:t>
      </w:r>
      <w:r>
        <w:rPr>
          <w:rFonts w:ascii="Arial" w:hAnsi="Arial"/>
          <w:w w:val="105"/>
          <w:sz w:val="19"/>
        </w:rPr>
        <w:t>therefore</w:t>
      </w:r>
      <w:r>
        <w:rPr>
          <w:rFonts w:ascii="Arial" w:hAnsi="Arial"/>
          <w:spacing w:val="-21"/>
          <w:w w:val="105"/>
          <w:sz w:val="19"/>
        </w:rPr>
        <w:t xml:space="preserve"> </w:t>
      </w:r>
      <w:r>
        <w:rPr>
          <w:rFonts w:ascii="Arial" w:hAnsi="Arial"/>
          <w:w w:val="105"/>
          <w:sz w:val="19"/>
        </w:rPr>
        <w:t>unable</w:t>
      </w:r>
      <w:r>
        <w:rPr>
          <w:rFonts w:ascii="Arial" w:hAnsi="Arial"/>
          <w:spacing w:val="-22"/>
          <w:w w:val="105"/>
          <w:sz w:val="19"/>
        </w:rPr>
        <w:t xml:space="preserve"> </w:t>
      </w:r>
      <w:r>
        <w:rPr>
          <w:rFonts w:ascii="Arial" w:hAnsi="Arial"/>
          <w:w w:val="105"/>
          <w:sz w:val="19"/>
        </w:rPr>
        <w:t>to undertake</w:t>
      </w:r>
      <w:r>
        <w:rPr>
          <w:rFonts w:ascii="Arial" w:hAnsi="Arial"/>
          <w:spacing w:val="-23"/>
          <w:w w:val="105"/>
          <w:sz w:val="19"/>
        </w:rPr>
        <w:t xml:space="preserve"> </w:t>
      </w:r>
      <w:r>
        <w:rPr>
          <w:rFonts w:ascii="Arial" w:hAnsi="Arial"/>
          <w:w w:val="105"/>
          <w:sz w:val="19"/>
        </w:rPr>
        <w:t>a</w:t>
      </w:r>
      <w:r>
        <w:rPr>
          <w:rFonts w:ascii="Arial" w:hAnsi="Arial"/>
          <w:spacing w:val="-21"/>
          <w:w w:val="105"/>
          <w:sz w:val="19"/>
        </w:rPr>
        <w:t xml:space="preserve"> </w:t>
      </w:r>
      <w:r>
        <w:rPr>
          <w:rFonts w:ascii="Arial" w:hAnsi="Arial"/>
          <w:w w:val="105"/>
          <w:sz w:val="19"/>
        </w:rPr>
        <w:t>data</w:t>
      </w:r>
      <w:r>
        <w:rPr>
          <w:rFonts w:ascii="Arial" w:hAnsi="Arial"/>
          <w:spacing w:val="-22"/>
          <w:w w:val="105"/>
          <w:sz w:val="19"/>
        </w:rPr>
        <w:t xml:space="preserve"> </w:t>
      </w:r>
      <w:r>
        <w:rPr>
          <w:rFonts w:ascii="Arial" w:hAnsi="Arial"/>
          <w:w w:val="105"/>
          <w:sz w:val="19"/>
        </w:rPr>
        <w:t>matching</w:t>
      </w:r>
      <w:r>
        <w:rPr>
          <w:rFonts w:ascii="Arial" w:hAnsi="Arial"/>
          <w:spacing w:val="-21"/>
          <w:w w:val="105"/>
          <w:sz w:val="19"/>
        </w:rPr>
        <w:t xml:space="preserve"> </w:t>
      </w:r>
      <w:r>
        <w:rPr>
          <w:rFonts w:ascii="Arial" w:hAnsi="Arial"/>
          <w:w w:val="105"/>
          <w:sz w:val="19"/>
        </w:rPr>
        <w:t>exercise</w:t>
      </w:r>
      <w:r>
        <w:rPr>
          <w:rFonts w:ascii="Arial" w:hAnsi="Arial"/>
          <w:spacing w:val="-22"/>
          <w:w w:val="105"/>
          <w:sz w:val="19"/>
        </w:rPr>
        <w:t xml:space="preserve"> </w:t>
      </w:r>
      <w:r>
        <w:rPr>
          <w:rFonts w:ascii="Arial" w:hAnsi="Arial"/>
          <w:w w:val="105"/>
          <w:sz w:val="19"/>
        </w:rPr>
        <w:t>of</w:t>
      </w:r>
      <w:r>
        <w:rPr>
          <w:rFonts w:ascii="Arial" w:hAnsi="Arial"/>
          <w:spacing w:val="-23"/>
          <w:w w:val="105"/>
          <w:sz w:val="19"/>
        </w:rPr>
        <w:t xml:space="preserve"> </w:t>
      </w:r>
      <w:r>
        <w:rPr>
          <w:rFonts w:ascii="Arial" w:hAnsi="Arial"/>
          <w:w w:val="105"/>
          <w:sz w:val="19"/>
        </w:rPr>
        <w:t>ingredients</w:t>
      </w:r>
      <w:r>
        <w:rPr>
          <w:rFonts w:ascii="Arial" w:hAnsi="Arial"/>
          <w:spacing w:val="-22"/>
          <w:w w:val="105"/>
          <w:sz w:val="19"/>
        </w:rPr>
        <w:t xml:space="preserve"> </w:t>
      </w:r>
      <w:r>
        <w:rPr>
          <w:rFonts w:ascii="Arial" w:hAnsi="Arial"/>
          <w:w w:val="105"/>
          <w:sz w:val="19"/>
        </w:rPr>
        <w:t>in</w:t>
      </w:r>
      <w:r>
        <w:rPr>
          <w:rFonts w:ascii="Arial" w:hAnsi="Arial"/>
          <w:spacing w:val="-23"/>
          <w:w w:val="105"/>
          <w:sz w:val="19"/>
        </w:rPr>
        <w:t xml:space="preserve"> </w:t>
      </w:r>
      <w:r>
        <w:rPr>
          <w:rFonts w:ascii="Arial" w:hAnsi="Arial"/>
          <w:w w:val="105"/>
          <w:sz w:val="19"/>
        </w:rPr>
        <w:t>sports</w:t>
      </w:r>
      <w:r>
        <w:rPr>
          <w:rFonts w:ascii="Arial" w:hAnsi="Arial"/>
          <w:spacing w:val="-22"/>
          <w:w w:val="105"/>
          <w:sz w:val="19"/>
        </w:rPr>
        <w:t xml:space="preserve"> </w:t>
      </w:r>
      <w:r>
        <w:rPr>
          <w:rFonts w:ascii="Arial" w:hAnsi="Arial"/>
          <w:w w:val="105"/>
          <w:sz w:val="19"/>
        </w:rPr>
        <w:t>supplements</w:t>
      </w:r>
      <w:r>
        <w:rPr>
          <w:rFonts w:ascii="Arial" w:hAnsi="Arial"/>
          <w:spacing w:val="-22"/>
          <w:w w:val="105"/>
          <w:sz w:val="19"/>
        </w:rPr>
        <w:t xml:space="preserve"> </w:t>
      </w:r>
      <w:r>
        <w:rPr>
          <w:rFonts w:ascii="Arial" w:hAnsi="Arial"/>
          <w:w w:val="105"/>
          <w:sz w:val="19"/>
        </w:rPr>
        <w:t>against</w:t>
      </w:r>
      <w:r>
        <w:rPr>
          <w:rFonts w:ascii="Arial" w:hAnsi="Arial"/>
          <w:spacing w:val="-21"/>
          <w:w w:val="105"/>
          <w:sz w:val="19"/>
        </w:rPr>
        <w:t xml:space="preserve"> </w:t>
      </w:r>
      <w:r>
        <w:rPr>
          <w:rFonts w:ascii="Arial" w:hAnsi="Arial"/>
          <w:w w:val="105"/>
          <w:sz w:val="19"/>
        </w:rPr>
        <w:t>the</w:t>
      </w:r>
      <w:r>
        <w:rPr>
          <w:rFonts w:ascii="Arial" w:hAnsi="Arial"/>
          <w:spacing w:val="-22"/>
          <w:w w:val="105"/>
          <w:sz w:val="19"/>
        </w:rPr>
        <w:t xml:space="preserve"> </w:t>
      </w:r>
      <w:r>
        <w:rPr>
          <w:rFonts w:ascii="Arial" w:hAnsi="Arial"/>
          <w:w w:val="105"/>
          <w:sz w:val="19"/>
        </w:rPr>
        <w:t>ingredients listed</w:t>
      </w:r>
      <w:r>
        <w:rPr>
          <w:rFonts w:ascii="Arial" w:hAnsi="Arial"/>
          <w:spacing w:val="-13"/>
          <w:w w:val="105"/>
          <w:sz w:val="19"/>
        </w:rPr>
        <w:t xml:space="preserve"> </w:t>
      </w:r>
      <w:r>
        <w:rPr>
          <w:rFonts w:ascii="Arial" w:hAnsi="Arial"/>
          <w:w w:val="105"/>
          <w:sz w:val="19"/>
        </w:rPr>
        <w:t>in</w:t>
      </w:r>
      <w:r>
        <w:rPr>
          <w:rFonts w:ascii="Arial" w:hAnsi="Arial"/>
          <w:spacing w:val="-13"/>
          <w:w w:val="105"/>
          <w:sz w:val="19"/>
        </w:rPr>
        <w:t xml:space="preserve"> </w:t>
      </w:r>
      <w:r>
        <w:rPr>
          <w:rFonts w:ascii="Arial" w:hAnsi="Arial"/>
          <w:w w:val="105"/>
          <w:sz w:val="19"/>
        </w:rPr>
        <w:t>the</w:t>
      </w:r>
      <w:r>
        <w:rPr>
          <w:rFonts w:ascii="Arial" w:hAnsi="Arial"/>
          <w:spacing w:val="-11"/>
          <w:w w:val="105"/>
          <w:sz w:val="19"/>
        </w:rPr>
        <w:t xml:space="preserve"> </w:t>
      </w:r>
      <w:r>
        <w:rPr>
          <w:rFonts w:ascii="Arial" w:hAnsi="Arial"/>
          <w:w w:val="105"/>
          <w:sz w:val="19"/>
        </w:rPr>
        <w:t>Permissible</w:t>
      </w:r>
      <w:r>
        <w:rPr>
          <w:rFonts w:ascii="Arial" w:hAnsi="Arial"/>
          <w:spacing w:val="-10"/>
          <w:w w:val="105"/>
          <w:sz w:val="19"/>
        </w:rPr>
        <w:t xml:space="preserve"> </w:t>
      </w:r>
      <w:r>
        <w:rPr>
          <w:rFonts w:ascii="Arial" w:hAnsi="Arial"/>
          <w:w w:val="105"/>
          <w:sz w:val="19"/>
        </w:rPr>
        <w:t>Ingredients</w:t>
      </w:r>
      <w:r>
        <w:rPr>
          <w:rFonts w:ascii="Arial" w:hAnsi="Arial"/>
          <w:spacing w:val="-12"/>
          <w:w w:val="105"/>
          <w:sz w:val="19"/>
        </w:rPr>
        <w:t xml:space="preserve"> </w:t>
      </w:r>
      <w:r>
        <w:rPr>
          <w:rFonts w:ascii="Arial" w:hAnsi="Arial"/>
          <w:w w:val="105"/>
          <w:sz w:val="19"/>
        </w:rPr>
        <w:t>Determination.</w:t>
      </w:r>
    </w:p>
    <w:p w:rsidR="007D76BB" w:rsidRDefault="00D70D28">
      <w:pPr>
        <w:spacing w:before="183" w:line="264" w:lineRule="auto"/>
        <w:ind w:left="482" w:right="778"/>
        <w:rPr>
          <w:rFonts w:ascii="Arial"/>
          <w:sz w:val="19"/>
        </w:rPr>
      </w:pPr>
      <w:r>
        <w:rPr>
          <w:rFonts w:ascii="Arial"/>
          <w:w w:val="105"/>
          <w:sz w:val="19"/>
        </w:rPr>
        <w:t>There</w:t>
      </w:r>
      <w:r>
        <w:rPr>
          <w:rFonts w:ascii="Arial"/>
          <w:spacing w:val="-23"/>
          <w:w w:val="105"/>
          <w:sz w:val="19"/>
        </w:rPr>
        <w:t xml:space="preserve"> </w:t>
      </w:r>
      <w:r>
        <w:rPr>
          <w:rFonts w:ascii="Arial"/>
          <w:w w:val="105"/>
          <w:sz w:val="19"/>
        </w:rPr>
        <w:t>is</w:t>
      </w:r>
      <w:r>
        <w:rPr>
          <w:rFonts w:ascii="Arial"/>
          <w:spacing w:val="-22"/>
          <w:w w:val="105"/>
          <w:sz w:val="19"/>
        </w:rPr>
        <w:t xml:space="preserve"> </w:t>
      </w:r>
      <w:r>
        <w:rPr>
          <w:rFonts w:ascii="Arial"/>
          <w:w w:val="105"/>
          <w:sz w:val="19"/>
        </w:rPr>
        <w:t>likely</w:t>
      </w:r>
      <w:r>
        <w:rPr>
          <w:rFonts w:ascii="Arial"/>
          <w:spacing w:val="-21"/>
          <w:w w:val="105"/>
          <w:sz w:val="19"/>
        </w:rPr>
        <w:t xml:space="preserve"> </w:t>
      </w:r>
      <w:r>
        <w:rPr>
          <w:rFonts w:ascii="Arial"/>
          <w:w w:val="105"/>
          <w:sz w:val="19"/>
        </w:rPr>
        <w:t>a</w:t>
      </w:r>
      <w:r>
        <w:rPr>
          <w:rFonts w:ascii="Arial"/>
          <w:spacing w:val="-23"/>
          <w:w w:val="105"/>
          <w:sz w:val="19"/>
        </w:rPr>
        <w:t xml:space="preserve"> </w:t>
      </w:r>
      <w:r>
        <w:rPr>
          <w:rFonts w:ascii="Arial"/>
          <w:w w:val="105"/>
          <w:sz w:val="19"/>
        </w:rPr>
        <w:t>correlation</w:t>
      </w:r>
      <w:r>
        <w:rPr>
          <w:rFonts w:ascii="Arial"/>
          <w:spacing w:val="-21"/>
          <w:w w:val="105"/>
          <w:sz w:val="19"/>
        </w:rPr>
        <w:t xml:space="preserve"> </w:t>
      </w:r>
      <w:r>
        <w:rPr>
          <w:rFonts w:ascii="Arial"/>
          <w:w w:val="105"/>
          <w:sz w:val="19"/>
        </w:rPr>
        <w:t>between</w:t>
      </w:r>
      <w:r>
        <w:rPr>
          <w:rFonts w:ascii="Arial"/>
          <w:spacing w:val="-22"/>
          <w:w w:val="105"/>
          <w:sz w:val="19"/>
        </w:rPr>
        <w:t xml:space="preserve"> </w:t>
      </w:r>
      <w:r>
        <w:rPr>
          <w:rFonts w:ascii="Arial"/>
          <w:w w:val="105"/>
          <w:sz w:val="19"/>
        </w:rPr>
        <w:t>the</w:t>
      </w:r>
      <w:r>
        <w:rPr>
          <w:rFonts w:ascii="Arial"/>
          <w:spacing w:val="-22"/>
          <w:w w:val="105"/>
          <w:sz w:val="19"/>
        </w:rPr>
        <w:t xml:space="preserve"> </w:t>
      </w:r>
      <w:r>
        <w:rPr>
          <w:rFonts w:ascii="Arial"/>
          <w:w w:val="105"/>
          <w:sz w:val="19"/>
        </w:rPr>
        <w:t>number</w:t>
      </w:r>
      <w:r>
        <w:rPr>
          <w:rFonts w:ascii="Arial"/>
          <w:spacing w:val="-23"/>
          <w:w w:val="105"/>
          <w:sz w:val="19"/>
        </w:rPr>
        <w:t xml:space="preserve"> </w:t>
      </w:r>
      <w:r>
        <w:rPr>
          <w:rFonts w:ascii="Arial"/>
          <w:w w:val="105"/>
          <w:sz w:val="19"/>
        </w:rPr>
        <w:t>of</w:t>
      </w:r>
      <w:r>
        <w:rPr>
          <w:rFonts w:ascii="Arial"/>
          <w:spacing w:val="-18"/>
          <w:w w:val="105"/>
          <w:sz w:val="19"/>
        </w:rPr>
        <w:t xml:space="preserve"> </w:t>
      </w:r>
      <w:r>
        <w:rPr>
          <w:rFonts w:ascii="Arial"/>
          <w:w w:val="105"/>
          <w:sz w:val="19"/>
        </w:rPr>
        <w:t>ARTG</w:t>
      </w:r>
      <w:r>
        <w:rPr>
          <w:rFonts w:ascii="Arial"/>
          <w:spacing w:val="-24"/>
          <w:w w:val="105"/>
          <w:sz w:val="19"/>
        </w:rPr>
        <w:t xml:space="preserve"> </w:t>
      </w:r>
      <w:r>
        <w:rPr>
          <w:rFonts w:ascii="Arial"/>
          <w:w w:val="105"/>
          <w:sz w:val="19"/>
        </w:rPr>
        <w:t>applications</w:t>
      </w:r>
      <w:r>
        <w:rPr>
          <w:rFonts w:ascii="Arial"/>
          <w:spacing w:val="-22"/>
          <w:w w:val="105"/>
          <w:sz w:val="19"/>
        </w:rPr>
        <w:t xml:space="preserve"> </w:t>
      </w:r>
      <w:r>
        <w:rPr>
          <w:rFonts w:ascii="Arial"/>
          <w:w w:val="105"/>
          <w:sz w:val="19"/>
        </w:rPr>
        <w:t>for</w:t>
      </w:r>
      <w:r>
        <w:rPr>
          <w:rFonts w:ascii="Arial"/>
          <w:spacing w:val="-21"/>
          <w:w w:val="105"/>
          <w:sz w:val="19"/>
        </w:rPr>
        <w:t xml:space="preserve"> </w:t>
      </w:r>
      <w:r>
        <w:rPr>
          <w:rFonts w:ascii="Arial"/>
          <w:w w:val="105"/>
          <w:sz w:val="19"/>
        </w:rPr>
        <w:t>sports</w:t>
      </w:r>
      <w:r>
        <w:rPr>
          <w:rFonts w:ascii="Arial"/>
          <w:spacing w:val="-23"/>
          <w:w w:val="105"/>
          <w:sz w:val="19"/>
        </w:rPr>
        <w:t xml:space="preserve"> </w:t>
      </w:r>
      <w:r>
        <w:rPr>
          <w:rFonts w:ascii="Arial"/>
          <w:w w:val="105"/>
          <w:sz w:val="19"/>
        </w:rPr>
        <w:t>supplements</w:t>
      </w:r>
      <w:r>
        <w:rPr>
          <w:rFonts w:ascii="Arial"/>
          <w:spacing w:val="-22"/>
          <w:w w:val="105"/>
          <w:sz w:val="19"/>
        </w:rPr>
        <w:t xml:space="preserve"> </w:t>
      </w:r>
      <w:r>
        <w:rPr>
          <w:rFonts w:ascii="Arial"/>
          <w:w w:val="105"/>
          <w:sz w:val="19"/>
        </w:rPr>
        <w:t>to become</w:t>
      </w:r>
      <w:r>
        <w:rPr>
          <w:rFonts w:ascii="Arial"/>
          <w:spacing w:val="-32"/>
          <w:w w:val="105"/>
          <w:sz w:val="19"/>
        </w:rPr>
        <w:t xml:space="preserve"> </w:t>
      </w:r>
      <w:r>
        <w:rPr>
          <w:rFonts w:ascii="Arial"/>
          <w:w w:val="105"/>
          <w:sz w:val="19"/>
        </w:rPr>
        <w:t>listed</w:t>
      </w:r>
      <w:r>
        <w:rPr>
          <w:rFonts w:ascii="Arial"/>
          <w:spacing w:val="-33"/>
          <w:w w:val="105"/>
          <w:sz w:val="19"/>
        </w:rPr>
        <w:t xml:space="preserve"> </w:t>
      </w:r>
      <w:r>
        <w:rPr>
          <w:rFonts w:ascii="Arial"/>
          <w:w w:val="105"/>
          <w:sz w:val="19"/>
        </w:rPr>
        <w:t>medicines</w:t>
      </w:r>
      <w:r>
        <w:rPr>
          <w:rFonts w:ascii="Arial"/>
          <w:spacing w:val="-32"/>
          <w:w w:val="105"/>
          <w:sz w:val="19"/>
        </w:rPr>
        <w:t xml:space="preserve"> </w:t>
      </w:r>
      <w:r>
        <w:rPr>
          <w:rFonts w:ascii="Arial"/>
          <w:w w:val="105"/>
          <w:sz w:val="19"/>
        </w:rPr>
        <w:t>and</w:t>
      </w:r>
      <w:r>
        <w:rPr>
          <w:rFonts w:ascii="Arial"/>
          <w:spacing w:val="-33"/>
          <w:w w:val="105"/>
          <w:sz w:val="19"/>
        </w:rPr>
        <w:t xml:space="preserve"> </w:t>
      </w:r>
      <w:r>
        <w:rPr>
          <w:rFonts w:ascii="Arial"/>
          <w:w w:val="105"/>
          <w:sz w:val="19"/>
        </w:rPr>
        <w:t>applications</w:t>
      </w:r>
      <w:r>
        <w:rPr>
          <w:rFonts w:ascii="Arial"/>
          <w:spacing w:val="-32"/>
          <w:w w:val="105"/>
          <w:sz w:val="19"/>
        </w:rPr>
        <w:t xml:space="preserve"> </w:t>
      </w:r>
      <w:r>
        <w:rPr>
          <w:rFonts w:ascii="Arial"/>
          <w:w w:val="105"/>
          <w:sz w:val="19"/>
        </w:rPr>
        <w:t>for</w:t>
      </w:r>
      <w:r>
        <w:rPr>
          <w:rFonts w:ascii="Arial"/>
          <w:spacing w:val="-33"/>
          <w:w w:val="105"/>
          <w:sz w:val="19"/>
        </w:rPr>
        <w:t xml:space="preserve"> </w:t>
      </w:r>
      <w:r>
        <w:rPr>
          <w:rFonts w:ascii="Arial"/>
          <w:w w:val="105"/>
          <w:sz w:val="19"/>
        </w:rPr>
        <w:t>new</w:t>
      </w:r>
      <w:r>
        <w:rPr>
          <w:rFonts w:ascii="Arial"/>
          <w:spacing w:val="-33"/>
          <w:w w:val="105"/>
          <w:sz w:val="19"/>
        </w:rPr>
        <w:t xml:space="preserve"> </w:t>
      </w:r>
      <w:r>
        <w:rPr>
          <w:rFonts w:ascii="Arial"/>
          <w:w w:val="105"/>
          <w:sz w:val="19"/>
        </w:rPr>
        <w:t>listed</w:t>
      </w:r>
      <w:r>
        <w:rPr>
          <w:rFonts w:ascii="Arial"/>
          <w:spacing w:val="-34"/>
          <w:w w:val="105"/>
          <w:sz w:val="19"/>
        </w:rPr>
        <w:t xml:space="preserve"> </w:t>
      </w:r>
      <w:r>
        <w:rPr>
          <w:rFonts w:ascii="Arial"/>
          <w:w w:val="105"/>
          <w:sz w:val="19"/>
        </w:rPr>
        <w:t>medicine</w:t>
      </w:r>
      <w:r>
        <w:rPr>
          <w:rFonts w:ascii="Arial"/>
          <w:spacing w:val="-31"/>
          <w:w w:val="105"/>
          <w:sz w:val="19"/>
        </w:rPr>
        <w:t xml:space="preserve"> </w:t>
      </w:r>
      <w:r>
        <w:rPr>
          <w:rFonts w:ascii="Arial"/>
          <w:w w:val="105"/>
          <w:sz w:val="19"/>
        </w:rPr>
        <w:t>ingredients.</w:t>
      </w:r>
      <w:r>
        <w:rPr>
          <w:rFonts w:ascii="Arial"/>
          <w:spacing w:val="-33"/>
          <w:w w:val="105"/>
          <w:sz w:val="19"/>
        </w:rPr>
        <w:t xml:space="preserve"> </w:t>
      </w:r>
      <w:r>
        <w:rPr>
          <w:rFonts w:ascii="Arial"/>
          <w:w w:val="105"/>
          <w:sz w:val="19"/>
        </w:rPr>
        <w:t>Industry</w:t>
      </w:r>
      <w:r>
        <w:rPr>
          <w:rFonts w:ascii="Arial"/>
          <w:spacing w:val="-33"/>
          <w:w w:val="105"/>
          <w:sz w:val="19"/>
        </w:rPr>
        <w:t xml:space="preserve"> </w:t>
      </w:r>
      <w:r>
        <w:rPr>
          <w:rFonts w:ascii="Arial"/>
          <w:w w:val="105"/>
          <w:sz w:val="19"/>
        </w:rPr>
        <w:t>has</w:t>
      </w:r>
      <w:r>
        <w:rPr>
          <w:rFonts w:ascii="Arial"/>
          <w:spacing w:val="-33"/>
          <w:w w:val="105"/>
          <w:sz w:val="19"/>
        </w:rPr>
        <w:t xml:space="preserve"> </w:t>
      </w:r>
      <w:r>
        <w:rPr>
          <w:rFonts w:ascii="Arial"/>
          <w:w w:val="105"/>
          <w:sz w:val="19"/>
        </w:rPr>
        <w:t>advised that for powders the default position will likely be to reformulate to avoid the product being regulated as a therapeutic good. Applications for new listed medicine ingredients are therefore more</w:t>
      </w:r>
      <w:r>
        <w:rPr>
          <w:rFonts w:ascii="Arial"/>
          <w:spacing w:val="-16"/>
          <w:w w:val="105"/>
          <w:sz w:val="19"/>
        </w:rPr>
        <w:t xml:space="preserve"> </w:t>
      </w:r>
      <w:r>
        <w:rPr>
          <w:rFonts w:ascii="Arial"/>
          <w:w w:val="105"/>
          <w:sz w:val="19"/>
        </w:rPr>
        <w:t>likely</w:t>
      </w:r>
      <w:r>
        <w:rPr>
          <w:rFonts w:ascii="Arial"/>
          <w:spacing w:val="-16"/>
          <w:w w:val="105"/>
          <w:sz w:val="19"/>
        </w:rPr>
        <w:t xml:space="preserve"> </w:t>
      </w:r>
      <w:r>
        <w:rPr>
          <w:rFonts w:ascii="Arial"/>
          <w:w w:val="105"/>
          <w:sz w:val="19"/>
        </w:rPr>
        <w:lastRenderedPageBreak/>
        <w:t>to</w:t>
      </w:r>
      <w:r>
        <w:rPr>
          <w:rFonts w:ascii="Arial"/>
          <w:spacing w:val="-18"/>
          <w:w w:val="105"/>
          <w:sz w:val="19"/>
        </w:rPr>
        <w:t xml:space="preserve"> </w:t>
      </w:r>
      <w:r>
        <w:rPr>
          <w:rFonts w:ascii="Arial"/>
          <w:w w:val="105"/>
          <w:sz w:val="19"/>
        </w:rPr>
        <w:t>be</w:t>
      </w:r>
      <w:r>
        <w:rPr>
          <w:rFonts w:ascii="Arial"/>
          <w:spacing w:val="-14"/>
          <w:w w:val="105"/>
          <w:sz w:val="19"/>
        </w:rPr>
        <w:t xml:space="preserve"> </w:t>
      </w:r>
      <w:r>
        <w:rPr>
          <w:rFonts w:ascii="Arial"/>
          <w:w w:val="105"/>
          <w:sz w:val="19"/>
        </w:rPr>
        <w:t>linked</w:t>
      </w:r>
      <w:r>
        <w:rPr>
          <w:rFonts w:ascii="Arial"/>
          <w:spacing w:val="-17"/>
          <w:w w:val="105"/>
          <w:sz w:val="19"/>
        </w:rPr>
        <w:t xml:space="preserve"> </w:t>
      </w:r>
      <w:r>
        <w:rPr>
          <w:rFonts w:ascii="Arial"/>
          <w:w w:val="105"/>
          <w:sz w:val="19"/>
        </w:rPr>
        <w:t>to</w:t>
      </w:r>
      <w:r>
        <w:rPr>
          <w:rFonts w:ascii="Arial"/>
          <w:spacing w:val="-18"/>
          <w:w w:val="105"/>
          <w:sz w:val="19"/>
        </w:rPr>
        <w:t xml:space="preserve"> </w:t>
      </w:r>
      <w:r>
        <w:rPr>
          <w:rFonts w:ascii="Arial"/>
          <w:w w:val="105"/>
          <w:sz w:val="19"/>
        </w:rPr>
        <w:t>applications</w:t>
      </w:r>
      <w:r>
        <w:rPr>
          <w:rFonts w:ascii="Arial"/>
          <w:spacing w:val="-16"/>
          <w:w w:val="105"/>
          <w:sz w:val="19"/>
        </w:rPr>
        <w:t xml:space="preserve"> </w:t>
      </w:r>
      <w:r>
        <w:rPr>
          <w:rFonts w:ascii="Arial"/>
          <w:w w:val="105"/>
          <w:sz w:val="19"/>
        </w:rPr>
        <w:t>for</w:t>
      </w:r>
      <w:r>
        <w:rPr>
          <w:rFonts w:ascii="Arial"/>
          <w:spacing w:val="-18"/>
          <w:w w:val="105"/>
          <w:sz w:val="19"/>
        </w:rPr>
        <w:t xml:space="preserve"> </w:t>
      </w:r>
      <w:r>
        <w:rPr>
          <w:rFonts w:ascii="Arial"/>
          <w:w w:val="105"/>
          <w:sz w:val="19"/>
        </w:rPr>
        <w:t>capsulated</w:t>
      </w:r>
      <w:r>
        <w:rPr>
          <w:rFonts w:ascii="Arial"/>
          <w:spacing w:val="-17"/>
          <w:w w:val="105"/>
          <w:sz w:val="19"/>
        </w:rPr>
        <w:t xml:space="preserve"> </w:t>
      </w:r>
      <w:r>
        <w:rPr>
          <w:rFonts w:ascii="Arial"/>
          <w:w w:val="105"/>
          <w:sz w:val="19"/>
        </w:rPr>
        <w:t>sports</w:t>
      </w:r>
      <w:r>
        <w:rPr>
          <w:rFonts w:ascii="Arial"/>
          <w:spacing w:val="-16"/>
          <w:w w:val="105"/>
          <w:sz w:val="19"/>
        </w:rPr>
        <w:t xml:space="preserve"> </w:t>
      </w:r>
      <w:r>
        <w:rPr>
          <w:rFonts w:ascii="Arial"/>
          <w:w w:val="105"/>
          <w:sz w:val="19"/>
        </w:rPr>
        <w:t>supplements</w:t>
      </w:r>
      <w:r>
        <w:rPr>
          <w:rFonts w:ascii="Arial"/>
          <w:spacing w:val="-17"/>
          <w:w w:val="105"/>
          <w:sz w:val="19"/>
        </w:rPr>
        <w:t xml:space="preserve"> </w:t>
      </w:r>
      <w:r>
        <w:rPr>
          <w:rFonts w:ascii="Arial"/>
          <w:w w:val="105"/>
          <w:sz w:val="19"/>
        </w:rPr>
        <w:t>to</w:t>
      </w:r>
      <w:r>
        <w:rPr>
          <w:rFonts w:ascii="Arial"/>
          <w:spacing w:val="-18"/>
          <w:w w:val="105"/>
          <w:sz w:val="19"/>
        </w:rPr>
        <w:t xml:space="preserve"> </w:t>
      </w:r>
      <w:r>
        <w:rPr>
          <w:rFonts w:ascii="Arial"/>
          <w:w w:val="105"/>
          <w:sz w:val="19"/>
        </w:rPr>
        <w:t>become</w:t>
      </w:r>
      <w:r>
        <w:rPr>
          <w:rFonts w:ascii="Arial"/>
          <w:spacing w:val="-17"/>
          <w:w w:val="105"/>
          <w:sz w:val="19"/>
        </w:rPr>
        <w:t xml:space="preserve"> </w:t>
      </w:r>
      <w:r>
        <w:rPr>
          <w:rFonts w:ascii="Arial"/>
          <w:w w:val="105"/>
          <w:sz w:val="19"/>
        </w:rPr>
        <w:t>listed</w:t>
      </w:r>
    </w:p>
    <w:p w:rsidR="007D76BB" w:rsidRDefault="00D70D28">
      <w:pPr>
        <w:pStyle w:val="BodyText"/>
        <w:spacing w:before="2"/>
        <w:rPr>
          <w:rFonts w:ascii="Arial"/>
          <w:sz w:val="12"/>
        </w:rPr>
      </w:pPr>
      <w:r>
        <w:rPr>
          <w:noProof/>
          <w:lang w:val="en-AU" w:eastAsia="en-AU"/>
        </w:rPr>
        <mc:AlternateContent>
          <mc:Choice Requires="wps">
            <w:drawing>
              <wp:anchor distT="0" distB="0" distL="0" distR="0" simplePos="0" relativeHeight="251748352" behindDoc="1" locked="0" layoutInCell="1" allowOverlap="1">
                <wp:simplePos x="0" y="0"/>
                <wp:positionH relativeFrom="page">
                  <wp:posOffset>1080770</wp:posOffset>
                </wp:positionH>
                <wp:positionV relativeFrom="paragraph">
                  <wp:posOffset>119380</wp:posOffset>
                </wp:positionV>
                <wp:extent cx="1829435" cy="1270"/>
                <wp:effectExtent l="0" t="0" r="0" b="0"/>
                <wp:wrapTopAndBottom/>
                <wp:docPr id="281"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C5A6D" id="Freeform 137" o:spid="_x0000_s1026" style="position:absolute;margin-left:85.1pt;margin-top:9.4pt;width:144.05pt;height:.1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" path="m,l2880,e" filled="f" strokeweight=".84pt">
                <v:path arrowok="t" o:connecttype="custom" o:connectlocs="0,0;1828800,0" o:connectangles="0,0"/>
                <w10:wrap type="topAndBottom" anchorx="page"/>
              </v:shape>
            </w:pict>
          </mc:Fallback>
        </mc:AlternateContent>
      </w:r>
    </w:p>
    <w:p w:rsidR="007D76BB" w:rsidRDefault="00D70D28">
      <w:pPr>
        <w:spacing w:before="132" w:line="268" w:lineRule="auto"/>
        <w:ind w:left="594" w:right="1053" w:hanging="113"/>
        <w:rPr>
          <w:rFonts w:ascii="Arial"/>
          <w:sz w:val="14"/>
        </w:rPr>
      </w:pPr>
      <w:r>
        <w:rPr>
          <w:rFonts w:ascii="Arial"/>
          <w:color w:val="5B6761"/>
          <w:w w:val="105"/>
          <w:position w:val="5"/>
          <w:sz w:val="8"/>
        </w:rPr>
        <w:t>70</w:t>
      </w:r>
      <w:r>
        <w:rPr>
          <w:rFonts w:ascii="Arial"/>
          <w:color w:val="5B6761"/>
          <w:spacing w:val="-5"/>
          <w:w w:val="105"/>
          <w:position w:val="5"/>
          <w:sz w:val="8"/>
        </w:rPr>
        <w:t xml:space="preserve"> </w:t>
      </w:r>
      <w:r>
        <w:rPr>
          <w:rFonts w:ascii="Arial"/>
          <w:color w:val="5B6761"/>
          <w:w w:val="105"/>
          <w:sz w:val="14"/>
        </w:rPr>
        <w:t>Common</w:t>
      </w:r>
      <w:r>
        <w:rPr>
          <w:rFonts w:ascii="Arial"/>
          <w:color w:val="5B6761"/>
          <w:spacing w:val="-21"/>
          <w:w w:val="105"/>
          <w:sz w:val="14"/>
        </w:rPr>
        <w:t xml:space="preserve"> </w:t>
      </w:r>
      <w:r>
        <w:rPr>
          <w:rFonts w:ascii="Arial"/>
          <w:color w:val="5B6761"/>
          <w:w w:val="105"/>
          <w:sz w:val="14"/>
        </w:rPr>
        <w:t>ingredients</w:t>
      </w:r>
      <w:r>
        <w:rPr>
          <w:rFonts w:ascii="Arial"/>
          <w:color w:val="5B6761"/>
          <w:spacing w:val="-22"/>
          <w:w w:val="105"/>
          <w:sz w:val="14"/>
        </w:rPr>
        <w:t xml:space="preserve"> </w:t>
      </w:r>
      <w:r>
        <w:rPr>
          <w:rFonts w:ascii="Arial"/>
          <w:color w:val="5B6761"/>
          <w:w w:val="105"/>
          <w:sz w:val="14"/>
        </w:rPr>
        <w:t>contained</w:t>
      </w:r>
      <w:r>
        <w:rPr>
          <w:rFonts w:ascii="Arial"/>
          <w:color w:val="5B6761"/>
          <w:spacing w:val="-21"/>
          <w:w w:val="105"/>
          <w:sz w:val="14"/>
        </w:rPr>
        <w:t xml:space="preserve"> </w:t>
      </w:r>
      <w:r>
        <w:rPr>
          <w:rFonts w:ascii="Arial"/>
          <w:color w:val="5B6761"/>
          <w:w w:val="105"/>
          <w:sz w:val="14"/>
        </w:rPr>
        <w:t>in</w:t>
      </w:r>
      <w:r>
        <w:rPr>
          <w:rFonts w:ascii="Arial"/>
          <w:color w:val="5B6761"/>
          <w:spacing w:val="-22"/>
          <w:w w:val="105"/>
          <w:sz w:val="14"/>
        </w:rPr>
        <w:t xml:space="preserve"> </w:t>
      </w:r>
      <w:r>
        <w:rPr>
          <w:rFonts w:ascii="Arial"/>
          <w:color w:val="5B6761"/>
          <w:w w:val="105"/>
          <w:sz w:val="14"/>
        </w:rPr>
        <w:t>pre-workout</w:t>
      </w:r>
      <w:r>
        <w:rPr>
          <w:rFonts w:ascii="Arial"/>
          <w:color w:val="5B6761"/>
          <w:spacing w:val="-21"/>
          <w:w w:val="105"/>
          <w:sz w:val="14"/>
        </w:rPr>
        <w:t xml:space="preserve"> </w:t>
      </w:r>
      <w:r>
        <w:rPr>
          <w:rFonts w:ascii="Arial"/>
          <w:color w:val="5B6761"/>
          <w:w w:val="105"/>
          <w:sz w:val="14"/>
        </w:rPr>
        <w:t>products</w:t>
      </w:r>
      <w:r>
        <w:rPr>
          <w:rFonts w:ascii="Arial"/>
          <w:color w:val="5B6761"/>
          <w:spacing w:val="-22"/>
          <w:w w:val="105"/>
          <w:sz w:val="14"/>
        </w:rPr>
        <w:t xml:space="preserve"> </w:t>
      </w:r>
      <w:r>
        <w:rPr>
          <w:rFonts w:ascii="Arial"/>
          <w:color w:val="5B6761"/>
          <w:w w:val="105"/>
          <w:sz w:val="14"/>
        </w:rPr>
        <w:t>that</w:t>
      </w:r>
      <w:r>
        <w:rPr>
          <w:rFonts w:ascii="Arial"/>
          <w:color w:val="5B6761"/>
          <w:spacing w:val="-23"/>
          <w:w w:val="105"/>
          <w:sz w:val="14"/>
        </w:rPr>
        <w:t xml:space="preserve"> </w:t>
      </w:r>
      <w:r>
        <w:rPr>
          <w:rFonts w:ascii="Arial"/>
          <w:color w:val="5B6761"/>
          <w:w w:val="105"/>
          <w:sz w:val="14"/>
        </w:rPr>
        <w:t>were</w:t>
      </w:r>
      <w:r>
        <w:rPr>
          <w:rFonts w:ascii="Arial"/>
          <w:color w:val="5B6761"/>
          <w:spacing w:val="-22"/>
          <w:w w:val="105"/>
          <w:sz w:val="14"/>
        </w:rPr>
        <w:t xml:space="preserve"> </w:t>
      </w:r>
      <w:r>
        <w:rPr>
          <w:rFonts w:ascii="Arial"/>
          <w:color w:val="5B6761"/>
          <w:w w:val="105"/>
          <w:sz w:val="14"/>
        </w:rPr>
        <w:t>checked</w:t>
      </w:r>
      <w:r>
        <w:rPr>
          <w:rFonts w:ascii="Arial"/>
          <w:color w:val="5B6761"/>
          <w:spacing w:val="-21"/>
          <w:w w:val="105"/>
          <w:sz w:val="14"/>
        </w:rPr>
        <w:t xml:space="preserve"> </w:t>
      </w:r>
      <w:r>
        <w:rPr>
          <w:rFonts w:ascii="Arial"/>
          <w:color w:val="5B6761"/>
          <w:w w:val="105"/>
          <w:sz w:val="14"/>
        </w:rPr>
        <w:t>against</w:t>
      </w:r>
      <w:r>
        <w:rPr>
          <w:rFonts w:ascii="Arial"/>
          <w:color w:val="5B6761"/>
          <w:spacing w:val="-22"/>
          <w:w w:val="105"/>
          <w:sz w:val="14"/>
        </w:rPr>
        <w:t xml:space="preserve"> </w:t>
      </w:r>
      <w:r>
        <w:rPr>
          <w:rFonts w:ascii="Arial"/>
          <w:color w:val="5B6761"/>
          <w:w w:val="105"/>
          <w:sz w:val="14"/>
        </w:rPr>
        <w:t>the</w:t>
      </w:r>
      <w:r>
        <w:rPr>
          <w:rFonts w:ascii="Arial"/>
          <w:color w:val="5B6761"/>
          <w:spacing w:val="-22"/>
          <w:w w:val="105"/>
          <w:sz w:val="14"/>
        </w:rPr>
        <w:t xml:space="preserve"> </w:t>
      </w:r>
      <w:r>
        <w:rPr>
          <w:rFonts w:ascii="Arial"/>
          <w:color w:val="5B6761"/>
          <w:w w:val="105"/>
          <w:sz w:val="14"/>
        </w:rPr>
        <w:t>Permissible</w:t>
      </w:r>
      <w:r>
        <w:rPr>
          <w:rFonts w:ascii="Arial"/>
          <w:color w:val="5B6761"/>
          <w:spacing w:val="-22"/>
          <w:w w:val="105"/>
          <w:sz w:val="14"/>
        </w:rPr>
        <w:t xml:space="preserve"> </w:t>
      </w:r>
      <w:r>
        <w:rPr>
          <w:rFonts w:ascii="Arial"/>
          <w:color w:val="5B6761"/>
          <w:w w:val="105"/>
          <w:sz w:val="14"/>
        </w:rPr>
        <w:t>Ingredients</w:t>
      </w:r>
      <w:r>
        <w:rPr>
          <w:rFonts w:ascii="Arial"/>
          <w:color w:val="5B6761"/>
          <w:spacing w:val="-22"/>
          <w:w w:val="105"/>
          <w:sz w:val="14"/>
        </w:rPr>
        <w:t xml:space="preserve"> </w:t>
      </w:r>
      <w:r>
        <w:rPr>
          <w:rFonts w:ascii="Arial"/>
          <w:color w:val="5B6761"/>
          <w:w w:val="105"/>
          <w:sz w:val="14"/>
        </w:rPr>
        <w:t>Determination</w:t>
      </w:r>
      <w:r>
        <w:rPr>
          <w:rFonts w:ascii="Arial"/>
          <w:color w:val="5B6761"/>
          <w:spacing w:val="-21"/>
          <w:w w:val="105"/>
          <w:sz w:val="14"/>
        </w:rPr>
        <w:t xml:space="preserve"> </w:t>
      </w:r>
      <w:r>
        <w:rPr>
          <w:rFonts w:ascii="Arial"/>
          <w:color w:val="5B6761"/>
          <w:w w:val="105"/>
          <w:sz w:val="14"/>
        </w:rPr>
        <w:t>were l-</w:t>
      </w:r>
      <w:proofErr w:type="spellStart"/>
      <w:r>
        <w:rPr>
          <w:rFonts w:ascii="Arial"/>
          <w:color w:val="5B6761"/>
          <w:w w:val="105"/>
          <w:sz w:val="14"/>
        </w:rPr>
        <w:t>citrulline</w:t>
      </w:r>
      <w:proofErr w:type="spellEnd"/>
      <w:r>
        <w:rPr>
          <w:rFonts w:ascii="Arial"/>
          <w:color w:val="5B6761"/>
          <w:w w:val="105"/>
          <w:sz w:val="14"/>
        </w:rPr>
        <w:t>,</w:t>
      </w:r>
      <w:r>
        <w:rPr>
          <w:rFonts w:ascii="Arial"/>
          <w:color w:val="5B6761"/>
          <w:spacing w:val="-25"/>
          <w:w w:val="105"/>
          <w:sz w:val="14"/>
        </w:rPr>
        <w:t xml:space="preserve"> </w:t>
      </w:r>
      <w:r>
        <w:rPr>
          <w:rFonts w:ascii="Arial"/>
          <w:color w:val="5B6761"/>
          <w:w w:val="105"/>
          <w:sz w:val="14"/>
        </w:rPr>
        <w:t>amino</w:t>
      </w:r>
      <w:r>
        <w:rPr>
          <w:rFonts w:ascii="Arial"/>
          <w:color w:val="5B6761"/>
          <w:spacing w:val="-25"/>
          <w:w w:val="105"/>
          <w:sz w:val="14"/>
        </w:rPr>
        <w:t xml:space="preserve"> </w:t>
      </w:r>
      <w:r>
        <w:rPr>
          <w:rFonts w:ascii="Arial"/>
          <w:color w:val="5B6761"/>
          <w:w w:val="105"/>
          <w:sz w:val="14"/>
        </w:rPr>
        <w:t>acids</w:t>
      </w:r>
      <w:r>
        <w:rPr>
          <w:rFonts w:ascii="Arial"/>
          <w:color w:val="5B6761"/>
          <w:spacing w:val="-25"/>
          <w:w w:val="105"/>
          <w:sz w:val="14"/>
        </w:rPr>
        <w:t xml:space="preserve"> </w:t>
      </w:r>
      <w:r>
        <w:rPr>
          <w:rFonts w:ascii="Arial"/>
          <w:color w:val="5B6761"/>
          <w:w w:val="105"/>
          <w:sz w:val="14"/>
        </w:rPr>
        <w:t>(the</w:t>
      </w:r>
      <w:r>
        <w:rPr>
          <w:rFonts w:ascii="Arial"/>
          <w:color w:val="5B6761"/>
          <w:spacing w:val="-25"/>
          <w:w w:val="105"/>
          <w:sz w:val="14"/>
        </w:rPr>
        <w:t xml:space="preserve"> </w:t>
      </w:r>
      <w:r>
        <w:rPr>
          <w:rFonts w:ascii="Arial"/>
          <w:color w:val="5B6761"/>
          <w:w w:val="105"/>
          <w:sz w:val="14"/>
        </w:rPr>
        <w:t>most</w:t>
      </w:r>
      <w:r>
        <w:rPr>
          <w:rFonts w:ascii="Arial"/>
          <w:color w:val="5B6761"/>
          <w:spacing w:val="-24"/>
          <w:w w:val="105"/>
          <w:sz w:val="14"/>
        </w:rPr>
        <w:t xml:space="preserve"> </w:t>
      </w:r>
      <w:r>
        <w:rPr>
          <w:rFonts w:ascii="Arial"/>
          <w:color w:val="5B6761"/>
          <w:w w:val="105"/>
          <w:sz w:val="14"/>
        </w:rPr>
        <w:t>commonly</w:t>
      </w:r>
      <w:r>
        <w:rPr>
          <w:rFonts w:ascii="Arial"/>
          <w:color w:val="5B6761"/>
          <w:spacing w:val="-25"/>
          <w:w w:val="105"/>
          <w:sz w:val="14"/>
        </w:rPr>
        <w:t xml:space="preserve"> </w:t>
      </w:r>
      <w:r>
        <w:rPr>
          <w:rFonts w:ascii="Arial"/>
          <w:color w:val="5B6761"/>
          <w:w w:val="105"/>
          <w:sz w:val="14"/>
        </w:rPr>
        <w:t>used</w:t>
      </w:r>
      <w:r>
        <w:rPr>
          <w:rFonts w:ascii="Arial"/>
          <w:color w:val="5B6761"/>
          <w:spacing w:val="-24"/>
          <w:w w:val="105"/>
          <w:sz w:val="14"/>
        </w:rPr>
        <w:t xml:space="preserve"> </w:t>
      </w:r>
      <w:r>
        <w:rPr>
          <w:rFonts w:ascii="Arial"/>
          <w:color w:val="5B6761"/>
          <w:w w:val="105"/>
          <w:sz w:val="14"/>
        </w:rPr>
        <w:t>branched-chain</w:t>
      </w:r>
      <w:r>
        <w:rPr>
          <w:rFonts w:ascii="Arial"/>
          <w:color w:val="5B6761"/>
          <w:spacing w:val="-24"/>
          <w:w w:val="105"/>
          <w:sz w:val="14"/>
        </w:rPr>
        <w:t xml:space="preserve"> </w:t>
      </w:r>
      <w:r>
        <w:rPr>
          <w:rFonts w:ascii="Arial"/>
          <w:color w:val="5B6761"/>
          <w:w w:val="105"/>
          <w:sz w:val="14"/>
        </w:rPr>
        <w:t>amino</w:t>
      </w:r>
      <w:r>
        <w:rPr>
          <w:rFonts w:ascii="Arial"/>
          <w:color w:val="5B6761"/>
          <w:spacing w:val="-25"/>
          <w:w w:val="105"/>
          <w:sz w:val="14"/>
        </w:rPr>
        <w:t xml:space="preserve"> </w:t>
      </w:r>
      <w:r>
        <w:rPr>
          <w:rFonts w:ascii="Arial"/>
          <w:color w:val="5B6761"/>
          <w:w w:val="105"/>
          <w:sz w:val="14"/>
        </w:rPr>
        <w:t>acids</w:t>
      </w:r>
      <w:r>
        <w:rPr>
          <w:rFonts w:ascii="Arial"/>
          <w:color w:val="5B6761"/>
          <w:spacing w:val="-25"/>
          <w:w w:val="105"/>
          <w:sz w:val="14"/>
        </w:rPr>
        <w:t xml:space="preserve"> </w:t>
      </w:r>
      <w:r>
        <w:rPr>
          <w:rFonts w:ascii="Arial"/>
          <w:color w:val="5B6761"/>
          <w:w w:val="105"/>
          <w:sz w:val="14"/>
        </w:rPr>
        <w:t>are</w:t>
      </w:r>
      <w:r>
        <w:rPr>
          <w:rFonts w:ascii="Arial"/>
          <w:color w:val="5B6761"/>
          <w:spacing w:val="-25"/>
          <w:w w:val="105"/>
          <w:sz w:val="14"/>
        </w:rPr>
        <w:t xml:space="preserve"> </w:t>
      </w:r>
      <w:r>
        <w:rPr>
          <w:rFonts w:ascii="Arial"/>
          <w:color w:val="5B6761"/>
          <w:w w:val="105"/>
          <w:sz w:val="14"/>
        </w:rPr>
        <w:t>leucine,</w:t>
      </w:r>
      <w:r>
        <w:rPr>
          <w:rFonts w:ascii="Arial"/>
          <w:color w:val="5B6761"/>
          <w:spacing w:val="-25"/>
          <w:w w:val="105"/>
          <w:sz w:val="14"/>
        </w:rPr>
        <w:t xml:space="preserve"> </w:t>
      </w:r>
      <w:r>
        <w:rPr>
          <w:rFonts w:ascii="Arial"/>
          <w:color w:val="5B6761"/>
          <w:w w:val="105"/>
          <w:sz w:val="14"/>
        </w:rPr>
        <w:t>isoleucine</w:t>
      </w:r>
      <w:r>
        <w:rPr>
          <w:rFonts w:ascii="Arial"/>
          <w:color w:val="5B6761"/>
          <w:spacing w:val="-25"/>
          <w:w w:val="105"/>
          <w:sz w:val="14"/>
        </w:rPr>
        <w:t xml:space="preserve"> </w:t>
      </w:r>
      <w:r>
        <w:rPr>
          <w:rFonts w:ascii="Arial"/>
          <w:color w:val="5B6761"/>
          <w:w w:val="105"/>
          <w:sz w:val="14"/>
        </w:rPr>
        <w:t>and</w:t>
      </w:r>
      <w:r>
        <w:rPr>
          <w:rFonts w:ascii="Arial"/>
          <w:color w:val="5B6761"/>
          <w:spacing w:val="-24"/>
          <w:w w:val="105"/>
          <w:sz w:val="14"/>
        </w:rPr>
        <w:t xml:space="preserve"> </w:t>
      </w:r>
      <w:r>
        <w:rPr>
          <w:rFonts w:ascii="Arial"/>
          <w:color w:val="5B6761"/>
          <w:w w:val="105"/>
          <w:sz w:val="14"/>
        </w:rPr>
        <w:t>valine),</w:t>
      </w:r>
      <w:r>
        <w:rPr>
          <w:rFonts w:ascii="Arial"/>
          <w:color w:val="5B6761"/>
          <w:spacing w:val="-25"/>
          <w:w w:val="105"/>
          <w:sz w:val="14"/>
        </w:rPr>
        <w:t xml:space="preserve"> </w:t>
      </w:r>
      <w:r>
        <w:rPr>
          <w:rFonts w:ascii="Arial"/>
          <w:color w:val="5B6761"/>
          <w:w w:val="105"/>
          <w:sz w:val="14"/>
        </w:rPr>
        <w:t>beta-alanine,</w:t>
      </w:r>
      <w:r>
        <w:rPr>
          <w:rFonts w:ascii="Arial"/>
          <w:color w:val="5B6761"/>
          <w:spacing w:val="-25"/>
          <w:w w:val="105"/>
          <w:sz w:val="14"/>
        </w:rPr>
        <w:t xml:space="preserve"> </w:t>
      </w:r>
      <w:r>
        <w:rPr>
          <w:rFonts w:ascii="Arial"/>
          <w:color w:val="5B6761"/>
          <w:w w:val="105"/>
          <w:sz w:val="14"/>
        </w:rPr>
        <w:t>and caffeine.</w:t>
      </w:r>
    </w:p>
    <w:p w:rsidR="007D76BB" w:rsidRDefault="00D70D28">
      <w:pPr>
        <w:spacing w:before="59" w:line="268" w:lineRule="auto"/>
        <w:ind w:left="594" w:right="1079" w:hanging="113"/>
        <w:rPr>
          <w:rFonts w:ascii="Arial" w:hAnsi="Arial"/>
          <w:sz w:val="14"/>
        </w:rPr>
      </w:pPr>
      <w:r>
        <w:rPr>
          <w:rFonts w:ascii="Arial" w:hAnsi="Arial"/>
          <w:color w:val="5B6761"/>
          <w:w w:val="105"/>
          <w:position w:val="5"/>
          <w:sz w:val="8"/>
        </w:rPr>
        <w:t>71</w:t>
      </w:r>
      <w:r>
        <w:rPr>
          <w:rFonts w:ascii="Arial" w:hAnsi="Arial"/>
          <w:color w:val="5B6761"/>
          <w:spacing w:val="-3"/>
          <w:w w:val="105"/>
          <w:position w:val="5"/>
          <w:sz w:val="8"/>
        </w:rPr>
        <w:t xml:space="preserve"> </w:t>
      </w:r>
      <w:r>
        <w:rPr>
          <w:rFonts w:ascii="Arial" w:hAnsi="Arial"/>
          <w:color w:val="5B6761"/>
          <w:w w:val="105"/>
          <w:sz w:val="14"/>
        </w:rPr>
        <w:t>Common</w:t>
      </w:r>
      <w:r>
        <w:rPr>
          <w:rFonts w:ascii="Arial" w:hAnsi="Arial"/>
          <w:color w:val="5B6761"/>
          <w:spacing w:val="-19"/>
          <w:w w:val="105"/>
          <w:sz w:val="14"/>
        </w:rPr>
        <w:t xml:space="preserve"> </w:t>
      </w:r>
      <w:r>
        <w:rPr>
          <w:rFonts w:ascii="Arial" w:hAnsi="Arial"/>
          <w:color w:val="5B6761"/>
          <w:w w:val="105"/>
          <w:sz w:val="14"/>
        </w:rPr>
        <w:t>ingredients</w:t>
      </w:r>
      <w:r>
        <w:rPr>
          <w:rFonts w:ascii="Arial" w:hAnsi="Arial"/>
          <w:color w:val="5B6761"/>
          <w:spacing w:val="-19"/>
          <w:w w:val="105"/>
          <w:sz w:val="14"/>
        </w:rPr>
        <w:t xml:space="preserve"> </w:t>
      </w:r>
      <w:r>
        <w:rPr>
          <w:rFonts w:ascii="Arial" w:hAnsi="Arial"/>
          <w:color w:val="5B6761"/>
          <w:w w:val="105"/>
          <w:sz w:val="14"/>
        </w:rPr>
        <w:t>contained</w:t>
      </w:r>
      <w:r>
        <w:rPr>
          <w:rFonts w:ascii="Arial" w:hAnsi="Arial"/>
          <w:color w:val="5B6761"/>
          <w:spacing w:val="-19"/>
          <w:w w:val="105"/>
          <w:sz w:val="14"/>
        </w:rPr>
        <w:t xml:space="preserve"> </w:t>
      </w:r>
      <w:r>
        <w:rPr>
          <w:rFonts w:ascii="Arial" w:hAnsi="Arial"/>
          <w:color w:val="5B6761"/>
          <w:w w:val="105"/>
          <w:sz w:val="14"/>
        </w:rPr>
        <w:t>in</w:t>
      </w:r>
      <w:r>
        <w:rPr>
          <w:rFonts w:ascii="Arial" w:hAnsi="Arial"/>
          <w:color w:val="5B6761"/>
          <w:spacing w:val="-18"/>
          <w:w w:val="105"/>
          <w:sz w:val="14"/>
        </w:rPr>
        <w:t xml:space="preserve"> </w:t>
      </w:r>
      <w:r>
        <w:rPr>
          <w:rFonts w:ascii="Arial" w:hAnsi="Arial"/>
          <w:color w:val="5B6761"/>
          <w:w w:val="105"/>
          <w:sz w:val="14"/>
        </w:rPr>
        <w:t>fat</w:t>
      </w:r>
      <w:r>
        <w:rPr>
          <w:rFonts w:ascii="Arial" w:hAnsi="Arial"/>
          <w:color w:val="5B6761"/>
          <w:spacing w:val="-21"/>
          <w:w w:val="105"/>
          <w:sz w:val="14"/>
        </w:rPr>
        <w:t xml:space="preserve"> </w:t>
      </w:r>
      <w:r>
        <w:rPr>
          <w:rFonts w:ascii="Arial" w:hAnsi="Arial"/>
          <w:color w:val="5B6761"/>
          <w:w w:val="105"/>
          <w:sz w:val="14"/>
        </w:rPr>
        <w:t>burner</w:t>
      </w:r>
      <w:r>
        <w:rPr>
          <w:rFonts w:ascii="Arial" w:hAnsi="Arial"/>
          <w:color w:val="5B6761"/>
          <w:spacing w:val="-19"/>
          <w:w w:val="105"/>
          <w:sz w:val="14"/>
        </w:rPr>
        <w:t xml:space="preserve"> </w:t>
      </w:r>
      <w:r>
        <w:rPr>
          <w:rFonts w:ascii="Arial" w:hAnsi="Arial"/>
          <w:color w:val="5B6761"/>
          <w:w w:val="105"/>
          <w:sz w:val="14"/>
        </w:rPr>
        <w:t>products</w:t>
      </w:r>
      <w:r>
        <w:rPr>
          <w:rFonts w:ascii="Arial" w:hAnsi="Arial"/>
          <w:color w:val="5B6761"/>
          <w:spacing w:val="-19"/>
          <w:w w:val="105"/>
          <w:sz w:val="14"/>
        </w:rPr>
        <w:t xml:space="preserve"> </w:t>
      </w:r>
      <w:r>
        <w:rPr>
          <w:rFonts w:ascii="Arial" w:hAnsi="Arial"/>
          <w:color w:val="5B6761"/>
          <w:w w:val="105"/>
          <w:sz w:val="14"/>
        </w:rPr>
        <w:t>that</w:t>
      </w:r>
      <w:r>
        <w:rPr>
          <w:rFonts w:ascii="Arial" w:hAnsi="Arial"/>
          <w:color w:val="5B6761"/>
          <w:spacing w:val="-19"/>
          <w:w w:val="105"/>
          <w:sz w:val="14"/>
        </w:rPr>
        <w:t xml:space="preserve"> </w:t>
      </w:r>
      <w:r>
        <w:rPr>
          <w:rFonts w:ascii="Arial" w:hAnsi="Arial"/>
          <w:color w:val="5B6761"/>
          <w:w w:val="105"/>
          <w:sz w:val="14"/>
        </w:rPr>
        <w:t>were</w:t>
      </w:r>
      <w:r>
        <w:rPr>
          <w:rFonts w:ascii="Arial" w:hAnsi="Arial"/>
          <w:color w:val="5B6761"/>
          <w:spacing w:val="-20"/>
          <w:w w:val="105"/>
          <w:sz w:val="14"/>
        </w:rPr>
        <w:t xml:space="preserve"> </w:t>
      </w:r>
      <w:r>
        <w:rPr>
          <w:rFonts w:ascii="Arial" w:hAnsi="Arial"/>
          <w:color w:val="5B6761"/>
          <w:w w:val="105"/>
          <w:sz w:val="14"/>
        </w:rPr>
        <w:t>checked</w:t>
      </w:r>
      <w:r>
        <w:rPr>
          <w:rFonts w:ascii="Arial" w:hAnsi="Arial"/>
          <w:color w:val="5B6761"/>
          <w:spacing w:val="-19"/>
          <w:w w:val="105"/>
          <w:sz w:val="14"/>
        </w:rPr>
        <w:t xml:space="preserve"> </w:t>
      </w:r>
      <w:r>
        <w:rPr>
          <w:rFonts w:ascii="Arial" w:hAnsi="Arial"/>
          <w:color w:val="5B6761"/>
          <w:w w:val="105"/>
          <w:sz w:val="14"/>
        </w:rPr>
        <w:t>against</w:t>
      </w:r>
      <w:r>
        <w:rPr>
          <w:rFonts w:ascii="Arial" w:hAnsi="Arial"/>
          <w:color w:val="5B6761"/>
          <w:spacing w:val="-18"/>
          <w:w w:val="105"/>
          <w:sz w:val="14"/>
        </w:rPr>
        <w:t xml:space="preserve"> </w:t>
      </w:r>
      <w:r>
        <w:rPr>
          <w:rFonts w:ascii="Arial" w:hAnsi="Arial"/>
          <w:color w:val="5B6761"/>
          <w:w w:val="105"/>
          <w:sz w:val="14"/>
        </w:rPr>
        <w:t>the</w:t>
      </w:r>
      <w:r>
        <w:rPr>
          <w:rFonts w:ascii="Arial" w:hAnsi="Arial"/>
          <w:color w:val="5B6761"/>
          <w:spacing w:val="-20"/>
          <w:w w:val="105"/>
          <w:sz w:val="14"/>
        </w:rPr>
        <w:t xml:space="preserve"> </w:t>
      </w:r>
      <w:r>
        <w:rPr>
          <w:rFonts w:ascii="Arial" w:hAnsi="Arial"/>
          <w:color w:val="5B6761"/>
          <w:w w:val="105"/>
          <w:sz w:val="14"/>
        </w:rPr>
        <w:t>Permissible</w:t>
      </w:r>
      <w:r>
        <w:rPr>
          <w:rFonts w:ascii="Arial" w:hAnsi="Arial"/>
          <w:color w:val="5B6761"/>
          <w:spacing w:val="-20"/>
          <w:w w:val="105"/>
          <w:sz w:val="14"/>
        </w:rPr>
        <w:t xml:space="preserve"> </w:t>
      </w:r>
      <w:r>
        <w:rPr>
          <w:rFonts w:ascii="Arial" w:hAnsi="Arial"/>
          <w:color w:val="5B6761"/>
          <w:w w:val="105"/>
          <w:sz w:val="14"/>
        </w:rPr>
        <w:t>Ingredients</w:t>
      </w:r>
      <w:r>
        <w:rPr>
          <w:rFonts w:ascii="Arial" w:hAnsi="Arial"/>
          <w:color w:val="5B6761"/>
          <w:spacing w:val="-20"/>
          <w:w w:val="105"/>
          <w:sz w:val="14"/>
        </w:rPr>
        <w:t xml:space="preserve"> </w:t>
      </w:r>
      <w:r>
        <w:rPr>
          <w:rFonts w:ascii="Arial" w:hAnsi="Arial"/>
          <w:color w:val="5B6761"/>
          <w:w w:val="105"/>
          <w:sz w:val="14"/>
        </w:rPr>
        <w:t>Determination</w:t>
      </w:r>
      <w:r>
        <w:rPr>
          <w:rFonts w:ascii="Arial" w:hAnsi="Arial"/>
          <w:color w:val="5B6761"/>
          <w:spacing w:val="-18"/>
          <w:w w:val="105"/>
          <w:sz w:val="14"/>
        </w:rPr>
        <w:t xml:space="preserve"> </w:t>
      </w:r>
      <w:r>
        <w:rPr>
          <w:rFonts w:ascii="Arial" w:hAnsi="Arial"/>
          <w:color w:val="5B6761"/>
          <w:w w:val="105"/>
          <w:sz w:val="14"/>
        </w:rPr>
        <w:t xml:space="preserve">were </w:t>
      </w:r>
      <w:r>
        <w:rPr>
          <w:rFonts w:ascii="Arial" w:hAnsi="Arial"/>
          <w:color w:val="5B6761"/>
          <w:sz w:val="14"/>
        </w:rPr>
        <w:t xml:space="preserve">Green Tea Extract, Conjugated linoleic acid, Caffeine, </w:t>
      </w:r>
      <w:proofErr w:type="spellStart"/>
      <w:r>
        <w:rPr>
          <w:rFonts w:ascii="Arial" w:hAnsi="Arial"/>
          <w:color w:val="5B6761"/>
          <w:sz w:val="14"/>
        </w:rPr>
        <w:t>Forskolin</w:t>
      </w:r>
      <w:proofErr w:type="spellEnd"/>
      <w:r>
        <w:rPr>
          <w:rFonts w:ascii="Arial" w:hAnsi="Arial"/>
          <w:color w:val="5B6761"/>
          <w:sz w:val="14"/>
        </w:rPr>
        <w:t>, 5-HTP (5-Hydroxytryptophan), L</w:t>
      </w:r>
      <w:r>
        <w:rPr>
          <w:rFonts w:ascii="Times New Roman" w:hAnsi="Times New Roman"/>
          <w:color w:val="5B6761"/>
          <w:sz w:val="14"/>
        </w:rPr>
        <w:t>‐</w:t>
      </w:r>
      <w:r>
        <w:rPr>
          <w:rFonts w:ascii="Arial" w:hAnsi="Arial"/>
          <w:color w:val="5B6761"/>
          <w:sz w:val="14"/>
        </w:rPr>
        <w:t>carnitine, L-Tyrosine, L-</w:t>
      </w:r>
      <w:proofErr w:type="spellStart"/>
      <w:r>
        <w:rPr>
          <w:rFonts w:ascii="Arial" w:hAnsi="Arial"/>
          <w:color w:val="5B6761"/>
          <w:sz w:val="14"/>
        </w:rPr>
        <w:t>Theanine</w:t>
      </w:r>
      <w:proofErr w:type="spellEnd"/>
      <w:r>
        <w:rPr>
          <w:rFonts w:ascii="Arial" w:hAnsi="Arial"/>
          <w:color w:val="5B6761"/>
          <w:sz w:val="14"/>
        </w:rPr>
        <w:t xml:space="preserve">, </w:t>
      </w:r>
      <w:r>
        <w:rPr>
          <w:rFonts w:ascii="Arial" w:hAnsi="Arial"/>
          <w:color w:val="5B6761"/>
          <w:w w:val="105"/>
          <w:sz w:val="14"/>
        </w:rPr>
        <w:t>protein</w:t>
      </w:r>
      <w:r>
        <w:rPr>
          <w:rFonts w:ascii="Arial" w:hAnsi="Arial"/>
          <w:color w:val="5B6761"/>
          <w:spacing w:val="-11"/>
          <w:w w:val="105"/>
          <w:sz w:val="14"/>
        </w:rPr>
        <w:t xml:space="preserve"> </w:t>
      </w:r>
      <w:r>
        <w:rPr>
          <w:rFonts w:ascii="Arial" w:hAnsi="Arial"/>
          <w:color w:val="5B6761"/>
          <w:w w:val="105"/>
          <w:sz w:val="14"/>
        </w:rPr>
        <w:t>powders</w:t>
      </w:r>
      <w:r>
        <w:rPr>
          <w:rFonts w:ascii="Arial" w:hAnsi="Arial"/>
          <w:color w:val="5B6761"/>
          <w:spacing w:val="-12"/>
          <w:w w:val="105"/>
          <w:sz w:val="14"/>
        </w:rPr>
        <w:t xml:space="preserve"> </w:t>
      </w:r>
      <w:r>
        <w:rPr>
          <w:rFonts w:ascii="Arial" w:hAnsi="Arial"/>
          <w:color w:val="5B6761"/>
          <w:w w:val="105"/>
          <w:sz w:val="14"/>
        </w:rPr>
        <w:t>(such</w:t>
      </w:r>
      <w:r>
        <w:rPr>
          <w:rFonts w:ascii="Arial" w:hAnsi="Arial"/>
          <w:color w:val="5B6761"/>
          <w:spacing w:val="-10"/>
          <w:w w:val="105"/>
          <w:sz w:val="14"/>
        </w:rPr>
        <w:t xml:space="preserve"> </w:t>
      </w:r>
      <w:r>
        <w:rPr>
          <w:rFonts w:ascii="Arial" w:hAnsi="Arial"/>
          <w:color w:val="5B6761"/>
          <w:w w:val="105"/>
          <w:sz w:val="14"/>
        </w:rPr>
        <w:t>as</w:t>
      </w:r>
      <w:r>
        <w:rPr>
          <w:rFonts w:ascii="Arial" w:hAnsi="Arial"/>
          <w:color w:val="5B6761"/>
          <w:spacing w:val="-12"/>
          <w:w w:val="105"/>
          <w:sz w:val="14"/>
        </w:rPr>
        <w:t xml:space="preserve"> </w:t>
      </w:r>
      <w:r>
        <w:rPr>
          <w:rFonts w:ascii="Arial" w:hAnsi="Arial"/>
          <w:color w:val="5B6761"/>
          <w:w w:val="105"/>
          <w:sz w:val="14"/>
        </w:rPr>
        <w:t>Whey),</w:t>
      </w:r>
      <w:r>
        <w:rPr>
          <w:rFonts w:ascii="Arial" w:hAnsi="Arial"/>
          <w:color w:val="5B6761"/>
          <w:spacing w:val="-9"/>
          <w:w w:val="105"/>
          <w:sz w:val="14"/>
        </w:rPr>
        <w:t xml:space="preserve"> </w:t>
      </w:r>
      <w:r>
        <w:rPr>
          <w:rFonts w:ascii="Arial" w:hAnsi="Arial"/>
          <w:color w:val="5B6761"/>
          <w:w w:val="105"/>
          <w:sz w:val="14"/>
        </w:rPr>
        <w:t>and</w:t>
      </w:r>
      <w:r>
        <w:rPr>
          <w:rFonts w:ascii="Arial" w:hAnsi="Arial"/>
          <w:color w:val="5B6761"/>
          <w:spacing w:val="-10"/>
          <w:w w:val="105"/>
          <w:sz w:val="14"/>
        </w:rPr>
        <w:t xml:space="preserve"> </w:t>
      </w:r>
      <w:r>
        <w:rPr>
          <w:rFonts w:ascii="Arial" w:hAnsi="Arial"/>
          <w:color w:val="5B6761"/>
          <w:w w:val="105"/>
          <w:sz w:val="14"/>
        </w:rPr>
        <w:t>soluble</w:t>
      </w:r>
      <w:r>
        <w:rPr>
          <w:rFonts w:ascii="Arial" w:hAnsi="Arial"/>
          <w:color w:val="5B6761"/>
          <w:spacing w:val="-12"/>
          <w:w w:val="105"/>
          <w:sz w:val="14"/>
        </w:rPr>
        <w:t xml:space="preserve"> </w:t>
      </w:r>
      <w:proofErr w:type="spellStart"/>
      <w:r>
        <w:rPr>
          <w:rFonts w:ascii="Arial" w:hAnsi="Arial"/>
          <w:color w:val="5B6761"/>
          <w:w w:val="105"/>
          <w:sz w:val="14"/>
        </w:rPr>
        <w:t>fibres</w:t>
      </w:r>
      <w:proofErr w:type="spellEnd"/>
      <w:r>
        <w:rPr>
          <w:rFonts w:ascii="Arial" w:hAnsi="Arial"/>
          <w:color w:val="5B6761"/>
          <w:spacing w:val="-12"/>
          <w:w w:val="105"/>
          <w:sz w:val="14"/>
        </w:rPr>
        <w:t xml:space="preserve"> </w:t>
      </w:r>
      <w:r>
        <w:rPr>
          <w:rFonts w:ascii="Arial" w:hAnsi="Arial"/>
          <w:color w:val="5B6761"/>
          <w:w w:val="105"/>
          <w:sz w:val="14"/>
        </w:rPr>
        <w:t>(such</w:t>
      </w:r>
      <w:r>
        <w:rPr>
          <w:rFonts w:ascii="Arial" w:hAnsi="Arial"/>
          <w:color w:val="5B6761"/>
          <w:spacing w:val="-10"/>
          <w:w w:val="105"/>
          <w:sz w:val="14"/>
        </w:rPr>
        <w:t xml:space="preserve"> </w:t>
      </w:r>
      <w:r>
        <w:rPr>
          <w:rFonts w:ascii="Arial" w:hAnsi="Arial"/>
          <w:color w:val="5B6761"/>
          <w:w w:val="105"/>
          <w:sz w:val="14"/>
        </w:rPr>
        <w:t>as</w:t>
      </w:r>
      <w:r>
        <w:rPr>
          <w:rFonts w:ascii="Arial" w:hAnsi="Arial"/>
          <w:color w:val="5B6761"/>
          <w:spacing w:val="-11"/>
          <w:w w:val="105"/>
          <w:sz w:val="14"/>
        </w:rPr>
        <w:t xml:space="preserve"> </w:t>
      </w:r>
      <w:proofErr w:type="spellStart"/>
      <w:r>
        <w:rPr>
          <w:rFonts w:ascii="Arial" w:hAnsi="Arial"/>
          <w:color w:val="5B6761"/>
          <w:w w:val="105"/>
          <w:sz w:val="14"/>
        </w:rPr>
        <w:t>Glucomannan</w:t>
      </w:r>
      <w:proofErr w:type="spellEnd"/>
      <w:r>
        <w:rPr>
          <w:rFonts w:ascii="Arial" w:hAnsi="Arial"/>
          <w:color w:val="5B6761"/>
          <w:spacing w:val="-11"/>
          <w:w w:val="105"/>
          <w:sz w:val="14"/>
        </w:rPr>
        <w:t xml:space="preserve"> </w:t>
      </w:r>
      <w:r>
        <w:rPr>
          <w:rFonts w:ascii="Arial" w:hAnsi="Arial"/>
          <w:color w:val="5B6761"/>
          <w:w w:val="105"/>
          <w:sz w:val="14"/>
        </w:rPr>
        <w:t>and</w:t>
      </w:r>
      <w:r>
        <w:rPr>
          <w:rFonts w:ascii="Arial" w:hAnsi="Arial"/>
          <w:color w:val="5B6761"/>
          <w:spacing w:val="-9"/>
          <w:w w:val="105"/>
          <w:sz w:val="14"/>
        </w:rPr>
        <w:t xml:space="preserve"> </w:t>
      </w:r>
      <w:r>
        <w:rPr>
          <w:rFonts w:ascii="Arial" w:hAnsi="Arial"/>
          <w:color w:val="5B6761"/>
          <w:w w:val="105"/>
          <w:sz w:val="14"/>
        </w:rPr>
        <w:t>Psyllium</w:t>
      </w:r>
      <w:r>
        <w:rPr>
          <w:rFonts w:ascii="Arial" w:hAnsi="Arial"/>
          <w:color w:val="5B6761"/>
          <w:spacing w:val="-11"/>
          <w:w w:val="105"/>
          <w:sz w:val="14"/>
        </w:rPr>
        <w:t xml:space="preserve"> </w:t>
      </w:r>
      <w:r>
        <w:rPr>
          <w:rFonts w:ascii="Arial" w:hAnsi="Arial"/>
          <w:color w:val="5B6761"/>
          <w:w w:val="105"/>
          <w:sz w:val="14"/>
        </w:rPr>
        <w:t>husk).</w:t>
      </w:r>
    </w:p>
    <w:p w:rsidR="007D76BB" w:rsidRDefault="00D70D28">
      <w:pPr>
        <w:spacing w:before="58" w:line="268" w:lineRule="auto"/>
        <w:ind w:left="594" w:right="928" w:hanging="113"/>
        <w:rPr>
          <w:rFonts w:ascii="Arial"/>
          <w:sz w:val="14"/>
        </w:rPr>
      </w:pPr>
      <w:r>
        <w:rPr>
          <w:rFonts w:ascii="Arial"/>
          <w:color w:val="5B6761"/>
          <w:w w:val="105"/>
          <w:position w:val="5"/>
          <w:sz w:val="8"/>
        </w:rPr>
        <w:t xml:space="preserve">72 </w:t>
      </w:r>
      <w:r>
        <w:rPr>
          <w:rFonts w:ascii="Arial"/>
          <w:color w:val="5B6761"/>
          <w:w w:val="105"/>
          <w:sz w:val="14"/>
        </w:rPr>
        <w:t xml:space="preserve">An option available to manufacturers/brand owners is to register (rather than list) the product on the ARTG, in which case </w:t>
      </w:r>
      <w:r>
        <w:rPr>
          <w:rFonts w:ascii="Arial"/>
          <w:color w:val="5B6761"/>
          <w:spacing w:val="4"/>
          <w:w w:val="105"/>
          <w:sz w:val="14"/>
        </w:rPr>
        <w:t xml:space="preserve">the </w:t>
      </w:r>
      <w:r>
        <w:rPr>
          <w:rFonts w:ascii="Arial"/>
          <w:color w:val="5B6761"/>
          <w:w w:val="105"/>
          <w:sz w:val="14"/>
        </w:rPr>
        <w:t>exclusivity</w:t>
      </w:r>
      <w:r>
        <w:rPr>
          <w:rFonts w:ascii="Arial"/>
          <w:color w:val="5B6761"/>
          <w:spacing w:val="-19"/>
          <w:w w:val="105"/>
          <w:sz w:val="14"/>
        </w:rPr>
        <w:t xml:space="preserve"> </w:t>
      </w:r>
      <w:r>
        <w:rPr>
          <w:rFonts w:ascii="Arial"/>
          <w:color w:val="5B6761"/>
          <w:w w:val="105"/>
          <w:sz w:val="14"/>
        </w:rPr>
        <w:t>provisions</w:t>
      </w:r>
      <w:r>
        <w:rPr>
          <w:rFonts w:ascii="Arial"/>
          <w:color w:val="5B6761"/>
          <w:spacing w:val="-18"/>
          <w:w w:val="105"/>
          <w:sz w:val="14"/>
        </w:rPr>
        <w:t xml:space="preserve"> </w:t>
      </w:r>
      <w:r>
        <w:rPr>
          <w:rFonts w:ascii="Arial"/>
          <w:color w:val="5B6761"/>
          <w:w w:val="105"/>
          <w:sz w:val="14"/>
        </w:rPr>
        <w:t>would</w:t>
      </w:r>
      <w:r>
        <w:rPr>
          <w:rFonts w:ascii="Arial"/>
          <w:color w:val="5B6761"/>
          <w:spacing w:val="-17"/>
          <w:w w:val="105"/>
          <w:sz w:val="14"/>
        </w:rPr>
        <w:t xml:space="preserve"> </w:t>
      </w:r>
      <w:r>
        <w:rPr>
          <w:rFonts w:ascii="Arial"/>
          <w:color w:val="5B6761"/>
          <w:w w:val="105"/>
          <w:sz w:val="14"/>
        </w:rPr>
        <w:t>not</w:t>
      </w:r>
      <w:r>
        <w:rPr>
          <w:rFonts w:ascii="Arial"/>
          <w:color w:val="5B6761"/>
          <w:spacing w:val="-18"/>
          <w:w w:val="105"/>
          <w:sz w:val="14"/>
        </w:rPr>
        <w:t xml:space="preserve"> </w:t>
      </w:r>
      <w:r>
        <w:rPr>
          <w:rFonts w:ascii="Arial"/>
          <w:color w:val="5B6761"/>
          <w:w w:val="105"/>
          <w:sz w:val="14"/>
        </w:rPr>
        <w:t>apply.</w:t>
      </w:r>
      <w:r>
        <w:rPr>
          <w:rFonts w:ascii="Arial"/>
          <w:color w:val="5B6761"/>
          <w:spacing w:val="-18"/>
          <w:w w:val="105"/>
          <w:sz w:val="14"/>
        </w:rPr>
        <w:t xml:space="preserve"> </w:t>
      </w:r>
      <w:r>
        <w:rPr>
          <w:rFonts w:ascii="Arial"/>
          <w:color w:val="5B6761"/>
          <w:w w:val="105"/>
          <w:sz w:val="14"/>
        </w:rPr>
        <w:t>However,</w:t>
      </w:r>
      <w:r>
        <w:rPr>
          <w:rFonts w:ascii="Arial"/>
          <w:color w:val="5B6761"/>
          <w:spacing w:val="-18"/>
          <w:w w:val="105"/>
          <w:sz w:val="14"/>
        </w:rPr>
        <w:t xml:space="preserve"> </w:t>
      </w:r>
      <w:r>
        <w:rPr>
          <w:rFonts w:ascii="Arial"/>
          <w:color w:val="5B6761"/>
          <w:w w:val="105"/>
          <w:sz w:val="14"/>
        </w:rPr>
        <w:t>registering</w:t>
      </w:r>
      <w:r>
        <w:rPr>
          <w:rFonts w:ascii="Arial"/>
          <w:color w:val="5B6761"/>
          <w:spacing w:val="-17"/>
          <w:w w:val="105"/>
          <w:sz w:val="14"/>
        </w:rPr>
        <w:t xml:space="preserve"> </w:t>
      </w:r>
      <w:r>
        <w:rPr>
          <w:rFonts w:ascii="Arial"/>
          <w:color w:val="5B6761"/>
          <w:w w:val="105"/>
          <w:sz w:val="14"/>
        </w:rPr>
        <w:t>the</w:t>
      </w:r>
      <w:r>
        <w:rPr>
          <w:rFonts w:ascii="Arial"/>
          <w:color w:val="5B6761"/>
          <w:spacing w:val="-19"/>
          <w:w w:val="105"/>
          <w:sz w:val="14"/>
        </w:rPr>
        <w:t xml:space="preserve"> </w:t>
      </w:r>
      <w:r>
        <w:rPr>
          <w:rFonts w:ascii="Arial"/>
          <w:color w:val="5B6761"/>
          <w:w w:val="105"/>
          <w:sz w:val="14"/>
        </w:rPr>
        <w:t>product</w:t>
      </w:r>
      <w:r>
        <w:rPr>
          <w:rFonts w:ascii="Arial"/>
          <w:color w:val="5B6761"/>
          <w:spacing w:val="-17"/>
          <w:w w:val="105"/>
          <w:sz w:val="14"/>
        </w:rPr>
        <w:t xml:space="preserve"> </w:t>
      </w:r>
      <w:r>
        <w:rPr>
          <w:rFonts w:ascii="Arial"/>
          <w:color w:val="5B6761"/>
          <w:w w:val="105"/>
          <w:sz w:val="14"/>
        </w:rPr>
        <w:t>entails</w:t>
      </w:r>
      <w:r>
        <w:rPr>
          <w:rFonts w:ascii="Arial"/>
          <w:color w:val="5B6761"/>
          <w:spacing w:val="-18"/>
          <w:w w:val="105"/>
          <w:sz w:val="14"/>
        </w:rPr>
        <w:t xml:space="preserve"> </w:t>
      </w:r>
      <w:r>
        <w:rPr>
          <w:rFonts w:ascii="Arial"/>
          <w:color w:val="5B6761"/>
          <w:w w:val="105"/>
          <w:sz w:val="14"/>
        </w:rPr>
        <w:t>additional</w:t>
      </w:r>
      <w:r>
        <w:rPr>
          <w:rFonts w:ascii="Arial"/>
          <w:color w:val="5B6761"/>
          <w:spacing w:val="-18"/>
          <w:w w:val="105"/>
          <w:sz w:val="14"/>
        </w:rPr>
        <w:t xml:space="preserve"> </w:t>
      </w:r>
      <w:r>
        <w:rPr>
          <w:rFonts w:ascii="Arial"/>
          <w:color w:val="5B6761"/>
          <w:w w:val="105"/>
          <w:sz w:val="14"/>
        </w:rPr>
        <w:t>regulatory</w:t>
      </w:r>
      <w:r>
        <w:rPr>
          <w:rFonts w:ascii="Arial"/>
          <w:color w:val="5B6761"/>
          <w:spacing w:val="-19"/>
          <w:w w:val="105"/>
          <w:sz w:val="14"/>
        </w:rPr>
        <w:t xml:space="preserve"> </w:t>
      </w:r>
      <w:r>
        <w:rPr>
          <w:rFonts w:ascii="Arial"/>
          <w:color w:val="5B6761"/>
          <w:w w:val="105"/>
          <w:sz w:val="14"/>
        </w:rPr>
        <w:t>costs</w:t>
      </w:r>
      <w:r>
        <w:rPr>
          <w:rFonts w:ascii="Arial"/>
          <w:color w:val="5B6761"/>
          <w:spacing w:val="-18"/>
          <w:w w:val="105"/>
          <w:sz w:val="14"/>
        </w:rPr>
        <w:t xml:space="preserve"> </w:t>
      </w:r>
      <w:r>
        <w:rPr>
          <w:rFonts w:ascii="Arial"/>
          <w:color w:val="5B6761"/>
          <w:w w:val="105"/>
          <w:sz w:val="14"/>
        </w:rPr>
        <w:t>as</w:t>
      </w:r>
      <w:r>
        <w:rPr>
          <w:rFonts w:ascii="Arial"/>
          <w:color w:val="5B6761"/>
          <w:spacing w:val="-18"/>
          <w:w w:val="105"/>
          <w:sz w:val="14"/>
        </w:rPr>
        <w:t xml:space="preserve"> </w:t>
      </w:r>
      <w:r>
        <w:rPr>
          <w:rFonts w:ascii="Arial"/>
          <w:color w:val="5B6761"/>
          <w:w w:val="105"/>
          <w:sz w:val="14"/>
        </w:rPr>
        <w:t>the</w:t>
      </w:r>
      <w:r>
        <w:rPr>
          <w:rFonts w:ascii="Arial"/>
          <w:color w:val="5B6761"/>
          <w:spacing w:val="-19"/>
          <w:w w:val="105"/>
          <w:sz w:val="14"/>
        </w:rPr>
        <w:t xml:space="preserve"> </w:t>
      </w:r>
      <w:r>
        <w:rPr>
          <w:rFonts w:ascii="Arial"/>
          <w:color w:val="5B6761"/>
          <w:w w:val="105"/>
          <w:sz w:val="14"/>
        </w:rPr>
        <w:t>product</w:t>
      </w:r>
      <w:r>
        <w:rPr>
          <w:rFonts w:ascii="Arial"/>
          <w:color w:val="5B6761"/>
          <w:spacing w:val="-17"/>
          <w:w w:val="105"/>
          <w:sz w:val="14"/>
        </w:rPr>
        <w:t xml:space="preserve"> </w:t>
      </w:r>
      <w:r>
        <w:rPr>
          <w:rFonts w:ascii="Arial"/>
          <w:color w:val="5B6761"/>
          <w:w w:val="105"/>
          <w:sz w:val="14"/>
        </w:rPr>
        <w:t>is</w:t>
      </w:r>
      <w:r>
        <w:rPr>
          <w:rFonts w:ascii="Arial"/>
          <w:color w:val="5B6761"/>
          <w:spacing w:val="-14"/>
          <w:w w:val="105"/>
          <w:sz w:val="14"/>
        </w:rPr>
        <w:t xml:space="preserve"> </w:t>
      </w:r>
      <w:r>
        <w:rPr>
          <w:rFonts w:ascii="Arial"/>
          <w:color w:val="5B6761"/>
          <w:w w:val="105"/>
          <w:sz w:val="14"/>
        </w:rPr>
        <w:t>required to</w:t>
      </w:r>
      <w:r>
        <w:rPr>
          <w:rFonts w:ascii="Arial"/>
          <w:color w:val="5B6761"/>
          <w:spacing w:val="-12"/>
          <w:w w:val="105"/>
          <w:sz w:val="14"/>
        </w:rPr>
        <w:t xml:space="preserve"> </w:t>
      </w:r>
      <w:r>
        <w:rPr>
          <w:rFonts w:ascii="Arial"/>
          <w:color w:val="5B6761"/>
          <w:w w:val="105"/>
          <w:sz w:val="14"/>
        </w:rPr>
        <w:t>undergo</w:t>
      </w:r>
      <w:r>
        <w:rPr>
          <w:rFonts w:ascii="Arial"/>
          <w:color w:val="5B6761"/>
          <w:spacing w:val="-10"/>
          <w:w w:val="105"/>
          <w:sz w:val="14"/>
        </w:rPr>
        <w:t xml:space="preserve"> </w:t>
      </w:r>
      <w:r>
        <w:rPr>
          <w:rFonts w:ascii="Arial"/>
          <w:color w:val="5B6761"/>
          <w:w w:val="105"/>
          <w:sz w:val="14"/>
        </w:rPr>
        <w:t>a</w:t>
      </w:r>
      <w:r>
        <w:rPr>
          <w:rFonts w:ascii="Arial"/>
          <w:color w:val="5B6761"/>
          <w:spacing w:val="-9"/>
          <w:w w:val="105"/>
          <w:sz w:val="14"/>
        </w:rPr>
        <w:t xml:space="preserve"> </w:t>
      </w:r>
      <w:r>
        <w:rPr>
          <w:rFonts w:ascii="Arial"/>
          <w:color w:val="5B6761"/>
          <w:w w:val="105"/>
          <w:sz w:val="14"/>
        </w:rPr>
        <w:t>full</w:t>
      </w:r>
      <w:r>
        <w:rPr>
          <w:rFonts w:ascii="Arial"/>
          <w:color w:val="5B6761"/>
          <w:spacing w:val="-10"/>
          <w:w w:val="105"/>
          <w:sz w:val="14"/>
        </w:rPr>
        <w:t xml:space="preserve"> </w:t>
      </w:r>
      <w:r>
        <w:rPr>
          <w:rFonts w:ascii="Arial"/>
          <w:color w:val="5B6761"/>
          <w:w w:val="105"/>
          <w:sz w:val="14"/>
        </w:rPr>
        <w:t>pre-market</w:t>
      </w:r>
      <w:r>
        <w:rPr>
          <w:rFonts w:ascii="Arial"/>
          <w:color w:val="5B6761"/>
          <w:spacing w:val="-9"/>
          <w:w w:val="105"/>
          <w:sz w:val="14"/>
        </w:rPr>
        <w:t xml:space="preserve"> </w:t>
      </w:r>
      <w:r>
        <w:rPr>
          <w:rFonts w:ascii="Arial"/>
          <w:color w:val="5B6761"/>
          <w:w w:val="105"/>
          <w:sz w:val="14"/>
        </w:rPr>
        <w:t>assessment</w:t>
      </w:r>
      <w:r>
        <w:rPr>
          <w:rFonts w:ascii="Arial"/>
          <w:color w:val="5B6761"/>
          <w:spacing w:val="-8"/>
          <w:w w:val="105"/>
          <w:sz w:val="14"/>
        </w:rPr>
        <w:t xml:space="preserve"> </w:t>
      </w:r>
      <w:r>
        <w:rPr>
          <w:rFonts w:ascii="Arial"/>
          <w:color w:val="5B6761"/>
          <w:w w:val="105"/>
          <w:sz w:val="14"/>
        </w:rPr>
        <w:t>of</w:t>
      </w:r>
      <w:r>
        <w:rPr>
          <w:rFonts w:ascii="Arial"/>
          <w:color w:val="5B6761"/>
          <w:spacing w:val="-11"/>
          <w:w w:val="105"/>
          <w:sz w:val="14"/>
        </w:rPr>
        <w:t xml:space="preserve"> </w:t>
      </w:r>
      <w:r>
        <w:rPr>
          <w:rFonts w:ascii="Arial"/>
          <w:color w:val="5B6761"/>
          <w:w w:val="105"/>
          <w:sz w:val="14"/>
        </w:rPr>
        <w:t>the</w:t>
      </w:r>
      <w:r>
        <w:rPr>
          <w:rFonts w:ascii="Arial"/>
          <w:color w:val="5B6761"/>
          <w:spacing w:val="-11"/>
          <w:w w:val="105"/>
          <w:sz w:val="14"/>
        </w:rPr>
        <w:t xml:space="preserve"> </w:t>
      </w:r>
      <w:r>
        <w:rPr>
          <w:rFonts w:ascii="Arial"/>
          <w:color w:val="5B6761"/>
          <w:w w:val="105"/>
          <w:sz w:val="14"/>
        </w:rPr>
        <w:t>evidence</w:t>
      </w:r>
      <w:r>
        <w:rPr>
          <w:rFonts w:ascii="Arial"/>
          <w:color w:val="5B6761"/>
          <w:spacing w:val="-11"/>
          <w:w w:val="105"/>
          <w:sz w:val="14"/>
        </w:rPr>
        <w:t xml:space="preserve"> </w:t>
      </w:r>
      <w:r>
        <w:rPr>
          <w:rFonts w:ascii="Arial"/>
          <w:color w:val="5B6761"/>
          <w:w w:val="105"/>
          <w:sz w:val="14"/>
        </w:rPr>
        <w:t>supporting</w:t>
      </w:r>
      <w:r>
        <w:rPr>
          <w:rFonts w:ascii="Arial"/>
          <w:color w:val="5B6761"/>
          <w:spacing w:val="-9"/>
          <w:w w:val="105"/>
          <w:sz w:val="14"/>
        </w:rPr>
        <w:t xml:space="preserve"> </w:t>
      </w:r>
      <w:r>
        <w:rPr>
          <w:rFonts w:ascii="Arial"/>
          <w:color w:val="5B6761"/>
          <w:w w:val="105"/>
          <w:sz w:val="14"/>
        </w:rPr>
        <w:t>its</w:t>
      </w:r>
      <w:r>
        <w:rPr>
          <w:rFonts w:ascii="Arial"/>
          <w:color w:val="5B6761"/>
          <w:spacing w:val="-10"/>
          <w:w w:val="105"/>
          <w:sz w:val="14"/>
        </w:rPr>
        <w:t xml:space="preserve"> </w:t>
      </w:r>
      <w:r>
        <w:rPr>
          <w:rFonts w:ascii="Arial"/>
          <w:color w:val="5B6761"/>
          <w:w w:val="105"/>
          <w:sz w:val="14"/>
        </w:rPr>
        <w:t>safety,</w:t>
      </w:r>
      <w:r>
        <w:rPr>
          <w:rFonts w:ascii="Arial"/>
          <w:color w:val="5B6761"/>
          <w:spacing w:val="-7"/>
          <w:w w:val="105"/>
          <w:sz w:val="14"/>
        </w:rPr>
        <w:t xml:space="preserve"> </w:t>
      </w:r>
      <w:r>
        <w:rPr>
          <w:rFonts w:ascii="Arial"/>
          <w:color w:val="5B6761"/>
          <w:w w:val="105"/>
          <w:sz w:val="14"/>
        </w:rPr>
        <w:t>quality,</w:t>
      </w:r>
      <w:r>
        <w:rPr>
          <w:rFonts w:ascii="Arial"/>
          <w:color w:val="5B6761"/>
          <w:spacing w:val="-9"/>
          <w:w w:val="105"/>
          <w:sz w:val="14"/>
        </w:rPr>
        <w:t xml:space="preserve"> </w:t>
      </w:r>
      <w:r>
        <w:rPr>
          <w:rFonts w:ascii="Arial"/>
          <w:color w:val="5B6761"/>
          <w:w w:val="105"/>
          <w:sz w:val="14"/>
        </w:rPr>
        <w:t>and</w:t>
      </w:r>
      <w:r>
        <w:rPr>
          <w:rFonts w:ascii="Arial"/>
          <w:color w:val="5B6761"/>
          <w:spacing w:val="-9"/>
          <w:w w:val="105"/>
          <w:sz w:val="14"/>
        </w:rPr>
        <w:t xml:space="preserve"> </w:t>
      </w:r>
      <w:r>
        <w:rPr>
          <w:rFonts w:ascii="Arial"/>
          <w:color w:val="5B6761"/>
          <w:w w:val="105"/>
          <w:sz w:val="14"/>
        </w:rPr>
        <w:t>efficacy.</w:t>
      </w:r>
    </w:p>
    <w:p w:rsidR="007D76BB" w:rsidRDefault="00D70D28">
      <w:pPr>
        <w:spacing w:before="59" w:line="268" w:lineRule="auto"/>
        <w:ind w:left="594" w:right="688" w:hanging="113"/>
        <w:rPr>
          <w:rFonts w:ascii="Arial"/>
          <w:sz w:val="14"/>
        </w:rPr>
      </w:pPr>
      <w:r>
        <w:rPr>
          <w:rFonts w:ascii="Arial"/>
          <w:color w:val="5B6761"/>
          <w:w w:val="105"/>
          <w:position w:val="5"/>
          <w:sz w:val="8"/>
        </w:rPr>
        <w:t>73</w:t>
      </w:r>
      <w:r>
        <w:rPr>
          <w:rFonts w:ascii="Arial"/>
          <w:color w:val="5B6761"/>
          <w:spacing w:val="-1"/>
          <w:w w:val="105"/>
          <w:position w:val="5"/>
          <w:sz w:val="8"/>
        </w:rPr>
        <w:t xml:space="preserve"> </w:t>
      </w:r>
      <w:r>
        <w:rPr>
          <w:rFonts w:ascii="Arial"/>
          <w:color w:val="5B6761"/>
          <w:w w:val="105"/>
          <w:sz w:val="14"/>
        </w:rPr>
        <w:t>For</w:t>
      </w:r>
      <w:r>
        <w:rPr>
          <w:rFonts w:ascii="Arial"/>
          <w:color w:val="5B6761"/>
          <w:spacing w:val="-18"/>
          <w:w w:val="105"/>
          <w:sz w:val="14"/>
        </w:rPr>
        <w:t xml:space="preserve"> </w:t>
      </w:r>
      <w:r>
        <w:rPr>
          <w:rFonts w:ascii="Arial"/>
          <w:color w:val="5B6761"/>
          <w:w w:val="105"/>
          <w:sz w:val="14"/>
        </w:rPr>
        <w:t>example,</w:t>
      </w:r>
      <w:r>
        <w:rPr>
          <w:rFonts w:ascii="Arial"/>
          <w:color w:val="5B6761"/>
          <w:spacing w:val="-19"/>
          <w:w w:val="105"/>
          <w:sz w:val="14"/>
        </w:rPr>
        <w:t xml:space="preserve"> </w:t>
      </w:r>
      <w:r>
        <w:rPr>
          <w:rFonts w:ascii="Arial"/>
          <w:color w:val="5B6761"/>
          <w:w w:val="105"/>
          <w:sz w:val="14"/>
        </w:rPr>
        <w:t>the</w:t>
      </w:r>
      <w:r>
        <w:rPr>
          <w:rFonts w:ascii="Arial"/>
          <w:color w:val="5B6761"/>
          <w:spacing w:val="-19"/>
          <w:w w:val="105"/>
          <w:sz w:val="14"/>
        </w:rPr>
        <w:t xml:space="preserve"> </w:t>
      </w:r>
      <w:r>
        <w:rPr>
          <w:rFonts w:ascii="Arial"/>
          <w:color w:val="5B6761"/>
          <w:w w:val="105"/>
          <w:sz w:val="14"/>
        </w:rPr>
        <w:t>Australian</w:t>
      </w:r>
      <w:r>
        <w:rPr>
          <w:rFonts w:ascii="Arial"/>
          <w:color w:val="5B6761"/>
          <w:spacing w:val="-18"/>
          <w:w w:val="105"/>
          <w:sz w:val="14"/>
        </w:rPr>
        <w:t xml:space="preserve"> </w:t>
      </w:r>
      <w:r>
        <w:rPr>
          <w:rFonts w:ascii="Arial"/>
          <w:color w:val="5B6761"/>
          <w:w w:val="105"/>
          <w:sz w:val="14"/>
        </w:rPr>
        <w:t>Sports</w:t>
      </w:r>
      <w:r>
        <w:rPr>
          <w:rFonts w:ascii="Arial"/>
          <w:color w:val="5B6761"/>
          <w:spacing w:val="-18"/>
          <w:w w:val="105"/>
          <w:sz w:val="14"/>
        </w:rPr>
        <w:t xml:space="preserve"> </w:t>
      </w:r>
      <w:r>
        <w:rPr>
          <w:rFonts w:ascii="Arial"/>
          <w:color w:val="5B6761"/>
          <w:w w:val="105"/>
          <w:sz w:val="14"/>
        </w:rPr>
        <w:t>Anti-Doping</w:t>
      </w:r>
      <w:r>
        <w:rPr>
          <w:rFonts w:ascii="Arial"/>
          <w:color w:val="5B6761"/>
          <w:spacing w:val="-18"/>
          <w:w w:val="105"/>
          <w:sz w:val="14"/>
        </w:rPr>
        <w:t xml:space="preserve"> </w:t>
      </w:r>
      <w:r>
        <w:rPr>
          <w:rFonts w:ascii="Arial"/>
          <w:color w:val="5B6761"/>
          <w:w w:val="105"/>
          <w:sz w:val="14"/>
        </w:rPr>
        <w:t>Authority</w:t>
      </w:r>
      <w:r>
        <w:rPr>
          <w:rFonts w:ascii="Arial"/>
          <w:color w:val="5B6761"/>
          <w:spacing w:val="-19"/>
          <w:w w:val="105"/>
          <w:sz w:val="14"/>
        </w:rPr>
        <w:t xml:space="preserve"> </w:t>
      </w:r>
      <w:r>
        <w:rPr>
          <w:rFonts w:ascii="Arial"/>
          <w:color w:val="5B6761"/>
          <w:w w:val="105"/>
          <w:sz w:val="14"/>
        </w:rPr>
        <w:t>notes</w:t>
      </w:r>
      <w:r>
        <w:rPr>
          <w:rFonts w:ascii="Arial"/>
          <w:color w:val="5B6761"/>
          <w:spacing w:val="-18"/>
          <w:w w:val="105"/>
          <w:sz w:val="14"/>
        </w:rPr>
        <w:t xml:space="preserve"> </w:t>
      </w:r>
      <w:r>
        <w:rPr>
          <w:rFonts w:ascii="Arial"/>
          <w:color w:val="5B6761"/>
          <w:w w:val="105"/>
          <w:sz w:val="14"/>
        </w:rPr>
        <w:t>the</w:t>
      </w:r>
      <w:r>
        <w:rPr>
          <w:rFonts w:ascii="Arial"/>
          <w:color w:val="5B6761"/>
          <w:spacing w:val="-20"/>
          <w:w w:val="105"/>
          <w:sz w:val="14"/>
        </w:rPr>
        <w:t xml:space="preserve"> </w:t>
      </w:r>
      <w:r>
        <w:rPr>
          <w:rFonts w:ascii="Arial"/>
          <w:color w:val="5B6761"/>
          <w:w w:val="105"/>
          <w:sz w:val="14"/>
        </w:rPr>
        <w:t>following</w:t>
      </w:r>
      <w:r>
        <w:rPr>
          <w:rFonts w:ascii="Arial"/>
          <w:color w:val="5B6761"/>
          <w:spacing w:val="-16"/>
          <w:w w:val="105"/>
          <w:sz w:val="14"/>
        </w:rPr>
        <w:t xml:space="preserve"> </w:t>
      </w:r>
      <w:r>
        <w:rPr>
          <w:rFonts w:ascii="Arial"/>
          <w:color w:val="5B6761"/>
          <w:w w:val="105"/>
          <w:sz w:val="14"/>
        </w:rPr>
        <w:t>synonyms</w:t>
      </w:r>
      <w:r>
        <w:rPr>
          <w:rFonts w:ascii="Arial"/>
          <w:color w:val="5B6761"/>
          <w:spacing w:val="-19"/>
          <w:w w:val="105"/>
          <w:sz w:val="14"/>
        </w:rPr>
        <w:t xml:space="preserve"> </w:t>
      </w:r>
      <w:r>
        <w:rPr>
          <w:rFonts w:ascii="Arial"/>
          <w:color w:val="5B6761"/>
          <w:w w:val="105"/>
          <w:sz w:val="14"/>
        </w:rPr>
        <w:t>for</w:t>
      </w:r>
      <w:r>
        <w:rPr>
          <w:rFonts w:ascii="Arial"/>
          <w:color w:val="5B6761"/>
          <w:spacing w:val="-18"/>
          <w:w w:val="105"/>
          <w:sz w:val="14"/>
        </w:rPr>
        <w:t xml:space="preserve"> </w:t>
      </w:r>
      <w:proofErr w:type="spellStart"/>
      <w:r>
        <w:rPr>
          <w:rFonts w:ascii="Arial"/>
          <w:color w:val="5B6761"/>
          <w:w w:val="105"/>
          <w:sz w:val="14"/>
        </w:rPr>
        <w:t>Higenamine</w:t>
      </w:r>
      <w:proofErr w:type="spellEnd"/>
      <w:r>
        <w:rPr>
          <w:rFonts w:ascii="Arial"/>
          <w:color w:val="5B6761"/>
          <w:spacing w:val="-18"/>
          <w:w w:val="105"/>
          <w:sz w:val="14"/>
        </w:rPr>
        <w:t xml:space="preserve"> </w:t>
      </w:r>
      <w:r>
        <w:rPr>
          <w:rFonts w:ascii="Arial"/>
          <w:color w:val="5B6761"/>
          <w:w w:val="105"/>
          <w:sz w:val="14"/>
        </w:rPr>
        <w:t>(a</w:t>
      </w:r>
      <w:r>
        <w:rPr>
          <w:rFonts w:ascii="Arial"/>
          <w:color w:val="5B6761"/>
          <w:spacing w:val="-18"/>
          <w:w w:val="105"/>
          <w:sz w:val="14"/>
        </w:rPr>
        <w:t xml:space="preserve"> </w:t>
      </w:r>
      <w:r>
        <w:rPr>
          <w:rFonts w:ascii="Arial"/>
          <w:color w:val="5B6761"/>
          <w:w w:val="105"/>
          <w:sz w:val="14"/>
        </w:rPr>
        <w:t>prohibited</w:t>
      </w:r>
      <w:r>
        <w:rPr>
          <w:rFonts w:ascii="Arial"/>
          <w:color w:val="5B6761"/>
          <w:spacing w:val="-17"/>
          <w:w w:val="105"/>
          <w:sz w:val="14"/>
        </w:rPr>
        <w:t xml:space="preserve"> </w:t>
      </w:r>
      <w:r>
        <w:rPr>
          <w:rFonts w:ascii="Arial"/>
          <w:color w:val="5B6761"/>
          <w:w w:val="105"/>
          <w:sz w:val="14"/>
        </w:rPr>
        <w:t>Beta</w:t>
      </w:r>
      <w:r>
        <w:rPr>
          <w:rFonts w:ascii="Arial"/>
          <w:color w:val="5B6761"/>
          <w:spacing w:val="-18"/>
          <w:w w:val="105"/>
          <w:sz w:val="14"/>
        </w:rPr>
        <w:t xml:space="preserve"> </w:t>
      </w:r>
      <w:r>
        <w:rPr>
          <w:rFonts w:ascii="Arial"/>
          <w:color w:val="5B6761"/>
          <w:w w:val="105"/>
          <w:sz w:val="14"/>
        </w:rPr>
        <w:t>2</w:t>
      </w:r>
      <w:r>
        <w:rPr>
          <w:rFonts w:ascii="Arial"/>
          <w:color w:val="5B6761"/>
          <w:spacing w:val="-18"/>
          <w:w w:val="105"/>
          <w:sz w:val="14"/>
        </w:rPr>
        <w:t xml:space="preserve"> </w:t>
      </w:r>
      <w:r>
        <w:rPr>
          <w:rFonts w:ascii="Arial"/>
          <w:color w:val="5B6761"/>
          <w:w w:val="105"/>
          <w:sz w:val="14"/>
        </w:rPr>
        <w:t xml:space="preserve">Agonist): </w:t>
      </w:r>
      <w:proofErr w:type="spellStart"/>
      <w:r>
        <w:rPr>
          <w:rFonts w:ascii="Arial"/>
          <w:color w:val="5B6761"/>
          <w:w w:val="105"/>
          <w:sz w:val="14"/>
        </w:rPr>
        <w:t>Demethylcoclaurine</w:t>
      </w:r>
      <w:proofErr w:type="spellEnd"/>
      <w:r>
        <w:rPr>
          <w:rFonts w:ascii="Arial"/>
          <w:color w:val="5B6761"/>
          <w:w w:val="105"/>
          <w:sz w:val="14"/>
        </w:rPr>
        <w:t xml:space="preserve">, </w:t>
      </w:r>
      <w:proofErr w:type="spellStart"/>
      <w:r>
        <w:rPr>
          <w:rFonts w:ascii="Arial"/>
          <w:color w:val="5B6761"/>
          <w:w w:val="105"/>
          <w:sz w:val="14"/>
        </w:rPr>
        <w:t>Norcoclaurine</w:t>
      </w:r>
      <w:proofErr w:type="spellEnd"/>
      <w:r>
        <w:rPr>
          <w:rFonts w:ascii="Arial"/>
          <w:color w:val="5B6761"/>
          <w:w w:val="105"/>
          <w:sz w:val="14"/>
        </w:rPr>
        <w:t xml:space="preserve">, </w:t>
      </w:r>
      <w:proofErr w:type="spellStart"/>
      <w:r>
        <w:rPr>
          <w:rFonts w:ascii="Arial"/>
          <w:color w:val="5B6761"/>
          <w:w w:val="105"/>
          <w:sz w:val="14"/>
        </w:rPr>
        <w:t>Tinospora</w:t>
      </w:r>
      <w:proofErr w:type="spellEnd"/>
      <w:r>
        <w:rPr>
          <w:rFonts w:ascii="Arial"/>
          <w:color w:val="5B6761"/>
          <w:w w:val="105"/>
          <w:sz w:val="14"/>
        </w:rPr>
        <w:t xml:space="preserve"> </w:t>
      </w:r>
      <w:proofErr w:type="spellStart"/>
      <w:r>
        <w:rPr>
          <w:rFonts w:ascii="Arial"/>
          <w:color w:val="5B6761"/>
          <w:w w:val="105"/>
          <w:sz w:val="14"/>
        </w:rPr>
        <w:t>crispa</w:t>
      </w:r>
      <w:proofErr w:type="spellEnd"/>
      <w:r>
        <w:rPr>
          <w:rFonts w:ascii="Arial"/>
          <w:color w:val="5B6761"/>
          <w:w w:val="105"/>
          <w:sz w:val="14"/>
        </w:rPr>
        <w:t xml:space="preserve">, </w:t>
      </w:r>
      <w:proofErr w:type="spellStart"/>
      <w:r>
        <w:rPr>
          <w:rFonts w:ascii="Arial"/>
          <w:color w:val="5B6761"/>
          <w:w w:val="105"/>
          <w:sz w:val="14"/>
        </w:rPr>
        <w:t>Nandina</w:t>
      </w:r>
      <w:proofErr w:type="spellEnd"/>
      <w:r>
        <w:rPr>
          <w:rFonts w:ascii="Arial"/>
          <w:color w:val="5B6761"/>
          <w:w w:val="105"/>
          <w:sz w:val="14"/>
        </w:rPr>
        <w:t xml:space="preserve"> </w:t>
      </w:r>
      <w:proofErr w:type="spellStart"/>
      <w:r>
        <w:rPr>
          <w:rFonts w:ascii="Arial"/>
          <w:color w:val="5B6761"/>
          <w:w w:val="105"/>
          <w:sz w:val="14"/>
        </w:rPr>
        <w:t>domestica</w:t>
      </w:r>
      <w:proofErr w:type="spellEnd"/>
      <w:r>
        <w:rPr>
          <w:rFonts w:ascii="Arial"/>
          <w:color w:val="5B6761"/>
          <w:w w:val="105"/>
          <w:sz w:val="14"/>
        </w:rPr>
        <w:t xml:space="preserve">, </w:t>
      </w:r>
      <w:proofErr w:type="spellStart"/>
      <w:r>
        <w:rPr>
          <w:rFonts w:ascii="Arial"/>
          <w:color w:val="5B6761"/>
          <w:w w:val="105"/>
          <w:sz w:val="14"/>
        </w:rPr>
        <w:t>Nelumbo</w:t>
      </w:r>
      <w:proofErr w:type="spellEnd"/>
      <w:r>
        <w:rPr>
          <w:rFonts w:ascii="Arial"/>
          <w:color w:val="5B6761"/>
          <w:w w:val="105"/>
          <w:sz w:val="14"/>
        </w:rPr>
        <w:t xml:space="preserve"> </w:t>
      </w:r>
      <w:proofErr w:type="spellStart"/>
      <w:r>
        <w:rPr>
          <w:rFonts w:ascii="Arial"/>
          <w:color w:val="5B6761"/>
          <w:w w:val="105"/>
          <w:sz w:val="14"/>
        </w:rPr>
        <w:t>Nucifera</w:t>
      </w:r>
      <w:proofErr w:type="spellEnd"/>
      <w:r>
        <w:rPr>
          <w:rFonts w:ascii="Arial"/>
          <w:color w:val="5B6761"/>
          <w:w w:val="105"/>
          <w:sz w:val="14"/>
        </w:rPr>
        <w:t xml:space="preserve">, </w:t>
      </w:r>
      <w:proofErr w:type="spellStart"/>
      <w:r>
        <w:rPr>
          <w:rFonts w:ascii="Arial"/>
          <w:color w:val="5B6761"/>
          <w:w w:val="105"/>
          <w:sz w:val="14"/>
        </w:rPr>
        <w:t>Argemone</w:t>
      </w:r>
      <w:proofErr w:type="spellEnd"/>
      <w:r>
        <w:rPr>
          <w:rFonts w:ascii="Arial"/>
          <w:color w:val="5B6761"/>
          <w:w w:val="105"/>
          <w:sz w:val="14"/>
        </w:rPr>
        <w:t xml:space="preserve"> Mexicana, Magnolia </w:t>
      </w:r>
      <w:proofErr w:type="spellStart"/>
      <w:r>
        <w:rPr>
          <w:rFonts w:ascii="Arial"/>
          <w:color w:val="5B6761"/>
          <w:w w:val="105"/>
          <w:sz w:val="14"/>
        </w:rPr>
        <w:t>salicifolia</w:t>
      </w:r>
      <w:proofErr w:type="spellEnd"/>
      <w:r>
        <w:rPr>
          <w:rFonts w:ascii="Arial"/>
          <w:color w:val="5B6761"/>
          <w:w w:val="105"/>
          <w:sz w:val="14"/>
        </w:rPr>
        <w:t>,</w:t>
      </w:r>
      <w:r>
        <w:rPr>
          <w:rFonts w:ascii="Arial"/>
          <w:color w:val="5B6761"/>
          <w:spacing w:val="-23"/>
          <w:w w:val="105"/>
          <w:sz w:val="14"/>
        </w:rPr>
        <w:t xml:space="preserve"> </w:t>
      </w:r>
      <w:r>
        <w:rPr>
          <w:rFonts w:ascii="Arial"/>
          <w:color w:val="5B6761"/>
          <w:w w:val="105"/>
          <w:sz w:val="14"/>
        </w:rPr>
        <w:t>Aconite</w:t>
      </w:r>
      <w:r>
        <w:rPr>
          <w:rFonts w:ascii="Arial"/>
          <w:color w:val="5B6761"/>
          <w:spacing w:val="-23"/>
          <w:w w:val="105"/>
          <w:sz w:val="14"/>
        </w:rPr>
        <w:t xml:space="preserve"> </w:t>
      </w:r>
      <w:r>
        <w:rPr>
          <w:rFonts w:ascii="Arial"/>
          <w:color w:val="5B6761"/>
          <w:w w:val="105"/>
          <w:sz w:val="14"/>
        </w:rPr>
        <w:t>Root,</w:t>
      </w:r>
      <w:r>
        <w:rPr>
          <w:rFonts w:ascii="Arial"/>
          <w:color w:val="5B6761"/>
          <w:spacing w:val="-23"/>
          <w:w w:val="105"/>
          <w:sz w:val="14"/>
        </w:rPr>
        <w:t xml:space="preserve"> </w:t>
      </w:r>
      <w:proofErr w:type="spellStart"/>
      <w:r>
        <w:rPr>
          <w:rFonts w:ascii="Arial"/>
          <w:color w:val="5B6761"/>
          <w:w w:val="105"/>
          <w:sz w:val="14"/>
        </w:rPr>
        <w:t>Coptis</w:t>
      </w:r>
      <w:proofErr w:type="spellEnd"/>
      <w:r>
        <w:rPr>
          <w:rFonts w:ascii="Arial"/>
          <w:color w:val="5B6761"/>
          <w:spacing w:val="-23"/>
          <w:w w:val="105"/>
          <w:sz w:val="14"/>
        </w:rPr>
        <w:t xml:space="preserve"> </w:t>
      </w:r>
      <w:r>
        <w:rPr>
          <w:rFonts w:ascii="Arial"/>
          <w:color w:val="5B6761"/>
          <w:w w:val="105"/>
          <w:sz w:val="14"/>
        </w:rPr>
        <w:t>japonica,</w:t>
      </w:r>
      <w:r>
        <w:rPr>
          <w:rFonts w:ascii="Arial"/>
          <w:color w:val="5B6761"/>
          <w:spacing w:val="-22"/>
          <w:w w:val="105"/>
          <w:sz w:val="14"/>
        </w:rPr>
        <w:t xml:space="preserve"> </w:t>
      </w:r>
      <w:r>
        <w:rPr>
          <w:rFonts w:ascii="Arial"/>
          <w:color w:val="5B6761"/>
          <w:w w:val="105"/>
          <w:sz w:val="14"/>
        </w:rPr>
        <w:t>Aconitum</w:t>
      </w:r>
      <w:r>
        <w:rPr>
          <w:rFonts w:ascii="Arial"/>
          <w:color w:val="5B6761"/>
          <w:spacing w:val="-23"/>
          <w:w w:val="105"/>
          <w:sz w:val="14"/>
        </w:rPr>
        <w:t xml:space="preserve"> </w:t>
      </w:r>
      <w:proofErr w:type="spellStart"/>
      <w:r>
        <w:rPr>
          <w:rFonts w:ascii="Arial"/>
          <w:color w:val="5B6761"/>
          <w:w w:val="105"/>
          <w:sz w:val="14"/>
        </w:rPr>
        <w:t>japonicum</w:t>
      </w:r>
      <w:proofErr w:type="spellEnd"/>
      <w:r>
        <w:rPr>
          <w:rFonts w:ascii="Arial"/>
          <w:color w:val="5B6761"/>
          <w:w w:val="105"/>
          <w:sz w:val="14"/>
        </w:rPr>
        <w:t>,</w:t>
      </w:r>
      <w:r>
        <w:rPr>
          <w:rFonts w:ascii="Arial"/>
          <w:color w:val="5B6761"/>
          <w:spacing w:val="-23"/>
          <w:w w:val="105"/>
          <w:sz w:val="14"/>
        </w:rPr>
        <w:t xml:space="preserve"> </w:t>
      </w:r>
      <w:proofErr w:type="spellStart"/>
      <w:r>
        <w:rPr>
          <w:rFonts w:ascii="Arial"/>
          <w:color w:val="5B6761"/>
          <w:w w:val="105"/>
          <w:sz w:val="14"/>
        </w:rPr>
        <w:t>Gnetum</w:t>
      </w:r>
      <w:proofErr w:type="spellEnd"/>
      <w:r>
        <w:rPr>
          <w:rFonts w:ascii="Arial"/>
          <w:color w:val="5B6761"/>
          <w:spacing w:val="-23"/>
          <w:w w:val="105"/>
          <w:sz w:val="14"/>
        </w:rPr>
        <w:t xml:space="preserve"> </w:t>
      </w:r>
      <w:proofErr w:type="spellStart"/>
      <w:r>
        <w:rPr>
          <w:rFonts w:ascii="Arial"/>
          <w:color w:val="5B6761"/>
          <w:w w:val="105"/>
          <w:sz w:val="14"/>
        </w:rPr>
        <w:t>Parvifolium</w:t>
      </w:r>
      <w:proofErr w:type="spellEnd"/>
      <w:r>
        <w:rPr>
          <w:rFonts w:ascii="Arial"/>
          <w:color w:val="5B6761"/>
          <w:w w:val="105"/>
          <w:sz w:val="14"/>
        </w:rPr>
        <w:t>,</w:t>
      </w:r>
      <w:r>
        <w:rPr>
          <w:rFonts w:ascii="Arial"/>
          <w:color w:val="5B6761"/>
          <w:spacing w:val="-23"/>
          <w:w w:val="105"/>
          <w:sz w:val="14"/>
        </w:rPr>
        <w:t xml:space="preserve"> </w:t>
      </w:r>
      <w:proofErr w:type="spellStart"/>
      <w:r>
        <w:rPr>
          <w:rFonts w:ascii="Arial"/>
          <w:color w:val="5B6761"/>
          <w:w w:val="105"/>
          <w:sz w:val="14"/>
        </w:rPr>
        <w:t>Asarum</w:t>
      </w:r>
      <w:proofErr w:type="spellEnd"/>
      <w:r>
        <w:rPr>
          <w:rFonts w:ascii="Arial"/>
          <w:color w:val="5B6761"/>
          <w:spacing w:val="-23"/>
          <w:w w:val="105"/>
          <w:sz w:val="14"/>
        </w:rPr>
        <w:t xml:space="preserve"> </w:t>
      </w:r>
      <w:proofErr w:type="spellStart"/>
      <w:r>
        <w:rPr>
          <w:rFonts w:ascii="Arial"/>
          <w:color w:val="5B6761"/>
          <w:w w:val="105"/>
          <w:sz w:val="14"/>
        </w:rPr>
        <w:t>hetertropoides</w:t>
      </w:r>
      <w:proofErr w:type="spellEnd"/>
      <w:r>
        <w:rPr>
          <w:rFonts w:ascii="Arial"/>
          <w:color w:val="5B6761"/>
          <w:w w:val="105"/>
          <w:sz w:val="14"/>
        </w:rPr>
        <w:t>,</w:t>
      </w:r>
      <w:r>
        <w:rPr>
          <w:rFonts w:ascii="Arial"/>
          <w:color w:val="5B6761"/>
          <w:spacing w:val="-23"/>
          <w:w w:val="105"/>
          <w:sz w:val="14"/>
        </w:rPr>
        <w:t xml:space="preserve"> </w:t>
      </w:r>
      <w:r>
        <w:rPr>
          <w:rFonts w:ascii="Arial"/>
          <w:color w:val="5B6761"/>
          <w:w w:val="105"/>
          <w:sz w:val="14"/>
        </w:rPr>
        <w:t>Aconitum</w:t>
      </w:r>
      <w:r>
        <w:rPr>
          <w:rFonts w:ascii="Arial"/>
          <w:color w:val="5B6761"/>
          <w:spacing w:val="-23"/>
          <w:w w:val="105"/>
          <w:sz w:val="14"/>
        </w:rPr>
        <w:t xml:space="preserve"> </w:t>
      </w:r>
      <w:proofErr w:type="spellStart"/>
      <w:r>
        <w:rPr>
          <w:rFonts w:ascii="Arial"/>
          <w:color w:val="5B6761"/>
          <w:w w:val="105"/>
          <w:sz w:val="14"/>
        </w:rPr>
        <w:t>carmichaelii</w:t>
      </w:r>
      <w:proofErr w:type="spellEnd"/>
      <w:r>
        <w:rPr>
          <w:rFonts w:ascii="Arial"/>
          <w:color w:val="5B6761"/>
          <w:w w:val="105"/>
          <w:sz w:val="14"/>
        </w:rPr>
        <w:t xml:space="preserve">, </w:t>
      </w:r>
      <w:proofErr w:type="spellStart"/>
      <w:r>
        <w:rPr>
          <w:rFonts w:ascii="Arial"/>
          <w:color w:val="5B6761"/>
          <w:w w:val="90"/>
          <w:sz w:val="14"/>
        </w:rPr>
        <w:t>G</w:t>
      </w:r>
      <w:r>
        <w:rPr>
          <w:rFonts w:ascii="Arial"/>
          <w:color w:val="5B6761"/>
          <w:spacing w:val="1"/>
          <w:w w:val="90"/>
          <w:sz w:val="14"/>
        </w:rPr>
        <w:t>a</w:t>
      </w:r>
      <w:r>
        <w:rPr>
          <w:rFonts w:ascii="Arial"/>
          <w:color w:val="5B6761"/>
          <w:spacing w:val="-1"/>
          <w:w w:val="117"/>
          <w:sz w:val="14"/>
        </w:rPr>
        <w:t>l</w:t>
      </w:r>
      <w:r>
        <w:rPr>
          <w:rFonts w:ascii="Arial"/>
          <w:color w:val="5B6761"/>
          <w:w w:val="113"/>
          <w:sz w:val="14"/>
        </w:rPr>
        <w:t>i</w:t>
      </w:r>
      <w:r>
        <w:rPr>
          <w:rFonts w:ascii="Arial"/>
          <w:color w:val="5B6761"/>
          <w:sz w:val="14"/>
        </w:rPr>
        <w:t>um</w:t>
      </w:r>
      <w:proofErr w:type="spellEnd"/>
      <w:r>
        <w:rPr>
          <w:rFonts w:ascii="Arial"/>
          <w:color w:val="5B6761"/>
          <w:spacing w:val="-6"/>
          <w:sz w:val="14"/>
        </w:rPr>
        <w:t xml:space="preserve"> </w:t>
      </w:r>
      <w:proofErr w:type="spellStart"/>
      <w:r>
        <w:rPr>
          <w:rFonts w:ascii="Arial"/>
          <w:color w:val="5B6761"/>
          <w:sz w:val="14"/>
        </w:rPr>
        <w:t>d</w:t>
      </w:r>
      <w:r>
        <w:rPr>
          <w:rFonts w:ascii="Arial"/>
          <w:color w:val="5B6761"/>
          <w:w w:val="113"/>
          <w:sz w:val="14"/>
        </w:rPr>
        <w:t>i</w:t>
      </w:r>
      <w:r>
        <w:rPr>
          <w:rFonts w:ascii="Arial"/>
          <w:color w:val="5B6761"/>
          <w:w w:val="101"/>
          <w:sz w:val="14"/>
        </w:rPr>
        <w:t>v</w:t>
      </w:r>
      <w:r>
        <w:rPr>
          <w:rFonts w:ascii="Arial"/>
          <w:color w:val="5B6761"/>
          <w:w w:val="94"/>
          <w:sz w:val="14"/>
        </w:rPr>
        <w:t>a</w:t>
      </w:r>
      <w:r>
        <w:rPr>
          <w:rFonts w:ascii="Arial"/>
          <w:color w:val="5B6761"/>
          <w:spacing w:val="-2"/>
          <w:w w:val="116"/>
          <w:sz w:val="14"/>
        </w:rPr>
        <w:t>r</w:t>
      </w:r>
      <w:r>
        <w:rPr>
          <w:rFonts w:ascii="Arial"/>
          <w:color w:val="5B6761"/>
          <w:w w:val="113"/>
          <w:sz w:val="14"/>
        </w:rPr>
        <w:t>i</w:t>
      </w:r>
      <w:r>
        <w:rPr>
          <w:rFonts w:ascii="Arial"/>
          <w:color w:val="5B6761"/>
          <w:w w:val="96"/>
          <w:sz w:val="14"/>
        </w:rPr>
        <w:t>ca</w:t>
      </w:r>
      <w:r>
        <w:rPr>
          <w:rFonts w:ascii="Arial"/>
          <w:color w:val="5B6761"/>
          <w:w w:val="133"/>
          <w:sz w:val="14"/>
        </w:rPr>
        <w:t>t</w:t>
      </w:r>
      <w:r>
        <w:rPr>
          <w:rFonts w:ascii="Arial"/>
          <w:color w:val="5B6761"/>
          <w:sz w:val="14"/>
        </w:rPr>
        <w:t>um</w:t>
      </w:r>
      <w:proofErr w:type="spellEnd"/>
      <w:r>
        <w:rPr>
          <w:rFonts w:ascii="Arial"/>
          <w:color w:val="5B6761"/>
          <w:spacing w:val="-6"/>
          <w:sz w:val="14"/>
        </w:rPr>
        <w:t xml:space="preserve"> </w:t>
      </w:r>
      <w:r>
        <w:rPr>
          <w:rFonts w:ascii="Arial"/>
          <w:color w:val="5B6761"/>
          <w:w w:val="94"/>
          <w:sz w:val="14"/>
        </w:rPr>
        <w:t>a</w:t>
      </w:r>
      <w:r>
        <w:rPr>
          <w:rFonts w:ascii="Arial"/>
          <w:color w:val="5B6761"/>
          <w:spacing w:val="-2"/>
          <w:sz w:val="14"/>
        </w:rPr>
        <w:t>n</w:t>
      </w:r>
      <w:r>
        <w:rPr>
          <w:rFonts w:ascii="Arial"/>
          <w:color w:val="5B6761"/>
          <w:sz w:val="14"/>
        </w:rPr>
        <w:t>d</w:t>
      </w:r>
      <w:r>
        <w:rPr>
          <w:rFonts w:ascii="Arial"/>
          <w:color w:val="5B6761"/>
          <w:spacing w:val="-5"/>
          <w:sz w:val="14"/>
        </w:rPr>
        <w:t xml:space="preserve"> </w:t>
      </w:r>
      <w:r>
        <w:rPr>
          <w:rFonts w:ascii="Arial"/>
          <w:color w:val="5B6761"/>
          <w:spacing w:val="-1"/>
          <w:w w:val="101"/>
          <w:sz w:val="14"/>
        </w:rPr>
        <w:t>A</w:t>
      </w:r>
      <w:r>
        <w:rPr>
          <w:rFonts w:ascii="Arial"/>
          <w:color w:val="5B6761"/>
          <w:sz w:val="14"/>
        </w:rPr>
        <w:t>nn</w:t>
      </w:r>
      <w:r>
        <w:rPr>
          <w:rFonts w:ascii="Arial"/>
          <w:color w:val="5B6761"/>
          <w:spacing w:val="-1"/>
          <w:w w:val="99"/>
          <w:sz w:val="14"/>
        </w:rPr>
        <w:t>o</w:t>
      </w:r>
      <w:r>
        <w:rPr>
          <w:rFonts w:ascii="Arial"/>
          <w:color w:val="5B6761"/>
          <w:sz w:val="14"/>
        </w:rPr>
        <w:t>n</w:t>
      </w:r>
      <w:r>
        <w:rPr>
          <w:rFonts w:ascii="Arial"/>
          <w:color w:val="5B6761"/>
          <w:w w:val="94"/>
          <w:sz w:val="14"/>
        </w:rPr>
        <w:t>a</w:t>
      </w:r>
      <w:r>
        <w:rPr>
          <w:rFonts w:ascii="Arial"/>
          <w:color w:val="5B6761"/>
          <w:spacing w:val="-5"/>
          <w:sz w:val="14"/>
        </w:rPr>
        <w:t xml:space="preserve"> </w:t>
      </w:r>
      <w:proofErr w:type="spellStart"/>
      <w:r>
        <w:rPr>
          <w:rFonts w:ascii="Arial"/>
          <w:color w:val="5B6761"/>
          <w:spacing w:val="-1"/>
          <w:w w:val="93"/>
          <w:sz w:val="14"/>
        </w:rPr>
        <w:t>s</w:t>
      </w:r>
      <w:r>
        <w:rPr>
          <w:rFonts w:ascii="Arial"/>
          <w:color w:val="5B6761"/>
          <w:sz w:val="14"/>
        </w:rPr>
        <w:t>qu</w:t>
      </w:r>
      <w:r>
        <w:rPr>
          <w:rFonts w:ascii="Arial"/>
          <w:color w:val="5B6761"/>
          <w:w w:val="94"/>
          <w:sz w:val="14"/>
        </w:rPr>
        <w:t>a</w:t>
      </w:r>
      <w:r>
        <w:rPr>
          <w:rFonts w:ascii="Arial"/>
          <w:color w:val="5B6761"/>
          <w:spacing w:val="-3"/>
          <w:sz w:val="14"/>
        </w:rPr>
        <w:t>m</w:t>
      </w:r>
      <w:r>
        <w:rPr>
          <w:rFonts w:ascii="Arial"/>
          <w:color w:val="5B6761"/>
          <w:spacing w:val="-1"/>
          <w:w w:val="99"/>
          <w:sz w:val="14"/>
        </w:rPr>
        <w:t>o</w:t>
      </w:r>
      <w:r>
        <w:rPr>
          <w:rFonts w:ascii="Arial"/>
          <w:color w:val="5B6761"/>
          <w:spacing w:val="-1"/>
          <w:w w:val="93"/>
          <w:sz w:val="14"/>
        </w:rPr>
        <w:t>s</w:t>
      </w:r>
      <w:r>
        <w:rPr>
          <w:rFonts w:ascii="Arial"/>
          <w:color w:val="5B6761"/>
          <w:w w:val="94"/>
          <w:sz w:val="14"/>
        </w:rPr>
        <w:t>a</w:t>
      </w:r>
      <w:proofErr w:type="spellEnd"/>
      <w:r>
        <w:rPr>
          <w:rFonts w:ascii="Arial"/>
          <w:color w:val="5B6761"/>
          <w:w w:val="80"/>
          <w:sz w:val="14"/>
        </w:rPr>
        <w:t>.</w:t>
      </w:r>
      <w:r>
        <w:rPr>
          <w:rFonts w:ascii="Arial"/>
          <w:color w:val="5B6761"/>
          <w:spacing w:val="-6"/>
          <w:sz w:val="14"/>
        </w:rPr>
        <w:t xml:space="preserve"> </w:t>
      </w:r>
      <w:r>
        <w:rPr>
          <w:rFonts w:ascii="Arial"/>
          <w:color w:val="5B6761"/>
          <w:w w:val="89"/>
          <w:sz w:val="14"/>
        </w:rPr>
        <w:t>S</w:t>
      </w:r>
      <w:r>
        <w:rPr>
          <w:rFonts w:ascii="Arial"/>
          <w:color w:val="5B6761"/>
          <w:spacing w:val="-1"/>
          <w:w w:val="96"/>
          <w:sz w:val="14"/>
        </w:rPr>
        <w:t>e</w:t>
      </w:r>
      <w:r>
        <w:rPr>
          <w:rFonts w:ascii="Arial"/>
          <w:color w:val="5B6761"/>
          <w:w w:val="96"/>
          <w:sz w:val="14"/>
        </w:rPr>
        <w:t>e</w:t>
      </w:r>
      <w:r>
        <w:rPr>
          <w:rFonts w:ascii="Arial"/>
          <w:color w:val="5B6761"/>
          <w:spacing w:val="-7"/>
          <w:sz w:val="14"/>
        </w:rPr>
        <w:t xml:space="preserve"> </w:t>
      </w:r>
      <w:r>
        <w:rPr>
          <w:rFonts w:ascii="Arial"/>
          <w:color w:val="5B6761"/>
          <w:w w:val="109"/>
          <w:sz w:val="14"/>
        </w:rPr>
        <w:t>&lt;</w:t>
      </w:r>
      <w:r>
        <w:rPr>
          <w:rFonts w:ascii="Arial"/>
          <w:color w:val="5B6761"/>
          <w:spacing w:val="-2"/>
          <w:sz w:val="14"/>
        </w:rPr>
        <w:t xml:space="preserve"> </w:t>
      </w:r>
      <w:hyperlink r:id="rId222">
        <w:r>
          <w:rPr>
            <w:rFonts w:ascii="Arial"/>
            <w:sz w:val="14"/>
            <w:u w:val="single" w:color="006FC0"/>
          </w:rPr>
          <w:t>h</w:t>
        </w:r>
        <w:r>
          <w:rPr>
            <w:rFonts w:ascii="Arial"/>
            <w:w w:val="133"/>
            <w:sz w:val="14"/>
            <w:u w:val="single" w:color="006FC0"/>
          </w:rPr>
          <w:t>tt</w:t>
        </w:r>
        <w:r>
          <w:rPr>
            <w:rFonts w:ascii="Arial"/>
            <w:sz w:val="14"/>
            <w:u w:val="single" w:color="006FC0"/>
          </w:rPr>
          <w:t>p</w:t>
        </w:r>
        <w:r>
          <w:rPr>
            <w:rFonts w:ascii="Arial"/>
            <w:spacing w:val="-1"/>
            <w:w w:val="93"/>
            <w:sz w:val="14"/>
            <w:u w:val="single" w:color="006FC0"/>
          </w:rPr>
          <w:t>s</w:t>
        </w:r>
        <w:r>
          <w:rPr>
            <w:rFonts w:ascii="Arial"/>
            <w:spacing w:val="2"/>
            <w:w w:val="80"/>
            <w:sz w:val="14"/>
            <w:u w:val="single" w:color="006FC0"/>
          </w:rPr>
          <w:t>:</w:t>
        </w:r>
        <w:r>
          <w:rPr>
            <w:rFonts w:ascii="Arial"/>
            <w:spacing w:val="-1"/>
            <w:w w:val="175"/>
            <w:sz w:val="14"/>
            <w:u w:val="single" w:color="006FC0"/>
          </w:rPr>
          <w:t>//</w:t>
        </w:r>
        <w:r>
          <w:rPr>
            <w:rFonts w:ascii="Arial"/>
            <w:spacing w:val="1"/>
            <w:w w:val="98"/>
            <w:sz w:val="14"/>
            <w:u w:val="single" w:color="006FC0"/>
          </w:rPr>
          <w:t>www</w:t>
        </w:r>
        <w:r>
          <w:rPr>
            <w:rFonts w:ascii="Arial"/>
            <w:w w:val="89"/>
            <w:sz w:val="14"/>
            <w:u w:val="single" w:color="006FC0"/>
          </w:rPr>
          <w:t>.a</w:t>
        </w:r>
        <w:r>
          <w:rPr>
            <w:rFonts w:ascii="Arial"/>
            <w:spacing w:val="-1"/>
            <w:w w:val="93"/>
            <w:sz w:val="14"/>
            <w:u w:val="single" w:color="006FC0"/>
          </w:rPr>
          <w:t>s</w:t>
        </w:r>
        <w:r>
          <w:rPr>
            <w:rFonts w:ascii="Arial"/>
            <w:w w:val="94"/>
            <w:sz w:val="14"/>
            <w:u w:val="single" w:color="006FC0"/>
          </w:rPr>
          <w:t>a</w:t>
        </w:r>
        <w:r>
          <w:rPr>
            <w:rFonts w:ascii="Arial"/>
            <w:sz w:val="14"/>
            <w:u w:val="single" w:color="006FC0"/>
          </w:rPr>
          <w:t>d</w:t>
        </w:r>
        <w:r>
          <w:rPr>
            <w:rFonts w:ascii="Arial"/>
            <w:w w:val="94"/>
            <w:sz w:val="14"/>
            <w:u w:val="single" w:color="006FC0"/>
          </w:rPr>
          <w:t>a</w:t>
        </w:r>
        <w:r>
          <w:rPr>
            <w:rFonts w:ascii="Arial"/>
            <w:w w:val="93"/>
            <w:sz w:val="14"/>
            <w:u w:val="single" w:color="006FC0"/>
          </w:rPr>
          <w:t>.g</w:t>
        </w:r>
        <w:r>
          <w:rPr>
            <w:rFonts w:ascii="Arial"/>
            <w:spacing w:val="-1"/>
            <w:w w:val="99"/>
            <w:sz w:val="14"/>
            <w:u w:val="single" w:color="006FC0"/>
          </w:rPr>
          <w:t>o</w:t>
        </w:r>
        <w:r>
          <w:rPr>
            <w:rFonts w:ascii="Arial"/>
            <w:w w:val="101"/>
            <w:sz w:val="14"/>
            <w:u w:val="single" w:color="006FC0"/>
          </w:rPr>
          <w:t>v</w:t>
        </w:r>
        <w:r>
          <w:rPr>
            <w:rFonts w:ascii="Arial"/>
            <w:w w:val="89"/>
            <w:sz w:val="14"/>
            <w:u w:val="single" w:color="006FC0"/>
          </w:rPr>
          <w:t>.a</w:t>
        </w:r>
        <w:r>
          <w:rPr>
            <w:rFonts w:ascii="Arial"/>
            <w:sz w:val="14"/>
            <w:u w:val="single" w:color="006FC0"/>
          </w:rPr>
          <w:t>u</w:t>
        </w:r>
        <w:r>
          <w:rPr>
            <w:rFonts w:ascii="Arial"/>
            <w:spacing w:val="-1"/>
            <w:w w:val="175"/>
            <w:sz w:val="14"/>
            <w:u w:val="single" w:color="006FC0"/>
          </w:rPr>
          <w:t>/</w:t>
        </w:r>
        <w:r>
          <w:rPr>
            <w:rFonts w:ascii="Arial"/>
            <w:spacing w:val="1"/>
            <w:w w:val="93"/>
            <w:sz w:val="14"/>
            <w:u w:val="single" w:color="006FC0"/>
          </w:rPr>
          <w:t>s</w:t>
        </w:r>
        <w:r>
          <w:rPr>
            <w:rFonts w:ascii="Arial"/>
            <w:sz w:val="14"/>
            <w:u w:val="single" w:color="006FC0"/>
          </w:rPr>
          <w:t>ub</w:t>
        </w:r>
        <w:r>
          <w:rPr>
            <w:rFonts w:ascii="Arial"/>
            <w:spacing w:val="-1"/>
            <w:w w:val="93"/>
            <w:sz w:val="14"/>
            <w:u w:val="single" w:color="006FC0"/>
          </w:rPr>
          <w:t>s</w:t>
        </w:r>
        <w:r>
          <w:rPr>
            <w:rFonts w:ascii="Arial"/>
            <w:w w:val="133"/>
            <w:sz w:val="14"/>
            <w:u w:val="single" w:color="006FC0"/>
          </w:rPr>
          <w:t>t</w:t>
        </w:r>
        <w:r>
          <w:rPr>
            <w:rFonts w:ascii="Arial"/>
            <w:spacing w:val="4"/>
            <w:w w:val="94"/>
            <w:sz w:val="14"/>
            <w:u w:val="single" w:color="006FC0"/>
          </w:rPr>
          <w:t>a</w:t>
        </w:r>
        <w:r>
          <w:rPr>
            <w:rFonts w:ascii="Arial"/>
            <w:sz w:val="14"/>
            <w:u w:val="single" w:color="006FC0"/>
          </w:rPr>
          <w:t>n</w:t>
        </w:r>
        <w:r>
          <w:rPr>
            <w:rFonts w:ascii="Arial"/>
            <w:w w:val="97"/>
            <w:sz w:val="14"/>
            <w:u w:val="single" w:color="006FC0"/>
          </w:rPr>
          <w:t>c</w:t>
        </w:r>
        <w:r>
          <w:rPr>
            <w:rFonts w:ascii="Arial"/>
            <w:spacing w:val="-1"/>
            <w:w w:val="97"/>
            <w:sz w:val="14"/>
            <w:u w:val="single" w:color="006FC0"/>
          </w:rPr>
          <w:t>e</w:t>
        </w:r>
        <w:r>
          <w:rPr>
            <w:rFonts w:ascii="Arial"/>
            <w:spacing w:val="-1"/>
            <w:w w:val="93"/>
            <w:sz w:val="14"/>
            <w:u w:val="single" w:color="006FC0"/>
          </w:rPr>
          <w:t>s</w:t>
        </w:r>
        <w:r>
          <w:rPr>
            <w:rFonts w:ascii="Arial"/>
            <w:spacing w:val="-1"/>
            <w:w w:val="175"/>
            <w:sz w:val="14"/>
            <w:u w:val="single" w:color="006FC0"/>
          </w:rPr>
          <w:t>/</w:t>
        </w:r>
        <w:r>
          <w:rPr>
            <w:rFonts w:ascii="Arial"/>
            <w:spacing w:val="-1"/>
            <w:w w:val="93"/>
            <w:sz w:val="14"/>
            <w:u w:val="single" w:color="006FC0"/>
          </w:rPr>
          <w:t>s</w:t>
        </w:r>
        <w:r>
          <w:rPr>
            <w:rFonts w:ascii="Arial"/>
            <w:sz w:val="14"/>
            <w:u w:val="single" w:color="006FC0"/>
          </w:rPr>
          <w:t>upp</w:t>
        </w:r>
        <w:r>
          <w:rPr>
            <w:rFonts w:ascii="Arial"/>
            <w:spacing w:val="1"/>
            <w:w w:val="117"/>
            <w:sz w:val="14"/>
            <w:u w:val="single" w:color="006FC0"/>
          </w:rPr>
          <w:t>l</w:t>
        </w:r>
        <w:r>
          <w:rPr>
            <w:rFonts w:ascii="Arial"/>
            <w:spacing w:val="-1"/>
            <w:w w:val="96"/>
            <w:sz w:val="14"/>
            <w:u w:val="single" w:color="006FC0"/>
          </w:rPr>
          <w:t>e</w:t>
        </w:r>
        <w:r>
          <w:rPr>
            <w:rFonts w:ascii="Arial"/>
            <w:w w:val="99"/>
            <w:sz w:val="14"/>
            <w:u w:val="single" w:color="006FC0"/>
          </w:rPr>
          <w:t>m</w:t>
        </w:r>
        <w:r>
          <w:rPr>
            <w:rFonts w:ascii="Arial"/>
            <w:spacing w:val="-1"/>
            <w:w w:val="99"/>
            <w:sz w:val="14"/>
            <w:u w:val="single" w:color="006FC0"/>
          </w:rPr>
          <w:t>e</w:t>
        </w:r>
        <w:r>
          <w:rPr>
            <w:rFonts w:ascii="Arial"/>
            <w:sz w:val="14"/>
            <w:u w:val="single" w:color="006FC0"/>
          </w:rPr>
          <w:t>n</w:t>
        </w:r>
        <w:r>
          <w:rPr>
            <w:rFonts w:ascii="Arial"/>
            <w:w w:val="133"/>
            <w:sz w:val="14"/>
            <w:u w:val="single" w:color="006FC0"/>
          </w:rPr>
          <w:t>t</w:t>
        </w:r>
        <w:r>
          <w:rPr>
            <w:rFonts w:ascii="Arial"/>
            <w:spacing w:val="2"/>
            <w:w w:val="93"/>
            <w:sz w:val="14"/>
            <w:u w:val="single" w:color="006FC0"/>
          </w:rPr>
          <w:t>s</w:t>
        </w:r>
        <w:r>
          <w:rPr>
            <w:rFonts w:ascii="Arial"/>
            <w:spacing w:val="-1"/>
            <w:w w:val="119"/>
            <w:sz w:val="14"/>
            <w:u w:val="single" w:color="006FC0"/>
          </w:rPr>
          <w:t>-</w:t>
        </w:r>
        <w:r>
          <w:rPr>
            <w:rFonts w:ascii="Arial"/>
            <w:spacing w:val="-1"/>
            <w:w w:val="93"/>
            <w:sz w:val="14"/>
            <w:u w:val="single" w:color="006FC0"/>
          </w:rPr>
          <w:t>s</w:t>
        </w:r>
        <w:r>
          <w:rPr>
            <w:rFonts w:ascii="Arial"/>
            <w:sz w:val="14"/>
            <w:u w:val="single" w:color="006FC0"/>
          </w:rPr>
          <w:t>p</w:t>
        </w:r>
        <w:r>
          <w:rPr>
            <w:rFonts w:ascii="Arial"/>
            <w:spacing w:val="-1"/>
            <w:w w:val="99"/>
            <w:sz w:val="14"/>
            <w:u w:val="single" w:color="006FC0"/>
          </w:rPr>
          <w:t>o</w:t>
        </w:r>
        <w:r>
          <w:rPr>
            <w:rFonts w:ascii="Arial"/>
            <w:w w:val="116"/>
            <w:sz w:val="14"/>
            <w:u w:val="single" w:color="006FC0"/>
          </w:rPr>
          <w:t>r</w:t>
        </w:r>
        <w:r>
          <w:rPr>
            <w:rFonts w:ascii="Arial"/>
            <w:w w:val="133"/>
            <w:sz w:val="14"/>
            <w:u w:val="single" w:color="006FC0"/>
          </w:rPr>
          <w:t>t</w:t>
        </w:r>
      </w:hyperlink>
      <w:r>
        <w:rPr>
          <w:rFonts w:ascii="Arial"/>
          <w:color w:val="5B6761"/>
          <w:spacing w:val="1"/>
          <w:sz w:val="14"/>
        </w:rPr>
        <w:t>&gt;.</w:t>
      </w:r>
    </w:p>
    <w:p w:rsidR="007D76BB" w:rsidRDefault="007D76BB">
      <w:pPr>
        <w:spacing w:line="268" w:lineRule="auto"/>
        <w:rPr>
          <w:rFonts w:ascii="Arial"/>
          <w:sz w:val="14"/>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8"/>
        </w:rPr>
      </w:pPr>
    </w:p>
    <w:p w:rsidR="007D76BB" w:rsidRDefault="00D70D28">
      <w:pPr>
        <w:spacing w:before="108" w:line="264" w:lineRule="auto"/>
        <w:ind w:left="482" w:right="951"/>
        <w:rPr>
          <w:rFonts w:ascii="Arial"/>
          <w:sz w:val="11"/>
        </w:rPr>
      </w:pPr>
      <w:proofErr w:type="gramStart"/>
      <w:r>
        <w:rPr>
          <w:rFonts w:ascii="Arial"/>
          <w:w w:val="105"/>
          <w:sz w:val="19"/>
        </w:rPr>
        <w:t>medicines</w:t>
      </w:r>
      <w:proofErr w:type="gramEnd"/>
      <w:r>
        <w:rPr>
          <w:rFonts w:ascii="Arial"/>
          <w:w w:val="105"/>
          <w:sz w:val="19"/>
        </w:rPr>
        <w:t>.</w:t>
      </w:r>
      <w:r>
        <w:rPr>
          <w:rFonts w:ascii="Arial"/>
          <w:spacing w:val="-24"/>
          <w:w w:val="105"/>
          <w:sz w:val="19"/>
        </w:rPr>
        <w:t xml:space="preserve"> </w:t>
      </w:r>
      <w:r>
        <w:rPr>
          <w:rFonts w:ascii="Arial"/>
          <w:w w:val="105"/>
          <w:sz w:val="19"/>
        </w:rPr>
        <w:t>It</w:t>
      </w:r>
      <w:r>
        <w:rPr>
          <w:rFonts w:ascii="Arial"/>
          <w:spacing w:val="-22"/>
          <w:w w:val="105"/>
          <w:sz w:val="19"/>
        </w:rPr>
        <w:t xml:space="preserve"> </w:t>
      </w:r>
      <w:r>
        <w:rPr>
          <w:rFonts w:ascii="Arial"/>
          <w:w w:val="105"/>
          <w:sz w:val="19"/>
        </w:rPr>
        <w:t>should</w:t>
      </w:r>
      <w:r>
        <w:rPr>
          <w:rFonts w:ascii="Arial"/>
          <w:spacing w:val="-23"/>
          <w:w w:val="105"/>
          <w:sz w:val="19"/>
        </w:rPr>
        <w:t xml:space="preserve"> </w:t>
      </w:r>
      <w:r>
        <w:rPr>
          <w:rFonts w:ascii="Arial"/>
          <w:w w:val="105"/>
          <w:sz w:val="19"/>
        </w:rPr>
        <w:t>be</w:t>
      </w:r>
      <w:r>
        <w:rPr>
          <w:rFonts w:ascii="Arial"/>
          <w:spacing w:val="-23"/>
          <w:w w:val="105"/>
          <w:sz w:val="19"/>
        </w:rPr>
        <w:t xml:space="preserve"> </w:t>
      </w:r>
      <w:r>
        <w:rPr>
          <w:rFonts w:ascii="Arial"/>
          <w:w w:val="105"/>
          <w:sz w:val="19"/>
        </w:rPr>
        <w:t>noted</w:t>
      </w:r>
      <w:r>
        <w:rPr>
          <w:rFonts w:ascii="Arial"/>
          <w:spacing w:val="-23"/>
          <w:w w:val="105"/>
          <w:sz w:val="19"/>
        </w:rPr>
        <w:t xml:space="preserve"> </w:t>
      </w:r>
      <w:r>
        <w:rPr>
          <w:rFonts w:ascii="Arial"/>
          <w:w w:val="105"/>
          <w:sz w:val="19"/>
        </w:rPr>
        <w:t>that</w:t>
      </w:r>
      <w:r>
        <w:rPr>
          <w:rFonts w:ascii="Arial"/>
          <w:spacing w:val="-23"/>
          <w:w w:val="105"/>
          <w:sz w:val="19"/>
        </w:rPr>
        <w:t xml:space="preserve"> </w:t>
      </w:r>
      <w:r>
        <w:rPr>
          <w:rFonts w:ascii="Arial"/>
          <w:w w:val="105"/>
          <w:sz w:val="19"/>
        </w:rPr>
        <w:t>each</w:t>
      </w:r>
      <w:r>
        <w:rPr>
          <w:rFonts w:ascii="Arial"/>
          <w:spacing w:val="-23"/>
          <w:w w:val="105"/>
          <w:sz w:val="19"/>
        </w:rPr>
        <w:t xml:space="preserve"> </w:t>
      </w:r>
      <w:r>
        <w:rPr>
          <w:rFonts w:ascii="Arial"/>
          <w:w w:val="105"/>
          <w:sz w:val="19"/>
        </w:rPr>
        <w:t>new</w:t>
      </w:r>
      <w:r>
        <w:rPr>
          <w:rFonts w:ascii="Arial"/>
          <w:spacing w:val="-24"/>
          <w:w w:val="105"/>
          <w:sz w:val="19"/>
        </w:rPr>
        <w:t xml:space="preserve"> </w:t>
      </w:r>
      <w:r>
        <w:rPr>
          <w:rFonts w:ascii="Arial"/>
          <w:w w:val="105"/>
          <w:sz w:val="19"/>
        </w:rPr>
        <w:t>ARTG</w:t>
      </w:r>
      <w:r>
        <w:rPr>
          <w:rFonts w:ascii="Arial"/>
          <w:spacing w:val="-23"/>
          <w:w w:val="105"/>
          <w:sz w:val="19"/>
        </w:rPr>
        <w:t xml:space="preserve"> </w:t>
      </w:r>
      <w:r>
        <w:rPr>
          <w:rFonts w:ascii="Arial"/>
          <w:w w:val="105"/>
          <w:sz w:val="19"/>
        </w:rPr>
        <w:t>application</w:t>
      </w:r>
      <w:r>
        <w:rPr>
          <w:rFonts w:ascii="Arial"/>
          <w:spacing w:val="-21"/>
          <w:w w:val="105"/>
          <w:sz w:val="19"/>
        </w:rPr>
        <w:t xml:space="preserve"> </w:t>
      </w:r>
      <w:r>
        <w:rPr>
          <w:rFonts w:ascii="Arial"/>
          <w:w w:val="105"/>
          <w:sz w:val="19"/>
        </w:rPr>
        <w:t>may</w:t>
      </w:r>
      <w:r>
        <w:rPr>
          <w:rFonts w:ascii="Arial"/>
          <w:spacing w:val="-24"/>
          <w:w w:val="105"/>
          <w:sz w:val="19"/>
        </w:rPr>
        <w:t xml:space="preserve"> </w:t>
      </w:r>
      <w:r>
        <w:rPr>
          <w:rFonts w:ascii="Arial"/>
          <w:w w:val="105"/>
          <w:sz w:val="19"/>
        </w:rPr>
        <w:t>not</w:t>
      </w:r>
      <w:r>
        <w:rPr>
          <w:rFonts w:ascii="Arial"/>
          <w:spacing w:val="-22"/>
          <w:w w:val="105"/>
          <w:sz w:val="19"/>
        </w:rPr>
        <w:t xml:space="preserve"> </w:t>
      </w:r>
      <w:r>
        <w:rPr>
          <w:rFonts w:ascii="Arial"/>
          <w:w w:val="105"/>
          <w:sz w:val="19"/>
        </w:rPr>
        <w:t>drive</w:t>
      </w:r>
      <w:r>
        <w:rPr>
          <w:rFonts w:ascii="Arial"/>
          <w:spacing w:val="-21"/>
          <w:w w:val="105"/>
          <w:sz w:val="19"/>
        </w:rPr>
        <w:t xml:space="preserve"> </w:t>
      </w:r>
      <w:r>
        <w:rPr>
          <w:rFonts w:ascii="Arial"/>
          <w:w w:val="105"/>
          <w:sz w:val="19"/>
        </w:rPr>
        <w:t>any</w:t>
      </w:r>
      <w:r>
        <w:rPr>
          <w:rFonts w:ascii="Arial"/>
          <w:spacing w:val="-24"/>
          <w:w w:val="105"/>
          <w:sz w:val="19"/>
        </w:rPr>
        <w:t xml:space="preserve"> </w:t>
      </w:r>
      <w:r>
        <w:rPr>
          <w:rFonts w:ascii="Arial"/>
          <w:w w:val="105"/>
          <w:sz w:val="19"/>
        </w:rPr>
        <w:t>applications</w:t>
      </w:r>
      <w:r>
        <w:rPr>
          <w:rFonts w:ascii="Arial"/>
          <w:spacing w:val="-24"/>
          <w:w w:val="105"/>
          <w:sz w:val="19"/>
        </w:rPr>
        <w:t xml:space="preserve"> </w:t>
      </w:r>
      <w:r>
        <w:rPr>
          <w:rFonts w:ascii="Arial"/>
          <w:w w:val="105"/>
          <w:sz w:val="19"/>
        </w:rPr>
        <w:t>for new</w:t>
      </w:r>
      <w:r>
        <w:rPr>
          <w:rFonts w:ascii="Arial"/>
          <w:spacing w:val="-24"/>
          <w:w w:val="105"/>
          <w:sz w:val="19"/>
        </w:rPr>
        <w:t xml:space="preserve"> </w:t>
      </w:r>
      <w:r>
        <w:rPr>
          <w:rFonts w:ascii="Arial"/>
          <w:w w:val="105"/>
          <w:sz w:val="19"/>
        </w:rPr>
        <w:t>listed</w:t>
      </w:r>
      <w:r>
        <w:rPr>
          <w:rFonts w:ascii="Arial"/>
          <w:spacing w:val="-24"/>
          <w:w w:val="105"/>
          <w:sz w:val="19"/>
        </w:rPr>
        <w:t xml:space="preserve"> </w:t>
      </w:r>
      <w:r>
        <w:rPr>
          <w:rFonts w:ascii="Arial"/>
          <w:w w:val="105"/>
          <w:sz w:val="19"/>
        </w:rPr>
        <w:t>medicines</w:t>
      </w:r>
      <w:r>
        <w:rPr>
          <w:rFonts w:ascii="Arial"/>
          <w:spacing w:val="-25"/>
          <w:w w:val="105"/>
          <w:sz w:val="19"/>
        </w:rPr>
        <w:t xml:space="preserve"> </w:t>
      </w:r>
      <w:r>
        <w:rPr>
          <w:rFonts w:ascii="Arial"/>
          <w:w w:val="105"/>
          <w:sz w:val="19"/>
        </w:rPr>
        <w:t>or</w:t>
      </w:r>
      <w:r>
        <w:rPr>
          <w:rFonts w:ascii="Arial"/>
          <w:spacing w:val="-22"/>
          <w:w w:val="105"/>
          <w:sz w:val="19"/>
        </w:rPr>
        <w:t xml:space="preserve"> </w:t>
      </w:r>
      <w:r>
        <w:rPr>
          <w:rFonts w:ascii="Arial"/>
          <w:w w:val="105"/>
          <w:sz w:val="19"/>
        </w:rPr>
        <w:t>may</w:t>
      </w:r>
      <w:r>
        <w:rPr>
          <w:rFonts w:ascii="Arial"/>
          <w:spacing w:val="-26"/>
          <w:w w:val="105"/>
          <w:sz w:val="19"/>
        </w:rPr>
        <w:t xml:space="preserve"> </w:t>
      </w:r>
      <w:r>
        <w:rPr>
          <w:rFonts w:ascii="Arial"/>
          <w:w w:val="105"/>
          <w:sz w:val="19"/>
        </w:rPr>
        <w:t>drive</w:t>
      </w:r>
      <w:r>
        <w:rPr>
          <w:rFonts w:ascii="Arial"/>
          <w:spacing w:val="-22"/>
          <w:w w:val="105"/>
          <w:sz w:val="19"/>
        </w:rPr>
        <w:t xml:space="preserve"> </w:t>
      </w:r>
      <w:r>
        <w:rPr>
          <w:rFonts w:ascii="Arial"/>
          <w:w w:val="105"/>
          <w:sz w:val="19"/>
        </w:rPr>
        <w:t>multiple</w:t>
      </w:r>
      <w:r>
        <w:rPr>
          <w:rFonts w:ascii="Arial"/>
          <w:spacing w:val="-24"/>
          <w:w w:val="105"/>
          <w:sz w:val="19"/>
        </w:rPr>
        <w:t xml:space="preserve"> </w:t>
      </w:r>
      <w:r>
        <w:rPr>
          <w:rFonts w:ascii="Arial"/>
          <w:w w:val="105"/>
          <w:sz w:val="19"/>
        </w:rPr>
        <w:t>applications</w:t>
      </w:r>
      <w:r>
        <w:rPr>
          <w:rFonts w:ascii="Arial"/>
          <w:spacing w:val="-23"/>
          <w:w w:val="105"/>
          <w:sz w:val="19"/>
        </w:rPr>
        <w:t xml:space="preserve"> </w:t>
      </w:r>
      <w:r>
        <w:rPr>
          <w:rFonts w:ascii="Arial"/>
          <w:w w:val="105"/>
          <w:sz w:val="19"/>
        </w:rPr>
        <w:t>and</w:t>
      </w:r>
      <w:r>
        <w:rPr>
          <w:rFonts w:ascii="Arial"/>
          <w:spacing w:val="-24"/>
          <w:w w:val="105"/>
          <w:sz w:val="19"/>
        </w:rPr>
        <w:t xml:space="preserve"> </w:t>
      </w:r>
      <w:r>
        <w:rPr>
          <w:rFonts w:ascii="Arial"/>
          <w:w w:val="105"/>
          <w:sz w:val="19"/>
        </w:rPr>
        <w:t>that</w:t>
      </w:r>
      <w:r>
        <w:rPr>
          <w:rFonts w:ascii="Arial"/>
          <w:spacing w:val="-22"/>
          <w:w w:val="105"/>
          <w:sz w:val="19"/>
        </w:rPr>
        <w:t xml:space="preserve"> </w:t>
      </w:r>
      <w:r>
        <w:rPr>
          <w:rFonts w:ascii="Arial"/>
          <w:w w:val="105"/>
          <w:sz w:val="19"/>
        </w:rPr>
        <w:t>most</w:t>
      </w:r>
      <w:r>
        <w:rPr>
          <w:rFonts w:ascii="Arial"/>
          <w:spacing w:val="-24"/>
          <w:w w:val="105"/>
          <w:sz w:val="19"/>
        </w:rPr>
        <w:t xml:space="preserve"> </w:t>
      </w:r>
      <w:r>
        <w:rPr>
          <w:rFonts w:ascii="Arial"/>
          <w:w w:val="105"/>
          <w:sz w:val="19"/>
        </w:rPr>
        <w:t>ingredients</w:t>
      </w:r>
      <w:r>
        <w:rPr>
          <w:rFonts w:ascii="Arial"/>
          <w:spacing w:val="-23"/>
          <w:w w:val="105"/>
          <w:sz w:val="19"/>
        </w:rPr>
        <w:t xml:space="preserve"> </w:t>
      </w:r>
      <w:r>
        <w:rPr>
          <w:rFonts w:ascii="Arial"/>
          <w:w w:val="105"/>
          <w:sz w:val="19"/>
        </w:rPr>
        <w:t>would</w:t>
      </w:r>
      <w:r>
        <w:rPr>
          <w:rFonts w:ascii="Arial"/>
          <w:spacing w:val="-24"/>
          <w:w w:val="105"/>
          <w:sz w:val="19"/>
        </w:rPr>
        <w:t xml:space="preserve"> </w:t>
      </w:r>
      <w:r>
        <w:rPr>
          <w:rFonts w:ascii="Arial"/>
          <w:w w:val="105"/>
          <w:sz w:val="19"/>
        </w:rPr>
        <w:t>be</w:t>
      </w:r>
      <w:r>
        <w:rPr>
          <w:rFonts w:ascii="Arial"/>
          <w:spacing w:val="-22"/>
          <w:w w:val="105"/>
          <w:sz w:val="19"/>
        </w:rPr>
        <w:t xml:space="preserve"> </w:t>
      </w:r>
      <w:r>
        <w:rPr>
          <w:rFonts w:ascii="Arial"/>
          <w:w w:val="105"/>
          <w:sz w:val="19"/>
        </w:rPr>
        <w:t>present in multiple sports supplements products. Furthermore, it should be noted that there a number of sport</w:t>
      </w:r>
      <w:r>
        <w:rPr>
          <w:rFonts w:ascii="Arial"/>
          <w:spacing w:val="-11"/>
          <w:w w:val="105"/>
          <w:sz w:val="19"/>
        </w:rPr>
        <w:t xml:space="preserve"> </w:t>
      </w:r>
      <w:r>
        <w:rPr>
          <w:rFonts w:ascii="Arial"/>
          <w:w w:val="105"/>
          <w:sz w:val="19"/>
        </w:rPr>
        <w:t>supplement</w:t>
      </w:r>
      <w:r>
        <w:rPr>
          <w:rFonts w:ascii="Arial"/>
          <w:spacing w:val="-13"/>
          <w:w w:val="105"/>
          <w:sz w:val="19"/>
        </w:rPr>
        <w:t xml:space="preserve"> </w:t>
      </w:r>
      <w:r>
        <w:rPr>
          <w:rFonts w:ascii="Arial"/>
          <w:w w:val="105"/>
          <w:sz w:val="19"/>
        </w:rPr>
        <w:t>products</w:t>
      </w:r>
      <w:r>
        <w:rPr>
          <w:rFonts w:ascii="Arial"/>
          <w:spacing w:val="-14"/>
          <w:w w:val="105"/>
          <w:sz w:val="19"/>
        </w:rPr>
        <w:t xml:space="preserve"> </w:t>
      </w:r>
      <w:r>
        <w:rPr>
          <w:rFonts w:ascii="Arial"/>
          <w:w w:val="105"/>
          <w:sz w:val="19"/>
        </w:rPr>
        <w:t>already</w:t>
      </w:r>
      <w:r>
        <w:rPr>
          <w:rFonts w:ascii="Arial"/>
          <w:spacing w:val="-12"/>
          <w:w w:val="105"/>
          <w:sz w:val="19"/>
        </w:rPr>
        <w:t xml:space="preserve"> </w:t>
      </w:r>
      <w:r>
        <w:rPr>
          <w:rFonts w:ascii="Arial"/>
          <w:w w:val="105"/>
          <w:sz w:val="19"/>
        </w:rPr>
        <w:t>listed</w:t>
      </w:r>
      <w:r>
        <w:rPr>
          <w:rFonts w:ascii="Arial"/>
          <w:spacing w:val="-14"/>
          <w:w w:val="105"/>
          <w:sz w:val="19"/>
        </w:rPr>
        <w:t xml:space="preserve"> </w:t>
      </w:r>
      <w:r>
        <w:rPr>
          <w:rFonts w:ascii="Arial"/>
          <w:w w:val="105"/>
          <w:sz w:val="19"/>
        </w:rPr>
        <w:t>in</w:t>
      </w:r>
      <w:r>
        <w:rPr>
          <w:rFonts w:ascii="Arial"/>
          <w:spacing w:val="-13"/>
          <w:w w:val="105"/>
          <w:sz w:val="19"/>
        </w:rPr>
        <w:t xml:space="preserve"> </w:t>
      </w:r>
      <w:r>
        <w:rPr>
          <w:rFonts w:ascii="Arial"/>
          <w:w w:val="105"/>
          <w:sz w:val="19"/>
        </w:rPr>
        <w:t>the</w:t>
      </w:r>
      <w:r>
        <w:rPr>
          <w:rFonts w:ascii="Arial"/>
          <w:spacing w:val="-11"/>
          <w:w w:val="105"/>
          <w:sz w:val="19"/>
        </w:rPr>
        <w:t xml:space="preserve"> </w:t>
      </w:r>
      <w:r>
        <w:rPr>
          <w:rFonts w:ascii="Arial"/>
          <w:w w:val="105"/>
          <w:sz w:val="19"/>
        </w:rPr>
        <w:t>ARTG.</w:t>
      </w:r>
      <w:r>
        <w:rPr>
          <w:rFonts w:ascii="Arial"/>
          <w:w w:val="105"/>
          <w:position w:val="7"/>
          <w:sz w:val="11"/>
        </w:rPr>
        <w:t>74</w:t>
      </w:r>
    </w:p>
    <w:p w:rsidR="007D76BB" w:rsidRDefault="00D70D28">
      <w:pPr>
        <w:spacing w:before="181" w:line="264" w:lineRule="auto"/>
        <w:ind w:left="482" w:right="900"/>
        <w:rPr>
          <w:rFonts w:ascii="Arial" w:hAnsi="Arial"/>
          <w:sz w:val="19"/>
        </w:rPr>
      </w:pPr>
      <w:r>
        <w:rPr>
          <w:rFonts w:ascii="Arial" w:hAnsi="Arial"/>
          <w:w w:val="93"/>
          <w:sz w:val="19"/>
        </w:rPr>
        <w:t>O</w:t>
      </w:r>
      <w:r>
        <w:rPr>
          <w:rFonts w:ascii="Arial" w:hAnsi="Arial"/>
          <w:spacing w:val="-2"/>
          <w:w w:val="102"/>
          <w:sz w:val="19"/>
        </w:rPr>
        <w:t>v</w:t>
      </w:r>
      <w:r>
        <w:rPr>
          <w:rFonts w:ascii="Arial" w:hAnsi="Arial"/>
          <w:w w:val="96"/>
          <w:sz w:val="19"/>
        </w:rPr>
        <w:t>e</w:t>
      </w:r>
      <w:r>
        <w:rPr>
          <w:rFonts w:ascii="Arial" w:hAnsi="Arial"/>
          <w:w w:val="116"/>
          <w:sz w:val="19"/>
        </w:rPr>
        <w:t>r</w:t>
      </w:r>
      <w:r>
        <w:rPr>
          <w:rFonts w:ascii="Arial" w:hAnsi="Arial"/>
          <w:spacing w:val="-7"/>
          <w:sz w:val="19"/>
        </w:rPr>
        <w:t xml:space="preserve"> </w:t>
      </w:r>
      <w:r>
        <w:rPr>
          <w:rFonts w:ascii="Arial" w:hAnsi="Arial"/>
          <w:w w:val="134"/>
          <w:sz w:val="19"/>
        </w:rPr>
        <w:t>t</w:t>
      </w:r>
      <w:r>
        <w:rPr>
          <w:rFonts w:ascii="Arial" w:hAnsi="Arial"/>
          <w:spacing w:val="-2"/>
          <w:w w:val="101"/>
          <w:sz w:val="19"/>
        </w:rPr>
        <w:t>h</w:t>
      </w:r>
      <w:r>
        <w:rPr>
          <w:rFonts w:ascii="Arial" w:hAnsi="Arial"/>
          <w:w w:val="96"/>
          <w:sz w:val="19"/>
        </w:rPr>
        <w:t>e</w:t>
      </w:r>
      <w:r>
        <w:rPr>
          <w:rFonts w:ascii="Arial" w:hAnsi="Arial"/>
          <w:spacing w:val="-9"/>
          <w:sz w:val="19"/>
        </w:rPr>
        <w:t xml:space="preserve"> </w:t>
      </w:r>
      <w:r>
        <w:rPr>
          <w:rFonts w:ascii="Arial" w:hAnsi="Arial"/>
          <w:w w:val="101"/>
          <w:sz w:val="19"/>
        </w:rPr>
        <w:t>p</w:t>
      </w:r>
      <w:r>
        <w:rPr>
          <w:rFonts w:ascii="Arial" w:hAnsi="Arial"/>
          <w:w w:val="96"/>
          <w:sz w:val="19"/>
        </w:rPr>
        <w:t>e</w:t>
      </w:r>
      <w:r>
        <w:rPr>
          <w:rFonts w:ascii="Arial" w:hAnsi="Arial"/>
          <w:w w:val="116"/>
          <w:sz w:val="19"/>
        </w:rPr>
        <w:t>r</w:t>
      </w:r>
      <w:r>
        <w:rPr>
          <w:rFonts w:ascii="Arial" w:hAnsi="Arial"/>
          <w:w w:val="102"/>
          <w:sz w:val="19"/>
        </w:rPr>
        <w:t>iod</w:t>
      </w:r>
      <w:r>
        <w:rPr>
          <w:rFonts w:ascii="Arial" w:hAnsi="Arial"/>
          <w:spacing w:val="-9"/>
          <w:sz w:val="19"/>
        </w:rPr>
        <w:t xml:space="preserve"> </w:t>
      </w:r>
      <w:r>
        <w:rPr>
          <w:rFonts w:ascii="Arial" w:hAnsi="Arial"/>
          <w:spacing w:val="-1"/>
          <w:w w:val="109"/>
          <w:sz w:val="19"/>
        </w:rPr>
        <w:t>2</w:t>
      </w:r>
      <w:r>
        <w:rPr>
          <w:rFonts w:ascii="Arial" w:hAnsi="Arial"/>
          <w:spacing w:val="1"/>
          <w:w w:val="114"/>
          <w:sz w:val="19"/>
        </w:rPr>
        <w:t>0</w:t>
      </w:r>
      <w:r>
        <w:rPr>
          <w:rFonts w:ascii="Arial" w:hAnsi="Arial"/>
          <w:spacing w:val="1"/>
          <w:w w:val="66"/>
          <w:sz w:val="19"/>
        </w:rPr>
        <w:t>1</w:t>
      </w:r>
      <w:r>
        <w:rPr>
          <w:rFonts w:ascii="Arial" w:hAnsi="Arial"/>
          <w:w w:val="132"/>
          <w:sz w:val="19"/>
        </w:rPr>
        <w:t>4</w:t>
      </w:r>
      <w:r>
        <w:rPr>
          <w:rFonts w:ascii="Arial" w:hAnsi="Arial"/>
          <w:spacing w:val="-2"/>
          <w:w w:val="132"/>
          <w:sz w:val="19"/>
        </w:rPr>
        <w:t>/</w:t>
      </w:r>
      <w:r>
        <w:rPr>
          <w:rFonts w:ascii="Arial" w:hAnsi="Arial"/>
          <w:spacing w:val="1"/>
          <w:w w:val="66"/>
          <w:sz w:val="19"/>
        </w:rPr>
        <w:t>1</w:t>
      </w:r>
      <w:r>
        <w:rPr>
          <w:rFonts w:ascii="Arial" w:hAnsi="Arial"/>
          <w:w w:val="111"/>
          <w:sz w:val="19"/>
        </w:rPr>
        <w:t>5</w:t>
      </w:r>
      <w:r>
        <w:rPr>
          <w:rFonts w:ascii="Arial" w:hAnsi="Arial"/>
          <w:spacing w:val="-8"/>
          <w:sz w:val="19"/>
        </w:rPr>
        <w:t xml:space="preserve"> </w:t>
      </w:r>
      <w:r>
        <w:rPr>
          <w:rFonts w:ascii="Arial" w:hAnsi="Arial"/>
          <w:w w:val="134"/>
          <w:sz w:val="19"/>
        </w:rPr>
        <w:t>t</w:t>
      </w:r>
      <w:r>
        <w:rPr>
          <w:rFonts w:ascii="Arial" w:hAnsi="Arial"/>
          <w:sz w:val="19"/>
        </w:rPr>
        <w:t>o</w:t>
      </w:r>
      <w:r>
        <w:rPr>
          <w:rFonts w:ascii="Arial" w:hAnsi="Arial"/>
          <w:spacing w:val="-13"/>
          <w:sz w:val="19"/>
        </w:rPr>
        <w:t xml:space="preserve"> </w:t>
      </w:r>
      <w:r>
        <w:rPr>
          <w:rFonts w:ascii="Arial" w:hAnsi="Arial"/>
          <w:spacing w:val="-1"/>
          <w:w w:val="109"/>
          <w:sz w:val="19"/>
        </w:rPr>
        <w:t>2</w:t>
      </w:r>
      <w:r>
        <w:rPr>
          <w:rFonts w:ascii="Arial" w:hAnsi="Arial"/>
          <w:spacing w:val="1"/>
          <w:w w:val="114"/>
          <w:sz w:val="19"/>
        </w:rPr>
        <w:t>0</w:t>
      </w:r>
      <w:r>
        <w:rPr>
          <w:rFonts w:ascii="Arial" w:hAnsi="Arial"/>
          <w:spacing w:val="1"/>
          <w:w w:val="66"/>
          <w:sz w:val="19"/>
        </w:rPr>
        <w:t>1</w:t>
      </w:r>
      <w:r>
        <w:rPr>
          <w:rFonts w:ascii="Arial" w:hAnsi="Arial"/>
          <w:spacing w:val="-1"/>
          <w:w w:val="109"/>
          <w:sz w:val="19"/>
        </w:rPr>
        <w:t>8</w:t>
      </w:r>
      <w:r>
        <w:rPr>
          <w:rFonts w:ascii="Arial" w:hAnsi="Arial"/>
          <w:w w:val="175"/>
          <w:sz w:val="19"/>
        </w:rPr>
        <w:t>/</w:t>
      </w:r>
      <w:r>
        <w:rPr>
          <w:rFonts w:ascii="Arial" w:hAnsi="Arial"/>
          <w:spacing w:val="1"/>
          <w:w w:val="66"/>
          <w:sz w:val="19"/>
        </w:rPr>
        <w:t>1</w:t>
      </w:r>
      <w:r>
        <w:rPr>
          <w:rFonts w:ascii="Arial" w:hAnsi="Arial"/>
          <w:w w:val="98"/>
          <w:sz w:val="19"/>
        </w:rPr>
        <w:t>9,</w:t>
      </w:r>
      <w:r>
        <w:rPr>
          <w:rFonts w:ascii="Arial" w:hAnsi="Arial"/>
          <w:spacing w:val="-8"/>
          <w:sz w:val="19"/>
        </w:rPr>
        <w:t xml:space="preserve"> </w:t>
      </w:r>
      <w:r>
        <w:rPr>
          <w:rFonts w:ascii="Arial" w:hAnsi="Arial"/>
          <w:spacing w:val="-2"/>
          <w:w w:val="134"/>
          <w:sz w:val="19"/>
        </w:rPr>
        <w:t>t</w:t>
      </w:r>
      <w:r>
        <w:rPr>
          <w:rFonts w:ascii="Arial" w:hAnsi="Arial"/>
          <w:spacing w:val="1"/>
          <w:w w:val="101"/>
          <w:sz w:val="19"/>
        </w:rPr>
        <w:t>h</w:t>
      </w:r>
      <w:r>
        <w:rPr>
          <w:rFonts w:ascii="Arial" w:hAnsi="Arial"/>
          <w:w w:val="96"/>
          <w:sz w:val="19"/>
        </w:rPr>
        <w:t>e</w:t>
      </w:r>
      <w:r>
        <w:rPr>
          <w:rFonts w:ascii="Arial" w:hAnsi="Arial"/>
          <w:spacing w:val="-2"/>
          <w:w w:val="116"/>
          <w:sz w:val="19"/>
        </w:rPr>
        <w:t>r</w:t>
      </w:r>
      <w:r>
        <w:rPr>
          <w:rFonts w:ascii="Arial" w:hAnsi="Arial"/>
          <w:w w:val="96"/>
          <w:sz w:val="19"/>
        </w:rPr>
        <w:t>e</w:t>
      </w:r>
      <w:r>
        <w:rPr>
          <w:rFonts w:ascii="Arial" w:hAnsi="Arial"/>
          <w:spacing w:val="-9"/>
          <w:sz w:val="19"/>
        </w:rPr>
        <w:t xml:space="preserve"> </w:t>
      </w:r>
      <w:r>
        <w:rPr>
          <w:rFonts w:ascii="Arial" w:hAnsi="Arial"/>
          <w:spacing w:val="1"/>
          <w:w w:val="98"/>
          <w:sz w:val="19"/>
        </w:rPr>
        <w:t>w</w:t>
      </w:r>
      <w:r>
        <w:rPr>
          <w:rFonts w:ascii="Arial" w:hAnsi="Arial"/>
          <w:w w:val="94"/>
          <w:sz w:val="19"/>
        </w:rPr>
        <w:t>a</w:t>
      </w:r>
      <w:r>
        <w:rPr>
          <w:rFonts w:ascii="Arial" w:hAnsi="Arial"/>
          <w:w w:val="93"/>
          <w:sz w:val="19"/>
        </w:rPr>
        <w:t>s</w:t>
      </w:r>
      <w:r>
        <w:rPr>
          <w:rFonts w:ascii="Arial" w:hAnsi="Arial"/>
          <w:spacing w:val="-8"/>
          <w:sz w:val="19"/>
        </w:rPr>
        <w:t xml:space="preserve"> </w:t>
      </w:r>
      <w:r>
        <w:rPr>
          <w:rFonts w:ascii="Arial" w:hAnsi="Arial"/>
          <w:spacing w:val="-3"/>
          <w:sz w:val="19"/>
        </w:rPr>
        <w:t>o</w:t>
      </w:r>
      <w:r>
        <w:rPr>
          <w:rFonts w:ascii="Arial" w:hAnsi="Arial"/>
          <w:w w:val="101"/>
          <w:sz w:val="19"/>
        </w:rPr>
        <w:t>n</w:t>
      </w:r>
      <w:r>
        <w:rPr>
          <w:rFonts w:ascii="Arial" w:hAnsi="Arial"/>
          <w:spacing w:val="-7"/>
          <w:sz w:val="19"/>
        </w:rPr>
        <w:t xml:space="preserve"> </w:t>
      </w:r>
      <w:r>
        <w:rPr>
          <w:rFonts w:ascii="Arial" w:hAnsi="Arial"/>
          <w:w w:val="94"/>
          <w:sz w:val="19"/>
        </w:rPr>
        <w:t>a</w:t>
      </w:r>
      <w:r>
        <w:rPr>
          <w:rFonts w:ascii="Arial" w:hAnsi="Arial"/>
          <w:spacing w:val="-2"/>
          <w:w w:val="102"/>
          <w:sz w:val="19"/>
        </w:rPr>
        <w:t>v</w:t>
      </w:r>
      <w:r>
        <w:rPr>
          <w:rFonts w:ascii="Arial" w:hAnsi="Arial"/>
          <w:w w:val="96"/>
          <w:sz w:val="19"/>
        </w:rPr>
        <w:t>e</w:t>
      </w:r>
      <w:r>
        <w:rPr>
          <w:rFonts w:ascii="Arial" w:hAnsi="Arial"/>
          <w:spacing w:val="-2"/>
          <w:w w:val="116"/>
          <w:sz w:val="19"/>
        </w:rPr>
        <w:t>r</w:t>
      </w:r>
      <w:r>
        <w:rPr>
          <w:rFonts w:ascii="Arial" w:hAnsi="Arial"/>
          <w:spacing w:val="-2"/>
          <w:w w:val="94"/>
          <w:sz w:val="19"/>
        </w:rPr>
        <w:t>a</w:t>
      </w:r>
      <w:r>
        <w:rPr>
          <w:rFonts w:ascii="Arial" w:hAnsi="Arial"/>
          <w:spacing w:val="1"/>
          <w:w w:val="101"/>
          <w:sz w:val="19"/>
        </w:rPr>
        <w:t>g</w:t>
      </w:r>
      <w:r>
        <w:rPr>
          <w:rFonts w:ascii="Arial" w:hAnsi="Arial"/>
          <w:w w:val="96"/>
          <w:sz w:val="19"/>
        </w:rPr>
        <w:t>e</w:t>
      </w:r>
      <w:r>
        <w:rPr>
          <w:rFonts w:ascii="Arial" w:hAnsi="Arial"/>
          <w:spacing w:val="-9"/>
          <w:sz w:val="19"/>
        </w:rPr>
        <w:t xml:space="preserve"> </w:t>
      </w:r>
      <w:r>
        <w:rPr>
          <w:rFonts w:ascii="Arial" w:hAnsi="Arial"/>
          <w:spacing w:val="1"/>
          <w:w w:val="66"/>
          <w:sz w:val="19"/>
        </w:rPr>
        <w:t>1</w:t>
      </w:r>
      <w:r>
        <w:rPr>
          <w:rFonts w:ascii="Arial" w:hAnsi="Arial"/>
          <w:w w:val="109"/>
          <w:sz w:val="19"/>
        </w:rPr>
        <w:t>8</w:t>
      </w:r>
      <w:r>
        <w:rPr>
          <w:rFonts w:ascii="Arial" w:hAnsi="Arial"/>
          <w:spacing w:val="-8"/>
          <w:sz w:val="19"/>
        </w:rPr>
        <w:t xml:space="preserve"> </w:t>
      </w:r>
      <w:r>
        <w:rPr>
          <w:rFonts w:ascii="Arial" w:hAnsi="Arial"/>
          <w:w w:val="94"/>
          <w:sz w:val="19"/>
        </w:rPr>
        <w:t>a</w:t>
      </w:r>
      <w:r>
        <w:rPr>
          <w:rFonts w:ascii="Arial" w:hAnsi="Arial"/>
          <w:spacing w:val="-2"/>
          <w:w w:val="101"/>
          <w:sz w:val="19"/>
        </w:rPr>
        <w:t>p</w:t>
      </w:r>
      <w:r>
        <w:rPr>
          <w:rFonts w:ascii="Arial" w:hAnsi="Arial"/>
          <w:w w:val="101"/>
          <w:sz w:val="19"/>
        </w:rPr>
        <w:t>p</w:t>
      </w:r>
      <w:r>
        <w:rPr>
          <w:rFonts w:ascii="Arial" w:hAnsi="Arial"/>
          <w:w w:val="117"/>
          <w:sz w:val="19"/>
        </w:rPr>
        <w:t>l</w:t>
      </w:r>
      <w:r>
        <w:rPr>
          <w:rFonts w:ascii="Arial" w:hAnsi="Arial"/>
          <w:w w:val="104"/>
          <w:sz w:val="19"/>
        </w:rPr>
        <w:t>i</w:t>
      </w:r>
      <w:r>
        <w:rPr>
          <w:rFonts w:ascii="Arial" w:hAnsi="Arial"/>
          <w:spacing w:val="-2"/>
          <w:w w:val="104"/>
          <w:sz w:val="19"/>
        </w:rPr>
        <w:t>c</w:t>
      </w:r>
      <w:r>
        <w:rPr>
          <w:rFonts w:ascii="Arial" w:hAnsi="Arial"/>
          <w:w w:val="94"/>
          <w:sz w:val="19"/>
        </w:rPr>
        <w:t>a</w:t>
      </w:r>
      <w:r>
        <w:rPr>
          <w:rFonts w:ascii="Arial" w:hAnsi="Arial"/>
          <w:w w:val="134"/>
          <w:sz w:val="19"/>
        </w:rPr>
        <w:t>t</w:t>
      </w:r>
      <w:r>
        <w:rPr>
          <w:rFonts w:ascii="Arial" w:hAnsi="Arial"/>
          <w:w w:val="102"/>
          <w:sz w:val="19"/>
        </w:rPr>
        <w:t>ion</w:t>
      </w:r>
      <w:r>
        <w:rPr>
          <w:rFonts w:ascii="Arial" w:hAnsi="Arial"/>
          <w:w w:val="93"/>
          <w:sz w:val="19"/>
        </w:rPr>
        <w:t>s</w:t>
      </w:r>
      <w:r>
        <w:rPr>
          <w:rFonts w:ascii="Arial" w:hAnsi="Arial"/>
          <w:spacing w:val="-10"/>
          <w:sz w:val="19"/>
        </w:rPr>
        <w:t xml:space="preserve"> </w:t>
      </w:r>
      <w:r>
        <w:rPr>
          <w:rFonts w:ascii="Arial" w:hAnsi="Arial"/>
          <w:w w:val="101"/>
          <w:sz w:val="19"/>
        </w:rPr>
        <w:t>p</w:t>
      </w:r>
      <w:r>
        <w:rPr>
          <w:rFonts w:ascii="Arial" w:hAnsi="Arial"/>
          <w:w w:val="96"/>
          <w:sz w:val="19"/>
        </w:rPr>
        <w:t>e</w:t>
      </w:r>
      <w:r>
        <w:rPr>
          <w:rFonts w:ascii="Arial" w:hAnsi="Arial"/>
          <w:w w:val="116"/>
          <w:sz w:val="19"/>
        </w:rPr>
        <w:t>r</w:t>
      </w:r>
      <w:r>
        <w:rPr>
          <w:rFonts w:ascii="Arial" w:hAnsi="Arial"/>
          <w:spacing w:val="-9"/>
          <w:sz w:val="19"/>
        </w:rPr>
        <w:t xml:space="preserve"> </w:t>
      </w:r>
      <w:r>
        <w:rPr>
          <w:rFonts w:ascii="Arial" w:hAnsi="Arial"/>
          <w:sz w:val="19"/>
        </w:rPr>
        <w:t>y</w:t>
      </w:r>
      <w:r>
        <w:rPr>
          <w:rFonts w:ascii="Arial" w:hAnsi="Arial"/>
          <w:spacing w:val="-1"/>
          <w:sz w:val="19"/>
        </w:rPr>
        <w:t>e</w:t>
      </w:r>
      <w:r>
        <w:rPr>
          <w:rFonts w:ascii="Arial" w:hAnsi="Arial"/>
          <w:w w:val="94"/>
          <w:sz w:val="19"/>
        </w:rPr>
        <w:t>a</w:t>
      </w:r>
      <w:r>
        <w:rPr>
          <w:rFonts w:ascii="Arial" w:hAnsi="Arial"/>
          <w:w w:val="116"/>
          <w:sz w:val="19"/>
        </w:rPr>
        <w:t>r</w:t>
      </w:r>
      <w:r>
        <w:rPr>
          <w:rFonts w:ascii="Arial" w:hAnsi="Arial"/>
          <w:spacing w:val="-7"/>
          <w:sz w:val="19"/>
        </w:rPr>
        <w:t xml:space="preserve"> </w:t>
      </w:r>
      <w:r>
        <w:rPr>
          <w:rFonts w:ascii="Arial" w:hAnsi="Arial"/>
          <w:spacing w:val="-4"/>
          <w:w w:val="119"/>
          <w:sz w:val="19"/>
        </w:rPr>
        <w:t>f</w:t>
      </w:r>
      <w:r>
        <w:rPr>
          <w:rFonts w:ascii="Arial" w:hAnsi="Arial"/>
          <w:w w:val="106"/>
          <w:sz w:val="19"/>
        </w:rPr>
        <w:t>or</w:t>
      </w:r>
      <w:r>
        <w:rPr>
          <w:rFonts w:ascii="Arial" w:hAnsi="Arial"/>
          <w:spacing w:val="-7"/>
          <w:sz w:val="19"/>
        </w:rPr>
        <w:t xml:space="preserve"> </w:t>
      </w:r>
      <w:r>
        <w:rPr>
          <w:rFonts w:ascii="Arial" w:hAnsi="Arial"/>
          <w:spacing w:val="1"/>
          <w:w w:val="101"/>
          <w:sz w:val="19"/>
        </w:rPr>
        <w:t>n</w:t>
      </w:r>
      <w:r>
        <w:rPr>
          <w:rFonts w:ascii="Arial" w:hAnsi="Arial"/>
          <w:spacing w:val="-2"/>
          <w:w w:val="96"/>
          <w:sz w:val="19"/>
        </w:rPr>
        <w:t>e</w:t>
      </w:r>
      <w:r>
        <w:rPr>
          <w:rFonts w:ascii="Arial" w:hAnsi="Arial"/>
          <w:w w:val="98"/>
          <w:sz w:val="19"/>
        </w:rPr>
        <w:t>w</w:t>
      </w:r>
      <w:r>
        <w:rPr>
          <w:rFonts w:ascii="Arial" w:hAnsi="Arial"/>
          <w:spacing w:val="-7"/>
          <w:sz w:val="19"/>
        </w:rPr>
        <w:t xml:space="preserve"> </w:t>
      </w:r>
      <w:r>
        <w:rPr>
          <w:rFonts w:ascii="Arial" w:hAnsi="Arial"/>
          <w:spacing w:val="9"/>
          <w:w w:val="117"/>
          <w:sz w:val="19"/>
        </w:rPr>
        <w:t>l</w:t>
      </w:r>
      <w:r>
        <w:rPr>
          <w:rFonts w:ascii="Arial" w:hAnsi="Arial"/>
          <w:w w:val="109"/>
          <w:sz w:val="19"/>
        </w:rPr>
        <w:t>is</w:t>
      </w:r>
      <w:r>
        <w:rPr>
          <w:rFonts w:ascii="Arial" w:hAnsi="Arial"/>
          <w:spacing w:val="-2"/>
          <w:w w:val="109"/>
          <w:sz w:val="19"/>
        </w:rPr>
        <w:t>t</w:t>
      </w:r>
      <w:r>
        <w:rPr>
          <w:rFonts w:ascii="Arial" w:hAnsi="Arial"/>
          <w:w w:val="96"/>
          <w:sz w:val="19"/>
        </w:rPr>
        <w:t>e</w:t>
      </w:r>
      <w:r>
        <w:rPr>
          <w:rFonts w:ascii="Arial" w:hAnsi="Arial"/>
          <w:sz w:val="19"/>
        </w:rPr>
        <w:t xml:space="preserve">d </w:t>
      </w:r>
      <w:r>
        <w:rPr>
          <w:rFonts w:ascii="Arial" w:hAnsi="Arial"/>
          <w:w w:val="105"/>
          <w:sz w:val="19"/>
        </w:rPr>
        <w:t>medicine ingredients.</w:t>
      </w:r>
      <w:r>
        <w:rPr>
          <w:rFonts w:ascii="Arial" w:hAnsi="Arial"/>
          <w:w w:val="105"/>
          <w:position w:val="7"/>
          <w:sz w:val="11"/>
        </w:rPr>
        <w:t xml:space="preserve">75 </w:t>
      </w:r>
      <w:r>
        <w:rPr>
          <w:rFonts w:ascii="Arial" w:hAnsi="Arial"/>
          <w:w w:val="105"/>
          <w:sz w:val="19"/>
        </w:rPr>
        <w:t>Over the corresponding period there was an average of 1758 new listed medicines</w:t>
      </w:r>
      <w:r>
        <w:rPr>
          <w:rFonts w:ascii="Arial" w:hAnsi="Arial"/>
          <w:spacing w:val="-26"/>
          <w:w w:val="105"/>
          <w:sz w:val="19"/>
        </w:rPr>
        <w:t xml:space="preserve"> </w:t>
      </w:r>
      <w:r>
        <w:rPr>
          <w:rFonts w:ascii="Arial" w:hAnsi="Arial"/>
          <w:w w:val="105"/>
          <w:sz w:val="19"/>
        </w:rPr>
        <w:t>in</w:t>
      </w:r>
      <w:r>
        <w:rPr>
          <w:rFonts w:ascii="Arial" w:hAnsi="Arial"/>
          <w:spacing w:val="-26"/>
          <w:w w:val="105"/>
          <w:sz w:val="19"/>
        </w:rPr>
        <w:t xml:space="preserve"> </w:t>
      </w:r>
      <w:r>
        <w:rPr>
          <w:rFonts w:ascii="Arial" w:hAnsi="Arial"/>
          <w:w w:val="105"/>
          <w:sz w:val="19"/>
        </w:rPr>
        <w:t>the</w:t>
      </w:r>
      <w:r>
        <w:rPr>
          <w:rFonts w:ascii="Arial" w:hAnsi="Arial"/>
          <w:spacing w:val="-26"/>
          <w:w w:val="105"/>
          <w:sz w:val="19"/>
        </w:rPr>
        <w:t xml:space="preserve"> </w:t>
      </w:r>
      <w:r>
        <w:rPr>
          <w:rFonts w:ascii="Arial" w:hAnsi="Arial"/>
          <w:w w:val="105"/>
          <w:sz w:val="19"/>
        </w:rPr>
        <w:t>ARTG.</w:t>
      </w:r>
      <w:r>
        <w:rPr>
          <w:rFonts w:ascii="Arial" w:hAnsi="Arial"/>
          <w:w w:val="105"/>
          <w:position w:val="7"/>
          <w:sz w:val="11"/>
        </w:rPr>
        <w:t>76</w:t>
      </w:r>
      <w:r>
        <w:rPr>
          <w:rFonts w:ascii="Arial" w:hAnsi="Arial"/>
          <w:spacing w:val="-1"/>
          <w:w w:val="105"/>
          <w:position w:val="7"/>
          <w:sz w:val="11"/>
        </w:rPr>
        <w:t xml:space="preserve"> </w:t>
      </w:r>
      <w:r>
        <w:rPr>
          <w:rFonts w:ascii="Arial" w:hAnsi="Arial"/>
          <w:w w:val="105"/>
          <w:sz w:val="19"/>
        </w:rPr>
        <w:t>Therefore,</w:t>
      </w:r>
      <w:r>
        <w:rPr>
          <w:rFonts w:ascii="Arial" w:hAnsi="Arial"/>
          <w:spacing w:val="-25"/>
          <w:w w:val="105"/>
          <w:sz w:val="19"/>
        </w:rPr>
        <w:t xml:space="preserve"> </w:t>
      </w:r>
      <w:r>
        <w:rPr>
          <w:rFonts w:ascii="Arial" w:hAnsi="Arial"/>
          <w:w w:val="105"/>
          <w:sz w:val="19"/>
        </w:rPr>
        <w:t>there</w:t>
      </w:r>
      <w:r>
        <w:rPr>
          <w:rFonts w:ascii="Arial" w:hAnsi="Arial"/>
          <w:spacing w:val="-26"/>
          <w:w w:val="105"/>
          <w:sz w:val="19"/>
        </w:rPr>
        <w:t xml:space="preserve"> </w:t>
      </w:r>
      <w:r>
        <w:rPr>
          <w:rFonts w:ascii="Arial" w:hAnsi="Arial"/>
          <w:w w:val="105"/>
          <w:sz w:val="19"/>
        </w:rPr>
        <w:t>is</w:t>
      </w:r>
      <w:r>
        <w:rPr>
          <w:rFonts w:ascii="Arial" w:hAnsi="Arial"/>
          <w:spacing w:val="-27"/>
          <w:w w:val="105"/>
          <w:sz w:val="19"/>
        </w:rPr>
        <w:t xml:space="preserve"> </w:t>
      </w:r>
      <w:r>
        <w:rPr>
          <w:rFonts w:ascii="Arial" w:hAnsi="Arial"/>
          <w:w w:val="105"/>
          <w:sz w:val="19"/>
        </w:rPr>
        <w:t>an</w:t>
      </w:r>
      <w:r>
        <w:rPr>
          <w:rFonts w:ascii="Arial" w:hAnsi="Arial"/>
          <w:spacing w:val="-26"/>
          <w:w w:val="105"/>
          <w:sz w:val="19"/>
        </w:rPr>
        <w:t xml:space="preserve"> </w:t>
      </w:r>
      <w:r>
        <w:rPr>
          <w:rFonts w:ascii="Arial" w:hAnsi="Arial"/>
          <w:w w:val="105"/>
          <w:sz w:val="19"/>
        </w:rPr>
        <w:t>average</w:t>
      </w:r>
      <w:r>
        <w:rPr>
          <w:rFonts w:ascii="Arial" w:hAnsi="Arial"/>
          <w:spacing w:val="-27"/>
          <w:w w:val="105"/>
          <w:sz w:val="19"/>
        </w:rPr>
        <w:t xml:space="preserve"> </w:t>
      </w:r>
      <w:r>
        <w:rPr>
          <w:rFonts w:ascii="Arial" w:hAnsi="Arial"/>
          <w:w w:val="105"/>
          <w:sz w:val="19"/>
        </w:rPr>
        <w:t>of</w:t>
      </w:r>
      <w:r>
        <w:rPr>
          <w:rFonts w:ascii="Arial" w:hAnsi="Arial"/>
          <w:spacing w:val="-26"/>
          <w:w w:val="105"/>
          <w:sz w:val="19"/>
        </w:rPr>
        <w:t xml:space="preserve"> </w:t>
      </w:r>
      <w:r>
        <w:rPr>
          <w:rFonts w:ascii="Arial" w:hAnsi="Arial"/>
          <w:sz w:val="19"/>
        </w:rPr>
        <w:t>1</w:t>
      </w:r>
      <w:r>
        <w:rPr>
          <w:rFonts w:ascii="Arial" w:hAnsi="Arial"/>
          <w:spacing w:val="-20"/>
          <w:sz w:val="19"/>
        </w:rPr>
        <w:t xml:space="preserve"> </w:t>
      </w:r>
      <w:r>
        <w:rPr>
          <w:rFonts w:ascii="Arial" w:hAnsi="Arial"/>
          <w:w w:val="105"/>
          <w:sz w:val="19"/>
        </w:rPr>
        <w:t>application</w:t>
      </w:r>
      <w:r>
        <w:rPr>
          <w:rFonts w:ascii="Arial" w:hAnsi="Arial"/>
          <w:spacing w:val="-27"/>
          <w:w w:val="105"/>
          <w:sz w:val="19"/>
        </w:rPr>
        <w:t xml:space="preserve"> </w:t>
      </w:r>
      <w:r>
        <w:rPr>
          <w:rFonts w:ascii="Arial" w:hAnsi="Arial"/>
          <w:w w:val="105"/>
          <w:sz w:val="19"/>
        </w:rPr>
        <w:t>for</w:t>
      </w:r>
      <w:r>
        <w:rPr>
          <w:rFonts w:ascii="Arial" w:hAnsi="Arial"/>
          <w:spacing w:val="-25"/>
          <w:w w:val="105"/>
          <w:sz w:val="19"/>
        </w:rPr>
        <w:t xml:space="preserve"> </w:t>
      </w:r>
      <w:r>
        <w:rPr>
          <w:rFonts w:ascii="Arial" w:hAnsi="Arial"/>
          <w:w w:val="105"/>
          <w:sz w:val="19"/>
        </w:rPr>
        <w:t>new</w:t>
      </w:r>
      <w:r>
        <w:rPr>
          <w:rFonts w:ascii="Arial" w:hAnsi="Arial"/>
          <w:spacing w:val="-27"/>
          <w:w w:val="105"/>
          <w:sz w:val="19"/>
        </w:rPr>
        <w:t xml:space="preserve"> </w:t>
      </w:r>
      <w:r>
        <w:rPr>
          <w:rFonts w:ascii="Arial" w:hAnsi="Arial"/>
          <w:w w:val="105"/>
          <w:sz w:val="19"/>
        </w:rPr>
        <w:t>listed</w:t>
      </w:r>
      <w:r>
        <w:rPr>
          <w:rFonts w:ascii="Arial" w:hAnsi="Arial"/>
          <w:spacing w:val="-26"/>
          <w:w w:val="105"/>
          <w:sz w:val="19"/>
        </w:rPr>
        <w:t xml:space="preserve"> </w:t>
      </w:r>
      <w:r>
        <w:rPr>
          <w:rFonts w:ascii="Arial" w:hAnsi="Arial"/>
          <w:w w:val="105"/>
          <w:sz w:val="19"/>
        </w:rPr>
        <w:t>ingredients per</w:t>
      </w:r>
      <w:r>
        <w:rPr>
          <w:rFonts w:ascii="Arial" w:hAnsi="Arial"/>
          <w:spacing w:val="-24"/>
          <w:w w:val="105"/>
          <w:sz w:val="19"/>
        </w:rPr>
        <w:t xml:space="preserve"> </w:t>
      </w:r>
      <w:r>
        <w:rPr>
          <w:rFonts w:ascii="Arial" w:hAnsi="Arial"/>
          <w:w w:val="105"/>
          <w:sz w:val="19"/>
        </w:rPr>
        <w:t>100</w:t>
      </w:r>
      <w:r>
        <w:rPr>
          <w:rFonts w:ascii="Arial" w:hAnsi="Arial"/>
          <w:spacing w:val="-21"/>
          <w:w w:val="105"/>
          <w:sz w:val="19"/>
        </w:rPr>
        <w:t xml:space="preserve"> </w:t>
      </w:r>
      <w:r>
        <w:rPr>
          <w:rFonts w:ascii="Arial" w:hAnsi="Arial"/>
          <w:w w:val="105"/>
          <w:sz w:val="19"/>
        </w:rPr>
        <w:t>new</w:t>
      </w:r>
      <w:r>
        <w:rPr>
          <w:rFonts w:ascii="Arial" w:hAnsi="Arial"/>
          <w:spacing w:val="-23"/>
          <w:w w:val="105"/>
          <w:sz w:val="19"/>
        </w:rPr>
        <w:t xml:space="preserve"> </w:t>
      </w:r>
      <w:r>
        <w:rPr>
          <w:rFonts w:ascii="Arial" w:hAnsi="Arial"/>
          <w:w w:val="105"/>
          <w:sz w:val="19"/>
        </w:rPr>
        <w:t>listed</w:t>
      </w:r>
      <w:r>
        <w:rPr>
          <w:rFonts w:ascii="Arial" w:hAnsi="Arial"/>
          <w:spacing w:val="-23"/>
          <w:w w:val="105"/>
          <w:sz w:val="19"/>
        </w:rPr>
        <w:t xml:space="preserve"> </w:t>
      </w:r>
      <w:r>
        <w:rPr>
          <w:rFonts w:ascii="Arial" w:hAnsi="Arial"/>
          <w:w w:val="105"/>
          <w:sz w:val="19"/>
        </w:rPr>
        <w:t>medicines.</w:t>
      </w:r>
      <w:r>
        <w:rPr>
          <w:rFonts w:ascii="Arial" w:hAnsi="Arial"/>
          <w:spacing w:val="-21"/>
          <w:w w:val="105"/>
          <w:sz w:val="19"/>
        </w:rPr>
        <w:t xml:space="preserve"> </w:t>
      </w:r>
      <w:r>
        <w:rPr>
          <w:rFonts w:ascii="Arial" w:hAnsi="Arial"/>
          <w:w w:val="105"/>
          <w:sz w:val="19"/>
        </w:rPr>
        <w:t>If</w:t>
      </w:r>
      <w:r>
        <w:rPr>
          <w:rFonts w:ascii="Arial" w:hAnsi="Arial"/>
          <w:spacing w:val="-23"/>
          <w:w w:val="105"/>
          <w:sz w:val="19"/>
        </w:rPr>
        <w:t xml:space="preserve"> </w:t>
      </w:r>
      <w:r>
        <w:rPr>
          <w:rFonts w:ascii="Arial" w:hAnsi="Arial"/>
          <w:w w:val="105"/>
          <w:sz w:val="19"/>
        </w:rPr>
        <w:t>we</w:t>
      </w:r>
      <w:r>
        <w:rPr>
          <w:rFonts w:ascii="Arial" w:hAnsi="Arial"/>
          <w:spacing w:val="-21"/>
          <w:w w:val="105"/>
          <w:sz w:val="19"/>
        </w:rPr>
        <w:t xml:space="preserve"> </w:t>
      </w:r>
      <w:r>
        <w:rPr>
          <w:rFonts w:ascii="Arial" w:hAnsi="Arial"/>
          <w:w w:val="105"/>
          <w:sz w:val="19"/>
        </w:rPr>
        <w:t>assume</w:t>
      </w:r>
      <w:r>
        <w:rPr>
          <w:rFonts w:ascii="Arial" w:hAnsi="Arial"/>
          <w:spacing w:val="-23"/>
          <w:w w:val="105"/>
          <w:sz w:val="19"/>
        </w:rPr>
        <w:t xml:space="preserve"> </w:t>
      </w:r>
      <w:r>
        <w:rPr>
          <w:rFonts w:ascii="Arial" w:hAnsi="Arial"/>
          <w:w w:val="105"/>
          <w:sz w:val="19"/>
        </w:rPr>
        <w:t>this</w:t>
      </w:r>
      <w:r>
        <w:rPr>
          <w:rFonts w:ascii="Arial" w:hAnsi="Arial"/>
          <w:spacing w:val="-24"/>
          <w:w w:val="105"/>
          <w:sz w:val="19"/>
        </w:rPr>
        <w:t xml:space="preserve"> </w:t>
      </w:r>
      <w:r>
        <w:rPr>
          <w:rFonts w:ascii="Arial" w:hAnsi="Arial"/>
          <w:w w:val="105"/>
          <w:sz w:val="19"/>
        </w:rPr>
        <w:t>represents</w:t>
      </w:r>
      <w:r>
        <w:rPr>
          <w:rFonts w:ascii="Arial" w:hAnsi="Arial"/>
          <w:spacing w:val="-16"/>
          <w:w w:val="105"/>
          <w:sz w:val="19"/>
        </w:rPr>
        <w:t xml:space="preserve"> </w:t>
      </w:r>
      <w:r>
        <w:rPr>
          <w:rFonts w:ascii="Arial" w:hAnsi="Arial"/>
          <w:w w:val="105"/>
          <w:sz w:val="19"/>
        </w:rPr>
        <w:t>the</w:t>
      </w:r>
      <w:r>
        <w:rPr>
          <w:rFonts w:ascii="Arial" w:hAnsi="Arial"/>
          <w:spacing w:val="-23"/>
          <w:w w:val="105"/>
          <w:sz w:val="19"/>
        </w:rPr>
        <w:t xml:space="preserve"> </w:t>
      </w:r>
      <w:r>
        <w:rPr>
          <w:rFonts w:ascii="Arial" w:hAnsi="Arial"/>
          <w:w w:val="105"/>
          <w:sz w:val="19"/>
        </w:rPr>
        <w:t>lower</w:t>
      </w:r>
      <w:r>
        <w:rPr>
          <w:rFonts w:ascii="Arial" w:hAnsi="Arial"/>
          <w:spacing w:val="-24"/>
          <w:w w:val="105"/>
          <w:sz w:val="19"/>
        </w:rPr>
        <w:t xml:space="preserve"> </w:t>
      </w:r>
      <w:r>
        <w:rPr>
          <w:rFonts w:ascii="Arial" w:hAnsi="Arial"/>
          <w:w w:val="105"/>
          <w:sz w:val="19"/>
        </w:rPr>
        <w:t>end</w:t>
      </w:r>
      <w:r>
        <w:rPr>
          <w:rFonts w:ascii="Arial" w:hAnsi="Arial"/>
          <w:spacing w:val="-22"/>
          <w:w w:val="105"/>
          <w:sz w:val="19"/>
        </w:rPr>
        <w:t xml:space="preserve"> </w:t>
      </w:r>
      <w:r>
        <w:rPr>
          <w:rFonts w:ascii="Arial" w:hAnsi="Arial"/>
          <w:w w:val="105"/>
          <w:sz w:val="19"/>
        </w:rPr>
        <w:t>of</w:t>
      </w:r>
      <w:r>
        <w:rPr>
          <w:rFonts w:ascii="Arial" w:hAnsi="Arial"/>
          <w:spacing w:val="-23"/>
          <w:w w:val="105"/>
          <w:sz w:val="19"/>
        </w:rPr>
        <w:t xml:space="preserve"> </w:t>
      </w:r>
      <w:r>
        <w:rPr>
          <w:rFonts w:ascii="Arial" w:hAnsi="Arial"/>
          <w:w w:val="105"/>
          <w:sz w:val="19"/>
        </w:rPr>
        <w:t>the</w:t>
      </w:r>
      <w:r>
        <w:rPr>
          <w:rFonts w:ascii="Arial" w:hAnsi="Arial"/>
          <w:spacing w:val="-22"/>
          <w:w w:val="105"/>
          <w:sz w:val="19"/>
        </w:rPr>
        <w:t xml:space="preserve"> </w:t>
      </w:r>
      <w:r>
        <w:rPr>
          <w:rFonts w:ascii="Arial" w:hAnsi="Arial"/>
          <w:w w:val="105"/>
          <w:sz w:val="19"/>
        </w:rPr>
        <w:t>range,</w:t>
      </w:r>
      <w:r>
        <w:rPr>
          <w:rFonts w:ascii="Arial" w:hAnsi="Arial"/>
          <w:spacing w:val="-22"/>
          <w:w w:val="105"/>
          <w:sz w:val="19"/>
        </w:rPr>
        <w:t xml:space="preserve"> </w:t>
      </w:r>
      <w:r>
        <w:rPr>
          <w:rFonts w:ascii="Arial" w:hAnsi="Arial"/>
          <w:w w:val="105"/>
          <w:sz w:val="19"/>
        </w:rPr>
        <w:t>noting</w:t>
      </w:r>
      <w:r>
        <w:rPr>
          <w:rFonts w:ascii="Arial" w:hAnsi="Arial"/>
          <w:spacing w:val="-23"/>
          <w:w w:val="105"/>
          <w:sz w:val="19"/>
        </w:rPr>
        <w:t xml:space="preserve"> </w:t>
      </w:r>
      <w:r>
        <w:rPr>
          <w:rFonts w:ascii="Arial" w:hAnsi="Arial"/>
          <w:w w:val="105"/>
          <w:sz w:val="19"/>
        </w:rPr>
        <w:t>that the</w:t>
      </w:r>
      <w:r>
        <w:rPr>
          <w:rFonts w:ascii="Arial" w:hAnsi="Arial"/>
          <w:spacing w:val="-32"/>
          <w:w w:val="105"/>
          <w:sz w:val="19"/>
        </w:rPr>
        <w:t xml:space="preserve"> </w:t>
      </w:r>
      <w:r>
        <w:rPr>
          <w:rFonts w:ascii="Arial" w:hAnsi="Arial"/>
          <w:w w:val="105"/>
          <w:sz w:val="19"/>
        </w:rPr>
        <w:t>complementary</w:t>
      </w:r>
      <w:r>
        <w:rPr>
          <w:rFonts w:ascii="Arial" w:hAnsi="Arial"/>
          <w:spacing w:val="-31"/>
          <w:w w:val="105"/>
          <w:sz w:val="19"/>
        </w:rPr>
        <w:t xml:space="preserve"> </w:t>
      </w:r>
      <w:r>
        <w:rPr>
          <w:rFonts w:ascii="Arial" w:hAnsi="Arial"/>
          <w:w w:val="105"/>
          <w:sz w:val="19"/>
        </w:rPr>
        <w:t>medicines</w:t>
      </w:r>
      <w:r>
        <w:rPr>
          <w:rFonts w:ascii="Arial" w:hAnsi="Arial"/>
          <w:spacing w:val="-31"/>
          <w:w w:val="105"/>
          <w:sz w:val="19"/>
        </w:rPr>
        <w:t xml:space="preserve"> </w:t>
      </w:r>
      <w:r>
        <w:rPr>
          <w:rFonts w:ascii="Arial" w:hAnsi="Arial"/>
          <w:w w:val="105"/>
          <w:sz w:val="19"/>
        </w:rPr>
        <w:t>segment</w:t>
      </w:r>
      <w:r>
        <w:rPr>
          <w:rFonts w:ascii="Arial" w:hAnsi="Arial"/>
          <w:spacing w:val="-31"/>
          <w:w w:val="105"/>
          <w:sz w:val="19"/>
        </w:rPr>
        <w:t xml:space="preserve"> </w:t>
      </w:r>
      <w:r>
        <w:rPr>
          <w:rFonts w:ascii="Arial" w:hAnsi="Arial"/>
          <w:w w:val="105"/>
          <w:sz w:val="19"/>
        </w:rPr>
        <w:t>is</w:t>
      </w:r>
      <w:r>
        <w:rPr>
          <w:rFonts w:ascii="Arial" w:hAnsi="Arial"/>
          <w:spacing w:val="-31"/>
          <w:w w:val="105"/>
          <w:sz w:val="19"/>
        </w:rPr>
        <w:t xml:space="preserve"> </w:t>
      </w:r>
      <w:r>
        <w:rPr>
          <w:rFonts w:ascii="Arial" w:hAnsi="Arial"/>
          <w:w w:val="105"/>
          <w:sz w:val="19"/>
        </w:rPr>
        <w:t>relatively</w:t>
      </w:r>
      <w:r>
        <w:rPr>
          <w:rFonts w:ascii="Arial" w:hAnsi="Arial"/>
          <w:spacing w:val="-31"/>
          <w:w w:val="105"/>
          <w:sz w:val="19"/>
        </w:rPr>
        <w:t xml:space="preserve"> </w:t>
      </w:r>
      <w:r>
        <w:rPr>
          <w:rFonts w:ascii="Arial" w:hAnsi="Arial"/>
          <w:w w:val="105"/>
          <w:sz w:val="19"/>
        </w:rPr>
        <w:t>mature</w:t>
      </w:r>
      <w:r>
        <w:rPr>
          <w:rFonts w:ascii="Arial" w:hAnsi="Arial"/>
          <w:spacing w:val="-30"/>
          <w:w w:val="105"/>
          <w:sz w:val="19"/>
        </w:rPr>
        <w:t xml:space="preserve"> </w:t>
      </w:r>
      <w:r>
        <w:rPr>
          <w:rFonts w:ascii="Arial" w:hAnsi="Arial"/>
          <w:w w:val="105"/>
          <w:sz w:val="19"/>
        </w:rPr>
        <w:t>(complementary</w:t>
      </w:r>
      <w:r>
        <w:rPr>
          <w:rFonts w:ascii="Arial" w:hAnsi="Arial"/>
          <w:spacing w:val="-32"/>
          <w:w w:val="105"/>
          <w:sz w:val="19"/>
        </w:rPr>
        <w:t xml:space="preserve"> </w:t>
      </w:r>
      <w:r>
        <w:rPr>
          <w:rFonts w:ascii="Arial" w:hAnsi="Arial"/>
          <w:w w:val="105"/>
          <w:sz w:val="19"/>
        </w:rPr>
        <w:t>medicines</w:t>
      </w:r>
      <w:r>
        <w:rPr>
          <w:rFonts w:ascii="Arial" w:hAnsi="Arial"/>
          <w:spacing w:val="-31"/>
          <w:w w:val="105"/>
          <w:sz w:val="19"/>
        </w:rPr>
        <w:t xml:space="preserve"> </w:t>
      </w:r>
      <w:r>
        <w:rPr>
          <w:rFonts w:ascii="Arial" w:hAnsi="Arial"/>
          <w:w w:val="105"/>
          <w:sz w:val="19"/>
        </w:rPr>
        <w:t>being</w:t>
      </w:r>
      <w:r>
        <w:rPr>
          <w:rFonts w:ascii="Arial" w:hAnsi="Arial"/>
          <w:spacing w:val="-32"/>
          <w:w w:val="105"/>
          <w:sz w:val="19"/>
        </w:rPr>
        <w:t xml:space="preserve"> </w:t>
      </w:r>
      <w:r>
        <w:rPr>
          <w:rFonts w:ascii="Arial" w:hAnsi="Arial"/>
          <w:w w:val="105"/>
          <w:sz w:val="19"/>
        </w:rPr>
        <w:t>listed in</w:t>
      </w:r>
      <w:r>
        <w:rPr>
          <w:rFonts w:ascii="Arial" w:hAnsi="Arial"/>
          <w:spacing w:val="-23"/>
          <w:w w:val="105"/>
          <w:sz w:val="19"/>
        </w:rPr>
        <w:t xml:space="preserve"> </w:t>
      </w:r>
      <w:r>
        <w:rPr>
          <w:rFonts w:ascii="Arial" w:hAnsi="Arial"/>
          <w:w w:val="105"/>
          <w:sz w:val="19"/>
        </w:rPr>
        <w:t>the</w:t>
      </w:r>
      <w:r>
        <w:rPr>
          <w:rFonts w:ascii="Arial" w:hAnsi="Arial"/>
          <w:spacing w:val="-24"/>
          <w:w w:val="105"/>
          <w:sz w:val="19"/>
        </w:rPr>
        <w:t xml:space="preserve"> </w:t>
      </w:r>
      <w:r>
        <w:rPr>
          <w:rFonts w:ascii="Arial" w:hAnsi="Arial"/>
          <w:w w:val="105"/>
          <w:sz w:val="19"/>
        </w:rPr>
        <w:t>ARTG</w:t>
      </w:r>
      <w:r>
        <w:rPr>
          <w:rFonts w:ascii="Arial" w:hAnsi="Arial"/>
          <w:spacing w:val="-24"/>
          <w:w w:val="105"/>
          <w:sz w:val="19"/>
        </w:rPr>
        <w:t xml:space="preserve"> </w:t>
      </w:r>
      <w:r>
        <w:rPr>
          <w:rFonts w:ascii="Arial" w:hAnsi="Arial"/>
          <w:w w:val="105"/>
          <w:sz w:val="19"/>
        </w:rPr>
        <w:t>for</w:t>
      </w:r>
      <w:r>
        <w:rPr>
          <w:rFonts w:ascii="Arial" w:hAnsi="Arial"/>
          <w:spacing w:val="-22"/>
          <w:w w:val="105"/>
          <w:sz w:val="19"/>
        </w:rPr>
        <w:t xml:space="preserve"> </w:t>
      </w:r>
      <w:r>
        <w:rPr>
          <w:rFonts w:ascii="Arial" w:hAnsi="Arial"/>
          <w:w w:val="105"/>
          <w:sz w:val="19"/>
        </w:rPr>
        <w:t>a</w:t>
      </w:r>
      <w:r>
        <w:rPr>
          <w:rFonts w:ascii="Arial" w:hAnsi="Arial"/>
          <w:spacing w:val="-24"/>
          <w:w w:val="105"/>
          <w:sz w:val="19"/>
        </w:rPr>
        <w:t xml:space="preserve"> </w:t>
      </w:r>
      <w:r>
        <w:rPr>
          <w:rFonts w:ascii="Arial" w:hAnsi="Arial"/>
          <w:w w:val="105"/>
          <w:sz w:val="19"/>
        </w:rPr>
        <w:t>number</w:t>
      </w:r>
      <w:r>
        <w:rPr>
          <w:rFonts w:ascii="Arial" w:hAnsi="Arial"/>
          <w:spacing w:val="-24"/>
          <w:w w:val="105"/>
          <w:sz w:val="19"/>
        </w:rPr>
        <w:t xml:space="preserve"> </w:t>
      </w:r>
      <w:r>
        <w:rPr>
          <w:rFonts w:ascii="Arial" w:hAnsi="Arial"/>
          <w:w w:val="105"/>
          <w:sz w:val="19"/>
        </w:rPr>
        <w:t>of</w:t>
      </w:r>
      <w:r>
        <w:rPr>
          <w:rFonts w:ascii="Arial" w:hAnsi="Arial"/>
          <w:spacing w:val="-26"/>
          <w:w w:val="105"/>
          <w:sz w:val="19"/>
        </w:rPr>
        <w:t xml:space="preserve"> </w:t>
      </w:r>
      <w:r>
        <w:rPr>
          <w:rFonts w:ascii="Arial" w:hAnsi="Arial"/>
          <w:w w:val="105"/>
          <w:sz w:val="19"/>
        </w:rPr>
        <w:t>years),</w:t>
      </w:r>
      <w:r>
        <w:rPr>
          <w:rFonts w:ascii="Arial" w:hAnsi="Arial"/>
          <w:spacing w:val="-24"/>
          <w:w w:val="105"/>
          <w:sz w:val="19"/>
        </w:rPr>
        <w:t xml:space="preserve"> </w:t>
      </w:r>
      <w:r>
        <w:rPr>
          <w:rFonts w:ascii="Arial" w:hAnsi="Arial"/>
          <w:w w:val="105"/>
          <w:sz w:val="19"/>
        </w:rPr>
        <w:t>then</w:t>
      </w:r>
      <w:r>
        <w:rPr>
          <w:rFonts w:ascii="Arial" w:hAnsi="Arial"/>
          <w:spacing w:val="-23"/>
          <w:w w:val="105"/>
          <w:sz w:val="19"/>
        </w:rPr>
        <w:t xml:space="preserve"> </w:t>
      </w:r>
      <w:r>
        <w:rPr>
          <w:rFonts w:ascii="Arial" w:hAnsi="Arial"/>
          <w:w w:val="105"/>
          <w:sz w:val="19"/>
        </w:rPr>
        <w:t>it</w:t>
      </w:r>
      <w:r>
        <w:rPr>
          <w:rFonts w:ascii="Arial" w:hAnsi="Arial"/>
          <w:spacing w:val="-22"/>
          <w:w w:val="105"/>
          <w:sz w:val="19"/>
        </w:rPr>
        <w:t xml:space="preserve"> </w:t>
      </w:r>
      <w:r>
        <w:rPr>
          <w:rFonts w:ascii="Arial" w:hAnsi="Arial"/>
          <w:w w:val="105"/>
          <w:sz w:val="19"/>
        </w:rPr>
        <w:t>would</w:t>
      </w:r>
      <w:r>
        <w:rPr>
          <w:rFonts w:ascii="Arial" w:hAnsi="Arial"/>
          <w:spacing w:val="-24"/>
          <w:w w:val="105"/>
          <w:sz w:val="19"/>
        </w:rPr>
        <w:t xml:space="preserve"> </w:t>
      </w:r>
      <w:r>
        <w:rPr>
          <w:rFonts w:ascii="Arial" w:hAnsi="Arial"/>
          <w:w w:val="105"/>
          <w:sz w:val="19"/>
        </w:rPr>
        <w:t>seem</w:t>
      </w:r>
      <w:r>
        <w:rPr>
          <w:rFonts w:ascii="Arial" w:hAnsi="Arial"/>
          <w:spacing w:val="-23"/>
          <w:w w:val="105"/>
          <w:sz w:val="19"/>
        </w:rPr>
        <w:t xml:space="preserve"> </w:t>
      </w:r>
      <w:r>
        <w:rPr>
          <w:rFonts w:ascii="Arial" w:hAnsi="Arial"/>
          <w:w w:val="105"/>
          <w:sz w:val="19"/>
        </w:rPr>
        <w:t>reasonable</w:t>
      </w:r>
      <w:r>
        <w:rPr>
          <w:rFonts w:ascii="Arial" w:hAnsi="Arial"/>
          <w:spacing w:val="-23"/>
          <w:w w:val="105"/>
          <w:sz w:val="19"/>
        </w:rPr>
        <w:t xml:space="preserve"> </w:t>
      </w:r>
      <w:r>
        <w:rPr>
          <w:rFonts w:ascii="Arial" w:hAnsi="Arial"/>
          <w:w w:val="105"/>
          <w:sz w:val="19"/>
        </w:rPr>
        <w:t>to</w:t>
      </w:r>
      <w:r>
        <w:rPr>
          <w:rFonts w:ascii="Arial" w:hAnsi="Arial"/>
          <w:spacing w:val="-24"/>
          <w:w w:val="105"/>
          <w:sz w:val="19"/>
        </w:rPr>
        <w:t xml:space="preserve"> </w:t>
      </w:r>
      <w:r>
        <w:rPr>
          <w:rFonts w:ascii="Arial" w:hAnsi="Arial"/>
          <w:w w:val="105"/>
          <w:sz w:val="19"/>
        </w:rPr>
        <w:t>assume</w:t>
      </w:r>
      <w:r>
        <w:rPr>
          <w:rFonts w:ascii="Arial" w:hAnsi="Arial"/>
          <w:spacing w:val="-24"/>
          <w:w w:val="105"/>
          <w:sz w:val="19"/>
        </w:rPr>
        <w:t xml:space="preserve"> </w:t>
      </w:r>
      <w:r>
        <w:rPr>
          <w:rFonts w:ascii="Arial" w:hAnsi="Arial"/>
          <w:w w:val="105"/>
          <w:sz w:val="19"/>
        </w:rPr>
        <w:t>that</w:t>
      </w:r>
      <w:r>
        <w:rPr>
          <w:rFonts w:ascii="Arial" w:hAnsi="Arial"/>
          <w:spacing w:val="-24"/>
          <w:w w:val="105"/>
          <w:sz w:val="19"/>
        </w:rPr>
        <w:t xml:space="preserve"> </w:t>
      </w:r>
      <w:r>
        <w:rPr>
          <w:rFonts w:ascii="Arial" w:hAnsi="Arial"/>
          <w:w w:val="105"/>
          <w:sz w:val="19"/>
        </w:rPr>
        <w:t>the</w:t>
      </w:r>
      <w:r>
        <w:rPr>
          <w:rFonts w:ascii="Arial" w:hAnsi="Arial"/>
          <w:spacing w:val="-23"/>
          <w:w w:val="105"/>
          <w:sz w:val="19"/>
        </w:rPr>
        <w:t xml:space="preserve"> </w:t>
      </w:r>
      <w:r>
        <w:rPr>
          <w:rFonts w:ascii="Arial" w:hAnsi="Arial"/>
          <w:w w:val="105"/>
          <w:sz w:val="19"/>
        </w:rPr>
        <w:t>upper</w:t>
      </w:r>
      <w:r>
        <w:rPr>
          <w:rFonts w:ascii="Arial" w:hAnsi="Arial"/>
          <w:spacing w:val="-23"/>
          <w:w w:val="105"/>
          <w:sz w:val="19"/>
        </w:rPr>
        <w:t xml:space="preserve"> </w:t>
      </w:r>
      <w:r>
        <w:rPr>
          <w:rFonts w:ascii="Arial" w:hAnsi="Arial"/>
          <w:w w:val="105"/>
          <w:sz w:val="19"/>
        </w:rPr>
        <w:t>band would be no greater than 10 times the lower band (therefore 10 applications for new listed ingredients</w:t>
      </w:r>
      <w:r>
        <w:rPr>
          <w:rFonts w:ascii="Arial" w:hAnsi="Arial"/>
          <w:spacing w:val="-23"/>
          <w:w w:val="105"/>
          <w:sz w:val="19"/>
        </w:rPr>
        <w:t xml:space="preserve"> </w:t>
      </w:r>
      <w:r>
        <w:rPr>
          <w:rFonts w:ascii="Arial" w:hAnsi="Arial"/>
          <w:w w:val="105"/>
          <w:sz w:val="19"/>
        </w:rPr>
        <w:t>per</w:t>
      </w:r>
      <w:r>
        <w:rPr>
          <w:rFonts w:ascii="Arial" w:hAnsi="Arial"/>
          <w:spacing w:val="-21"/>
          <w:w w:val="105"/>
          <w:sz w:val="19"/>
        </w:rPr>
        <w:t xml:space="preserve"> </w:t>
      </w:r>
      <w:r>
        <w:rPr>
          <w:rFonts w:ascii="Arial" w:hAnsi="Arial"/>
          <w:w w:val="105"/>
          <w:sz w:val="19"/>
        </w:rPr>
        <w:t>100</w:t>
      </w:r>
      <w:r>
        <w:rPr>
          <w:rFonts w:ascii="Arial" w:hAnsi="Arial"/>
          <w:spacing w:val="-22"/>
          <w:w w:val="105"/>
          <w:sz w:val="19"/>
        </w:rPr>
        <w:t xml:space="preserve"> </w:t>
      </w:r>
      <w:r>
        <w:rPr>
          <w:rFonts w:ascii="Arial" w:hAnsi="Arial"/>
          <w:w w:val="105"/>
          <w:sz w:val="19"/>
        </w:rPr>
        <w:t>new</w:t>
      </w:r>
      <w:r>
        <w:rPr>
          <w:rFonts w:ascii="Arial" w:hAnsi="Arial"/>
          <w:spacing w:val="-21"/>
          <w:w w:val="105"/>
          <w:sz w:val="19"/>
        </w:rPr>
        <w:t xml:space="preserve"> </w:t>
      </w:r>
      <w:r>
        <w:rPr>
          <w:rFonts w:ascii="Arial" w:hAnsi="Arial"/>
          <w:w w:val="105"/>
          <w:sz w:val="19"/>
        </w:rPr>
        <w:t>listed</w:t>
      </w:r>
      <w:r>
        <w:rPr>
          <w:rFonts w:ascii="Arial" w:hAnsi="Arial"/>
          <w:spacing w:val="-22"/>
          <w:w w:val="105"/>
          <w:sz w:val="19"/>
        </w:rPr>
        <w:t xml:space="preserve"> </w:t>
      </w:r>
      <w:r>
        <w:rPr>
          <w:rFonts w:ascii="Arial" w:hAnsi="Arial"/>
          <w:w w:val="105"/>
          <w:sz w:val="19"/>
        </w:rPr>
        <w:t>medicines)</w:t>
      </w:r>
      <w:r>
        <w:rPr>
          <w:rFonts w:ascii="Arial" w:hAnsi="Arial"/>
          <w:spacing w:val="-17"/>
          <w:w w:val="105"/>
          <w:sz w:val="19"/>
        </w:rPr>
        <w:t xml:space="preserve"> </w:t>
      </w:r>
      <w:r>
        <w:rPr>
          <w:rFonts w:ascii="Arial" w:hAnsi="Arial"/>
          <w:w w:val="105"/>
          <w:sz w:val="19"/>
        </w:rPr>
        <w:t>–</w:t>
      </w:r>
      <w:r>
        <w:rPr>
          <w:rFonts w:ascii="Arial" w:hAnsi="Arial"/>
          <w:spacing w:val="-21"/>
          <w:w w:val="105"/>
          <w:sz w:val="19"/>
        </w:rPr>
        <w:t xml:space="preserve"> </w:t>
      </w:r>
      <w:r>
        <w:rPr>
          <w:rFonts w:ascii="Arial" w:hAnsi="Arial"/>
          <w:w w:val="105"/>
          <w:sz w:val="19"/>
        </w:rPr>
        <w:t>that</w:t>
      </w:r>
      <w:r>
        <w:rPr>
          <w:rFonts w:ascii="Arial" w:hAnsi="Arial"/>
          <w:spacing w:val="-20"/>
          <w:w w:val="105"/>
          <w:sz w:val="19"/>
        </w:rPr>
        <w:t xml:space="preserve"> </w:t>
      </w:r>
      <w:r>
        <w:rPr>
          <w:rFonts w:ascii="Arial" w:hAnsi="Arial"/>
          <w:w w:val="105"/>
          <w:sz w:val="19"/>
        </w:rPr>
        <w:t>is,</w:t>
      </w:r>
      <w:r>
        <w:rPr>
          <w:rFonts w:ascii="Arial" w:hAnsi="Arial"/>
          <w:spacing w:val="-22"/>
          <w:w w:val="105"/>
          <w:sz w:val="19"/>
        </w:rPr>
        <w:t xml:space="preserve"> </w:t>
      </w:r>
      <w:r>
        <w:rPr>
          <w:rFonts w:ascii="Arial" w:hAnsi="Arial"/>
          <w:w w:val="105"/>
          <w:sz w:val="19"/>
        </w:rPr>
        <w:t>an</w:t>
      </w:r>
      <w:r>
        <w:rPr>
          <w:rFonts w:ascii="Arial" w:hAnsi="Arial"/>
          <w:spacing w:val="-21"/>
          <w:w w:val="105"/>
          <w:sz w:val="19"/>
        </w:rPr>
        <w:t xml:space="preserve"> </w:t>
      </w:r>
      <w:r>
        <w:rPr>
          <w:rFonts w:ascii="Arial" w:hAnsi="Arial"/>
          <w:w w:val="105"/>
          <w:sz w:val="19"/>
        </w:rPr>
        <w:t>application</w:t>
      </w:r>
      <w:r>
        <w:rPr>
          <w:rFonts w:ascii="Arial" w:hAnsi="Arial"/>
          <w:spacing w:val="-22"/>
          <w:w w:val="105"/>
          <w:sz w:val="19"/>
        </w:rPr>
        <w:t xml:space="preserve"> </w:t>
      </w:r>
      <w:r>
        <w:rPr>
          <w:rFonts w:ascii="Arial" w:hAnsi="Arial"/>
          <w:w w:val="105"/>
          <w:sz w:val="19"/>
        </w:rPr>
        <w:t>for</w:t>
      </w:r>
      <w:r>
        <w:rPr>
          <w:rFonts w:ascii="Arial" w:hAnsi="Arial"/>
          <w:spacing w:val="-20"/>
          <w:w w:val="105"/>
          <w:sz w:val="19"/>
        </w:rPr>
        <w:t xml:space="preserve"> </w:t>
      </w:r>
      <w:r>
        <w:rPr>
          <w:rFonts w:ascii="Arial" w:hAnsi="Arial"/>
          <w:w w:val="105"/>
          <w:sz w:val="19"/>
        </w:rPr>
        <w:t>a</w:t>
      </w:r>
      <w:r>
        <w:rPr>
          <w:rFonts w:ascii="Arial" w:hAnsi="Arial"/>
          <w:spacing w:val="-21"/>
          <w:w w:val="105"/>
          <w:sz w:val="19"/>
        </w:rPr>
        <w:t xml:space="preserve"> </w:t>
      </w:r>
      <w:r>
        <w:rPr>
          <w:rFonts w:ascii="Arial" w:hAnsi="Arial"/>
          <w:w w:val="105"/>
          <w:sz w:val="19"/>
        </w:rPr>
        <w:t>sports</w:t>
      </w:r>
      <w:r>
        <w:rPr>
          <w:rFonts w:ascii="Arial" w:hAnsi="Arial"/>
          <w:spacing w:val="-22"/>
          <w:w w:val="105"/>
          <w:sz w:val="19"/>
        </w:rPr>
        <w:t xml:space="preserve"> </w:t>
      </w:r>
      <w:r>
        <w:rPr>
          <w:rFonts w:ascii="Arial" w:hAnsi="Arial"/>
          <w:w w:val="105"/>
          <w:sz w:val="19"/>
        </w:rPr>
        <w:t>supplement</w:t>
      </w:r>
      <w:r>
        <w:rPr>
          <w:rFonts w:ascii="Arial" w:hAnsi="Arial"/>
          <w:spacing w:val="-19"/>
          <w:w w:val="105"/>
          <w:sz w:val="19"/>
        </w:rPr>
        <w:t xml:space="preserve"> </w:t>
      </w:r>
      <w:r>
        <w:rPr>
          <w:rFonts w:ascii="Arial" w:hAnsi="Arial"/>
          <w:w w:val="105"/>
          <w:sz w:val="19"/>
        </w:rPr>
        <w:t>to</w:t>
      </w:r>
      <w:r>
        <w:rPr>
          <w:rFonts w:ascii="Arial" w:hAnsi="Arial"/>
          <w:spacing w:val="-20"/>
          <w:w w:val="105"/>
          <w:sz w:val="19"/>
        </w:rPr>
        <w:t xml:space="preserve"> </w:t>
      </w:r>
      <w:r>
        <w:rPr>
          <w:rFonts w:ascii="Arial" w:hAnsi="Arial"/>
          <w:w w:val="105"/>
          <w:sz w:val="19"/>
        </w:rPr>
        <w:t>be</w:t>
      </w:r>
      <w:r>
        <w:rPr>
          <w:rFonts w:ascii="Arial" w:hAnsi="Arial"/>
          <w:spacing w:val="-22"/>
          <w:w w:val="105"/>
          <w:sz w:val="19"/>
        </w:rPr>
        <w:t xml:space="preserve"> </w:t>
      </w:r>
      <w:r>
        <w:rPr>
          <w:rFonts w:ascii="Arial" w:hAnsi="Arial"/>
          <w:w w:val="105"/>
          <w:sz w:val="19"/>
        </w:rPr>
        <w:t>a listed medicine is 10 times more likely to contain an ingredient not listed in the Permissible Ingredients</w:t>
      </w:r>
      <w:r>
        <w:rPr>
          <w:rFonts w:ascii="Arial" w:hAnsi="Arial"/>
          <w:spacing w:val="-20"/>
          <w:w w:val="105"/>
          <w:sz w:val="19"/>
        </w:rPr>
        <w:t xml:space="preserve"> </w:t>
      </w:r>
      <w:r>
        <w:rPr>
          <w:rFonts w:ascii="Arial" w:hAnsi="Arial"/>
          <w:w w:val="105"/>
          <w:sz w:val="19"/>
        </w:rPr>
        <w:t>Determination</w:t>
      </w:r>
      <w:r>
        <w:rPr>
          <w:rFonts w:ascii="Arial" w:hAnsi="Arial"/>
          <w:spacing w:val="-19"/>
          <w:w w:val="105"/>
          <w:sz w:val="19"/>
        </w:rPr>
        <w:t xml:space="preserve"> </w:t>
      </w:r>
      <w:r>
        <w:rPr>
          <w:rFonts w:ascii="Arial" w:hAnsi="Arial"/>
          <w:w w:val="105"/>
          <w:sz w:val="19"/>
        </w:rPr>
        <w:t>than</w:t>
      </w:r>
      <w:r>
        <w:rPr>
          <w:rFonts w:ascii="Arial" w:hAnsi="Arial"/>
          <w:spacing w:val="-20"/>
          <w:w w:val="105"/>
          <w:sz w:val="19"/>
        </w:rPr>
        <w:t xml:space="preserve"> </w:t>
      </w:r>
      <w:r>
        <w:rPr>
          <w:rFonts w:ascii="Arial" w:hAnsi="Arial"/>
          <w:w w:val="105"/>
          <w:sz w:val="19"/>
        </w:rPr>
        <w:t>an</w:t>
      </w:r>
      <w:r>
        <w:rPr>
          <w:rFonts w:ascii="Arial" w:hAnsi="Arial"/>
          <w:spacing w:val="-19"/>
          <w:w w:val="105"/>
          <w:sz w:val="19"/>
        </w:rPr>
        <w:t xml:space="preserve"> </w:t>
      </w:r>
      <w:r>
        <w:rPr>
          <w:rFonts w:ascii="Arial" w:hAnsi="Arial"/>
          <w:w w:val="105"/>
          <w:sz w:val="19"/>
        </w:rPr>
        <w:t>application</w:t>
      </w:r>
      <w:r>
        <w:rPr>
          <w:rFonts w:ascii="Arial" w:hAnsi="Arial"/>
          <w:spacing w:val="-19"/>
          <w:w w:val="105"/>
          <w:sz w:val="19"/>
        </w:rPr>
        <w:t xml:space="preserve"> </w:t>
      </w:r>
      <w:r>
        <w:rPr>
          <w:rFonts w:ascii="Arial" w:hAnsi="Arial"/>
          <w:w w:val="105"/>
          <w:sz w:val="19"/>
        </w:rPr>
        <w:t>for</w:t>
      </w:r>
      <w:r>
        <w:rPr>
          <w:rFonts w:ascii="Arial" w:hAnsi="Arial"/>
          <w:spacing w:val="-17"/>
          <w:w w:val="105"/>
          <w:sz w:val="19"/>
        </w:rPr>
        <w:t xml:space="preserve"> </w:t>
      </w:r>
      <w:r>
        <w:rPr>
          <w:rFonts w:ascii="Arial" w:hAnsi="Arial"/>
          <w:w w:val="105"/>
          <w:sz w:val="19"/>
        </w:rPr>
        <w:t>another</w:t>
      </w:r>
      <w:r>
        <w:rPr>
          <w:rFonts w:ascii="Arial" w:hAnsi="Arial"/>
          <w:spacing w:val="-18"/>
          <w:w w:val="105"/>
          <w:sz w:val="19"/>
        </w:rPr>
        <w:t xml:space="preserve"> </w:t>
      </w:r>
      <w:r>
        <w:rPr>
          <w:rFonts w:ascii="Arial" w:hAnsi="Arial"/>
          <w:w w:val="105"/>
          <w:sz w:val="19"/>
        </w:rPr>
        <w:t>form</w:t>
      </w:r>
      <w:r>
        <w:rPr>
          <w:rFonts w:ascii="Arial" w:hAnsi="Arial"/>
          <w:spacing w:val="-17"/>
          <w:w w:val="105"/>
          <w:sz w:val="19"/>
        </w:rPr>
        <w:t xml:space="preserve"> </w:t>
      </w:r>
      <w:r>
        <w:rPr>
          <w:rFonts w:ascii="Arial" w:hAnsi="Arial"/>
          <w:w w:val="105"/>
          <w:sz w:val="19"/>
        </w:rPr>
        <w:t>of</w:t>
      </w:r>
      <w:r>
        <w:rPr>
          <w:rFonts w:ascii="Arial" w:hAnsi="Arial"/>
          <w:spacing w:val="-19"/>
          <w:w w:val="105"/>
          <w:sz w:val="19"/>
        </w:rPr>
        <w:t xml:space="preserve"> </w:t>
      </w:r>
      <w:r>
        <w:rPr>
          <w:rFonts w:ascii="Arial" w:hAnsi="Arial"/>
          <w:w w:val="105"/>
          <w:sz w:val="19"/>
        </w:rPr>
        <w:t>listed</w:t>
      </w:r>
      <w:r>
        <w:rPr>
          <w:rFonts w:ascii="Arial" w:hAnsi="Arial"/>
          <w:spacing w:val="-19"/>
          <w:w w:val="105"/>
          <w:sz w:val="19"/>
        </w:rPr>
        <w:t xml:space="preserve"> </w:t>
      </w:r>
      <w:r>
        <w:rPr>
          <w:rFonts w:ascii="Arial" w:hAnsi="Arial"/>
          <w:w w:val="105"/>
          <w:sz w:val="19"/>
        </w:rPr>
        <w:t>medicine.</w:t>
      </w:r>
      <w:r>
        <w:rPr>
          <w:rFonts w:ascii="Arial" w:hAnsi="Arial"/>
          <w:spacing w:val="-18"/>
          <w:w w:val="105"/>
          <w:sz w:val="19"/>
        </w:rPr>
        <w:t xml:space="preserve"> </w:t>
      </w:r>
      <w:r>
        <w:rPr>
          <w:rFonts w:ascii="Arial" w:hAnsi="Arial"/>
          <w:w w:val="105"/>
          <w:sz w:val="19"/>
        </w:rPr>
        <w:t>Noting</w:t>
      </w:r>
      <w:r>
        <w:rPr>
          <w:rFonts w:ascii="Arial" w:hAnsi="Arial"/>
          <w:spacing w:val="-19"/>
          <w:w w:val="105"/>
          <w:sz w:val="19"/>
        </w:rPr>
        <w:t xml:space="preserve"> </w:t>
      </w:r>
      <w:r>
        <w:rPr>
          <w:rFonts w:ascii="Arial" w:hAnsi="Arial"/>
          <w:w w:val="105"/>
          <w:sz w:val="19"/>
        </w:rPr>
        <w:t>that</w:t>
      </w:r>
      <w:r>
        <w:rPr>
          <w:rFonts w:ascii="Arial" w:hAnsi="Arial"/>
          <w:spacing w:val="-19"/>
          <w:w w:val="105"/>
          <w:sz w:val="19"/>
        </w:rPr>
        <w:t xml:space="preserve"> </w:t>
      </w:r>
      <w:r>
        <w:rPr>
          <w:rFonts w:ascii="Arial" w:hAnsi="Arial"/>
          <w:w w:val="105"/>
          <w:sz w:val="19"/>
        </w:rPr>
        <w:t>we are projecting an additional 87 ARTG applications, this will produce 9 new listed medicines ingredient</w:t>
      </w:r>
      <w:r>
        <w:rPr>
          <w:rFonts w:ascii="Arial" w:hAnsi="Arial"/>
          <w:spacing w:val="-18"/>
          <w:w w:val="105"/>
          <w:sz w:val="19"/>
        </w:rPr>
        <w:t xml:space="preserve"> </w:t>
      </w:r>
      <w:r>
        <w:rPr>
          <w:rFonts w:ascii="Arial" w:hAnsi="Arial"/>
          <w:w w:val="105"/>
          <w:sz w:val="19"/>
        </w:rPr>
        <w:t>applications</w:t>
      </w:r>
      <w:r>
        <w:rPr>
          <w:rFonts w:ascii="Arial" w:hAnsi="Arial"/>
          <w:w w:val="105"/>
          <w:position w:val="7"/>
          <w:sz w:val="11"/>
        </w:rPr>
        <w:t>77</w:t>
      </w:r>
      <w:r>
        <w:rPr>
          <w:rFonts w:ascii="Arial" w:hAnsi="Arial"/>
          <w:spacing w:val="8"/>
          <w:w w:val="105"/>
          <w:position w:val="7"/>
          <w:sz w:val="11"/>
        </w:rPr>
        <w:t xml:space="preserve"> </w:t>
      </w:r>
      <w:r>
        <w:rPr>
          <w:rFonts w:ascii="Arial" w:hAnsi="Arial"/>
          <w:w w:val="105"/>
          <w:sz w:val="19"/>
        </w:rPr>
        <w:t>(which</w:t>
      </w:r>
      <w:r>
        <w:rPr>
          <w:rFonts w:ascii="Arial" w:hAnsi="Arial"/>
          <w:spacing w:val="-16"/>
          <w:w w:val="105"/>
          <w:sz w:val="19"/>
        </w:rPr>
        <w:t xml:space="preserve"> </w:t>
      </w:r>
      <w:r>
        <w:rPr>
          <w:rFonts w:ascii="Arial" w:hAnsi="Arial"/>
          <w:w w:val="105"/>
          <w:sz w:val="19"/>
        </w:rPr>
        <w:t>equates</w:t>
      </w:r>
      <w:r>
        <w:rPr>
          <w:rFonts w:ascii="Arial" w:hAnsi="Arial"/>
          <w:spacing w:val="-18"/>
          <w:w w:val="105"/>
          <w:sz w:val="19"/>
        </w:rPr>
        <w:t xml:space="preserve"> </w:t>
      </w:r>
      <w:r>
        <w:rPr>
          <w:rFonts w:ascii="Arial" w:hAnsi="Arial"/>
          <w:w w:val="105"/>
          <w:sz w:val="19"/>
        </w:rPr>
        <w:t>to</w:t>
      </w:r>
      <w:r>
        <w:rPr>
          <w:rFonts w:ascii="Arial" w:hAnsi="Arial"/>
          <w:spacing w:val="-17"/>
          <w:w w:val="105"/>
          <w:sz w:val="19"/>
        </w:rPr>
        <w:t xml:space="preserve"> </w:t>
      </w:r>
      <w:r>
        <w:rPr>
          <w:rFonts w:ascii="Arial" w:hAnsi="Arial"/>
          <w:w w:val="105"/>
          <w:sz w:val="19"/>
        </w:rPr>
        <w:t>a</w:t>
      </w:r>
      <w:r>
        <w:rPr>
          <w:rFonts w:ascii="Arial" w:hAnsi="Arial"/>
          <w:spacing w:val="-17"/>
          <w:w w:val="105"/>
          <w:sz w:val="19"/>
        </w:rPr>
        <w:t xml:space="preserve"> </w:t>
      </w:r>
      <w:r>
        <w:rPr>
          <w:rFonts w:ascii="Arial" w:hAnsi="Arial"/>
          <w:w w:val="105"/>
          <w:sz w:val="19"/>
        </w:rPr>
        <w:t>50%</w:t>
      </w:r>
      <w:r>
        <w:rPr>
          <w:rFonts w:ascii="Arial" w:hAnsi="Arial"/>
          <w:spacing w:val="-18"/>
          <w:w w:val="105"/>
          <w:sz w:val="19"/>
        </w:rPr>
        <w:t xml:space="preserve"> </w:t>
      </w:r>
      <w:r>
        <w:rPr>
          <w:rFonts w:ascii="Arial" w:hAnsi="Arial"/>
          <w:w w:val="105"/>
          <w:sz w:val="19"/>
        </w:rPr>
        <w:t>uplift</w:t>
      </w:r>
      <w:r>
        <w:rPr>
          <w:rFonts w:ascii="Arial" w:hAnsi="Arial"/>
          <w:spacing w:val="-16"/>
          <w:w w:val="105"/>
          <w:sz w:val="19"/>
        </w:rPr>
        <w:t xml:space="preserve"> </w:t>
      </w:r>
      <w:r>
        <w:rPr>
          <w:rFonts w:ascii="Arial" w:hAnsi="Arial"/>
          <w:w w:val="105"/>
          <w:sz w:val="19"/>
        </w:rPr>
        <w:t>on</w:t>
      </w:r>
      <w:r>
        <w:rPr>
          <w:rFonts w:ascii="Arial" w:hAnsi="Arial"/>
          <w:spacing w:val="-19"/>
          <w:w w:val="105"/>
          <w:sz w:val="19"/>
        </w:rPr>
        <w:t xml:space="preserve"> </w:t>
      </w:r>
      <w:r>
        <w:rPr>
          <w:rFonts w:ascii="Arial" w:hAnsi="Arial"/>
          <w:w w:val="105"/>
          <w:sz w:val="19"/>
        </w:rPr>
        <w:t>the</w:t>
      </w:r>
      <w:r>
        <w:rPr>
          <w:rFonts w:ascii="Arial" w:hAnsi="Arial"/>
          <w:spacing w:val="-18"/>
          <w:w w:val="105"/>
          <w:sz w:val="19"/>
        </w:rPr>
        <w:t xml:space="preserve"> </w:t>
      </w:r>
      <w:r>
        <w:rPr>
          <w:rFonts w:ascii="Arial" w:hAnsi="Arial"/>
          <w:w w:val="105"/>
          <w:sz w:val="19"/>
        </w:rPr>
        <w:t>previous</w:t>
      </w:r>
      <w:r>
        <w:rPr>
          <w:rFonts w:ascii="Arial" w:hAnsi="Arial"/>
          <w:spacing w:val="-16"/>
          <w:w w:val="105"/>
          <w:sz w:val="19"/>
        </w:rPr>
        <w:t xml:space="preserve"> </w:t>
      </w:r>
      <w:r>
        <w:rPr>
          <w:rFonts w:ascii="Arial" w:hAnsi="Arial"/>
          <w:w w:val="105"/>
          <w:sz w:val="19"/>
        </w:rPr>
        <w:t>five-year</w:t>
      </w:r>
      <w:r>
        <w:rPr>
          <w:rFonts w:ascii="Arial" w:hAnsi="Arial"/>
          <w:spacing w:val="-18"/>
          <w:w w:val="105"/>
          <w:sz w:val="19"/>
        </w:rPr>
        <w:t xml:space="preserve"> </w:t>
      </w:r>
      <w:r>
        <w:rPr>
          <w:rFonts w:ascii="Arial" w:hAnsi="Arial"/>
          <w:w w:val="105"/>
          <w:sz w:val="19"/>
        </w:rPr>
        <w:t>average).</w:t>
      </w:r>
    </w:p>
    <w:p w:rsidR="007D76BB" w:rsidRDefault="00D70D28">
      <w:pPr>
        <w:spacing w:before="76"/>
        <w:ind w:left="482"/>
        <w:rPr>
          <w:rFonts w:ascii="Arial"/>
          <w:i/>
          <w:sz w:val="20"/>
        </w:rPr>
      </w:pPr>
      <w:r>
        <w:rPr>
          <w:rFonts w:ascii="Arial"/>
          <w:i/>
          <w:sz w:val="20"/>
        </w:rPr>
        <w:t>Future population considerations</w:t>
      </w:r>
    </w:p>
    <w:p w:rsidR="007D76BB" w:rsidRDefault="00D70D28">
      <w:pPr>
        <w:spacing w:before="197" w:line="264" w:lineRule="auto"/>
        <w:ind w:left="482" w:right="900"/>
        <w:rPr>
          <w:rFonts w:ascii="Arial"/>
          <w:sz w:val="19"/>
        </w:rPr>
      </w:pPr>
      <w:r>
        <w:rPr>
          <w:rFonts w:ascii="Arial"/>
          <w:w w:val="105"/>
          <w:sz w:val="19"/>
        </w:rPr>
        <w:t>Given</w:t>
      </w:r>
      <w:r>
        <w:rPr>
          <w:rFonts w:ascii="Arial"/>
          <w:spacing w:val="-22"/>
          <w:w w:val="105"/>
          <w:sz w:val="19"/>
        </w:rPr>
        <w:t xml:space="preserve"> </w:t>
      </w:r>
      <w:r>
        <w:rPr>
          <w:rFonts w:ascii="Arial"/>
          <w:w w:val="105"/>
          <w:sz w:val="19"/>
        </w:rPr>
        <w:t>the</w:t>
      </w:r>
      <w:r>
        <w:rPr>
          <w:rFonts w:ascii="Arial"/>
          <w:spacing w:val="-24"/>
          <w:w w:val="105"/>
          <w:sz w:val="19"/>
        </w:rPr>
        <w:t xml:space="preserve"> </w:t>
      </w:r>
      <w:r>
        <w:rPr>
          <w:rFonts w:ascii="Arial"/>
          <w:w w:val="105"/>
          <w:sz w:val="19"/>
        </w:rPr>
        <w:t>degree</w:t>
      </w:r>
      <w:r>
        <w:rPr>
          <w:rFonts w:ascii="Arial"/>
          <w:spacing w:val="-21"/>
          <w:w w:val="105"/>
          <w:sz w:val="19"/>
        </w:rPr>
        <w:t xml:space="preserve"> </w:t>
      </w:r>
      <w:r>
        <w:rPr>
          <w:rFonts w:ascii="Arial"/>
          <w:w w:val="105"/>
          <w:sz w:val="19"/>
        </w:rPr>
        <w:t>of</w:t>
      </w:r>
      <w:r>
        <w:rPr>
          <w:rFonts w:ascii="Arial"/>
          <w:spacing w:val="-25"/>
          <w:w w:val="105"/>
          <w:sz w:val="19"/>
        </w:rPr>
        <w:t xml:space="preserve"> </w:t>
      </w:r>
      <w:r>
        <w:rPr>
          <w:rFonts w:ascii="Arial"/>
          <w:w w:val="105"/>
          <w:sz w:val="19"/>
        </w:rPr>
        <w:t>product</w:t>
      </w:r>
      <w:r>
        <w:rPr>
          <w:rFonts w:ascii="Arial"/>
          <w:spacing w:val="-25"/>
          <w:w w:val="105"/>
          <w:sz w:val="19"/>
        </w:rPr>
        <w:t xml:space="preserve"> </w:t>
      </w:r>
      <w:r>
        <w:rPr>
          <w:rFonts w:ascii="Arial"/>
          <w:w w:val="105"/>
          <w:sz w:val="19"/>
        </w:rPr>
        <w:t>turnover</w:t>
      </w:r>
      <w:r>
        <w:rPr>
          <w:rFonts w:ascii="Arial"/>
          <w:spacing w:val="-23"/>
          <w:w w:val="105"/>
          <w:sz w:val="19"/>
        </w:rPr>
        <w:t xml:space="preserve"> </w:t>
      </w:r>
      <w:r>
        <w:rPr>
          <w:rFonts w:ascii="Arial"/>
          <w:w w:val="105"/>
          <w:sz w:val="19"/>
        </w:rPr>
        <w:t>in</w:t>
      </w:r>
      <w:r>
        <w:rPr>
          <w:rFonts w:ascii="Arial"/>
          <w:spacing w:val="-23"/>
          <w:w w:val="105"/>
          <w:sz w:val="19"/>
        </w:rPr>
        <w:t xml:space="preserve"> </w:t>
      </w:r>
      <w:r>
        <w:rPr>
          <w:rFonts w:ascii="Arial"/>
          <w:w w:val="105"/>
          <w:sz w:val="19"/>
        </w:rPr>
        <w:t>the</w:t>
      </w:r>
      <w:r>
        <w:rPr>
          <w:rFonts w:ascii="Arial"/>
          <w:spacing w:val="-22"/>
          <w:w w:val="105"/>
          <w:sz w:val="19"/>
        </w:rPr>
        <w:t xml:space="preserve"> </w:t>
      </w:r>
      <w:r>
        <w:rPr>
          <w:rFonts w:ascii="Arial"/>
          <w:w w:val="105"/>
          <w:sz w:val="19"/>
        </w:rPr>
        <w:t>sports</w:t>
      </w:r>
      <w:r>
        <w:rPr>
          <w:rFonts w:ascii="Arial"/>
          <w:spacing w:val="-23"/>
          <w:w w:val="105"/>
          <w:sz w:val="19"/>
        </w:rPr>
        <w:t xml:space="preserve"> </w:t>
      </w:r>
      <w:r>
        <w:rPr>
          <w:rFonts w:ascii="Arial"/>
          <w:w w:val="105"/>
          <w:sz w:val="19"/>
        </w:rPr>
        <w:t>supplement</w:t>
      </w:r>
      <w:r>
        <w:rPr>
          <w:rFonts w:ascii="Arial"/>
          <w:spacing w:val="-23"/>
          <w:w w:val="105"/>
          <w:sz w:val="19"/>
        </w:rPr>
        <w:t xml:space="preserve"> </w:t>
      </w:r>
      <w:r>
        <w:rPr>
          <w:rFonts w:ascii="Arial"/>
          <w:w w:val="105"/>
          <w:sz w:val="19"/>
        </w:rPr>
        <w:t>sector,</w:t>
      </w:r>
      <w:r>
        <w:rPr>
          <w:rFonts w:ascii="Arial"/>
          <w:spacing w:val="-23"/>
          <w:w w:val="105"/>
          <w:sz w:val="19"/>
        </w:rPr>
        <w:t xml:space="preserve"> </w:t>
      </w:r>
      <w:r>
        <w:rPr>
          <w:rFonts w:ascii="Arial"/>
          <w:w w:val="105"/>
          <w:sz w:val="19"/>
        </w:rPr>
        <w:t>as</w:t>
      </w:r>
      <w:r>
        <w:rPr>
          <w:rFonts w:ascii="Arial"/>
          <w:spacing w:val="-23"/>
          <w:w w:val="105"/>
          <w:sz w:val="19"/>
        </w:rPr>
        <w:t xml:space="preserve"> </w:t>
      </w:r>
      <w:r>
        <w:rPr>
          <w:rFonts w:ascii="Arial"/>
          <w:w w:val="105"/>
          <w:sz w:val="19"/>
        </w:rPr>
        <w:t>previously</w:t>
      </w:r>
      <w:r>
        <w:rPr>
          <w:rFonts w:ascii="Arial"/>
          <w:spacing w:val="-22"/>
          <w:w w:val="105"/>
          <w:sz w:val="19"/>
        </w:rPr>
        <w:t xml:space="preserve"> </w:t>
      </w:r>
      <w:r>
        <w:rPr>
          <w:rFonts w:ascii="Arial"/>
          <w:w w:val="105"/>
          <w:sz w:val="19"/>
        </w:rPr>
        <w:t>stated,</w:t>
      </w:r>
      <w:r>
        <w:rPr>
          <w:rFonts w:ascii="Arial"/>
          <w:spacing w:val="-24"/>
          <w:w w:val="105"/>
          <w:sz w:val="19"/>
        </w:rPr>
        <w:t xml:space="preserve"> </w:t>
      </w:r>
      <w:r>
        <w:rPr>
          <w:rFonts w:ascii="Arial"/>
          <w:w w:val="105"/>
          <w:sz w:val="19"/>
        </w:rPr>
        <w:t>there</w:t>
      </w:r>
      <w:r>
        <w:rPr>
          <w:rFonts w:ascii="Arial"/>
          <w:spacing w:val="-22"/>
          <w:w w:val="105"/>
          <w:sz w:val="19"/>
        </w:rPr>
        <w:t xml:space="preserve"> </w:t>
      </w:r>
      <w:r>
        <w:rPr>
          <w:rFonts w:ascii="Arial"/>
          <w:w w:val="105"/>
          <w:sz w:val="19"/>
        </w:rPr>
        <w:t>is assessed</w:t>
      </w:r>
      <w:r>
        <w:rPr>
          <w:rFonts w:ascii="Arial"/>
          <w:spacing w:val="-25"/>
          <w:w w:val="105"/>
          <w:sz w:val="19"/>
        </w:rPr>
        <w:t xml:space="preserve"> </w:t>
      </w:r>
      <w:r>
        <w:rPr>
          <w:rFonts w:ascii="Arial"/>
          <w:w w:val="105"/>
          <w:sz w:val="19"/>
        </w:rPr>
        <w:t>to</w:t>
      </w:r>
      <w:r>
        <w:rPr>
          <w:rFonts w:ascii="Arial"/>
          <w:spacing w:val="-24"/>
          <w:w w:val="105"/>
          <w:sz w:val="19"/>
        </w:rPr>
        <w:t xml:space="preserve"> </w:t>
      </w:r>
      <w:r>
        <w:rPr>
          <w:rFonts w:ascii="Arial"/>
          <w:w w:val="105"/>
          <w:sz w:val="19"/>
        </w:rPr>
        <w:t>be</w:t>
      </w:r>
      <w:r>
        <w:rPr>
          <w:rFonts w:ascii="Arial"/>
          <w:spacing w:val="-24"/>
          <w:w w:val="105"/>
          <w:sz w:val="19"/>
        </w:rPr>
        <w:t xml:space="preserve"> </w:t>
      </w:r>
      <w:r>
        <w:rPr>
          <w:rFonts w:ascii="Arial"/>
          <w:w w:val="105"/>
          <w:sz w:val="19"/>
        </w:rPr>
        <w:t>a</w:t>
      </w:r>
      <w:r>
        <w:rPr>
          <w:rFonts w:ascii="Arial"/>
          <w:spacing w:val="-24"/>
          <w:w w:val="105"/>
          <w:sz w:val="19"/>
        </w:rPr>
        <w:t xml:space="preserve"> </w:t>
      </w:r>
      <w:r>
        <w:rPr>
          <w:rFonts w:ascii="Arial"/>
          <w:w w:val="105"/>
          <w:sz w:val="19"/>
        </w:rPr>
        <w:t>10%</w:t>
      </w:r>
      <w:r>
        <w:rPr>
          <w:rFonts w:ascii="Arial"/>
          <w:spacing w:val="-25"/>
          <w:w w:val="105"/>
          <w:sz w:val="19"/>
        </w:rPr>
        <w:t xml:space="preserve"> </w:t>
      </w:r>
      <w:r>
        <w:rPr>
          <w:rFonts w:ascii="Arial"/>
          <w:w w:val="105"/>
          <w:sz w:val="19"/>
        </w:rPr>
        <w:t>year-on-year</w:t>
      </w:r>
      <w:r>
        <w:rPr>
          <w:rFonts w:ascii="Arial"/>
          <w:spacing w:val="-25"/>
          <w:w w:val="105"/>
          <w:sz w:val="19"/>
        </w:rPr>
        <w:t xml:space="preserve"> </w:t>
      </w:r>
      <w:r>
        <w:rPr>
          <w:rFonts w:ascii="Arial"/>
          <w:w w:val="105"/>
          <w:sz w:val="19"/>
        </w:rPr>
        <w:t>growth</w:t>
      </w:r>
      <w:r>
        <w:rPr>
          <w:rFonts w:ascii="Arial"/>
          <w:spacing w:val="-23"/>
          <w:w w:val="105"/>
          <w:sz w:val="19"/>
        </w:rPr>
        <w:t xml:space="preserve"> </w:t>
      </w:r>
      <w:r>
        <w:rPr>
          <w:rFonts w:ascii="Arial"/>
          <w:w w:val="105"/>
          <w:sz w:val="19"/>
        </w:rPr>
        <w:t>in</w:t>
      </w:r>
      <w:r>
        <w:rPr>
          <w:rFonts w:ascii="Arial"/>
          <w:spacing w:val="-23"/>
          <w:w w:val="105"/>
          <w:sz w:val="19"/>
        </w:rPr>
        <w:t xml:space="preserve"> </w:t>
      </w:r>
      <w:r>
        <w:rPr>
          <w:rFonts w:ascii="Arial"/>
          <w:w w:val="105"/>
          <w:sz w:val="19"/>
        </w:rPr>
        <w:t>the</w:t>
      </w:r>
      <w:r>
        <w:rPr>
          <w:rFonts w:ascii="Arial"/>
          <w:spacing w:val="-24"/>
          <w:w w:val="105"/>
          <w:sz w:val="19"/>
        </w:rPr>
        <w:t xml:space="preserve"> </w:t>
      </w:r>
      <w:r>
        <w:rPr>
          <w:rFonts w:ascii="Arial"/>
          <w:w w:val="105"/>
          <w:sz w:val="19"/>
        </w:rPr>
        <w:t>number</w:t>
      </w:r>
      <w:r>
        <w:rPr>
          <w:rFonts w:ascii="Arial"/>
          <w:spacing w:val="-25"/>
          <w:w w:val="105"/>
          <w:sz w:val="19"/>
        </w:rPr>
        <w:t xml:space="preserve"> </w:t>
      </w:r>
      <w:r>
        <w:rPr>
          <w:rFonts w:ascii="Arial"/>
          <w:w w:val="105"/>
          <w:sz w:val="19"/>
        </w:rPr>
        <w:t>of</w:t>
      </w:r>
      <w:r>
        <w:rPr>
          <w:rFonts w:ascii="Arial"/>
          <w:spacing w:val="-24"/>
          <w:w w:val="105"/>
          <w:sz w:val="19"/>
        </w:rPr>
        <w:t xml:space="preserve"> </w:t>
      </w:r>
      <w:r>
        <w:rPr>
          <w:rFonts w:ascii="Arial"/>
          <w:w w:val="105"/>
          <w:sz w:val="19"/>
        </w:rPr>
        <w:t>additional</w:t>
      </w:r>
      <w:r>
        <w:rPr>
          <w:rFonts w:ascii="Arial"/>
          <w:spacing w:val="-23"/>
          <w:w w:val="105"/>
          <w:sz w:val="19"/>
        </w:rPr>
        <w:t xml:space="preserve"> </w:t>
      </w:r>
      <w:r>
        <w:rPr>
          <w:rFonts w:ascii="Arial"/>
          <w:w w:val="105"/>
          <w:sz w:val="19"/>
        </w:rPr>
        <w:t>products</w:t>
      </w:r>
      <w:r>
        <w:rPr>
          <w:rFonts w:ascii="Arial"/>
          <w:spacing w:val="-25"/>
          <w:w w:val="105"/>
          <w:sz w:val="19"/>
        </w:rPr>
        <w:t xml:space="preserve"> </w:t>
      </w:r>
      <w:r>
        <w:rPr>
          <w:rFonts w:ascii="Arial"/>
          <w:w w:val="105"/>
          <w:sz w:val="19"/>
        </w:rPr>
        <w:t>listed</w:t>
      </w:r>
      <w:r>
        <w:rPr>
          <w:rFonts w:ascii="Arial"/>
          <w:spacing w:val="-26"/>
          <w:w w:val="105"/>
          <w:sz w:val="19"/>
        </w:rPr>
        <w:t xml:space="preserve"> </w:t>
      </w:r>
      <w:r>
        <w:rPr>
          <w:rFonts w:ascii="Arial"/>
          <w:w w:val="105"/>
          <w:sz w:val="19"/>
        </w:rPr>
        <w:t>in</w:t>
      </w:r>
      <w:r>
        <w:rPr>
          <w:rFonts w:ascii="Arial"/>
          <w:spacing w:val="-23"/>
          <w:w w:val="105"/>
          <w:sz w:val="19"/>
        </w:rPr>
        <w:t xml:space="preserve"> </w:t>
      </w:r>
      <w:r>
        <w:rPr>
          <w:rFonts w:ascii="Arial"/>
          <w:w w:val="105"/>
          <w:sz w:val="19"/>
        </w:rPr>
        <w:t>the</w:t>
      </w:r>
      <w:r>
        <w:rPr>
          <w:rFonts w:ascii="Arial"/>
          <w:spacing w:val="-24"/>
          <w:w w:val="105"/>
          <w:sz w:val="19"/>
        </w:rPr>
        <w:t xml:space="preserve"> </w:t>
      </w:r>
      <w:r>
        <w:rPr>
          <w:rFonts w:ascii="Arial"/>
          <w:w w:val="105"/>
          <w:sz w:val="19"/>
        </w:rPr>
        <w:t>ARTG arising</w:t>
      </w:r>
      <w:r>
        <w:rPr>
          <w:rFonts w:ascii="Arial"/>
          <w:spacing w:val="-15"/>
          <w:w w:val="105"/>
          <w:sz w:val="19"/>
        </w:rPr>
        <w:t xml:space="preserve"> </w:t>
      </w:r>
      <w:r>
        <w:rPr>
          <w:rFonts w:ascii="Arial"/>
          <w:w w:val="105"/>
          <w:sz w:val="19"/>
        </w:rPr>
        <w:t>from</w:t>
      </w:r>
      <w:r>
        <w:rPr>
          <w:rFonts w:ascii="Arial"/>
          <w:spacing w:val="-17"/>
          <w:w w:val="105"/>
          <w:sz w:val="19"/>
        </w:rPr>
        <w:t xml:space="preserve"> </w:t>
      </w:r>
      <w:r>
        <w:rPr>
          <w:rFonts w:ascii="Arial"/>
          <w:w w:val="105"/>
          <w:sz w:val="19"/>
        </w:rPr>
        <w:t>the</w:t>
      </w:r>
      <w:r>
        <w:rPr>
          <w:rFonts w:ascii="Arial"/>
          <w:spacing w:val="-16"/>
          <w:w w:val="105"/>
          <w:sz w:val="19"/>
        </w:rPr>
        <w:t xml:space="preserve"> </w:t>
      </w:r>
      <w:r>
        <w:rPr>
          <w:rFonts w:ascii="Arial"/>
          <w:w w:val="105"/>
          <w:sz w:val="19"/>
        </w:rPr>
        <w:t>proposed</w:t>
      </w:r>
      <w:r>
        <w:rPr>
          <w:rFonts w:ascii="Arial"/>
          <w:spacing w:val="-16"/>
          <w:w w:val="105"/>
          <w:sz w:val="19"/>
        </w:rPr>
        <w:t xml:space="preserve"> </w:t>
      </w:r>
      <w:r>
        <w:rPr>
          <w:rFonts w:ascii="Arial"/>
          <w:w w:val="105"/>
          <w:sz w:val="19"/>
        </w:rPr>
        <w:t>regulatory</w:t>
      </w:r>
      <w:r>
        <w:rPr>
          <w:rFonts w:ascii="Arial"/>
          <w:spacing w:val="-16"/>
          <w:w w:val="105"/>
          <w:sz w:val="19"/>
        </w:rPr>
        <w:t xml:space="preserve"> </w:t>
      </w:r>
      <w:r>
        <w:rPr>
          <w:rFonts w:ascii="Arial"/>
          <w:w w:val="105"/>
          <w:sz w:val="19"/>
        </w:rPr>
        <w:t>clarification</w:t>
      </w:r>
      <w:r>
        <w:rPr>
          <w:rFonts w:ascii="Arial"/>
          <w:spacing w:val="-15"/>
          <w:w w:val="105"/>
          <w:sz w:val="19"/>
        </w:rPr>
        <w:t xml:space="preserve"> </w:t>
      </w:r>
      <w:r>
        <w:rPr>
          <w:rFonts w:ascii="Arial"/>
          <w:w w:val="105"/>
          <w:sz w:val="19"/>
        </w:rPr>
        <w:t>(therefore</w:t>
      </w:r>
      <w:r>
        <w:rPr>
          <w:rFonts w:ascii="Arial"/>
          <w:spacing w:val="-14"/>
          <w:w w:val="105"/>
          <w:sz w:val="19"/>
        </w:rPr>
        <w:t xml:space="preserve"> </w:t>
      </w:r>
      <w:r>
        <w:rPr>
          <w:rFonts w:ascii="Arial"/>
          <w:w w:val="105"/>
          <w:sz w:val="19"/>
        </w:rPr>
        <w:t>85</w:t>
      </w:r>
      <w:r>
        <w:rPr>
          <w:rFonts w:ascii="Arial"/>
          <w:spacing w:val="-15"/>
          <w:w w:val="105"/>
          <w:sz w:val="19"/>
        </w:rPr>
        <w:t xml:space="preserve"> </w:t>
      </w:r>
      <w:r>
        <w:rPr>
          <w:rFonts w:ascii="Arial"/>
          <w:w w:val="105"/>
          <w:sz w:val="19"/>
        </w:rPr>
        <w:t>additional</w:t>
      </w:r>
      <w:r>
        <w:rPr>
          <w:rFonts w:ascii="Arial"/>
          <w:spacing w:val="-16"/>
          <w:w w:val="105"/>
          <w:sz w:val="19"/>
        </w:rPr>
        <w:t xml:space="preserve"> </w:t>
      </w:r>
      <w:r>
        <w:rPr>
          <w:rFonts w:ascii="Arial"/>
          <w:w w:val="105"/>
          <w:sz w:val="19"/>
        </w:rPr>
        <w:t>listings</w:t>
      </w:r>
      <w:r>
        <w:rPr>
          <w:rFonts w:ascii="Arial"/>
          <w:spacing w:val="-15"/>
          <w:w w:val="105"/>
          <w:sz w:val="19"/>
        </w:rPr>
        <w:t xml:space="preserve"> </w:t>
      </w:r>
      <w:r>
        <w:rPr>
          <w:rFonts w:ascii="Arial"/>
          <w:w w:val="105"/>
          <w:sz w:val="19"/>
        </w:rPr>
        <w:t>over</w:t>
      </w:r>
      <w:r>
        <w:rPr>
          <w:rFonts w:ascii="Arial"/>
          <w:spacing w:val="-14"/>
          <w:w w:val="105"/>
          <w:sz w:val="19"/>
        </w:rPr>
        <w:t xml:space="preserve"> </w:t>
      </w:r>
      <w:r>
        <w:rPr>
          <w:rFonts w:ascii="Arial"/>
          <w:w w:val="105"/>
          <w:sz w:val="19"/>
        </w:rPr>
        <w:t>the</w:t>
      </w:r>
      <w:r>
        <w:rPr>
          <w:rFonts w:ascii="Arial"/>
          <w:spacing w:val="-16"/>
          <w:w w:val="105"/>
          <w:sz w:val="19"/>
        </w:rPr>
        <w:t xml:space="preserve"> </w:t>
      </w:r>
      <w:r>
        <w:rPr>
          <w:rFonts w:ascii="Arial"/>
          <w:w w:val="105"/>
          <w:sz w:val="19"/>
        </w:rPr>
        <w:t xml:space="preserve">period </w:t>
      </w:r>
      <w:r>
        <w:rPr>
          <w:rFonts w:ascii="Arial"/>
          <w:spacing w:val="-1"/>
          <w:w w:val="109"/>
          <w:sz w:val="19"/>
        </w:rPr>
        <w:t>2</w:t>
      </w:r>
      <w:r>
        <w:rPr>
          <w:rFonts w:ascii="Arial"/>
          <w:spacing w:val="1"/>
          <w:w w:val="114"/>
          <w:sz w:val="19"/>
        </w:rPr>
        <w:t>0</w:t>
      </w:r>
      <w:r>
        <w:rPr>
          <w:rFonts w:ascii="Arial"/>
          <w:spacing w:val="-1"/>
          <w:w w:val="109"/>
          <w:sz w:val="19"/>
        </w:rPr>
        <w:t>2</w:t>
      </w:r>
      <w:r>
        <w:rPr>
          <w:rFonts w:ascii="Arial"/>
          <w:spacing w:val="1"/>
          <w:w w:val="108"/>
          <w:sz w:val="19"/>
        </w:rPr>
        <w:t>3</w:t>
      </w:r>
      <w:r>
        <w:rPr>
          <w:rFonts w:ascii="Arial"/>
          <w:w w:val="131"/>
          <w:sz w:val="19"/>
        </w:rPr>
        <w:t>/</w:t>
      </w:r>
      <w:r>
        <w:rPr>
          <w:rFonts w:ascii="Arial"/>
          <w:spacing w:val="-1"/>
          <w:w w:val="131"/>
          <w:sz w:val="19"/>
        </w:rPr>
        <w:t>2</w:t>
      </w:r>
      <w:r>
        <w:rPr>
          <w:rFonts w:ascii="Arial"/>
          <w:w w:val="111"/>
          <w:sz w:val="19"/>
        </w:rPr>
        <w:t>4</w:t>
      </w:r>
      <w:r>
        <w:rPr>
          <w:rFonts w:ascii="Arial"/>
          <w:spacing w:val="-8"/>
          <w:sz w:val="19"/>
        </w:rPr>
        <w:t xml:space="preserve"> </w:t>
      </w:r>
      <w:r>
        <w:rPr>
          <w:rFonts w:ascii="Arial"/>
          <w:w w:val="134"/>
          <w:sz w:val="19"/>
        </w:rPr>
        <w:t>t</w:t>
      </w:r>
      <w:r>
        <w:rPr>
          <w:rFonts w:ascii="Arial"/>
          <w:sz w:val="19"/>
        </w:rPr>
        <w:t>o</w:t>
      </w:r>
      <w:r>
        <w:rPr>
          <w:rFonts w:ascii="Arial"/>
          <w:spacing w:val="-8"/>
          <w:sz w:val="19"/>
        </w:rPr>
        <w:t xml:space="preserve"> </w:t>
      </w:r>
      <w:r>
        <w:rPr>
          <w:rFonts w:ascii="Arial"/>
          <w:spacing w:val="-1"/>
          <w:w w:val="109"/>
          <w:sz w:val="19"/>
        </w:rPr>
        <w:t>2</w:t>
      </w:r>
      <w:r>
        <w:rPr>
          <w:rFonts w:ascii="Arial"/>
          <w:spacing w:val="1"/>
          <w:w w:val="114"/>
          <w:sz w:val="19"/>
        </w:rPr>
        <w:t>0</w:t>
      </w:r>
      <w:r>
        <w:rPr>
          <w:rFonts w:ascii="Arial"/>
          <w:w w:val="108"/>
          <w:sz w:val="19"/>
        </w:rPr>
        <w:t>3</w:t>
      </w:r>
      <w:r>
        <w:rPr>
          <w:rFonts w:ascii="Arial"/>
          <w:spacing w:val="1"/>
          <w:w w:val="114"/>
          <w:sz w:val="19"/>
        </w:rPr>
        <w:t>0</w:t>
      </w:r>
      <w:r>
        <w:rPr>
          <w:rFonts w:ascii="Arial"/>
          <w:spacing w:val="-2"/>
          <w:w w:val="175"/>
          <w:sz w:val="19"/>
        </w:rPr>
        <w:t>/</w:t>
      </w:r>
      <w:r>
        <w:rPr>
          <w:rFonts w:ascii="Arial"/>
          <w:w w:val="108"/>
          <w:sz w:val="19"/>
        </w:rPr>
        <w:t>3</w:t>
      </w:r>
      <w:r>
        <w:rPr>
          <w:rFonts w:ascii="Arial"/>
          <w:spacing w:val="1"/>
          <w:w w:val="66"/>
          <w:sz w:val="19"/>
        </w:rPr>
        <w:t>1</w:t>
      </w:r>
      <w:r>
        <w:rPr>
          <w:rFonts w:ascii="Arial"/>
          <w:w w:val="92"/>
          <w:sz w:val="19"/>
        </w:rPr>
        <w:t>).</w:t>
      </w:r>
      <w:r>
        <w:rPr>
          <w:rFonts w:ascii="Arial"/>
          <w:spacing w:val="-10"/>
          <w:sz w:val="19"/>
        </w:rPr>
        <w:t xml:space="preserve"> </w:t>
      </w:r>
      <w:r>
        <w:rPr>
          <w:rFonts w:ascii="Arial"/>
          <w:w w:val="101"/>
          <w:sz w:val="19"/>
        </w:rPr>
        <w:t>A</w:t>
      </w:r>
      <w:r>
        <w:rPr>
          <w:rFonts w:ascii="Arial"/>
          <w:w w:val="96"/>
          <w:sz w:val="19"/>
        </w:rPr>
        <w:t>ss</w:t>
      </w:r>
      <w:r>
        <w:rPr>
          <w:rFonts w:ascii="Arial"/>
          <w:spacing w:val="-2"/>
          <w:w w:val="96"/>
          <w:sz w:val="19"/>
        </w:rPr>
        <w:t>u</w:t>
      </w:r>
      <w:r>
        <w:rPr>
          <w:rFonts w:ascii="Arial"/>
          <w:w w:val="102"/>
          <w:sz w:val="19"/>
        </w:rPr>
        <w:t>mi</w:t>
      </w:r>
      <w:r>
        <w:rPr>
          <w:rFonts w:ascii="Arial"/>
          <w:spacing w:val="1"/>
          <w:w w:val="102"/>
          <w:sz w:val="19"/>
        </w:rPr>
        <w:t>n</w:t>
      </w:r>
      <w:r>
        <w:rPr>
          <w:rFonts w:ascii="Arial"/>
          <w:w w:val="101"/>
          <w:sz w:val="19"/>
        </w:rPr>
        <w:t>g</w:t>
      </w:r>
      <w:r>
        <w:rPr>
          <w:rFonts w:ascii="Arial"/>
          <w:spacing w:val="-9"/>
          <w:sz w:val="19"/>
        </w:rPr>
        <w:t xml:space="preserve"> </w:t>
      </w:r>
      <w:r>
        <w:rPr>
          <w:rFonts w:ascii="Arial"/>
          <w:w w:val="134"/>
          <w:sz w:val="19"/>
        </w:rPr>
        <w:t>t</w:t>
      </w:r>
      <w:r>
        <w:rPr>
          <w:rFonts w:ascii="Arial"/>
          <w:spacing w:val="1"/>
          <w:w w:val="101"/>
          <w:sz w:val="19"/>
        </w:rPr>
        <w:t>h</w:t>
      </w:r>
      <w:r>
        <w:rPr>
          <w:rFonts w:ascii="Arial"/>
          <w:w w:val="96"/>
          <w:sz w:val="19"/>
        </w:rPr>
        <w:t>e</w:t>
      </w:r>
      <w:r>
        <w:rPr>
          <w:rFonts w:ascii="Arial"/>
          <w:spacing w:val="-9"/>
          <w:sz w:val="19"/>
        </w:rPr>
        <w:t xml:space="preserve"> </w:t>
      </w:r>
      <w:r>
        <w:rPr>
          <w:rFonts w:ascii="Arial"/>
          <w:w w:val="116"/>
          <w:sz w:val="19"/>
        </w:rPr>
        <w:t>r</w:t>
      </w:r>
      <w:r>
        <w:rPr>
          <w:rFonts w:ascii="Arial"/>
          <w:spacing w:val="-2"/>
          <w:w w:val="96"/>
          <w:sz w:val="19"/>
        </w:rPr>
        <w:t>e</w:t>
      </w:r>
      <w:r>
        <w:rPr>
          <w:rFonts w:ascii="Arial"/>
          <w:w w:val="117"/>
          <w:sz w:val="19"/>
        </w:rPr>
        <w:t>l</w:t>
      </w:r>
      <w:r>
        <w:rPr>
          <w:rFonts w:ascii="Arial"/>
          <w:w w:val="94"/>
          <w:sz w:val="19"/>
        </w:rPr>
        <w:t>a</w:t>
      </w:r>
      <w:r>
        <w:rPr>
          <w:rFonts w:ascii="Arial"/>
          <w:w w:val="134"/>
          <w:sz w:val="19"/>
        </w:rPr>
        <w:t>t</w:t>
      </w:r>
      <w:r>
        <w:rPr>
          <w:rFonts w:ascii="Arial"/>
          <w:w w:val="104"/>
          <w:sz w:val="19"/>
        </w:rPr>
        <w:t>i</w:t>
      </w:r>
      <w:r>
        <w:rPr>
          <w:rFonts w:ascii="Arial"/>
          <w:spacing w:val="-3"/>
          <w:w w:val="104"/>
          <w:sz w:val="19"/>
        </w:rPr>
        <w:t>o</w:t>
      </w:r>
      <w:r>
        <w:rPr>
          <w:rFonts w:ascii="Arial"/>
          <w:spacing w:val="1"/>
          <w:w w:val="101"/>
          <w:sz w:val="19"/>
        </w:rPr>
        <w:t>n</w:t>
      </w:r>
      <w:r>
        <w:rPr>
          <w:rFonts w:ascii="Arial"/>
          <w:w w:val="97"/>
          <w:sz w:val="19"/>
        </w:rPr>
        <w:t>sh</w:t>
      </w:r>
      <w:r>
        <w:rPr>
          <w:rFonts w:ascii="Arial"/>
          <w:w w:val="104"/>
          <w:sz w:val="19"/>
        </w:rPr>
        <w:t>ip</w:t>
      </w:r>
      <w:r>
        <w:rPr>
          <w:rFonts w:ascii="Arial"/>
          <w:spacing w:val="-7"/>
          <w:sz w:val="19"/>
        </w:rPr>
        <w:t xml:space="preserve"> </w:t>
      </w:r>
      <w:r>
        <w:rPr>
          <w:rFonts w:ascii="Arial"/>
          <w:spacing w:val="-1"/>
          <w:sz w:val="19"/>
        </w:rPr>
        <w:t>b</w:t>
      </w:r>
      <w:r>
        <w:rPr>
          <w:rFonts w:ascii="Arial"/>
          <w:spacing w:val="-2"/>
          <w:w w:val="96"/>
          <w:sz w:val="19"/>
        </w:rPr>
        <w:t>e</w:t>
      </w:r>
      <w:r>
        <w:rPr>
          <w:rFonts w:ascii="Arial"/>
          <w:spacing w:val="4"/>
          <w:w w:val="134"/>
          <w:sz w:val="19"/>
        </w:rPr>
        <w:t>t</w:t>
      </w:r>
      <w:r>
        <w:rPr>
          <w:rFonts w:ascii="Arial"/>
          <w:spacing w:val="-2"/>
          <w:w w:val="98"/>
          <w:sz w:val="19"/>
        </w:rPr>
        <w:t>w</w:t>
      </w:r>
      <w:r>
        <w:rPr>
          <w:rFonts w:ascii="Arial"/>
          <w:spacing w:val="-2"/>
          <w:w w:val="96"/>
          <w:sz w:val="19"/>
        </w:rPr>
        <w:t>e</w:t>
      </w:r>
      <w:r>
        <w:rPr>
          <w:rFonts w:ascii="Arial"/>
          <w:w w:val="96"/>
          <w:sz w:val="19"/>
        </w:rPr>
        <w:t>e</w:t>
      </w:r>
      <w:r>
        <w:rPr>
          <w:rFonts w:ascii="Arial"/>
          <w:w w:val="101"/>
          <w:sz w:val="19"/>
        </w:rPr>
        <w:t>n</w:t>
      </w:r>
      <w:r>
        <w:rPr>
          <w:rFonts w:ascii="Arial"/>
          <w:spacing w:val="-9"/>
          <w:sz w:val="19"/>
        </w:rPr>
        <w:t xml:space="preserve"> </w:t>
      </w:r>
      <w:r>
        <w:rPr>
          <w:rFonts w:ascii="Arial"/>
          <w:spacing w:val="1"/>
          <w:w w:val="101"/>
          <w:sz w:val="19"/>
        </w:rPr>
        <w:t>n</w:t>
      </w:r>
      <w:r>
        <w:rPr>
          <w:rFonts w:ascii="Arial"/>
          <w:w w:val="96"/>
          <w:sz w:val="19"/>
        </w:rPr>
        <w:t>e</w:t>
      </w:r>
      <w:r>
        <w:rPr>
          <w:rFonts w:ascii="Arial"/>
          <w:w w:val="98"/>
          <w:sz w:val="19"/>
        </w:rPr>
        <w:t>w</w:t>
      </w:r>
      <w:r>
        <w:rPr>
          <w:rFonts w:ascii="Arial"/>
          <w:spacing w:val="-9"/>
          <w:sz w:val="19"/>
        </w:rPr>
        <w:t xml:space="preserve"> </w:t>
      </w:r>
      <w:r>
        <w:rPr>
          <w:rFonts w:ascii="Arial"/>
          <w:w w:val="101"/>
          <w:sz w:val="19"/>
        </w:rPr>
        <w:t>p</w:t>
      </w:r>
      <w:r>
        <w:rPr>
          <w:rFonts w:ascii="Arial"/>
          <w:w w:val="116"/>
          <w:sz w:val="19"/>
        </w:rPr>
        <w:t>r</w:t>
      </w:r>
      <w:r>
        <w:rPr>
          <w:rFonts w:ascii="Arial"/>
          <w:sz w:val="19"/>
        </w:rPr>
        <w:t>o</w:t>
      </w:r>
      <w:r>
        <w:rPr>
          <w:rFonts w:ascii="Arial"/>
          <w:spacing w:val="-2"/>
          <w:sz w:val="19"/>
        </w:rPr>
        <w:t>d</w:t>
      </w:r>
      <w:r>
        <w:rPr>
          <w:rFonts w:ascii="Arial"/>
          <w:spacing w:val="-2"/>
          <w:w w:val="101"/>
          <w:sz w:val="19"/>
        </w:rPr>
        <w:t>u</w:t>
      </w:r>
      <w:r>
        <w:rPr>
          <w:rFonts w:ascii="Arial"/>
          <w:w w:val="99"/>
          <w:sz w:val="19"/>
        </w:rPr>
        <w:t>c</w:t>
      </w:r>
      <w:r>
        <w:rPr>
          <w:rFonts w:ascii="Arial"/>
          <w:w w:val="134"/>
          <w:sz w:val="19"/>
        </w:rPr>
        <w:t>t</w:t>
      </w:r>
      <w:r>
        <w:rPr>
          <w:rFonts w:ascii="Arial"/>
          <w:w w:val="93"/>
          <w:sz w:val="19"/>
        </w:rPr>
        <w:t>s</w:t>
      </w:r>
      <w:r>
        <w:rPr>
          <w:rFonts w:ascii="Arial"/>
          <w:spacing w:val="-8"/>
          <w:sz w:val="19"/>
        </w:rPr>
        <w:t xml:space="preserve"> </w:t>
      </w:r>
      <w:r>
        <w:rPr>
          <w:rFonts w:ascii="Arial"/>
          <w:w w:val="117"/>
          <w:sz w:val="19"/>
        </w:rPr>
        <w:t>l</w:t>
      </w:r>
      <w:r>
        <w:rPr>
          <w:rFonts w:ascii="Arial"/>
          <w:w w:val="99"/>
          <w:sz w:val="19"/>
        </w:rPr>
        <w:t>i</w:t>
      </w:r>
      <w:r>
        <w:rPr>
          <w:rFonts w:ascii="Arial"/>
          <w:spacing w:val="-3"/>
          <w:w w:val="99"/>
          <w:sz w:val="19"/>
        </w:rPr>
        <w:t>s</w:t>
      </w:r>
      <w:r>
        <w:rPr>
          <w:rFonts w:ascii="Arial"/>
          <w:w w:val="134"/>
          <w:sz w:val="19"/>
        </w:rPr>
        <w:t>t</w:t>
      </w:r>
      <w:r>
        <w:rPr>
          <w:rFonts w:ascii="Arial"/>
          <w:w w:val="96"/>
          <w:sz w:val="19"/>
        </w:rPr>
        <w:t>e</w:t>
      </w:r>
      <w:r>
        <w:rPr>
          <w:rFonts w:ascii="Arial"/>
          <w:sz w:val="19"/>
        </w:rPr>
        <w:t>d</w:t>
      </w:r>
      <w:r>
        <w:rPr>
          <w:rFonts w:ascii="Arial"/>
          <w:spacing w:val="-9"/>
          <w:sz w:val="19"/>
        </w:rPr>
        <w:t xml:space="preserve"> </w:t>
      </w:r>
      <w:r>
        <w:rPr>
          <w:rFonts w:ascii="Arial"/>
          <w:spacing w:val="-2"/>
          <w:w w:val="94"/>
          <w:sz w:val="19"/>
        </w:rPr>
        <w:t>a</w:t>
      </w:r>
      <w:r>
        <w:rPr>
          <w:rFonts w:ascii="Arial"/>
          <w:spacing w:val="1"/>
          <w:w w:val="101"/>
          <w:sz w:val="19"/>
        </w:rPr>
        <w:t>n</w:t>
      </w:r>
      <w:r>
        <w:rPr>
          <w:rFonts w:ascii="Arial"/>
          <w:sz w:val="19"/>
        </w:rPr>
        <w:t>d</w:t>
      </w:r>
      <w:r>
        <w:rPr>
          <w:rFonts w:ascii="Arial"/>
          <w:spacing w:val="-9"/>
          <w:sz w:val="19"/>
        </w:rPr>
        <w:t xml:space="preserve"> </w:t>
      </w:r>
      <w:r>
        <w:rPr>
          <w:rFonts w:ascii="Arial"/>
          <w:spacing w:val="-2"/>
          <w:w w:val="101"/>
          <w:sz w:val="19"/>
        </w:rPr>
        <w:t>n</w:t>
      </w:r>
      <w:r>
        <w:rPr>
          <w:rFonts w:ascii="Arial"/>
          <w:w w:val="96"/>
          <w:sz w:val="19"/>
        </w:rPr>
        <w:t>e</w:t>
      </w:r>
      <w:r>
        <w:rPr>
          <w:rFonts w:ascii="Arial"/>
          <w:w w:val="98"/>
          <w:sz w:val="19"/>
        </w:rPr>
        <w:t>w</w:t>
      </w:r>
      <w:r>
        <w:rPr>
          <w:rFonts w:ascii="Arial"/>
          <w:spacing w:val="-7"/>
          <w:sz w:val="19"/>
        </w:rPr>
        <w:t xml:space="preserve"> </w:t>
      </w:r>
      <w:r>
        <w:rPr>
          <w:rFonts w:ascii="Arial"/>
          <w:spacing w:val="-3"/>
          <w:w w:val="114"/>
          <w:sz w:val="19"/>
        </w:rPr>
        <w:t>i</w:t>
      </w:r>
      <w:r>
        <w:rPr>
          <w:rFonts w:ascii="Arial"/>
          <w:spacing w:val="1"/>
          <w:w w:val="101"/>
          <w:sz w:val="19"/>
        </w:rPr>
        <w:t>ng</w:t>
      </w:r>
      <w:r>
        <w:rPr>
          <w:rFonts w:ascii="Arial"/>
          <w:spacing w:val="-2"/>
          <w:w w:val="116"/>
          <w:sz w:val="19"/>
        </w:rPr>
        <w:t>r</w:t>
      </w:r>
      <w:r>
        <w:rPr>
          <w:rFonts w:ascii="Arial"/>
          <w:w w:val="96"/>
          <w:sz w:val="19"/>
        </w:rPr>
        <w:t>e</w:t>
      </w:r>
      <w:r>
        <w:rPr>
          <w:rFonts w:ascii="Arial"/>
          <w:spacing w:val="-1"/>
          <w:sz w:val="19"/>
        </w:rPr>
        <w:t>d</w:t>
      </w:r>
      <w:r>
        <w:rPr>
          <w:rFonts w:ascii="Arial"/>
          <w:w w:val="101"/>
          <w:sz w:val="19"/>
        </w:rPr>
        <w:t>ie</w:t>
      </w:r>
      <w:r>
        <w:rPr>
          <w:rFonts w:ascii="Arial"/>
          <w:spacing w:val="1"/>
          <w:w w:val="101"/>
          <w:sz w:val="19"/>
        </w:rPr>
        <w:t>n</w:t>
      </w:r>
      <w:r>
        <w:rPr>
          <w:rFonts w:ascii="Arial"/>
          <w:w w:val="134"/>
          <w:sz w:val="19"/>
        </w:rPr>
        <w:t>t</w:t>
      </w:r>
      <w:r>
        <w:rPr>
          <w:rFonts w:ascii="Arial"/>
          <w:w w:val="93"/>
          <w:sz w:val="19"/>
        </w:rPr>
        <w:t xml:space="preserve">s </w:t>
      </w:r>
      <w:r>
        <w:rPr>
          <w:rFonts w:ascii="Arial"/>
          <w:w w:val="105"/>
          <w:sz w:val="19"/>
        </w:rPr>
        <w:t>is</w:t>
      </w:r>
      <w:r>
        <w:rPr>
          <w:rFonts w:ascii="Arial"/>
          <w:spacing w:val="-24"/>
          <w:w w:val="105"/>
          <w:sz w:val="19"/>
        </w:rPr>
        <w:t xml:space="preserve"> </w:t>
      </w:r>
      <w:r>
        <w:rPr>
          <w:rFonts w:ascii="Arial"/>
          <w:w w:val="105"/>
          <w:sz w:val="19"/>
        </w:rPr>
        <w:t>consistent</w:t>
      </w:r>
      <w:r>
        <w:rPr>
          <w:rFonts w:ascii="Arial"/>
          <w:spacing w:val="-24"/>
          <w:w w:val="105"/>
          <w:sz w:val="19"/>
        </w:rPr>
        <w:t xml:space="preserve"> </w:t>
      </w:r>
      <w:r>
        <w:rPr>
          <w:rFonts w:ascii="Arial"/>
          <w:w w:val="105"/>
          <w:sz w:val="19"/>
        </w:rPr>
        <w:t>with</w:t>
      </w:r>
      <w:r>
        <w:rPr>
          <w:rFonts w:ascii="Arial"/>
          <w:spacing w:val="-22"/>
          <w:w w:val="105"/>
          <w:sz w:val="19"/>
        </w:rPr>
        <w:t xml:space="preserve"> </w:t>
      </w:r>
      <w:r>
        <w:rPr>
          <w:rFonts w:ascii="Arial"/>
          <w:w w:val="105"/>
          <w:sz w:val="19"/>
        </w:rPr>
        <w:t>historical</w:t>
      </w:r>
      <w:r>
        <w:rPr>
          <w:rFonts w:ascii="Arial"/>
          <w:spacing w:val="-25"/>
          <w:w w:val="105"/>
          <w:sz w:val="19"/>
        </w:rPr>
        <w:t xml:space="preserve"> </w:t>
      </w:r>
      <w:r>
        <w:rPr>
          <w:rFonts w:ascii="Arial"/>
          <w:w w:val="105"/>
          <w:sz w:val="19"/>
        </w:rPr>
        <w:t>averages</w:t>
      </w:r>
      <w:r>
        <w:rPr>
          <w:rFonts w:ascii="Arial"/>
          <w:spacing w:val="-24"/>
          <w:w w:val="105"/>
          <w:sz w:val="19"/>
        </w:rPr>
        <w:t xml:space="preserve"> </w:t>
      </w:r>
      <w:r>
        <w:rPr>
          <w:rFonts w:ascii="Arial"/>
          <w:w w:val="105"/>
          <w:sz w:val="19"/>
        </w:rPr>
        <w:t>for</w:t>
      </w:r>
      <w:r>
        <w:rPr>
          <w:rFonts w:ascii="Arial"/>
          <w:spacing w:val="-23"/>
          <w:w w:val="105"/>
          <w:sz w:val="19"/>
        </w:rPr>
        <w:t xml:space="preserve"> </w:t>
      </w:r>
      <w:r>
        <w:rPr>
          <w:rFonts w:ascii="Arial"/>
          <w:w w:val="105"/>
          <w:sz w:val="19"/>
        </w:rPr>
        <w:t>listed</w:t>
      </w:r>
      <w:r>
        <w:rPr>
          <w:rFonts w:ascii="Arial"/>
          <w:spacing w:val="-24"/>
          <w:w w:val="105"/>
          <w:sz w:val="19"/>
        </w:rPr>
        <w:t xml:space="preserve"> </w:t>
      </w:r>
      <w:r>
        <w:rPr>
          <w:rFonts w:ascii="Arial"/>
          <w:w w:val="105"/>
          <w:sz w:val="19"/>
        </w:rPr>
        <w:t>medicines,</w:t>
      </w:r>
      <w:r>
        <w:rPr>
          <w:rFonts w:ascii="Arial"/>
          <w:spacing w:val="-25"/>
          <w:w w:val="105"/>
          <w:sz w:val="19"/>
        </w:rPr>
        <w:t xml:space="preserve"> </w:t>
      </w:r>
      <w:r>
        <w:rPr>
          <w:rFonts w:ascii="Arial"/>
          <w:w w:val="105"/>
          <w:sz w:val="19"/>
        </w:rPr>
        <w:t>this</w:t>
      </w:r>
      <w:r>
        <w:rPr>
          <w:rFonts w:ascii="Arial"/>
          <w:spacing w:val="-24"/>
          <w:w w:val="105"/>
          <w:sz w:val="19"/>
        </w:rPr>
        <w:t xml:space="preserve"> </w:t>
      </w:r>
      <w:r>
        <w:rPr>
          <w:rFonts w:ascii="Arial"/>
          <w:w w:val="105"/>
          <w:sz w:val="19"/>
        </w:rPr>
        <w:t>equates</w:t>
      </w:r>
      <w:r>
        <w:rPr>
          <w:rFonts w:ascii="Arial"/>
          <w:spacing w:val="-24"/>
          <w:w w:val="105"/>
          <w:sz w:val="19"/>
        </w:rPr>
        <w:t xml:space="preserve"> </w:t>
      </w:r>
      <w:r>
        <w:rPr>
          <w:rFonts w:ascii="Arial"/>
          <w:w w:val="105"/>
          <w:sz w:val="19"/>
        </w:rPr>
        <w:t>to</w:t>
      </w:r>
      <w:r>
        <w:rPr>
          <w:rFonts w:ascii="Arial"/>
          <w:spacing w:val="-25"/>
          <w:w w:val="105"/>
          <w:sz w:val="19"/>
        </w:rPr>
        <w:t xml:space="preserve"> </w:t>
      </w:r>
      <w:r>
        <w:rPr>
          <w:rFonts w:ascii="Arial"/>
          <w:w w:val="105"/>
          <w:sz w:val="19"/>
        </w:rPr>
        <w:t>an</w:t>
      </w:r>
      <w:r>
        <w:rPr>
          <w:rFonts w:ascii="Arial"/>
          <w:spacing w:val="-24"/>
          <w:w w:val="105"/>
          <w:sz w:val="19"/>
        </w:rPr>
        <w:t xml:space="preserve"> </w:t>
      </w:r>
      <w:r>
        <w:rPr>
          <w:rFonts w:ascii="Arial"/>
          <w:w w:val="105"/>
          <w:sz w:val="19"/>
        </w:rPr>
        <w:t>additional</w:t>
      </w:r>
      <w:r>
        <w:rPr>
          <w:rFonts w:ascii="Arial"/>
          <w:spacing w:val="-24"/>
          <w:w w:val="105"/>
          <w:sz w:val="19"/>
        </w:rPr>
        <w:t xml:space="preserve"> </w:t>
      </w:r>
      <w:r>
        <w:rPr>
          <w:rFonts w:ascii="Arial"/>
          <w:sz w:val="19"/>
        </w:rPr>
        <w:t>1</w:t>
      </w:r>
      <w:r>
        <w:rPr>
          <w:rFonts w:ascii="Arial"/>
          <w:spacing w:val="-21"/>
          <w:sz w:val="19"/>
        </w:rPr>
        <w:t xml:space="preserve"> </w:t>
      </w:r>
      <w:r>
        <w:rPr>
          <w:rFonts w:ascii="Arial"/>
          <w:w w:val="105"/>
          <w:sz w:val="19"/>
        </w:rPr>
        <w:t>new</w:t>
      </w:r>
      <w:r>
        <w:rPr>
          <w:rFonts w:ascii="Arial"/>
          <w:spacing w:val="-24"/>
          <w:w w:val="105"/>
          <w:sz w:val="19"/>
        </w:rPr>
        <w:t xml:space="preserve"> </w:t>
      </w:r>
      <w:r>
        <w:rPr>
          <w:rFonts w:ascii="Arial"/>
          <w:w w:val="105"/>
          <w:sz w:val="19"/>
        </w:rPr>
        <w:t>listed medicines ingredient</w:t>
      </w:r>
      <w:r>
        <w:rPr>
          <w:rFonts w:ascii="Arial"/>
          <w:spacing w:val="-24"/>
          <w:w w:val="105"/>
          <w:sz w:val="19"/>
        </w:rPr>
        <w:t xml:space="preserve"> </w:t>
      </w:r>
      <w:r>
        <w:rPr>
          <w:rFonts w:ascii="Arial"/>
          <w:w w:val="105"/>
          <w:sz w:val="19"/>
        </w:rPr>
        <w:t>applications.</w:t>
      </w:r>
    </w:p>
    <w:p w:rsidR="007D76BB" w:rsidRDefault="007D76BB">
      <w:pPr>
        <w:pStyle w:val="BodyText"/>
        <w:spacing w:before="7"/>
        <w:rPr>
          <w:rFonts w:ascii="Arial"/>
          <w:sz w:val="27"/>
        </w:rPr>
      </w:pPr>
    </w:p>
    <w:p w:rsidR="007D76BB" w:rsidRDefault="00D70D28">
      <w:pPr>
        <w:ind w:left="482"/>
        <w:rPr>
          <w:rFonts w:ascii="Lucida Sans"/>
          <w:b/>
          <w:sz w:val="20"/>
        </w:rPr>
      </w:pPr>
      <w:r>
        <w:rPr>
          <w:rFonts w:ascii="Lucida Sans"/>
          <w:b/>
          <w:sz w:val="20"/>
        </w:rPr>
        <w:t>Regulatory impact</w:t>
      </w:r>
    </w:p>
    <w:p w:rsidR="007D76BB" w:rsidRDefault="00D70D28">
      <w:pPr>
        <w:spacing w:before="203" w:line="264" w:lineRule="auto"/>
        <w:ind w:left="482" w:right="778"/>
        <w:rPr>
          <w:rFonts w:ascii="Arial" w:hAnsi="Arial"/>
          <w:sz w:val="19"/>
        </w:rPr>
      </w:pPr>
      <w:r>
        <w:rPr>
          <w:rFonts w:ascii="Arial" w:hAnsi="Arial"/>
          <w:w w:val="105"/>
          <w:sz w:val="19"/>
        </w:rPr>
        <w:t>For</w:t>
      </w:r>
      <w:r>
        <w:rPr>
          <w:rFonts w:ascii="Arial" w:hAnsi="Arial"/>
          <w:spacing w:val="-25"/>
          <w:w w:val="105"/>
          <w:sz w:val="19"/>
        </w:rPr>
        <w:t xml:space="preserve"> </w:t>
      </w:r>
      <w:r>
        <w:rPr>
          <w:rFonts w:ascii="Arial" w:hAnsi="Arial"/>
          <w:w w:val="105"/>
          <w:sz w:val="19"/>
        </w:rPr>
        <w:t>an</w:t>
      </w:r>
      <w:r>
        <w:rPr>
          <w:rFonts w:ascii="Arial" w:hAnsi="Arial"/>
          <w:spacing w:val="-24"/>
          <w:w w:val="105"/>
          <w:sz w:val="19"/>
        </w:rPr>
        <w:t xml:space="preserve"> </w:t>
      </w:r>
      <w:r>
        <w:rPr>
          <w:rFonts w:ascii="Arial" w:hAnsi="Arial"/>
          <w:w w:val="105"/>
          <w:sz w:val="19"/>
        </w:rPr>
        <w:t>ingredient</w:t>
      </w:r>
      <w:r>
        <w:rPr>
          <w:rFonts w:ascii="Arial" w:hAnsi="Arial"/>
          <w:spacing w:val="-26"/>
          <w:w w:val="105"/>
          <w:sz w:val="19"/>
        </w:rPr>
        <w:t xml:space="preserve"> </w:t>
      </w:r>
      <w:r>
        <w:rPr>
          <w:rFonts w:ascii="Arial" w:hAnsi="Arial"/>
          <w:w w:val="105"/>
          <w:sz w:val="19"/>
        </w:rPr>
        <w:t>to</w:t>
      </w:r>
      <w:r>
        <w:rPr>
          <w:rFonts w:ascii="Arial" w:hAnsi="Arial"/>
          <w:spacing w:val="-25"/>
          <w:w w:val="105"/>
          <w:sz w:val="19"/>
        </w:rPr>
        <w:t xml:space="preserve"> </w:t>
      </w:r>
      <w:r>
        <w:rPr>
          <w:rFonts w:ascii="Arial" w:hAnsi="Arial"/>
          <w:w w:val="105"/>
          <w:sz w:val="19"/>
        </w:rPr>
        <w:t>be</w:t>
      </w:r>
      <w:r>
        <w:rPr>
          <w:rFonts w:ascii="Arial" w:hAnsi="Arial"/>
          <w:spacing w:val="-26"/>
          <w:w w:val="105"/>
          <w:sz w:val="19"/>
        </w:rPr>
        <w:t xml:space="preserve"> </w:t>
      </w:r>
      <w:r>
        <w:rPr>
          <w:rFonts w:ascii="Arial" w:hAnsi="Arial"/>
          <w:w w:val="105"/>
          <w:sz w:val="19"/>
        </w:rPr>
        <w:t>added</w:t>
      </w:r>
      <w:r>
        <w:rPr>
          <w:rFonts w:ascii="Arial" w:hAnsi="Arial"/>
          <w:spacing w:val="-25"/>
          <w:w w:val="105"/>
          <w:sz w:val="19"/>
        </w:rPr>
        <w:t xml:space="preserve"> </w:t>
      </w:r>
      <w:r>
        <w:rPr>
          <w:rFonts w:ascii="Arial" w:hAnsi="Arial"/>
          <w:w w:val="105"/>
          <w:sz w:val="19"/>
        </w:rPr>
        <w:t>to</w:t>
      </w:r>
      <w:r>
        <w:rPr>
          <w:rFonts w:ascii="Arial" w:hAnsi="Arial"/>
          <w:spacing w:val="-26"/>
          <w:w w:val="105"/>
          <w:sz w:val="19"/>
        </w:rPr>
        <w:t xml:space="preserve"> </w:t>
      </w:r>
      <w:r>
        <w:rPr>
          <w:rFonts w:ascii="Arial" w:hAnsi="Arial"/>
          <w:w w:val="105"/>
          <w:sz w:val="19"/>
        </w:rPr>
        <w:t>the</w:t>
      </w:r>
      <w:r>
        <w:rPr>
          <w:rFonts w:ascii="Arial" w:hAnsi="Arial"/>
          <w:spacing w:val="-24"/>
          <w:w w:val="105"/>
          <w:sz w:val="19"/>
        </w:rPr>
        <w:t xml:space="preserve"> </w:t>
      </w:r>
      <w:r>
        <w:rPr>
          <w:rFonts w:ascii="Arial" w:hAnsi="Arial"/>
          <w:w w:val="105"/>
          <w:sz w:val="19"/>
        </w:rPr>
        <w:t>Permissible</w:t>
      </w:r>
      <w:r>
        <w:rPr>
          <w:rFonts w:ascii="Arial" w:hAnsi="Arial"/>
          <w:spacing w:val="-24"/>
          <w:w w:val="105"/>
          <w:sz w:val="19"/>
        </w:rPr>
        <w:t xml:space="preserve"> </w:t>
      </w:r>
      <w:r>
        <w:rPr>
          <w:rFonts w:ascii="Arial" w:hAnsi="Arial"/>
          <w:w w:val="105"/>
          <w:sz w:val="19"/>
        </w:rPr>
        <w:t>Ingredient</w:t>
      </w:r>
      <w:r>
        <w:rPr>
          <w:rFonts w:ascii="Arial" w:hAnsi="Arial"/>
          <w:spacing w:val="-25"/>
          <w:w w:val="105"/>
          <w:sz w:val="19"/>
        </w:rPr>
        <w:t xml:space="preserve"> </w:t>
      </w:r>
      <w:r>
        <w:rPr>
          <w:rFonts w:ascii="Arial" w:hAnsi="Arial"/>
          <w:w w:val="105"/>
          <w:sz w:val="19"/>
        </w:rPr>
        <w:t>Determination,</w:t>
      </w:r>
      <w:r>
        <w:rPr>
          <w:rFonts w:ascii="Arial" w:hAnsi="Arial"/>
          <w:spacing w:val="-24"/>
          <w:w w:val="105"/>
          <w:sz w:val="19"/>
        </w:rPr>
        <w:t xml:space="preserve"> </w:t>
      </w:r>
      <w:r>
        <w:rPr>
          <w:rFonts w:ascii="Arial" w:hAnsi="Arial"/>
          <w:w w:val="105"/>
          <w:sz w:val="19"/>
        </w:rPr>
        <w:t>sponsors</w:t>
      </w:r>
      <w:r>
        <w:rPr>
          <w:rFonts w:ascii="Arial" w:hAnsi="Arial"/>
          <w:spacing w:val="-25"/>
          <w:w w:val="105"/>
          <w:sz w:val="19"/>
        </w:rPr>
        <w:t xml:space="preserve"> </w:t>
      </w:r>
      <w:r>
        <w:rPr>
          <w:rFonts w:ascii="Arial" w:hAnsi="Arial"/>
          <w:w w:val="105"/>
          <w:sz w:val="19"/>
        </w:rPr>
        <w:t>are</w:t>
      </w:r>
      <w:r>
        <w:rPr>
          <w:rFonts w:ascii="Arial" w:hAnsi="Arial"/>
          <w:spacing w:val="-24"/>
          <w:w w:val="105"/>
          <w:sz w:val="19"/>
        </w:rPr>
        <w:t xml:space="preserve"> </w:t>
      </w:r>
      <w:r>
        <w:rPr>
          <w:rFonts w:ascii="Arial" w:hAnsi="Arial"/>
          <w:w w:val="105"/>
          <w:sz w:val="19"/>
        </w:rPr>
        <w:t>required</w:t>
      </w:r>
      <w:r>
        <w:rPr>
          <w:rFonts w:ascii="Arial" w:hAnsi="Arial"/>
          <w:spacing w:val="-26"/>
          <w:w w:val="105"/>
          <w:sz w:val="19"/>
        </w:rPr>
        <w:t xml:space="preserve"> </w:t>
      </w:r>
      <w:r>
        <w:rPr>
          <w:rFonts w:ascii="Arial" w:hAnsi="Arial"/>
          <w:w w:val="105"/>
          <w:sz w:val="19"/>
        </w:rPr>
        <w:t>to complete</w:t>
      </w:r>
      <w:r>
        <w:rPr>
          <w:rFonts w:ascii="Arial" w:hAnsi="Arial"/>
          <w:spacing w:val="-24"/>
          <w:w w:val="105"/>
          <w:sz w:val="19"/>
        </w:rPr>
        <w:t xml:space="preserve"> </w:t>
      </w:r>
      <w:r>
        <w:rPr>
          <w:rFonts w:ascii="Arial" w:hAnsi="Arial"/>
          <w:w w:val="105"/>
          <w:sz w:val="19"/>
        </w:rPr>
        <w:t>the</w:t>
      </w:r>
      <w:r>
        <w:rPr>
          <w:rFonts w:ascii="Arial" w:hAnsi="Arial"/>
          <w:spacing w:val="-23"/>
          <w:w w:val="105"/>
          <w:sz w:val="19"/>
        </w:rPr>
        <w:t xml:space="preserve"> </w:t>
      </w:r>
      <w:r>
        <w:rPr>
          <w:rFonts w:ascii="Arial" w:hAnsi="Arial"/>
          <w:w w:val="105"/>
          <w:sz w:val="19"/>
        </w:rPr>
        <w:t>‘Application</w:t>
      </w:r>
      <w:r>
        <w:rPr>
          <w:rFonts w:ascii="Arial" w:hAnsi="Arial"/>
          <w:spacing w:val="-22"/>
          <w:w w:val="105"/>
          <w:sz w:val="19"/>
        </w:rPr>
        <w:t xml:space="preserve"> </w:t>
      </w:r>
      <w:r>
        <w:rPr>
          <w:rFonts w:ascii="Arial" w:hAnsi="Arial"/>
          <w:w w:val="105"/>
          <w:sz w:val="19"/>
        </w:rPr>
        <w:t>for</w:t>
      </w:r>
      <w:r>
        <w:rPr>
          <w:rFonts w:ascii="Arial" w:hAnsi="Arial"/>
          <w:spacing w:val="-23"/>
          <w:w w:val="105"/>
          <w:sz w:val="19"/>
        </w:rPr>
        <w:t xml:space="preserve"> </w:t>
      </w:r>
      <w:r>
        <w:rPr>
          <w:rFonts w:ascii="Arial" w:hAnsi="Arial"/>
          <w:w w:val="105"/>
          <w:sz w:val="19"/>
        </w:rPr>
        <w:t>evaluation</w:t>
      </w:r>
      <w:r>
        <w:rPr>
          <w:rFonts w:ascii="Arial" w:hAnsi="Arial"/>
          <w:spacing w:val="-24"/>
          <w:w w:val="105"/>
          <w:sz w:val="19"/>
        </w:rPr>
        <w:t xml:space="preserve"> </w:t>
      </w:r>
      <w:r>
        <w:rPr>
          <w:rFonts w:ascii="Arial" w:hAnsi="Arial"/>
          <w:w w:val="105"/>
          <w:sz w:val="19"/>
        </w:rPr>
        <w:t>of</w:t>
      </w:r>
      <w:r>
        <w:rPr>
          <w:rFonts w:ascii="Arial" w:hAnsi="Arial"/>
          <w:spacing w:val="-23"/>
          <w:w w:val="105"/>
          <w:sz w:val="19"/>
        </w:rPr>
        <w:t xml:space="preserve"> </w:t>
      </w:r>
      <w:r>
        <w:rPr>
          <w:rFonts w:ascii="Arial" w:hAnsi="Arial"/>
          <w:w w:val="105"/>
          <w:sz w:val="19"/>
        </w:rPr>
        <w:t>a</w:t>
      </w:r>
      <w:r>
        <w:rPr>
          <w:rFonts w:ascii="Arial" w:hAnsi="Arial"/>
          <w:spacing w:val="-23"/>
          <w:w w:val="105"/>
          <w:sz w:val="19"/>
        </w:rPr>
        <w:t xml:space="preserve"> </w:t>
      </w:r>
      <w:r>
        <w:rPr>
          <w:rFonts w:ascii="Arial" w:hAnsi="Arial"/>
          <w:w w:val="105"/>
          <w:sz w:val="19"/>
        </w:rPr>
        <w:t>substance</w:t>
      </w:r>
      <w:r>
        <w:rPr>
          <w:rFonts w:ascii="Arial" w:hAnsi="Arial"/>
          <w:spacing w:val="-22"/>
          <w:w w:val="105"/>
          <w:sz w:val="19"/>
        </w:rPr>
        <w:t xml:space="preserve"> </w:t>
      </w:r>
      <w:r>
        <w:rPr>
          <w:rFonts w:ascii="Arial" w:hAnsi="Arial"/>
          <w:w w:val="105"/>
          <w:sz w:val="19"/>
        </w:rPr>
        <w:t>for</w:t>
      </w:r>
      <w:r>
        <w:rPr>
          <w:rFonts w:ascii="Arial" w:hAnsi="Arial"/>
          <w:spacing w:val="-23"/>
          <w:w w:val="105"/>
          <w:sz w:val="19"/>
        </w:rPr>
        <w:t xml:space="preserve"> </w:t>
      </w:r>
      <w:r>
        <w:rPr>
          <w:rFonts w:ascii="Arial" w:hAnsi="Arial"/>
          <w:w w:val="105"/>
          <w:sz w:val="19"/>
        </w:rPr>
        <w:t>use</w:t>
      </w:r>
      <w:r>
        <w:rPr>
          <w:rFonts w:ascii="Arial" w:hAnsi="Arial"/>
          <w:spacing w:val="-24"/>
          <w:w w:val="105"/>
          <w:sz w:val="19"/>
        </w:rPr>
        <w:t xml:space="preserve"> </w:t>
      </w:r>
      <w:r>
        <w:rPr>
          <w:rFonts w:ascii="Arial" w:hAnsi="Arial"/>
          <w:w w:val="105"/>
          <w:sz w:val="19"/>
        </w:rPr>
        <w:t>in</w:t>
      </w:r>
      <w:r>
        <w:rPr>
          <w:rFonts w:ascii="Arial" w:hAnsi="Arial"/>
          <w:spacing w:val="-22"/>
          <w:w w:val="105"/>
          <w:sz w:val="19"/>
        </w:rPr>
        <w:t xml:space="preserve"> </w:t>
      </w:r>
      <w:r>
        <w:rPr>
          <w:rFonts w:ascii="Arial" w:hAnsi="Arial"/>
          <w:w w:val="105"/>
          <w:sz w:val="19"/>
        </w:rPr>
        <w:t>listed</w:t>
      </w:r>
      <w:r>
        <w:rPr>
          <w:rFonts w:ascii="Arial" w:hAnsi="Arial"/>
          <w:spacing w:val="-24"/>
          <w:w w:val="105"/>
          <w:sz w:val="19"/>
        </w:rPr>
        <w:t xml:space="preserve"> </w:t>
      </w:r>
      <w:r>
        <w:rPr>
          <w:rFonts w:ascii="Arial" w:hAnsi="Arial"/>
          <w:w w:val="105"/>
          <w:sz w:val="19"/>
        </w:rPr>
        <w:t>complementary</w:t>
      </w:r>
      <w:r>
        <w:rPr>
          <w:rFonts w:ascii="Arial" w:hAnsi="Arial"/>
          <w:spacing w:val="-23"/>
          <w:w w:val="105"/>
          <w:sz w:val="19"/>
        </w:rPr>
        <w:t xml:space="preserve"> </w:t>
      </w:r>
      <w:r>
        <w:rPr>
          <w:rFonts w:ascii="Arial" w:hAnsi="Arial"/>
          <w:w w:val="105"/>
          <w:sz w:val="19"/>
        </w:rPr>
        <w:t>medicines’ form.</w:t>
      </w:r>
      <w:r>
        <w:rPr>
          <w:rFonts w:ascii="Arial" w:hAnsi="Arial"/>
          <w:spacing w:val="-24"/>
          <w:w w:val="105"/>
          <w:sz w:val="19"/>
        </w:rPr>
        <w:t xml:space="preserve"> </w:t>
      </w:r>
      <w:r>
        <w:rPr>
          <w:rFonts w:ascii="Arial" w:hAnsi="Arial"/>
          <w:w w:val="105"/>
          <w:sz w:val="19"/>
        </w:rPr>
        <w:t>There</w:t>
      </w:r>
      <w:r>
        <w:rPr>
          <w:rFonts w:ascii="Arial" w:hAnsi="Arial"/>
          <w:spacing w:val="-24"/>
          <w:w w:val="105"/>
          <w:sz w:val="19"/>
        </w:rPr>
        <w:t xml:space="preserve"> </w:t>
      </w:r>
      <w:r>
        <w:rPr>
          <w:rFonts w:ascii="Arial" w:hAnsi="Arial"/>
          <w:w w:val="105"/>
          <w:sz w:val="19"/>
        </w:rPr>
        <w:t>are</w:t>
      </w:r>
      <w:r>
        <w:rPr>
          <w:rFonts w:ascii="Arial" w:hAnsi="Arial"/>
          <w:spacing w:val="-24"/>
          <w:w w:val="105"/>
          <w:sz w:val="19"/>
        </w:rPr>
        <w:t xml:space="preserve"> </w:t>
      </w:r>
      <w:r>
        <w:rPr>
          <w:rFonts w:ascii="Arial" w:hAnsi="Arial"/>
          <w:w w:val="105"/>
          <w:sz w:val="19"/>
        </w:rPr>
        <w:t>four</w:t>
      </w:r>
      <w:r>
        <w:rPr>
          <w:rFonts w:ascii="Arial" w:hAnsi="Arial"/>
          <w:spacing w:val="-25"/>
          <w:w w:val="105"/>
          <w:sz w:val="19"/>
        </w:rPr>
        <w:t xml:space="preserve"> </w:t>
      </w:r>
      <w:r>
        <w:rPr>
          <w:rFonts w:ascii="Arial" w:hAnsi="Arial"/>
          <w:w w:val="105"/>
          <w:sz w:val="19"/>
        </w:rPr>
        <w:t>application</w:t>
      </w:r>
      <w:r>
        <w:rPr>
          <w:rFonts w:ascii="Arial" w:hAnsi="Arial"/>
          <w:spacing w:val="-24"/>
          <w:w w:val="105"/>
          <w:sz w:val="19"/>
        </w:rPr>
        <w:t xml:space="preserve"> </w:t>
      </w:r>
      <w:r>
        <w:rPr>
          <w:rFonts w:ascii="Arial" w:hAnsi="Arial"/>
          <w:w w:val="105"/>
          <w:sz w:val="19"/>
        </w:rPr>
        <w:t>categories</w:t>
      </w:r>
      <w:r>
        <w:rPr>
          <w:rFonts w:ascii="Arial" w:hAnsi="Arial"/>
          <w:spacing w:val="-24"/>
          <w:w w:val="105"/>
          <w:sz w:val="19"/>
        </w:rPr>
        <w:t xml:space="preserve"> </w:t>
      </w:r>
      <w:r>
        <w:rPr>
          <w:rFonts w:ascii="Arial" w:hAnsi="Arial"/>
          <w:w w:val="105"/>
          <w:sz w:val="19"/>
        </w:rPr>
        <w:t>(IN1</w:t>
      </w:r>
      <w:r>
        <w:rPr>
          <w:rFonts w:ascii="Arial" w:hAnsi="Arial"/>
          <w:spacing w:val="-24"/>
          <w:w w:val="105"/>
          <w:sz w:val="19"/>
        </w:rPr>
        <w:t xml:space="preserve"> </w:t>
      </w:r>
      <w:r>
        <w:rPr>
          <w:rFonts w:ascii="Arial" w:hAnsi="Arial"/>
          <w:w w:val="105"/>
          <w:sz w:val="19"/>
        </w:rPr>
        <w:t>to</w:t>
      </w:r>
      <w:r>
        <w:rPr>
          <w:rFonts w:ascii="Arial" w:hAnsi="Arial"/>
          <w:spacing w:val="-26"/>
          <w:w w:val="105"/>
          <w:sz w:val="19"/>
        </w:rPr>
        <w:t xml:space="preserve"> </w:t>
      </w:r>
      <w:r>
        <w:rPr>
          <w:rFonts w:ascii="Arial" w:hAnsi="Arial"/>
          <w:w w:val="105"/>
          <w:sz w:val="19"/>
        </w:rPr>
        <w:t>IN4),</w:t>
      </w:r>
      <w:r>
        <w:rPr>
          <w:rFonts w:ascii="Arial" w:hAnsi="Arial"/>
          <w:spacing w:val="-25"/>
          <w:w w:val="105"/>
          <w:sz w:val="19"/>
        </w:rPr>
        <w:t xml:space="preserve"> </w:t>
      </w:r>
      <w:r>
        <w:rPr>
          <w:rFonts w:ascii="Arial" w:hAnsi="Arial"/>
          <w:w w:val="105"/>
          <w:sz w:val="19"/>
        </w:rPr>
        <w:t>of</w:t>
      </w:r>
      <w:r>
        <w:rPr>
          <w:rFonts w:ascii="Arial" w:hAnsi="Arial"/>
          <w:spacing w:val="-25"/>
          <w:w w:val="105"/>
          <w:sz w:val="19"/>
        </w:rPr>
        <w:t xml:space="preserve"> </w:t>
      </w:r>
      <w:r>
        <w:rPr>
          <w:rFonts w:ascii="Arial" w:hAnsi="Arial"/>
          <w:w w:val="105"/>
          <w:sz w:val="19"/>
        </w:rPr>
        <w:t>which</w:t>
      </w:r>
      <w:r>
        <w:rPr>
          <w:rFonts w:ascii="Arial" w:hAnsi="Arial"/>
          <w:spacing w:val="-24"/>
          <w:w w:val="105"/>
          <w:sz w:val="19"/>
        </w:rPr>
        <w:t xml:space="preserve"> </w:t>
      </w:r>
      <w:r>
        <w:rPr>
          <w:rFonts w:ascii="Arial" w:hAnsi="Arial"/>
          <w:w w:val="105"/>
          <w:sz w:val="19"/>
        </w:rPr>
        <w:t>IN4</w:t>
      </w:r>
      <w:r>
        <w:rPr>
          <w:rFonts w:ascii="Arial" w:hAnsi="Arial"/>
          <w:spacing w:val="-24"/>
          <w:w w:val="105"/>
          <w:sz w:val="19"/>
        </w:rPr>
        <w:t xml:space="preserve"> </w:t>
      </w:r>
      <w:r>
        <w:rPr>
          <w:rFonts w:ascii="Arial" w:hAnsi="Arial"/>
          <w:w w:val="105"/>
          <w:sz w:val="19"/>
        </w:rPr>
        <w:t>(full</w:t>
      </w:r>
      <w:r>
        <w:rPr>
          <w:rFonts w:ascii="Arial" w:hAnsi="Arial"/>
          <w:spacing w:val="-24"/>
          <w:w w:val="105"/>
          <w:sz w:val="19"/>
        </w:rPr>
        <w:t xml:space="preserve"> </w:t>
      </w:r>
      <w:r>
        <w:rPr>
          <w:rFonts w:ascii="Arial" w:hAnsi="Arial"/>
          <w:w w:val="105"/>
          <w:sz w:val="19"/>
        </w:rPr>
        <w:t>independent</w:t>
      </w:r>
      <w:r>
        <w:rPr>
          <w:rFonts w:ascii="Arial" w:hAnsi="Arial"/>
          <w:spacing w:val="-25"/>
          <w:w w:val="105"/>
          <w:sz w:val="19"/>
        </w:rPr>
        <w:t xml:space="preserve"> </w:t>
      </w:r>
      <w:r>
        <w:rPr>
          <w:rFonts w:ascii="Arial" w:hAnsi="Arial"/>
          <w:w w:val="105"/>
          <w:sz w:val="19"/>
        </w:rPr>
        <w:t>evaluation</w:t>
      </w:r>
      <w:r>
        <w:rPr>
          <w:rFonts w:ascii="Arial" w:hAnsi="Arial"/>
          <w:spacing w:val="-25"/>
          <w:w w:val="105"/>
          <w:sz w:val="19"/>
        </w:rPr>
        <w:t xml:space="preserve"> </w:t>
      </w:r>
      <w:r>
        <w:rPr>
          <w:rFonts w:ascii="Arial" w:hAnsi="Arial"/>
          <w:w w:val="105"/>
          <w:sz w:val="19"/>
        </w:rPr>
        <w:t>of safety</w:t>
      </w:r>
      <w:r>
        <w:rPr>
          <w:rFonts w:ascii="Arial" w:hAnsi="Arial"/>
          <w:spacing w:val="-22"/>
          <w:w w:val="105"/>
          <w:sz w:val="19"/>
        </w:rPr>
        <w:t xml:space="preserve"> </w:t>
      </w:r>
      <w:r>
        <w:rPr>
          <w:rFonts w:ascii="Arial" w:hAnsi="Arial"/>
          <w:w w:val="105"/>
          <w:sz w:val="19"/>
        </w:rPr>
        <w:t>and</w:t>
      </w:r>
      <w:r>
        <w:rPr>
          <w:rFonts w:ascii="Arial" w:hAnsi="Arial"/>
          <w:spacing w:val="-23"/>
          <w:w w:val="105"/>
          <w:sz w:val="19"/>
        </w:rPr>
        <w:t xml:space="preserve"> </w:t>
      </w:r>
      <w:r>
        <w:rPr>
          <w:rFonts w:ascii="Arial" w:hAnsi="Arial"/>
          <w:w w:val="105"/>
          <w:sz w:val="19"/>
        </w:rPr>
        <w:t>quality</w:t>
      </w:r>
      <w:r>
        <w:rPr>
          <w:rFonts w:ascii="Arial" w:hAnsi="Arial"/>
          <w:spacing w:val="-22"/>
          <w:w w:val="105"/>
          <w:sz w:val="19"/>
        </w:rPr>
        <w:t xml:space="preserve"> </w:t>
      </w:r>
      <w:r>
        <w:rPr>
          <w:rFonts w:ascii="Arial" w:hAnsi="Arial"/>
          <w:w w:val="105"/>
          <w:sz w:val="19"/>
        </w:rPr>
        <w:t>by</w:t>
      </w:r>
      <w:r>
        <w:rPr>
          <w:rFonts w:ascii="Arial" w:hAnsi="Arial"/>
          <w:spacing w:val="-21"/>
          <w:w w:val="105"/>
          <w:sz w:val="19"/>
        </w:rPr>
        <w:t xml:space="preserve"> </w:t>
      </w:r>
      <w:r>
        <w:rPr>
          <w:rFonts w:ascii="Arial" w:hAnsi="Arial"/>
          <w:w w:val="105"/>
          <w:sz w:val="19"/>
        </w:rPr>
        <w:t>the</w:t>
      </w:r>
      <w:r>
        <w:rPr>
          <w:rFonts w:ascii="Arial" w:hAnsi="Arial"/>
          <w:spacing w:val="-23"/>
          <w:w w:val="105"/>
          <w:sz w:val="19"/>
        </w:rPr>
        <w:t xml:space="preserve"> </w:t>
      </w:r>
      <w:r>
        <w:rPr>
          <w:rFonts w:ascii="Arial" w:hAnsi="Arial"/>
          <w:w w:val="105"/>
          <w:sz w:val="19"/>
        </w:rPr>
        <w:t>TGA)</w:t>
      </w:r>
      <w:r>
        <w:rPr>
          <w:rFonts w:ascii="Arial" w:hAnsi="Arial"/>
          <w:w w:val="105"/>
          <w:position w:val="7"/>
          <w:sz w:val="11"/>
        </w:rPr>
        <w:t>78</w:t>
      </w:r>
      <w:r>
        <w:rPr>
          <w:rFonts w:ascii="Arial" w:hAnsi="Arial"/>
          <w:spacing w:val="1"/>
          <w:w w:val="105"/>
          <w:position w:val="7"/>
          <w:sz w:val="11"/>
        </w:rPr>
        <w:t xml:space="preserve"> </w:t>
      </w:r>
      <w:r>
        <w:rPr>
          <w:rFonts w:ascii="Arial" w:hAnsi="Arial"/>
          <w:w w:val="105"/>
          <w:sz w:val="19"/>
        </w:rPr>
        <w:t>is</w:t>
      </w:r>
      <w:r>
        <w:rPr>
          <w:rFonts w:ascii="Arial" w:hAnsi="Arial"/>
          <w:spacing w:val="-21"/>
          <w:w w:val="105"/>
          <w:sz w:val="19"/>
        </w:rPr>
        <w:t xml:space="preserve"> </w:t>
      </w:r>
      <w:r>
        <w:rPr>
          <w:rFonts w:ascii="Arial" w:hAnsi="Arial"/>
          <w:w w:val="105"/>
          <w:sz w:val="19"/>
        </w:rPr>
        <w:t>assessed</w:t>
      </w:r>
      <w:r>
        <w:rPr>
          <w:rFonts w:ascii="Arial" w:hAnsi="Arial"/>
          <w:spacing w:val="-24"/>
          <w:w w:val="105"/>
          <w:sz w:val="19"/>
        </w:rPr>
        <w:t xml:space="preserve"> </w:t>
      </w:r>
      <w:r>
        <w:rPr>
          <w:rFonts w:ascii="Arial" w:hAnsi="Arial"/>
          <w:w w:val="105"/>
          <w:sz w:val="19"/>
        </w:rPr>
        <w:t>to</w:t>
      </w:r>
      <w:r>
        <w:rPr>
          <w:rFonts w:ascii="Arial" w:hAnsi="Arial"/>
          <w:spacing w:val="-22"/>
          <w:w w:val="105"/>
          <w:sz w:val="19"/>
        </w:rPr>
        <w:t xml:space="preserve"> </w:t>
      </w:r>
      <w:r>
        <w:rPr>
          <w:rFonts w:ascii="Arial" w:hAnsi="Arial"/>
          <w:w w:val="105"/>
          <w:sz w:val="19"/>
        </w:rPr>
        <w:t>be</w:t>
      </w:r>
      <w:r>
        <w:rPr>
          <w:rFonts w:ascii="Arial" w:hAnsi="Arial"/>
          <w:spacing w:val="-21"/>
          <w:w w:val="105"/>
          <w:sz w:val="19"/>
        </w:rPr>
        <w:t xml:space="preserve"> </w:t>
      </w:r>
      <w:r>
        <w:rPr>
          <w:rFonts w:ascii="Arial" w:hAnsi="Arial"/>
          <w:w w:val="105"/>
          <w:sz w:val="19"/>
        </w:rPr>
        <w:t>the</w:t>
      </w:r>
      <w:r>
        <w:rPr>
          <w:rFonts w:ascii="Arial" w:hAnsi="Arial"/>
          <w:spacing w:val="-23"/>
          <w:w w:val="105"/>
          <w:sz w:val="19"/>
        </w:rPr>
        <w:t xml:space="preserve"> </w:t>
      </w:r>
      <w:r>
        <w:rPr>
          <w:rFonts w:ascii="Arial" w:hAnsi="Arial"/>
          <w:w w:val="105"/>
          <w:sz w:val="19"/>
        </w:rPr>
        <w:t>most</w:t>
      </w:r>
      <w:r>
        <w:rPr>
          <w:rFonts w:ascii="Arial" w:hAnsi="Arial"/>
          <w:spacing w:val="-21"/>
          <w:w w:val="105"/>
          <w:sz w:val="19"/>
        </w:rPr>
        <w:t xml:space="preserve"> </w:t>
      </w:r>
      <w:r>
        <w:rPr>
          <w:rFonts w:ascii="Arial" w:hAnsi="Arial"/>
          <w:w w:val="105"/>
          <w:sz w:val="19"/>
        </w:rPr>
        <w:t>likely</w:t>
      </w:r>
      <w:r>
        <w:rPr>
          <w:rFonts w:ascii="Arial" w:hAnsi="Arial"/>
          <w:spacing w:val="-22"/>
          <w:w w:val="105"/>
          <w:sz w:val="19"/>
        </w:rPr>
        <w:t xml:space="preserve"> </w:t>
      </w:r>
      <w:r>
        <w:rPr>
          <w:rFonts w:ascii="Arial" w:hAnsi="Arial"/>
          <w:w w:val="105"/>
          <w:sz w:val="19"/>
        </w:rPr>
        <w:t>due</w:t>
      </w:r>
      <w:r>
        <w:rPr>
          <w:rFonts w:ascii="Arial" w:hAnsi="Arial"/>
          <w:spacing w:val="-22"/>
          <w:w w:val="105"/>
          <w:sz w:val="19"/>
        </w:rPr>
        <w:t xml:space="preserve"> </w:t>
      </w:r>
      <w:r>
        <w:rPr>
          <w:rFonts w:ascii="Arial" w:hAnsi="Arial"/>
          <w:w w:val="105"/>
          <w:sz w:val="19"/>
        </w:rPr>
        <w:t>to</w:t>
      </w:r>
      <w:r>
        <w:rPr>
          <w:rFonts w:ascii="Arial" w:hAnsi="Arial"/>
          <w:spacing w:val="-22"/>
          <w:w w:val="105"/>
          <w:sz w:val="19"/>
        </w:rPr>
        <w:t xml:space="preserve"> </w:t>
      </w:r>
      <w:r>
        <w:rPr>
          <w:rFonts w:ascii="Arial" w:hAnsi="Arial"/>
          <w:w w:val="105"/>
          <w:sz w:val="19"/>
        </w:rPr>
        <w:t>it</w:t>
      </w:r>
      <w:r>
        <w:rPr>
          <w:rFonts w:ascii="Arial" w:hAnsi="Arial"/>
          <w:spacing w:val="-21"/>
          <w:w w:val="105"/>
          <w:sz w:val="19"/>
        </w:rPr>
        <w:t xml:space="preserve"> </w:t>
      </w:r>
      <w:r>
        <w:rPr>
          <w:rFonts w:ascii="Arial" w:hAnsi="Arial"/>
          <w:w w:val="105"/>
          <w:sz w:val="19"/>
        </w:rPr>
        <w:t>being</w:t>
      </w:r>
      <w:r>
        <w:rPr>
          <w:rFonts w:ascii="Arial" w:hAnsi="Arial"/>
          <w:spacing w:val="-21"/>
          <w:w w:val="105"/>
          <w:sz w:val="19"/>
        </w:rPr>
        <w:t xml:space="preserve"> </w:t>
      </w:r>
      <w:r>
        <w:rPr>
          <w:rFonts w:ascii="Arial" w:hAnsi="Arial"/>
          <w:w w:val="105"/>
          <w:sz w:val="19"/>
        </w:rPr>
        <w:t>considered</w:t>
      </w:r>
      <w:r>
        <w:rPr>
          <w:rFonts w:ascii="Arial" w:hAnsi="Arial"/>
          <w:spacing w:val="-22"/>
          <w:w w:val="105"/>
          <w:sz w:val="19"/>
        </w:rPr>
        <w:t xml:space="preserve"> </w:t>
      </w:r>
      <w:r>
        <w:rPr>
          <w:rFonts w:ascii="Arial" w:hAnsi="Arial"/>
          <w:w w:val="105"/>
          <w:sz w:val="19"/>
        </w:rPr>
        <w:t>unlikely that there will be pre-evaluated information from an acceptable comparable overseas regulator (COR),</w:t>
      </w:r>
      <w:r>
        <w:rPr>
          <w:rFonts w:ascii="Arial" w:hAnsi="Arial"/>
          <w:spacing w:val="-30"/>
          <w:w w:val="105"/>
          <w:sz w:val="19"/>
        </w:rPr>
        <w:t xml:space="preserve"> </w:t>
      </w:r>
      <w:r>
        <w:rPr>
          <w:rFonts w:ascii="Arial" w:hAnsi="Arial"/>
          <w:w w:val="105"/>
          <w:sz w:val="19"/>
        </w:rPr>
        <w:t>as</w:t>
      </w:r>
      <w:r>
        <w:rPr>
          <w:rFonts w:ascii="Arial" w:hAnsi="Arial"/>
          <w:spacing w:val="-31"/>
          <w:w w:val="105"/>
          <w:sz w:val="19"/>
        </w:rPr>
        <w:t xml:space="preserve"> </w:t>
      </w:r>
      <w:r>
        <w:rPr>
          <w:rFonts w:ascii="Arial" w:hAnsi="Arial"/>
          <w:w w:val="105"/>
          <w:sz w:val="19"/>
        </w:rPr>
        <w:t>sports</w:t>
      </w:r>
      <w:r>
        <w:rPr>
          <w:rFonts w:ascii="Arial" w:hAnsi="Arial"/>
          <w:spacing w:val="-30"/>
          <w:w w:val="105"/>
          <w:sz w:val="19"/>
        </w:rPr>
        <w:t xml:space="preserve"> </w:t>
      </w:r>
      <w:r>
        <w:rPr>
          <w:rFonts w:ascii="Arial" w:hAnsi="Arial"/>
          <w:w w:val="105"/>
          <w:sz w:val="19"/>
        </w:rPr>
        <w:t>supplements</w:t>
      </w:r>
      <w:r>
        <w:rPr>
          <w:rFonts w:ascii="Arial" w:hAnsi="Arial"/>
          <w:spacing w:val="-30"/>
          <w:w w:val="105"/>
          <w:sz w:val="19"/>
        </w:rPr>
        <w:t xml:space="preserve"> </w:t>
      </w:r>
      <w:r>
        <w:rPr>
          <w:rFonts w:ascii="Arial" w:hAnsi="Arial"/>
          <w:w w:val="105"/>
          <w:sz w:val="19"/>
        </w:rPr>
        <w:t>are</w:t>
      </w:r>
      <w:r>
        <w:rPr>
          <w:rFonts w:ascii="Arial" w:hAnsi="Arial"/>
          <w:spacing w:val="-30"/>
          <w:w w:val="105"/>
          <w:sz w:val="19"/>
        </w:rPr>
        <w:t xml:space="preserve"> </w:t>
      </w:r>
      <w:r>
        <w:rPr>
          <w:rFonts w:ascii="Arial" w:hAnsi="Arial"/>
          <w:w w:val="105"/>
          <w:sz w:val="19"/>
        </w:rPr>
        <w:t>not</w:t>
      </w:r>
      <w:r>
        <w:rPr>
          <w:rFonts w:ascii="Arial" w:hAnsi="Arial"/>
          <w:spacing w:val="-31"/>
          <w:w w:val="105"/>
          <w:sz w:val="19"/>
        </w:rPr>
        <w:t xml:space="preserve"> </w:t>
      </w:r>
      <w:r>
        <w:rPr>
          <w:rFonts w:ascii="Arial" w:hAnsi="Arial"/>
          <w:w w:val="105"/>
          <w:sz w:val="19"/>
        </w:rPr>
        <w:t>widely</w:t>
      </w:r>
      <w:r>
        <w:rPr>
          <w:rFonts w:ascii="Arial" w:hAnsi="Arial"/>
          <w:spacing w:val="-31"/>
          <w:w w:val="105"/>
          <w:sz w:val="19"/>
        </w:rPr>
        <w:t xml:space="preserve"> </w:t>
      </w:r>
      <w:r>
        <w:rPr>
          <w:rFonts w:ascii="Arial" w:hAnsi="Arial"/>
          <w:w w:val="105"/>
          <w:sz w:val="19"/>
        </w:rPr>
        <w:t>regulated</w:t>
      </w:r>
      <w:r>
        <w:rPr>
          <w:rFonts w:ascii="Arial" w:hAnsi="Arial"/>
          <w:spacing w:val="-32"/>
          <w:w w:val="105"/>
          <w:sz w:val="19"/>
        </w:rPr>
        <w:t xml:space="preserve"> </w:t>
      </w:r>
      <w:r>
        <w:rPr>
          <w:rFonts w:ascii="Arial" w:hAnsi="Arial"/>
          <w:w w:val="105"/>
          <w:sz w:val="19"/>
        </w:rPr>
        <w:t>as</w:t>
      </w:r>
      <w:r>
        <w:rPr>
          <w:rFonts w:ascii="Arial" w:hAnsi="Arial"/>
          <w:spacing w:val="-31"/>
          <w:w w:val="105"/>
          <w:sz w:val="19"/>
        </w:rPr>
        <w:t xml:space="preserve"> </w:t>
      </w:r>
      <w:r>
        <w:rPr>
          <w:rFonts w:ascii="Arial" w:hAnsi="Arial"/>
          <w:w w:val="105"/>
          <w:sz w:val="19"/>
        </w:rPr>
        <w:t>therapeutic</w:t>
      </w:r>
      <w:r>
        <w:rPr>
          <w:rFonts w:ascii="Arial" w:hAnsi="Arial"/>
          <w:spacing w:val="-30"/>
          <w:w w:val="105"/>
          <w:sz w:val="19"/>
        </w:rPr>
        <w:t xml:space="preserve"> </w:t>
      </w:r>
      <w:r>
        <w:rPr>
          <w:rFonts w:ascii="Arial" w:hAnsi="Arial"/>
          <w:w w:val="105"/>
          <w:sz w:val="19"/>
        </w:rPr>
        <w:t>goods</w:t>
      </w:r>
      <w:r>
        <w:rPr>
          <w:rFonts w:ascii="Arial" w:hAnsi="Arial"/>
          <w:spacing w:val="-30"/>
          <w:w w:val="105"/>
          <w:sz w:val="19"/>
        </w:rPr>
        <w:t xml:space="preserve"> </w:t>
      </w:r>
      <w:r>
        <w:rPr>
          <w:rFonts w:ascii="Arial" w:hAnsi="Arial"/>
          <w:w w:val="105"/>
          <w:sz w:val="19"/>
        </w:rPr>
        <w:t>by</w:t>
      </w:r>
      <w:r>
        <w:rPr>
          <w:rFonts w:ascii="Arial" w:hAnsi="Arial"/>
          <w:spacing w:val="-30"/>
          <w:w w:val="105"/>
          <w:sz w:val="19"/>
        </w:rPr>
        <w:t xml:space="preserve"> </w:t>
      </w:r>
      <w:r>
        <w:rPr>
          <w:rFonts w:ascii="Arial" w:hAnsi="Arial"/>
          <w:w w:val="105"/>
          <w:sz w:val="19"/>
        </w:rPr>
        <w:t>COR.</w:t>
      </w:r>
      <w:r>
        <w:rPr>
          <w:rFonts w:ascii="Arial" w:hAnsi="Arial"/>
          <w:spacing w:val="-31"/>
          <w:w w:val="105"/>
          <w:sz w:val="19"/>
        </w:rPr>
        <w:t xml:space="preserve"> </w:t>
      </w:r>
      <w:r>
        <w:rPr>
          <w:rFonts w:ascii="Arial" w:hAnsi="Arial"/>
          <w:w w:val="105"/>
          <w:sz w:val="19"/>
        </w:rPr>
        <w:t>Conversely, where</w:t>
      </w:r>
      <w:r>
        <w:rPr>
          <w:rFonts w:ascii="Arial" w:hAnsi="Arial"/>
          <w:spacing w:val="-26"/>
          <w:w w:val="105"/>
          <w:sz w:val="19"/>
        </w:rPr>
        <w:t xml:space="preserve"> </w:t>
      </w:r>
      <w:r>
        <w:rPr>
          <w:rFonts w:ascii="Arial" w:hAnsi="Arial"/>
          <w:w w:val="105"/>
          <w:sz w:val="19"/>
        </w:rPr>
        <w:t>testing</w:t>
      </w:r>
      <w:r>
        <w:rPr>
          <w:rFonts w:ascii="Arial" w:hAnsi="Arial"/>
          <w:spacing w:val="-25"/>
          <w:w w:val="105"/>
          <w:sz w:val="19"/>
        </w:rPr>
        <w:t xml:space="preserve"> </w:t>
      </w:r>
      <w:r>
        <w:rPr>
          <w:rFonts w:ascii="Arial" w:hAnsi="Arial"/>
          <w:w w:val="105"/>
          <w:sz w:val="19"/>
        </w:rPr>
        <w:t>has</w:t>
      </w:r>
      <w:r>
        <w:rPr>
          <w:rFonts w:ascii="Arial" w:hAnsi="Arial"/>
          <w:spacing w:val="-24"/>
          <w:w w:val="105"/>
          <w:sz w:val="19"/>
        </w:rPr>
        <w:t xml:space="preserve"> </w:t>
      </w:r>
      <w:r>
        <w:rPr>
          <w:rFonts w:ascii="Arial" w:hAnsi="Arial"/>
          <w:w w:val="105"/>
          <w:sz w:val="19"/>
        </w:rPr>
        <w:t>been</w:t>
      </w:r>
      <w:r>
        <w:rPr>
          <w:rFonts w:ascii="Arial" w:hAnsi="Arial"/>
          <w:spacing w:val="-25"/>
          <w:w w:val="105"/>
          <w:sz w:val="19"/>
        </w:rPr>
        <w:t xml:space="preserve"> </w:t>
      </w:r>
      <w:r>
        <w:rPr>
          <w:rFonts w:ascii="Arial" w:hAnsi="Arial"/>
          <w:w w:val="105"/>
          <w:sz w:val="19"/>
        </w:rPr>
        <w:t>undertaken</w:t>
      </w:r>
      <w:r>
        <w:rPr>
          <w:rFonts w:ascii="Arial" w:hAnsi="Arial"/>
          <w:spacing w:val="-24"/>
          <w:w w:val="105"/>
          <w:sz w:val="19"/>
        </w:rPr>
        <w:t xml:space="preserve"> </w:t>
      </w:r>
      <w:r>
        <w:rPr>
          <w:rFonts w:ascii="Arial" w:hAnsi="Arial"/>
          <w:w w:val="105"/>
          <w:sz w:val="19"/>
        </w:rPr>
        <w:t>by</w:t>
      </w:r>
      <w:r>
        <w:rPr>
          <w:rFonts w:ascii="Arial" w:hAnsi="Arial"/>
          <w:spacing w:val="-24"/>
          <w:w w:val="105"/>
          <w:sz w:val="19"/>
        </w:rPr>
        <w:t xml:space="preserve"> </w:t>
      </w:r>
      <w:r>
        <w:rPr>
          <w:rFonts w:ascii="Arial" w:hAnsi="Arial"/>
          <w:w w:val="105"/>
          <w:sz w:val="19"/>
        </w:rPr>
        <w:t>commercial</w:t>
      </w:r>
      <w:r>
        <w:rPr>
          <w:rFonts w:ascii="Arial" w:hAnsi="Arial"/>
          <w:spacing w:val="-25"/>
          <w:w w:val="105"/>
          <w:sz w:val="19"/>
        </w:rPr>
        <w:t xml:space="preserve"> </w:t>
      </w:r>
      <w:r>
        <w:rPr>
          <w:rFonts w:ascii="Arial" w:hAnsi="Arial"/>
          <w:w w:val="105"/>
          <w:sz w:val="19"/>
        </w:rPr>
        <w:t>laboratories</w:t>
      </w:r>
      <w:r>
        <w:rPr>
          <w:rFonts w:ascii="Arial" w:hAnsi="Arial"/>
          <w:spacing w:val="-25"/>
          <w:w w:val="105"/>
          <w:sz w:val="19"/>
        </w:rPr>
        <w:t xml:space="preserve"> </w:t>
      </w:r>
      <w:r>
        <w:rPr>
          <w:rFonts w:ascii="Arial" w:hAnsi="Arial"/>
          <w:w w:val="105"/>
          <w:sz w:val="19"/>
        </w:rPr>
        <w:t>on</w:t>
      </w:r>
      <w:r>
        <w:rPr>
          <w:rFonts w:ascii="Arial" w:hAnsi="Arial"/>
          <w:spacing w:val="-25"/>
          <w:w w:val="105"/>
          <w:sz w:val="19"/>
        </w:rPr>
        <w:t xml:space="preserve"> </w:t>
      </w:r>
      <w:r>
        <w:rPr>
          <w:rFonts w:ascii="Arial" w:hAnsi="Arial"/>
          <w:w w:val="105"/>
          <w:sz w:val="19"/>
        </w:rPr>
        <w:t>a</w:t>
      </w:r>
      <w:r>
        <w:rPr>
          <w:rFonts w:ascii="Arial" w:hAnsi="Arial"/>
          <w:spacing w:val="-24"/>
          <w:w w:val="105"/>
          <w:sz w:val="19"/>
        </w:rPr>
        <w:t xml:space="preserve"> </w:t>
      </w:r>
      <w:r>
        <w:rPr>
          <w:rFonts w:ascii="Arial" w:hAnsi="Arial"/>
          <w:w w:val="105"/>
          <w:sz w:val="19"/>
        </w:rPr>
        <w:t>specific</w:t>
      </w:r>
      <w:r>
        <w:rPr>
          <w:rFonts w:ascii="Arial" w:hAnsi="Arial"/>
          <w:spacing w:val="-25"/>
          <w:w w:val="105"/>
          <w:sz w:val="19"/>
        </w:rPr>
        <w:t xml:space="preserve"> </w:t>
      </w:r>
      <w:r>
        <w:rPr>
          <w:rFonts w:ascii="Arial" w:hAnsi="Arial"/>
          <w:w w:val="105"/>
          <w:sz w:val="19"/>
        </w:rPr>
        <w:t>ingredient,</w:t>
      </w:r>
      <w:r>
        <w:rPr>
          <w:rFonts w:ascii="Arial" w:hAnsi="Arial"/>
          <w:spacing w:val="-23"/>
          <w:w w:val="105"/>
          <w:sz w:val="19"/>
        </w:rPr>
        <w:t xml:space="preserve"> </w:t>
      </w:r>
      <w:r>
        <w:rPr>
          <w:rFonts w:ascii="Arial" w:hAnsi="Arial"/>
          <w:w w:val="105"/>
          <w:sz w:val="19"/>
        </w:rPr>
        <w:t>the</w:t>
      </w:r>
      <w:r>
        <w:rPr>
          <w:rFonts w:ascii="Arial" w:hAnsi="Arial"/>
          <w:spacing w:val="-26"/>
          <w:w w:val="105"/>
          <w:sz w:val="19"/>
        </w:rPr>
        <w:t xml:space="preserve"> </w:t>
      </w:r>
      <w:r>
        <w:rPr>
          <w:rFonts w:ascii="Arial" w:hAnsi="Arial"/>
          <w:w w:val="105"/>
          <w:sz w:val="19"/>
        </w:rPr>
        <w:t>results are</w:t>
      </w:r>
      <w:r>
        <w:rPr>
          <w:rFonts w:ascii="Arial" w:hAnsi="Arial"/>
          <w:spacing w:val="-24"/>
          <w:w w:val="105"/>
          <w:sz w:val="19"/>
        </w:rPr>
        <w:t xml:space="preserve"> </w:t>
      </w:r>
      <w:r>
        <w:rPr>
          <w:rFonts w:ascii="Arial" w:hAnsi="Arial"/>
          <w:w w:val="105"/>
          <w:sz w:val="19"/>
        </w:rPr>
        <w:t>the</w:t>
      </w:r>
      <w:r>
        <w:rPr>
          <w:rFonts w:ascii="Arial" w:hAnsi="Arial"/>
          <w:spacing w:val="-22"/>
          <w:w w:val="105"/>
          <w:sz w:val="19"/>
        </w:rPr>
        <w:t xml:space="preserve"> </w:t>
      </w:r>
      <w:r>
        <w:rPr>
          <w:rFonts w:ascii="Arial" w:hAnsi="Arial"/>
          <w:w w:val="105"/>
          <w:sz w:val="19"/>
        </w:rPr>
        <w:t>property</w:t>
      </w:r>
      <w:r>
        <w:rPr>
          <w:rFonts w:ascii="Arial" w:hAnsi="Arial"/>
          <w:spacing w:val="-22"/>
          <w:w w:val="105"/>
          <w:sz w:val="19"/>
        </w:rPr>
        <w:t xml:space="preserve"> </w:t>
      </w:r>
      <w:r>
        <w:rPr>
          <w:rFonts w:ascii="Arial" w:hAnsi="Arial"/>
          <w:w w:val="105"/>
          <w:sz w:val="19"/>
        </w:rPr>
        <w:t>of</w:t>
      </w:r>
      <w:r>
        <w:rPr>
          <w:rFonts w:ascii="Arial" w:hAnsi="Arial"/>
          <w:spacing w:val="-24"/>
          <w:w w:val="105"/>
          <w:sz w:val="19"/>
        </w:rPr>
        <w:t xml:space="preserve"> </w:t>
      </w:r>
      <w:r>
        <w:rPr>
          <w:rFonts w:ascii="Arial" w:hAnsi="Arial"/>
          <w:w w:val="105"/>
          <w:sz w:val="19"/>
        </w:rPr>
        <w:t>the</w:t>
      </w:r>
      <w:r>
        <w:rPr>
          <w:rFonts w:ascii="Arial" w:hAnsi="Arial"/>
          <w:spacing w:val="-22"/>
          <w:w w:val="105"/>
          <w:sz w:val="19"/>
        </w:rPr>
        <w:t xml:space="preserve"> </w:t>
      </w:r>
      <w:r>
        <w:rPr>
          <w:rFonts w:ascii="Arial" w:hAnsi="Arial"/>
          <w:w w:val="105"/>
          <w:sz w:val="19"/>
        </w:rPr>
        <w:t>business</w:t>
      </w:r>
      <w:r>
        <w:rPr>
          <w:rFonts w:ascii="Arial" w:hAnsi="Arial"/>
          <w:spacing w:val="-22"/>
          <w:w w:val="105"/>
          <w:sz w:val="19"/>
        </w:rPr>
        <w:t xml:space="preserve"> </w:t>
      </w:r>
      <w:r>
        <w:rPr>
          <w:rFonts w:ascii="Arial" w:hAnsi="Arial"/>
          <w:w w:val="105"/>
          <w:sz w:val="19"/>
        </w:rPr>
        <w:t>that</w:t>
      </w:r>
      <w:r>
        <w:rPr>
          <w:rFonts w:ascii="Arial" w:hAnsi="Arial"/>
          <w:spacing w:val="-24"/>
          <w:w w:val="105"/>
          <w:sz w:val="19"/>
        </w:rPr>
        <w:t xml:space="preserve"> </w:t>
      </w:r>
      <w:r>
        <w:rPr>
          <w:rFonts w:ascii="Arial" w:hAnsi="Arial"/>
          <w:w w:val="105"/>
          <w:sz w:val="19"/>
        </w:rPr>
        <w:t>commissioned</w:t>
      </w:r>
      <w:r>
        <w:rPr>
          <w:rFonts w:ascii="Arial" w:hAnsi="Arial"/>
          <w:spacing w:val="-23"/>
          <w:w w:val="105"/>
          <w:sz w:val="19"/>
        </w:rPr>
        <w:t xml:space="preserve"> </w:t>
      </w:r>
      <w:r>
        <w:rPr>
          <w:rFonts w:ascii="Arial" w:hAnsi="Arial"/>
          <w:w w:val="105"/>
          <w:sz w:val="19"/>
        </w:rPr>
        <w:t>the</w:t>
      </w:r>
      <w:r>
        <w:rPr>
          <w:rFonts w:ascii="Arial" w:hAnsi="Arial"/>
          <w:spacing w:val="-24"/>
          <w:w w:val="105"/>
          <w:sz w:val="19"/>
        </w:rPr>
        <w:t xml:space="preserve"> </w:t>
      </w:r>
      <w:r>
        <w:rPr>
          <w:rFonts w:ascii="Arial" w:hAnsi="Arial"/>
          <w:w w:val="105"/>
          <w:sz w:val="19"/>
        </w:rPr>
        <w:t>testing</w:t>
      </w:r>
      <w:r>
        <w:rPr>
          <w:rFonts w:ascii="Arial" w:hAnsi="Arial"/>
          <w:spacing w:val="-23"/>
          <w:w w:val="105"/>
          <w:sz w:val="19"/>
        </w:rPr>
        <w:t xml:space="preserve"> </w:t>
      </w:r>
      <w:r>
        <w:rPr>
          <w:rFonts w:ascii="Arial" w:hAnsi="Arial"/>
          <w:w w:val="105"/>
          <w:sz w:val="19"/>
        </w:rPr>
        <w:t>and</w:t>
      </w:r>
      <w:r>
        <w:rPr>
          <w:rFonts w:ascii="Arial" w:hAnsi="Arial"/>
          <w:spacing w:val="-23"/>
          <w:w w:val="105"/>
          <w:sz w:val="19"/>
        </w:rPr>
        <w:t xml:space="preserve"> </w:t>
      </w:r>
      <w:r>
        <w:rPr>
          <w:rFonts w:ascii="Arial" w:hAnsi="Arial"/>
          <w:w w:val="105"/>
          <w:sz w:val="19"/>
        </w:rPr>
        <w:t>may</w:t>
      </w:r>
      <w:r>
        <w:rPr>
          <w:rFonts w:ascii="Arial" w:hAnsi="Arial"/>
          <w:spacing w:val="-24"/>
          <w:w w:val="105"/>
          <w:sz w:val="19"/>
        </w:rPr>
        <w:t xml:space="preserve"> </w:t>
      </w:r>
      <w:r>
        <w:rPr>
          <w:rFonts w:ascii="Arial" w:hAnsi="Arial"/>
          <w:w w:val="105"/>
          <w:sz w:val="19"/>
        </w:rPr>
        <w:t>not</w:t>
      </w:r>
      <w:r>
        <w:rPr>
          <w:rFonts w:ascii="Arial" w:hAnsi="Arial"/>
          <w:spacing w:val="-22"/>
          <w:w w:val="105"/>
          <w:sz w:val="19"/>
        </w:rPr>
        <w:t xml:space="preserve"> </w:t>
      </w:r>
      <w:r>
        <w:rPr>
          <w:rFonts w:ascii="Arial" w:hAnsi="Arial"/>
          <w:w w:val="105"/>
          <w:sz w:val="19"/>
        </w:rPr>
        <w:t>be</w:t>
      </w:r>
      <w:r>
        <w:rPr>
          <w:rFonts w:ascii="Arial" w:hAnsi="Arial"/>
          <w:spacing w:val="-24"/>
          <w:w w:val="105"/>
          <w:sz w:val="19"/>
        </w:rPr>
        <w:t xml:space="preserve"> </w:t>
      </w:r>
      <w:r>
        <w:rPr>
          <w:rFonts w:ascii="Arial" w:hAnsi="Arial"/>
          <w:w w:val="105"/>
          <w:sz w:val="19"/>
        </w:rPr>
        <w:t>made</w:t>
      </w:r>
      <w:r>
        <w:rPr>
          <w:rFonts w:ascii="Arial" w:hAnsi="Arial"/>
          <w:spacing w:val="-23"/>
          <w:w w:val="105"/>
          <w:sz w:val="19"/>
        </w:rPr>
        <w:t xml:space="preserve"> </w:t>
      </w:r>
      <w:r>
        <w:rPr>
          <w:rFonts w:ascii="Arial" w:hAnsi="Arial"/>
          <w:w w:val="105"/>
          <w:sz w:val="19"/>
        </w:rPr>
        <w:t>available</w:t>
      </w:r>
      <w:r>
        <w:rPr>
          <w:rFonts w:ascii="Arial" w:hAnsi="Arial"/>
          <w:spacing w:val="-23"/>
          <w:w w:val="105"/>
          <w:sz w:val="19"/>
        </w:rPr>
        <w:t xml:space="preserve"> </w:t>
      </w:r>
      <w:r>
        <w:rPr>
          <w:rFonts w:ascii="Arial" w:hAnsi="Arial"/>
          <w:w w:val="105"/>
          <w:sz w:val="19"/>
        </w:rPr>
        <w:t>to</w:t>
      </w:r>
      <w:r>
        <w:rPr>
          <w:rFonts w:ascii="Arial" w:hAnsi="Arial"/>
          <w:spacing w:val="-23"/>
          <w:w w:val="105"/>
          <w:sz w:val="19"/>
        </w:rPr>
        <w:t xml:space="preserve"> </w:t>
      </w:r>
      <w:r>
        <w:rPr>
          <w:rFonts w:ascii="Arial" w:hAnsi="Arial"/>
          <w:w w:val="105"/>
          <w:sz w:val="19"/>
        </w:rPr>
        <w:t>an Australian</w:t>
      </w:r>
      <w:r>
        <w:rPr>
          <w:rFonts w:ascii="Arial" w:hAnsi="Arial"/>
          <w:spacing w:val="-13"/>
          <w:w w:val="105"/>
          <w:sz w:val="19"/>
        </w:rPr>
        <w:t xml:space="preserve"> </w:t>
      </w:r>
      <w:r>
        <w:rPr>
          <w:rFonts w:ascii="Arial" w:hAnsi="Arial"/>
          <w:w w:val="105"/>
          <w:sz w:val="19"/>
        </w:rPr>
        <w:t>sponsor.</w:t>
      </w:r>
    </w:p>
    <w:p w:rsidR="007D76BB" w:rsidRDefault="00D70D28">
      <w:pPr>
        <w:spacing w:before="183" w:line="264" w:lineRule="auto"/>
        <w:ind w:left="482" w:right="778"/>
        <w:rPr>
          <w:rFonts w:ascii="Arial"/>
          <w:sz w:val="19"/>
        </w:rPr>
      </w:pPr>
      <w:r>
        <w:rPr>
          <w:rFonts w:ascii="Arial"/>
          <w:w w:val="105"/>
          <w:sz w:val="19"/>
        </w:rPr>
        <w:t>It</w:t>
      </w:r>
      <w:r>
        <w:rPr>
          <w:rFonts w:ascii="Arial"/>
          <w:spacing w:val="-22"/>
          <w:w w:val="105"/>
          <w:sz w:val="19"/>
        </w:rPr>
        <w:t xml:space="preserve"> </w:t>
      </w:r>
      <w:r>
        <w:rPr>
          <w:rFonts w:ascii="Arial"/>
          <w:w w:val="105"/>
          <w:sz w:val="19"/>
        </w:rPr>
        <w:t>is</w:t>
      </w:r>
      <w:r>
        <w:rPr>
          <w:rFonts w:ascii="Arial"/>
          <w:spacing w:val="-24"/>
          <w:w w:val="105"/>
          <w:sz w:val="19"/>
        </w:rPr>
        <w:t xml:space="preserve"> </w:t>
      </w:r>
      <w:r>
        <w:rPr>
          <w:rFonts w:ascii="Arial"/>
          <w:w w:val="105"/>
          <w:sz w:val="19"/>
        </w:rPr>
        <w:t>considered</w:t>
      </w:r>
      <w:r>
        <w:rPr>
          <w:rFonts w:ascii="Arial"/>
          <w:spacing w:val="-23"/>
          <w:w w:val="105"/>
          <w:sz w:val="19"/>
        </w:rPr>
        <w:t xml:space="preserve"> </w:t>
      </w:r>
      <w:r>
        <w:rPr>
          <w:rFonts w:ascii="Arial"/>
          <w:w w:val="105"/>
          <w:sz w:val="19"/>
        </w:rPr>
        <w:t>likely</w:t>
      </w:r>
      <w:r>
        <w:rPr>
          <w:rFonts w:ascii="Arial"/>
          <w:spacing w:val="-24"/>
          <w:w w:val="105"/>
          <w:sz w:val="19"/>
        </w:rPr>
        <w:t xml:space="preserve"> </w:t>
      </w:r>
      <w:r>
        <w:rPr>
          <w:rFonts w:ascii="Arial"/>
          <w:w w:val="105"/>
          <w:sz w:val="19"/>
        </w:rPr>
        <w:t>that</w:t>
      </w:r>
      <w:r>
        <w:rPr>
          <w:rFonts w:ascii="Arial"/>
          <w:spacing w:val="-22"/>
          <w:w w:val="105"/>
          <w:sz w:val="19"/>
        </w:rPr>
        <w:t xml:space="preserve"> </w:t>
      </w:r>
      <w:r>
        <w:rPr>
          <w:rFonts w:ascii="Arial"/>
          <w:w w:val="105"/>
          <w:sz w:val="19"/>
        </w:rPr>
        <w:t>sponsors</w:t>
      </w:r>
      <w:r>
        <w:rPr>
          <w:rFonts w:ascii="Arial"/>
          <w:spacing w:val="-23"/>
          <w:w w:val="105"/>
          <w:sz w:val="19"/>
        </w:rPr>
        <w:t xml:space="preserve"> </w:t>
      </w:r>
      <w:r>
        <w:rPr>
          <w:rFonts w:ascii="Arial"/>
          <w:w w:val="105"/>
          <w:sz w:val="19"/>
        </w:rPr>
        <w:t>will</w:t>
      </w:r>
      <w:r>
        <w:rPr>
          <w:rFonts w:ascii="Arial"/>
          <w:spacing w:val="-23"/>
          <w:w w:val="105"/>
          <w:sz w:val="19"/>
        </w:rPr>
        <w:t xml:space="preserve"> </w:t>
      </w:r>
      <w:r>
        <w:rPr>
          <w:rFonts w:ascii="Arial"/>
          <w:w w:val="105"/>
          <w:sz w:val="19"/>
        </w:rPr>
        <w:t>need</w:t>
      </w:r>
      <w:r>
        <w:rPr>
          <w:rFonts w:ascii="Arial"/>
          <w:spacing w:val="-23"/>
          <w:w w:val="105"/>
          <w:sz w:val="19"/>
        </w:rPr>
        <w:t xml:space="preserve"> </w:t>
      </w:r>
      <w:r>
        <w:rPr>
          <w:rFonts w:ascii="Arial"/>
          <w:w w:val="105"/>
          <w:sz w:val="19"/>
        </w:rPr>
        <w:t>to</w:t>
      </w:r>
      <w:r>
        <w:rPr>
          <w:rFonts w:ascii="Arial"/>
          <w:spacing w:val="-24"/>
          <w:w w:val="105"/>
          <w:sz w:val="19"/>
        </w:rPr>
        <w:t xml:space="preserve"> </w:t>
      </w:r>
      <w:r>
        <w:rPr>
          <w:rFonts w:ascii="Arial"/>
          <w:w w:val="105"/>
          <w:sz w:val="19"/>
        </w:rPr>
        <w:t>prepare</w:t>
      </w:r>
      <w:r>
        <w:rPr>
          <w:rFonts w:ascii="Arial"/>
          <w:spacing w:val="-22"/>
          <w:w w:val="105"/>
          <w:sz w:val="19"/>
        </w:rPr>
        <w:t xml:space="preserve"> </w:t>
      </w:r>
      <w:r>
        <w:rPr>
          <w:rFonts w:ascii="Arial"/>
          <w:w w:val="105"/>
          <w:sz w:val="19"/>
        </w:rPr>
        <w:t>for</w:t>
      </w:r>
      <w:r>
        <w:rPr>
          <w:rFonts w:ascii="Arial"/>
          <w:spacing w:val="-21"/>
          <w:w w:val="105"/>
          <w:sz w:val="19"/>
        </w:rPr>
        <w:t xml:space="preserve"> </w:t>
      </w:r>
      <w:r>
        <w:rPr>
          <w:rFonts w:ascii="Arial"/>
          <w:w w:val="105"/>
          <w:sz w:val="19"/>
        </w:rPr>
        <w:t>and</w:t>
      </w:r>
      <w:r>
        <w:rPr>
          <w:rFonts w:ascii="Arial"/>
          <w:spacing w:val="-25"/>
          <w:w w:val="105"/>
          <w:sz w:val="19"/>
        </w:rPr>
        <w:t xml:space="preserve"> </w:t>
      </w:r>
      <w:r>
        <w:rPr>
          <w:rFonts w:ascii="Arial"/>
          <w:w w:val="105"/>
          <w:sz w:val="19"/>
        </w:rPr>
        <w:t>have</w:t>
      </w:r>
      <w:r>
        <w:rPr>
          <w:rFonts w:ascii="Arial"/>
          <w:spacing w:val="-23"/>
          <w:w w:val="105"/>
          <w:sz w:val="19"/>
        </w:rPr>
        <w:t xml:space="preserve"> </w:t>
      </w:r>
      <w:r>
        <w:rPr>
          <w:rFonts w:ascii="Arial"/>
          <w:w w:val="105"/>
          <w:sz w:val="19"/>
        </w:rPr>
        <w:t>a</w:t>
      </w:r>
      <w:r>
        <w:rPr>
          <w:rFonts w:ascii="Arial"/>
          <w:spacing w:val="-22"/>
          <w:w w:val="105"/>
          <w:sz w:val="19"/>
        </w:rPr>
        <w:t xml:space="preserve"> </w:t>
      </w:r>
      <w:r>
        <w:rPr>
          <w:rFonts w:ascii="Arial"/>
          <w:w w:val="105"/>
          <w:sz w:val="19"/>
        </w:rPr>
        <w:t>pre-submission</w:t>
      </w:r>
      <w:r>
        <w:rPr>
          <w:rFonts w:ascii="Arial"/>
          <w:spacing w:val="-22"/>
          <w:w w:val="105"/>
          <w:sz w:val="19"/>
        </w:rPr>
        <w:t xml:space="preserve"> </w:t>
      </w:r>
      <w:r>
        <w:rPr>
          <w:rFonts w:ascii="Arial"/>
          <w:w w:val="105"/>
          <w:sz w:val="19"/>
        </w:rPr>
        <w:t>meeting</w:t>
      </w:r>
      <w:r>
        <w:rPr>
          <w:rFonts w:ascii="Arial"/>
          <w:spacing w:val="-23"/>
          <w:w w:val="105"/>
          <w:sz w:val="19"/>
        </w:rPr>
        <w:t xml:space="preserve"> </w:t>
      </w:r>
      <w:r>
        <w:rPr>
          <w:rFonts w:ascii="Arial"/>
          <w:w w:val="105"/>
          <w:sz w:val="19"/>
        </w:rPr>
        <w:t>with the TGA prior to lodging the application and that multiple requests for information</w:t>
      </w:r>
      <w:r>
        <w:rPr>
          <w:rFonts w:ascii="Arial"/>
          <w:w w:val="105"/>
          <w:position w:val="7"/>
          <w:sz w:val="11"/>
        </w:rPr>
        <w:t xml:space="preserve">79 </w:t>
      </w:r>
      <w:r>
        <w:rPr>
          <w:rFonts w:ascii="Arial"/>
          <w:w w:val="105"/>
          <w:sz w:val="19"/>
        </w:rPr>
        <w:t>will be made from</w:t>
      </w:r>
      <w:r>
        <w:rPr>
          <w:rFonts w:ascii="Arial"/>
          <w:spacing w:val="-21"/>
          <w:w w:val="105"/>
          <w:sz w:val="19"/>
        </w:rPr>
        <w:t xml:space="preserve"> </w:t>
      </w:r>
      <w:r>
        <w:rPr>
          <w:rFonts w:ascii="Arial"/>
          <w:w w:val="105"/>
          <w:sz w:val="19"/>
        </w:rPr>
        <w:t>the</w:t>
      </w:r>
      <w:r>
        <w:rPr>
          <w:rFonts w:ascii="Arial"/>
          <w:spacing w:val="-21"/>
          <w:w w:val="105"/>
          <w:sz w:val="19"/>
        </w:rPr>
        <w:t xml:space="preserve"> </w:t>
      </w:r>
      <w:r>
        <w:rPr>
          <w:rFonts w:ascii="Arial"/>
          <w:w w:val="105"/>
          <w:sz w:val="19"/>
        </w:rPr>
        <w:t>TGA</w:t>
      </w:r>
      <w:r>
        <w:rPr>
          <w:rFonts w:ascii="Arial"/>
          <w:spacing w:val="-19"/>
          <w:w w:val="105"/>
          <w:sz w:val="19"/>
        </w:rPr>
        <w:t xml:space="preserve"> </w:t>
      </w:r>
      <w:r>
        <w:rPr>
          <w:rFonts w:ascii="Arial"/>
          <w:w w:val="105"/>
          <w:sz w:val="19"/>
        </w:rPr>
        <w:t>to</w:t>
      </w:r>
      <w:r>
        <w:rPr>
          <w:rFonts w:ascii="Arial"/>
          <w:spacing w:val="-22"/>
          <w:w w:val="105"/>
          <w:sz w:val="19"/>
        </w:rPr>
        <w:t xml:space="preserve"> </w:t>
      </w:r>
      <w:r>
        <w:rPr>
          <w:rFonts w:ascii="Arial"/>
          <w:w w:val="105"/>
          <w:sz w:val="19"/>
        </w:rPr>
        <w:t>the</w:t>
      </w:r>
      <w:r>
        <w:rPr>
          <w:rFonts w:ascii="Arial"/>
          <w:spacing w:val="-19"/>
          <w:w w:val="105"/>
          <w:sz w:val="19"/>
        </w:rPr>
        <w:t xml:space="preserve"> </w:t>
      </w:r>
      <w:r>
        <w:rPr>
          <w:rFonts w:ascii="Arial"/>
          <w:w w:val="105"/>
          <w:sz w:val="19"/>
        </w:rPr>
        <w:t>sponsor</w:t>
      </w:r>
      <w:r>
        <w:rPr>
          <w:rFonts w:ascii="Arial"/>
          <w:spacing w:val="-22"/>
          <w:w w:val="105"/>
          <w:sz w:val="19"/>
        </w:rPr>
        <w:t xml:space="preserve"> </w:t>
      </w:r>
      <w:r>
        <w:rPr>
          <w:rFonts w:ascii="Arial"/>
          <w:w w:val="105"/>
          <w:sz w:val="19"/>
        </w:rPr>
        <w:t>during</w:t>
      </w:r>
      <w:r>
        <w:rPr>
          <w:rFonts w:ascii="Arial"/>
          <w:spacing w:val="-21"/>
          <w:w w:val="105"/>
          <w:sz w:val="19"/>
        </w:rPr>
        <w:t xml:space="preserve"> </w:t>
      </w:r>
      <w:r>
        <w:rPr>
          <w:rFonts w:ascii="Arial"/>
          <w:w w:val="105"/>
          <w:sz w:val="19"/>
        </w:rPr>
        <w:t>the</w:t>
      </w:r>
      <w:r>
        <w:rPr>
          <w:rFonts w:ascii="Arial"/>
          <w:spacing w:val="-21"/>
          <w:w w:val="105"/>
          <w:sz w:val="19"/>
        </w:rPr>
        <w:t xml:space="preserve"> </w:t>
      </w:r>
      <w:r>
        <w:rPr>
          <w:rFonts w:ascii="Arial"/>
          <w:w w:val="105"/>
          <w:sz w:val="19"/>
        </w:rPr>
        <w:t>evaluation</w:t>
      </w:r>
      <w:r>
        <w:rPr>
          <w:rFonts w:ascii="Arial"/>
          <w:spacing w:val="-21"/>
          <w:w w:val="105"/>
          <w:sz w:val="19"/>
        </w:rPr>
        <w:t xml:space="preserve"> </w:t>
      </w:r>
      <w:r>
        <w:rPr>
          <w:rFonts w:ascii="Arial"/>
          <w:w w:val="105"/>
          <w:sz w:val="19"/>
        </w:rPr>
        <w:t>phase.</w:t>
      </w:r>
      <w:r>
        <w:rPr>
          <w:rFonts w:ascii="Arial"/>
          <w:spacing w:val="-22"/>
          <w:w w:val="105"/>
          <w:sz w:val="19"/>
        </w:rPr>
        <w:t xml:space="preserve"> </w:t>
      </w:r>
      <w:r>
        <w:rPr>
          <w:rFonts w:ascii="Arial"/>
          <w:w w:val="105"/>
          <w:sz w:val="19"/>
        </w:rPr>
        <w:t>There</w:t>
      </w:r>
      <w:r>
        <w:rPr>
          <w:rFonts w:ascii="Arial"/>
          <w:spacing w:val="-15"/>
          <w:w w:val="105"/>
          <w:sz w:val="19"/>
        </w:rPr>
        <w:t xml:space="preserve"> </w:t>
      </w:r>
      <w:r>
        <w:rPr>
          <w:rFonts w:ascii="Arial"/>
          <w:w w:val="105"/>
          <w:sz w:val="19"/>
        </w:rPr>
        <w:t>will</w:t>
      </w:r>
      <w:r>
        <w:rPr>
          <w:rFonts w:ascii="Arial"/>
          <w:spacing w:val="-21"/>
          <w:w w:val="105"/>
          <w:sz w:val="19"/>
        </w:rPr>
        <w:t xml:space="preserve"> </w:t>
      </w:r>
      <w:r>
        <w:rPr>
          <w:rFonts w:ascii="Arial"/>
          <w:w w:val="105"/>
          <w:sz w:val="19"/>
        </w:rPr>
        <w:t>also</w:t>
      </w:r>
      <w:r>
        <w:rPr>
          <w:rFonts w:ascii="Arial"/>
          <w:spacing w:val="-20"/>
          <w:w w:val="105"/>
          <w:sz w:val="19"/>
        </w:rPr>
        <w:t xml:space="preserve"> </w:t>
      </w:r>
      <w:r>
        <w:rPr>
          <w:rFonts w:ascii="Arial"/>
          <w:w w:val="105"/>
          <w:sz w:val="19"/>
        </w:rPr>
        <w:t>be</w:t>
      </w:r>
      <w:r>
        <w:rPr>
          <w:rFonts w:ascii="Arial"/>
          <w:spacing w:val="-21"/>
          <w:w w:val="105"/>
          <w:sz w:val="19"/>
        </w:rPr>
        <w:t xml:space="preserve"> </w:t>
      </w:r>
      <w:r>
        <w:rPr>
          <w:rFonts w:ascii="Arial"/>
          <w:w w:val="105"/>
          <w:sz w:val="19"/>
        </w:rPr>
        <w:t>up</w:t>
      </w:r>
      <w:r>
        <w:rPr>
          <w:rFonts w:ascii="Arial"/>
          <w:spacing w:val="-21"/>
          <w:w w:val="105"/>
          <w:sz w:val="19"/>
        </w:rPr>
        <w:t xml:space="preserve"> </w:t>
      </w:r>
      <w:r>
        <w:rPr>
          <w:rFonts w:ascii="Arial"/>
          <w:w w:val="105"/>
          <w:sz w:val="19"/>
        </w:rPr>
        <w:t>to</w:t>
      </w:r>
      <w:r>
        <w:rPr>
          <w:rFonts w:ascii="Arial"/>
          <w:spacing w:val="-20"/>
          <w:w w:val="105"/>
          <w:sz w:val="19"/>
        </w:rPr>
        <w:t xml:space="preserve"> </w:t>
      </w:r>
      <w:r>
        <w:rPr>
          <w:rFonts w:ascii="Arial"/>
          <w:w w:val="105"/>
          <w:sz w:val="19"/>
        </w:rPr>
        <w:t>three</w:t>
      </w:r>
      <w:r>
        <w:rPr>
          <w:rFonts w:ascii="Arial"/>
          <w:spacing w:val="-19"/>
          <w:w w:val="105"/>
          <w:sz w:val="19"/>
        </w:rPr>
        <w:t xml:space="preserve"> </w:t>
      </w:r>
      <w:r>
        <w:rPr>
          <w:rFonts w:ascii="Arial"/>
          <w:w w:val="105"/>
          <w:sz w:val="19"/>
        </w:rPr>
        <w:t>letters</w:t>
      </w:r>
      <w:r>
        <w:rPr>
          <w:rFonts w:ascii="Arial"/>
          <w:spacing w:val="-21"/>
          <w:w w:val="105"/>
          <w:sz w:val="19"/>
        </w:rPr>
        <w:t xml:space="preserve"> </w:t>
      </w:r>
      <w:r>
        <w:rPr>
          <w:rFonts w:ascii="Arial"/>
          <w:w w:val="105"/>
          <w:sz w:val="19"/>
        </w:rPr>
        <w:t xml:space="preserve">sent from the TGA to the sponsor </w:t>
      </w:r>
      <w:r>
        <w:rPr>
          <w:rFonts w:ascii="Arial"/>
          <w:w w:val="105"/>
          <w:sz w:val="19"/>
        </w:rPr>
        <w:lastRenderedPageBreak/>
        <w:t xml:space="preserve">(acknowledgement of </w:t>
      </w:r>
      <w:proofErr w:type="spellStart"/>
      <w:r>
        <w:rPr>
          <w:rFonts w:ascii="Arial"/>
          <w:w w:val="105"/>
          <w:sz w:val="19"/>
        </w:rPr>
        <w:t>lodgement</w:t>
      </w:r>
      <w:proofErr w:type="spellEnd"/>
      <w:r>
        <w:rPr>
          <w:rFonts w:ascii="Arial"/>
          <w:w w:val="105"/>
          <w:sz w:val="19"/>
        </w:rPr>
        <w:t>, notification of application accepted/not</w:t>
      </w:r>
      <w:r>
        <w:rPr>
          <w:rFonts w:ascii="Arial"/>
          <w:spacing w:val="-27"/>
          <w:w w:val="105"/>
          <w:sz w:val="19"/>
        </w:rPr>
        <w:t xml:space="preserve"> </w:t>
      </w:r>
      <w:r>
        <w:rPr>
          <w:rFonts w:ascii="Arial"/>
          <w:w w:val="105"/>
          <w:sz w:val="19"/>
        </w:rPr>
        <w:t>accepted</w:t>
      </w:r>
      <w:r>
        <w:rPr>
          <w:rFonts w:ascii="Arial"/>
          <w:spacing w:val="-27"/>
          <w:w w:val="105"/>
          <w:sz w:val="19"/>
        </w:rPr>
        <w:t xml:space="preserve"> </w:t>
      </w:r>
      <w:r>
        <w:rPr>
          <w:rFonts w:ascii="Arial"/>
          <w:w w:val="105"/>
          <w:sz w:val="19"/>
        </w:rPr>
        <w:t>for</w:t>
      </w:r>
      <w:r>
        <w:rPr>
          <w:rFonts w:ascii="Arial"/>
          <w:spacing w:val="-27"/>
          <w:w w:val="105"/>
          <w:sz w:val="19"/>
        </w:rPr>
        <w:t xml:space="preserve"> </w:t>
      </w:r>
      <w:r>
        <w:rPr>
          <w:rFonts w:ascii="Arial"/>
          <w:w w:val="105"/>
          <w:sz w:val="19"/>
        </w:rPr>
        <w:t>evaluation,</w:t>
      </w:r>
      <w:r>
        <w:rPr>
          <w:rFonts w:ascii="Arial"/>
          <w:spacing w:val="-26"/>
          <w:w w:val="105"/>
          <w:sz w:val="19"/>
        </w:rPr>
        <w:t xml:space="preserve"> </w:t>
      </w:r>
      <w:r>
        <w:rPr>
          <w:rFonts w:ascii="Arial"/>
          <w:w w:val="105"/>
          <w:sz w:val="19"/>
        </w:rPr>
        <w:t>and</w:t>
      </w:r>
      <w:r>
        <w:rPr>
          <w:rFonts w:ascii="Arial"/>
          <w:spacing w:val="-27"/>
          <w:w w:val="105"/>
          <w:sz w:val="19"/>
        </w:rPr>
        <w:t xml:space="preserve"> </w:t>
      </w:r>
      <w:r>
        <w:rPr>
          <w:rFonts w:ascii="Arial"/>
          <w:w w:val="105"/>
          <w:sz w:val="19"/>
        </w:rPr>
        <w:t>notification</w:t>
      </w:r>
      <w:r>
        <w:rPr>
          <w:rFonts w:ascii="Arial"/>
          <w:spacing w:val="-25"/>
          <w:w w:val="105"/>
          <w:sz w:val="19"/>
        </w:rPr>
        <w:t xml:space="preserve"> </w:t>
      </w:r>
      <w:r>
        <w:rPr>
          <w:rFonts w:ascii="Arial"/>
          <w:w w:val="105"/>
          <w:sz w:val="19"/>
        </w:rPr>
        <w:t>of</w:t>
      </w:r>
      <w:r>
        <w:rPr>
          <w:rFonts w:ascii="Arial"/>
          <w:spacing w:val="-28"/>
          <w:w w:val="105"/>
          <w:sz w:val="19"/>
        </w:rPr>
        <w:t xml:space="preserve"> </w:t>
      </w:r>
      <w:r>
        <w:rPr>
          <w:rFonts w:ascii="Arial"/>
          <w:w w:val="105"/>
          <w:sz w:val="19"/>
        </w:rPr>
        <w:t>delegate</w:t>
      </w:r>
      <w:r>
        <w:rPr>
          <w:rFonts w:ascii="Arial"/>
          <w:spacing w:val="-25"/>
          <w:w w:val="105"/>
          <w:sz w:val="19"/>
        </w:rPr>
        <w:t xml:space="preserve"> </w:t>
      </w:r>
      <w:r>
        <w:rPr>
          <w:rFonts w:ascii="Arial"/>
          <w:w w:val="105"/>
          <w:sz w:val="19"/>
        </w:rPr>
        <w:t>decision</w:t>
      </w:r>
      <w:r>
        <w:rPr>
          <w:rFonts w:ascii="Arial"/>
          <w:spacing w:val="-27"/>
          <w:w w:val="105"/>
          <w:sz w:val="19"/>
        </w:rPr>
        <w:t xml:space="preserve"> </w:t>
      </w:r>
      <w:r>
        <w:rPr>
          <w:rFonts w:ascii="Arial"/>
          <w:w w:val="105"/>
          <w:sz w:val="19"/>
        </w:rPr>
        <w:t>(substance</w:t>
      </w:r>
      <w:r>
        <w:rPr>
          <w:rFonts w:ascii="Arial"/>
          <w:spacing w:val="-26"/>
          <w:w w:val="105"/>
          <w:sz w:val="19"/>
        </w:rPr>
        <w:t xml:space="preserve"> </w:t>
      </w:r>
      <w:r>
        <w:rPr>
          <w:rFonts w:ascii="Arial"/>
          <w:w w:val="105"/>
          <w:sz w:val="19"/>
        </w:rPr>
        <w:t>considered</w:t>
      </w:r>
    </w:p>
    <w:p w:rsidR="007D76BB" w:rsidRDefault="00D70D28">
      <w:pPr>
        <w:pStyle w:val="BodyText"/>
        <w:spacing w:before="10"/>
        <w:rPr>
          <w:rFonts w:ascii="Arial"/>
          <w:sz w:val="10"/>
        </w:rPr>
      </w:pPr>
      <w:r>
        <w:rPr>
          <w:noProof/>
          <w:lang w:val="en-AU" w:eastAsia="en-AU"/>
        </w:rPr>
        <mc:AlternateContent>
          <mc:Choice Requires="wps">
            <w:drawing>
              <wp:anchor distT="0" distB="0" distL="0" distR="0" simplePos="0" relativeHeight="251749376" behindDoc="1" locked="0" layoutInCell="1" allowOverlap="1">
                <wp:simplePos x="0" y="0"/>
                <wp:positionH relativeFrom="page">
                  <wp:posOffset>1080770</wp:posOffset>
                </wp:positionH>
                <wp:positionV relativeFrom="paragraph">
                  <wp:posOffset>109855</wp:posOffset>
                </wp:positionV>
                <wp:extent cx="1829435" cy="1270"/>
                <wp:effectExtent l="0" t="0" r="0" b="0"/>
                <wp:wrapTopAndBottom/>
                <wp:docPr id="280"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66C96" id="Freeform 136" o:spid="_x0000_s1026" style="position:absolute;margin-left:85.1pt;margin-top:8.65pt;width:144.05pt;height:.1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" path="m,l2880,e" filled="f" strokeweight=".84pt">
                <v:path arrowok="t" o:connecttype="custom" o:connectlocs="0,0;1828800,0" o:connectangles="0,0"/>
                <w10:wrap type="topAndBottom" anchorx="page"/>
              </v:shape>
            </w:pict>
          </mc:Fallback>
        </mc:AlternateContent>
      </w:r>
    </w:p>
    <w:p w:rsidR="007D76BB" w:rsidRDefault="00D70D28">
      <w:pPr>
        <w:spacing w:before="132" w:line="268" w:lineRule="auto"/>
        <w:ind w:left="594" w:right="1181" w:hanging="113"/>
        <w:rPr>
          <w:rFonts w:ascii="Arial" w:hAnsi="Arial"/>
          <w:sz w:val="14"/>
        </w:rPr>
      </w:pPr>
      <w:r>
        <w:rPr>
          <w:rFonts w:ascii="Arial" w:hAnsi="Arial"/>
          <w:color w:val="5B6761"/>
          <w:position w:val="5"/>
          <w:sz w:val="8"/>
        </w:rPr>
        <w:t>74</w:t>
      </w:r>
      <w:r>
        <w:rPr>
          <w:rFonts w:ascii="Arial" w:hAnsi="Arial"/>
          <w:color w:val="5B6761"/>
          <w:spacing w:val="7"/>
          <w:position w:val="5"/>
          <w:sz w:val="8"/>
        </w:rPr>
        <w:t xml:space="preserve"> </w:t>
      </w:r>
      <w:r>
        <w:rPr>
          <w:rFonts w:ascii="Arial" w:hAnsi="Arial"/>
          <w:color w:val="5B6761"/>
          <w:sz w:val="14"/>
        </w:rPr>
        <w:t>For</w:t>
      </w:r>
      <w:r>
        <w:rPr>
          <w:rFonts w:ascii="Arial" w:hAnsi="Arial"/>
          <w:color w:val="5B6761"/>
          <w:spacing w:val="-10"/>
          <w:sz w:val="14"/>
        </w:rPr>
        <w:t xml:space="preserve"> </w:t>
      </w:r>
      <w:r>
        <w:rPr>
          <w:rFonts w:ascii="Arial" w:hAnsi="Arial"/>
          <w:color w:val="5B6761"/>
          <w:sz w:val="14"/>
        </w:rPr>
        <w:t>example,</w:t>
      </w:r>
      <w:r>
        <w:rPr>
          <w:rFonts w:ascii="Arial" w:hAnsi="Arial"/>
          <w:color w:val="5B6761"/>
          <w:spacing w:val="-11"/>
          <w:sz w:val="14"/>
        </w:rPr>
        <w:t xml:space="preserve"> </w:t>
      </w:r>
      <w:r>
        <w:rPr>
          <w:rFonts w:ascii="Arial" w:hAnsi="Arial"/>
          <w:color w:val="5B6761"/>
          <w:sz w:val="14"/>
        </w:rPr>
        <w:t>ARTG</w:t>
      </w:r>
      <w:r>
        <w:rPr>
          <w:rFonts w:ascii="Arial" w:hAnsi="Arial"/>
          <w:color w:val="5B6761"/>
          <w:spacing w:val="-10"/>
          <w:sz w:val="14"/>
        </w:rPr>
        <w:t xml:space="preserve"> </w:t>
      </w:r>
      <w:r>
        <w:rPr>
          <w:rFonts w:ascii="Arial" w:hAnsi="Arial"/>
          <w:color w:val="5B6761"/>
          <w:sz w:val="14"/>
        </w:rPr>
        <w:t>ID</w:t>
      </w:r>
      <w:r>
        <w:rPr>
          <w:rFonts w:ascii="Arial" w:hAnsi="Arial"/>
          <w:color w:val="5B6761"/>
          <w:spacing w:val="-10"/>
          <w:sz w:val="14"/>
        </w:rPr>
        <w:t xml:space="preserve"> </w:t>
      </w:r>
      <w:r>
        <w:rPr>
          <w:rFonts w:ascii="Arial" w:hAnsi="Arial"/>
          <w:color w:val="5B6761"/>
          <w:sz w:val="14"/>
        </w:rPr>
        <w:t>321173</w:t>
      </w:r>
      <w:r>
        <w:rPr>
          <w:rFonts w:ascii="Arial" w:hAnsi="Arial"/>
          <w:color w:val="5B6761"/>
          <w:spacing w:val="-8"/>
          <w:sz w:val="14"/>
        </w:rPr>
        <w:t xml:space="preserve"> </w:t>
      </w:r>
      <w:r>
        <w:rPr>
          <w:rFonts w:ascii="Arial" w:hAnsi="Arial"/>
          <w:color w:val="5B6761"/>
          <w:sz w:val="14"/>
        </w:rPr>
        <w:t>is</w:t>
      </w:r>
      <w:r>
        <w:rPr>
          <w:rFonts w:ascii="Arial" w:hAnsi="Arial"/>
          <w:color w:val="5B6761"/>
          <w:spacing w:val="-11"/>
          <w:sz w:val="14"/>
        </w:rPr>
        <w:t xml:space="preserve"> </w:t>
      </w:r>
      <w:r>
        <w:rPr>
          <w:rFonts w:ascii="Arial" w:hAnsi="Arial"/>
          <w:color w:val="5B6761"/>
          <w:sz w:val="14"/>
        </w:rPr>
        <w:t>for</w:t>
      </w:r>
      <w:r>
        <w:rPr>
          <w:rFonts w:ascii="Arial" w:hAnsi="Arial"/>
          <w:color w:val="5B6761"/>
          <w:spacing w:val="-10"/>
          <w:sz w:val="14"/>
        </w:rPr>
        <w:t xml:space="preserve"> </w:t>
      </w:r>
      <w:r>
        <w:rPr>
          <w:rFonts w:ascii="Arial" w:hAnsi="Arial"/>
          <w:color w:val="5B6761"/>
          <w:sz w:val="14"/>
        </w:rPr>
        <w:t>‘Weight</w:t>
      </w:r>
      <w:r>
        <w:rPr>
          <w:rFonts w:ascii="Arial" w:hAnsi="Arial"/>
          <w:color w:val="5B6761"/>
          <w:spacing w:val="-9"/>
          <w:sz w:val="14"/>
        </w:rPr>
        <w:t xml:space="preserve"> </w:t>
      </w:r>
      <w:r>
        <w:rPr>
          <w:rFonts w:ascii="Arial" w:hAnsi="Arial"/>
          <w:color w:val="5B6761"/>
          <w:sz w:val="14"/>
        </w:rPr>
        <w:t>Loss</w:t>
      </w:r>
      <w:r>
        <w:rPr>
          <w:rFonts w:ascii="Arial" w:hAnsi="Arial"/>
          <w:color w:val="5B6761"/>
          <w:spacing w:val="-11"/>
          <w:sz w:val="14"/>
        </w:rPr>
        <w:t xml:space="preserve"> </w:t>
      </w:r>
      <w:r>
        <w:rPr>
          <w:rFonts w:ascii="Arial" w:hAnsi="Arial"/>
          <w:color w:val="5B6761"/>
          <w:sz w:val="14"/>
        </w:rPr>
        <w:t>Max’,</w:t>
      </w:r>
      <w:r>
        <w:rPr>
          <w:rFonts w:ascii="Arial" w:hAnsi="Arial"/>
          <w:color w:val="5B6761"/>
          <w:spacing w:val="-11"/>
          <w:sz w:val="14"/>
        </w:rPr>
        <w:t xml:space="preserve"> </w:t>
      </w:r>
      <w:r>
        <w:rPr>
          <w:rFonts w:ascii="Arial" w:hAnsi="Arial"/>
          <w:color w:val="5B6761"/>
          <w:sz w:val="14"/>
        </w:rPr>
        <w:t>a</w:t>
      </w:r>
      <w:r>
        <w:rPr>
          <w:rFonts w:ascii="Arial" w:hAnsi="Arial"/>
          <w:color w:val="5B6761"/>
          <w:spacing w:val="-9"/>
          <w:sz w:val="14"/>
        </w:rPr>
        <w:t xml:space="preserve"> </w:t>
      </w:r>
      <w:r>
        <w:rPr>
          <w:rFonts w:ascii="Arial" w:hAnsi="Arial"/>
          <w:color w:val="5B6761"/>
          <w:sz w:val="14"/>
        </w:rPr>
        <w:t>capsule</w:t>
      </w:r>
      <w:r>
        <w:rPr>
          <w:rFonts w:ascii="Arial" w:hAnsi="Arial"/>
          <w:color w:val="5B6761"/>
          <w:spacing w:val="-12"/>
          <w:sz w:val="14"/>
        </w:rPr>
        <w:t xml:space="preserve"> </w:t>
      </w:r>
      <w:r>
        <w:rPr>
          <w:rFonts w:ascii="Arial" w:hAnsi="Arial"/>
          <w:color w:val="5B6761"/>
          <w:sz w:val="14"/>
        </w:rPr>
        <w:t>product</w:t>
      </w:r>
      <w:r>
        <w:rPr>
          <w:rFonts w:ascii="Arial" w:hAnsi="Arial"/>
          <w:color w:val="5B6761"/>
          <w:spacing w:val="-10"/>
          <w:sz w:val="14"/>
        </w:rPr>
        <w:t xml:space="preserve"> </w:t>
      </w:r>
      <w:r>
        <w:rPr>
          <w:rFonts w:ascii="Arial" w:hAnsi="Arial"/>
          <w:color w:val="5B6761"/>
          <w:sz w:val="14"/>
        </w:rPr>
        <w:t>produced</w:t>
      </w:r>
      <w:r>
        <w:rPr>
          <w:rFonts w:ascii="Arial" w:hAnsi="Arial"/>
          <w:color w:val="5B6761"/>
          <w:spacing w:val="-9"/>
          <w:sz w:val="14"/>
        </w:rPr>
        <w:t xml:space="preserve"> </w:t>
      </w:r>
      <w:r>
        <w:rPr>
          <w:rFonts w:ascii="Arial" w:hAnsi="Arial"/>
          <w:color w:val="5B6761"/>
          <w:sz w:val="14"/>
        </w:rPr>
        <w:t>by</w:t>
      </w:r>
      <w:r>
        <w:rPr>
          <w:rFonts w:ascii="Arial" w:hAnsi="Arial"/>
          <w:color w:val="5B6761"/>
          <w:spacing w:val="-11"/>
          <w:sz w:val="14"/>
        </w:rPr>
        <w:t xml:space="preserve"> </w:t>
      </w:r>
      <w:r>
        <w:rPr>
          <w:rFonts w:ascii="Arial" w:hAnsi="Arial"/>
          <w:color w:val="5B6761"/>
          <w:sz w:val="14"/>
        </w:rPr>
        <w:t>Bella</w:t>
      </w:r>
      <w:r>
        <w:rPr>
          <w:rFonts w:ascii="Arial" w:hAnsi="Arial"/>
          <w:color w:val="5B6761"/>
          <w:spacing w:val="-10"/>
          <w:sz w:val="14"/>
        </w:rPr>
        <w:t xml:space="preserve"> </w:t>
      </w:r>
      <w:proofErr w:type="spellStart"/>
      <w:r>
        <w:rPr>
          <w:rFonts w:ascii="Arial" w:hAnsi="Arial"/>
          <w:color w:val="5B6761"/>
          <w:sz w:val="14"/>
        </w:rPr>
        <w:t>Figura</w:t>
      </w:r>
      <w:proofErr w:type="spellEnd"/>
      <w:r>
        <w:rPr>
          <w:rFonts w:ascii="Arial" w:hAnsi="Arial"/>
          <w:color w:val="5B6761"/>
          <w:spacing w:val="-10"/>
          <w:sz w:val="14"/>
        </w:rPr>
        <w:t xml:space="preserve"> </w:t>
      </w:r>
      <w:r>
        <w:rPr>
          <w:rFonts w:ascii="Arial" w:hAnsi="Arial"/>
          <w:color w:val="5B6761"/>
          <w:sz w:val="14"/>
        </w:rPr>
        <w:t>Wellness</w:t>
      </w:r>
      <w:r>
        <w:rPr>
          <w:rFonts w:ascii="Arial" w:hAnsi="Arial"/>
          <w:color w:val="5B6761"/>
          <w:spacing w:val="-10"/>
          <w:sz w:val="14"/>
        </w:rPr>
        <w:t xml:space="preserve"> </w:t>
      </w:r>
      <w:r>
        <w:rPr>
          <w:rFonts w:ascii="Arial" w:hAnsi="Arial"/>
          <w:color w:val="5B6761"/>
          <w:sz w:val="14"/>
        </w:rPr>
        <w:t>Pty</w:t>
      </w:r>
      <w:r>
        <w:rPr>
          <w:rFonts w:ascii="Arial" w:hAnsi="Arial"/>
          <w:color w:val="5B6761"/>
          <w:spacing w:val="-11"/>
          <w:sz w:val="14"/>
        </w:rPr>
        <w:t xml:space="preserve"> </w:t>
      </w:r>
      <w:r>
        <w:rPr>
          <w:rFonts w:ascii="Arial" w:hAnsi="Arial"/>
          <w:color w:val="5B6761"/>
          <w:sz w:val="14"/>
        </w:rPr>
        <w:t>Ltd</w:t>
      </w:r>
      <w:r>
        <w:rPr>
          <w:rFonts w:ascii="Arial" w:hAnsi="Arial"/>
          <w:color w:val="5B6761"/>
          <w:spacing w:val="-10"/>
          <w:sz w:val="14"/>
        </w:rPr>
        <w:t xml:space="preserve"> </w:t>
      </w:r>
      <w:r>
        <w:rPr>
          <w:rFonts w:ascii="Arial" w:hAnsi="Arial"/>
          <w:color w:val="5B6761"/>
          <w:sz w:val="14"/>
        </w:rPr>
        <w:t>and</w:t>
      </w:r>
      <w:r>
        <w:rPr>
          <w:rFonts w:ascii="Arial" w:hAnsi="Arial"/>
          <w:color w:val="5B6761"/>
          <w:spacing w:val="-10"/>
          <w:sz w:val="14"/>
        </w:rPr>
        <w:t xml:space="preserve"> </w:t>
      </w:r>
      <w:r>
        <w:rPr>
          <w:rFonts w:ascii="Arial" w:hAnsi="Arial"/>
          <w:color w:val="5B6761"/>
          <w:sz w:val="14"/>
        </w:rPr>
        <w:t>ARTG</w:t>
      </w:r>
      <w:r>
        <w:rPr>
          <w:rFonts w:ascii="Arial" w:hAnsi="Arial"/>
          <w:color w:val="5B6761"/>
          <w:spacing w:val="-10"/>
          <w:sz w:val="14"/>
        </w:rPr>
        <w:t xml:space="preserve"> </w:t>
      </w:r>
      <w:r>
        <w:rPr>
          <w:rFonts w:ascii="Arial" w:hAnsi="Arial"/>
          <w:color w:val="5B6761"/>
          <w:sz w:val="14"/>
        </w:rPr>
        <w:t>ID 157099</w:t>
      </w:r>
      <w:r>
        <w:rPr>
          <w:rFonts w:ascii="Arial" w:hAnsi="Arial"/>
          <w:color w:val="5B6761"/>
          <w:spacing w:val="-3"/>
          <w:sz w:val="14"/>
        </w:rPr>
        <w:t xml:space="preserve"> </w:t>
      </w:r>
      <w:r>
        <w:rPr>
          <w:rFonts w:ascii="Arial" w:hAnsi="Arial"/>
          <w:color w:val="5B6761"/>
          <w:sz w:val="14"/>
        </w:rPr>
        <w:t>is</w:t>
      </w:r>
      <w:r>
        <w:rPr>
          <w:rFonts w:ascii="Arial" w:hAnsi="Arial"/>
          <w:color w:val="5B6761"/>
          <w:spacing w:val="-4"/>
          <w:sz w:val="14"/>
        </w:rPr>
        <w:t xml:space="preserve"> </w:t>
      </w:r>
      <w:r>
        <w:rPr>
          <w:rFonts w:ascii="Arial" w:hAnsi="Arial"/>
          <w:color w:val="5B6761"/>
          <w:sz w:val="14"/>
        </w:rPr>
        <w:t>for</w:t>
      </w:r>
      <w:r>
        <w:rPr>
          <w:rFonts w:ascii="Arial" w:hAnsi="Arial"/>
          <w:color w:val="5B6761"/>
          <w:spacing w:val="-3"/>
          <w:sz w:val="14"/>
        </w:rPr>
        <w:t xml:space="preserve"> </w:t>
      </w:r>
      <w:r>
        <w:rPr>
          <w:rFonts w:ascii="Arial" w:hAnsi="Arial"/>
          <w:color w:val="5B6761"/>
          <w:sz w:val="14"/>
        </w:rPr>
        <w:t>‘Bronx</w:t>
      </w:r>
      <w:r>
        <w:rPr>
          <w:rFonts w:ascii="Arial" w:hAnsi="Arial"/>
          <w:color w:val="5B6761"/>
          <w:spacing w:val="-4"/>
          <w:sz w:val="14"/>
        </w:rPr>
        <w:t xml:space="preserve"> </w:t>
      </w:r>
      <w:r>
        <w:rPr>
          <w:rFonts w:ascii="Arial" w:hAnsi="Arial"/>
          <w:color w:val="5B6761"/>
          <w:sz w:val="14"/>
        </w:rPr>
        <w:t>Wild</w:t>
      </w:r>
      <w:r>
        <w:rPr>
          <w:rFonts w:ascii="Arial" w:hAnsi="Arial"/>
          <w:color w:val="5B6761"/>
          <w:spacing w:val="-3"/>
          <w:sz w:val="14"/>
        </w:rPr>
        <w:t xml:space="preserve"> </w:t>
      </w:r>
      <w:r>
        <w:rPr>
          <w:rFonts w:ascii="Arial" w:hAnsi="Arial"/>
          <w:color w:val="5B6761"/>
          <w:sz w:val="14"/>
        </w:rPr>
        <w:t>Bull</w:t>
      </w:r>
      <w:r>
        <w:rPr>
          <w:rFonts w:ascii="Arial" w:hAnsi="Arial"/>
          <w:color w:val="5B6761"/>
          <w:spacing w:val="-3"/>
          <w:sz w:val="14"/>
        </w:rPr>
        <w:t xml:space="preserve"> </w:t>
      </w:r>
      <w:proofErr w:type="spellStart"/>
      <w:r>
        <w:rPr>
          <w:rFonts w:ascii="Arial" w:hAnsi="Arial"/>
          <w:color w:val="5B6761"/>
          <w:sz w:val="14"/>
        </w:rPr>
        <w:t>Thermogenic</w:t>
      </w:r>
      <w:proofErr w:type="spellEnd"/>
      <w:r>
        <w:rPr>
          <w:rFonts w:ascii="Arial" w:hAnsi="Arial"/>
          <w:color w:val="5B6761"/>
          <w:sz w:val="14"/>
        </w:rPr>
        <w:t>’,</w:t>
      </w:r>
      <w:r>
        <w:rPr>
          <w:rFonts w:ascii="Arial" w:hAnsi="Arial"/>
          <w:color w:val="5B6761"/>
          <w:spacing w:val="-4"/>
          <w:sz w:val="14"/>
        </w:rPr>
        <w:t xml:space="preserve"> </w:t>
      </w:r>
      <w:r>
        <w:rPr>
          <w:rFonts w:ascii="Arial" w:hAnsi="Arial"/>
          <w:color w:val="5B6761"/>
          <w:sz w:val="14"/>
        </w:rPr>
        <w:t>produced</w:t>
      </w:r>
      <w:r>
        <w:rPr>
          <w:rFonts w:ascii="Arial" w:hAnsi="Arial"/>
          <w:color w:val="5B6761"/>
          <w:spacing w:val="-3"/>
          <w:sz w:val="14"/>
        </w:rPr>
        <w:t xml:space="preserve"> </w:t>
      </w:r>
      <w:r>
        <w:rPr>
          <w:rFonts w:ascii="Arial" w:hAnsi="Arial"/>
          <w:color w:val="5B6761"/>
          <w:sz w:val="14"/>
        </w:rPr>
        <w:t>by</w:t>
      </w:r>
      <w:r>
        <w:rPr>
          <w:rFonts w:ascii="Arial" w:hAnsi="Arial"/>
          <w:color w:val="5B6761"/>
          <w:spacing w:val="-4"/>
          <w:sz w:val="14"/>
        </w:rPr>
        <w:t xml:space="preserve"> </w:t>
      </w:r>
      <w:r>
        <w:rPr>
          <w:rFonts w:ascii="Arial" w:hAnsi="Arial"/>
          <w:color w:val="5B6761"/>
          <w:sz w:val="14"/>
        </w:rPr>
        <w:t>Bronx</w:t>
      </w:r>
      <w:r>
        <w:rPr>
          <w:rFonts w:ascii="Arial" w:hAnsi="Arial"/>
          <w:color w:val="5B6761"/>
          <w:spacing w:val="-4"/>
          <w:sz w:val="14"/>
        </w:rPr>
        <w:t xml:space="preserve"> </w:t>
      </w:r>
      <w:r>
        <w:rPr>
          <w:rFonts w:ascii="Arial" w:hAnsi="Arial"/>
          <w:color w:val="5B6761"/>
          <w:sz w:val="14"/>
        </w:rPr>
        <w:t>Import</w:t>
      </w:r>
      <w:r>
        <w:rPr>
          <w:rFonts w:ascii="Arial" w:hAnsi="Arial"/>
          <w:color w:val="5B6761"/>
          <w:spacing w:val="-3"/>
          <w:sz w:val="14"/>
        </w:rPr>
        <w:t xml:space="preserve"> </w:t>
      </w:r>
      <w:r>
        <w:rPr>
          <w:rFonts w:ascii="Arial" w:hAnsi="Arial"/>
          <w:color w:val="5B6761"/>
          <w:sz w:val="14"/>
        </w:rPr>
        <w:t>and</w:t>
      </w:r>
      <w:r>
        <w:rPr>
          <w:rFonts w:ascii="Arial" w:hAnsi="Arial"/>
          <w:color w:val="5B6761"/>
          <w:spacing w:val="-5"/>
          <w:sz w:val="14"/>
        </w:rPr>
        <w:t xml:space="preserve"> </w:t>
      </w:r>
      <w:r>
        <w:rPr>
          <w:rFonts w:ascii="Arial" w:hAnsi="Arial"/>
          <w:color w:val="5B6761"/>
          <w:sz w:val="14"/>
        </w:rPr>
        <w:t>Manufacture,</w:t>
      </w:r>
      <w:r>
        <w:rPr>
          <w:rFonts w:ascii="Arial" w:hAnsi="Arial"/>
          <w:color w:val="5B6761"/>
          <w:spacing w:val="-3"/>
          <w:sz w:val="14"/>
        </w:rPr>
        <w:t xml:space="preserve"> </w:t>
      </w:r>
      <w:r>
        <w:rPr>
          <w:rFonts w:ascii="Arial" w:hAnsi="Arial"/>
          <w:color w:val="5B6761"/>
          <w:sz w:val="14"/>
        </w:rPr>
        <w:t>another</w:t>
      </w:r>
      <w:r>
        <w:rPr>
          <w:rFonts w:ascii="Arial" w:hAnsi="Arial"/>
          <w:color w:val="5B6761"/>
          <w:spacing w:val="-3"/>
          <w:sz w:val="14"/>
        </w:rPr>
        <w:t xml:space="preserve"> </w:t>
      </w:r>
      <w:r>
        <w:rPr>
          <w:rFonts w:ascii="Arial" w:hAnsi="Arial"/>
          <w:color w:val="5B6761"/>
          <w:sz w:val="14"/>
        </w:rPr>
        <w:t>capsulated</w:t>
      </w:r>
      <w:r>
        <w:rPr>
          <w:rFonts w:ascii="Arial" w:hAnsi="Arial"/>
          <w:color w:val="5B6761"/>
          <w:spacing w:val="-3"/>
          <w:sz w:val="14"/>
        </w:rPr>
        <w:t xml:space="preserve"> </w:t>
      </w:r>
      <w:r>
        <w:rPr>
          <w:rFonts w:ascii="Arial" w:hAnsi="Arial"/>
          <w:color w:val="5B6761"/>
          <w:sz w:val="14"/>
        </w:rPr>
        <w:t>product.</w:t>
      </w:r>
    </w:p>
    <w:p w:rsidR="007D76BB" w:rsidRDefault="00D70D28">
      <w:pPr>
        <w:spacing w:before="60" w:line="268" w:lineRule="auto"/>
        <w:ind w:left="594" w:right="872" w:hanging="113"/>
        <w:rPr>
          <w:rFonts w:ascii="Arial"/>
          <w:sz w:val="14"/>
        </w:rPr>
      </w:pPr>
      <w:r>
        <w:rPr>
          <w:rFonts w:ascii="Arial"/>
          <w:color w:val="5B6761"/>
          <w:w w:val="101"/>
          <w:position w:val="5"/>
          <w:sz w:val="8"/>
        </w:rPr>
        <w:t>75</w:t>
      </w:r>
      <w:r>
        <w:rPr>
          <w:rFonts w:ascii="Arial"/>
          <w:color w:val="5B6761"/>
          <w:position w:val="5"/>
          <w:sz w:val="8"/>
        </w:rPr>
        <w:t xml:space="preserve">  </w:t>
      </w:r>
      <w:r>
        <w:rPr>
          <w:rFonts w:ascii="Arial"/>
          <w:color w:val="5B6761"/>
          <w:w w:val="94"/>
          <w:sz w:val="14"/>
        </w:rPr>
        <w:t>T</w:t>
      </w:r>
      <w:r>
        <w:rPr>
          <w:rFonts w:ascii="Arial"/>
          <w:color w:val="5B6761"/>
          <w:sz w:val="14"/>
        </w:rPr>
        <w:t>h</w:t>
      </w:r>
      <w:r>
        <w:rPr>
          <w:rFonts w:ascii="Arial"/>
          <w:color w:val="5B6761"/>
          <w:w w:val="96"/>
          <w:sz w:val="14"/>
        </w:rPr>
        <w:t>e</w:t>
      </w:r>
      <w:r>
        <w:rPr>
          <w:rFonts w:ascii="Arial"/>
          <w:color w:val="5B6761"/>
          <w:sz w:val="14"/>
        </w:rPr>
        <w:t xml:space="preserve"> numb</w:t>
      </w:r>
      <w:r>
        <w:rPr>
          <w:rFonts w:ascii="Arial"/>
          <w:color w:val="5B6761"/>
          <w:w w:val="96"/>
          <w:sz w:val="14"/>
        </w:rPr>
        <w:t>e</w:t>
      </w:r>
      <w:r>
        <w:rPr>
          <w:rFonts w:ascii="Arial"/>
          <w:color w:val="5B6761"/>
          <w:w w:val="116"/>
          <w:sz w:val="14"/>
        </w:rPr>
        <w:t>r</w:t>
      </w:r>
      <w:r>
        <w:rPr>
          <w:rFonts w:ascii="Arial"/>
          <w:color w:val="5B6761"/>
          <w:sz w:val="14"/>
        </w:rPr>
        <w:t xml:space="preserve"> </w:t>
      </w:r>
      <w:r>
        <w:rPr>
          <w:rFonts w:ascii="Arial"/>
          <w:color w:val="5B6761"/>
          <w:w w:val="99"/>
          <w:sz w:val="14"/>
        </w:rPr>
        <w:t>o</w:t>
      </w:r>
      <w:r>
        <w:rPr>
          <w:rFonts w:ascii="Arial"/>
          <w:color w:val="5B6761"/>
          <w:w w:val="119"/>
          <w:sz w:val="14"/>
        </w:rPr>
        <w:t>f</w:t>
      </w:r>
      <w:r>
        <w:rPr>
          <w:rFonts w:ascii="Arial"/>
          <w:color w:val="5B6761"/>
          <w:sz w:val="14"/>
        </w:rPr>
        <w:t xml:space="preserve"> n</w:t>
      </w:r>
      <w:r>
        <w:rPr>
          <w:rFonts w:ascii="Arial"/>
          <w:color w:val="5B6761"/>
          <w:w w:val="96"/>
          <w:sz w:val="14"/>
        </w:rPr>
        <w:t>e</w:t>
      </w:r>
      <w:r>
        <w:rPr>
          <w:rFonts w:ascii="Arial"/>
          <w:color w:val="5B6761"/>
          <w:w w:val="98"/>
          <w:sz w:val="14"/>
        </w:rPr>
        <w:t>w</w:t>
      </w:r>
      <w:r>
        <w:rPr>
          <w:rFonts w:ascii="Arial"/>
          <w:color w:val="5B6761"/>
          <w:sz w:val="14"/>
        </w:rPr>
        <w:t xml:space="preserve"> </w:t>
      </w:r>
      <w:r>
        <w:rPr>
          <w:rFonts w:ascii="Arial"/>
          <w:color w:val="5B6761"/>
          <w:w w:val="113"/>
          <w:sz w:val="14"/>
        </w:rPr>
        <w:t>i</w:t>
      </w:r>
      <w:r>
        <w:rPr>
          <w:rFonts w:ascii="Arial"/>
          <w:color w:val="5B6761"/>
          <w:sz w:val="14"/>
        </w:rPr>
        <w:t>ng</w:t>
      </w:r>
      <w:r>
        <w:rPr>
          <w:rFonts w:ascii="Arial"/>
          <w:color w:val="5B6761"/>
          <w:w w:val="116"/>
          <w:sz w:val="14"/>
        </w:rPr>
        <w:t>r</w:t>
      </w:r>
      <w:r>
        <w:rPr>
          <w:rFonts w:ascii="Arial"/>
          <w:color w:val="5B6761"/>
          <w:w w:val="96"/>
          <w:sz w:val="14"/>
        </w:rPr>
        <w:t>e</w:t>
      </w:r>
      <w:r>
        <w:rPr>
          <w:rFonts w:ascii="Arial"/>
          <w:color w:val="5B6761"/>
          <w:sz w:val="14"/>
        </w:rPr>
        <w:t>d</w:t>
      </w:r>
      <w:r>
        <w:rPr>
          <w:rFonts w:ascii="Arial"/>
          <w:color w:val="5B6761"/>
          <w:w w:val="113"/>
          <w:sz w:val="14"/>
        </w:rPr>
        <w:t>i</w:t>
      </w:r>
      <w:r>
        <w:rPr>
          <w:rFonts w:ascii="Arial"/>
          <w:color w:val="5B6761"/>
          <w:w w:val="96"/>
          <w:sz w:val="14"/>
        </w:rPr>
        <w:t>e</w:t>
      </w:r>
      <w:r>
        <w:rPr>
          <w:rFonts w:ascii="Arial"/>
          <w:color w:val="5B6761"/>
          <w:sz w:val="14"/>
        </w:rPr>
        <w:t>n</w:t>
      </w:r>
      <w:r>
        <w:rPr>
          <w:rFonts w:ascii="Arial"/>
          <w:color w:val="5B6761"/>
          <w:w w:val="133"/>
          <w:sz w:val="14"/>
        </w:rPr>
        <w:t>t</w:t>
      </w:r>
      <w:r>
        <w:rPr>
          <w:rFonts w:ascii="Arial"/>
          <w:color w:val="5B6761"/>
          <w:sz w:val="14"/>
        </w:rPr>
        <w:t xml:space="preserve"> </w:t>
      </w:r>
      <w:r>
        <w:rPr>
          <w:rFonts w:ascii="Arial"/>
          <w:color w:val="5B6761"/>
          <w:w w:val="94"/>
          <w:sz w:val="14"/>
        </w:rPr>
        <w:t>a</w:t>
      </w:r>
      <w:r>
        <w:rPr>
          <w:rFonts w:ascii="Arial"/>
          <w:color w:val="5B6761"/>
          <w:sz w:val="14"/>
        </w:rPr>
        <w:t>pp</w:t>
      </w:r>
      <w:r>
        <w:rPr>
          <w:rFonts w:ascii="Arial"/>
          <w:color w:val="5B6761"/>
          <w:w w:val="117"/>
          <w:sz w:val="14"/>
        </w:rPr>
        <w:t>l</w:t>
      </w:r>
      <w:r>
        <w:rPr>
          <w:rFonts w:ascii="Arial"/>
          <w:color w:val="5B6761"/>
          <w:w w:val="113"/>
          <w:sz w:val="14"/>
        </w:rPr>
        <w:t>i</w:t>
      </w:r>
      <w:r>
        <w:rPr>
          <w:rFonts w:ascii="Arial"/>
          <w:color w:val="5B6761"/>
          <w:w w:val="96"/>
          <w:sz w:val="14"/>
        </w:rPr>
        <w:t>ca</w:t>
      </w:r>
      <w:r>
        <w:rPr>
          <w:rFonts w:ascii="Arial"/>
          <w:color w:val="5B6761"/>
          <w:w w:val="133"/>
          <w:sz w:val="14"/>
        </w:rPr>
        <w:t>t</w:t>
      </w:r>
      <w:r>
        <w:rPr>
          <w:rFonts w:ascii="Arial"/>
          <w:color w:val="5B6761"/>
          <w:w w:val="113"/>
          <w:sz w:val="14"/>
        </w:rPr>
        <w:t>i</w:t>
      </w:r>
      <w:r>
        <w:rPr>
          <w:rFonts w:ascii="Arial"/>
          <w:color w:val="5B6761"/>
          <w:w w:val="99"/>
          <w:sz w:val="14"/>
        </w:rPr>
        <w:t>o</w:t>
      </w:r>
      <w:r>
        <w:rPr>
          <w:rFonts w:ascii="Arial"/>
          <w:color w:val="5B6761"/>
          <w:sz w:val="14"/>
        </w:rPr>
        <w:t>n</w:t>
      </w:r>
      <w:r>
        <w:rPr>
          <w:rFonts w:ascii="Arial"/>
          <w:color w:val="5B6761"/>
          <w:w w:val="93"/>
          <w:sz w:val="14"/>
        </w:rPr>
        <w:t>s</w:t>
      </w:r>
      <w:r>
        <w:rPr>
          <w:rFonts w:ascii="Arial"/>
          <w:color w:val="5B6761"/>
          <w:sz w:val="14"/>
        </w:rPr>
        <w:t xml:space="preserve"> </w:t>
      </w:r>
      <w:r>
        <w:rPr>
          <w:rFonts w:ascii="Arial"/>
          <w:color w:val="5B6761"/>
          <w:w w:val="119"/>
          <w:sz w:val="14"/>
        </w:rPr>
        <w:t>f</w:t>
      </w:r>
      <w:r>
        <w:rPr>
          <w:rFonts w:ascii="Arial"/>
          <w:color w:val="5B6761"/>
          <w:w w:val="99"/>
          <w:sz w:val="14"/>
        </w:rPr>
        <w:t>o</w:t>
      </w:r>
      <w:r>
        <w:rPr>
          <w:rFonts w:ascii="Arial"/>
          <w:color w:val="5B6761"/>
          <w:w w:val="116"/>
          <w:sz w:val="14"/>
        </w:rPr>
        <w:t>r</w:t>
      </w:r>
      <w:r>
        <w:rPr>
          <w:rFonts w:ascii="Arial"/>
          <w:color w:val="5B6761"/>
          <w:sz w:val="14"/>
        </w:rPr>
        <w:t xml:space="preserve"> </w:t>
      </w:r>
      <w:r>
        <w:rPr>
          <w:rFonts w:ascii="Arial"/>
          <w:color w:val="5B6761"/>
          <w:w w:val="91"/>
          <w:sz w:val="14"/>
        </w:rPr>
        <w:t>F</w:t>
      </w:r>
      <w:r>
        <w:rPr>
          <w:rFonts w:ascii="Arial"/>
          <w:color w:val="5B6761"/>
          <w:w w:val="95"/>
          <w:sz w:val="14"/>
        </w:rPr>
        <w:t>Y</w:t>
      </w:r>
      <w:r>
        <w:rPr>
          <w:rFonts w:ascii="Arial"/>
          <w:color w:val="5B6761"/>
          <w:sz w:val="14"/>
        </w:rPr>
        <w:t xml:space="preserve"> </w:t>
      </w:r>
      <w:r>
        <w:rPr>
          <w:rFonts w:ascii="Arial"/>
          <w:color w:val="5B6761"/>
          <w:w w:val="109"/>
          <w:sz w:val="14"/>
        </w:rPr>
        <w:t>2</w:t>
      </w:r>
      <w:r>
        <w:rPr>
          <w:rFonts w:ascii="Arial"/>
          <w:color w:val="5B6761"/>
          <w:w w:val="90"/>
          <w:sz w:val="14"/>
        </w:rPr>
        <w:t>01</w:t>
      </w:r>
      <w:r>
        <w:rPr>
          <w:rFonts w:ascii="Arial"/>
          <w:color w:val="5B6761"/>
          <w:w w:val="106"/>
          <w:sz w:val="14"/>
        </w:rPr>
        <w:t>6</w:t>
      </w:r>
      <w:r>
        <w:rPr>
          <w:rFonts w:ascii="Arial"/>
          <w:color w:val="5B6761"/>
          <w:w w:val="175"/>
          <w:sz w:val="14"/>
        </w:rPr>
        <w:t>/</w:t>
      </w:r>
      <w:r>
        <w:rPr>
          <w:rFonts w:ascii="Arial"/>
          <w:color w:val="5B6761"/>
          <w:w w:val="66"/>
          <w:sz w:val="14"/>
        </w:rPr>
        <w:t>1</w:t>
      </w:r>
      <w:r>
        <w:rPr>
          <w:rFonts w:ascii="Arial"/>
          <w:color w:val="5B6761"/>
          <w:w w:val="93"/>
          <w:sz w:val="14"/>
        </w:rPr>
        <w:t>7</w:t>
      </w:r>
      <w:r>
        <w:rPr>
          <w:rFonts w:ascii="Arial"/>
          <w:color w:val="5B6761"/>
          <w:sz w:val="14"/>
        </w:rPr>
        <w:t xml:space="preserve"> </w:t>
      </w:r>
      <w:r>
        <w:rPr>
          <w:rFonts w:ascii="Arial"/>
          <w:color w:val="5B6761"/>
          <w:w w:val="101"/>
          <w:sz w:val="14"/>
        </w:rPr>
        <w:t>(n</w:t>
      </w:r>
      <w:r>
        <w:rPr>
          <w:rFonts w:ascii="Arial"/>
          <w:color w:val="5B6761"/>
          <w:w w:val="109"/>
          <w:sz w:val="14"/>
        </w:rPr>
        <w:t>=80)</w:t>
      </w:r>
      <w:r>
        <w:rPr>
          <w:rFonts w:ascii="Arial"/>
          <w:color w:val="5B6761"/>
          <w:sz w:val="14"/>
        </w:rPr>
        <w:t xml:space="preserve"> h</w:t>
      </w:r>
      <w:r>
        <w:rPr>
          <w:rFonts w:ascii="Arial"/>
          <w:color w:val="5B6761"/>
          <w:w w:val="94"/>
          <w:sz w:val="14"/>
        </w:rPr>
        <w:t>a</w:t>
      </w:r>
      <w:r>
        <w:rPr>
          <w:rFonts w:ascii="Arial"/>
          <w:color w:val="5B6761"/>
          <w:w w:val="93"/>
          <w:sz w:val="14"/>
        </w:rPr>
        <w:t>s</w:t>
      </w:r>
      <w:r>
        <w:rPr>
          <w:rFonts w:ascii="Arial"/>
          <w:color w:val="5B6761"/>
          <w:sz w:val="14"/>
        </w:rPr>
        <w:t xml:space="preserve"> b</w:t>
      </w:r>
      <w:r>
        <w:rPr>
          <w:rFonts w:ascii="Arial"/>
          <w:color w:val="5B6761"/>
          <w:w w:val="96"/>
          <w:sz w:val="14"/>
        </w:rPr>
        <w:t>ee</w:t>
      </w:r>
      <w:r>
        <w:rPr>
          <w:rFonts w:ascii="Arial"/>
          <w:color w:val="5B6761"/>
          <w:sz w:val="14"/>
        </w:rPr>
        <w:t xml:space="preserve">n </w:t>
      </w:r>
      <w:r>
        <w:rPr>
          <w:rFonts w:ascii="Arial"/>
          <w:color w:val="5B6761"/>
          <w:w w:val="96"/>
          <w:sz w:val="14"/>
        </w:rPr>
        <w:t>e</w:t>
      </w:r>
      <w:r>
        <w:rPr>
          <w:rFonts w:ascii="Arial"/>
          <w:color w:val="5B6761"/>
          <w:w w:val="102"/>
          <w:sz w:val="14"/>
        </w:rPr>
        <w:t>x</w:t>
      </w:r>
      <w:r>
        <w:rPr>
          <w:rFonts w:ascii="Arial"/>
          <w:color w:val="5B6761"/>
          <w:w w:val="104"/>
          <w:sz w:val="14"/>
        </w:rPr>
        <w:t>cl</w:t>
      </w:r>
      <w:r>
        <w:rPr>
          <w:rFonts w:ascii="Arial"/>
          <w:color w:val="5B6761"/>
          <w:sz w:val="14"/>
        </w:rPr>
        <w:t>ud</w:t>
      </w:r>
      <w:r>
        <w:rPr>
          <w:rFonts w:ascii="Arial"/>
          <w:color w:val="5B6761"/>
          <w:w w:val="96"/>
          <w:sz w:val="14"/>
        </w:rPr>
        <w:t>e</w:t>
      </w:r>
      <w:r>
        <w:rPr>
          <w:rFonts w:ascii="Arial"/>
          <w:color w:val="5B6761"/>
          <w:sz w:val="14"/>
        </w:rPr>
        <w:t xml:space="preserve">d </w:t>
      </w:r>
      <w:r>
        <w:rPr>
          <w:rFonts w:ascii="Arial"/>
          <w:color w:val="5B6761"/>
          <w:w w:val="119"/>
          <w:sz w:val="14"/>
        </w:rPr>
        <w:t>f</w:t>
      </w:r>
      <w:r>
        <w:rPr>
          <w:rFonts w:ascii="Arial"/>
          <w:color w:val="5B6761"/>
          <w:w w:val="116"/>
          <w:sz w:val="14"/>
        </w:rPr>
        <w:t>r</w:t>
      </w:r>
      <w:r>
        <w:rPr>
          <w:rFonts w:ascii="Arial"/>
          <w:color w:val="5B6761"/>
          <w:w w:val="99"/>
          <w:sz w:val="14"/>
        </w:rPr>
        <w:t>o</w:t>
      </w:r>
      <w:r>
        <w:rPr>
          <w:rFonts w:ascii="Arial"/>
          <w:color w:val="5B6761"/>
          <w:sz w:val="14"/>
        </w:rPr>
        <w:t xml:space="preserve">m </w:t>
      </w:r>
      <w:r>
        <w:rPr>
          <w:rFonts w:ascii="Arial"/>
          <w:color w:val="5B6761"/>
          <w:w w:val="133"/>
          <w:sz w:val="14"/>
        </w:rPr>
        <w:t>t</w:t>
      </w:r>
      <w:r>
        <w:rPr>
          <w:rFonts w:ascii="Arial"/>
          <w:color w:val="5B6761"/>
          <w:sz w:val="14"/>
        </w:rPr>
        <w:t>h</w:t>
      </w:r>
      <w:r>
        <w:rPr>
          <w:rFonts w:ascii="Arial"/>
          <w:color w:val="5B6761"/>
          <w:w w:val="96"/>
          <w:sz w:val="14"/>
        </w:rPr>
        <w:t>e</w:t>
      </w:r>
      <w:r>
        <w:rPr>
          <w:rFonts w:ascii="Arial"/>
          <w:color w:val="5B6761"/>
          <w:sz w:val="14"/>
        </w:rPr>
        <w:t xml:space="preserve"> </w:t>
      </w:r>
      <w:r>
        <w:rPr>
          <w:rFonts w:ascii="Arial"/>
          <w:color w:val="5B6761"/>
          <w:w w:val="96"/>
          <w:sz w:val="14"/>
        </w:rPr>
        <w:t>ca</w:t>
      </w:r>
      <w:r>
        <w:rPr>
          <w:rFonts w:ascii="Arial"/>
          <w:color w:val="5B6761"/>
          <w:w w:val="117"/>
          <w:sz w:val="14"/>
        </w:rPr>
        <w:t>l</w:t>
      </w:r>
      <w:r>
        <w:rPr>
          <w:rFonts w:ascii="Arial"/>
          <w:color w:val="5B6761"/>
          <w:sz w:val="14"/>
        </w:rPr>
        <w:t>cu</w:t>
      </w:r>
      <w:r>
        <w:rPr>
          <w:rFonts w:ascii="Arial"/>
          <w:color w:val="5B6761"/>
          <w:w w:val="117"/>
          <w:sz w:val="14"/>
        </w:rPr>
        <w:t>l</w:t>
      </w:r>
      <w:r>
        <w:rPr>
          <w:rFonts w:ascii="Arial"/>
          <w:color w:val="5B6761"/>
          <w:w w:val="94"/>
          <w:sz w:val="14"/>
        </w:rPr>
        <w:t>a</w:t>
      </w:r>
      <w:r>
        <w:rPr>
          <w:rFonts w:ascii="Arial"/>
          <w:color w:val="5B6761"/>
          <w:w w:val="133"/>
          <w:sz w:val="14"/>
        </w:rPr>
        <w:t>t</w:t>
      </w:r>
      <w:r>
        <w:rPr>
          <w:rFonts w:ascii="Arial"/>
          <w:color w:val="5B6761"/>
          <w:w w:val="113"/>
          <w:sz w:val="14"/>
        </w:rPr>
        <w:t>i</w:t>
      </w:r>
      <w:r>
        <w:rPr>
          <w:rFonts w:ascii="Arial"/>
          <w:color w:val="5B6761"/>
          <w:w w:val="99"/>
          <w:sz w:val="14"/>
        </w:rPr>
        <w:t>o</w:t>
      </w:r>
      <w:r>
        <w:rPr>
          <w:rFonts w:ascii="Arial"/>
          <w:color w:val="5B6761"/>
          <w:sz w:val="14"/>
        </w:rPr>
        <w:t xml:space="preserve">n </w:t>
      </w:r>
      <w:r>
        <w:rPr>
          <w:rFonts w:ascii="Arial"/>
          <w:color w:val="5B6761"/>
          <w:w w:val="99"/>
          <w:sz w:val="14"/>
        </w:rPr>
        <w:t>o</w:t>
      </w:r>
      <w:r>
        <w:rPr>
          <w:rFonts w:ascii="Arial"/>
          <w:color w:val="5B6761"/>
          <w:w w:val="119"/>
          <w:sz w:val="14"/>
        </w:rPr>
        <w:t>f</w:t>
      </w:r>
      <w:r>
        <w:rPr>
          <w:rFonts w:ascii="Arial"/>
          <w:color w:val="5B6761"/>
          <w:sz w:val="14"/>
        </w:rPr>
        <w:t xml:space="preserve"> </w:t>
      </w:r>
      <w:r>
        <w:rPr>
          <w:rFonts w:ascii="Arial"/>
          <w:color w:val="5B6761"/>
          <w:w w:val="133"/>
          <w:sz w:val="14"/>
        </w:rPr>
        <w:t>t</w:t>
      </w:r>
      <w:r>
        <w:rPr>
          <w:rFonts w:ascii="Arial"/>
          <w:color w:val="5B6761"/>
          <w:sz w:val="14"/>
        </w:rPr>
        <w:t>h</w:t>
      </w:r>
      <w:r>
        <w:rPr>
          <w:rFonts w:ascii="Arial"/>
          <w:color w:val="5B6761"/>
          <w:w w:val="96"/>
          <w:sz w:val="14"/>
        </w:rPr>
        <w:t>e</w:t>
      </w:r>
      <w:r>
        <w:rPr>
          <w:rFonts w:ascii="Arial"/>
          <w:color w:val="5B6761"/>
          <w:sz w:val="14"/>
        </w:rPr>
        <w:t xml:space="preserve"> </w:t>
      </w:r>
      <w:r>
        <w:rPr>
          <w:rFonts w:ascii="Arial"/>
          <w:color w:val="5B6761"/>
          <w:w w:val="94"/>
          <w:sz w:val="14"/>
        </w:rPr>
        <w:t>a</w:t>
      </w:r>
      <w:r>
        <w:rPr>
          <w:rFonts w:ascii="Arial"/>
          <w:color w:val="5B6761"/>
          <w:w w:val="101"/>
          <w:sz w:val="14"/>
        </w:rPr>
        <w:t>v</w:t>
      </w:r>
      <w:r>
        <w:rPr>
          <w:rFonts w:ascii="Arial"/>
          <w:color w:val="5B6761"/>
          <w:w w:val="96"/>
          <w:sz w:val="14"/>
        </w:rPr>
        <w:t>e</w:t>
      </w:r>
      <w:r>
        <w:rPr>
          <w:rFonts w:ascii="Arial"/>
          <w:color w:val="5B6761"/>
          <w:w w:val="116"/>
          <w:sz w:val="14"/>
        </w:rPr>
        <w:t>r</w:t>
      </w:r>
      <w:r>
        <w:rPr>
          <w:rFonts w:ascii="Arial"/>
          <w:color w:val="5B6761"/>
          <w:w w:val="94"/>
          <w:sz w:val="14"/>
        </w:rPr>
        <w:t>a</w:t>
      </w:r>
      <w:r>
        <w:rPr>
          <w:rFonts w:ascii="Arial"/>
          <w:color w:val="5B6761"/>
          <w:sz w:val="14"/>
        </w:rPr>
        <w:t>g</w:t>
      </w:r>
      <w:r>
        <w:rPr>
          <w:rFonts w:ascii="Arial"/>
          <w:color w:val="5B6761"/>
          <w:w w:val="96"/>
          <w:sz w:val="14"/>
        </w:rPr>
        <w:t>e</w:t>
      </w:r>
      <w:r>
        <w:rPr>
          <w:rFonts w:ascii="Arial"/>
          <w:color w:val="5B6761"/>
          <w:sz w:val="14"/>
        </w:rPr>
        <w:t xml:space="preserve"> </w:t>
      </w:r>
      <w:r>
        <w:rPr>
          <w:rFonts w:ascii="Arial"/>
          <w:color w:val="5B6761"/>
          <w:w w:val="94"/>
          <w:sz w:val="14"/>
        </w:rPr>
        <w:t>a</w:t>
      </w:r>
      <w:r>
        <w:rPr>
          <w:rFonts w:ascii="Arial"/>
          <w:color w:val="5B6761"/>
          <w:sz w:val="14"/>
        </w:rPr>
        <w:t>pp</w:t>
      </w:r>
      <w:r>
        <w:rPr>
          <w:rFonts w:ascii="Arial"/>
          <w:color w:val="5B6761"/>
          <w:w w:val="117"/>
          <w:sz w:val="14"/>
        </w:rPr>
        <w:t>l</w:t>
      </w:r>
      <w:r>
        <w:rPr>
          <w:rFonts w:ascii="Arial"/>
          <w:color w:val="5B6761"/>
          <w:w w:val="113"/>
          <w:sz w:val="14"/>
        </w:rPr>
        <w:t>i</w:t>
      </w:r>
      <w:r>
        <w:rPr>
          <w:rFonts w:ascii="Arial"/>
          <w:color w:val="5B6761"/>
          <w:w w:val="96"/>
          <w:sz w:val="14"/>
        </w:rPr>
        <w:t>ca</w:t>
      </w:r>
      <w:r>
        <w:rPr>
          <w:rFonts w:ascii="Arial"/>
          <w:color w:val="5B6761"/>
          <w:w w:val="133"/>
          <w:sz w:val="14"/>
        </w:rPr>
        <w:t>t</w:t>
      </w:r>
      <w:r>
        <w:rPr>
          <w:rFonts w:ascii="Arial"/>
          <w:color w:val="5B6761"/>
          <w:w w:val="113"/>
          <w:sz w:val="14"/>
        </w:rPr>
        <w:t>i</w:t>
      </w:r>
      <w:r>
        <w:rPr>
          <w:rFonts w:ascii="Arial"/>
          <w:color w:val="5B6761"/>
          <w:w w:val="99"/>
          <w:sz w:val="14"/>
        </w:rPr>
        <w:t>o</w:t>
      </w:r>
      <w:r>
        <w:rPr>
          <w:rFonts w:ascii="Arial"/>
          <w:color w:val="5B6761"/>
          <w:sz w:val="14"/>
        </w:rPr>
        <w:t>n</w:t>
      </w:r>
      <w:r>
        <w:rPr>
          <w:rFonts w:ascii="Arial"/>
          <w:color w:val="5B6761"/>
          <w:w w:val="93"/>
          <w:sz w:val="14"/>
        </w:rPr>
        <w:t xml:space="preserve">s </w:t>
      </w:r>
      <w:r>
        <w:rPr>
          <w:rFonts w:ascii="Arial"/>
          <w:color w:val="5B6761"/>
          <w:w w:val="105"/>
          <w:sz w:val="14"/>
        </w:rPr>
        <w:t>per year as it was considered an outlier due to a new legislative instrument being introduced under s.26BB of the TG Act. This legislative instrument simplified the range of instruments detailing ingredients permitted for use in listed medicines and required a number of ingredients in existed listed medicines to be added to the Permissible Ingredients Determination.</w:t>
      </w:r>
    </w:p>
    <w:p w:rsidR="007D76BB" w:rsidRDefault="00D70D28">
      <w:pPr>
        <w:spacing w:before="58"/>
        <w:ind w:left="482"/>
        <w:rPr>
          <w:rFonts w:ascii="Arial"/>
          <w:sz w:val="14"/>
        </w:rPr>
      </w:pPr>
      <w:r>
        <w:rPr>
          <w:rFonts w:ascii="Arial"/>
          <w:color w:val="5B6761"/>
          <w:w w:val="105"/>
          <w:position w:val="5"/>
          <w:sz w:val="8"/>
        </w:rPr>
        <w:t xml:space="preserve">76 </w:t>
      </w:r>
      <w:r>
        <w:rPr>
          <w:rFonts w:ascii="Arial"/>
          <w:color w:val="5B6761"/>
          <w:w w:val="105"/>
          <w:sz w:val="14"/>
        </w:rPr>
        <w:t>Information drawn from TGA Annual Performance Statistics Reports.</w:t>
      </w:r>
    </w:p>
    <w:p w:rsidR="007D76BB" w:rsidRDefault="00D70D28">
      <w:pPr>
        <w:spacing w:before="79" w:line="268" w:lineRule="auto"/>
        <w:ind w:left="594" w:right="900" w:hanging="113"/>
        <w:rPr>
          <w:rFonts w:ascii="Arial"/>
          <w:sz w:val="14"/>
        </w:rPr>
      </w:pPr>
      <w:r>
        <w:rPr>
          <w:rFonts w:ascii="Arial"/>
          <w:color w:val="5B6761"/>
          <w:w w:val="105"/>
          <w:position w:val="5"/>
          <w:sz w:val="8"/>
        </w:rPr>
        <w:t>77</w:t>
      </w:r>
      <w:r>
        <w:rPr>
          <w:rFonts w:ascii="Arial"/>
          <w:color w:val="5B6761"/>
          <w:spacing w:val="2"/>
          <w:w w:val="105"/>
          <w:position w:val="5"/>
          <w:sz w:val="8"/>
        </w:rPr>
        <w:t xml:space="preserve"> </w:t>
      </w:r>
      <w:r>
        <w:rPr>
          <w:rFonts w:ascii="Arial"/>
          <w:color w:val="5B6761"/>
          <w:w w:val="105"/>
          <w:sz w:val="14"/>
        </w:rPr>
        <w:t>Noting</w:t>
      </w:r>
      <w:r>
        <w:rPr>
          <w:rFonts w:ascii="Arial"/>
          <w:color w:val="5B6761"/>
          <w:spacing w:val="-13"/>
          <w:w w:val="105"/>
          <w:sz w:val="14"/>
        </w:rPr>
        <w:t xml:space="preserve"> </w:t>
      </w:r>
      <w:r>
        <w:rPr>
          <w:rFonts w:ascii="Arial"/>
          <w:color w:val="5B6761"/>
          <w:w w:val="105"/>
          <w:sz w:val="14"/>
        </w:rPr>
        <w:t>that</w:t>
      </w:r>
      <w:r>
        <w:rPr>
          <w:rFonts w:ascii="Arial"/>
          <w:color w:val="5B6761"/>
          <w:spacing w:val="-16"/>
          <w:w w:val="105"/>
          <w:sz w:val="14"/>
        </w:rPr>
        <w:t xml:space="preserve"> </w:t>
      </w:r>
      <w:r>
        <w:rPr>
          <w:rFonts w:ascii="Arial"/>
          <w:color w:val="5B6761"/>
          <w:w w:val="105"/>
          <w:sz w:val="14"/>
        </w:rPr>
        <w:t>not</w:t>
      </w:r>
      <w:r>
        <w:rPr>
          <w:rFonts w:ascii="Arial"/>
          <w:color w:val="5B6761"/>
          <w:spacing w:val="-14"/>
          <w:w w:val="105"/>
          <w:sz w:val="14"/>
        </w:rPr>
        <w:t xml:space="preserve"> </w:t>
      </w:r>
      <w:r>
        <w:rPr>
          <w:rFonts w:ascii="Arial"/>
          <w:color w:val="5B6761"/>
          <w:w w:val="105"/>
          <w:sz w:val="14"/>
        </w:rPr>
        <w:t>all</w:t>
      </w:r>
      <w:r>
        <w:rPr>
          <w:rFonts w:ascii="Arial"/>
          <w:color w:val="5B6761"/>
          <w:spacing w:val="-14"/>
          <w:w w:val="105"/>
          <w:sz w:val="14"/>
        </w:rPr>
        <w:t xml:space="preserve"> </w:t>
      </w:r>
      <w:r>
        <w:rPr>
          <w:rFonts w:ascii="Arial"/>
          <w:color w:val="5B6761"/>
          <w:w w:val="105"/>
          <w:sz w:val="14"/>
        </w:rPr>
        <w:t>ingredients</w:t>
      </w:r>
      <w:r>
        <w:rPr>
          <w:rFonts w:ascii="Arial"/>
          <w:color w:val="5B6761"/>
          <w:spacing w:val="-17"/>
          <w:w w:val="105"/>
          <w:sz w:val="14"/>
        </w:rPr>
        <w:t xml:space="preserve"> </w:t>
      </w:r>
      <w:r>
        <w:rPr>
          <w:rFonts w:ascii="Arial"/>
          <w:color w:val="5B6761"/>
          <w:w w:val="105"/>
          <w:sz w:val="14"/>
        </w:rPr>
        <w:t>will</w:t>
      </w:r>
      <w:r>
        <w:rPr>
          <w:rFonts w:ascii="Arial"/>
          <w:color w:val="5B6761"/>
          <w:spacing w:val="-14"/>
          <w:w w:val="105"/>
          <w:sz w:val="14"/>
        </w:rPr>
        <w:t xml:space="preserve"> </w:t>
      </w:r>
      <w:r>
        <w:rPr>
          <w:rFonts w:ascii="Arial"/>
          <w:color w:val="5B6761"/>
          <w:w w:val="105"/>
          <w:sz w:val="14"/>
        </w:rPr>
        <w:t>be</w:t>
      </w:r>
      <w:r>
        <w:rPr>
          <w:rFonts w:ascii="Arial"/>
          <w:color w:val="5B6761"/>
          <w:spacing w:val="-15"/>
          <w:w w:val="105"/>
          <w:sz w:val="14"/>
        </w:rPr>
        <w:t xml:space="preserve"> </w:t>
      </w:r>
      <w:r>
        <w:rPr>
          <w:rFonts w:ascii="Arial"/>
          <w:color w:val="5B6761"/>
          <w:w w:val="105"/>
          <w:sz w:val="14"/>
        </w:rPr>
        <w:t>suitable</w:t>
      </w:r>
      <w:r>
        <w:rPr>
          <w:rFonts w:ascii="Arial"/>
          <w:color w:val="5B6761"/>
          <w:spacing w:val="-15"/>
          <w:w w:val="105"/>
          <w:sz w:val="14"/>
        </w:rPr>
        <w:t xml:space="preserve"> </w:t>
      </w:r>
      <w:r>
        <w:rPr>
          <w:rFonts w:ascii="Arial"/>
          <w:color w:val="5B6761"/>
          <w:w w:val="105"/>
          <w:sz w:val="14"/>
        </w:rPr>
        <w:t>for</w:t>
      </w:r>
      <w:r>
        <w:rPr>
          <w:rFonts w:ascii="Arial"/>
          <w:color w:val="5B6761"/>
          <w:spacing w:val="-14"/>
          <w:w w:val="105"/>
          <w:sz w:val="14"/>
        </w:rPr>
        <w:t xml:space="preserve"> </w:t>
      </w:r>
      <w:r>
        <w:rPr>
          <w:rFonts w:ascii="Arial"/>
          <w:color w:val="5B6761"/>
          <w:w w:val="105"/>
          <w:sz w:val="14"/>
        </w:rPr>
        <w:t>listing</w:t>
      </w:r>
      <w:r>
        <w:rPr>
          <w:rFonts w:ascii="Arial"/>
          <w:color w:val="5B6761"/>
          <w:spacing w:val="-13"/>
          <w:w w:val="105"/>
          <w:sz w:val="14"/>
        </w:rPr>
        <w:t xml:space="preserve"> </w:t>
      </w:r>
      <w:r>
        <w:rPr>
          <w:rFonts w:ascii="Arial"/>
          <w:color w:val="5B6761"/>
          <w:w w:val="105"/>
          <w:sz w:val="14"/>
        </w:rPr>
        <w:t>on</w:t>
      </w:r>
      <w:r>
        <w:rPr>
          <w:rFonts w:ascii="Arial"/>
          <w:color w:val="5B6761"/>
          <w:spacing w:val="-14"/>
          <w:w w:val="105"/>
          <w:sz w:val="14"/>
        </w:rPr>
        <w:t xml:space="preserve"> </w:t>
      </w:r>
      <w:r>
        <w:rPr>
          <w:rFonts w:ascii="Arial"/>
          <w:color w:val="5B6761"/>
          <w:w w:val="105"/>
          <w:sz w:val="14"/>
        </w:rPr>
        <w:t>the</w:t>
      </w:r>
      <w:r>
        <w:rPr>
          <w:rFonts w:ascii="Arial"/>
          <w:color w:val="5B6761"/>
          <w:spacing w:val="-15"/>
          <w:w w:val="105"/>
          <w:sz w:val="14"/>
        </w:rPr>
        <w:t xml:space="preserve"> </w:t>
      </w:r>
      <w:r>
        <w:rPr>
          <w:rFonts w:ascii="Arial"/>
          <w:color w:val="5B6761"/>
          <w:w w:val="105"/>
          <w:sz w:val="14"/>
        </w:rPr>
        <w:t>Permissible</w:t>
      </w:r>
      <w:r>
        <w:rPr>
          <w:rFonts w:ascii="Arial"/>
          <w:color w:val="5B6761"/>
          <w:spacing w:val="-15"/>
          <w:w w:val="105"/>
          <w:sz w:val="14"/>
        </w:rPr>
        <w:t xml:space="preserve"> </w:t>
      </w:r>
      <w:r>
        <w:rPr>
          <w:rFonts w:ascii="Arial"/>
          <w:color w:val="5B6761"/>
          <w:w w:val="105"/>
          <w:sz w:val="14"/>
        </w:rPr>
        <w:t>Ingredients</w:t>
      </w:r>
      <w:r>
        <w:rPr>
          <w:rFonts w:ascii="Arial"/>
          <w:color w:val="5B6761"/>
          <w:spacing w:val="-14"/>
          <w:w w:val="105"/>
          <w:sz w:val="14"/>
        </w:rPr>
        <w:t xml:space="preserve"> </w:t>
      </w:r>
      <w:r>
        <w:rPr>
          <w:rFonts w:ascii="Arial"/>
          <w:color w:val="5B6761"/>
          <w:w w:val="105"/>
          <w:sz w:val="14"/>
        </w:rPr>
        <w:t>Determination.</w:t>
      </w:r>
      <w:r>
        <w:rPr>
          <w:rFonts w:ascii="Arial"/>
          <w:color w:val="5B6761"/>
          <w:spacing w:val="-14"/>
          <w:w w:val="105"/>
          <w:sz w:val="14"/>
        </w:rPr>
        <w:t xml:space="preserve"> </w:t>
      </w:r>
      <w:r>
        <w:rPr>
          <w:rFonts w:ascii="Arial"/>
          <w:color w:val="5B6761"/>
          <w:w w:val="105"/>
          <w:sz w:val="14"/>
        </w:rPr>
        <w:t>For</w:t>
      </w:r>
      <w:r>
        <w:rPr>
          <w:rFonts w:ascii="Arial"/>
          <w:color w:val="5B6761"/>
          <w:spacing w:val="-14"/>
          <w:w w:val="105"/>
          <w:sz w:val="14"/>
        </w:rPr>
        <w:t xml:space="preserve"> </w:t>
      </w:r>
      <w:r>
        <w:rPr>
          <w:rFonts w:ascii="Arial"/>
          <w:color w:val="5B6761"/>
          <w:w w:val="105"/>
          <w:sz w:val="14"/>
        </w:rPr>
        <w:t>example,</w:t>
      </w:r>
      <w:r>
        <w:rPr>
          <w:rFonts w:ascii="Arial"/>
          <w:color w:val="5B6761"/>
          <w:spacing w:val="-14"/>
          <w:w w:val="105"/>
          <w:sz w:val="14"/>
        </w:rPr>
        <w:t xml:space="preserve"> </w:t>
      </w:r>
      <w:r>
        <w:rPr>
          <w:rFonts w:ascii="Arial"/>
          <w:color w:val="5B6761"/>
          <w:w w:val="105"/>
          <w:sz w:val="14"/>
        </w:rPr>
        <w:t>due</w:t>
      </w:r>
      <w:r>
        <w:rPr>
          <w:rFonts w:ascii="Arial"/>
          <w:color w:val="5B6761"/>
          <w:spacing w:val="-15"/>
          <w:w w:val="105"/>
          <w:sz w:val="14"/>
        </w:rPr>
        <w:t xml:space="preserve"> </w:t>
      </w:r>
      <w:r>
        <w:rPr>
          <w:rFonts w:ascii="Arial"/>
          <w:color w:val="5B6761"/>
          <w:spacing w:val="6"/>
          <w:w w:val="105"/>
          <w:sz w:val="14"/>
        </w:rPr>
        <w:t>to</w:t>
      </w:r>
      <w:r>
        <w:rPr>
          <w:rFonts w:ascii="Arial"/>
          <w:color w:val="5B6761"/>
          <w:spacing w:val="-15"/>
          <w:w w:val="105"/>
          <w:sz w:val="14"/>
        </w:rPr>
        <w:t xml:space="preserve"> </w:t>
      </w:r>
      <w:r>
        <w:rPr>
          <w:rFonts w:ascii="Arial"/>
          <w:color w:val="5B6761"/>
          <w:w w:val="105"/>
          <w:sz w:val="14"/>
        </w:rPr>
        <w:t>the</w:t>
      </w:r>
      <w:r>
        <w:rPr>
          <w:rFonts w:ascii="Arial"/>
          <w:color w:val="5B6761"/>
          <w:spacing w:val="-16"/>
          <w:w w:val="105"/>
          <w:sz w:val="14"/>
        </w:rPr>
        <w:t xml:space="preserve"> </w:t>
      </w:r>
      <w:r>
        <w:rPr>
          <w:rFonts w:ascii="Arial"/>
          <w:color w:val="5B6761"/>
          <w:w w:val="105"/>
          <w:sz w:val="14"/>
        </w:rPr>
        <w:t>risk they</w:t>
      </w:r>
      <w:r>
        <w:rPr>
          <w:rFonts w:ascii="Arial"/>
          <w:color w:val="5B6761"/>
          <w:spacing w:val="-23"/>
          <w:w w:val="105"/>
          <w:sz w:val="14"/>
        </w:rPr>
        <w:t xml:space="preserve"> </w:t>
      </w:r>
      <w:r>
        <w:rPr>
          <w:rFonts w:ascii="Arial"/>
          <w:color w:val="5B6761"/>
          <w:w w:val="105"/>
          <w:sz w:val="14"/>
        </w:rPr>
        <w:t>pose</w:t>
      </w:r>
      <w:r>
        <w:rPr>
          <w:rFonts w:ascii="Arial"/>
          <w:color w:val="5B6761"/>
          <w:spacing w:val="-22"/>
          <w:w w:val="105"/>
          <w:sz w:val="14"/>
        </w:rPr>
        <w:t xml:space="preserve"> </w:t>
      </w:r>
      <w:r>
        <w:rPr>
          <w:rFonts w:ascii="Arial"/>
          <w:color w:val="5B6761"/>
          <w:w w:val="105"/>
          <w:sz w:val="14"/>
        </w:rPr>
        <w:t>to</w:t>
      </w:r>
      <w:r>
        <w:rPr>
          <w:rFonts w:ascii="Arial"/>
          <w:color w:val="5B6761"/>
          <w:spacing w:val="-23"/>
          <w:w w:val="105"/>
          <w:sz w:val="14"/>
        </w:rPr>
        <w:t xml:space="preserve"> </w:t>
      </w:r>
      <w:r>
        <w:rPr>
          <w:rFonts w:ascii="Arial"/>
          <w:color w:val="5B6761"/>
          <w:w w:val="105"/>
          <w:sz w:val="14"/>
        </w:rPr>
        <w:t>consumers,</w:t>
      </w:r>
      <w:r>
        <w:rPr>
          <w:rFonts w:ascii="Arial"/>
          <w:color w:val="5B6761"/>
          <w:spacing w:val="-22"/>
          <w:w w:val="105"/>
          <w:sz w:val="14"/>
        </w:rPr>
        <w:t xml:space="preserve"> </w:t>
      </w:r>
      <w:r>
        <w:rPr>
          <w:rFonts w:ascii="Arial"/>
          <w:color w:val="5B6761"/>
          <w:w w:val="105"/>
          <w:sz w:val="14"/>
        </w:rPr>
        <w:t>some</w:t>
      </w:r>
      <w:r>
        <w:rPr>
          <w:rFonts w:ascii="Arial"/>
          <w:color w:val="5B6761"/>
          <w:spacing w:val="-22"/>
          <w:w w:val="105"/>
          <w:sz w:val="14"/>
        </w:rPr>
        <w:t xml:space="preserve"> </w:t>
      </w:r>
      <w:r>
        <w:rPr>
          <w:rFonts w:ascii="Arial"/>
          <w:color w:val="5B6761"/>
          <w:w w:val="105"/>
          <w:sz w:val="14"/>
        </w:rPr>
        <w:t>may</w:t>
      </w:r>
      <w:r>
        <w:rPr>
          <w:rFonts w:ascii="Arial"/>
          <w:color w:val="5B6761"/>
          <w:spacing w:val="-22"/>
          <w:w w:val="105"/>
          <w:sz w:val="14"/>
        </w:rPr>
        <w:t xml:space="preserve"> </w:t>
      </w:r>
      <w:r>
        <w:rPr>
          <w:rFonts w:ascii="Arial"/>
          <w:color w:val="5B6761"/>
          <w:w w:val="105"/>
          <w:sz w:val="14"/>
        </w:rPr>
        <w:t>need</w:t>
      </w:r>
      <w:r>
        <w:rPr>
          <w:rFonts w:ascii="Arial"/>
          <w:color w:val="5B6761"/>
          <w:spacing w:val="-22"/>
          <w:w w:val="105"/>
          <w:sz w:val="14"/>
        </w:rPr>
        <w:t xml:space="preserve"> </w:t>
      </w:r>
      <w:r>
        <w:rPr>
          <w:rFonts w:ascii="Arial"/>
          <w:color w:val="5B6761"/>
          <w:w w:val="105"/>
          <w:sz w:val="14"/>
        </w:rPr>
        <w:t>to</w:t>
      </w:r>
      <w:r>
        <w:rPr>
          <w:rFonts w:ascii="Arial"/>
          <w:color w:val="5B6761"/>
          <w:spacing w:val="-22"/>
          <w:w w:val="105"/>
          <w:sz w:val="14"/>
        </w:rPr>
        <w:t xml:space="preserve"> </w:t>
      </w:r>
      <w:r>
        <w:rPr>
          <w:rFonts w:ascii="Arial"/>
          <w:color w:val="5B6761"/>
          <w:w w:val="105"/>
          <w:sz w:val="14"/>
        </w:rPr>
        <w:t>be</w:t>
      </w:r>
      <w:r>
        <w:rPr>
          <w:rFonts w:ascii="Arial"/>
          <w:color w:val="5B6761"/>
          <w:spacing w:val="-20"/>
          <w:w w:val="105"/>
          <w:sz w:val="14"/>
        </w:rPr>
        <w:t xml:space="preserve"> </w:t>
      </w:r>
      <w:r>
        <w:rPr>
          <w:rFonts w:ascii="Arial"/>
          <w:color w:val="5B6761"/>
          <w:w w:val="105"/>
          <w:sz w:val="14"/>
        </w:rPr>
        <w:t>scheduled</w:t>
      </w:r>
      <w:r>
        <w:rPr>
          <w:rFonts w:ascii="Arial"/>
          <w:color w:val="5B6761"/>
          <w:spacing w:val="-22"/>
          <w:w w:val="105"/>
          <w:sz w:val="14"/>
        </w:rPr>
        <w:t xml:space="preserve"> </w:t>
      </w:r>
      <w:r>
        <w:rPr>
          <w:rFonts w:ascii="Arial"/>
          <w:color w:val="5B6761"/>
          <w:w w:val="105"/>
          <w:sz w:val="14"/>
        </w:rPr>
        <w:t>on</w:t>
      </w:r>
      <w:r>
        <w:rPr>
          <w:rFonts w:ascii="Arial"/>
          <w:color w:val="5B6761"/>
          <w:spacing w:val="-21"/>
          <w:w w:val="105"/>
          <w:sz w:val="14"/>
        </w:rPr>
        <w:t xml:space="preserve"> </w:t>
      </w:r>
      <w:r>
        <w:rPr>
          <w:rFonts w:ascii="Arial"/>
          <w:color w:val="5B6761"/>
          <w:w w:val="105"/>
          <w:sz w:val="14"/>
        </w:rPr>
        <w:t>the</w:t>
      </w:r>
      <w:r>
        <w:rPr>
          <w:rFonts w:ascii="Arial"/>
          <w:color w:val="5B6761"/>
          <w:spacing w:val="-23"/>
          <w:w w:val="105"/>
          <w:sz w:val="14"/>
        </w:rPr>
        <w:t xml:space="preserve"> </w:t>
      </w:r>
      <w:r>
        <w:rPr>
          <w:rFonts w:ascii="Arial"/>
          <w:color w:val="5B6761"/>
          <w:w w:val="105"/>
          <w:sz w:val="14"/>
        </w:rPr>
        <w:t>Poisons</w:t>
      </w:r>
      <w:r>
        <w:rPr>
          <w:rFonts w:ascii="Arial"/>
          <w:color w:val="5B6761"/>
          <w:spacing w:val="-22"/>
          <w:w w:val="105"/>
          <w:sz w:val="14"/>
        </w:rPr>
        <w:t xml:space="preserve"> </w:t>
      </w:r>
      <w:r>
        <w:rPr>
          <w:rFonts w:ascii="Arial"/>
          <w:color w:val="5B6761"/>
          <w:w w:val="105"/>
          <w:sz w:val="14"/>
        </w:rPr>
        <w:t>Standard.</w:t>
      </w:r>
      <w:r>
        <w:rPr>
          <w:rFonts w:ascii="Arial"/>
          <w:color w:val="5B6761"/>
          <w:spacing w:val="-22"/>
          <w:w w:val="105"/>
          <w:sz w:val="14"/>
        </w:rPr>
        <w:t xml:space="preserve"> </w:t>
      </w:r>
      <w:r>
        <w:rPr>
          <w:rFonts w:ascii="Arial"/>
          <w:color w:val="5B6761"/>
          <w:w w:val="105"/>
          <w:sz w:val="14"/>
        </w:rPr>
        <w:t>However,</w:t>
      </w:r>
      <w:r>
        <w:rPr>
          <w:rFonts w:ascii="Arial"/>
          <w:color w:val="5B6761"/>
          <w:spacing w:val="-22"/>
          <w:w w:val="105"/>
          <w:sz w:val="14"/>
        </w:rPr>
        <w:t xml:space="preserve"> </w:t>
      </w:r>
      <w:r>
        <w:rPr>
          <w:rFonts w:ascii="Arial"/>
          <w:color w:val="5B6761"/>
          <w:w w:val="105"/>
          <w:sz w:val="14"/>
        </w:rPr>
        <w:t>due</w:t>
      </w:r>
      <w:r>
        <w:rPr>
          <w:rFonts w:ascii="Arial"/>
          <w:color w:val="5B6761"/>
          <w:spacing w:val="-22"/>
          <w:w w:val="105"/>
          <w:sz w:val="14"/>
        </w:rPr>
        <w:t xml:space="preserve"> </w:t>
      </w:r>
      <w:r>
        <w:rPr>
          <w:rFonts w:ascii="Arial"/>
          <w:color w:val="5B6761"/>
          <w:w w:val="105"/>
          <w:sz w:val="14"/>
        </w:rPr>
        <w:t>to</w:t>
      </w:r>
      <w:r>
        <w:rPr>
          <w:rFonts w:ascii="Arial"/>
          <w:color w:val="5B6761"/>
          <w:spacing w:val="-23"/>
          <w:w w:val="105"/>
          <w:sz w:val="14"/>
        </w:rPr>
        <w:t xml:space="preserve"> </w:t>
      </w:r>
      <w:r>
        <w:rPr>
          <w:rFonts w:ascii="Arial"/>
          <w:color w:val="5B6761"/>
          <w:w w:val="105"/>
          <w:sz w:val="14"/>
        </w:rPr>
        <w:t>the</w:t>
      </w:r>
      <w:r>
        <w:rPr>
          <w:rFonts w:ascii="Arial"/>
          <w:color w:val="5B6761"/>
          <w:spacing w:val="-19"/>
          <w:w w:val="105"/>
          <w:sz w:val="14"/>
        </w:rPr>
        <w:t xml:space="preserve"> </w:t>
      </w:r>
      <w:r>
        <w:rPr>
          <w:rFonts w:ascii="Arial"/>
          <w:color w:val="5B6761"/>
          <w:w w:val="105"/>
          <w:sz w:val="14"/>
        </w:rPr>
        <w:t>low</w:t>
      </w:r>
      <w:r>
        <w:rPr>
          <w:rFonts w:ascii="Arial"/>
          <w:color w:val="5B6761"/>
          <w:spacing w:val="-21"/>
          <w:w w:val="105"/>
          <w:sz w:val="14"/>
        </w:rPr>
        <w:t xml:space="preserve"> </w:t>
      </w:r>
      <w:r>
        <w:rPr>
          <w:rFonts w:ascii="Arial"/>
          <w:color w:val="5B6761"/>
          <w:w w:val="105"/>
          <w:sz w:val="14"/>
        </w:rPr>
        <w:t>number</w:t>
      </w:r>
      <w:r>
        <w:rPr>
          <w:rFonts w:ascii="Arial"/>
          <w:color w:val="5B6761"/>
          <w:spacing w:val="-23"/>
          <w:w w:val="105"/>
          <w:sz w:val="14"/>
        </w:rPr>
        <w:t xml:space="preserve"> </w:t>
      </w:r>
      <w:r>
        <w:rPr>
          <w:rFonts w:ascii="Arial"/>
          <w:color w:val="5B6761"/>
          <w:w w:val="105"/>
          <w:sz w:val="14"/>
        </w:rPr>
        <w:t>of</w:t>
      </w:r>
      <w:r>
        <w:rPr>
          <w:rFonts w:ascii="Arial"/>
          <w:color w:val="5B6761"/>
          <w:spacing w:val="-23"/>
          <w:w w:val="105"/>
          <w:sz w:val="14"/>
        </w:rPr>
        <w:t xml:space="preserve"> </w:t>
      </w:r>
      <w:r>
        <w:rPr>
          <w:rFonts w:ascii="Arial"/>
          <w:color w:val="5B6761"/>
          <w:w w:val="105"/>
          <w:sz w:val="14"/>
        </w:rPr>
        <w:t>applications</w:t>
      </w:r>
      <w:r>
        <w:rPr>
          <w:rFonts w:ascii="Arial"/>
          <w:color w:val="5B6761"/>
          <w:spacing w:val="-22"/>
          <w:w w:val="105"/>
          <w:sz w:val="14"/>
        </w:rPr>
        <w:t xml:space="preserve"> </w:t>
      </w:r>
      <w:r>
        <w:rPr>
          <w:rFonts w:ascii="Arial"/>
          <w:color w:val="5B6761"/>
          <w:w w:val="105"/>
          <w:sz w:val="14"/>
        </w:rPr>
        <w:t>for new</w:t>
      </w:r>
      <w:r>
        <w:rPr>
          <w:rFonts w:ascii="Arial"/>
          <w:color w:val="5B6761"/>
          <w:spacing w:val="-16"/>
          <w:w w:val="105"/>
          <w:sz w:val="14"/>
        </w:rPr>
        <w:t xml:space="preserve"> </w:t>
      </w:r>
      <w:r>
        <w:rPr>
          <w:rFonts w:ascii="Arial"/>
          <w:color w:val="5B6761"/>
          <w:w w:val="105"/>
          <w:sz w:val="14"/>
        </w:rPr>
        <w:t>ingredients</w:t>
      </w:r>
      <w:r>
        <w:rPr>
          <w:rFonts w:ascii="Arial"/>
          <w:color w:val="5B6761"/>
          <w:spacing w:val="-16"/>
          <w:w w:val="105"/>
          <w:sz w:val="14"/>
        </w:rPr>
        <w:t xml:space="preserve"> </w:t>
      </w:r>
      <w:r>
        <w:rPr>
          <w:rFonts w:ascii="Arial"/>
          <w:color w:val="5B6761"/>
          <w:w w:val="105"/>
          <w:sz w:val="14"/>
        </w:rPr>
        <w:t>forecast,</w:t>
      </w:r>
      <w:r>
        <w:rPr>
          <w:rFonts w:ascii="Arial"/>
          <w:color w:val="5B6761"/>
          <w:spacing w:val="-16"/>
          <w:w w:val="105"/>
          <w:sz w:val="14"/>
        </w:rPr>
        <w:t xml:space="preserve"> </w:t>
      </w:r>
      <w:r>
        <w:rPr>
          <w:rFonts w:ascii="Arial"/>
          <w:color w:val="5B6761"/>
          <w:w w:val="105"/>
          <w:sz w:val="14"/>
        </w:rPr>
        <w:t>and</w:t>
      </w:r>
      <w:r>
        <w:rPr>
          <w:rFonts w:ascii="Arial"/>
          <w:color w:val="5B6761"/>
          <w:spacing w:val="-15"/>
          <w:w w:val="105"/>
          <w:sz w:val="14"/>
        </w:rPr>
        <w:t xml:space="preserve"> </w:t>
      </w:r>
      <w:r>
        <w:rPr>
          <w:rFonts w:ascii="Arial"/>
          <w:color w:val="5B6761"/>
          <w:w w:val="105"/>
          <w:sz w:val="14"/>
        </w:rPr>
        <w:t>industry</w:t>
      </w:r>
      <w:r>
        <w:rPr>
          <w:rFonts w:ascii="Arial"/>
          <w:color w:val="5B6761"/>
          <w:spacing w:val="-18"/>
          <w:w w:val="105"/>
          <w:sz w:val="14"/>
        </w:rPr>
        <w:t xml:space="preserve"> </w:t>
      </w:r>
      <w:r>
        <w:rPr>
          <w:rFonts w:ascii="Arial"/>
          <w:color w:val="5B6761"/>
          <w:w w:val="105"/>
          <w:sz w:val="14"/>
        </w:rPr>
        <w:t>advice</w:t>
      </w:r>
      <w:r>
        <w:rPr>
          <w:rFonts w:ascii="Arial"/>
          <w:color w:val="5B6761"/>
          <w:spacing w:val="-16"/>
          <w:w w:val="105"/>
          <w:sz w:val="14"/>
        </w:rPr>
        <w:t xml:space="preserve"> </w:t>
      </w:r>
      <w:r>
        <w:rPr>
          <w:rFonts w:ascii="Arial"/>
          <w:color w:val="5B6761"/>
          <w:w w:val="105"/>
          <w:sz w:val="14"/>
        </w:rPr>
        <w:t>that</w:t>
      </w:r>
      <w:r>
        <w:rPr>
          <w:rFonts w:ascii="Arial"/>
          <w:color w:val="5B6761"/>
          <w:spacing w:val="-18"/>
          <w:w w:val="105"/>
          <w:sz w:val="14"/>
        </w:rPr>
        <w:t xml:space="preserve"> </w:t>
      </w:r>
      <w:r>
        <w:rPr>
          <w:rFonts w:ascii="Arial"/>
          <w:color w:val="5B6761"/>
          <w:w w:val="105"/>
          <w:sz w:val="14"/>
        </w:rPr>
        <w:t>due</w:t>
      </w:r>
      <w:r>
        <w:rPr>
          <w:rFonts w:ascii="Arial"/>
          <w:color w:val="5B6761"/>
          <w:spacing w:val="-17"/>
          <w:w w:val="105"/>
          <w:sz w:val="14"/>
        </w:rPr>
        <w:t xml:space="preserve"> </w:t>
      </w:r>
      <w:r>
        <w:rPr>
          <w:rFonts w:ascii="Arial"/>
          <w:color w:val="5B6761"/>
          <w:w w:val="105"/>
          <w:sz w:val="14"/>
        </w:rPr>
        <w:t>to</w:t>
      </w:r>
      <w:r>
        <w:rPr>
          <w:rFonts w:ascii="Arial"/>
          <w:color w:val="5B6761"/>
          <w:spacing w:val="-17"/>
          <w:w w:val="105"/>
          <w:sz w:val="14"/>
        </w:rPr>
        <w:t xml:space="preserve"> </w:t>
      </w:r>
      <w:r>
        <w:rPr>
          <w:rFonts w:ascii="Arial"/>
          <w:color w:val="5B6761"/>
          <w:w w:val="105"/>
          <w:sz w:val="14"/>
        </w:rPr>
        <w:t>the</w:t>
      </w:r>
      <w:r>
        <w:rPr>
          <w:rFonts w:ascii="Arial"/>
          <w:color w:val="5B6761"/>
          <w:spacing w:val="-16"/>
          <w:w w:val="105"/>
          <w:sz w:val="14"/>
        </w:rPr>
        <w:t xml:space="preserve"> </w:t>
      </w:r>
      <w:r>
        <w:rPr>
          <w:rFonts w:ascii="Arial"/>
          <w:color w:val="5B6761"/>
          <w:w w:val="105"/>
          <w:sz w:val="14"/>
        </w:rPr>
        <w:t>additional</w:t>
      </w:r>
      <w:r>
        <w:rPr>
          <w:rFonts w:ascii="Arial"/>
          <w:color w:val="5B6761"/>
          <w:spacing w:val="-16"/>
          <w:w w:val="105"/>
          <w:sz w:val="14"/>
        </w:rPr>
        <w:t xml:space="preserve"> </w:t>
      </w:r>
      <w:r>
        <w:rPr>
          <w:rFonts w:ascii="Arial"/>
          <w:color w:val="5B6761"/>
          <w:w w:val="105"/>
          <w:sz w:val="14"/>
        </w:rPr>
        <w:t>cost</w:t>
      </w:r>
      <w:r>
        <w:rPr>
          <w:rFonts w:ascii="Arial"/>
          <w:color w:val="5B6761"/>
          <w:spacing w:val="-16"/>
          <w:w w:val="105"/>
          <w:sz w:val="14"/>
        </w:rPr>
        <w:t xml:space="preserve"> </w:t>
      </w:r>
      <w:r>
        <w:rPr>
          <w:rFonts w:ascii="Arial"/>
          <w:color w:val="5B6761"/>
          <w:w w:val="105"/>
          <w:sz w:val="14"/>
        </w:rPr>
        <w:t>they</w:t>
      </w:r>
      <w:r>
        <w:rPr>
          <w:rFonts w:ascii="Arial"/>
          <w:color w:val="5B6761"/>
          <w:spacing w:val="-16"/>
          <w:w w:val="105"/>
          <w:sz w:val="14"/>
        </w:rPr>
        <w:t xml:space="preserve"> </w:t>
      </w:r>
      <w:r>
        <w:rPr>
          <w:rFonts w:ascii="Arial"/>
          <w:color w:val="5B6761"/>
          <w:w w:val="105"/>
          <w:sz w:val="14"/>
        </w:rPr>
        <w:t>were</w:t>
      </w:r>
      <w:r>
        <w:rPr>
          <w:rFonts w:ascii="Arial"/>
          <w:color w:val="5B6761"/>
          <w:spacing w:val="-16"/>
          <w:w w:val="105"/>
          <w:sz w:val="14"/>
        </w:rPr>
        <w:t xml:space="preserve"> </w:t>
      </w:r>
      <w:r>
        <w:rPr>
          <w:rFonts w:ascii="Arial"/>
          <w:color w:val="5B6761"/>
          <w:w w:val="105"/>
          <w:sz w:val="14"/>
        </w:rPr>
        <w:t>unlikely</w:t>
      </w:r>
      <w:r>
        <w:rPr>
          <w:rFonts w:ascii="Arial"/>
          <w:color w:val="5B6761"/>
          <w:spacing w:val="-17"/>
          <w:w w:val="105"/>
          <w:sz w:val="14"/>
        </w:rPr>
        <w:t xml:space="preserve"> </w:t>
      </w:r>
      <w:r>
        <w:rPr>
          <w:rFonts w:ascii="Arial"/>
          <w:color w:val="5B6761"/>
          <w:w w:val="105"/>
          <w:sz w:val="14"/>
        </w:rPr>
        <w:t>to</w:t>
      </w:r>
      <w:r>
        <w:rPr>
          <w:rFonts w:ascii="Arial"/>
          <w:color w:val="5B6761"/>
          <w:spacing w:val="-16"/>
          <w:w w:val="105"/>
          <w:sz w:val="14"/>
        </w:rPr>
        <w:t xml:space="preserve"> </w:t>
      </w:r>
      <w:r>
        <w:rPr>
          <w:rFonts w:ascii="Arial"/>
          <w:color w:val="5B6761"/>
          <w:w w:val="105"/>
          <w:sz w:val="14"/>
        </w:rPr>
        <w:t>seek</w:t>
      </w:r>
      <w:r>
        <w:rPr>
          <w:rFonts w:ascii="Arial"/>
          <w:color w:val="5B6761"/>
          <w:spacing w:val="-16"/>
          <w:w w:val="105"/>
          <w:sz w:val="14"/>
        </w:rPr>
        <w:t xml:space="preserve"> </w:t>
      </w:r>
      <w:r>
        <w:rPr>
          <w:rFonts w:ascii="Arial"/>
          <w:color w:val="5B6761"/>
          <w:w w:val="105"/>
          <w:sz w:val="14"/>
        </w:rPr>
        <w:t>to</w:t>
      </w:r>
      <w:r>
        <w:rPr>
          <w:rFonts w:ascii="Arial"/>
          <w:color w:val="5B6761"/>
          <w:spacing w:val="-17"/>
          <w:w w:val="105"/>
          <w:sz w:val="14"/>
        </w:rPr>
        <w:t xml:space="preserve"> </w:t>
      </w:r>
      <w:r>
        <w:rPr>
          <w:rFonts w:ascii="Arial"/>
          <w:color w:val="5B6761"/>
          <w:w w:val="105"/>
          <w:sz w:val="14"/>
        </w:rPr>
        <w:t>register</w:t>
      </w:r>
      <w:r>
        <w:rPr>
          <w:rFonts w:ascii="Arial"/>
          <w:color w:val="5B6761"/>
          <w:spacing w:val="-15"/>
          <w:w w:val="105"/>
          <w:sz w:val="14"/>
        </w:rPr>
        <w:t xml:space="preserve"> </w:t>
      </w:r>
      <w:r>
        <w:rPr>
          <w:rFonts w:ascii="Arial"/>
          <w:color w:val="5B6761"/>
          <w:w w:val="105"/>
          <w:sz w:val="14"/>
        </w:rPr>
        <w:t>sports</w:t>
      </w:r>
      <w:r>
        <w:rPr>
          <w:rFonts w:ascii="Arial"/>
          <w:color w:val="5B6761"/>
          <w:spacing w:val="-16"/>
          <w:w w:val="105"/>
          <w:sz w:val="14"/>
        </w:rPr>
        <w:t xml:space="preserve"> </w:t>
      </w:r>
      <w:r>
        <w:rPr>
          <w:rFonts w:ascii="Arial"/>
          <w:color w:val="5B6761"/>
          <w:w w:val="105"/>
          <w:sz w:val="14"/>
        </w:rPr>
        <w:t>supplements in</w:t>
      </w:r>
      <w:r>
        <w:rPr>
          <w:rFonts w:ascii="Arial"/>
          <w:color w:val="5B6761"/>
          <w:spacing w:val="-11"/>
          <w:w w:val="105"/>
          <w:sz w:val="14"/>
        </w:rPr>
        <w:t xml:space="preserve"> </w:t>
      </w:r>
      <w:r>
        <w:rPr>
          <w:rFonts w:ascii="Arial"/>
          <w:color w:val="5B6761"/>
          <w:w w:val="105"/>
          <w:sz w:val="14"/>
        </w:rPr>
        <w:t>the</w:t>
      </w:r>
      <w:r>
        <w:rPr>
          <w:rFonts w:ascii="Arial"/>
          <w:color w:val="5B6761"/>
          <w:spacing w:val="-13"/>
          <w:w w:val="105"/>
          <w:sz w:val="14"/>
        </w:rPr>
        <w:t xml:space="preserve"> </w:t>
      </w:r>
      <w:r>
        <w:rPr>
          <w:rFonts w:ascii="Arial"/>
          <w:color w:val="5B6761"/>
          <w:w w:val="105"/>
          <w:sz w:val="14"/>
        </w:rPr>
        <w:t>ARTG,</w:t>
      </w:r>
      <w:r>
        <w:rPr>
          <w:rFonts w:ascii="Arial"/>
          <w:color w:val="5B6761"/>
          <w:spacing w:val="-11"/>
          <w:w w:val="105"/>
          <w:sz w:val="14"/>
        </w:rPr>
        <w:t xml:space="preserve"> </w:t>
      </w:r>
      <w:r>
        <w:rPr>
          <w:rFonts w:ascii="Arial"/>
          <w:color w:val="5B6761"/>
          <w:w w:val="105"/>
          <w:sz w:val="14"/>
        </w:rPr>
        <w:t>the</w:t>
      </w:r>
      <w:r>
        <w:rPr>
          <w:rFonts w:ascii="Arial"/>
          <w:color w:val="5B6761"/>
          <w:spacing w:val="-13"/>
          <w:w w:val="105"/>
          <w:sz w:val="14"/>
        </w:rPr>
        <w:t xml:space="preserve"> </w:t>
      </w:r>
      <w:r>
        <w:rPr>
          <w:rFonts w:ascii="Arial"/>
          <w:color w:val="5B6761"/>
          <w:w w:val="105"/>
          <w:sz w:val="14"/>
        </w:rPr>
        <w:t>regulatory</w:t>
      </w:r>
      <w:r>
        <w:rPr>
          <w:rFonts w:ascii="Arial"/>
          <w:color w:val="5B6761"/>
          <w:spacing w:val="-11"/>
          <w:w w:val="105"/>
          <w:sz w:val="14"/>
        </w:rPr>
        <w:t xml:space="preserve"> </w:t>
      </w:r>
      <w:r>
        <w:rPr>
          <w:rFonts w:ascii="Arial"/>
          <w:color w:val="5B6761"/>
          <w:w w:val="105"/>
          <w:sz w:val="14"/>
        </w:rPr>
        <w:t>cost</w:t>
      </w:r>
      <w:r>
        <w:rPr>
          <w:rFonts w:ascii="Arial"/>
          <w:color w:val="5B6761"/>
          <w:spacing w:val="-7"/>
          <w:w w:val="105"/>
          <w:sz w:val="14"/>
        </w:rPr>
        <w:t xml:space="preserve"> </w:t>
      </w:r>
      <w:r>
        <w:rPr>
          <w:rFonts w:ascii="Arial"/>
          <w:color w:val="5B6761"/>
          <w:w w:val="105"/>
          <w:sz w:val="14"/>
        </w:rPr>
        <w:t>of</w:t>
      </w:r>
      <w:r>
        <w:rPr>
          <w:rFonts w:ascii="Arial"/>
          <w:color w:val="5B6761"/>
          <w:spacing w:val="-13"/>
          <w:w w:val="105"/>
          <w:sz w:val="14"/>
        </w:rPr>
        <w:t xml:space="preserve"> </w:t>
      </w:r>
      <w:r>
        <w:rPr>
          <w:rFonts w:ascii="Arial"/>
          <w:color w:val="5B6761"/>
          <w:w w:val="105"/>
          <w:sz w:val="14"/>
        </w:rPr>
        <w:t>registering</w:t>
      </w:r>
      <w:r>
        <w:rPr>
          <w:rFonts w:ascii="Arial"/>
          <w:color w:val="5B6761"/>
          <w:spacing w:val="-11"/>
          <w:w w:val="105"/>
          <w:sz w:val="14"/>
        </w:rPr>
        <w:t xml:space="preserve"> </w:t>
      </w:r>
      <w:r>
        <w:rPr>
          <w:rFonts w:ascii="Arial"/>
          <w:color w:val="5B6761"/>
          <w:w w:val="105"/>
          <w:sz w:val="14"/>
        </w:rPr>
        <w:t>a</w:t>
      </w:r>
      <w:r>
        <w:rPr>
          <w:rFonts w:ascii="Arial"/>
          <w:color w:val="5B6761"/>
          <w:spacing w:val="-10"/>
          <w:w w:val="105"/>
          <w:sz w:val="14"/>
        </w:rPr>
        <w:t xml:space="preserve"> </w:t>
      </w:r>
      <w:r>
        <w:rPr>
          <w:rFonts w:ascii="Arial"/>
          <w:color w:val="5B6761"/>
          <w:w w:val="105"/>
          <w:sz w:val="14"/>
        </w:rPr>
        <w:t>new</w:t>
      </w:r>
      <w:r>
        <w:rPr>
          <w:rFonts w:ascii="Arial"/>
          <w:color w:val="5B6761"/>
          <w:spacing w:val="-13"/>
          <w:w w:val="105"/>
          <w:sz w:val="14"/>
        </w:rPr>
        <w:t xml:space="preserve"> </w:t>
      </w:r>
      <w:r>
        <w:rPr>
          <w:rFonts w:ascii="Arial"/>
          <w:color w:val="5B6761"/>
          <w:w w:val="105"/>
          <w:sz w:val="14"/>
        </w:rPr>
        <w:t>product</w:t>
      </w:r>
      <w:r>
        <w:rPr>
          <w:rFonts w:ascii="Arial"/>
          <w:color w:val="5B6761"/>
          <w:spacing w:val="-11"/>
          <w:w w:val="105"/>
          <w:sz w:val="14"/>
        </w:rPr>
        <w:t xml:space="preserve"> </w:t>
      </w:r>
      <w:r>
        <w:rPr>
          <w:rFonts w:ascii="Arial"/>
          <w:color w:val="5B6761"/>
          <w:w w:val="105"/>
          <w:sz w:val="14"/>
        </w:rPr>
        <w:t>on</w:t>
      </w:r>
      <w:r>
        <w:rPr>
          <w:rFonts w:ascii="Arial"/>
          <w:color w:val="5B6761"/>
          <w:spacing w:val="-10"/>
          <w:w w:val="105"/>
          <w:sz w:val="14"/>
        </w:rPr>
        <w:t xml:space="preserve"> </w:t>
      </w:r>
      <w:r>
        <w:rPr>
          <w:rFonts w:ascii="Arial"/>
          <w:color w:val="5B6761"/>
          <w:w w:val="105"/>
          <w:sz w:val="14"/>
        </w:rPr>
        <w:t>the</w:t>
      </w:r>
      <w:r>
        <w:rPr>
          <w:rFonts w:ascii="Arial"/>
          <w:color w:val="5B6761"/>
          <w:spacing w:val="-13"/>
          <w:w w:val="105"/>
          <w:sz w:val="14"/>
        </w:rPr>
        <w:t xml:space="preserve"> </w:t>
      </w:r>
      <w:r>
        <w:rPr>
          <w:rFonts w:ascii="Arial"/>
          <w:color w:val="5B6761"/>
          <w:w w:val="105"/>
          <w:sz w:val="14"/>
        </w:rPr>
        <w:t>ARTG</w:t>
      </w:r>
      <w:r>
        <w:rPr>
          <w:rFonts w:ascii="Arial"/>
          <w:color w:val="5B6761"/>
          <w:spacing w:val="-11"/>
          <w:w w:val="105"/>
          <w:sz w:val="14"/>
        </w:rPr>
        <w:t xml:space="preserve"> </w:t>
      </w:r>
      <w:r>
        <w:rPr>
          <w:rFonts w:ascii="Arial"/>
          <w:color w:val="5B6761"/>
          <w:w w:val="105"/>
          <w:sz w:val="14"/>
        </w:rPr>
        <w:t>has</w:t>
      </w:r>
      <w:r>
        <w:rPr>
          <w:rFonts w:ascii="Arial"/>
          <w:color w:val="5B6761"/>
          <w:spacing w:val="-15"/>
          <w:w w:val="105"/>
          <w:sz w:val="14"/>
        </w:rPr>
        <w:t xml:space="preserve"> </w:t>
      </w:r>
      <w:r>
        <w:rPr>
          <w:rFonts w:ascii="Arial"/>
          <w:color w:val="5B6761"/>
          <w:w w:val="105"/>
          <w:sz w:val="14"/>
        </w:rPr>
        <w:t>been</w:t>
      </w:r>
      <w:r>
        <w:rPr>
          <w:rFonts w:ascii="Arial"/>
          <w:color w:val="5B6761"/>
          <w:spacing w:val="-10"/>
          <w:w w:val="105"/>
          <w:sz w:val="14"/>
        </w:rPr>
        <w:t xml:space="preserve"> </w:t>
      </w:r>
      <w:r>
        <w:rPr>
          <w:rFonts w:ascii="Arial"/>
          <w:color w:val="5B6761"/>
          <w:w w:val="105"/>
          <w:sz w:val="14"/>
        </w:rPr>
        <w:t>excluded</w:t>
      </w:r>
      <w:r>
        <w:rPr>
          <w:rFonts w:ascii="Arial"/>
          <w:color w:val="5B6761"/>
          <w:spacing w:val="-11"/>
          <w:w w:val="105"/>
          <w:sz w:val="14"/>
        </w:rPr>
        <w:t xml:space="preserve"> </w:t>
      </w:r>
      <w:r>
        <w:rPr>
          <w:rFonts w:ascii="Arial"/>
          <w:color w:val="5B6761"/>
          <w:w w:val="105"/>
          <w:sz w:val="14"/>
        </w:rPr>
        <w:t>from</w:t>
      </w:r>
      <w:r>
        <w:rPr>
          <w:rFonts w:ascii="Arial"/>
          <w:color w:val="5B6761"/>
          <w:spacing w:val="-12"/>
          <w:w w:val="105"/>
          <w:sz w:val="14"/>
        </w:rPr>
        <w:t xml:space="preserve"> </w:t>
      </w:r>
      <w:r>
        <w:rPr>
          <w:rFonts w:ascii="Arial"/>
          <w:color w:val="5B6761"/>
          <w:w w:val="105"/>
          <w:sz w:val="14"/>
        </w:rPr>
        <w:t>the</w:t>
      </w:r>
      <w:r>
        <w:rPr>
          <w:rFonts w:ascii="Arial"/>
          <w:color w:val="5B6761"/>
          <w:spacing w:val="-10"/>
          <w:w w:val="105"/>
          <w:sz w:val="14"/>
        </w:rPr>
        <w:t xml:space="preserve"> </w:t>
      </w:r>
      <w:r>
        <w:rPr>
          <w:rFonts w:ascii="Arial"/>
          <w:color w:val="5B6761"/>
          <w:w w:val="105"/>
          <w:sz w:val="14"/>
        </w:rPr>
        <w:t>costing.</w:t>
      </w:r>
    </w:p>
    <w:p w:rsidR="007D76BB" w:rsidRDefault="00D70D28">
      <w:pPr>
        <w:spacing w:before="59" w:line="268" w:lineRule="auto"/>
        <w:ind w:left="594" w:right="1181" w:hanging="113"/>
        <w:rPr>
          <w:rFonts w:ascii="Arial" w:hAnsi="Arial"/>
          <w:sz w:val="14"/>
        </w:rPr>
      </w:pPr>
      <w:r>
        <w:rPr>
          <w:rFonts w:ascii="Arial" w:hAnsi="Arial"/>
          <w:color w:val="5B6761"/>
          <w:w w:val="105"/>
          <w:position w:val="5"/>
          <w:sz w:val="8"/>
        </w:rPr>
        <w:t>78</w:t>
      </w:r>
      <w:r>
        <w:rPr>
          <w:rFonts w:ascii="Arial" w:hAnsi="Arial"/>
          <w:color w:val="5B6761"/>
          <w:spacing w:val="1"/>
          <w:w w:val="105"/>
          <w:position w:val="5"/>
          <w:sz w:val="8"/>
        </w:rPr>
        <w:t xml:space="preserve"> </w:t>
      </w:r>
      <w:r>
        <w:rPr>
          <w:rFonts w:ascii="Arial" w:hAnsi="Arial"/>
          <w:color w:val="5B6761"/>
          <w:w w:val="105"/>
          <w:sz w:val="14"/>
        </w:rPr>
        <w:t>It</w:t>
      </w:r>
      <w:r>
        <w:rPr>
          <w:rFonts w:ascii="Arial" w:hAnsi="Arial"/>
          <w:color w:val="5B6761"/>
          <w:spacing w:val="-15"/>
          <w:w w:val="105"/>
          <w:sz w:val="14"/>
        </w:rPr>
        <w:t xml:space="preserve"> </w:t>
      </w:r>
      <w:r>
        <w:rPr>
          <w:rFonts w:ascii="Arial" w:hAnsi="Arial"/>
          <w:color w:val="5B6761"/>
          <w:w w:val="105"/>
          <w:sz w:val="14"/>
        </w:rPr>
        <w:t>is</w:t>
      </w:r>
      <w:r>
        <w:rPr>
          <w:rFonts w:ascii="Arial" w:hAnsi="Arial"/>
          <w:color w:val="5B6761"/>
          <w:spacing w:val="-15"/>
          <w:w w:val="105"/>
          <w:sz w:val="14"/>
        </w:rPr>
        <w:t xml:space="preserve"> </w:t>
      </w:r>
      <w:r>
        <w:rPr>
          <w:rFonts w:ascii="Arial" w:hAnsi="Arial"/>
          <w:color w:val="5B6761"/>
          <w:w w:val="105"/>
          <w:sz w:val="14"/>
        </w:rPr>
        <w:t>noted</w:t>
      </w:r>
      <w:r>
        <w:rPr>
          <w:rFonts w:ascii="Arial" w:hAnsi="Arial"/>
          <w:color w:val="5B6761"/>
          <w:spacing w:val="-15"/>
          <w:w w:val="105"/>
          <w:sz w:val="14"/>
        </w:rPr>
        <w:t xml:space="preserve"> </w:t>
      </w:r>
      <w:r>
        <w:rPr>
          <w:rFonts w:ascii="Arial" w:hAnsi="Arial"/>
          <w:color w:val="5B6761"/>
          <w:w w:val="105"/>
          <w:sz w:val="14"/>
        </w:rPr>
        <w:t>that</w:t>
      </w:r>
      <w:r>
        <w:rPr>
          <w:rFonts w:ascii="Arial" w:hAnsi="Arial"/>
          <w:color w:val="5B6761"/>
          <w:spacing w:val="-15"/>
          <w:w w:val="105"/>
          <w:sz w:val="14"/>
        </w:rPr>
        <w:t xml:space="preserve"> </w:t>
      </w:r>
      <w:r>
        <w:rPr>
          <w:rFonts w:ascii="Arial" w:hAnsi="Arial"/>
          <w:color w:val="5B6761"/>
          <w:w w:val="105"/>
          <w:sz w:val="14"/>
        </w:rPr>
        <w:t>while</w:t>
      </w:r>
      <w:r>
        <w:rPr>
          <w:rFonts w:ascii="Arial" w:hAnsi="Arial"/>
          <w:color w:val="5B6761"/>
          <w:spacing w:val="-16"/>
          <w:w w:val="105"/>
          <w:sz w:val="14"/>
        </w:rPr>
        <w:t xml:space="preserve"> </w:t>
      </w:r>
      <w:r>
        <w:rPr>
          <w:rFonts w:ascii="Arial" w:hAnsi="Arial"/>
          <w:color w:val="5B6761"/>
          <w:w w:val="105"/>
          <w:sz w:val="14"/>
        </w:rPr>
        <w:t>the</w:t>
      </w:r>
      <w:r>
        <w:rPr>
          <w:rFonts w:ascii="Arial" w:hAnsi="Arial"/>
          <w:color w:val="5B6761"/>
          <w:spacing w:val="-16"/>
          <w:w w:val="105"/>
          <w:sz w:val="14"/>
        </w:rPr>
        <w:t xml:space="preserve"> </w:t>
      </w:r>
      <w:r>
        <w:rPr>
          <w:rFonts w:ascii="Arial" w:hAnsi="Arial"/>
          <w:color w:val="5B6761"/>
          <w:w w:val="105"/>
          <w:sz w:val="14"/>
        </w:rPr>
        <w:t>screening</w:t>
      </w:r>
      <w:r>
        <w:rPr>
          <w:rFonts w:ascii="Arial" w:hAnsi="Arial"/>
          <w:color w:val="5B6761"/>
          <w:spacing w:val="-15"/>
          <w:w w:val="105"/>
          <w:sz w:val="14"/>
        </w:rPr>
        <w:t xml:space="preserve"> </w:t>
      </w:r>
      <w:r>
        <w:rPr>
          <w:rFonts w:ascii="Arial" w:hAnsi="Arial"/>
          <w:color w:val="5B6761"/>
          <w:w w:val="105"/>
          <w:sz w:val="14"/>
        </w:rPr>
        <w:t>timeframe</w:t>
      </w:r>
      <w:r>
        <w:rPr>
          <w:rFonts w:ascii="Arial" w:hAnsi="Arial"/>
          <w:color w:val="5B6761"/>
          <w:spacing w:val="-16"/>
          <w:w w:val="105"/>
          <w:sz w:val="14"/>
        </w:rPr>
        <w:t xml:space="preserve"> </w:t>
      </w:r>
      <w:r>
        <w:rPr>
          <w:rFonts w:ascii="Arial" w:hAnsi="Arial"/>
          <w:color w:val="5B6761"/>
          <w:w w:val="105"/>
          <w:sz w:val="14"/>
        </w:rPr>
        <w:t>for</w:t>
      </w:r>
      <w:r>
        <w:rPr>
          <w:rFonts w:ascii="Arial" w:hAnsi="Arial"/>
          <w:color w:val="5B6761"/>
          <w:spacing w:val="-15"/>
          <w:w w:val="105"/>
          <w:sz w:val="14"/>
        </w:rPr>
        <w:t xml:space="preserve"> </w:t>
      </w:r>
      <w:r>
        <w:rPr>
          <w:rFonts w:ascii="Arial" w:hAnsi="Arial"/>
          <w:color w:val="5B6761"/>
          <w:w w:val="105"/>
          <w:sz w:val="14"/>
        </w:rPr>
        <w:t>all</w:t>
      </w:r>
      <w:r>
        <w:rPr>
          <w:rFonts w:ascii="Arial" w:hAnsi="Arial"/>
          <w:color w:val="5B6761"/>
          <w:spacing w:val="-15"/>
          <w:w w:val="105"/>
          <w:sz w:val="14"/>
        </w:rPr>
        <w:t xml:space="preserve"> </w:t>
      </w:r>
      <w:r>
        <w:rPr>
          <w:rFonts w:ascii="Arial" w:hAnsi="Arial"/>
          <w:color w:val="5B6761"/>
          <w:w w:val="105"/>
          <w:sz w:val="14"/>
        </w:rPr>
        <w:t>application</w:t>
      </w:r>
      <w:r>
        <w:rPr>
          <w:rFonts w:ascii="Arial" w:hAnsi="Arial"/>
          <w:color w:val="5B6761"/>
          <w:spacing w:val="-15"/>
          <w:w w:val="105"/>
          <w:sz w:val="14"/>
        </w:rPr>
        <w:t xml:space="preserve"> </w:t>
      </w:r>
      <w:r>
        <w:rPr>
          <w:rFonts w:ascii="Arial" w:hAnsi="Arial"/>
          <w:color w:val="5B6761"/>
          <w:w w:val="105"/>
          <w:sz w:val="14"/>
        </w:rPr>
        <w:t>categories</w:t>
      </w:r>
      <w:r>
        <w:rPr>
          <w:rFonts w:ascii="Arial" w:hAnsi="Arial"/>
          <w:color w:val="5B6761"/>
          <w:spacing w:val="-16"/>
          <w:w w:val="105"/>
          <w:sz w:val="14"/>
        </w:rPr>
        <w:t xml:space="preserve"> </w:t>
      </w:r>
      <w:r>
        <w:rPr>
          <w:rFonts w:ascii="Arial" w:hAnsi="Arial"/>
          <w:color w:val="5B6761"/>
          <w:w w:val="105"/>
          <w:sz w:val="14"/>
        </w:rPr>
        <w:t>is</w:t>
      </w:r>
      <w:r>
        <w:rPr>
          <w:rFonts w:ascii="Arial" w:hAnsi="Arial"/>
          <w:color w:val="5B6761"/>
          <w:spacing w:val="-17"/>
          <w:w w:val="105"/>
          <w:sz w:val="14"/>
        </w:rPr>
        <w:t xml:space="preserve"> </w:t>
      </w:r>
      <w:r>
        <w:rPr>
          <w:rFonts w:ascii="Arial" w:hAnsi="Arial"/>
          <w:color w:val="5B6761"/>
          <w:w w:val="105"/>
          <w:sz w:val="14"/>
        </w:rPr>
        <w:t>the</w:t>
      </w:r>
      <w:r>
        <w:rPr>
          <w:rFonts w:ascii="Arial" w:hAnsi="Arial"/>
          <w:color w:val="5B6761"/>
          <w:spacing w:val="-17"/>
          <w:w w:val="105"/>
          <w:sz w:val="14"/>
        </w:rPr>
        <w:t xml:space="preserve"> </w:t>
      </w:r>
      <w:r>
        <w:rPr>
          <w:rFonts w:ascii="Arial" w:hAnsi="Arial"/>
          <w:color w:val="5B6761"/>
          <w:w w:val="105"/>
          <w:sz w:val="14"/>
        </w:rPr>
        <w:t>same</w:t>
      </w:r>
      <w:r>
        <w:rPr>
          <w:rFonts w:ascii="Arial" w:hAnsi="Arial"/>
          <w:color w:val="5B6761"/>
          <w:spacing w:val="-16"/>
          <w:w w:val="105"/>
          <w:sz w:val="14"/>
        </w:rPr>
        <w:t xml:space="preserve"> </w:t>
      </w:r>
      <w:r>
        <w:rPr>
          <w:rFonts w:ascii="Arial" w:hAnsi="Arial"/>
          <w:color w:val="5B6761"/>
          <w:w w:val="105"/>
          <w:sz w:val="14"/>
        </w:rPr>
        <w:t>(40</w:t>
      </w:r>
      <w:r>
        <w:rPr>
          <w:rFonts w:ascii="Arial" w:hAnsi="Arial"/>
          <w:color w:val="5B6761"/>
          <w:spacing w:val="-15"/>
          <w:w w:val="105"/>
          <w:sz w:val="14"/>
        </w:rPr>
        <w:t xml:space="preserve"> </w:t>
      </w:r>
      <w:r>
        <w:rPr>
          <w:rFonts w:ascii="Arial" w:hAnsi="Arial"/>
          <w:color w:val="5B6761"/>
          <w:w w:val="105"/>
          <w:sz w:val="14"/>
        </w:rPr>
        <w:t>days),</w:t>
      </w:r>
      <w:r>
        <w:rPr>
          <w:rFonts w:ascii="Arial" w:hAnsi="Arial"/>
          <w:color w:val="5B6761"/>
          <w:spacing w:val="-16"/>
          <w:w w:val="105"/>
          <w:sz w:val="14"/>
        </w:rPr>
        <w:t xml:space="preserve"> </w:t>
      </w:r>
      <w:r>
        <w:rPr>
          <w:rFonts w:ascii="Arial" w:hAnsi="Arial"/>
          <w:color w:val="5B6761"/>
          <w:w w:val="105"/>
          <w:sz w:val="14"/>
        </w:rPr>
        <w:t>the</w:t>
      </w:r>
      <w:r>
        <w:rPr>
          <w:rFonts w:ascii="Arial" w:hAnsi="Arial"/>
          <w:color w:val="5B6761"/>
          <w:spacing w:val="-16"/>
          <w:w w:val="105"/>
          <w:sz w:val="14"/>
        </w:rPr>
        <w:t xml:space="preserve"> </w:t>
      </w:r>
      <w:r>
        <w:rPr>
          <w:rFonts w:ascii="Arial" w:hAnsi="Arial"/>
          <w:color w:val="5B6761"/>
          <w:w w:val="105"/>
          <w:sz w:val="14"/>
        </w:rPr>
        <w:t>evaluation</w:t>
      </w:r>
      <w:r>
        <w:rPr>
          <w:rFonts w:ascii="Arial" w:hAnsi="Arial"/>
          <w:color w:val="5B6761"/>
          <w:spacing w:val="-15"/>
          <w:w w:val="105"/>
          <w:sz w:val="14"/>
        </w:rPr>
        <w:t xml:space="preserve"> </w:t>
      </w:r>
      <w:r>
        <w:rPr>
          <w:rFonts w:ascii="Arial" w:hAnsi="Arial"/>
          <w:color w:val="5B6761"/>
          <w:w w:val="105"/>
          <w:sz w:val="14"/>
        </w:rPr>
        <w:t>time</w:t>
      </w:r>
      <w:r>
        <w:rPr>
          <w:rFonts w:ascii="Arial" w:hAnsi="Arial"/>
          <w:color w:val="5B6761"/>
          <w:spacing w:val="-16"/>
          <w:w w:val="105"/>
          <w:sz w:val="14"/>
        </w:rPr>
        <w:t xml:space="preserve"> </w:t>
      </w:r>
      <w:r>
        <w:rPr>
          <w:rFonts w:ascii="Arial" w:hAnsi="Arial"/>
          <w:color w:val="5B6761"/>
          <w:w w:val="105"/>
          <w:sz w:val="14"/>
        </w:rPr>
        <w:t>for</w:t>
      </w:r>
      <w:r>
        <w:rPr>
          <w:rFonts w:ascii="Arial" w:hAnsi="Arial"/>
          <w:color w:val="5B6761"/>
          <w:spacing w:val="-5"/>
          <w:w w:val="105"/>
          <w:sz w:val="14"/>
        </w:rPr>
        <w:t xml:space="preserve"> </w:t>
      </w:r>
      <w:r>
        <w:rPr>
          <w:rFonts w:ascii="Arial" w:hAnsi="Arial"/>
          <w:color w:val="5B6761"/>
          <w:w w:val="105"/>
          <w:sz w:val="14"/>
        </w:rPr>
        <w:t>IN4</w:t>
      </w:r>
      <w:r>
        <w:rPr>
          <w:rFonts w:ascii="Arial" w:hAnsi="Arial"/>
          <w:color w:val="5B6761"/>
          <w:spacing w:val="-15"/>
          <w:w w:val="105"/>
          <w:sz w:val="14"/>
        </w:rPr>
        <w:t xml:space="preserve"> </w:t>
      </w:r>
      <w:r>
        <w:rPr>
          <w:rFonts w:ascii="Arial" w:hAnsi="Arial"/>
          <w:color w:val="5B6761"/>
          <w:w w:val="105"/>
          <w:sz w:val="14"/>
        </w:rPr>
        <w:t>(180 days)</w:t>
      </w:r>
      <w:r>
        <w:rPr>
          <w:rFonts w:ascii="Arial" w:hAnsi="Arial"/>
          <w:color w:val="5B6761"/>
          <w:spacing w:val="-13"/>
          <w:w w:val="105"/>
          <w:sz w:val="14"/>
        </w:rPr>
        <w:t xml:space="preserve"> </w:t>
      </w:r>
      <w:r>
        <w:rPr>
          <w:rFonts w:ascii="Arial" w:hAnsi="Arial"/>
          <w:color w:val="5B6761"/>
          <w:w w:val="105"/>
          <w:sz w:val="14"/>
        </w:rPr>
        <w:t>is</w:t>
      </w:r>
      <w:r>
        <w:rPr>
          <w:rFonts w:ascii="Arial" w:hAnsi="Arial"/>
          <w:color w:val="5B6761"/>
          <w:spacing w:val="-13"/>
          <w:w w:val="105"/>
          <w:sz w:val="14"/>
        </w:rPr>
        <w:t xml:space="preserve"> </w:t>
      </w:r>
      <w:r>
        <w:rPr>
          <w:rFonts w:ascii="Arial" w:hAnsi="Arial"/>
          <w:color w:val="5B6761"/>
          <w:w w:val="105"/>
          <w:sz w:val="14"/>
        </w:rPr>
        <w:t>considerably</w:t>
      </w:r>
      <w:r>
        <w:rPr>
          <w:rFonts w:ascii="Arial" w:hAnsi="Arial"/>
          <w:color w:val="5B6761"/>
          <w:spacing w:val="-13"/>
          <w:w w:val="105"/>
          <w:sz w:val="14"/>
        </w:rPr>
        <w:t xml:space="preserve"> </w:t>
      </w:r>
      <w:r>
        <w:rPr>
          <w:rFonts w:ascii="Arial" w:hAnsi="Arial"/>
          <w:color w:val="5B6761"/>
          <w:w w:val="105"/>
          <w:sz w:val="14"/>
        </w:rPr>
        <w:t>greater</w:t>
      </w:r>
      <w:r>
        <w:rPr>
          <w:rFonts w:ascii="Arial" w:hAnsi="Arial"/>
          <w:color w:val="5B6761"/>
          <w:spacing w:val="-13"/>
          <w:w w:val="105"/>
          <w:sz w:val="14"/>
        </w:rPr>
        <w:t xml:space="preserve"> </w:t>
      </w:r>
      <w:r>
        <w:rPr>
          <w:rFonts w:ascii="Arial" w:hAnsi="Arial"/>
          <w:color w:val="5B6761"/>
          <w:w w:val="105"/>
          <w:sz w:val="14"/>
        </w:rPr>
        <w:t>than</w:t>
      </w:r>
      <w:r>
        <w:rPr>
          <w:rFonts w:ascii="Arial" w:hAnsi="Arial"/>
          <w:color w:val="5B6761"/>
          <w:spacing w:val="-14"/>
          <w:w w:val="105"/>
          <w:sz w:val="14"/>
        </w:rPr>
        <w:t xml:space="preserve"> </w:t>
      </w:r>
      <w:r>
        <w:rPr>
          <w:rFonts w:ascii="Arial" w:hAnsi="Arial"/>
          <w:color w:val="5B6761"/>
          <w:w w:val="105"/>
          <w:sz w:val="14"/>
        </w:rPr>
        <w:t>the</w:t>
      </w:r>
      <w:r>
        <w:rPr>
          <w:rFonts w:ascii="Arial" w:hAnsi="Arial"/>
          <w:color w:val="5B6761"/>
          <w:spacing w:val="-16"/>
          <w:w w:val="105"/>
          <w:sz w:val="14"/>
        </w:rPr>
        <w:t xml:space="preserve"> </w:t>
      </w:r>
      <w:r>
        <w:rPr>
          <w:rFonts w:ascii="Arial" w:hAnsi="Arial"/>
          <w:color w:val="5B6761"/>
          <w:w w:val="105"/>
          <w:sz w:val="14"/>
        </w:rPr>
        <w:t>other</w:t>
      </w:r>
      <w:r>
        <w:rPr>
          <w:rFonts w:ascii="Arial" w:hAnsi="Arial"/>
          <w:color w:val="5B6761"/>
          <w:spacing w:val="-11"/>
          <w:w w:val="105"/>
          <w:sz w:val="14"/>
        </w:rPr>
        <w:t xml:space="preserve"> </w:t>
      </w:r>
      <w:r>
        <w:rPr>
          <w:rFonts w:ascii="Arial" w:hAnsi="Arial"/>
          <w:color w:val="5B6761"/>
          <w:w w:val="105"/>
          <w:sz w:val="14"/>
        </w:rPr>
        <w:t>categories</w:t>
      </w:r>
      <w:r>
        <w:rPr>
          <w:rFonts w:ascii="Arial" w:hAnsi="Arial"/>
          <w:color w:val="5B6761"/>
          <w:spacing w:val="-13"/>
          <w:w w:val="105"/>
          <w:sz w:val="14"/>
        </w:rPr>
        <w:t xml:space="preserve"> </w:t>
      </w:r>
      <w:r>
        <w:rPr>
          <w:rFonts w:ascii="Arial" w:hAnsi="Arial"/>
          <w:color w:val="5B6761"/>
          <w:w w:val="105"/>
          <w:sz w:val="14"/>
        </w:rPr>
        <w:t>(IN1</w:t>
      </w:r>
      <w:r>
        <w:rPr>
          <w:rFonts w:ascii="Arial" w:hAnsi="Arial"/>
          <w:color w:val="5B6761"/>
          <w:spacing w:val="-11"/>
          <w:w w:val="105"/>
          <w:sz w:val="14"/>
        </w:rPr>
        <w:t xml:space="preserve"> </w:t>
      </w:r>
      <w:r>
        <w:rPr>
          <w:rFonts w:ascii="Arial" w:hAnsi="Arial"/>
          <w:color w:val="5B6761"/>
          <w:w w:val="105"/>
          <w:sz w:val="14"/>
        </w:rPr>
        <w:t>–</w:t>
      </w:r>
      <w:r>
        <w:rPr>
          <w:rFonts w:ascii="Arial" w:hAnsi="Arial"/>
          <w:color w:val="5B6761"/>
          <w:spacing w:val="-12"/>
          <w:w w:val="105"/>
          <w:sz w:val="14"/>
        </w:rPr>
        <w:t xml:space="preserve"> </w:t>
      </w:r>
      <w:r>
        <w:rPr>
          <w:rFonts w:ascii="Arial" w:hAnsi="Arial"/>
          <w:color w:val="5B6761"/>
          <w:w w:val="105"/>
          <w:sz w:val="14"/>
        </w:rPr>
        <w:t>70</w:t>
      </w:r>
      <w:r>
        <w:rPr>
          <w:rFonts w:ascii="Arial" w:hAnsi="Arial"/>
          <w:color w:val="5B6761"/>
          <w:spacing w:val="-13"/>
          <w:w w:val="105"/>
          <w:sz w:val="14"/>
        </w:rPr>
        <w:t xml:space="preserve"> </w:t>
      </w:r>
      <w:r>
        <w:rPr>
          <w:rFonts w:ascii="Arial" w:hAnsi="Arial"/>
          <w:color w:val="5B6761"/>
          <w:w w:val="105"/>
          <w:sz w:val="14"/>
        </w:rPr>
        <w:t>days,</w:t>
      </w:r>
      <w:r>
        <w:rPr>
          <w:rFonts w:ascii="Arial" w:hAnsi="Arial"/>
          <w:color w:val="5B6761"/>
          <w:spacing w:val="-12"/>
          <w:w w:val="105"/>
          <w:sz w:val="14"/>
        </w:rPr>
        <w:t xml:space="preserve"> </w:t>
      </w:r>
      <w:r>
        <w:rPr>
          <w:rFonts w:ascii="Arial" w:hAnsi="Arial"/>
          <w:color w:val="5B6761"/>
          <w:w w:val="105"/>
          <w:sz w:val="14"/>
        </w:rPr>
        <w:t>IN2</w:t>
      </w:r>
      <w:r>
        <w:rPr>
          <w:rFonts w:ascii="Arial" w:hAnsi="Arial"/>
          <w:color w:val="5B6761"/>
          <w:spacing w:val="-10"/>
          <w:w w:val="105"/>
          <w:sz w:val="14"/>
        </w:rPr>
        <w:t xml:space="preserve"> </w:t>
      </w:r>
      <w:r>
        <w:rPr>
          <w:rFonts w:ascii="Arial" w:hAnsi="Arial"/>
          <w:color w:val="5B6761"/>
          <w:w w:val="105"/>
          <w:sz w:val="14"/>
        </w:rPr>
        <w:t>–</w:t>
      </w:r>
      <w:r>
        <w:rPr>
          <w:rFonts w:ascii="Arial" w:hAnsi="Arial"/>
          <w:color w:val="5B6761"/>
          <w:spacing w:val="-14"/>
          <w:w w:val="105"/>
          <w:sz w:val="14"/>
        </w:rPr>
        <w:t xml:space="preserve"> </w:t>
      </w:r>
      <w:r>
        <w:rPr>
          <w:rFonts w:ascii="Arial" w:hAnsi="Arial"/>
          <w:color w:val="5B6761"/>
          <w:w w:val="105"/>
          <w:sz w:val="14"/>
        </w:rPr>
        <w:t>120</w:t>
      </w:r>
      <w:r>
        <w:rPr>
          <w:rFonts w:ascii="Arial" w:hAnsi="Arial"/>
          <w:color w:val="5B6761"/>
          <w:spacing w:val="-13"/>
          <w:w w:val="105"/>
          <w:sz w:val="14"/>
        </w:rPr>
        <w:t xml:space="preserve"> </w:t>
      </w:r>
      <w:r>
        <w:rPr>
          <w:rFonts w:ascii="Arial" w:hAnsi="Arial"/>
          <w:color w:val="5B6761"/>
          <w:w w:val="105"/>
          <w:sz w:val="14"/>
        </w:rPr>
        <w:t>days</w:t>
      </w:r>
      <w:r>
        <w:rPr>
          <w:rFonts w:ascii="Arial" w:hAnsi="Arial"/>
          <w:color w:val="5B6761"/>
          <w:spacing w:val="-12"/>
          <w:w w:val="105"/>
          <w:sz w:val="14"/>
        </w:rPr>
        <w:t xml:space="preserve"> </w:t>
      </w:r>
      <w:r>
        <w:rPr>
          <w:rFonts w:ascii="Arial" w:hAnsi="Arial"/>
          <w:color w:val="5B6761"/>
          <w:w w:val="105"/>
          <w:sz w:val="14"/>
        </w:rPr>
        <w:t>and</w:t>
      </w:r>
      <w:r>
        <w:rPr>
          <w:rFonts w:ascii="Arial" w:hAnsi="Arial"/>
          <w:color w:val="5B6761"/>
          <w:spacing w:val="-12"/>
          <w:w w:val="105"/>
          <w:sz w:val="14"/>
        </w:rPr>
        <w:t xml:space="preserve"> </w:t>
      </w:r>
      <w:r>
        <w:rPr>
          <w:rFonts w:ascii="Arial" w:hAnsi="Arial"/>
          <w:color w:val="5B6761"/>
          <w:w w:val="105"/>
          <w:sz w:val="14"/>
        </w:rPr>
        <w:t>IN3</w:t>
      </w:r>
      <w:r>
        <w:rPr>
          <w:rFonts w:ascii="Arial" w:hAnsi="Arial"/>
          <w:color w:val="5B6761"/>
          <w:spacing w:val="-11"/>
          <w:w w:val="105"/>
          <w:sz w:val="14"/>
        </w:rPr>
        <w:t xml:space="preserve"> </w:t>
      </w:r>
      <w:r>
        <w:rPr>
          <w:rFonts w:ascii="Arial" w:hAnsi="Arial"/>
          <w:color w:val="5B6761"/>
          <w:w w:val="105"/>
          <w:sz w:val="14"/>
        </w:rPr>
        <w:t>–</w:t>
      </w:r>
      <w:r>
        <w:rPr>
          <w:rFonts w:ascii="Arial" w:hAnsi="Arial"/>
          <w:color w:val="5B6761"/>
          <w:spacing w:val="-14"/>
          <w:w w:val="105"/>
          <w:sz w:val="14"/>
        </w:rPr>
        <w:t xml:space="preserve"> </w:t>
      </w:r>
      <w:r>
        <w:rPr>
          <w:rFonts w:ascii="Arial" w:hAnsi="Arial"/>
          <w:color w:val="5B6761"/>
          <w:w w:val="105"/>
          <w:sz w:val="14"/>
        </w:rPr>
        <w:t>150</w:t>
      </w:r>
      <w:r>
        <w:rPr>
          <w:rFonts w:ascii="Arial" w:hAnsi="Arial"/>
          <w:color w:val="5B6761"/>
          <w:spacing w:val="-12"/>
          <w:w w:val="105"/>
          <w:sz w:val="14"/>
        </w:rPr>
        <w:t xml:space="preserve"> </w:t>
      </w:r>
      <w:r>
        <w:rPr>
          <w:rFonts w:ascii="Arial" w:hAnsi="Arial"/>
          <w:color w:val="5B6761"/>
          <w:w w:val="105"/>
          <w:sz w:val="14"/>
        </w:rPr>
        <w:t>days).</w:t>
      </w:r>
    </w:p>
    <w:p w:rsidR="007D76BB" w:rsidRDefault="00D70D28">
      <w:pPr>
        <w:spacing w:before="59"/>
        <w:ind w:left="482"/>
        <w:rPr>
          <w:rFonts w:ascii="Arial"/>
          <w:sz w:val="14"/>
        </w:rPr>
      </w:pPr>
      <w:r>
        <w:rPr>
          <w:rFonts w:ascii="Arial"/>
          <w:color w:val="5B6761"/>
          <w:w w:val="105"/>
          <w:position w:val="5"/>
          <w:sz w:val="8"/>
        </w:rPr>
        <w:t xml:space="preserve">79 </w:t>
      </w:r>
      <w:r>
        <w:rPr>
          <w:rFonts w:ascii="Arial"/>
          <w:color w:val="5B6761"/>
          <w:w w:val="105"/>
          <w:sz w:val="14"/>
        </w:rPr>
        <w:t>TGA has advised that, on average, there are two requests for information per application.</w:t>
      </w:r>
    </w:p>
    <w:p w:rsidR="007D76BB" w:rsidRDefault="007D76BB">
      <w:pPr>
        <w:rPr>
          <w:rFonts w:ascii="Arial"/>
          <w:sz w:val="14"/>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8"/>
        </w:rPr>
      </w:pPr>
    </w:p>
    <w:p w:rsidR="007D76BB" w:rsidRDefault="00D70D28">
      <w:pPr>
        <w:spacing w:before="108" w:line="264" w:lineRule="auto"/>
        <w:ind w:left="482" w:right="844"/>
        <w:rPr>
          <w:rFonts w:ascii="Arial"/>
          <w:sz w:val="19"/>
        </w:rPr>
      </w:pPr>
      <w:r>
        <w:rPr>
          <w:rFonts w:ascii="Arial"/>
          <w:w w:val="105"/>
          <w:sz w:val="19"/>
        </w:rPr>
        <w:t>suitable/not</w:t>
      </w:r>
      <w:r>
        <w:rPr>
          <w:rFonts w:ascii="Arial"/>
          <w:spacing w:val="-16"/>
          <w:w w:val="105"/>
          <w:sz w:val="19"/>
        </w:rPr>
        <w:t xml:space="preserve"> </w:t>
      </w:r>
      <w:r>
        <w:rPr>
          <w:rFonts w:ascii="Arial"/>
          <w:w w:val="105"/>
          <w:sz w:val="19"/>
        </w:rPr>
        <w:t>suitable</w:t>
      </w:r>
      <w:r>
        <w:rPr>
          <w:rFonts w:ascii="Arial"/>
          <w:spacing w:val="-18"/>
          <w:w w:val="105"/>
          <w:sz w:val="19"/>
        </w:rPr>
        <w:t xml:space="preserve"> </w:t>
      </w:r>
      <w:r>
        <w:rPr>
          <w:rFonts w:ascii="Arial"/>
          <w:w w:val="105"/>
          <w:sz w:val="19"/>
        </w:rPr>
        <w:t>for</w:t>
      </w:r>
      <w:r>
        <w:rPr>
          <w:rFonts w:ascii="Arial"/>
          <w:spacing w:val="-16"/>
          <w:w w:val="105"/>
          <w:sz w:val="19"/>
        </w:rPr>
        <w:t xml:space="preserve"> </w:t>
      </w:r>
      <w:r>
        <w:rPr>
          <w:rFonts w:ascii="Arial"/>
          <w:w w:val="105"/>
          <w:sz w:val="19"/>
        </w:rPr>
        <w:t>use</w:t>
      </w:r>
      <w:r>
        <w:rPr>
          <w:rFonts w:ascii="Arial"/>
          <w:spacing w:val="-17"/>
          <w:w w:val="105"/>
          <w:sz w:val="19"/>
        </w:rPr>
        <w:t xml:space="preserve"> </w:t>
      </w:r>
      <w:r>
        <w:rPr>
          <w:rFonts w:ascii="Arial"/>
          <w:w w:val="105"/>
          <w:sz w:val="19"/>
        </w:rPr>
        <w:t>as</w:t>
      </w:r>
      <w:r>
        <w:rPr>
          <w:rFonts w:ascii="Arial"/>
          <w:spacing w:val="-14"/>
          <w:w w:val="105"/>
          <w:sz w:val="19"/>
        </w:rPr>
        <w:t xml:space="preserve"> </w:t>
      </w:r>
      <w:r>
        <w:rPr>
          <w:rFonts w:ascii="Arial"/>
          <w:w w:val="105"/>
          <w:sz w:val="19"/>
        </w:rPr>
        <w:t>an</w:t>
      </w:r>
      <w:r>
        <w:rPr>
          <w:rFonts w:ascii="Arial"/>
          <w:spacing w:val="-18"/>
          <w:w w:val="105"/>
          <w:sz w:val="19"/>
        </w:rPr>
        <w:t xml:space="preserve"> </w:t>
      </w:r>
      <w:r>
        <w:rPr>
          <w:rFonts w:ascii="Arial"/>
          <w:w w:val="105"/>
          <w:sz w:val="19"/>
        </w:rPr>
        <w:t>ingredient</w:t>
      </w:r>
      <w:r>
        <w:rPr>
          <w:rFonts w:ascii="Arial"/>
          <w:spacing w:val="-15"/>
          <w:w w:val="105"/>
          <w:sz w:val="19"/>
        </w:rPr>
        <w:t xml:space="preserve"> </w:t>
      </w:r>
      <w:r>
        <w:rPr>
          <w:rFonts w:ascii="Arial"/>
          <w:w w:val="105"/>
          <w:sz w:val="19"/>
        </w:rPr>
        <w:t>in</w:t>
      </w:r>
      <w:r>
        <w:rPr>
          <w:rFonts w:ascii="Arial"/>
          <w:spacing w:val="-18"/>
          <w:w w:val="105"/>
          <w:sz w:val="19"/>
        </w:rPr>
        <w:t xml:space="preserve"> </w:t>
      </w:r>
      <w:r>
        <w:rPr>
          <w:rFonts w:ascii="Arial"/>
          <w:w w:val="105"/>
          <w:sz w:val="19"/>
        </w:rPr>
        <w:t>listed</w:t>
      </w:r>
      <w:r>
        <w:rPr>
          <w:rFonts w:ascii="Arial"/>
          <w:spacing w:val="-17"/>
          <w:w w:val="105"/>
          <w:sz w:val="19"/>
        </w:rPr>
        <w:t xml:space="preserve"> </w:t>
      </w:r>
      <w:r>
        <w:rPr>
          <w:rFonts w:ascii="Arial"/>
          <w:w w:val="105"/>
          <w:sz w:val="19"/>
        </w:rPr>
        <w:t>medicines).</w:t>
      </w:r>
      <w:r>
        <w:rPr>
          <w:rFonts w:ascii="Arial"/>
          <w:spacing w:val="-17"/>
          <w:w w:val="105"/>
          <w:sz w:val="19"/>
        </w:rPr>
        <w:t xml:space="preserve"> </w:t>
      </w:r>
      <w:r>
        <w:rPr>
          <w:rFonts w:ascii="Arial"/>
          <w:w w:val="105"/>
          <w:sz w:val="19"/>
        </w:rPr>
        <w:t>It</w:t>
      </w:r>
      <w:r>
        <w:rPr>
          <w:rFonts w:ascii="Arial"/>
          <w:spacing w:val="-16"/>
          <w:w w:val="105"/>
          <w:sz w:val="19"/>
        </w:rPr>
        <w:t xml:space="preserve"> </w:t>
      </w:r>
      <w:r>
        <w:rPr>
          <w:rFonts w:ascii="Arial"/>
          <w:w w:val="105"/>
          <w:sz w:val="19"/>
        </w:rPr>
        <w:t>is</w:t>
      </w:r>
      <w:r>
        <w:rPr>
          <w:rFonts w:ascii="Arial"/>
          <w:spacing w:val="-16"/>
          <w:w w:val="105"/>
          <w:sz w:val="19"/>
        </w:rPr>
        <w:t xml:space="preserve"> </w:t>
      </w:r>
      <w:r>
        <w:rPr>
          <w:rFonts w:ascii="Arial"/>
          <w:w w:val="105"/>
          <w:sz w:val="19"/>
        </w:rPr>
        <w:t>considered</w:t>
      </w:r>
      <w:r>
        <w:rPr>
          <w:rFonts w:ascii="Arial"/>
          <w:spacing w:val="-18"/>
          <w:w w:val="105"/>
          <w:sz w:val="19"/>
        </w:rPr>
        <w:t xml:space="preserve"> </w:t>
      </w:r>
      <w:r>
        <w:rPr>
          <w:rFonts w:ascii="Arial"/>
          <w:w w:val="105"/>
          <w:sz w:val="19"/>
        </w:rPr>
        <w:t>that</w:t>
      </w:r>
      <w:r>
        <w:rPr>
          <w:rFonts w:ascii="Arial"/>
          <w:spacing w:val="-17"/>
          <w:w w:val="105"/>
          <w:sz w:val="19"/>
        </w:rPr>
        <w:t xml:space="preserve"> </w:t>
      </w:r>
      <w:r>
        <w:rPr>
          <w:rFonts w:ascii="Arial"/>
          <w:w w:val="105"/>
          <w:sz w:val="19"/>
        </w:rPr>
        <w:t>in</w:t>
      </w:r>
      <w:r>
        <w:rPr>
          <w:rFonts w:ascii="Arial"/>
          <w:spacing w:val="-16"/>
          <w:w w:val="105"/>
          <w:sz w:val="19"/>
        </w:rPr>
        <w:t xml:space="preserve"> </w:t>
      </w:r>
      <w:r>
        <w:rPr>
          <w:rFonts w:ascii="Arial"/>
          <w:w w:val="105"/>
          <w:sz w:val="19"/>
        </w:rPr>
        <w:t>total</w:t>
      </w:r>
      <w:r>
        <w:rPr>
          <w:rFonts w:ascii="Arial"/>
          <w:spacing w:val="-18"/>
          <w:w w:val="105"/>
          <w:sz w:val="19"/>
        </w:rPr>
        <w:t xml:space="preserve"> </w:t>
      </w:r>
      <w:r>
        <w:rPr>
          <w:rFonts w:ascii="Arial"/>
          <w:w w:val="105"/>
          <w:sz w:val="19"/>
        </w:rPr>
        <w:t>the time</w:t>
      </w:r>
      <w:r>
        <w:rPr>
          <w:rFonts w:ascii="Arial"/>
          <w:spacing w:val="-18"/>
          <w:w w:val="105"/>
          <w:sz w:val="19"/>
        </w:rPr>
        <w:t xml:space="preserve"> </w:t>
      </w:r>
      <w:r>
        <w:rPr>
          <w:rFonts w:ascii="Arial"/>
          <w:w w:val="105"/>
          <w:sz w:val="19"/>
        </w:rPr>
        <w:t>taken</w:t>
      </w:r>
      <w:r>
        <w:rPr>
          <w:rFonts w:ascii="Arial"/>
          <w:spacing w:val="-17"/>
          <w:w w:val="105"/>
          <w:sz w:val="19"/>
        </w:rPr>
        <w:t xml:space="preserve"> </w:t>
      </w:r>
      <w:r>
        <w:rPr>
          <w:rFonts w:ascii="Arial"/>
          <w:w w:val="105"/>
          <w:sz w:val="19"/>
        </w:rPr>
        <w:t>by</w:t>
      </w:r>
      <w:r>
        <w:rPr>
          <w:rFonts w:ascii="Arial"/>
          <w:spacing w:val="-19"/>
          <w:w w:val="105"/>
          <w:sz w:val="19"/>
        </w:rPr>
        <w:t xml:space="preserve"> </w:t>
      </w:r>
      <w:r>
        <w:rPr>
          <w:rFonts w:ascii="Arial"/>
          <w:w w:val="105"/>
          <w:sz w:val="19"/>
        </w:rPr>
        <w:t>the</w:t>
      </w:r>
      <w:r>
        <w:rPr>
          <w:rFonts w:ascii="Arial"/>
          <w:spacing w:val="-20"/>
          <w:w w:val="105"/>
          <w:sz w:val="19"/>
        </w:rPr>
        <w:t xml:space="preserve"> </w:t>
      </w:r>
      <w:r>
        <w:rPr>
          <w:rFonts w:ascii="Arial"/>
          <w:w w:val="105"/>
          <w:sz w:val="19"/>
        </w:rPr>
        <w:t>sponsor</w:t>
      </w:r>
      <w:r>
        <w:rPr>
          <w:rFonts w:ascii="Arial"/>
          <w:spacing w:val="-18"/>
          <w:w w:val="105"/>
          <w:sz w:val="19"/>
        </w:rPr>
        <w:t xml:space="preserve"> </w:t>
      </w:r>
      <w:r>
        <w:rPr>
          <w:rFonts w:ascii="Arial"/>
          <w:w w:val="105"/>
          <w:sz w:val="19"/>
        </w:rPr>
        <w:t>to</w:t>
      </w:r>
      <w:r>
        <w:rPr>
          <w:rFonts w:ascii="Arial"/>
          <w:spacing w:val="-21"/>
          <w:w w:val="105"/>
          <w:sz w:val="19"/>
        </w:rPr>
        <w:t xml:space="preserve"> </w:t>
      </w:r>
      <w:r>
        <w:rPr>
          <w:rFonts w:ascii="Arial"/>
          <w:w w:val="105"/>
          <w:sz w:val="19"/>
        </w:rPr>
        <w:t>undertake</w:t>
      </w:r>
      <w:r>
        <w:rPr>
          <w:rFonts w:ascii="Arial"/>
          <w:spacing w:val="-19"/>
          <w:w w:val="105"/>
          <w:sz w:val="19"/>
        </w:rPr>
        <w:t xml:space="preserve"> </w:t>
      </w:r>
      <w:r>
        <w:rPr>
          <w:rFonts w:ascii="Arial"/>
          <w:w w:val="105"/>
          <w:sz w:val="19"/>
        </w:rPr>
        <w:t>these</w:t>
      </w:r>
      <w:r>
        <w:rPr>
          <w:rFonts w:ascii="Arial"/>
          <w:spacing w:val="-20"/>
          <w:w w:val="105"/>
          <w:sz w:val="19"/>
        </w:rPr>
        <w:t xml:space="preserve"> </w:t>
      </w:r>
      <w:r>
        <w:rPr>
          <w:rFonts w:ascii="Arial"/>
          <w:w w:val="105"/>
          <w:sz w:val="19"/>
        </w:rPr>
        <w:t>activities</w:t>
      </w:r>
      <w:r>
        <w:rPr>
          <w:rFonts w:ascii="Arial"/>
          <w:spacing w:val="-19"/>
          <w:w w:val="105"/>
          <w:sz w:val="19"/>
        </w:rPr>
        <w:t xml:space="preserve"> </w:t>
      </w:r>
      <w:r>
        <w:rPr>
          <w:rFonts w:ascii="Arial"/>
          <w:w w:val="105"/>
          <w:sz w:val="19"/>
        </w:rPr>
        <w:t>(exclusive</w:t>
      </w:r>
      <w:r>
        <w:rPr>
          <w:rFonts w:ascii="Arial"/>
          <w:spacing w:val="-18"/>
          <w:w w:val="105"/>
          <w:sz w:val="19"/>
        </w:rPr>
        <w:t xml:space="preserve"> </w:t>
      </w:r>
      <w:r>
        <w:rPr>
          <w:rFonts w:ascii="Arial"/>
          <w:w w:val="105"/>
          <w:sz w:val="19"/>
        </w:rPr>
        <w:t>of</w:t>
      </w:r>
      <w:r>
        <w:rPr>
          <w:rFonts w:ascii="Arial"/>
          <w:spacing w:val="-19"/>
          <w:w w:val="105"/>
          <w:sz w:val="19"/>
        </w:rPr>
        <w:t xml:space="preserve"> </w:t>
      </w:r>
      <w:r>
        <w:rPr>
          <w:rFonts w:ascii="Arial"/>
          <w:w w:val="105"/>
          <w:sz w:val="19"/>
        </w:rPr>
        <w:t>any</w:t>
      </w:r>
      <w:r>
        <w:rPr>
          <w:rFonts w:ascii="Arial"/>
          <w:spacing w:val="-20"/>
          <w:w w:val="105"/>
          <w:sz w:val="19"/>
        </w:rPr>
        <w:t xml:space="preserve"> </w:t>
      </w:r>
      <w:r>
        <w:rPr>
          <w:rFonts w:ascii="Arial"/>
          <w:w w:val="105"/>
          <w:sz w:val="19"/>
        </w:rPr>
        <w:t>time</w:t>
      </w:r>
      <w:r>
        <w:rPr>
          <w:rFonts w:ascii="Arial"/>
          <w:spacing w:val="-20"/>
          <w:w w:val="105"/>
          <w:sz w:val="19"/>
        </w:rPr>
        <w:t xml:space="preserve"> </w:t>
      </w:r>
      <w:r>
        <w:rPr>
          <w:rFonts w:ascii="Arial"/>
          <w:w w:val="105"/>
          <w:sz w:val="19"/>
        </w:rPr>
        <w:t>taken</w:t>
      </w:r>
      <w:r>
        <w:rPr>
          <w:rFonts w:ascii="Arial"/>
          <w:spacing w:val="-19"/>
          <w:w w:val="105"/>
          <w:sz w:val="19"/>
        </w:rPr>
        <w:t xml:space="preserve"> </w:t>
      </w:r>
      <w:r>
        <w:rPr>
          <w:rFonts w:ascii="Arial"/>
          <w:w w:val="105"/>
          <w:sz w:val="19"/>
        </w:rPr>
        <w:t>to</w:t>
      </w:r>
      <w:r>
        <w:rPr>
          <w:rFonts w:ascii="Arial"/>
          <w:spacing w:val="-19"/>
          <w:w w:val="105"/>
          <w:sz w:val="19"/>
        </w:rPr>
        <w:t xml:space="preserve"> </w:t>
      </w:r>
      <w:r>
        <w:rPr>
          <w:rFonts w:ascii="Arial"/>
          <w:w w:val="105"/>
          <w:sz w:val="19"/>
        </w:rPr>
        <w:t>prepare</w:t>
      </w:r>
      <w:r>
        <w:rPr>
          <w:rFonts w:ascii="Arial"/>
          <w:spacing w:val="-20"/>
          <w:w w:val="105"/>
          <w:sz w:val="19"/>
        </w:rPr>
        <w:t xml:space="preserve"> </w:t>
      </w:r>
      <w:r>
        <w:rPr>
          <w:rFonts w:ascii="Arial"/>
          <w:w w:val="105"/>
          <w:sz w:val="19"/>
        </w:rPr>
        <w:t>the application</w:t>
      </w:r>
      <w:r>
        <w:rPr>
          <w:rFonts w:ascii="Arial"/>
          <w:spacing w:val="-14"/>
          <w:w w:val="105"/>
          <w:sz w:val="19"/>
        </w:rPr>
        <w:t xml:space="preserve"> </w:t>
      </w:r>
      <w:r>
        <w:rPr>
          <w:rFonts w:ascii="Arial"/>
          <w:w w:val="105"/>
          <w:sz w:val="19"/>
        </w:rPr>
        <w:t>form</w:t>
      </w:r>
      <w:r>
        <w:rPr>
          <w:rFonts w:ascii="Arial"/>
          <w:spacing w:val="-13"/>
          <w:w w:val="105"/>
          <w:sz w:val="19"/>
        </w:rPr>
        <w:t xml:space="preserve"> </w:t>
      </w:r>
      <w:r>
        <w:rPr>
          <w:rFonts w:ascii="Arial"/>
          <w:w w:val="105"/>
          <w:sz w:val="19"/>
        </w:rPr>
        <w:t>and</w:t>
      </w:r>
      <w:r>
        <w:rPr>
          <w:rFonts w:ascii="Arial"/>
          <w:spacing w:val="-15"/>
          <w:w w:val="105"/>
          <w:sz w:val="19"/>
        </w:rPr>
        <w:t xml:space="preserve"> </w:t>
      </w:r>
      <w:r>
        <w:rPr>
          <w:rFonts w:ascii="Arial"/>
          <w:w w:val="105"/>
          <w:sz w:val="19"/>
        </w:rPr>
        <w:t>accompanying</w:t>
      </w:r>
      <w:r>
        <w:rPr>
          <w:rFonts w:ascii="Arial"/>
          <w:spacing w:val="-13"/>
          <w:w w:val="105"/>
          <w:sz w:val="19"/>
        </w:rPr>
        <w:t xml:space="preserve"> </w:t>
      </w:r>
      <w:r>
        <w:rPr>
          <w:rFonts w:ascii="Arial"/>
          <w:w w:val="105"/>
          <w:sz w:val="19"/>
        </w:rPr>
        <w:t>evidence)</w:t>
      </w:r>
      <w:r>
        <w:rPr>
          <w:rFonts w:ascii="Arial"/>
          <w:spacing w:val="-16"/>
          <w:w w:val="105"/>
          <w:sz w:val="19"/>
        </w:rPr>
        <w:t xml:space="preserve"> </w:t>
      </w:r>
      <w:r>
        <w:rPr>
          <w:rFonts w:ascii="Arial"/>
          <w:w w:val="105"/>
          <w:sz w:val="19"/>
        </w:rPr>
        <w:t>will</w:t>
      </w:r>
      <w:r>
        <w:rPr>
          <w:rFonts w:ascii="Arial"/>
          <w:spacing w:val="-13"/>
          <w:w w:val="105"/>
          <w:sz w:val="19"/>
        </w:rPr>
        <w:t xml:space="preserve"> </w:t>
      </w:r>
      <w:r>
        <w:rPr>
          <w:rFonts w:ascii="Arial"/>
          <w:w w:val="105"/>
          <w:sz w:val="19"/>
        </w:rPr>
        <w:t>2</w:t>
      </w:r>
      <w:r>
        <w:rPr>
          <w:rFonts w:ascii="Arial"/>
          <w:spacing w:val="-15"/>
          <w:w w:val="105"/>
          <w:sz w:val="19"/>
        </w:rPr>
        <w:t xml:space="preserve"> </w:t>
      </w:r>
      <w:r>
        <w:rPr>
          <w:rFonts w:ascii="Arial"/>
          <w:w w:val="105"/>
          <w:sz w:val="19"/>
        </w:rPr>
        <w:t>days</w:t>
      </w:r>
      <w:r>
        <w:rPr>
          <w:rFonts w:ascii="Arial"/>
          <w:spacing w:val="-16"/>
          <w:w w:val="105"/>
          <w:sz w:val="19"/>
        </w:rPr>
        <w:t xml:space="preserve"> </w:t>
      </w:r>
      <w:r>
        <w:rPr>
          <w:rFonts w:ascii="Arial"/>
          <w:w w:val="105"/>
          <w:sz w:val="19"/>
        </w:rPr>
        <w:t>(so</w:t>
      </w:r>
      <w:r>
        <w:rPr>
          <w:rFonts w:ascii="Arial"/>
          <w:spacing w:val="-15"/>
          <w:w w:val="105"/>
          <w:sz w:val="19"/>
        </w:rPr>
        <w:t xml:space="preserve"> </w:t>
      </w:r>
      <w:r>
        <w:rPr>
          <w:rFonts w:ascii="Arial"/>
          <w:w w:val="105"/>
          <w:sz w:val="19"/>
        </w:rPr>
        <w:t>960</w:t>
      </w:r>
      <w:r>
        <w:rPr>
          <w:rFonts w:ascii="Arial"/>
          <w:spacing w:val="-13"/>
          <w:w w:val="105"/>
          <w:sz w:val="19"/>
        </w:rPr>
        <w:t xml:space="preserve"> </w:t>
      </w:r>
      <w:r>
        <w:rPr>
          <w:rFonts w:ascii="Arial"/>
          <w:w w:val="105"/>
          <w:sz w:val="19"/>
        </w:rPr>
        <w:t>minutes).</w:t>
      </w:r>
    </w:p>
    <w:p w:rsidR="007D76BB" w:rsidRDefault="00D70D28">
      <w:pPr>
        <w:spacing w:before="181"/>
        <w:ind w:left="482"/>
        <w:rPr>
          <w:rFonts w:ascii="Arial"/>
          <w:sz w:val="19"/>
        </w:rPr>
      </w:pPr>
      <w:r>
        <w:rPr>
          <w:rFonts w:ascii="Arial"/>
          <w:w w:val="105"/>
          <w:sz w:val="19"/>
        </w:rPr>
        <w:t>The following information is required to be provided on the application form:</w:t>
      </w:r>
    </w:p>
    <w:p w:rsidR="007D76BB" w:rsidRDefault="00D70D28">
      <w:pPr>
        <w:pStyle w:val="ListParagraph"/>
        <w:numPr>
          <w:ilvl w:val="1"/>
          <w:numId w:val="5"/>
        </w:numPr>
        <w:tabs>
          <w:tab w:val="left" w:pos="766"/>
        </w:tabs>
        <w:spacing w:before="103"/>
        <w:rPr>
          <w:rFonts w:ascii="Arial" w:hAnsi="Arial"/>
          <w:sz w:val="19"/>
        </w:rPr>
      </w:pPr>
      <w:proofErr w:type="gramStart"/>
      <w:r>
        <w:rPr>
          <w:rFonts w:ascii="Arial" w:hAnsi="Arial"/>
          <w:w w:val="105"/>
          <w:sz w:val="19"/>
        </w:rPr>
        <w:t>administrative</w:t>
      </w:r>
      <w:proofErr w:type="gramEnd"/>
      <w:r>
        <w:rPr>
          <w:rFonts w:ascii="Arial" w:hAnsi="Arial"/>
          <w:spacing w:val="-15"/>
          <w:w w:val="105"/>
          <w:sz w:val="19"/>
        </w:rPr>
        <w:t xml:space="preserve"> </w:t>
      </w:r>
      <w:r>
        <w:rPr>
          <w:rFonts w:ascii="Arial" w:hAnsi="Arial"/>
          <w:w w:val="105"/>
          <w:sz w:val="19"/>
        </w:rPr>
        <w:t>information</w:t>
      </w:r>
      <w:r>
        <w:rPr>
          <w:rFonts w:ascii="Arial" w:hAnsi="Arial"/>
          <w:spacing w:val="-16"/>
          <w:w w:val="105"/>
          <w:sz w:val="19"/>
        </w:rPr>
        <w:t xml:space="preserve"> </w:t>
      </w:r>
      <w:r>
        <w:rPr>
          <w:rFonts w:ascii="Arial" w:hAnsi="Arial"/>
          <w:w w:val="105"/>
          <w:sz w:val="19"/>
        </w:rPr>
        <w:t>(includes</w:t>
      </w:r>
      <w:r>
        <w:rPr>
          <w:rFonts w:ascii="Arial" w:hAnsi="Arial"/>
          <w:spacing w:val="-15"/>
          <w:w w:val="105"/>
          <w:sz w:val="19"/>
        </w:rPr>
        <w:t xml:space="preserve"> </w:t>
      </w:r>
      <w:r>
        <w:rPr>
          <w:rFonts w:ascii="Arial" w:hAnsi="Arial"/>
          <w:w w:val="105"/>
          <w:sz w:val="19"/>
        </w:rPr>
        <w:t>covering</w:t>
      </w:r>
      <w:r>
        <w:rPr>
          <w:rFonts w:ascii="Arial" w:hAnsi="Arial"/>
          <w:spacing w:val="-15"/>
          <w:w w:val="105"/>
          <w:sz w:val="19"/>
        </w:rPr>
        <w:t xml:space="preserve"> </w:t>
      </w:r>
      <w:r>
        <w:rPr>
          <w:rFonts w:ascii="Arial" w:hAnsi="Arial"/>
          <w:w w:val="105"/>
          <w:sz w:val="19"/>
        </w:rPr>
        <w:t>letter,</w:t>
      </w:r>
      <w:r>
        <w:rPr>
          <w:rFonts w:ascii="Arial" w:hAnsi="Arial"/>
          <w:spacing w:val="-17"/>
          <w:w w:val="105"/>
          <w:sz w:val="19"/>
        </w:rPr>
        <w:t xml:space="preserve"> </w:t>
      </w:r>
      <w:r>
        <w:rPr>
          <w:rFonts w:ascii="Arial" w:hAnsi="Arial"/>
          <w:w w:val="105"/>
          <w:sz w:val="19"/>
        </w:rPr>
        <w:t>details</w:t>
      </w:r>
      <w:r>
        <w:rPr>
          <w:rFonts w:ascii="Arial" w:hAnsi="Arial"/>
          <w:spacing w:val="-14"/>
          <w:w w:val="105"/>
          <w:sz w:val="19"/>
        </w:rPr>
        <w:t xml:space="preserve"> </w:t>
      </w:r>
      <w:r>
        <w:rPr>
          <w:rFonts w:ascii="Arial" w:hAnsi="Arial"/>
          <w:w w:val="105"/>
          <w:sz w:val="19"/>
        </w:rPr>
        <w:t>of</w:t>
      </w:r>
      <w:r>
        <w:rPr>
          <w:rFonts w:ascii="Arial" w:hAnsi="Arial"/>
          <w:spacing w:val="-16"/>
          <w:w w:val="105"/>
          <w:sz w:val="19"/>
        </w:rPr>
        <w:t xml:space="preserve"> </w:t>
      </w:r>
      <w:r>
        <w:rPr>
          <w:rFonts w:ascii="Arial" w:hAnsi="Arial"/>
          <w:w w:val="105"/>
          <w:sz w:val="19"/>
        </w:rPr>
        <w:t>any</w:t>
      </w:r>
      <w:r>
        <w:rPr>
          <w:rFonts w:ascii="Arial" w:hAnsi="Arial"/>
          <w:spacing w:val="-17"/>
          <w:w w:val="105"/>
          <w:sz w:val="19"/>
        </w:rPr>
        <w:t xml:space="preserve"> </w:t>
      </w:r>
      <w:r>
        <w:rPr>
          <w:rFonts w:ascii="Arial" w:hAnsi="Arial"/>
          <w:w w:val="105"/>
          <w:sz w:val="19"/>
        </w:rPr>
        <w:t>pre-submission</w:t>
      </w:r>
      <w:r>
        <w:rPr>
          <w:rFonts w:ascii="Arial" w:hAnsi="Arial"/>
          <w:spacing w:val="-14"/>
          <w:w w:val="105"/>
          <w:sz w:val="19"/>
        </w:rPr>
        <w:t xml:space="preserve"> </w:t>
      </w:r>
      <w:r>
        <w:rPr>
          <w:rFonts w:ascii="Arial" w:hAnsi="Arial"/>
          <w:w w:val="105"/>
          <w:sz w:val="19"/>
        </w:rPr>
        <w:t>meeting</w:t>
      </w:r>
      <w:r>
        <w:rPr>
          <w:rFonts w:ascii="Arial" w:hAnsi="Arial"/>
          <w:spacing w:val="-14"/>
          <w:w w:val="105"/>
          <w:sz w:val="19"/>
        </w:rPr>
        <w:t xml:space="preserve"> </w:t>
      </w:r>
      <w:r>
        <w:rPr>
          <w:rFonts w:ascii="Arial" w:hAnsi="Arial"/>
          <w:w w:val="105"/>
          <w:sz w:val="19"/>
        </w:rPr>
        <w:t>etc.)</w:t>
      </w:r>
    </w:p>
    <w:p w:rsidR="007D76BB" w:rsidRDefault="00D70D28">
      <w:pPr>
        <w:pStyle w:val="ListParagraph"/>
        <w:numPr>
          <w:ilvl w:val="1"/>
          <w:numId w:val="5"/>
        </w:numPr>
        <w:tabs>
          <w:tab w:val="left" w:pos="766"/>
        </w:tabs>
        <w:spacing w:before="101" w:line="264" w:lineRule="auto"/>
        <w:ind w:right="1250"/>
        <w:rPr>
          <w:rFonts w:ascii="Arial" w:hAnsi="Arial"/>
          <w:sz w:val="19"/>
        </w:rPr>
      </w:pPr>
      <w:r>
        <w:rPr>
          <w:rFonts w:ascii="Arial" w:hAnsi="Arial"/>
          <w:w w:val="105"/>
          <w:sz w:val="19"/>
        </w:rPr>
        <w:t>general substance information (details required for inclusion in the determination include ingredient</w:t>
      </w:r>
      <w:r>
        <w:rPr>
          <w:rFonts w:ascii="Arial" w:hAnsi="Arial"/>
          <w:spacing w:val="-30"/>
          <w:w w:val="105"/>
          <w:sz w:val="19"/>
        </w:rPr>
        <w:t xml:space="preserve"> </w:t>
      </w:r>
      <w:r>
        <w:rPr>
          <w:rFonts w:ascii="Arial" w:hAnsi="Arial"/>
          <w:w w:val="105"/>
          <w:sz w:val="19"/>
        </w:rPr>
        <w:t>name</w:t>
      </w:r>
      <w:r>
        <w:rPr>
          <w:rFonts w:ascii="Arial" w:hAnsi="Arial"/>
          <w:spacing w:val="-29"/>
          <w:w w:val="105"/>
          <w:sz w:val="19"/>
        </w:rPr>
        <w:t xml:space="preserve"> </w:t>
      </w:r>
      <w:r>
        <w:rPr>
          <w:rFonts w:ascii="Arial" w:hAnsi="Arial"/>
          <w:w w:val="105"/>
          <w:sz w:val="19"/>
        </w:rPr>
        <w:t>(and</w:t>
      </w:r>
      <w:r>
        <w:rPr>
          <w:rFonts w:ascii="Arial" w:hAnsi="Arial"/>
          <w:spacing w:val="-29"/>
          <w:w w:val="105"/>
          <w:sz w:val="19"/>
        </w:rPr>
        <w:t xml:space="preserve"> </w:t>
      </w:r>
      <w:r>
        <w:rPr>
          <w:rFonts w:ascii="Arial" w:hAnsi="Arial"/>
          <w:w w:val="105"/>
          <w:sz w:val="19"/>
        </w:rPr>
        <w:t>any</w:t>
      </w:r>
      <w:r>
        <w:rPr>
          <w:rFonts w:ascii="Arial" w:hAnsi="Arial"/>
          <w:spacing w:val="-31"/>
          <w:w w:val="105"/>
          <w:sz w:val="19"/>
        </w:rPr>
        <w:t xml:space="preserve"> </w:t>
      </w:r>
      <w:r>
        <w:rPr>
          <w:rFonts w:ascii="Arial" w:hAnsi="Arial"/>
          <w:w w:val="105"/>
          <w:sz w:val="19"/>
        </w:rPr>
        <w:t>synonyms),</w:t>
      </w:r>
      <w:r>
        <w:rPr>
          <w:rFonts w:ascii="Arial" w:hAnsi="Arial"/>
          <w:spacing w:val="-29"/>
          <w:w w:val="105"/>
          <w:sz w:val="19"/>
        </w:rPr>
        <w:t xml:space="preserve"> </w:t>
      </w:r>
      <w:r>
        <w:rPr>
          <w:rFonts w:ascii="Arial" w:hAnsi="Arial"/>
          <w:w w:val="105"/>
          <w:sz w:val="19"/>
        </w:rPr>
        <w:t>role</w:t>
      </w:r>
      <w:r>
        <w:rPr>
          <w:rFonts w:ascii="Arial" w:hAnsi="Arial"/>
          <w:spacing w:val="-29"/>
          <w:w w:val="105"/>
          <w:sz w:val="19"/>
        </w:rPr>
        <w:t xml:space="preserve"> </w:t>
      </w:r>
      <w:r>
        <w:rPr>
          <w:rFonts w:ascii="Arial" w:hAnsi="Arial"/>
          <w:w w:val="105"/>
          <w:sz w:val="19"/>
        </w:rPr>
        <w:t>(active/excipient),</w:t>
      </w:r>
      <w:r>
        <w:rPr>
          <w:rFonts w:ascii="Arial" w:hAnsi="Arial"/>
          <w:spacing w:val="-30"/>
          <w:w w:val="105"/>
          <w:sz w:val="19"/>
        </w:rPr>
        <w:t xml:space="preserve"> </w:t>
      </w:r>
      <w:r>
        <w:rPr>
          <w:rFonts w:ascii="Arial" w:hAnsi="Arial"/>
          <w:w w:val="105"/>
          <w:sz w:val="19"/>
        </w:rPr>
        <w:t>route</w:t>
      </w:r>
      <w:r>
        <w:rPr>
          <w:rFonts w:ascii="Arial" w:hAnsi="Arial"/>
          <w:spacing w:val="-28"/>
          <w:w w:val="105"/>
          <w:sz w:val="19"/>
        </w:rPr>
        <w:t xml:space="preserve"> </w:t>
      </w:r>
      <w:r>
        <w:rPr>
          <w:rFonts w:ascii="Arial" w:hAnsi="Arial"/>
          <w:w w:val="105"/>
          <w:sz w:val="19"/>
        </w:rPr>
        <w:t>of</w:t>
      </w:r>
      <w:r>
        <w:rPr>
          <w:rFonts w:ascii="Arial" w:hAnsi="Arial"/>
          <w:spacing w:val="-31"/>
          <w:w w:val="105"/>
          <w:sz w:val="19"/>
        </w:rPr>
        <w:t xml:space="preserve"> </w:t>
      </w:r>
      <w:r>
        <w:rPr>
          <w:rFonts w:ascii="Arial" w:hAnsi="Arial"/>
          <w:w w:val="105"/>
          <w:sz w:val="19"/>
        </w:rPr>
        <w:t>administration,</w:t>
      </w:r>
      <w:r>
        <w:rPr>
          <w:rFonts w:ascii="Arial" w:hAnsi="Arial"/>
          <w:spacing w:val="-31"/>
          <w:w w:val="105"/>
          <w:sz w:val="19"/>
        </w:rPr>
        <w:t xml:space="preserve"> </w:t>
      </w:r>
      <w:r>
        <w:rPr>
          <w:rFonts w:ascii="Arial" w:hAnsi="Arial"/>
          <w:w w:val="105"/>
          <w:sz w:val="19"/>
        </w:rPr>
        <w:t>dosage form and target</w:t>
      </w:r>
      <w:r>
        <w:rPr>
          <w:rFonts w:ascii="Arial" w:hAnsi="Arial"/>
          <w:spacing w:val="-34"/>
          <w:w w:val="105"/>
          <w:sz w:val="19"/>
        </w:rPr>
        <w:t xml:space="preserve"> </w:t>
      </w:r>
      <w:r>
        <w:rPr>
          <w:rFonts w:ascii="Arial" w:hAnsi="Arial"/>
          <w:w w:val="105"/>
          <w:sz w:val="19"/>
        </w:rPr>
        <w:t>populations)</w:t>
      </w:r>
    </w:p>
    <w:p w:rsidR="007D76BB" w:rsidRDefault="00D70D28">
      <w:pPr>
        <w:pStyle w:val="ListParagraph"/>
        <w:numPr>
          <w:ilvl w:val="1"/>
          <w:numId w:val="5"/>
        </w:numPr>
        <w:tabs>
          <w:tab w:val="left" w:pos="766"/>
        </w:tabs>
        <w:spacing w:before="81" w:line="264" w:lineRule="auto"/>
        <w:ind w:right="1071"/>
        <w:rPr>
          <w:rFonts w:ascii="Arial" w:hAnsi="Arial"/>
          <w:sz w:val="19"/>
        </w:rPr>
      </w:pPr>
      <w:r>
        <w:rPr>
          <w:rFonts w:ascii="Arial" w:hAnsi="Arial"/>
          <w:w w:val="105"/>
          <w:sz w:val="19"/>
        </w:rPr>
        <w:t>information</w:t>
      </w:r>
      <w:r>
        <w:rPr>
          <w:rFonts w:ascii="Arial" w:hAnsi="Arial"/>
          <w:spacing w:val="-22"/>
          <w:w w:val="105"/>
          <w:sz w:val="19"/>
        </w:rPr>
        <w:t xml:space="preserve"> </w:t>
      </w:r>
      <w:r>
        <w:rPr>
          <w:rFonts w:ascii="Arial" w:hAnsi="Arial"/>
          <w:w w:val="105"/>
          <w:sz w:val="19"/>
        </w:rPr>
        <w:t>required</w:t>
      </w:r>
      <w:r>
        <w:rPr>
          <w:rFonts w:ascii="Arial" w:hAnsi="Arial"/>
          <w:spacing w:val="-24"/>
          <w:w w:val="105"/>
          <w:sz w:val="19"/>
        </w:rPr>
        <w:t xml:space="preserve"> </w:t>
      </w:r>
      <w:r>
        <w:rPr>
          <w:rFonts w:ascii="Arial" w:hAnsi="Arial"/>
          <w:w w:val="105"/>
          <w:sz w:val="19"/>
        </w:rPr>
        <w:t>to</w:t>
      </w:r>
      <w:r>
        <w:rPr>
          <w:rFonts w:ascii="Arial" w:hAnsi="Arial"/>
          <w:spacing w:val="-23"/>
          <w:w w:val="105"/>
          <w:sz w:val="19"/>
        </w:rPr>
        <w:t xml:space="preserve"> </w:t>
      </w:r>
      <w:r>
        <w:rPr>
          <w:rFonts w:ascii="Arial" w:hAnsi="Arial"/>
          <w:w w:val="105"/>
          <w:sz w:val="19"/>
        </w:rPr>
        <w:t>demonstrate</w:t>
      </w:r>
      <w:r>
        <w:rPr>
          <w:rFonts w:ascii="Arial" w:hAnsi="Arial"/>
          <w:spacing w:val="-23"/>
          <w:w w:val="105"/>
          <w:sz w:val="19"/>
        </w:rPr>
        <w:t xml:space="preserve"> </w:t>
      </w:r>
      <w:r>
        <w:rPr>
          <w:rFonts w:ascii="Arial" w:hAnsi="Arial"/>
          <w:w w:val="105"/>
          <w:sz w:val="19"/>
        </w:rPr>
        <w:t>the</w:t>
      </w:r>
      <w:r>
        <w:rPr>
          <w:rFonts w:ascii="Arial" w:hAnsi="Arial"/>
          <w:spacing w:val="-23"/>
          <w:w w:val="105"/>
          <w:sz w:val="19"/>
        </w:rPr>
        <w:t xml:space="preserve"> </w:t>
      </w:r>
      <w:r>
        <w:rPr>
          <w:rFonts w:ascii="Arial" w:hAnsi="Arial"/>
          <w:w w:val="105"/>
          <w:sz w:val="19"/>
        </w:rPr>
        <w:t>quality</w:t>
      </w:r>
      <w:r>
        <w:rPr>
          <w:rFonts w:ascii="Arial" w:hAnsi="Arial"/>
          <w:spacing w:val="-22"/>
          <w:w w:val="105"/>
          <w:sz w:val="19"/>
        </w:rPr>
        <w:t xml:space="preserve"> </w:t>
      </w:r>
      <w:r>
        <w:rPr>
          <w:rFonts w:ascii="Arial" w:hAnsi="Arial"/>
          <w:w w:val="105"/>
          <w:sz w:val="19"/>
        </w:rPr>
        <w:t>of</w:t>
      </w:r>
      <w:r>
        <w:rPr>
          <w:rFonts w:ascii="Arial" w:hAnsi="Arial"/>
          <w:spacing w:val="-23"/>
          <w:w w:val="105"/>
          <w:sz w:val="19"/>
        </w:rPr>
        <w:t xml:space="preserve"> </w:t>
      </w:r>
      <w:r>
        <w:rPr>
          <w:rFonts w:ascii="Arial" w:hAnsi="Arial"/>
          <w:w w:val="105"/>
          <w:sz w:val="19"/>
        </w:rPr>
        <w:t>the</w:t>
      </w:r>
      <w:r>
        <w:rPr>
          <w:rFonts w:ascii="Arial" w:hAnsi="Arial"/>
          <w:spacing w:val="-23"/>
          <w:w w:val="105"/>
          <w:sz w:val="19"/>
        </w:rPr>
        <w:t xml:space="preserve"> </w:t>
      </w:r>
      <w:r>
        <w:rPr>
          <w:rFonts w:ascii="Arial" w:hAnsi="Arial"/>
          <w:w w:val="105"/>
          <w:sz w:val="19"/>
        </w:rPr>
        <w:t>substance</w:t>
      </w:r>
      <w:r>
        <w:rPr>
          <w:rFonts w:ascii="Arial" w:hAnsi="Arial"/>
          <w:spacing w:val="-23"/>
          <w:w w:val="105"/>
          <w:sz w:val="19"/>
        </w:rPr>
        <w:t xml:space="preserve"> </w:t>
      </w:r>
      <w:r>
        <w:rPr>
          <w:rFonts w:ascii="Arial" w:hAnsi="Arial"/>
          <w:w w:val="105"/>
          <w:sz w:val="19"/>
        </w:rPr>
        <w:t>(includes</w:t>
      </w:r>
      <w:r>
        <w:rPr>
          <w:rFonts w:ascii="Arial" w:hAnsi="Arial"/>
          <w:spacing w:val="-22"/>
          <w:w w:val="105"/>
          <w:sz w:val="19"/>
        </w:rPr>
        <w:t xml:space="preserve"> </w:t>
      </w:r>
      <w:r>
        <w:rPr>
          <w:rFonts w:ascii="Arial" w:hAnsi="Arial"/>
          <w:w w:val="105"/>
          <w:sz w:val="19"/>
        </w:rPr>
        <w:t>definition,</w:t>
      </w:r>
      <w:r>
        <w:rPr>
          <w:rFonts w:ascii="Arial" w:hAnsi="Arial"/>
          <w:spacing w:val="-23"/>
          <w:w w:val="105"/>
          <w:sz w:val="19"/>
        </w:rPr>
        <w:t xml:space="preserve"> </w:t>
      </w:r>
      <w:r>
        <w:rPr>
          <w:rFonts w:ascii="Arial" w:hAnsi="Arial"/>
          <w:w w:val="105"/>
          <w:sz w:val="19"/>
        </w:rPr>
        <w:t xml:space="preserve">chemical identity/structure, general properties, manufacturing details, </w:t>
      </w:r>
      <w:proofErr w:type="spellStart"/>
      <w:r>
        <w:rPr>
          <w:rFonts w:ascii="Arial" w:hAnsi="Arial"/>
          <w:w w:val="105"/>
          <w:sz w:val="19"/>
        </w:rPr>
        <w:t>characterisation</w:t>
      </w:r>
      <w:proofErr w:type="spellEnd"/>
      <w:r>
        <w:rPr>
          <w:rFonts w:ascii="Arial" w:hAnsi="Arial"/>
          <w:w w:val="105"/>
          <w:sz w:val="19"/>
        </w:rPr>
        <w:t>, control of substance,</w:t>
      </w:r>
      <w:r>
        <w:rPr>
          <w:rFonts w:ascii="Arial" w:hAnsi="Arial"/>
          <w:spacing w:val="-17"/>
          <w:w w:val="105"/>
          <w:sz w:val="19"/>
        </w:rPr>
        <w:t xml:space="preserve"> </w:t>
      </w:r>
      <w:r>
        <w:rPr>
          <w:rFonts w:ascii="Arial" w:hAnsi="Arial"/>
          <w:w w:val="105"/>
          <w:sz w:val="19"/>
        </w:rPr>
        <w:t>reference</w:t>
      </w:r>
      <w:r>
        <w:rPr>
          <w:rFonts w:ascii="Arial" w:hAnsi="Arial"/>
          <w:spacing w:val="-16"/>
          <w:w w:val="105"/>
          <w:sz w:val="19"/>
        </w:rPr>
        <w:t xml:space="preserve"> </w:t>
      </w:r>
      <w:r>
        <w:rPr>
          <w:rFonts w:ascii="Arial" w:hAnsi="Arial"/>
          <w:w w:val="105"/>
          <w:sz w:val="19"/>
        </w:rPr>
        <w:t>standard,</w:t>
      </w:r>
      <w:r>
        <w:rPr>
          <w:rFonts w:ascii="Arial" w:hAnsi="Arial"/>
          <w:spacing w:val="-17"/>
          <w:w w:val="105"/>
          <w:sz w:val="19"/>
        </w:rPr>
        <w:t xml:space="preserve"> </w:t>
      </w:r>
      <w:r>
        <w:rPr>
          <w:rFonts w:ascii="Arial" w:hAnsi="Arial"/>
          <w:w w:val="105"/>
          <w:sz w:val="19"/>
        </w:rPr>
        <w:t>container</w:t>
      </w:r>
      <w:r>
        <w:rPr>
          <w:rFonts w:ascii="Arial" w:hAnsi="Arial"/>
          <w:spacing w:val="-13"/>
          <w:w w:val="105"/>
          <w:sz w:val="19"/>
        </w:rPr>
        <w:t xml:space="preserve"> </w:t>
      </w:r>
      <w:r>
        <w:rPr>
          <w:rFonts w:ascii="Arial" w:hAnsi="Arial"/>
          <w:w w:val="105"/>
          <w:sz w:val="19"/>
        </w:rPr>
        <w:t>closure</w:t>
      </w:r>
      <w:r>
        <w:rPr>
          <w:rFonts w:ascii="Arial" w:hAnsi="Arial"/>
          <w:spacing w:val="-18"/>
          <w:w w:val="105"/>
          <w:sz w:val="19"/>
        </w:rPr>
        <w:t xml:space="preserve"> </w:t>
      </w:r>
      <w:r>
        <w:rPr>
          <w:rFonts w:ascii="Arial" w:hAnsi="Arial"/>
          <w:w w:val="105"/>
          <w:sz w:val="19"/>
        </w:rPr>
        <w:t>system,</w:t>
      </w:r>
      <w:r>
        <w:rPr>
          <w:rFonts w:ascii="Arial" w:hAnsi="Arial"/>
          <w:spacing w:val="-19"/>
          <w:w w:val="105"/>
          <w:sz w:val="19"/>
        </w:rPr>
        <w:t xml:space="preserve"> </w:t>
      </w:r>
      <w:r>
        <w:rPr>
          <w:rFonts w:ascii="Arial" w:hAnsi="Arial"/>
          <w:w w:val="105"/>
          <w:sz w:val="19"/>
        </w:rPr>
        <w:t>and</w:t>
      </w:r>
      <w:r>
        <w:rPr>
          <w:rFonts w:ascii="Arial" w:hAnsi="Arial"/>
          <w:spacing w:val="-18"/>
          <w:w w:val="105"/>
          <w:sz w:val="19"/>
        </w:rPr>
        <w:t xml:space="preserve"> </w:t>
      </w:r>
      <w:r>
        <w:rPr>
          <w:rFonts w:ascii="Arial" w:hAnsi="Arial"/>
          <w:w w:val="105"/>
          <w:sz w:val="19"/>
        </w:rPr>
        <w:t>stability</w:t>
      </w:r>
      <w:r>
        <w:rPr>
          <w:rFonts w:ascii="Arial" w:hAnsi="Arial"/>
          <w:spacing w:val="-18"/>
          <w:w w:val="105"/>
          <w:sz w:val="19"/>
        </w:rPr>
        <w:t xml:space="preserve"> </w:t>
      </w:r>
      <w:r>
        <w:rPr>
          <w:rFonts w:ascii="Arial" w:hAnsi="Arial"/>
          <w:w w:val="105"/>
          <w:sz w:val="19"/>
        </w:rPr>
        <w:t>information)</w:t>
      </w:r>
    </w:p>
    <w:p w:rsidR="007D76BB" w:rsidRDefault="00D70D28">
      <w:pPr>
        <w:pStyle w:val="ListParagraph"/>
        <w:numPr>
          <w:ilvl w:val="1"/>
          <w:numId w:val="5"/>
        </w:numPr>
        <w:tabs>
          <w:tab w:val="left" w:pos="766"/>
        </w:tabs>
        <w:spacing w:before="80" w:line="264" w:lineRule="auto"/>
        <w:ind w:right="919"/>
        <w:rPr>
          <w:rFonts w:ascii="Arial" w:hAnsi="Arial"/>
          <w:sz w:val="19"/>
        </w:rPr>
      </w:pPr>
      <w:r>
        <w:rPr>
          <w:rFonts w:ascii="Arial" w:hAnsi="Arial"/>
          <w:w w:val="105"/>
          <w:sz w:val="19"/>
        </w:rPr>
        <w:t>information</w:t>
      </w:r>
      <w:r>
        <w:rPr>
          <w:rFonts w:ascii="Arial" w:hAnsi="Arial"/>
          <w:spacing w:val="-20"/>
          <w:w w:val="105"/>
          <w:sz w:val="19"/>
        </w:rPr>
        <w:t xml:space="preserve"> </w:t>
      </w:r>
      <w:r>
        <w:rPr>
          <w:rFonts w:ascii="Arial" w:hAnsi="Arial"/>
          <w:w w:val="105"/>
          <w:sz w:val="19"/>
        </w:rPr>
        <w:t>required</w:t>
      </w:r>
      <w:r>
        <w:rPr>
          <w:rFonts w:ascii="Arial" w:hAnsi="Arial"/>
          <w:spacing w:val="-23"/>
          <w:w w:val="105"/>
          <w:sz w:val="19"/>
        </w:rPr>
        <w:t xml:space="preserve"> </w:t>
      </w:r>
      <w:r>
        <w:rPr>
          <w:rFonts w:ascii="Arial" w:hAnsi="Arial"/>
          <w:w w:val="105"/>
          <w:sz w:val="19"/>
        </w:rPr>
        <w:t>to</w:t>
      </w:r>
      <w:r>
        <w:rPr>
          <w:rFonts w:ascii="Arial" w:hAnsi="Arial"/>
          <w:spacing w:val="-21"/>
          <w:w w:val="105"/>
          <w:sz w:val="19"/>
        </w:rPr>
        <w:t xml:space="preserve"> </w:t>
      </w:r>
      <w:r>
        <w:rPr>
          <w:rFonts w:ascii="Arial" w:hAnsi="Arial"/>
          <w:w w:val="105"/>
          <w:sz w:val="19"/>
        </w:rPr>
        <w:t>demonstrate</w:t>
      </w:r>
      <w:r>
        <w:rPr>
          <w:rFonts w:ascii="Arial" w:hAnsi="Arial"/>
          <w:spacing w:val="-21"/>
          <w:w w:val="105"/>
          <w:sz w:val="19"/>
        </w:rPr>
        <w:t xml:space="preserve"> </w:t>
      </w:r>
      <w:r>
        <w:rPr>
          <w:rFonts w:ascii="Arial" w:hAnsi="Arial"/>
          <w:w w:val="105"/>
          <w:sz w:val="19"/>
        </w:rPr>
        <w:t>the</w:t>
      </w:r>
      <w:r>
        <w:rPr>
          <w:rFonts w:ascii="Arial" w:hAnsi="Arial"/>
          <w:spacing w:val="-22"/>
          <w:w w:val="105"/>
          <w:sz w:val="19"/>
        </w:rPr>
        <w:t xml:space="preserve"> </w:t>
      </w:r>
      <w:r>
        <w:rPr>
          <w:rFonts w:ascii="Arial" w:hAnsi="Arial"/>
          <w:w w:val="105"/>
          <w:sz w:val="19"/>
        </w:rPr>
        <w:t>safety</w:t>
      </w:r>
      <w:r>
        <w:rPr>
          <w:rFonts w:ascii="Arial" w:hAnsi="Arial"/>
          <w:spacing w:val="-21"/>
          <w:w w:val="105"/>
          <w:sz w:val="19"/>
        </w:rPr>
        <w:t xml:space="preserve"> </w:t>
      </w:r>
      <w:r>
        <w:rPr>
          <w:rFonts w:ascii="Arial" w:hAnsi="Arial"/>
          <w:w w:val="105"/>
          <w:sz w:val="19"/>
        </w:rPr>
        <w:t>of</w:t>
      </w:r>
      <w:r>
        <w:rPr>
          <w:rFonts w:ascii="Arial" w:hAnsi="Arial"/>
          <w:spacing w:val="-21"/>
          <w:w w:val="105"/>
          <w:sz w:val="19"/>
        </w:rPr>
        <w:t xml:space="preserve"> </w:t>
      </w:r>
      <w:r>
        <w:rPr>
          <w:rFonts w:ascii="Arial" w:hAnsi="Arial"/>
          <w:w w:val="105"/>
          <w:sz w:val="19"/>
        </w:rPr>
        <w:t>the</w:t>
      </w:r>
      <w:r>
        <w:rPr>
          <w:rFonts w:ascii="Arial" w:hAnsi="Arial"/>
          <w:spacing w:val="-20"/>
          <w:w w:val="105"/>
          <w:sz w:val="19"/>
        </w:rPr>
        <w:t xml:space="preserve"> </w:t>
      </w:r>
      <w:r>
        <w:rPr>
          <w:rFonts w:ascii="Arial" w:hAnsi="Arial"/>
          <w:w w:val="105"/>
          <w:sz w:val="19"/>
        </w:rPr>
        <w:t>substance</w:t>
      </w:r>
      <w:r>
        <w:rPr>
          <w:rFonts w:ascii="Arial" w:hAnsi="Arial"/>
          <w:spacing w:val="-22"/>
          <w:w w:val="105"/>
          <w:sz w:val="19"/>
        </w:rPr>
        <w:t xml:space="preserve"> </w:t>
      </w:r>
      <w:r>
        <w:rPr>
          <w:rFonts w:ascii="Arial" w:hAnsi="Arial"/>
          <w:w w:val="105"/>
          <w:sz w:val="19"/>
        </w:rPr>
        <w:t>(includes</w:t>
      </w:r>
      <w:r>
        <w:rPr>
          <w:rFonts w:ascii="Arial" w:hAnsi="Arial"/>
          <w:spacing w:val="-21"/>
          <w:w w:val="105"/>
          <w:sz w:val="19"/>
        </w:rPr>
        <w:t xml:space="preserve"> </w:t>
      </w:r>
      <w:r>
        <w:rPr>
          <w:rFonts w:ascii="Arial" w:hAnsi="Arial"/>
          <w:w w:val="105"/>
          <w:sz w:val="19"/>
        </w:rPr>
        <w:t>literature</w:t>
      </w:r>
      <w:r>
        <w:rPr>
          <w:rFonts w:ascii="Arial" w:hAnsi="Arial"/>
          <w:spacing w:val="-23"/>
          <w:w w:val="105"/>
          <w:sz w:val="19"/>
        </w:rPr>
        <w:t xml:space="preserve"> </w:t>
      </w:r>
      <w:r>
        <w:rPr>
          <w:rFonts w:ascii="Arial" w:hAnsi="Arial"/>
          <w:w w:val="105"/>
          <w:sz w:val="19"/>
        </w:rPr>
        <w:t>search</w:t>
      </w:r>
      <w:r>
        <w:rPr>
          <w:rFonts w:ascii="Arial" w:hAnsi="Arial"/>
          <w:spacing w:val="-20"/>
          <w:w w:val="105"/>
          <w:sz w:val="19"/>
        </w:rPr>
        <w:t xml:space="preserve"> </w:t>
      </w:r>
      <w:r>
        <w:rPr>
          <w:rFonts w:ascii="Arial" w:hAnsi="Arial"/>
          <w:w w:val="105"/>
          <w:sz w:val="19"/>
        </w:rPr>
        <w:t>and material</w:t>
      </w:r>
      <w:r>
        <w:rPr>
          <w:rFonts w:ascii="Arial" w:hAnsi="Arial"/>
          <w:spacing w:val="-21"/>
          <w:w w:val="105"/>
          <w:sz w:val="19"/>
        </w:rPr>
        <w:t xml:space="preserve"> </w:t>
      </w:r>
      <w:r>
        <w:rPr>
          <w:rFonts w:ascii="Arial" w:hAnsi="Arial"/>
          <w:w w:val="105"/>
          <w:sz w:val="19"/>
        </w:rPr>
        <w:t>produced</w:t>
      </w:r>
      <w:r>
        <w:rPr>
          <w:rFonts w:ascii="Arial" w:hAnsi="Arial"/>
          <w:spacing w:val="-21"/>
          <w:w w:val="105"/>
          <w:sz w:val="19"/>
        </w:rPr>
        <w:t xml:space="preserve"> </w:t>
      </w:r>
      <w:r>
        <w:rPr>
          <w:rFonts w:ascii="Arial" w:hAnsi="Arial"/>
          <w:w w:val="105"/>
          <w:sz w:val="19"/>
        </w:rPr>
        <w:t>by</w:t>
      </w:r>
      <w:r>
        <w:rPr>
          <w:rFonts w:ascii="Arial" w:hAnsi="Arial"/>
          <w:spacing w:val="-20"/>
          <w:w w:val="105"/>
          <w:sz w:val="19"/>
        </w:rPr>
        <w:t xml:space="preserve"> </w:t>
      </w:r>
      <w:r>
        <w:rPr>
          <w:rFonts w:ascii="Arial" w:hAnsi="Arial"/>
          <w:w w:val="105"/>
          <w:sz w:val="19"/>
        </w:rPr>
        <w:t>sponsor</w:t>
      </w:r>
      <w:r>
        <w:rPr>
          <w:rFonts w:ascii="Arial" w:hAnsi="Arial"/>
          <w:spacing w:val="-20"/>
          <w:w w:val="105"/>
          <w:sz w:val="19"/>
        </w:rPr>
        <w:t xml:space="preserve"> </w:t>
      </w:r>
      <w:r>
        <w:rPr>
          <w:rFonts w:ascii="Arial" w:hAnsi="Arial"/>
          <w:w w:val="105"/>
          <w:sz w:val="19"/>
        </w:rPr>
        <w:t>relating</w:t>
      </w:r>
      <w:r>
        <w:rPr>
          <w:rFonts w:ascii="Arial" w:hAnsi="Arial"/>
          <w:spacing w:val="-20"/>
          <w:w w:val="105"/>
          <w:sz w:val="19"/>
        </w:rPr>
        <w:t xml:space="preserve"> </w:t>
      </w:r>
      <w:r>
        <w:rPr>
          <w:rFonts w:ascii="Arial" w:hAnsi="Arial"/>
          <w:w w:val="105"/>
          <w:sz w:val="19"/>
        </w:rPr>
        <w:t>to</w:t>
      </w:r>
      <w:r>
        <w:rPr>
          <w:rFonts w:ascii="Arial" w:hAnsi="Arial"/>
          <w:spacing w:val="-20"/>
          <w:w w:val="105"/>
          <w:sz w:val="19"/>
        </w:rPr>
        <w:t xml:space="preserve"> </w:t>
      </w:r>
      <w:r>
        <w:rPr>
          <w:rFonts w:ascii="Arial" w:hAnsi="Arial"/>
          <w:w w:val="105"/>
          <w:sz w:val="19"/>
        </w:rPr>
        <w:t>history</w:t>
      </w:r>
      <w:r>
        <w:rPr>
          <w:rFonts w:ascii="Arial" w:hAnsi="Arial"/>
          <w:spacing w:val="-21"/>
          <w:w w:val="105"/>
          <w:sz w:val="19"/>
        </w:rPr>
        <w:t xml:space="preserve"> </w:t>
      </w:r>
      <w:r>
        <w:rPr>
          <w:rFonts w:ascii="Arial" w:hAnsi="Arial"/>
          <w:w w:val="105"/>
          <w:sz w:val="19"/>
        </w:rPr>
        <w:t>and</w:t>
      </w:r>
      <w:r>
        <w:rPr>
          <w:rFonts w:ascii="Arial" w:hAnsi="Arial"/>
          <w:spacing w:val="-21"/>
          <w:w w:val="105"/>
          <w:sz w:val="19"/>
        </w:rPr>
        <w:t xml:space="preserve"> </w:t>
      </w:r>
      <w:r>
        <w:rPr>
          <w:rFonts w:ascii="Arial" w:hAnsi="Arial"/>
          <w:w w:val="105"/>
          <w:sz w:val="19"/>
        </w:rPr>
        <w:t>patterns</w:t>
      </w:r>
      <w:r>
        <w:rPr>
          <w:rFonts w:ascii="Arial" w:hAnsi="Arial"/>
          <w:spacing w:val="-22"/>
          <w:w w:val="105"/>
          <w:sz w:val="19"/>
        </w:rPr>
        <w:t xml:space="preserve"> </w:t>
      </w:r>
      <w:r>
        <w:rPr>
          <w:rFonts w:ascii="Arial" w:hAnsi="Arial"/>
          <w:w w:val="105"/>
          <w:sz w:val="19"/>
        </w:rPr>
        <w:t>of</w:t>
      </w:r>
      <w:r>
        <w:rPr>
          <w:rFonts w:ascii="Arial" w:hAnsi="Arial"/>
          <w:spacing w:val="-21"/>
          <w:w w:val="105"/>
          <w:sz w:val="19"/>
        </w:rPr>
        <w:t xml:space="preserve"> </w:t>
      </w:r>
      <w:r>
        <w:rPr>
          <w:rFonts w:ascii="Arial" w:hAnsi="Arial"/>
          <w:w w:val="105"/>
          <w:sz w:val="19"/>
        </w:rPr>
        <w:t>human</w:t>
      </w:r>
      <w:r>
        <w:rPr>
          <w:rFonts w:ascii="Arial" w:hAnsi="Arial"/>
          <w:spacing w:val="-21"/>
          <w:w w:val="105"/>
          <w:sz w:val="19"/>
        </w:rPr>
        <w:t xml:space="preserve"> </w:t>
      </w:r>
      <w:r>
        <w:rPr>
          <w:rFonts w:ascii="Arial" w:hAnsi="Arial"/>
          <w:w w:val="105"/>
          <w:sz w:val="19"/>
        </w:rPr>
        <w:t>use,</w:t>
      </w:r>
      <w:r>
        <w:rPr>
          <w:rFonts w:ascii="Arial" w:hAnsi="Arial"/>
          <w:spacing w:val="-21"/>
          <w:w w:val="105"/>
          <w:sz w:val="19"/>
        </w:rPr>
        <w:t xml:space="preserve"> </w:t>
      </w:r>
      <w:r>
        <w:rPr>
          <w:rFonts w:ascii="Arial" w:hAnsi="Arial"/>
          <w:w w:val="105"/>
          <w:sz w:val="19"/>
        </w:rPr>
        <w:t>biological</w:t>
      </w:r>
      <w:r>
        <w:rPr>
          <w:rFonts w:ascii="Arial" w:hAnsi="Arial"/>
          <w:spacing w:val="-19"/>
          <w:w w:val="105"/>
          <w:sz w:val="19"/>
        </w:rPr>
        <w:t xml:space="preserve"> </w:t>
      </w:r>
      <w:r>
        <w:rPr>
          <w:rFonts w:ascii="Arial" w:hAnsi="Arial"/>
          <w:w w:val="105"/>
          <w:sz w:val="19"/>
        </w:rPr>
        <w:t>activity, toxicological</w:t>
      </w:r>
      <w:r>
        <w:rPr>
          <w:rFonts w:ascii="Arial" w:hAnsi="Arial"/>
          <w:spacing w:val="-27"/>
          <w:w w:val="105"/>
          <w:sz w:val="19"/>
        </w:rPr>
        <w:t xml:space="preserve"> </w:t>
      </w:r>
      <w:r>
        <w:rPr>
          <w:rFonts w:ascii="Arial" w:hAnsi="Arial"/>
          <w:w w:val="105"/>
          <w:sz w:val="19"/>
        </w:rPr>
        <w:t>data,</w:t>
      </w:r>
      <w:r>
        <w:rPr>
          <w:rFonts w:ascii="Arial" w:hAnsi="Arial"/>
          <w:spacing w:val="-26"/>
          <w:w w:val="105"/>
          <w:sz w:val="19"/>
        </w:rPr>
        <w:t xml:space="preserve"> </w:t>
      </w:r>
      <w:r>
        <w:rPr>
          <w:rFonts w:ascii="Arial" w:hAnsi="Arial"/>
          <w:w w:val="105"/>
          <w:sz w:val="19"/>
        </w:rPr>
        <w:t>clinical</w:t>
      </w:r>
      <w:r>
        <w:rPr>
          <w:rFonts w:ascii="Arial" w:hAnsi="Arial"/>
          <w:spacing w:val="-28"/>
          <w:w w:val="105"/>
          <w:sz w:val="19"/>
        </w:rPr>
        <w:t xml:space="preserve"> </w:t>
      </w:r>
      <w:r>
        <w:rPr>
          <w:rFonts w:ascii="Arial" w:hAnsi="Arial"/>
          <w:w w:val="105"/>
          <w:sz w:val="19"/>
        </w:rPr>
        <w:t>trials,</w:t>
      </w:r>
      <w:r>
        <w:rPr>
          <w:rFonts w:ascii="Arial" w:hAnsi="Arial"/>
          <w:spacing w:val="-26"/>
          <w:w w:val="105"/>
          <w:sz w:val="19"/>
        </w:rPr>
        <w:t xml:space="preserve"> </w:t>
      </w:r>
      <w:r>
        <w:rPr>
          <w:rFonts w:ascii="Arial" w:hAnsi="Arial"/>
          <w:w w:val="105"/>
          <w:sz w:val="19"/>
        </w:rPr>
        <w:t>adverse</w:t>
      </w:r>
      <w:r>
        <w:rPr>
          <w:rFonts w:ascii="Arial" w:hAnsi="Arial"/>
          <w:spacing w:val="-27"/>
          <w:w w:val="105"/>
          <w:sz w:val="19"/>
        </w:rPr>
        <w:t xml:space="preserve"> </w:t>
      </w:r>
      <w:r>
        <w:rPr>
          <w:rFonts w:ascii="Arial" w:hAnsi="Arial"/>
          <w:w w:val="105"/>
          <w:sz w:val="19"/>
        </w:rPr>
        <w:t>reactions</w:t>
      </w:r>
      <w:r>
        <w:rPr>
          <w:rFonts w:ascii="Arial" w:hAnsi="Arial"/>
          <w:spacing w:val="-27"/>
          <w:w w:val="105"/>
          <w:sz w:val="19"/>
        </w:rPr>
        <w:t xml:space="preserve"> </w:t>
      </w:r>
      <w:r>
        <w:rPr>
          <w:rFonts w:ascii="Arial" w:hAnsi="Arial"/>
          <w:w w:val="105"/>
          <w:sz w:val="19"/>
        </w:rPr>
        <w:t>and</w:t>
      </w:r>
      <w:r>
        <w:rPr>
          <w:rFonts w:ascii="Arial" w:hAnsi="Arial"/>
          <w:spacing w:val="-28"/>
          <w:w w:val="105"/>
          <w:sz w:val="19"/>
        </w:rPr>
        <w:t xml:space="preserve"> </w:t>
      </w:r>
      <w:r>
        <w:rPr>
          <w:rFonts w:ascii="Arial" w:hAnsi="Arial"/>
          <w:w w:val="105"/>
          <w:sz w:val="19"/>
        </w:rPr>
        <w:t>risks</w:t>
      </w:r>
      <w:r>
        <w:rPr>
          <w:rFonts w:ascii="Arial" w:hAnsi="Arial"/>
          <w:spacing w:val="-26"/>
          <w:w w:val="105"/>
          <w:sz w:val="19"/>
        </w:rPr>
        <w:t xml:space="preserve"> </w:t>
      </w:r>
      <w:r>
        <w:rPr>
          <w:rFonts w:ascii="Arial" w:hAnsi="Arial"/>
          <w:w w:val="105"/>
          <w:sz w:val="19"/>
        </w:rPr>
        <w:t>relating</w:t>
      </w:r>
      <w:r>
        <w:rPr>
          <w:rFonts w:ascii="Arial" w:hAnsi="Arial"/>
          <w:spacing w:val="-22"/>
          <w:w w:val="105"/>
          <w:sz w:val="19"/>
        </w:rPr>
        <w:t xml:space="preserve"> </w:t>
      </w:r>
      <w:r>
        <w:rPr>
          <w:rFonts w:ascii="Arial" w:hAnsi="Arial"/>
          <w:w w:val="105"/>
          <w:sz w:val="19"/>
        </w:rPr>
        <w:t>to</w:t>
      </w:r>
      <w:r>
        <w:rPr>
          <w:rFonts w:ascii="Arial" w:hAnsi="Arial"/>
          <w:spacing w:val="-28"/>
          <w:w w:val="105"/>
          <w:sz w:val="19"/>
        </w:rPr>
        <w:t xml:space="preserve"> </w:t>
      </w:r>
      <w:r>
        <w:rPr>
          <w:rFonts w:ascii="Arial" w:hAnsi="Arial"/>
          <w:w w:val="105"/>
          <w:sz w:val="19"/>
        </w:rPr>
        <w:t>transmissible</w:t>
      </w:r>
      <w:r>
        <w:rPr>
          <w:rFonts w:ascii="Arial" w:hAnsi="Arial"/>
          <w:spacing w:val="-26"/>
          <w:w w:val="105"/>
          <w:sz w:val="19"/>
        </w:rPr>
        <w:t xml:space="preserve"> </w:t>
      </w:r>
      <w:r>
        <w:rPr>
          <w:rFonts w:ascii="Arial" w:hAnsi="Arial"/>
          <w:w w:val="105"/>
          <w:sz w:val="19"/>
        </w:rPr>
        <w:t>spongiform encephalopathy</w:t>
      </w:r>
      <w:r>
        <w:rPr>
          <w:rFonts w:ascii="Arial" w:hAnsi="Arial"/>
          <w:spacing w:val="-17"/>
          <w:w w:val="105"/>
          <w:sz w:val="19"/>
        </w:rPr>
        <w:t xml:space="preserve"> </w:t>
      </w:r>
      <w:r>
        <w:rPr>
          <w:rFonts w:ascii="Arial" w:hAnsi="Arial"/>
          <w:w w:val="105"/>
          <w:sz w:val="19"/>
        </w:rPr>
        <w:t>(such</w:t>
      </w:r>
      <w:r>
        <w:rPr>
          <w:rFonts w:ascii="Arial" w:hAnsi="Arial"/>
          <w:spacing w:val="-15"/>
          <w:w w:val="105"/>
          <w:sz w:val="19"/>
        </w:rPr>
        <w:t xml:space="preserve"> </w:t>
      </w:r>
      <w:r>
        <w:rPr>
          <w:rFonts w:ascii="Arial" w:hAnsi="Arial"/>
          <w:w w:val="105"/>
          <w:sz w:val="19"/>
        </w:rPr>
        <w:t>as</w:t>
      </w:r>
      <w:r>
        <w:rPr>
          <w:rFonts w:ascii="Arial" w:hAnsi="Arial"/>
          <w:spacing w:val="-15"/>
          <w:w w:val="105"/>
          <w:sz w:val="19"/>
        </w:rPr>
        <w:t xml:space="preserve"> </w:t>
      </w:r>
      <w:r>
        <w:rPr>
          <w:rFonts w:ascii="Arial" w:hAnsi="Arial"/>
          <w:w w:val="105"/>
          <w:sz w:val="19"/>
        </w:rPr>
        <w:t>Creutzfeldt-Jakob</w:t>
      </w:r>
      <w:r>
        <w:rPr>
          <w:rFonts w:ascii="Arial" w:hAnsi="Arial"/>
          <w:spacing w:val="-15"/>
          <w:w w:val="105"/>
          <w:sz w:val="19"/>
        </w:rPr>
        <w:t xml:space="preserve"> </w:t>
      </w:r>
      <w:r>
        <w:rPr>
          <w:rFonts w:ascii="Arial" w:hAnsi="Arial"/>
          <w:w w:val="105"/>
          <w:sz w:val="19"/>
        </w:rPr>
        <w:t>(‘Mad</w:t>
      </w:r>
      <w:r>
        <w:rPr>
          <w:rFonts w:ascii="Arial" w:hAnsi="Arial"/>
          <w:spacing w:val="-16"/>
          <w:w w:val="105"/>
          <w:sz w:val="19"/>
        </w:rPr>
        <w:t xml:space="preserve"> </w:t>
      </w:r>
      <w:r>
        <w:rPr>
          <w:rFonts w:ascii="Arial" w:hAnsi="Arial"/>
          <w:w w:val="105"/>
          <w:sz w:val="19"/>
        </w:rPr>
        <w:t>Cow’)</w:t>
      </w:r>
      <w:r>
        <w:rPr>
          <w:rFonts w:ascii="Arial" w:hAnsi="Arial"/>
          <w:spacing w:val="-14"/>
          <w:w w:val="105"/>
          <w:sz w:val="19"/>
        </w:rPr>
        <w:t xml:space="preserve"> </w:t>
      </w:r>
      <w:r>
        <w:rPr>
          <w:rFonts w:ascii="Arial" w:hAnsi="Arial"/>
          <w:w w:val="105"/>
          <w:sz w:val="19"/>
        </w:rPr>
        <w:t>disease)).</w:t>
      </w:r>
    </w:p>
    <w:p w:rsidR="007D76BB" w:rsidRDefault="00D70D28">
      <w:pPr>
        <w:spacing w:before="81" w:line="264" w:lineRule="auto"/>
        <w:ind w:left="482" w:right="900"/>
        <w:rPr>
          <w:rFonts w:ascii="Arial" w:hAnsi="Arial"/>
          <w:sz w:val="19"/>
        </w:rPr>
      </w:pPr>
      <w:r>
        <w:rPr>
          <w:rFonts w:ascii="Arial" w:hAnsi="Arial"/>
          <w:w w:val="105"/>
          <w:sz w:val="19"/>
        </w:rPr>
        <w:t>Information is expected to be provided in an electronic dossier format similar to the European Medicines</w:t>
      </w:r>
      <w:r>
        <w:rPr>
          <w:rFonts w:ascii="Arial" w:hAnsi="Arial"/>
          <w:spacing w:val="-32"/>
          <w:w w:val="105"/>
          <w:sz w:val="19"/>
        </w:rPr>
        <w:t xml:space="preserve"> </w:t>
      </w:r>
      <w:r>
        <w:rPr>
          <w:rFonts w:ascii="Arial" w:hAnsi="Arial"/>
          <w:w w:val="105"/>
          <w:sz w:val="19"/>
        </w:rPr>
        <w:t>Agency</w:t>
      </w:r>
      <w:r>
        <w:rPr>
          <w:rFonts w:ascii="Arial" w:hAnsi="Arial"/>
          <w:spacing w:val="-31"/>
          <w:w w:val="105"/>
          <w:sz w:val="19"/>
        </w:rPr>
        <w:t xml:space="preserve"> </w:t>
      </w:r>
      <w:r>
        <w:rPr>
          <w:rFonts w:ascii="Arial" w:hAnsi="Arial"/>
          <w:w w:val="105"/>
          <w:sz w:val="19"/>
        </w:rPr>
        <w:t>Common</w:t>
      </w:r>
      <w:r>
        <w:rPr>
          <w:rFonts w:ascii="Arial" w:hAnsi="Arial"/>
          <w:spacing w:val="-31"/>
          <w:w w:val="105"/>
          <w:sz w:val="19"/>
        </w:rPr>
        <w:t xml:space="preserve"> </w:t>
      </w:r>
      <w:r>
        <w:rPr>
          <w:rFonts w:ascii="Arial" w:hAnsi="Arial"/>
          <w:w w:val="105"/>
          <w:sz w:val="19"/>
        </w:rPr>
        <w:t>Technical</w:t>
      </w:r>
      <w:r>
        <w:rPr>
          <w:rFonts w:ascii="Arial" w:hAnsi="Arial"/>
          <w:spacing w:val="-32"/>
          <w:w w:val="105"/>
          <w:sz w:val="19"/>
        </w:rPr>
        <w:t xml:space="preserve"> </w:t>
      </w:r>
      <w:r>
        <w:rPr>
          <w:rFonts w:ascii="Arial" w:hAnsi="Arial"/>
          <w:w w:val="105"/>
          <w:sz w:val="19"/>
        </w:rPr>
        <w:t>Document</w:t>
      </w:r>
      <w:r>
        <w:rPr>
          <w:rFonts w:ascii="Arial" w:hAnsi="Arial"/>
          <w:spacing w:val="-30"/>
          <w:w w:val="105"/>
          <w:sz w:val="19"/>
        </w:rPr>
        <w:t xml:space="preserve"> </w:t>
      </w:r>
      <w:r>
        <w:rPr>
          <w:rFonts w:ascii="Arial" w:hAnsi="Arial"/>
          <w:w w:val="105"/>
          <w:sz w:val="19"/>
        </w:rPr>
        <w:t>(CTD).</w:t>
      </w:r>
      <w:r>
        <w:rPr>
          <w:rFonts w:ascii="Arial" w:hAnsi="Arial"/>
          <w:spacing w:val="-32"/>
          <w:w w:val="105"/>
          <w:sz w:val="19"/>
        </w:rPr>
        <w:t xml:space="preserve"> </w:t>
      </w:r>
      <w:r>
        <w:rPr>
          <w:rFonts w:ascii="Arial" w:hAnsi="Arial"/>
          <w:w w:val="105"/>
          <w:sz w:val="19"/>
        </w:rPr>
        <w:t>Given</w:t>
      </w:r>
      <w:r>
        <w:rPr>
          <w:rFonts w:ascii="Arial" w:hAnsi="Arial"/>
          <w:spacing w:val="-31"/>
          <w:w w:val="105"/>
          <w:sz w:val="19"/>
        </w:rPr>
        <w:t xml:space="preserve"> </w:t>
      </w:r>
      <w:r>
        <w:rPr>
          <w:rFonts w:ascii="Arial" w:hAnsi="Arial"/>
          <w:w w:val="105"/>
          <w:sz w:val="19"/>
        </w:rPr>
        <w:t>the</w:t>
      </w:r>
      <w:r>
        <w:rPr>
          <w:rFonts w:ascii="Arial" w:hAnsi="Arial"/>
          <w:spacing w:val="-31"/>
          <w:w w:val="105"/>
          <w:sz w:val="19"/>
        </w:rPr>
        <w:t xml:space="preserve"> </w:t>
      </w:r>
      <w:r>
        <w:rPr>
          <w:rFonts w:ascii="Arial" w:hAnsi="Arial"/>
          <w:w w:val="105"/>
          <w:sz w:val="19"/>
        </w:rPr>
        <w:t>complexity</w:t>
      </w:r>
      <w:r>
        <w:rPr>
          <w:rFonts w:ascii="Arial" w:hAnsi="Arial"/>
          <w:spacing w:val="-33"/>
          <w:w w:val="105"/>
          <w:sz w:val="19"/>
        </w:rPr>
        <w:t xml:space="preserve"> </w:t>
      </w:r>
      <w:r>
        <w:rPr>
          <w:rFonts w:ascii="Arial" w:hAnsi="Arial"/>
          <w:w w:val="105"/>
          <w:sz w:val="19"/>
        </w:rPr>
        <w:t>of</w:t>
      </w:r>
      <w:r>
        <w:rPr>
          <w:rFonts w:ascii="Arial" w:hAnsi="Arial"/>
          <w:spacing w:val="-31"/>
          <w:w w:val="105"/>
          <w:sz w:val="19"/>
        </w:rPr>
        <w:t xml:space="preserve"> </w:t>
      </w:r>
      <w:r>
        <w:rPr>
          <w:rFonts w:ascii="Arial" w:hAnsi="Arial"/>
          <w:w w:val="105"/>
          <w:sz w:val="19"/>
        </w:rPr>
        <w:t>the</w:t>
      </w:r>
      <w:r>
        <w:rPr>
          <w:rFonts w:ascii="Arial" w:hAnsi="Arial"/>
          <w:spacing w:val="-32"/>
          <w:w w:val="105"/>
          <w:sz w:val="19"/>
        </w:rPr>
        <w:t xml:space="preserve"> </w:t>
      </w:r>
      <w:r>
        <w:rPr>
          <w:rFonts w:ascii="Arial" w:hAnsi="Arial"/>
          <w:w w:val="105"/>
          <w:sz w:val="19"/>
        </w:rPr>
        <w:t>submission process and evidentiary requirements, Noetic has assumed that the work will be commonly outsourced</w:t>
      </w:r>
      <w:r>
        <w:rPr>
          <w:rFonts w:ascii="Arial" w:hAnsi="Arial"/>
          <w:spacing w:val="-16"/>
          <w:w w:val="105"/>
          <w:sz w:val="19"/>
        </w:rPr>
        <w:t xml:space="preserve"> </w:t>
      </w:r>
      <w:r>
        <w:rPr>
          <w:rFonts w:ascii="Arial" w:hAnsi="Arial"/>
          <w:w w:val="105"/>
          <w:sz w:val="19"/>
        </w:rPr>
        <w:t>to</w:t>
      </w:r>
      <w:r>
        <w:rPr>
          <w:rFonts w:ascii="Arial" w:hAnsi="Arial"/>
          <w:spacing w:val="-17"/>
          <w:w w:val="105"/>
          <w:sz w:val="19"/>
        </w:rPr>
        <w:t xml:space="preserve"> </w:t>
      </w:r>
      <w:r>
        <w:rPr>
          <w:rFonts w:ascii="Arial" w:hAnsi="Arial"/>
          <w:w w:val="105"/>
          <w:sz w:val="19"/>
        </w:rPr>
        <w:t>a</w:t>
      </w:r>
      <w:r>
        <w:rPr>
          <w:rFonts w:ascii="Arial" w:hAnsi="Arial"/>
          <w:spacing w:val="-14"/>
          <w:w w:val="105"/>
          <w:sz w:val="19"/>
        </w:rPr>
        <w:t xml:space="preserve"> </w:t>
      </w:r>
      <w:r>
        <w:rPr>
          <w:rFonts w:ascii="Arial" w:hAnsi="Arial"/>
          <w:w w:val="105"/>
          <w:sz w:val="19"/>
        </w:rPr>
        <w:t>regulatory</w:t>
      </w:r>
      <w:r>
        <w:rPr>
          <w:rFonts w:ascii="Arial" w:hAnsi="Arial"/>
          <w:spacing w:val="-14"/>
          <w:w w:val="105"/>
          <w:sz w:val="19"/>
        </w:rPr>
        <w:t xml:space="preserve"> </w:t>
      </w:r>
      <w:r>
        <w:rPr>
          <w:rFonts w:ascii="Arial" w:hAnsi="Arial"/>
          <w:w w:val="105"/>
          <w:sz w:val="19"/>
        </w:rPr>
        <w:t>affairs</w:t>
      </w:r>
      <w:r>
        <w:rPr>
          <w:rFonts w:ascii="Arial" w:hAnsi="Arial"/>
          <w:spacing w:val="-15"/>
          <w:w w:val="105"/>
          <w:sz w:val="19"/>
        </w:rPr>
        <w:t xml:space="preserve"> </w:t>
      </w:r>
      <w:r>
        <w:rPr>
          <w:rFonts w:ascii="Arial" w:hAnsi="Arial"/>
          <w:w w:val="105"/>
          <w:sz w:val="19"/>
        </w:rPr>
        <w:t>consultant.</w:t>
      </w:r>
      <w:r>
        <w:rPr>
          <w:rFonts w:ascii="Arial" w:hAnsi="Arial"/>
          <w:spacing w:val="-16"/>
          <w:w w:val="105"/>
          <w:sz w:val="19"/>
        </w:rPr>
        <w:t xml:space="preserve"> </w:t>
      </w:r>
      <w:r>
        <w:rPr>
          <w:rFonts w:ascii="Arial" w:hAnsi="Arial"/>
          <w:w w:val="105"/>
          <w:sz w:val="19"/>
        </w:rPr>
        <w:t>It</w:t>
      </w:r>
      <w:r>
        <w:rPr>
          <w:rFonts w:ascii="Arial" w:hAnsi="Arial"/>
          <w:spacing w:val="-16"/>
          <w:w w:val="105"/>
          <w:sz w:val="19"/>
        </w:rPr>
        <w:t xml:space="preserve"> </w:t>
      </w:r>
      <w:r>
        <w:rPr>
          <w:rFonts w:ascii="Arial" w:hAnsi="Arial"/>
          <w:w w:val="105"/>
          <w:sz w:val="19"/>
        </w:rPr>
        <w:t>was</w:t>
      </w:r>
      <w:r>
        <w:rPr>
          <w:rFonts w:ascii="Arial" w:hAnsi="Arial"/>
          <w:spacing w:val="-16"/>
          <w:w w:val="105"/>
          <w:sz w:val="19"/>
        </w:rPr>
        <w:t xml:space="preserve"> </w:t>
      </w:r>
      <w:r>
        <w:rPr>
          <w:rFonts w:ascii="Arial" w:hAnsi="Arial"/>
          <w:w w:val="105"/>
          <w:sz w:val="19"/>
        </w:rPr>
        <w:t>estimated</w:t>
      </w:r>
      <w:r>
        <w:rPr>
          <w:rFonts w:ascii="Arial" w:hAnsi="Arial"/>
          <w:spacing w:val="-16"/>
          <w:w w:val="105"/>
          <w:sz w:val="19"/>
        </w:rPr>
        <w:t xml:space="preserve"> </w:t>
      </w:r>
      <w:r>
        <w:rPr>
          <w:rFonts w:ascii="Arial" w:hAnsi="Arial"/>
          <w:w w:val="105"/>
          <w:sz w:val="19"/>
        </w:rPr>
        <w:t>that</w:t>
      </w:r>
      <w:r>
        <w:rPr>
          <w:rFonts w:ascii="Arial" w:hAnsi="Arial"/>
          <w:spacing w:val="-14"/>
          <w:w w:val="105"/>
          <w:sz w:val="19"/>
        </w:rPr>
        <w:t xml:space="preserve"> </w:t>
      </w:r>
      <w:r>
        <w:rPr>
          <w:rFonts w:ascii="Arial" w:hAnsi="Arial"/>
          <w:w w:val="105"/>
          <w:sz w:val="19"/>
        </w:rPr>
        <w:t>the</w:t>
      </w:r>
      <w:r>
        <w:rPr>
          <w:rFonts w:ascii="Arial" w:hAnsi="Arial"/>
          <w:spacing w:val="-16"/>
          <w:w w:val="105"/>
          <w:sz w:val="19"/>
        </w:rPr>
        <w:t xml:space="preserve"> </w:t>
      </w:r>
      <w:r>
        <w:rPr>
          <w:rFonts w:ascii="Arial" w:hAnsi="Arial"/>
          <w:w w:val="105"/>
          <w:sz w:val="19"/>
        </w:rPr>
        <w:t>effort</w:t>
      </w:r>
      <w:r>
        <w:rPr>
          <w:rFonts w:ascii="Arial" w:hAnsi="Arial"/>
          <w:spacing w:val="-13"/>
          <w:w w:val="105"/>
          <w:sz w:val="19"/>
        </w:rPr>
        <w:t xml:space="preserve"> </w:t>
      </w:r>
      <w:r>
        <w:rPr>
          <w:rFonts w:ascii="Arial" w:hAnsi="Arial"/>
          <w:w w:val="105"/>
          <w:sz w:val="19"/>
        </w:rPr>
        <w:t>required</w:t>
      </w:r>
      <w:r>
        <w:rPr>
          <w:rFonts w:ascii="Arial" w:hAnsi="Arial"/>
          <w:spacing w:val="-16"/>
          <w:w w:val="105"/>
          <w:sz w:val="19"/>
        </w:rPr>
        <w:t xml:space="preserve"> </w:t>
      </w:r>
      <w:r>
        <w:rPr>
          <w:rFonts w:ascii="Arial" w:hAnsi="Arial"/>
          <w:w w:val="105"/>
          <w:sz w:val="19"/>
        </w:rPr>
        <w:t>to</w:t>
      </w:r>
      <w:r>
        <w:rPr>
          <w:rFonts w:ascii="Arial" w:hAnsi="Arial"/>
          <w:spacing w:val="-8"/>
          <w:w w:val="105"/>
          <w:sz w:val="19"/>
        </w:rPr>
        <w:t xml:space="preserve"> </w:t>
      </w:r>
      <w:r>
        <w:rPr>
          <w:rFonts w:ascii="Arial" w:hAnsi="Arial"/>
          <w:w w:val="105"/>
          <w:sz w:val="19"/>
        </w:rPr>
        <w:t>consult with</w:t>
      </w:r>
      <w:r>
        <w:rPr>
          <w:rFonts w:ascii="Arial" w:hAnsi="Arial"/>
          <w:spacing w:val="-16"/>
          <w:w w:val="105"/>
          <w:sz w:val="19"/>
        </w:rPr>
        <w:t xml:space="preserve"> </w:t>
      </w:r>
      <w:r>
        <w:rPr>
          <w:rFonts w:ascii="Arial" w:hAnsi="Arial"/>
          <w:w w:val="105"/>
          <w:sz w:val="19"/>
        </w:rPr>
        <w:t>the</w:t>
      </w:r>
      <w:r>
        <w:rPr>
          <w:rFonts w:ascii="Arial" w:hAnsi="Arial"/>
          <w:spacing w:val="-14"/>
          <w:w w:val="105"/>
          <w:sz w:val="19"/>
        </w:rPr>
        <w:t xml:space="preserve"> </w:t>
      </w:r>
      <w:r>
        <w:rPr>
          <w:rFonts w:ascii="Arial" w:hAnsi="Arial"/>
          <w:w w:val="105"/>
          <w:sz w:val="19"/>
        </w:rPr>
        <w:t>regulatory</w:t>
      </w:r>
      <w:r>
        <w:rPr>
          <w:rFonts w:ascii="Arial" w:hAnsi="Arial"/>
          <w:spacing w:val="-15"/>
          <w:w w:val="105"/>
          <w:sz w:val="19"/>
        </w:rPr>
        <w:t xml:space="preserve"> </w:t>
      </w:r>
      <w:r>
        <w:rPr>
          <w:rFonts w:ascii="Arial" w:hAnsi="Arial"/>
          <w:w w:val="105"/>
          <w:sz w:val="19"/>
        </w:rPr>
        <w:t>affairs</w:t>
      </w:r>
      <w:r>
        <w:rPr>
          <w:rFonts w:ascii="Arial" w:hAnsi="Arial"/>
          <w:spacing w:val="-16"/>
          <w:w w:val="105"/>
          <w:sz w:val="19"/>
        </w:rPr>
        <w:t xml:space="preserve"> </w:t>
      </w:r>
      <w:r>
        <w:rPr>
          <w:rFonts w:ascii="Arial" w:hAnsi="Arial"/>
          <w:w w:val="105"/>
          <w:sz w:val="19"/>
        </w:rPr>
        <w:t>consultant</w:t>
      </w:r>
      <w:r>
        <w:rPr>
          <w:rFonts w:ascii="Arial" w:hAnsi="Arial"/>
          <w:spacing w:val="-14"/>
          <w:w w:val="105"/>
          <w:sz w:val="19"/>
        </w:rPr>
        <w:t xml:space="preserve"> </w:t>
      </w:r>
      <w:r>
        <w:rPr>
          <w:rFonts w:ascii="Arial" w:hAnsi="Arial"/>
          <w:w w:val="105"/>
          <w:sz w:val="19"/>
        </w:rPr>
        <w:t>over</w:t>
      </w:r>
      <w:r>
        <w:rPr>
          <w:rFonts w:ascii="Arial" w:hAnsi="Arial"/>
          <w:spacing w:val="-17"/>
          <w:w w:val="105"/>
          <w:sz w:val="19"/>
        </w:rPr>
        <w:t xml:space="preserve"> </w:t>
      </w:r>
      <w:r>
        <w:rPr>
          <w:rFonts w:ascii="Arial" w:hAnsi="Arial"/>
          <w:w w:val="105"/>
          <w:sz w:val="19"/>
        </w:rPr>
        <w:t>the</w:t>
      </w:r>
      <w:r>
        <w:rPr>
          <w:rFonts w:ascii="Arial" w:hAnsi="Arial"/>
          <w:spacing w:val="-16"/>
          <w:w w:val="105"/>
          <w:sz w:val="19"/>
        </w:rPr>
        <w:t xml:space="preserve"> </w:t>
      </w:r>
      <w:r>
        <w:rPr>
          <w:rFonts w:ascii="Arial" w:hAnsi="Arial"/>
          <w:w w:val="105"/>
          <w:sz w:val="19"/>
        </w:rPr>
        <w:t>6</w:t>
      </w:r>
      <w:r>
        <w:rPr>
          <w:rFonts w:ascii="Arial" w:hAnsi="Arial"/>
          <w:spacing w:val="-15"/>
          <w:w w:val="105"/>
          <w:sz w:val="19"/>
        </w:rPr>
        <w:t xml:space="preserve"> </w:t>
      </w:r>
      <w:r>
        <w:rPr>
          <w:rFonts w:ascii="Arial" w:hAnsi="Arial"/>
          <w:w w:val="105"/>
          <w:sz w:val="19"/>
        </w:rPr>
        <w:t>to</w:t>
      </w:r>
      <w:r>
        <w:rPr>
          <w:rFonts w:ascii="Arial" w:hAnsi="Arial"/>
          <w:spacing w:val="-17"/>
          <w:w w:val="105"/>
          <w:sz w:val="19"/>
        </w:rPr>
        <w:t xml:space="preserve"> </w:t>
      </w:r>
      <w:r>
        <w:rPr>
          <w:rFonts w:ascii="Arial" w:hAnsi="Arial"/>
          <w:w w:val="105"/>
          <w:sz w:val="19"/>
        </w:rPr>
        <w:t>12</w:t>
      </w:r>
      <w:r>
        <w:rPr>
          <w:rFonts w:ascii="Arial" w:hAnsi="Arial"/>
          <w:spacing w:val="-16"/>
          <w:w w:val="105"/>
          <w:sz w:val="19"/>
        </w:rPr>
        <w:t xml:space="preserve"> </w:t>
      </w:r>
      <w:r>
        <w:rPr>
          <w:rFonts w:ascii="Arial" w:hAnsi="Arial"/>
          <w:w w:val="105"/>
          <w:sz w:val="19"/>
        </w:rPr>
        <w:t>months</w:t>
      </w:r>
      <w:r>
        <w:rPr>
          <w:rFonts w:ascii="Arial" w:hAnsi="Arial"/>
          <w:spacing w:val="-16"/>
          <w:w w:val="105"/>
          <w:sz w:val="19"/>
        </w:rPr>
        <w:t xml:space="preserve"> </w:t>
      </w:r>
      <w:r>
        <w:rPr>
          <w:rFonts w:ascii="Arial" w:hAnsi="Arial"/>
          <w:w w:val="105"/>
          <w:sz w:val="19"/>
        </w:rPr>
        <w:t>it</w:t>
      </w:r>
      <w:r>
        <w:rPr>
          <w:rFonts w:ascii="Arial" w:hAnsi="Arial"/>
          <w:spacing w:val="-16"/>
          <w:w w:val="105"/>
          <w:sz w:val="19"/>
        </w:rPr>
        <w:t xml:space="preserve"> </w:t>
      </w:r>
      <w:r>
        <w:rPr>
          <w:rFonts w:ascii="Arial" w:hAnsi="Arial"/>
          <w:w w:val="105"/>
          <w:sz w:val="19"/>
        </w:rPr>
        <w:t>takes</w:t>
      </w:r>
      <w:r>
        <w:rPr>
          <w:rFonts w:ascii="Arial" w:hAnsi="Arial"/>
          <w:spacing w:val="-17"/>
          <w:w w:val="105"/>
          <w:sz w:val="19"/>
        </w:rPr>
        <w:t xml:space="preserve"> </w:t>
      </w:r>
      <w:r>
        <w:rPr>
          <w:rFonts w:ascii="Arial" w:hAnsi="Arial"/>
          <w:w w:val="105"/>
          <w:sz w:val="19"/>
        </w:rPr>
        <w:t>to</w:t>
      </w:r>
      <w:r>
        <w:rPr>
          <w:rFonts w:ascii="Arial" w:hAnsi="Arial"/>
          <w:spacing w:val="-17"/>
          <w:w w:val="105"/>
          <w:sz w:val="19"/>
        </w:rPr>
        <w:t xml:space="preserve"> </w:t>
      </w:r>
      <w:r>
        <w:rPr>
          <w:rFonts w:ascii="Arial" w:hAnsi="Arial"/>
          <w:w w:val="105"/>
          <w:sz w:val="19"/>
        </w:rPr>
        <w:t>get</w:t>
      </w:r>
      <w:r>
        <w:rPr>
          <w:rFonts w:ascii="Arial" w:hAnsi="Arial"/>
          <w:spacing w:val="-16"/>
          <w:w w:val="105"/>
          <w:sz w:val="19"/>
        </w:rPr>
        <w:t xml:space="preserve"> </w:t>
      </w:r>
      <w:r>
        <w:rPr>
          <w:rFonts w:ascii="Arial" w:hAnsi="Arial"/>
          <w:w w:val="105"/>
          <w:sz w:val="19"/>
        </w:rPr>
        <w:t>the</w:t>
      </w:r>
      <w:r>
        <w:rPr>
          <w:rFonts w:ascii="Arial" w:hAnsi="Arial"/>
          <w:spacing w:val="-16"/>
          <w:w w:val="105"/>
          <w:sz w:val="19"/>
        </w:rPr>
        <w:t xml:space="preserve"> </w:t>
      </w:r>
      <w:r>
        <w:rPr>
          <w:rFonts w:ascii="Arial" w:hAnsi="Arial"/>
          <w:w w:val="105"/>
          <w:sz w:val="19"/>
        </w:rPr>
        <w:t>evidence</w:t>
      </w:r>
      <w:r>
        <w:rPr>
          <w:rFonts w:ascii="Arial" w:hAnsi="Arial"/>
          <w:spacing w:val="-15"/>
          <w:w w:val="105"/>
          <w:sz w:val="19"/>
        </w:rPr>
        <w:t xml:space="preserve"> </w:t>
      </w:r>
      <w:r>
        <w:rPr>
          <w:rFonts w:ascii="Arial" w:hAnsi="Arial"/>
          <w:w w:val="105"/>
          <w:sz w:val="19"/>
        </w:rPr>
        <w:t xml:space="preserve">together </w:t>
      </w:r>
      <w:r>
        <w:rPr>
          <w:rFonts w:ascii="Arial" w:hAnsi="Arial"/>
          <w:spacing w:val="1"/>
          <w:w w:val="98"/>
          <w:sz w:val="19"/>
        </w:rPr>
        <w:t>w</w:t>
      </w:r>
      <w:r>
        <w:rPr>
          <w:rFonts w:ascii="Arial" w:hAnsi="Arial"/>
          <w:w w:val="94"/>
          <w:sz w:val="19"/>
        </w:rPr>
        <w:t>a</w:t>
      </w:r>
      <w:r>
        <w:rPr>
          <w:rFonts w:ascii="Arial" w:hAnsi="Arial"/>
          <w:w w:val="93"/>
          <w:sz w:val="19"/>
        </w:rPr>
        <w:t>s</w:t>
      </w:r>
      <w:r>
        <w:rPr>
          <w:rFonts w:ascii="Arial" w:hAnsi="Arial"/>
          <w:spacing w:val="-8"/>
          <w:sz w:val="19"/>
        </w:rPr>
        <w:t xml:space="preserve"> </w:t>
      </w:r>
      <w:r>
        <w:rPr>
          <w:rFonts w:ascii="Arial" w:hAnsi="Arial"/>
          <w:spacing w:val="-2"/>
          <w:w w:val="66"/>
          <w:sz w:val="19"/>
        </w:rPr>
        <w:t>1</w:t>
      </w:r>
      <w:r>
        <w:rPr>
          <w:rFonts w:ascii="Arial" w:hAnsi="Arial"/>
          <w:w w:val="175"/>
          <w:sz w:val="19"/>
        </w:rPr>
        <w:t>/</w:t>
      </w:r>
      <w:r>
        <w:rPr>
          <w:rFonts w:ascii="Arial" w:hAnsi="Arial"/>
          <w:w w:val="109"/>
          <w:sz w:val="19"/>
        </w:rPr>
        <w:t>2</w:t>
      </w:r>
      <w:r>
        <w:rPr>
          <w:rFonts w:ascii="Arial" w:hAnsi="Arial"/>
          <w:spacing w:val="-9"/>
          <w:sz w:val="19"/>
        </w:rPr>
        <w:t xml:space="preserve"> </w:t>
      </w:r>
      <w:r>
        <w:rPr>
          <w:rFonts w:ascii="Arial" w:hAnsi="Arial"/>
          <w:spacing w:val="-1"/>
          <w:sz w:val="19"/>
        </w:rPr>
        <w:t>d</w:t>
      </w:r>
      <w:r>
        <w:rPr>
          <w:rFonts w:ascii="Arial" w:hAnsi="Arial"/>
          <w:w w:val="94"/>
          <w:sz w:val="19"/>
        </w:rPr>
        <w:t>a</w:t>
      </w:r>
      <w:r>
        <w:rPr>
          <w:rFonts w:ascii="Arial" w:hAnsi="Arial"/>
          <w:w w:val="105"/>
          <w:sz w:val="19"/>
        </w:rPr>
        <w:t>y</w:t>
      </w:r>
      <w:r>
        <w:rPr>
          <w:rFonts w:ascii="Arial" w:hAnsi="Arial"/>
          <w:spacing w:val="-8"/>
          <w:sz w:val="19"/>
        </w:rPr>
        <w:t xml:space="preserve"> </w:t>
      </w:r>
      <w:r>
        <w:rPr>
          <w:rFonts w:ascii="Arial" w:hAnsi="Arial"/>
          <w:w w:val="107"/>
          <w:sz w:val="19"/>
        </w:rPr>
        <w:t>(</w:t>
      </w:r>
      <w:r>
        <w:rPr>
          <w:rFonts w:ascii="Arial" w:hAnsi="Arial"/>
          <w:spacing w:val="-2"/>
          <w:w w:val="107"/>
          <w:sz w:val="19"/>
        </w:rPr>
        <w:t>2</w:t>
      </w:r>
      <w:r>
        <w:rPr>
          <w:rFonts w:ascii="Arial" w:hAnsi="Arial"/>
          <w:w w:val="113"/>
          <w:sz w:val="19"/>
        </w:rPr>
        <w:t>40</w:t>
      </w:r>
      <w:r>
        <w:rPr>
          <w:rFonts w:ascii="Arial" w:hAnsi="Arial"/>
          <w:spacing w:val="-7"/>
          <w:sz w:val="19"/>
        </w:rPr>
        <w:t xml:space="preserve"> </w:t>
      </w:r>
      <w:r>
        <w:rPr>
          <w:rFonts w:ascii="Arial" w:hAnsi="Arial"/>
          <w:w w:val="102"/>
          <w:sz w:val="19"/>
        </w:rPr>
        <w:t>mi</w:t>
      </w:r>
      <w:r>
        <w:rPr>
          <w:rFonts w:ascii="Arial" w:hAnsi="Arial"/>
          <w:spacing w:val="-1"/>
          <w:w w:val="102"/>
          <w:sz w:val="19"/>
        </w:rPr>
        <w:t>n</w:t>
      </w:r>
      <w:r>
        <w:rPr>
          <w:rFonts w:ascii="Arial" w:hAnsi="Arial"/>
          <w:spacing w:val="1"/>
          <w:w w:val="101"/>
          <w:sz w:val="19"/>
        </w:rPr>
        <w:t>u</w:t>
      </w:r>
      <w:r>
        <w:rPr>
          <w:rFonts w:ascii="Arial" w:hAnsi="Arial"/>
          <w:spacing w:val="-2"/>
          <w:w w:val="134"/>
          <w:sz w:val="19"/>
        </w:rPr>
        <w:t>t</w:t>
      </w:r>
      <w:r>
        <w:rPr>
          <w:rFonts w:ascii="Arial" w:hAnsi="Arial"/>
          <w:w w:val="96"/>
          <w:sz w:val="19"/>
        </w:rPr>
        <w:t>e</w:t>
      </w:r>
      <w:r>
        <w:rPr>
          <w:rFonts w:ascii="Arial" w:hAnsi="Arial"/>
          <w:w w:val="97"/>
          <w:sz w:val="19"/>
        </w:rPr>
        <w:t>s)</w:t>
      </w:r>
      <w:r>
        <w:rPr>
          <w:rFonts w:ascii="Arial" w:hAnsi="Arial"/>
          <w:spacing w:val="-8"/>
          <w:sz w:val="19"/>
        </w:rPr>
        <w:t xml:space="preserve"> </w:t>
      </w:r>
      <w:r>
        <w:rPr>
          <w:rFonts w:ascii="Arial" w:hAnsi="Arial"/>
          <w:spacing w:val="-2"/>
          <w:w w:val="101"/>
          <w:sz w:val="19"/>
        </w:rPr>
        <w:t>p</w:t>
      </w:r>
      <w:r>
        <w:rPr>
          <w:rFonts w:ascii="Arial" w:hAnsi="Arial"/>
          <w:w w:val="96"/>
          <w:sz w:val="19"/>
        </w:rPr>
        <w:t>e</w:t>
      </w:r>
      <w:r>
        <w:rPr>
          <w:rFonts w:ascii="Arial" w:hAnsi="Arial"/>
          <w:w w:val="116"/>
          <w:sz w:val="19"/>
        </w:rPr>
        <w:t>r</w:t>
      </w:r>
      <w:r>
        <w:rPr>
          <w:rFonts w:ascii="Arial" w:hAnsi="Arial"/>
          <w:spacing w:val="-7"/>
          <w:sz w:val="19"/>
        </w:rPr>
        <w:t xml:space="preserve"> </w:t>
      </w:r>
      <w:r>
        <w:rPr>
          <w:rFonts w:ascii="Arial" w:hAnsi="Arial"/>
          <w:sz w:val="19"/>
        </w:rPr>
        <w:t>mo</w:t>
      </w:r>
      <w:r>
        <w:rPr>
          <w:rFonts w:ascii="Arial" w:hAnsi="Arial"/>
          <w:spacing w:val="-1"/>
          <w:sz w:val="19"/>
        </w:rPr>
        <w:t>n</w:t>
      </w:r>
      <w:r>
        <w:rPr>
          <w:rFonts w:ascii="Arial" w:hAnsi="Arial"/>
          <w:w w:val="134"/>
          <w:sz w:val="19"/>
        </w:rPr>
        <w:t>t</w:t>
      </w:r>
      <w:r>
        <w:rPr>
          <w:rFonts w:ascii="Arial" w:hAnsi="Arial"/>
          <w:w w:val="101"/>
          <w:sz w:val="19"/>
        </w:rPr>
        <w:t>h</w:t>
      </w:r>
      <w:r>
        <w:rPr>
          <w:rFonts w:ascii="Arial" w:hAnsi="Arial"/>
          <w:spacing w:val="-7"/>
          <w:sz w:val="19"/>
        </w:rPr>
        <w:t xml:space="preserve"> </w:t>
      </w:r>
      <w:r>
        <w:rPr>
          <w:rFonts w:ascii="Arial" w:hAnsi="Arial"/>
          <w:w w:val="110"/>
          <w:sz w:val="19"/>
        </w:rPr>
        <w:t>(</w:t>
      </w:r>
      <w:r>
        <w:rPr>
          <w:rFonts w:ascii="Arial" w:hAnsi="Arial"/>
          <w:spacing w:val="-1"/>
          <w:w w:val="110"/>
          <w:sz w:val="19"/>
        </w:rPr>
        <w:t>f</w:t>
      </w:r>
      <w:r>
        <w:rPr>
          <w:rFonts w:ascii="Arial" w:hAnsi="Arial"/>
          <w:w w:val="106"/>
          <w:sz w:val="19"/>
        </w:rPr>
        <w:t>or</w:t>
      </w:r>
      <w:r>
        <w:rPr>
          <w:rFonts w:ascii="Arial" w:hAnsi="Arial"/>
          <w:spacing w:val="-10"/>
          <w:sz w:val="19"/>
        </w:rPr>
        <w:t xml:space="preserve"> </w:t>
      </w:r>
      <w:r>
        <w:rPr>
          <w:rFonts w:ascii="Arial" w:hAnsi="Arial"/>
          <w:w w:val="94"/>
          <w:sz w:val="19"/>
        </w:rPr>
        <w:t>a</w:t>
      </w:r>
      <w:r>
        <w:rPr>
          <w:rFonts w:ascii="Arial" w:hAnsi="Arial"/>
          <w:w w:val="101"/>
          <w:sz w:val="19"/>
        </w:rPr>
        <w:t>n</w:t>
      </w:r>
      <w:r>
        <w:rPr>
          <w:rFonts w:ascii="Arial" w:hAnsi="Arial"/>
          <w:spacing w:val="-9"/>
          <w:sz w:val="19"/>
        </w:rPr>
        <w:t xml:space="preserve"> </w:t>
      </w:r>
      <w:r>
        <w:rPr>
          <w:rFonts w:ascii="Arial" w:hAnsi="Arial"/>
          <w:w w:val="94"/>
          <w:sz w:val="19"/>
        </w:rPr>
        <w:t>a</w:t>
      </w:r>
      <w:r>
        <w:rPr>
          <w:rFonts w:ascii="Arial" w:hAnsi="Arial"/>
          <w:spacing w:val="-2"/>
          <w:w w:val="102"/>
          <w:sz w:val="19"/>
        </w:rPr>
        <w:t>v</w:t>
      </w:r>
      <w:r>
        <w:rPr>
          <w:rFonts w:ascii="Arial" w:hAnsi="Arial"/>
          <w:w w:val="96"/>
          <w:sz w:val="19"/>
        </w:rPr>
        <w:t>e</w:t>
      </w:r>
      <w:r>
        <w:rPr>
          <w:rFonts w:ascii="Arial" w:hAnsi="Arial"/>
          <w:w w:val="116"/>
          <w:sz w:val="19"/>
        </w:rPr>
        <w:t>r</w:t>
      </w:r>
      <w:r>
        <w:rPr>
          <w:rFonts w:ascii="Arial" w:hAnsi="Arial"/>
          <w:spacing w:val="2"/>
          <w:w w:val="94"/>
          <w:sz w:val="19"/>
        </w:rPr>
        <w:t>a</w:t>
      </w:r>
      <w:r>
        <w:rPr>
          <w:rFonts w:ascii="Arial" w:hAnsi="Arial"/>
          <w:spacing w:val="1"/>
          <w:w w:val="101"/>
          <w:sz w:val="19"/>
        </w:rPr>
        <w:t>g</w:t>
      </w:r>
      <w:r>
        <w:rPr>
          <w:rFonts w:ascii="Arial" w:hAnsi="Arial"/>
          <w:w w:val="96"/>
          <w:sz w:val="19"/>
        </w:rPr>
        <w:t>e</w:t>
      </w:r>
      <w:r>
        <w:rPr>
          <w:rFonts w:ascii="Arial" w:hAnsi="Arial"/>
          <w:spacing w:val="-9"/>
          <w:sz w:val="19"/>
        </w:rPr>
        <w:t xml:space="preserve"> </w:t>
      </w:r>
      <w:r>
        <w:rPr>
          <w:rFonts w:ascii="Arial" w:hAnsi="Arial"/>
          <w:w w:val="106"/>
          <w:sz w:val="19"/>
        </w:rPr>
        <w:t>of</w:t>
      </w:r>
      <w:r>
        <w:rPr>
          <w:rFonts w:ascii="Arial" w:hAnsi="Arial"/>
          <w:spacing w:val="-9"/>
          <w:sz w:val="19"/>
        </w:rPr>
        <w:t xml:space="preserve"> </w:t>
      </w:r>
      <w:r>
        <w:rPr>
          <w:rFonts w:ascii="Arial" w:hAnsi="Arial"/>
          <w:w w:val="107"/>
          <w:sz w:val="19"/>
        </w:rPr>
        <w:t>9</w:t>
      </w:r>
      <w:r>
        <w:rPr>
          <w:rFonts w:ascii="Arial" w:hAnsi="Arial"/>
          <w:spacing w:val="-8"/>
          <w:sz w:val="19"/>
        </w:rPr>
        <w:t xml:space="preserve"> </w:t>
      </w:r>
      <w:r>
        <w:rPr>
          <w:rFonts w:ascii="Arial" w:hAnsi="Arial"/>
          <w:sz w:val="19"/>
        </w:rPr>
        <w:t>mo</w:t>
      </w:r>
      <w:r>
        <w:rPr>
          <w:rFonts w:ascii="Arial" w:hAnsi="Arial"/>
          <w:spacing w:val="1"/>
          <w:sz w:val="19"/>
        </w:rPr>
        <w:t>n</w:t>
      </w:r>
      <w:r>
        <w:rPr>
          <w:rFonts w:ascii="Arial" w:hAnsi="Arial"/>
          <w:w w:val="134"/>
          <w:sz w:val="19"/>
        </w:rPr>
        <w:t>t</w:t>
      </w:r>
      <w:r>
        <w:rPr>
          <w:rFonts w:ascii="Arial" w:hAnsi="Arial"/>
          <w:spacing w:val="1"/>
          <w:w w:val="101"/>
          <w:sz w:val="19"/>
        </w:rPr>
        <w:t>h</w:t>
      </w:r>
      <w:r>
        <w:rPr>
          <w:rFonts w:ascii="Arial" w:hAnsi="Arial"/>
          <w:w w:val="97"/>
          <w:sz w:val="19"/>
        </w:rPr>
        <w:t>s)</w:t>
      </w:r>
      <w:r>
        <w:rPr>
          <w:rFonts w:ascii="Arial" w:hAnsi="Arial"/>
          <w:spacing w:val="-7"/>
          <w:sz w:val="19"/>
        </w:rPr>
        <w:t xml:space="preserve"> </w:t>
      </w:r>
      <w:r>
        <w:rPr>
          <w:rFonts w:ascii="Arial" w:hAnsi="Arial"/>
          <w:w w:val="91"/>
          <w:sz w:val="19"/>
        </w:rPr>
        <w:t>–</w:t>
      </w:r>
      <w:r>
        <w:rPr>
          <w:rFonts w:ascii="Arial" w:hAnsi="Arial"/>
          <w:spacing w:val="-11"/>
          <w:sz w:val="19"/>
        </w:rPr>
        <w:t xml:space="preserve"> </w:t>
      </w:r>
      <w:r>
        <w:rPr>
          <w:rFonts w:ascii="Arial" w:hAnsi="Arial"/>
          <w:w w:val="134"/>
          <w:sz w:val="19"/>
        </w:rPr>
        <w:t>t</w:t>
      </w:r>
      <w:r>
        <w:rPr>
          <w:rFonts w:ascii="Arial" w:hAnsi="Arial"/>
          <w:spacing w:val="-2"/>
          <w:w w:val="101"/>
          <w:sz w:val="19"/>
        </w:rPr>
        <w:t>h</w:t>
      </w:r>
      <w:r>
        <w:rPr>
          <w:rFonts w:ascii="Arial" w:hAnsi="Arial"/>
          <w:w w:val="96"/>
          <w:sz w:val="19"/>
        </w:rPr>
        <w:t>e</w:t>
      </w:r>
      <w:r>
        <w:rPr>
          <w:rFonts w:ascii="Arial" w:hAnsi="Arial"/>
          <w:w w:val="116"/>
          <w:sz w:val="19"/>
        </w:rPr>
        <w:t>r</w:t>
      </w:r>
      <w:r>
        <w:rPr>
          <w:rFonts w:ascii="Arial" w:hAnsi="Arial"/>
          <w:w w:val="96"/>
          <w:sz w:val="19"/>
        </w:rPr>
        <w:t>e</w:t>
      </w:r>
      <w:r>
        <w:rPr>
          <w:rFonts w:ascii="Arial" w:hAnsi="Arial"/>
          <w:spacing w:val="-1"/>
          <w:w w:val="119"/>
          <w:sz w:val="19"/>
        </w:rPr>
        <w:t>f</w:t>
      </w:r>
      <w:r>
        <w:rPr>
          <w:rFonts w:ascii="Arial" w:hAnsi="Arial"/>
          <w:w w:val="102"/>
          <w:sz w:val="19"/>
        </w:rPr>
        <w:t>ore</w:t>
      </w:r>
      <w:r>
        <w:rPr>
          <w:rFonts w:ascii="Arial" w:hAnsi="Arial"/>
          <w:spacing w:val="-9"/>
          <w:sz w:val="19"/>
        </w:rPr>
        <w:t xml:space="preserve"> </w:t>
      </w:r>
      <w:r>
        <w:rPr>
          <w:rFonts w:ascii="Arial" w:hAnsi="Arial"/>
          <w:spacing w:val="-1"/>
          <w:w w:val="109"/>
          <w:sz w:val="19"/>
        </w:rPr>
        <w:t>2</w:t>
      </w:r>
      <w:r>
        <w:rPr>
          <w:rFonts w:ascii="Arial" w:hAnsi="Arial"/>
          <w:spacing w:val="1"/>
          <w:w w:val="66"/>
          <w:sz w:val="19"/>
        </w:rPr>
        <w:t>1</w:t>
      </w:r>
      <w:r>
        <w:rPr>
          <w:rFonts w:ascii="Arial" w:hAnsi="Arial"/>
          <w:w w:val="110"/>
          <w:sz w:val="19"/>
        </w:rPr>
        <w:t>60</w:t>
      </w:r>
      <w:r>
        <w:rPr>
          <w:rFonts w:ascii="Arial" w:hAnsi="Arial"/>
          <w:spacing w:val="-9"/>
          <w:sz w:val="19"/>
        </w:rPr>
        <w:t xml:space="preserve"> </w:t>
      </w:r>
      <w:r>
        <w:rPr>
          <w:rFonts w:ascii="Arial" w:hAnsi="Arial"/>
          <w:w w:val="102"/>
          <w:sz w:val="19"/>
        </w:rPr>
        <w:t>mi</w:t>
      </w:r>
      <w:r>
        <w:rPr>
          <w:rFonts w:ascii="Arial" w:hAnsi="Arial"/>
          <w:spacing w:val="1"/>
          <w:w w:val="102"/>
          <w:sz w:val="19"/>
        </w:rPr>
        <w:t>n</w:t>
      </w:r>
      <w:r>
        <w:rPr>
          <w:rFonts w:ascii="Arial" w:hAnsi="Arial"/>
          <w:spacing w:val="1"/>
          <w:w w:val="101"/>
          <w:sz w:val="19"/>
        </w:rPr>
        <w:t>u</w:t>
      </w:r>
      <w:r>
        <w:rPr>
          <w:rFonts w:ascii="Arial" w:hAnsi="Arial"/>
          <w:spacing w:val="-2"/>
          <w:w w:val="134"/>
          <w:sz w:val="19"/>
        </w:rPr>
        <w:t>t</w:t>
      </w:r>
      <w:r>
        <w:rPr>
          <w:rFonts w:ascii="Arial" w:hAnsi="Arial"/>
          <w:w w:val="96"/>
          <w:sz w:val="19"/>
        </w:rPr>
        <w:t>e</w:t>
      </w:r>
      <w:r>
        <w:rPr>
          <w:rFonts w:ascii="Arial" w:hAnsi="Arial"/>
          <w:w w:val="93"/>
          <w:sz w:val="19"/>
        </w:rPr>
        <w:t>s</w:t>
      </w:r>
      <w:r>
        <w:rPr>
          <w:rFonts w:ascii="Arial" w:hAnsi="Arial"/>
          <w:spacing w:val="-8"/>
          <w:sz w:val="19"/>
        </w:rPr>
        <w:t xml:space="preserve"> </w:t>
      </w:r>
      <w:r>
        <w:rPr>
          <w:rFonts w:ascii="Arial" w:hAnsi="Arial"/>
          <w:w w:val="117"/>
          <w:sz w:val="19"/>
        </w:rPr>
        <w:t>(t</w:t>
      </w:r>
      <w:r>
        <w:rPr>
          <w:rFonts w:ascii="Arial" w:hAnsi="Arial"/>
          <w:spacing w:val="1"/>
          <w:w w:val="101"/>
          <w:sz w:val="19"/>
        </w:rPr>
        <w:t>h</w:t>
      </w:r>
      <w:r>
        <w:rPr>
          <w:rFonts w:ascii="Arial" w:hAnsi="Arial"/>
          <w:w w:val="99"/>
          <w:sz w:val="19"/>
        </w:rPr>
        <w:t xml:space="preserve">is </w:t>
      </w:r>
      <w:r>
        <w:rPr>
          <w:rFonts w:ascii="Arial" w:hAnsi="Arial"/>
          <w:w w:val="105"/>
          <w:sz w:val="19"/>
        </w:rPr>
        <w:t>includes time taken to engage with a regulatory affairs consultant arising from any requests for information from the</w:t>
      </w:r>
      <w:r>
        <w:rPr>
          <w:rFonts w:ascii="Arial" w:hAnsi="Arial"/>
          <w:spacing w:val="-33"/>
          <w:w w:val="105"/>
          <w:sz w:val="19"/>
        </w:rPr>
        <w:t xml:space="preserve"> </w:t>
      </w:r>
      <w:r>
        <w:rPr>
          <w:rFonts w:ascii="Arial" w:hAnsi="Arial"/>
          <w:w w:val="105"/>
          <w:sz w:val="19"/>
        </w:rPr>
        <w:t>TGA).</w:t>
      </w:r>
    </w:p>
    <w:p w:rsidR="007D76BB" w:rsidRDefault="007D76BB">
      <w:pPr>
        <w:pStyle w:val="BodyText"/>
        <w:spacing w:before="8"/>
        <w:rPr>
          <w:rFonts w:ascii="Arial"/>
          <w:sz w:val="24"/>
        </w:rPr>
      </w:pPr>
    </w:p>
    <w:p w:rsidR="007D76BB" w:rsidRDefault="00D70D28">
      <w:pPr>
        <w:ind w:left="482"/>
        <w:rPr>
          <w:rFonts w:ascii="Lucida Sans"/>
          <w:b/>
          <w:sz w:val="20"/>
        </w:rPr>
      </w:pPr>
      <w:r>
        <w:rPr>
          <w:rFonts w:ascii="Lucida Sans"/>
          <w:b/>
          <w:sz w:val="20"/>
        </w:rPr>
        <w:t>Regulatory costing</w:t>
      </w:r>
    </w:p>
    <w:p w:rsidR="007D76BB" w:rsidRDefault="00D70D28">
      <w:pPr>
        <w:spacing w:before="196"/>
        <w:ind w:left="482"/>
        <w:rPr>
          <w:rFonts w:ascii="Arial"/>
          <w:i/>
          <w:sz w:val="20"/>
        </w:rPr>
      </w:pPr>
      <w:r>
        <w:rPr>
          <w:rFonts w:ascii="Arial"/>
          <w:i/>
          <w:sz w:val="20"/>
        </w:rPr>
        <w:t>Key assumptions</w:t>
      </w:r>
    </w:p>
    <w:p w:rsidR="007D76BB" w:rsidRDefault="00D70D28">
      <w:pPr>
        <w:pStyle w:val="ListParagraph"/>
        <w:numPr>
          <w:ilvl w:val="1"/>
          <w:numId w:val="5"/>
        </w:numPr>
        <w:tabs>
          <w:tab w:val="left" w:pos="766"/>
        </w:tabs>
        <w:spacing w:before="97" w:line="266" w:lineRule="auto"/>
        <w:ind w:right="1164"/>
        <w:rPr>
          <w:rFonts w:ascii="Arial" w:hAnsi="Arial"/>
          <w:sz w:val="19"/>
        </w:rPr>
      </w:pPr>
      <w:r>
        <w:rPr>
          <w:rFonts w:ascii="Arial" w:hAnsi="Arial"/>
          <w:w w:val="105"/>
          <w:sz w:val="19"/>
        </w:rPr>
        <w:t>Applications</w:t>
      </w:r>
      <w:r>
        <w:rPr>
          <w:rFonts w:ascii="Arial" w:hAnsi="Arial"/>
          <w:spacing w:val="-22"/>
          <w:w w:val="105"/>
          <w:sz w:val="19"/>
        </w:rPr>
        <w:t xml:space="preserve"> </w:t>
      </w:r>
      <w:r>
        <w:rPr>
          <w:rFonts w:ascii="Arial" w:hAnsi="Arial"/>
          <w:w w:val="105"/>
          <w:sz w:val="19"/>
        </w:rPr>
        <w:t>are</w:t>
      </w:r>
      <w:r>
        <w:rPr>
          <w:rFonts w:ascii="Arial" w:hAnsi="Arial"/>
          <w:spacing w:val="-19"/>
          <w:w w:val="105"/>
          <w:sz w:val="19"/>
        </w:rPr>
        <w:t xml:space="preserve"> </w:t>
      </w:r>
      <w:r>
        <w:rPr>
          <w:rFonts w:ascii="Arial" w:hAnsi="Arial"/>
          <w:w w:val="105"/>
          <w:sz w:val="19"/>
        </w:rPr>
        <w:t>likely</w:t>
      </w:r>
      <w:r>
        <w:rPr>
          <w:rFonts w:ascii="Arial" w:hAnsi="Arial"/>
          <w:spacing w:val="-22"/>
          <w:w w:val="105"/>
          <w:sz w:val="19"/>
        </w:rPr>
        <w:t xml:space="preserve"> </w:t>
      </w:r>
      <w:r>
        <w:rPr>
          <w:rFonts w:ascii="Arial" w:hAnsi="Arial"/>
          <w:w w:val="105"/>
          <w:sz w:val="19"/>
        </w:rPr>
        <w:t>to</w:t>
      </w:r>
      <w:r>
        <w:rPr>
          <w:rFonts w:ascii="Arial" w:hAnsi="Arial"/>
          <w:spacing w:val="-20"/>
          <w:w w:val="105"/>
          <w:sz w:val="19"/>
        </w:rPr>
        <w:t xml:space="preserve"> </w:t>
      </w:r>
      <w:r>
        <w:rPr>
          <w:rFonts w:ascii="Arial" w:hAnsi="Arial"/>
          <w:w w:val="105"/>
          <w:sz w:val="19"/>
        </w:rPr>
        <w:t>be</w:t>
      </w:r>
      <w:r>
        <w:rPr>
          <w:rFonts w:ascii="Arial" w:hAnsi="Arial"/>
          <w:spacing w:val="-21"/>
          <w:w w:val="105"/>
          <w:sz w:val="19"/>
        </w:rPr>
        <w:t xml:space="preserve"> </w:t>
      </w:r>
      <w:r>
        <w:rPr>
          <w:rFonts w:ascii="Arial" w:hAnsi="Arial"/>
          <w:w w:val="105"/>
          <w:sz w:val="19"/>
        </w:rPr>
        <w:t>under</w:t>
      </w:r>
      <w:r>
        <w:rPr>
          <w:rFonts w:ascii="Arial" w:hAnsi="Arial"/>
          <w:spacing w:val="-22"/>
          <w:w w:val="105"/>
          <w:sz w:val="19"/>
        </w:rPr>
        <w:t xml:space="preserve"> </w:t>
      </w:r>
      <w:r>
        <w:rPr>
          <w:rFonts w:ascii="Arial" w:hAnsi="Arial"/>
          <w:w w:val="105"/>
          <w:sz w:val="19"/>
        </w:rPr>
        <w:t>the</w:t>
      </w:r>
      <w:r>
        <w:rPr>
          <w:rFonts w:ascii="Arial" w:hAnsi="Arial"/>
          <w:spacing w:val="-19"/>
          <w:w w:val="105"/>
          <w:sz w:val="19"/>
        </w:rPr>
        <w:t xml:space="preserve"> </w:t>
      </w:r>
      <w:r>
        <w:rPr>
          <w:rFonts w:ascii="Arial" w:hAnsi="Arial"/>
          <w:w w:val="105"/>
          <w:sz w:val="19"/>
        </w:rPr>
        <w:t>IN4</w:t>
      </w:r>
      <w:r>
        <w:rPr>
          <w:rFonts w:ascii="Arial" w:hAnsi="Arial"/>
          <w:spacing w:val="-22"/>
          <w:w w:val="105"/>
          <w:sz w:val="19"/>
        </w:rPr>
        <w:t xml:space="preserve"> </w:t>
      </w:r>
      <w:r>
        <w:rPr>
          <w:rFonts w:ascii="Arial" w:hAnsi="Arial"/>
          <w:w w:val="105"/>
          <w:sz w:val="19"/>
        </w:rPr>
        <w:t>category</w:t>
      </w:r>
      <w:r>
        <w:rPr>
          <w:rFonts w:ascii="Arial" w:hAnsi="Arial"/>
          <w:spacing w:val="-21"/>
          <w:w w:val="105"/>
          <w:sz w:val="19"/>
        </w:rPr>
        <w:t xml:space="preserve"> </w:t>
      </w:r>
      <w:r>
        <w:rPr>
          <w:rFonts w:ascii="Arial" w:hAnsi="Arial"/>
          <w:w w:val="105"/>
          <w:sz w:val="19"/>
        </w:rPr>
        <w:t>(full</w:t>
      </w:r>
      <w:r>
        <w:rPr>
          <w:rFonts w:ascii="Arial" w:hAnsi="Arial"/>
          <w:spacing w:val="-21"/>
          <w:w w:val="105"/>
          <w:sz w:val="19"/>
        </w:rPr>
        <w:t xml:space="preserve"> </w:t>
      </w:r>
      <w:r>
        <w:rPr>
          <w:rFonts w:ascii="Arial" w:hAnsi="Arial"/>
          <w:w w:val="105"/>
          <w:sz w:val="19"/>
        </w:rPr>
        <w:t>independent</w:t>
      </w:r>
      <w:r>
        <w:rPr>
          <w:rFonts w:ascii="Arial" w:hAnsi="Arial"/>
          <w:spacing w:val="-20"/>
          <w:w w:val="105"/>
          <w:sz w:val="19"/>
        </w:rPr>
        <w:t xml:space="preserve"> </w:t>
      </w:r>
      <w:r>
        <w:rPr>
          <w:rFonts w:ascii="Arial" w:hAnsi="Arial"/>
          <w:w w:val="105"/>
          <w:sz w:val="19"/>
        </w:rPr>
        <w:t>evaluation</w:t>
      </w:r>
      <w:r>
        <w:rPr>
          <w:rFonts w:ascii="Arial" w:hAnsi="Arial"/>
          <w:spacing w:val="-21"/>
          <w:w w:val="105"/>
          <w:sz w:val="19"/>
        </w:rPr>
        <w:t xml:space="preserve"> </w:t>
      </w:r>
      <w:r>
        <w:rPr>
          <w:rFonts w:ascii="Arial" w:hAnsi="Arial"/>
          <w:w w:val="105"/>
          <w:sz w:val="19"/>
        </w:rPr>
        <w:t>of</w:t>
      </w:r>
      <w:r>
        <w:rPr>
          <w:rFonts w:ascii="Arial" w:hAnsi="Arial"/>
          <w:spacing w:val="-21"/>
          <w:w w:val="105"/>
          <w:sz w:val="19"/>
        </w:rPr>
        <w:t xml:space="preserve"> </w:t>
      </w:r>
      <w:r>
        <w:rPr>
          <w:rFonts w:ascii="Arial" w:hAnsi="Arial"/>
          <w:w w:val="105"/>
          <w:sz w:val="19"/>
        </w:rPr>
        <w:t>safety</w:t>
      </w:r>
      <w:r>
        <w:rPr>
          <w:rFonts w:ascii="Arial" w:hAnsi="Arial"/>
          <w:spacing w:val="-20"/>
          <w:w w:val="105"/>
          <w:sz w:val="19"/>
        </w:rPr>
        <w:t xml:space="preserve"> </w:t>
      </w:r>
      <w:r>
        <w:rPr>
          <w:rFonts w:ascii="Arial" w:hAnsi="Arial"/>
          <w:w w:val="105"/>
          <w:sz w:val="19"/>
        </w:rPr>
        <w:t>and quality by the TGA) due to it being considered unlikely that there will be pre-evaluated information</w:t>
      </w:r>
      <w:r>
        <w:rPr>
          <w:rFonts w:ascii="Arial" w:hAnsi="Arial"/>
          <w:spacing w:val="-11"/>
          <w:w w:val="105"/>
          <w:sz w:val="19"/>
        </w:rPr>
        <w:t xml:space="preserve"> </w:t>
      </w:r>
      <w:r>
        <w:rPr>
          <w:rFonts w:ascii="Arial" w:hAnsi="Arial"/>
          <w:w w:val="105"/>
          <w:sz w:val="19"/>
        </w:rPr>
        <w:t>from</w:t>
      </w:r>
      <w:r>
        <w:rPr>
          <w:rFonts w:ascii="Arial" w:hAnsi="Arial"/>
          <w:spacing w:val="-14"/>
          <w:w w:val="105"/>
          <w:sz w:val="19"/>
        </w:rPr>
        <w:t xml:space="preserve"> </w:t>
      </w:r>
      <w:r>
        <w:rPr>
          <w:rFonts w:ascii="Arial" w:hAnsi="Arial"/>
          <w:w w:val="105"/>
          <w:sz w:val="19"/>
        </w:rPr>
        <w:t>an</w:t>
      </w:r>
      <w:r>
        <w:rPr>
          <w:rFonts w:ascii="Arial" w:hAnsi="Arial"/>
          <w:spacing w:val="-13"/>
          <w:w w:val="105"/>
          <w:sz w:val="19"/>
        </w:rPr>
        <w:t xml:space="preserve"> </w:t>
      </w:r>
      <w:r>
        <w:rPr>
          <w:rFonts w:ascii="Arial" w:hAnsi="Arial"/>
          <w:w w:val="105"/>
          <w:sz w:val="19"/>
        </w:rPr>
        <w:t>acceptable</w:t>
      </w:r>
      <w:r>
        <w:rPr>
          <w:rFonts w:ascii="Arial" w:hAnsi="Arial"/>
          <w:spacing w:val="-10"/>
          <w:w w:val="105"/>
          <w:sz w:val="19"/>
        </w:rPr>
        <w:t xml:space="preserve"> </w:t>
      </w:r>
      <w:r>
        <w:rPr>
          <w:rFonts w:ascii="Arial" w:hAnsi="Arial"/>
          <w:w w:val="105"/>
          <w:sz w:val="19"/>
        </w:rPr>
        <w:t>COR.</w:t>
      </w:r>
    </w:p>
    <w:p w:rsidR="007D76BB" w:rsidRDefault="00D70D28">
      <w:pPr>
        <w:pStyle w:val="ListParagraph"/>
        <w:numPr>
          <w:ilvl w:val="1"/>
          <w:numId w:val="5"/>
        </w:numPr>
        <w:tabs>
          <w:tab w:val="left" w:pos="766"/>
        </w:tabs>
        <w:spacing w:before="74" w:line="266" w:lineRule="auto"/>
        <w:ind w:right="1023"/>
        <w:rPr>
          <w:rFonts w:ascii="Arial" w:hAnsi="Arial"/>
          <w:sz w:val="19"/>
        </w:rPr>
      </w:pPr>
      <w:r>
        <w:rPr>
          <w:rFonts w:ascii="Arial" w:hAnsi="Arial"/>
          <w:w w:val="105"/>
          <w:sz w:val="19"/>
        </w:rPr>
        <w:t>Once</w:t>
      </w:r>
      <w:r>
        <w:rPr>
          <w:rFonts w:ascii="Arial" w:hAnsi="Arial"/>
          <w:spacing w:val="-25"/>
          <w:w w:val="105"/>
          <w:sz w:val="19"/>
        </w:rPr>
        <w:t xml:space="preserve"> </w:t>
      </w:r>
      <w:r>
        <w:rPr>
          <w:rFonts w:ascii="Arial" w:hAnsi="Arial"/>
          <w:w w:val="105"/>
          <w:sz w:val="19"/>
        </w:rPr>
        <w:t>the</w:t>
      </w:r>
      <w:r>
        <w:rPr>
          <w:rFonts w:ascii="Arial" w:hAnsi="Arial"/>
          <w:spacing w:val="-25"/>
          <w:w w:val="105"/>
          <w:sz w:val="19"/>
        </w:rPr>
        <w:t xml:space="preserve"> </w:t>
      </w:r>
      <w:r>
        <w:rPr>
          <w:rFonts w:ascii="Arial" w:hAnsi="Arial"/>
          <w:w w:val="105"/>
          <w:sz w:val="19"/>
        </w:rPr>
        <w:t>current</w:t>
      </w:r>
      <w:r>
        <w:rPr>
          <w:rFonts w:ascii="Arial" w:hAnsi="Arial"/>
          <w:spacing w:val="-25"/>
          <w:w w:val="105"/>
          <w:sz w:val="19"/>
        </w:rPr>
        <w:t xml:space="preserve"> </w:t>
      </w:r>
      <w:r>
        <w:rPr>
          <w:rFonts w:ascii="Arial" w:hAnsi="Arial"/>
          <w:w w:val="105"/>
          <w:sz w:val="19"/>
        </w:rPr>
        <w:t>population</w:t>
      </w:r>
      <w:r>
        <w:rPr>
          <w:rFonts w:ascii="Arial" w:hAnsi="Arial"/>
          <w:spacing w:val="-27"/>
          <w:w w:val="105"/>
          <w:sz w:val="19"/>
        </w:rPr>
        <w:t xml:space="preserve"> </w:t>
      </w:r>
      <w:r>
        <w:rPr>
          <w:rFonts w:ascii="Arial" w:hAnsi="Arial"/>
          <w:w w:val="105"/>
          <w:sz w:val="19"/>
        </w:rPr>
        <w:t>of</w:t>
      </w:r>
      <w:r>
        <w:rPr>
          <w:rFonts w:ascii="Arial" w:hAnsi="Arial"/>
          <w:spacing w:val="-25"/>
          <w:w w:val="105"/>
          <w:sz w:val="19"/>
        </w:rPr>
        <w:t xml:space="preserve"> </w:t>
      </w:r>
      <w:r>
        <w:rPr>
          <w:rFonts w:ascii="Arial" w:hAnsi="Arial"/>
          <w:w w:val="105"/>
          <w:sz w:val="19"/>
        </w:rPr>
        <w:t>in-scope</w:t>
      </w:r>
      <w:r>
        <w:rPr>
          <w:rFonts w:ascii="Arial" w:hAnsi="Arial"/>
          <w:spacing w:val="-25"/>
          <w:w w:val="105"/>
          <w:sz w:val="19"/>
        </w:rPr>
        <w:t xml:space="preserve"> </w:t>
      </w:r>
      <w:r>
        <w:rPr>
          <w:rFonts w:ascii="Arial" w:hAnsi="Arial"/>
          <w:w w:val="105"/>
          <w:sz w:val="19"/>
        </w:rPr>
        <w:t>sports</w:t>
      </w:r>
      <w:r>
        <w:rPr>
          <w:rFonts w:ascii="Arial" w:hAnsi="Arial"/>
          <w:spacing w:val="-25"/>
          <w:w w:val="105"/>
          <w:sz w:val="19"/>
        </w:rPr>
        <w:t xml:space="preserve"> </w:t>
      </w:r>
      <w:r>
        <w:rPr>
          <w:rFonts w:ascii="Arial" w:hAnsi="Arial"/>
          <w:w w:val="105"/>
          <w:sz w:val="19"/>
        </w:rPr>
        <w:t>supplement</w:t>
      </w:r>
      <w:r>
        <w:rPr>
          <w:rFonts w:ascii="Arial" w:hAnsi="Arial"/>
          <w:spacing w:val="-25"/>
          <w:w w:val="105"/>
          <w:sz w:val="19"/>
        </w:rPr>
        <w:t xml:space="preserve"> </w:t>
      </w:r>
      <w:r>
        <w:rPr>
          <w:rFonts w:ascii="Arial" w:hAnsi="Arial"/>
          <w:w w:val="105"/>
          <w:sz w:val="19"/>
        </w:rPr>
        <w:t>products</w:t>
      </w:r>
      <w:r>
        <w:rPr>
          <w:rFonts w:ascii="Arial" w:hAnsi="Arial"/>
          <w:spacing w:val="-25"/>
          <w:w w:val="105"/>
          <w:sz w:val="19"/>
        </w:rPr>
        <w:t xml:space="preserve"> </w:t>
      </w:r>
      <w:r>
        <w:rPr>
          <w:rFonts w:ascii="Arial" w:hAnsi="Arial"/>
          <w:w w:val="105"/>
          <w:sz w:val="19"/>
        </w:rPr>
        <w:t>transitions</w:t>
      </w:r>
      <w:r>
        <w:rPr>
          <w:rFonts w:ascii="Arial" w:hAnsi="Arial"/>
          <w:spacing w:val="-26"/>
          <w:w w:val="105"/>
          <w:sz w:val="19"/>
        </w:rPr>
        <w:t xml:space="preserve"> </w:t>
      </w:r>
      <w:r>
        <w:rPr>
          <w:rFonts w:ascii="Arial" w:hAnsi="Arial"/>
          <w:w w:val="105"/>
          <w:sz w:val="19"/>
        </w:rPr>
        <w:t>onto</w:t>
      </w:r>
      <w:r>
        <w:rPr>
          <w:rFonts w:ascii="Arial" w:hAnsi="Arial"/>
          <w:spacing w:val="-23"/>
          <w:w w:val="105"/>
          <w:sz w:val="19"/>
        </w:rPr>
        <w:t xml:space="preserve"> </w:t>
      </w:r>
      <w:r>
        <w:rPr>
          <w:rFonts w:ascii="Arial" w:hAnsi="Arial"/>
          <w:w w:val="105"/>
          <w:sz w:val="19"/>
        </w:rPr>
        <w:t>the</w:t>
      </w:r>
      <w:r>
        <w:rPr>
          <w:rFonts w:ascii="Arial" w:hAnsi="Arial"/>
          <w:spacing w:val="-25"/>
          <w:w w:val="105"/>
          <w:sz w:val="19"/>
        </w:rPr>
        <w:t xml:space="preserve"> </w:t>
      </w:r>
      <w:r>
        <w:rPr>
          <w:rFonts w:ascii="Arial" w:hAnsi="Arial"/>
          <w:w w:val="105"/>
          <w:sz w:val="19"/>
        </w:rPr>
        <w:t>ARTG (or</w:t>
      </w:r>
      <w:r>
        <w:rPr>
          <w:rFonts w:ascii="Arial" w:hAnsi="Arial"/>
          <w:spacing w:val="-23"/>
          <w:w w:val="105"/>
          <w:sz w:val="19"/>
        </w:rPr>
        <w:t xml:space="preserve"> </w:t>
      </w:r>
      <w:r>
        <w:rPr>
          <w:rFonts w:ascii="Arial" w:hAnsi="Arial"/>
          <w:w w:val="105"/>
          <w:sz w:val="19"/>
        </w:rPr>
        <w:t>conversely</w:t>
      </w:r>
      <w:r>
        <w:rPr>
          <w:rFonts w:ascii="Arial" w:hAnsi="Arial"/>
          <w:spacing w:val="-23"/>
          <w:w w:val="105"/>
          <w:sz w:val="19"/>
        </w:rPr>
        <w:t xml:space="preserve"> </w:t>
      </w:r>
      <w:r>
        <w:rPr>
          <w:rFonts w:ascii="Arial" w:hAnsi="Arial"/>
          <w:w w:val="105"/>
          <w:sz w:val="19"/>
        </w:rPr>
        <w:t>is</w:t>
      </w:r>
      <w:r>
        <w:rPr>
          <w:rFonts w:ascii="Arial" w:hAnsi="Arial"/>
          <w:spacing w:val="-25"/>
          <w:w w:val="105"/>
          <w:sz w:val="19"/>
        </w:rPr>
        <w:t xml:space="preserve"> </w:t>
      </w:r>
      <w:r>
        <w:rPr>
          <w:rFonts w:ascii="Arial" w:hAnsi="Arial"/>
          <w:w w:val="105"/>
          <w:sz w:val="19"/>
        </w:rPr>
        <w:t>withdrawn</w:t>
      </w:r>
      <w:r>
        <w:rPr>
          <w:rFonts w:ascii="Arial" w:hAnsi="Arial"/>
          <w:spacing w:val="-23"/>
          <w:w w:val="105"/>
          <w:sz w:val="19"/>
        </w:rPr>
        <w:t xml:space="preserve"> </w:t>
      </w:r>
      <w:r>
        <w:rPr>
          <w:rFonts w:ascii="Arial" w:hAnsi="Arial"/>
          <w:w w:val="105"/>
          <w:sz w:val="19"/>
        </w:rPr>
        <w:t>from</w:t>
      </w:r>
      <w:r>
        <w:rPr>
          <w:rFonts w:ascii="Arial" w:hAnsi="Arial"/>
          <w:spacing w:val="-23"/>
          <w:w w:val="105"/>
          <w:sz w:val="19"/>
        </w:rPr>
        <w:t xml:space="preserve"> </w:t>
      </w:r>
      <w:r>
        <w:rPr>
          <w:rFonts w:ascii="Arial" w:hAnsi="Arial"/>
          <w:w w:val="105"/>
          <w:sz w:val="19"/>
        </w:rPr>
        <w:t>sale</w:t>
      </w:r>
      <w:r>
        <w:rPr>
          <w:rFonts w:ascii="Arial" w:hAnsi="Arial"/>
          <w:spacing w:val="-24"/>
          <w:w w:val="105"/>
          <w:sz w:val="19"/>
        </w:rPr>
        <w:t xml:space="preserve"> </w:t>
      </w:r>
      <w:r>
        <w:rPr>
          <w:rFonts w:ascii="Arial" w:hAnsi="Arial"/>
          <w:w w:val="105"/>
          <w:sz w:val="19"/>
        </w:rPr>
        <w:t>or</w:t>
      </w:r>
      <w:r>
        <w:rPr>
          <w:rFonts w:ascii="Arial" w:hAnsi="Arial"/>
          <w:spacing w:val="-22"/>
          <w:w w:val="105"/>
          <w:sz w:val="19"/>
        </w:rPr>
        <w:t xml:space="preserve"> </w:t>
      </w:r>
      <w:r>
        <w:rPr>
          <w:rFonts w:ascii="Arial" w:hAnsi="Arial"/>
          <w:w w:val="105"/>
          <w:sz w:val="19"/>
        </w:rPr>
        <w:t>reformulated),</w:t>
      </w:r>
      <w:r>
        <w:rPr>
          <w:rFonts w:ascii="Arial" w:hAnsi="Arial"/>
          <w:spacing w:val="-24"/>
          <w:w w:val="105"/>
          <w:sz w:val="19"/>
        </w:rPr>
        <w:t xml:space="preserve"> </w:t>
      </w:r>
      <w:r>
        <w:rPr>
          <w:rFonts w:ascii="Arial" w:hAnsi="Arial"/>
          <w:w w:val="105"/>
          <w:sz w:val="19"/>
        </w:rPr>
        <w:t>the</w:t>
      </w:r>
      <w:r>
        <w:rPr>
          <w:rFonts w:ascii="Arial" w:hAnsi="Arial"/>
          <w:spacing w:val="-22"/>
          <w:w w:val="105"/>
          <w:sz w:val="19"/>
        </w:rPr>
        <w:t xml:space="preserve"> </w:t>
      </w:r>
      <w:r>
        <w:rPr>
          <w:rFonts w:ascii="Arial" w:hAnsi="Arial"/>
          <w:w w:val="105"/>
          <w:sz w:val="19"/>
        </w:rPr>
        <w:t>relationship</w:t>
      </w:r>
      <w:r>
        <w:rPr>
          <w:rFonts w:ascii="Arial" w:hAnsi="Arial"/>
          <w:spacing w:val="-22"/>
          <w:w w:val="105"/>
          <w:sz w:val="19"/>
        </w:rPr>
        <w:t xml:space="preserve"> </w:t>
      </w:r>
      <w:r>
        <w:rPr>
          <w:rFonts w:ascii="Arial" w:hAnsi="Arial"/>
          <w:w w:val="105"/>
          <w:sz w:val="19"/>
        </w:rPr>
        <w:t>between</w:t>
      </w:r>
      <w:r>
        <w:rPr>
          <w:rFonts w:ascii="Arial" w:hAnsi="Arial"/>
          <w:spacing w:val="-24"/>
          <w:w w:val="105"/>
          <w:sz w:val="19"/>
        </w:rPr>
        <w:t xml:space="preserve"> </w:t>
      </w:r>
      <w:r>
        <w:rPr>
          <w:rFonts w:ascii="Arial" w:hAnsi="Arial"/>
          <w:w w:val="105"/>
          <w:sz w:val="19"/>
        </w:rPr>
        <w:t>new</w:t>
      </w:r>
      <w:r>
        <w:rPr>
          <w:rFonts w:ascii="Arial" w:hAnsi="Arial"/>
          <w:spacing w:val="-23"/>
          <w:w w:val="105"/>
          <w:sz w:val="19"/>
        </w:rPr>
        <w:t xml:space="preserve"> </w:t>
      </w:r>
      <w:r>
        <w:rPr>
          <w:rFonts w:ascii="Arial" w:hAnsi="Arial"/>
          <w:w w:val="105"/>
          <w:sz w:val="19"/>
        </w:rPr>
        <w:t>products listed and new ingredients will be consistent with the historical average for complementary medicines.</w:t>
      </w:r>
    </w:p>
    <w:p w:rsidR="007D76BB" w:rsidRDefault="00D70D28">
      <w:pPr>
        <w:pStyle w:val="ListParagraph"/>
        <w:numPr>
          <w:ilvl w:val="1"/>
          <w:numId w:val="5"/>
        </w:numPr>
        <w:tabs>
          <w:tab w:val="left" w:pos="766"/>
        </w:tabs>
        <w:spacing w:before="71" w:line="268" w:lineRule="auto"/>
        <w:ind w:right="890"/>
        <w:rPr>
          <w:rFonts w:ascii="Arial" w:hAnsi="Arial"/>
          <w:sz w:val="19"/>
        </w:rPr>
      </w:pPr>
      <w:r>
        <w:rPr>
          <w:rFonts w:ascii="Arial" w:hAnsi="Arial"/>
          <w:w w:val="105"/>
          <w:sz w:val="19"/>
        </w:rPr>
        <w:t>Given</w:t>
      </w:r>
      <w:r>
        <w:rPr>
          <w:rFonts w:ascii="Arial" w:hAnsi="Arial"/>
          <w:spacing w:val="-27"/>
          <w:w w:val="105"/>
          <w:sz w:val="19"/>
        </w:rPr>
        <w:t xml:space="preserve"> </w:t>
      </w:r>
      <w:r>
        <w:rPr>
          <w:rFonts w:ascii="Arial" w:hAnsi="Arial"/>
          <w:w w:val="105"/>
          <w:sz w:val="19"/>
        </w:rPr>
        <w:t>the</w:t>
      </w:r>
      <w:r>
        <w:rPr>
          <w:rFonts w:ascii="Arial" w:hAnsi="Arial"/>
          <w:spacing w:val="-27"/>
          <w:w w:val="105"/>
          <w:sz w:val="19"/>
        </w:rPr>
        <w:t xml:space="preserve"> </w:t>
      </w:r>
      <w:r>
        <w:rPr>
          <w:rFonts w:ascii="Arial" w:hAnsi="Arial"/>
          <w:w w:val="105"/>
          <w:sz w:val="19"/>
        </w:rPr>
        <w:t>complexity</w:t>
      </w:r>
      <w:r>
        <w:rPr>
          <w:rFonts w:ascii="Arial" w:hAnsi="Arial"/>
          <w:spacing w:val="-28"/>
          <w:w w:val="105"/>
          <w:sz w:val="19"/>
        </w:rPr>
        <w:t xml:space="preserve"> </w:t>
      </w:r>
      <w:r>
        <w:rPr>
          <w:rFonts w:ascii="Arial" w:hAnsi="Arial"/>
          <w:w w:val="105"/>
          <w:sz w:val="19"/>
        </w:rPr>
        <w:t>of</w:t>
      </w:r>
      <w:r>
        <w:rPr>
          <w:rFonts w:ascii="Arial" w:hAnsi="Arial"/>
          <w:spacing w:val="-28"/>
          <w:w w:val="105"/>
          <w:sz w:val="19"/>
        </w:rPr>
        <w:t xml:space="preserve"> </w:t>
      </w:r>
      <w:r>
        <w:rPr>
          <w:rFonts w:ascii="Arial" w:hAnsi="Arial"/>
          <w:w w:val="105"/>
          <w:sz w:val="19"/>
        </w:rPr>
        <w:t>the</w:t>
      </w:r>
      <w:r>
        <w:rPr>
          <w:rFonts w:ascii="Arial" w:hAnsi="Arial"/>
          <w:spacing w:val="-27"/>
          <w:w w:val="105"/>
          <w:sz w:val="19"/>
        </w:rPr>
        <w:t xml:space="preserve"> </w:t>
      </w:r>
      <w:r>
        <w:rPr>
          <w:rFonts w:ascii="Arial" w:hAnsi="Arial"/>
          <w:w w:val="105"/>
          <w:sz w:val="19"/>
        </w:rPr>
        <w:t>submission</w:t>
      </w:r>
      <w:r>
        <w:rPr>
          <w:rFonts w:ascii="Arial" w:hAnsi="Arial"/>
          <w:spacing w:val="-27"/>
          <w:w w:val="105"/>
          <w:sz w:val="19"/>
        </w:rPr>
        <w:t xml:space="preserve"> </w:t>
      </w:r>
      <w:r>
        <w:rPr>
          <w:rFonts w:ascii="Arial" w:hAnsi="Arial"/>
          <w:w w:val="105"/>
          <w:sz w:val="19"/>
        </w:rPr>
        <w:t>process</w:t>
      </w:r>
      <w:r>
        <w:rPr>
          <w:rFonts w:ascii="Arial" w:hAnsi="Arial"/>
          <w:spacing w:val="-28"/>
          <w:w w:val="105"/>
          <w:sz w:val="19"/>
        </w:rPr>
        <w:t xml:space="preserve"> </w:t>
      </w:r>
      <w:r>
        <w:rPr>
          <w:rFonts w:ascii="Arial" w:hAnsi="Arial"/>
          <w:w w:val="105"/>
          <w:sz w:val="19"/>
        </w:rPr>
        <w:t>and</w:t>
      </w:r>
      <w:r>
        <w:rPr>
          <w:rFonts w:ascii="Arial" w:hAnsi="Arial"/>
          <w:spacing w:val="-27"/>
          <w:w w:val="105"/>
          <w:sz w:val="19"/>
        </w:rPr>
        <w:t xml:space="preserve"> </w:t>
      </w:r>
      <w:r>
        <w:rPr>
          <w:rFonts w:ascii="Arial" w:hAnsi="Arial"/>
          <w:w w:val="105"/>
          <w:sz w:val="19"/>
        </w:rPr>
        <w:t>evidentiary</w:t>
      </w:r>
      <w:r>
        <w:rPr>
          <w:rFonts w:ascii="Arial" w:hAnsi="Arial"/>
          <w:spacing w:val="-27"/>
          <w:w w:val="105"/>
          <w:sz w:val="19"/>
        </w:rPr>
        <w:t xml:space="preserve"> </w:t>
      </w:r>
      <w:r>
        <w:rPr>
          <w:rFonts w:ascii="Arial" w:hAnsi="Arial"/>
          <w:w w:val="105"/>
          <w:sz w:val="19"/>
        </w:rPr>
        <w:t>requirements,</w:t>
      </w:r>
      <w:r>
        <w:rPr>
          <w:rFonts w:ascii="Arial" w:hAnsi="Arial"/>
          <w:spacing w:val="-28"/>
          <w:w w:val="105"/>
          <w:sz w:val="19"/>
        </w:rPr>
        <w:t xml:space="preserve"> </w:t>
      </w:r>
      <w:r>
        <w:rPr>
          <w:rFonts w:ascii="Arial" w:hAnsi="Arial"/>
          <w:w w:val="105"/>
          <w:sz w:val="19"/>
        </w:rPr>
        <w:t>the</w:t>
      </w:r>
      <w:r>
        <w:rPr>
          <w:rFonts w:ascii="Arial" w:hAnsi="Arial"/>
          <w:spacing w:val="-28"/>
          <w:w w:val="105"/>
          <w:sz w:val="19"/>
        </w:rPr>
        <w:t xml:space="preserve"> </w:t>
      </w:r>
      <w:r>
        <w:rPr>
          <w:rFonts w:ascii="Arial" w:hAnsi="Arial"/>
          <w:w w:val="105"/>
          <w:sz w:val="19"/>
        </w:rPr>
        <w:t>preparation</w:t>
      </w:r>
      <w:r>
        <w:rPr>
          <w:rFonts w:ascii="Arial" w:hAnsi="Arial"/>
          <w:spacing w:val="-27"/>
          <w:w w:val="105"/>
          <w:sz w:val="19"/>
        </w:rPr>
        <w:t xml:space="preserve"> </w:t>
      </w:r>
      <w:r>
        <w:rPr>
          <w:rFonts w:ascii="Arial" w:hAnsi="Arial"/>
          <w:w w:val="105"/>
          <w:sz w:val="19"/>
        </w:rPr>
        <w:t>of the</w:t>
      </w:r>
      <w:r>
        <w:rPr>
          <w:rFonts w:ascii="Arial" w:hAnsi="Arial"/>
          <w:spacing w:val="-14"/>
          <w:w w:val="105"/>
          <w:sz w:val="19"/>
        </w:rPr>
        <w:t xml:space="preserve"> </w:t>
      </w:r>
      <w:r>
        <w:rPr>
          <w:rFonts w:ascii="Arial" w:hAnsi="Arial"/>
          <w:w w:val="105"/>
          <w:sz w:val="19"/>
        </w:rPr>
        <w:t>submission</w:t>
      </w:r>
      <w:r>
        <w:rPr>
          <w:rFonts w:ascii="Arial" w:hAnsi="Arial"/>
          <w:spacing w:val="-11"/>
          <w:w w:val="105"/>
          <w:sz w:val="19"/>
        </w:rPr>
        <w:t xml:space="preserve"> </w:t>
      </w:r>
      <w:r>
        <w:rPr>
          <w:rFonts w:ascii="Arial" w:hAnsi="Arial"/>
          <w:w w:val="105"/>
          <w:sz w:val="19"/>
        </w:rPr>
        <w:t>will</w:t>
      </w:r>
      <w:r>
        <w:rPr>
          <w:rFonts w:ascii="Arial" w:hAnsi="Arial"/>
          <w:spacing w:val="-14"/>
          <w:w w:val="105"/>
          <w:sz w:val="19"/>
        </w:rPr>
        <w:t xml:space="preserve"> </w:t>
      </w:r>
      <w:r>
        <w:rPr>
          <w:rFonts w:ascii="Arial" w:hAnsi="Arial"/>
          <w:w w:val="105"/>
          <w:sz w:val="19"/>
        </w:rPr>
        <w:t>be</w:t>
      </w:r>
      <w:r>
        <w:rPr>
          <w:rFonts w:ascii="Arial" w:hAnsi="Arial"/>
          <w:spacing w:val="-11"/>
          <w:w w:val="105"/>
          <w:sz w:val="19"/>
        </w:rPr>
        <w:t xml:space="preserve"> </w:t>
      </w:r>
      <w:r>
        <w:rPr>
          <w:rFonts w:ascii="Arial" w:hAnsi="Arial"/>
          <w:w w:val="105"/>
          <w:sz w:val="19"/>
        </w:rPr>
        <w:t>outsourced</w:t>
      </w:r>
      <w:r>
        <w:rPr>
          <w:rFonts w:ascii="Arial" w:hAnsi="Arial"/>
          <w:spacing w:val="-15"/>
          <w:w w:val="105"/>
          <w:sz w:val="19"/>
        </w:rPr>
        <w:t xml:space="preserve"> </w:t>
      </w:r>
      <w:r>
        <w:rPr>
          <w:rFonts w:ascii="Arial" w:hAnsi="Arial"/>
          <w:w w:val="105"/>
          <w:sz w:val="19"/>
        </w:rPr>
        <w:t>to</w:t>
      </w:r>
      <w:r>
        <w:rPr>
          <w:rFonts w:ascii="Arial" w:hAnsi="Arial"/>
          <w:spacing w:val="-13"/>
          <w:w w:val="105"/>
          <w:sz w:val="19"/>
        </w:rPr>
        <w:t xml:space="preserve"> </w:t>
      </w:r>
      <w:r>
        <w:rPr>
          <w:rFonts w:ascii="Arial" w:hAnsi="Arial"/>
          <w:w w:val="105"/>
          <w:sz w:val="19"/>
        </w:rPr>
        <w:t>a</w:t>
      </w:r>
      <w:r>
        <w:rPr>
          <w:rFonts w:ascii="Arial" w:hAnsi="Arial"/>
          <w:spacing w:val="-13"/>
          <w:w w:val="105"/>
          <w:sz w:val="19"/>
        </w:rPr>
        <w:t xml:space="preserve"> </w:t>
      </w:r>
      <w:r>
        <w:rPr>
          <w:rFonts w:ascii="Arial" w:hAnsi="Arial"/>
          <w:w w:val="105"/>
          <w:sz w:val="19"/>
        </w:rPr>
        <w:t>regulatory</w:t>
      </w:r>
      <w:r>
        <w:rPr>
          <w:rFonts w:ascii="Arial" w:hAnsi="Arial"/>
          <w:spacing w:val="-10"/>
          <w:w w:val="105"/>
          <w:sz w:val="19"/>
        </w:rPr>
        <w:t xml:space="preserve"> </w:t>
      </w:r>
      <w:r>
        <w:rPr>
          <w:rFonts w:ascii="Arial" w:hAnsi="Arial"/>
          <w:w w:val="105"/>
          <w:sz w:val="19"/>
        </w:rPr>
        <w:t>affairs</w:t>
      </w:r>
      <w:r>
        <w:rPr>
          <w:rFonts w:ascii="Arial" w:hAnsi="Arial"/>
          <w:spacing w:val="-14"/>
          <w:w w:val="105"/>
          <w:sz w:val="19"/>
        </w:rPr>
        <w:t xml:space="preserve"> </w:t>
      </w:r>
      <w:r>
        <w:rPr>
          <w:rFonts w:ascii="Arial" w:hAnsi="Arial"/>
          <w:w w:val="105"/>
          <w:sz w:val="19"/>
        </w:rPr>
        <w:t>consultant.</w:t>
      </w:r>
    </w:p>
    <w:p w:rsidR="007D76BB" w:rsidRDefault="00D70D28">
      <w:pPr>
        <w:spacing w:before="65"/>
        <w:ind w:left="482"/>
        <w:rPr>
          <w:rFonts w:ascii="Arial"/>
          <w:i/>
          <w:sz w:val="20"/>
        </w:rPr>
      </w:pPr>
      <w:r>
        <w:rPr>
          <w:rFonts w:ascii="Arial"/>
          <w:i/>
          <w:sz w:val="20"/>
        </w:rPr>
        <w:t>Inputs</w:t>
      </w:r>
    </w:p>
    <w:p w:rsidR="007D76BB" w:rsidRDefault="00D70D28">
      <w:pPr>
        <w:pStyle w:val="ListParagraph"/>
        <w:numPr>
          <w:ilvl w:val="1"/>
          <w:numId w:val="5"/>
        </w:numPr>
        <w:tabs>
          <w:tab w:val="left" w:pos="766"/>
        </w:tabs>
        <w:spacing w:before="92"/>
        <w:rPr>
          <w:rFonts w:ascii="Arial" w:hAnsi="Arial"/>
          <w:sz w:val="19"/>
        </w:rPr>
      </w:pPr>
      <w:r>
        <w:rPr>
          <w:rFonts w:ascii="Arial" w:hAnsi="Arial"/>
          <w:w w:val="105"/>
          <w:sz w:val="19"/>
        </w:rPr>
        <w:t>Number</w:t>
      </w:r>
      <w:r>
        <w:rPr>
          <w:rFonts w:ascii="Arial" w:hAnsi="Arial"/>
          <w:spacing w:val="-12"/>
          <w:w w:val="105"/>
          <w:sz w:val="19"/>
        </w:rPr>
        <w:t xml:space="preserve"> </w:t>
      </w:r>
      <w:r>
        <w:rPr>
          <w:rFonts w:ascii="Arial" w:hAnsi="Arial"/>
          <w:w w:val="105"/>
          <w:sz w:val="19"/>
        </w:rPr>
        <w:t>of</w:t>
      </w:r>
      <w:r>
        <w:rPr>
          <w:rFonts w:ascii="Arial" w:hAnsi="Arial"/>
          <w:spacing w:val="-14"/>
          <w:w w:val="105"/>
          <w:sz w:val="19"/>
        </w:rPr>
        <w:t xml:space="preserve"> </w:t>
      </w:r>
      <w:r>
        <w:rPr>
          <w:rFonts w:ascii="Arial" w:hAnsi="Arial"/>
          <w:w w:val="105"/>
          <w:sz w:val="19"/>
        </w:rPr>
        <w:t>new</w:t>
      </w:r>
      <w:r>
        <w:rPr>
          <w:rFonts w:ascii="Arial" w:hAnsi="Arial"/>
          <w:spacing w:val="-12"/>
          <w:w w:val="105"/>
          <w:sz w:val="19"/>
        </w:rPr>
        <w:t xml:space="preserve"> </w:t>
      </w:r>
      <w:r>
        <w:rPr>
          <w:rFonts w:ascii="Arial" w:hAnsi="Arial"/>
          <w:w w:val="105"/>
          <w:sz w:val="19"/>
        </w:rPr>
        <w:t>ingredient</w:t>
      </w:r>
      <w:r>
        <w:rPr>
          <w:rFonts w:ascii="Arial" w:hAnsi="Arial"/>
          <w:spacing w:val="-14"/>
          <w:w w:val="105"/>
          <w:sz w:val="19"/>
        </w:rPr>
        <w:t xml:space="preserve"> </w:t>
      </w:r>
      <w:r>
        <w:rPr>
          <w:rFonts w:ascii="Arial" w:hAnsi="Arial"/>
          <w:w w:val="105"/>
          <w:sz w:val="19"/>
        </w:rPr>
        <w:t>applications</w:t>
      </w:r>
      <w:r>
        <w:rPr>
          <w:rFonts w:ascii="Arial" w:hAnsi="Arial"/>
          <w:spacing w:val="-13"/>
          <w:w w:val="105"/>
          <w:sz w:val="19"/>
        </w:rPr>
        <w:t xml:space="preserve"> </w:t>
      </w:r>
      <w:r>
        <w:rPr>
          <w:rFonts w:ascii="Arial" w:hAnsi="Arial"/>
          <w:w w:val="105"/>
          <w:sz w:val="19"/>
        </w:rPr>
        <w:t>(</w:t>
      </w:r>
      <w:r>
        <w:rPr>
          <w:rFonts w:ascii="Arial" w:hAnsi="Arial"/>
          <w:i/>
          <w:w w:val="105"/>
          <w:sz w:val="20"/>
        </w:rPr>
        <w:t>current</w:t>
      </w:r>
      <w:r>
        <w:rPr>
          <w:rFonts w:ascii="Arial" w:hAnsi="Arial"/>
          <w:i/>
          <w:spacing w:val="-15"/>
          <w:w w:val="105"/>
          <w:sz w:val="20"/>
        </w:rPr>
        <w:t xml:space="preserve"> </w:t>
      </w:r>
      <w:r>
        <w:rPr>
          <w:rFonts w:ascii="Arial" w:hAnsi="Arial"/>
          <w:i/>
          <w:w w:val="105"/>
          <w:sz w:val="20"/>
        </w:rPr>
        <w:t>population</w:t>
      </w:r>
      <w:r>
        <w:rPr>
          <w:rFonts w:ascii="Arial" w:hAnsi="Arial"/>
          <w:w w:val="105"/>
          <w:sz w:val="19"/>
        </w:rPr>
        <w:t>)</w:t>
      </w:r>
      <w:r>
        <w:rPr>
          <w:rFonts w:ascii="Arial" w:hAnsi="Arial"/>
          <w:spacing w:val="-13"/>
          <w:w w:val="105"/>
          <w:sz w:val="19"/>
        </w:rPr>
        <w:t xml:space="preserve"> </w:t>
      </w:r>
      <w:r>
        <w:rPr>
          <w:rFonts w:ascii="Arial" w:hAnsi="Arial"/>
          <w:w w:val="105"/>
          <w:sz w:val="19"/>
        </w:rPr>
        <w:t>=</w:t>
      </w:r>
      <w:r>
        <w:rPr>
          <w:rFonts w:ascii="Arial" w:hAnsi="Arial"/>
          <w:spacing w:val="-13"/>
          <w:w w:val="105"/>
          <w:sz w:val="19"/>
        </w:rPr>
        <w:t xml:space="preserve"> </w:t>
      </w:r>
      <w:r>
        <w:rPr>
          <w:rFonts w:ascii="Arial" w:hAnsi="Arial"/>
          <w:w w:val="105"/>
          <w:sz w:val="19"/>
        </w:rPr>
        <w:t>15</w:t>
      </w:r>
    </w:p>
    <w:p w:rsidR="007D76BB" w:rsidRDefault="00D70D28">
      <w:pPr>
        <w:pStyle w:val="ListParagraph"/>
        <w:numPr>
          <w:ilvl w:val="1"/>
          <w:numId w:val="5"/>
        </w:numPr>
        <w:tabs>
          <w:tab w:val="left" w:pos="766"/>
        </w:tabs>
        <w:spacing w:before="89"/>
        <w:rPr>
          <w:rFonts w:ascii="Arial" w:hAnsi="Arial"/>
          <w:sz w:val="19"/>
        </w:rPr>
      </w:pPr>
      <w:r>
        <w:rPr>
          <w:rFonts w:ascii="Arial" w:hAnsi="Arial"/>
          <w:w w:val="105"/>
          <w:sz w:val="19"/>
        </w:rPr>
        <w:t>Number</w:t>
      </w:r>
      <w:r>
        <w:rPr>
          <w:rFonts w:ascii="Arial" w:hAnsi="Arial"/>
          <w:spacing w:val="-12"/>
          <w:w w:val="105"/>
          <w:sz w:val="19"/>
        </w:rPr>
        <w:t xml:space="preserve"> </w:t>
      </w:r>
      <w:r>
        <w:rPr>
          <w:rFonts w:ascii="Arial" w:hAnsi="Arial"/>
          <w:w w:val="105"/>
          <w:sz w:val="19"/>
        </w:rPr>
        <w:t>of</w:t>
      </w:r>
      <w:r>
        <w:rPr>
          <w:rFonts w:ascii="Arial" w:hAnsi="Arial"/>
          <w:spacing w:val="-13"/>
          <w:w w:val="105"/>
          <w:sz w:val="19"/>
        </w:rPr>
        <w:t xml:space="preserve"> </w:t>
      </w:r>
      <w:r>
        <w:rPr>
          <w:rFonts w:ascii="Arial" w:hAnsi="Arial"/>
          <w:w w:val="105"/>
          <w:sz w:val="19"/>
        </w:rPr>
        <w:t>new</w:t>
      </w:r>
      <w:r>
        <w:rPr>
          <w:rFonts w:ascii="Arial" w:hAnsi="Arial"/>
          <w:spacing w:val="-11"/>
          <w:w w:val="105"/>
          <w:sz w:val="19"/>
        </w:rPr>
        <w:t xml:space="preserve"> </w:t>
      </w:r>
      <w:r>
        <w:rPr>
          <w:rFonts w:ascii="Arial" w:hAnsi="Arial"/>
          <w:w w:val="105"/>
          <w:sz w:val="19"/>
        </w:rPr>
        <w:t>ingredient</w:t>
      </w:r>
      <w:r>
        <w:rPr>
          <w:rFonts w:ascii="Arial" w:hAnsi="Arial"/>
          <w:spacing w:val="-14"/>
          <w:w w:val="105"/>
          <w:sz w:val="19"/>
        </w:rPr>
        <w:t xml:space="preserve"> </w:t>
      </w:r>
      <w:r>
        <w:rPr>
          <w:rFonts w:ascii="Arial" w:hAnsi="Arial"/>
          <w:w w:val="105"/>
          <w:sz w:val="19"/>
        </w:rPr>
        <w:t>applications</w:t>
      </w:r>
      <w:r>
        <w:rPr>
          <w:rFonts w:ascii="Arial" w:hAnsi="Arial"/>
          <w:spacing w:val="-12"/>
          <w:w w:val="105"/>
          <w:sz w:val="19"/>
        </w:rPr>
        <w:t xml:space="preserve"> </w:t>
      </w:r>
      <w:r>
        <w:rPr>
          <w:rFonts w:ascii="Arial" w:hAnsi="Arial"/>
          <w:w w:val="105"/>
          <w:sz w:val="19"/>
        </w:rPr>
        <w:t>(</w:t>
      </w:r>
      <w:r>
        <w:rPr>
          <w:rFonts w:ascii="Arial" w:hAnsi="Arial"/>
          <w:i/>
          <w:w w:val="105"/>
          <w:sz w:val="20"/>
        </w:rPr>
        <w:t>future</w:t>
      </w:r>
      <w:r>
        <w:rPr>
          <w:rFonts w:ascii="Arial" w:hAnsi="Arial"/>
          <w:i/>
          <w:spacing w:val="-14"/>
          <w:w w:val="105"/>
          <w:sz w:val="20"/>
        </w:rPr>
        <w:t xml:space="preserve"> </w:t>
      </w:r>
      <w:r>
        <w:rPr>
          <w:rFonts w:ascii="Arial" w:hAnsi="Arial"/>
          <w:i/>
          <w:w w:val="105"/>
          <w:sz w:val="20"/>
        </w:rPr>
        <w:t>population</w:t>
      </w:r>
      <w:r>
        <w:rPr>
          <w:rFonts w:ascii="Arial" w:hAnsi="Arial"/>
          <w:w w:val="105"/>
          <w:sz w:val="19"/>
        </w:rPr>
        <w:t>)</w:t>
      </w:r>
      <w:r>
        <w:rPr>
          <w:rFonts w:ascii="Arial" w:hAnsi="Arial"/>
          <w:spacing w:val="-13"/>
          <w:w w:val="105"/>
          <w:sz w:val="19"/>
        </w:rPr>
        <w:t xml:space="preserve"> </w:t>
      </w:r>
      <w:r>
        <w:rPr>
          <w:rFonts w:ascii="Arial" w:hAnsi="Arial"/>
          <w:w w:val="105"/>
          <w:sz w:val="19"/>
        </w:rPr>
        <w:t>=2</w:t>
      </w:r>
    </w:p>
    <w:p w:rsidR="007D76BB" w:rsidRDefault="00D70D28">
      <w:pPr>
        <w:pStyle w:val="ListParagraph"/>
        <w:numPr>
          <w:ilvl w:val="1"/>
          <w:numId w:val="5"/>
        </w:numPr>
        <w:tabs>
          <w:tab w:val="left" w:pos="766"/>
        </w:tabs>
        <w:spacing w:before="102"/>
        <w:rPr>
          <w:rFonts w:ascii="Arial" w:hAnsi="Arial"/>
          <w:sz w:val="19"/>
        </w:rPr>
      </w:pPr>
      <w:r>
        <w:rPr>
          <w:rFonts w:ascii="Arial" w:hAnsi="Arial"/>
          <w:w w:val="105"/>
          <w:sz w:val="19"/>
        </w:rPr>
        <w:t>Time</w:t>
      </w:r>
      <w:r>
        <w:rPr>
          <w:rFonts w:ascii="Arial" w:hAnsi="Arial"/>
          <w:spacing w:val="-12"/>
          <w:w w:val="105"/>
          <w:sz w:val="19"/>
        </w:rPr>
        <w:t xml:space="preserve"> </w:t>
      </w:r>
      <w:r>
        <w:rPr>
          <w:rFonts w:ascii="Arial" w:hAnsi="Arial"/>
          <w:w w:val="105"/>
          <w:sz w:val="19"/>
        </w:rPr>
        <w:t>taken</w:t>
      </w:r>
      <w:r>
        <w:rPr>
          <w:rFonts w:ascii="Arial" w:hAnsi="Arial"/>
          <w:spacing w:val="-13"/>
          <w:w w:val="105"/>
          <w:sz w:val="19"/>
        </w:rPr>
        <w:t xml:space="preserve"> </w:t>
      </w:r>
      <w:r>
        <w:rPr>
          <w:rFonts w:ascii="Arial" w:hAnsi="Arial"/>
          <w:w w:val="105"/>
          <w:sz w:val="19"/>
        </w:rPr>
        <w:t>to</w:t>
      </w:r>
      <w:r>
        <w:rPr>
          <w:rFonts w:ascii="Arial" w:hAnsi="Arial"/>
          <w:spacing w:val="-15"/>
          <w:w w:val="105"/>
          <w:sz w:val="19"/>
        </w:rPr>
        <w:t xml:space="preserve"> </w:t>
      </w:r>
      <w:r>
        <w:rPr>
          <w:rFonts w:ascii="Arial" w:hAnsi="Arial"/>
          <w:w w:val="105"/>
          <w:sz w:val="19"/>
        </w:rPr>
        <w:t>engage</w:t>
      </w:r>
      <w:r>
        <w:rPr>
          <w:rFonts w:ascii="Arial" w:hAnsi="Arial"/>
          <w:spacing w:val="-11"/>
          <w:w w:val="105"/>
          <w:sz w:val="19"/>
        </w:rPr>
        <w:t xml:space="preserve"> </w:t>
      </w:r>
      <w:r>
        <w:rPr>
          <w:rFonts w:ascii="Arial" w:hAnsi="Arial"/>
          <w:w w:val="105"/>
          <w:sz w:val="19"/>
        </w:rPr>
        <w:t>with</w:t>
      </w:r>
      <w:r>
        <w:rPr>
          <w:rFonts w:ascii="Arial" w:hAnsi="Arial"/>
          <w:spacing w:val="-12"/>
          <w:w w:val="105"/>
          <w:sz w:val="19"/>
        </w:rPr>
        <w:t xml:space="preserve"> </w:t>
      </w:r>
      <w:r>
        <w:rPr>
          <w:rFonts w:ascii="Arial" w:hAnsi="Arial"/>
          <w:w w:val="105"/>
          <w:sz w:val="19"/>
        </w:rPr>
        <w:t>TGA</w:t>
      </w:r>
      <w:r>
        <w:rPr>
          <w:rFonts w:ascii="Arial" w:hAnsi="Arial"/>
          <w:spacing w:val="-11"/>
          <w:w w:val="105"/>
          <w:sz w:val="19"/>
        </w:rPr>
        <w:t xml:space="preserve"> </w:t>
      </w:r>
      <w:r>
        <w:rPr>
          <w:rFonts w:ascii="Arial" w:hAnsi="Arial"/>
          <w:w w:val="105"/>
          <w:sz w:val="19"/>
        </w:rPr>
        <w:t>for</w:t>
      </w:r>
      <w:r>
        <w:rPr>
          <w:rFonts w:ascii="Arial" w:hAnsi="Arial"/>
          <w:spacing w:val="-12"/>
          <w:w w:val="105"/>
          <w:sz w:val="19"/>
        </w:rPr>
        <w:t xml:space="preserve"> </w:t>
      </w:r>
      <w:r>
        <w:rPr>
          <w:rFonts w:ascii="Arial" w:hAnsi="Arial"/>
          <w:w w:val="105"/>
          <w:sz w:val="19"/>
        </w:rPr>
        <w:t>complete</w:t>
      </w:r>
      <w:r>
        <w:rPr>
          <w:rFonts w:ascii="Arial" w:hAnsi="Arial"/>
          <w:spacing w:val="-13"/>
          <w:w w:val="105"/>
          <w:sz w:val="19"/>
        </w:rPr>
        <w:t xml:space="preserve"> </w:t>
      </w:r>
      <w:r>
        <w:rPr>
          <w:rFonts w:ascii="Arial" w:hAnsi="Arial"/>
          <w:w w:val="105"/>
          <w:sz w:val="19"/>
        </w:rPr>
        <w:t>process</w:t>
      </w:r>
      <w:r>
        <w:rPr>
          <w:rFonts w:ascii="Arial" w:hAnsi="Arial"/>
          <w:spacing w:val="-12"/>
          <w:w w:val="105"/>
          <w:sz w:val="19"/>
        </w:rPr>
        <w:t xml:space="preserve"> </w:t>
      </w:r>
      <w:r>
        <w:rPr>
          <w:rFonts w:ascii="Arial" w:hAnsi="Arial"/>
          <w:w w:val="105"/>
          <w:sz w:val="19"/>
        </w:rPr>
        <w:t>=</w:t>
      </w:r>
      <w:r>
        <w:rPr>
          <w:rFonts w:ascii="Arial" w:hAnsi="Arial"/>
          <w:spacing w:val="-13"/>
          <w:w w:val="105"/>
          <w:sz w:val="19"/>
        </w:rPr>
        <w:t xml:space="preserve"> </w:t>
      </w:r>
      <w:r>
        <w:rPr>
          <w:rFonts w:ascii="Arial" w:hAnsi="Arial"/>
          <w:w w:val="105"/>
          <w:sz w:val="19"/>
        </w:rPr>
        <w:t>960</w:t>
      </w:r>
      <w:r>
        <w:rPr>
          <w:rFonts w:ascii="Arial" w:hAnsi="Arial"/>
          <w:spacing w:val="-11"/>
          <w:w w:val="105"/>
          <w:sz w:val="19"/>
        </w:rPr>
        <w:t xml:space="preserve"> </w:t>
      </w:r>
      <w:r>
        <w:rPr>
          <w:rFonts w:ascii="Arial" w:hAnsi="Arial"/>
          <w:w w:val="105"/>
          <w:sz w:val="19"/>
        </w:rPr>
        <w:t>minutes</w:t>
      </w:r>
    </w:p>
    <w:p w:rsidR="007D76BB" w:rsidRDefault="00D70D28">
      <w:pPr>
        <w:pStyle w:val="ListParagraph"/>
        <w:numPr>
          <w:ilvl w:val="1"/>
          <w:numId w:val="5"/>
        </w:numPr>
        <w:tabs>
          <w:tab w:val="left" w:pos="766"/>
        </w:tabs>
        <w:spacing w:before="98"/>
        <w:rPr>
          <w:rFonts w:ascii="Arial" w:hAnsi="Arial"/>
          <w:sz w:val="19"/>
        </w:rPr>
      </w:pPr>
      <w:r>
        <w:rPr>
          <w:rFonts w:ascii="Arial" w:hAnsi="Arial"/>
          <w:w w:val="105"/>
          <w:sz w:val="19"/>
        </w:rPr>
        <w:lastRenderedPageBreak/>
        <w:t>Approximate</w:t>
      </w:r>
      <w:r>
        <w:rPr>
          <w:rFonts w:ascii="Arial" w:hAnsi="Arial"/>
          <w:spacing w:val="-16"/>
          <w:w w:val="105"/>
          <w:sz w:val="19"/>
        </w:rPr>
        <w:t xml:space="preserve"> </w:t>
      </w:r>
      <w:r>
        <w:rPr>
          <w:rFonts w:ascii="Arial" w:hAnsi="Arial"/>
          <w:w w:val="105"/>
          <w:sz w:val="19"/>
        </w:rPr>
        <w:t>cost</w:t>
      </w:r>
      <w:r>
        <w:rPr>
          <w:rFonts w:ascii="Arial" w:hAnsi="Arial"/>
          <w:spacing w:val="-13"/>
          <w:w w:val="105"/>
          <w:sz w:val="19"/>
        </w:rPr>
        <w:t xml:space="preserve"> </w:t>
      </w:r>
      <w:r>
        <w:rPr>
          <w:rFonts w:ascii="Arial" w:hAnsi="Arial"/>
          <w:w w:val="105"/>
          <w:sz w:val="19"/>
        </w:rPr>
        <w:t>of</w:t>
      </w:r>
      <w:r>
        <w:rPr>
          <w:rFonts w:ascii="Arial" w:hAnsi="Arial"/>
          <w:spacing w:val="-17"/>
          <w:w w:val="105"/>
          <w:sz w:val="19"/>
        </w:rPr>
        <w:t xml:space="preserve"> </w:t>
      </w:r>
      <w:r>
        <w:rPr>
          <w:rFonts w:ascii="Arial" w:hAnsi="Arial"/>
          <w:w w:val="105"/>
          <w:sz w:val="19"/>
        </w:rPr>
        <w:t>a</w:t>
      </w:r>
      <w:r>
        <w:rPr>
          <w:rFonts w:ascii="Arial" w:hAnsi="Arial"/>
          <w:spacing w:val="-13"/>
          <w:w w:val="105"/>
          <w:sz w:val="19"/>
        </w:rPr>
        <w:t xml:space="preserve"> </w:t>
      </w:r>
      <w:r>
        <w:rPr>
          <w:rFonts w:ascii="Arial" w:hAnsi="Arial"/>
          <w:w w:val="105"/>
          <w:sz w:val="19"/>
        </w:rPr>
        <w:t>regulatory</w:t>
      </w:r>
      <w:r>
        <w:rPr>
          <w:rFonts w:ascii="Arial" w:hAnsi="Arial"/>
          <w:spacing w:val="-13"/>
          <w:w w:val="105"/>
          <w:sz w:val="19"/>
        </w:rPr>
        <w:t xml:space="preserve"> </w:t>
      </w:r>
      <w:r>
        <w:rPr>
          <w:rFonts w:ascii="Arial" w:hAnsi="Arial"/>
          <w:w w:val="105"/>
          <w:sz w:val="19"/>
        </w:rPr>
        <w:t>affairs</w:t>
      </w:r>
      <w:r>
        <w:rPr>
          <w:rFonts w:ascii="Arial" w:hAnsi="Arial"/>
          <w:spacing w:val="-16"/>
          <w:w w:val="105"/>
          <w:sz w:val="19"/>
        </w:rPr>
        <w:t xml:space="preserve"> </w:t>
      </w:r>
      <w:r>
        <w:rPr>
          <w:rFonts w:ascii="Arial" w:hAnsi="Arial"/>
          <w:w w:val="105"/>
          <w:sz w:val="19"/>
        </w:rPr>
        <w:t>consultant</w:t>
      </w:r>
      <w:r>
        <w:rPr>
          <w:rFonts w:ascii="Arial" w:hAnsi="Arial"/>
          <w:spacing w:val="-15"/>
          <w:w w:val="105"/>
          <w:sz w:val="19"/>
        </w:rPr>
        <w:t xml:space="preserve"> </w:t>
      </w:r>
      <w:r>
        <w:rPr>
          <w:rFonts w:ascii="Arial" w:hAnsi="Arial"/>
          <w:w w:val="105"/>
          <w:sz w:val="19"/>
        </w:rPr>
        <w:t>to</w:t>
      </w:r>
      <w:r>
        <w:rPr>
          <w:rFonts w:ascii="Arial" w:hAnsi="Arial"/>
          <w:spacing w:val="-14"/>
          <w:w w:val="105"/>
          <w:sz w:val="19"/>
        </w:rPr>
        <w:t xml:space="preserve"> </w:t>
      </w:r>
      <w:r>
        <w:rPr>
          <w:rFonts w:ascii="Arial" w:hAnsi="Arial"/>
          <w:w w:val="105"/>
          <w:sz w:val="19"/>
        </w:rPr>
        <w:t>prepare</w:t>
      </w:r>
      <w:r>
        <w:rPr>
          <w:rFonts w:ascii="Arial" w:hAnsi="Arial"/>
          <w:spacing w:val="-16"/>
          <w:w w:val="105"/>
          <w:sz w:val="19"/>
        </w:rPr>
        <w:t xml:space="preserve"> </w:t>
      </w:r>
      <w:r>
        <w:rPr>
          <w:rFonts w:ascii="Arial" w:hAnsi="Arial"/>
          <w:w w:val="105"/>
          <w:sz w:val="19"/>
        </w:rPr>
        <w:t>an</w:t>
      </w:r>
      <w:r>
        <w:rPr>
          <w:rFonts w:ascii="Arial" w:hAnsi="Arial"/>
          <w:spacing w:val="-15"/>
          <w:w w:val="105"/>
          <w:sz w:val="19"/>
        </w:rPr>
        <w:t xml:space="preserve"> </w:t>
      </w:r>
      <w:r>
        <w:rPr>
          <w:rFonts w:ascii="Arial" w:hAnsi="Arial"/>
          <w:w w:val="105"/>
          <w:sz w:val="19"/>
        </w:rPr>
        <w:t>‘Application</w:t>
      </w:r>
      <w:r>
        <w:rPr>
          <w:rFonts w:ascii="Arial" w:hAnsi="Arial"/>
          <w:spacing w:val="-15"/>
          <w:w w:val="105"/>
          <w:sz w:val="19"/>
        </w:rPr>
        <w:t xml:space="preserve"> </w:t>
      </w:r>
      <w:r>
        <w:rPr>
          <w:rFonts w:ascii="Arial" w:hAnsi="Arial"/>
          <w:w w:val="105"/>
          <w:sz w:val="19"/>
        </w:rPr>
        <w:t>for</w:t>
      </w:r>
      <w:r>
        <w:rPr>
          <w:rFonts w:ascii="Arial" w:hAnsi="Arial"/>
          <w:spacing w:val="-13"/>
          <w:w w:val="105"/>
          <w:sz w:val="19"/>
        </w:rPr>
        <w:t xml:space="preserve"> </w:t>
      </w:r>
      <w:r>
        <w:rPr>
          <w:rFonts w:ascii="Arial" w:hAnsi="Arial"/>
          <w:w w:val="105"/>
          <w:sz w:val="19"/>
        </w:rPr>
        <w:t>evaluation</w:t>
      </w:r>
      <w:r>
        <w:rPr>
          <w:rFonts w:ascii="Arial" w:hAnsi="Arial"/>
          <w:spacing w:val="-10"/>
          <w:w w:val="105"/>
          <w:sz w:val="19"/>
        </w:rPr>
        <w:t xml:space="preserve"> </w:t>
      </w:r>
      <w:r>
        <w:rPr>
          <w:rFonts w:ascii="Arial" w:hAnsi="Arial"/>
          <w:w w:val="105"/>
          <w:sz w:val="19"/>
        </w:rPr>
        <w:t>of</w:t>
      </w:r>
      <w:r>
        <w:rPr>
          <w:rFonts w:ascii="Arial" w:hAnsi="Arial"/>
          <w:spacing w:val="-16"/>
          <w:w w:val="105"/>
          <w:sz w:val="19"/>
        </w:rPr>
        <w:t xml:space="preserve"> </w:t>
      </w:r>
      <w:r>
        <w:rPr>
          <w:rFonts w:ascii="Arial" w:hAnsi="Arial"/>
          <w:w w:val="105"/>
          <w:sz w:val="19"/>
        </w:rPr>
        <w:t>a</w:t>
      </w:r>
    </w:p>
    <w:p w:rsidR="007D76BB" w:rsidRDefault="00D70D28">
      <w:pPr>
        <w:spacing w:before="24"/>
        <w:ind w:left="765"/>
        <w:rPr>
          <w:rFonts w:ascii="Arial" w:hAnsi="Arial"/>
          <w:sz w:val="19"/>
        </w:rPr>
      </w:pPr>
      <w:proofErr w:type="gramStart"/>
      <w:r>
        <w:rPr>
          <w:rFonts w:ascii="Arial" w:hAnsi="Arial"/>
          <w:w w:val="105"/>
          <w:sz w:val="19"/>
        </w:rPr>
        <w:t>substance</w:t>
      </w:r>
      <w:proofErr w:type="gramEnd"/>
      <w:r>
        <w:rPr>
          <w:rFonts w:ascii="Arial" w:hAnsi="Arial"/>
          <w:w w:val="105"/>
          <w:sz w:val="19"/>
        </w:rPr>
        <w:t xml:space="preserve"> for use in listed complementary medicines’ = $300</w:t>
      </w:r>
      <w:r>
        <w:rPr>
          <w:rFonts w:ascii="Arial" w:hAnsi="Arial"/>
          <w:w w:val="105"/>
          <w:position w:val="7"/>
          <w:sz w:val="11"/>
        </w:rPr>
        <w:t xml:space="preserve">80 </w:t>
      </w:r>
      <w:r>
        <w:rPr>
          <w:rFonts w:ascii="Arial" w:hAnsi="Arial"/>
          <w:w w:val="105"/>
          <w:sz w:val="19"/>
        </w:rPr>
        <w:t>per hour x 100 hours =</w:t>
      </w:r>
    </w:p>
    <w:p w:rsidR="007D76BB" w:rsidRDefault="00D70D28">
      <w:pPr>
        <w:spacing w:before="22" w:line="266" w:lineRule="auto"/>
        <w:ind w:left="765" w:right="778"/>
        <w:rPr>
          <w:rFonts w:ascii="Arial"/>
          <w:sz w:val="19"/>
        </w:rPr>
      </w:pPr>
      <w:r>
        <w:rPr>
          <w:rFonts w:ascii="Arial"/>
          <w:w w:val="105"/>
          <w:sz w:val="19"/>
        </w:rPr>
        <w:t>$30</w:t>
      </w:r>
      <w:proofErr w:type="gramStart"/>
      <w:r>
        <w:rPr>
          <w:rFonts w:ascii="Arial"/>
          <w:w w:val="105"/>
          <w:sz w:val="19"/>
        </w:rPr>
        <w:t>,000</w:t>
      </w:r>
      <w:r>
        <w:rPr>
          <w:rFonts w:ascii="Arial"/>
          <w:w w:val="105"/>
          <w:position w:val="7"/>
          <w:sz w:val="11"/>
        </w:rPr>
        <w:t>81</w:t>
      </w:r>
      <w:proofErr w:type="gramEnd"/>
      <w:r>
        <w:rPr>
          <w:rFonts w:ascii="Arial"/>
          <w:spacing w:val="6"/>
          <w:w w:val="105"/>
          <w:position w:val="7"/>
          <w:sz w:val="11"/>
        </w:rPr>
        <w:t xml:space="preserve"> </w:t>
      </w:r>
      <w:r>
        <w:rPr>
          <w:rFonts w:ascii="Arial"/>
          <w:w w:val="105"/>
          <w:sz w:val="19"/>
        </w:rPr>
        <w:t>x</w:t>
      </w:r>
      <w:r>
        <w:rPr>
          <w:rFonts w:ascii="Arial"/>
          <w:spacing w:val="-16"/>
          <w:w w:val="105"/>
          <w:sz w:val="19"/>
        </w:rPr>
        <w:t xml:space="preserve"> </w:t>
      </w:r>
      <w:r>
        <w:rPr>
          <w:rFonts w:ascii="Arial"/>
          <w:w w:val="105"/>
          <w:sz w:val="19"/>
        </w:rPr>
        <w:t>9</w:t>
      </w:r>
      <w:r>
        <w:rPr>
          <w:rFonts w:ascii="Arial"/>
          <w:spacing w:val="-16"/>
          <w:w w:val="105"/>
          <w:sz w:val="19"/>
        </w:rPr>
        <w:t xml:space="preserve"> </w:t>
      </w:r>
      <w:r>
        <w:rPr>
          <w:rFonts w:ascii="Arial"/>
          <w:w w:val="105"/>
          <w:sz w:val="19"/>
        </w:rPr>
        <w:t>applications</w:t>
      </w:r>
      <w:r>
        <w:rPr>
          <w:rFonts w:ascii="Arial"/>
          <w:spacing w:val="-17"/>
          <w:w w:val="105"/>
          <w:sz w:val="19"/>
        </w:rPr>
        <w:t xml:space="preserve"> </w:t>
      </w:r>
      <w:r>
        <w:rPr>
          <w:rFonts w:ascii="Arial"/>
          <w:w w:val="105"/>
          <w:sz w:val="19"/>
        </w:rPr>
        <w:t>(current</w:t>
      </w:r>
      <w:r>
        <w:rPr>
          <w:rFonts w:ascii="Arial"/>
          <w:spacing w:val="-15"/>
          <w:w w:val="105"/>
          <w:sz w:val="19"/>
        </w:rPr>
        <w:t xml:space="preserve"> </w:t>
      </w:r>
      <w:r>
        <w:rPr>
          <w:rFonts w:ascii="Arial"/>
          <w:w w:val="105"/>
          <w:sz w:val="19"/>
        </w:rPr>
        <w:t>population)</w:t>
      </w:r>
      <w:r>
        <w:rPr>
          <w:rFonts w:ascii="Arial"/>
          <w:spacing w:val="-17"/>
          <w:w w:val="105"/>
          <w:sz w:val="19"/>
        </w:rPr>
        <w:t xml:space="preserve"> </w:t>
      </w:r>
      <w:r>
        <w:rPr>
          <w:rFonts w:ascii="Arial"/>
          <w:w w:val="105"/>
          <w:sz w:val="19"/>
        </w:rPr>
        <w:t>=</w:t>
      </w:r>
      <w:r>
        <w:rPr>
          <w:rFonts w:ascii="Arial"/>
          <w:spacing w:val="-18"/>
          <w:w w:val="105"/>
          <w:sz w:val="19"/>
        </w:rPr>
        <w:t xml:space="preserve"> </w:t>
      </w:r>
      <w:r>
        <w:rPr>
          <w:rFonts w:ascii="Arial"/>
          <w:w w:val="105"/>
          <w:sz w:val="19"/>
        </w:rPr>
        <w:t>$270,000</w:t>
      </w:r>
      <w:r>
        <w:rPr>
          <w:rFonts w:ascii="Arial"/>
          <w:spacing w:val="-16"/>
          <w:w w:val="105"/>
          <w:sz w:val="19"/>
        </w:rPr>
        <w:t xml:space="preserve"> </w:t>
      </w:r>
      <w:r>
        <w:rPr>
          <w:rFonts w:ascii="Arial"/>
          <w:w w:val="105"/>
          <w:sz w:val="19"/>
        </w:rPr>
        <w:t>and</w:t>
      </w:r>
      <w:r>
        <w:rPr>
          <w:rFonts w:ascii="Arial"/>
          <w:spacing w:val="-18"/>
          <w:w w:val="105"/>
          <w:sz w:val="19"/>
        </w:rPr>
        <w:t xml:space="preserve"> </w:t>
      </w:r>
      <w:r>
        <w:rPr>
          <w:rFonts w:ascii="Arial"/>
          <w:w w:val="105"/>
          <w:sz w:val="19"/>
        </w:rPr>
        <w:t>for</w:t>
      </w:r>
      <w:r>
        <w:rPr>
          <w:rFonts w:ascii="Arial"/>
          <w:spacing w:val="-15"/>
          <w:w w:val="105"/>
          <w:sz w:val="19"/>
        </w:rPr>
        <w:t xml:space="preserve"> </w:t>
      </w:r>
      <w:r>
        <w:rPr>
          <w:rFonts w:ascii="Arial"/>
          <w:sz w:val="19"/>
        </w:rPr>
        <w:t>1</w:t>
      </w:r>
      <w:r>
        <w:rPr>
          <w:rFonts w:ascii="Arial"/>
          <w:spacing w:val="-15"/>
          <w:sz w:val="19"/>
        </w:rPr>
        <w:t xml:space="preserve"> </w:t>
      </w:r>
      <w:r>
        <w:rPr>
          <w:rFonts w:ascii="Arial"/>
          <w:w w:val="105"/>
          <w:sz w:val="19"/>
        </w:rPr>
        <w:t>application</w:t>
      </w:r>
      <w:r>
        <w:rPr>
          <w:rFonts w:ascii="Arial"/>
          <w:spacing w:val="-16"/>
          <w:w w:val="105"/>
          <w:sz w:val="19"/>
        </w:rPr>
        <w:t xml:space="preserve"> </w:t>
      </w:r>
      <w:r>
        <w:rPr>
          <w:rFonts w:ascii="Arial"/>
          <w:w w:val="105"/>
          <w:sz w:val="19"/>
        </w:rPr>
        <w:t>(future population) =</w:t>
      </w:r>
      <w:r>
        <w:rPr>
          <w:rFonts w:ascii="Arial"/>
          <w:spacing w:val="-23"/>
          <w:w w:val="105"/>
          <w:sz w:val="19"/>
        </w:rPr>
        <w:t xml:space="preserve"> </w:t>
      </w:r>
      <w:r>
        <w:rPr>
          <w:rFonts w:ascii="Arial"/>
          <w:w w:val="105"/>
          <w:sz w:val="19"/>
        </w:rPr>
        <w:t>$30,000</w:t>
      </w:r>
    </w:p>
    <w:p w:rsidR="007D76BB" w:rsidRDefault="00D70D28">
      <w:pPr>
        <w:pStyle w:val="ListParagraph"/>
        <w:numPr>
          <w:ilvl w:val="1"/>
          <w:numId w:val="5"/>
        </w:numPr>
        <w:tabs>
          <w:tab w:val="left" w:pos="766"/>
        </w:tabs>
        <w:spacing w:before="79"/>
        <w:rPr>
          <w:rFonts w:ascii="Arial" w:hAnsi="Arial"/>
          <w:sz w:val="19"/>
        </w:rPr>
      </w:pPr>
      <w:r>
        <w:rPr>
          <w:rFonts w:ascii="Arial" w:hAnsi="Arial"/>
          <w:w w:val="105"/>
          <w:sz w:val="19"/>
        </w:rPr>
        <w:t>Time</w:t>
      </w:r>
      <w:r>
        <w:rPr>
          <w:rFonts w:ascii="Arial" w:hAnsi="Arial"/>
          <w:spacing w:val="-11"/>
          <w:w w:val="105"/>
          <w:sz w:val="19"/>
        </w:rPr>
        <w:t xml:space="preserve"> </w:t>
      </w:r>
      <w:r>
        <w:rPr>
          <w:rFonts w:ascii="Arial" w:hAnsi="Arial"/>
          <w:w w:val="105"/>
          <w:sz w:val="19"/>
        </w:rPr>
        <w:t>taken</w:t>
      </w:r>
      <w:r>
        <w:rPr>
          <w:rFonts w:ascii="Arial" w:hAnsi="Arial"/>
          <w:spacing w:val="-13"/>
          <w:w w:val="105"/>
          <w:sz w:val="19"/>
        </w:rPr>
        <w:t xml:space="preserve"> </w:t>
      </w:r>
      <w:r>
        <w:rPr>
          <w:rFonts w:ascii="Arial" w:hAnsi="Arial"/>
          <w:w w:val="105"/>
          <w:sz w:val="19"/>
        </w:rPr>
        <w:t>to</w:t>
      </w:r>
      <w:r>
        <w:rPr>
          <w:rFonts w:ascii="Arial" w:hAnsi="Arial"/>
          <w:spacing w:val="-15"/>
          <w:w w:val="105"/>
          <w:sz w:val="19"/>
        </w:rPr>
        <w:t xml:space="preserve"> </w:t>
      </w:r>
      <w:r>
        <w:rPr>
          <w:rFonts w:ascii="Arial" w:hAnsi="Arial"/>
          <w:w w:val="105"/>
          <w:sz w:val="19"/>
        </w:rPr>
        <w:t>engage</w:t>
      </w:r>
      <w:r>
        <w:rPr>
          <w:rFonts w:ascii="Arial" w:hAnsi="Arial"/>
          <w:spacing w:val="-11"/>
          <w:w w:val="105"/>
          <w:sz w:val="19"/>
        </w:rPr>
        <w:t xml:space="preserve"> </w:t>
      </w:r>
      <w:r>
        <w:rPr>
          <w:rFonts w:ascii="Arial" w:hAnsi="Arial"/>
          <w:w w:val="105"/>
          <w:sz w:val="19"/>
        </w:rPr>
        <w:t>with</w:t>
      </w:r>
      <w:r>
        <w:rPr>
          <w:rFonts w:ascii="Arial" w:hAnsi="Arial"/>
          <w:spacing w:val="-13"/>
          <w:w w:val="105"/>
          <w:sz w:val="19"/>
        </w:rPr>
        <w:t xml:space="preserve"> </w:t>
      </w:r>
      <w:r>
        <w:rPr>
          <w:rFonts w:ascii="Arial" w:hAnsi="Arial"/>
          <w:w w:val="105"/>
          <w:sz w:val="19"/>
        </w:rPr>
        <w:t>a</w:t>
      </w:r>
      <w:r>
        <w:rPr>
          <w:rFonts w:ascii="Arial" w:hAnsi="Arial"/>
          <w:spacing w:val="-14"/>
          <w:w w:val="105"/>
          <w:sz w:val="19"/>
        </w:rPr>
        <w:t xml:space="preserve"> </w:t>
      </w:r>
      <w:r>
        <w:rPr>
          <w:rFonts w:ascii="Arial" w:hAnsi="Arial"/>
          <w:w w:val="105"/>
          <w:sz w:val="19"/>
        </w:rPr>
        <w:t>regulatory</w:t>
      </w:r>
      <w:r>
        <w:rPr>
          <w:rFonts w:ascii="Arial" w:hAnsi="Arial"/>
          <w:spacing w:val="-12"/>
          <w:w w:val="105"/>
          <w:sz w:val="19"/>
        </w:rPr>
        <w:t xml:space="preserve"> </w:t>
      </w:r>
      <w:r>
        <w:rPr>
          <w:rFonts w:ascii="Arial" w:hAnsi="Arial"/>
          <w:w w:val="105"/>
          <w:sz w:val="19"/>
        </w:rPr>
        <w:t>affairs</w:t>
      </w:r>
      <w:r>
        <w:rPr>
          <w:rFonts w:ascii="Arial" w:hAnsi="Arial"/>
          <w:spacing w:val="-14"/>
          <w:w w:val="105"/>
          <w:sz w:val="19"/>
        </w:rPr>
        <w:t xml:space="preserve"> </w:t>
      </w:r>
      <w:r>
        <w:rPr>
          <w:rFonts w:ascii="Arial" w:hAnsi="Arial"/>
          <w:w w:val="105"/>
          <w:sz w:val="19"/>
        </w:rPr>
        <w:t>consultant</w:t>
      </w:r>
      <w:r>
        <w:rPr>
          <w:rFonts w:ascii="Arial" w:hAnsi="Arial"/>
          <w:spacing w:val="-13"/>
          <w:w w:val="105"/>
          <w:sz w:val="19"/>
        </w:rPr>
        <w:t xml:space="preserve"> </w:t>
      </w:r>
      <w:r>
        <w:rPr>
          <w:rFonts w:ascii="Arial" w:hAnsi="Arial"/>
          <w:w w:val="105"/>
          <w:sz w:val="19"/>
        </w:rPr>
        <w:t>=</w:t>
      </w:r>
      <w:r>
        <w:rPr>
          <w:rFonts w:ascii="Arial" w:hAnsi="Arial"/>
          <w:spacing w:val="-13"/>
          <w:w w:val="105"/>
          <w:sz w:val="19"/>
        </w:rPr>
        <w:t xml:space="preserve"> </w:t>
      </w:r>
      <w:r>
        <w:rPr>
          <w:rFonts w:ascii="Arial" w:hAnsi="Arial"/>
          <w:w w:val="105"/>
          <w:sz w:val="19"/>
        </w:rPr>
        <w:t>2160</w:t>
      </w:r>
      <w:r>
        <w:rPr>
          <w:rFonts w:ascii="Arial" w:hAnsi="Arial"/>
          <w:spacing w:val="-11"/>
          <w:w w:val="105"/>
          <w:sz w:val="19"/>
        </w:rPr>
        <w:t xml:space="preserve"> </w:t>
      </w:r>
      <w:r>
        <w:rPr>
          <w:rFonts w:ascii="Arial" w:hAnsi="Arial"/>
          <w:w w:val="105"/>
          <w:sz w:val="19"/>
        </w:rPr>
        <w:t>minutes</w:t>
      </w:r>
    </w:p>
    <w:p w:rsidR="007D76BB" w:rsidRDefault="007D76BB">
      <w:pPr>
        <w:pStyle w:val="BodyText"/>
        <w:rPr>
          <w:rFonts w:ascii="Arial"/>
          <w:sz w:val="20"/>
        </w:rPr>
      </w:pPr>
    </w:p>
    <w:p w:rsidR="007D76BB" w:rsidRDefault="007D76BB">
      <w:pPr>
        <w:pStyle w:val="BodyText"/>
        <w:rPr>
          <w:rFonts w:ascii="Arial"/>
          <w:sz w:val="20"/>
        </w:rPr>
      </w:pPr>
    </w:p>
    <w:p w:rsidR="007D76BB" w:rsidRDefault="00D70D28">
      <w:pPr>
        <w:pStyle w:val="BodyText"/>
        <w:spacing w:before="5"/>
        <w:rPr>
          <w:rFonts w:ascii="Arial"/>
          <w:sz w:val="20"/>
        </w:rPr>
      </w:pPr>
      <w:r>
        <w:rPr>
          <w:noProof/>
          <w:lang w:val="en-AU" w:eastAsia="en-AU"/>
        </w:rPr>
        <mc:AlternateContent>
          <mc:Choice Requires="wps">
            <w:drawing>
              <wp:anchor distT="0" distB="0" distL="0" distR="0" simplePos="0" relativeHeight="251750400" behindDoc="1" locked="0" layoutInCell="1" allowOverlap="1">
                <wp:simplePos x="0" y="0"/>
                <wp:positionH relativeFrom="page">
                  <wp:posOffset>1080770</wp:posOffset>
                </wp:positionH>
                <wp:positionV relativeFrom="paragraph">
                  <wp:posOffset>179705</wp:posOffset>
                </wp:positionV>
                <wp:extent cx="1829435" cy="1270"/>
                <wp:effectExtent l="0" t="0" r="0" b="0"/>
                <wp:wrapTopAndBottom/>
                <wp:docPr id="279"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418E0" id="Freeform 135" o:spid="_x0000_s1026" style="position:absolute;margin-left:85.1pt;margin-top:14.15pt;width:144.05pt;height:.1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" path="m,l2880,e" filled="f" strokeweight=".84pt">
                <v:path arrowok="t" o:connecttype="custom" o:connectlocs="0,0;1828800,0" o:connectangles="0,0"/>
                <w10:wrap type="topAndBottom" anchorx="page"/>
              </v:shape>
            </w:pict>
          </mc:Fallback>
        </mc:AlternateContent>
      </w:r>
    </w:p>
    <w:p w:rsidR="007D76BB" w:rsidRDefault="00D70D28">
      <w:pPr>
        <w:spacing w:before="132"/>
        <w:ind w:left="482"/>
        <w:rPr>
          <w:rFonts w:ascii="Arial"/>
          <w:sz w:val="14"/>
        </w:rPr>
      </w:pPr>
      <w:r>
        <w:rPr>
          <w:rFonts w:ascii="Arial"/>
          <w:color w:val="5B6761"/>
          <w:w w:val="105"/>
          <w:position w:val="5"/>
          <w:sz w:val="8"/>
        </w:rPr>
        <w:t xml:space="preserve">80 </w:t>
      </w:r>
      <w:r>
        <w:rPr>
          <w:rFonts w:ascii="Arial"/>
          <w:color w:val="5B6761"/>
          <w:w w:val="105"/>
          <w:sz w:val="14"/>
        </w:rPr>
        <w:t>As advised by industry stakeholders.</w:t>
      </w:r>
    </w:p>
    <w:p w:rsidR="007D76BB" w:rsidRDefault="00D70D28">
      <w:pPr>
        <w:spacing w:before="79"/>
        <w:ind w:left="482"/>
        <w:rPr>
          <w:rFonts w:ascii="Arial"/>
          <w:sz w:val="14"/>
        </w:rPr>
      </w:pPr>
      <w:r>
        <w:rPr>
          <w:rFonts w:ascii="Arial"/>
          <w:color w:val="5B6761"/>
          <w:position w:val="5"/>
          <w:sz w:val="8"/>
        </w:rPr>
        <w:t xml:space="preserve">81 </w:t>
      </w:r>
      <w:r>
        <w:rPr>
          <w:rFonts w:ascii="Arial"/>
          <w:color w:val="5B6761"/>
          <w:sz w:val="14"/>
        </w:rPr>
        <w:t>As advised by a regulatory affairs consultant.</w:t>
      </w:r>
    </w:p>
    <w:p w:rsidR="007D76BB" w:rsidRDefault="007D76BB">
      <w:pPr>
        <w:rPr>
          <w:rFonts w:ascii="Arial"/>
          <w:sz w:val="14"/>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spacing w:before="4"/>
        <w:rPr>
          <w:rFonts w:ascii="Arial"/>
          <w:sz w:val="27"/>
        </w:rPr>
      </w:pPr>
    </w:p>
    <w:p w:rsidR="007D76BB" w:rsidRDefault="00D70D28">
      <w:pPr>
        <w:spacing w:before="108"/>
        <w:ind w:left="482"/>
        <w:rPr>
          <w:rFonts w:ascii="Arial"/>
          <w:i/>
          <w:sz w:val="20"/>
        </w:rPr>
      </w:pPr>
      <w:r>
        <w:rPr>
          <w:rFonts w:ascii="Arial"/>
          <w:i/>
          <w:sz w:val="20"/>
        </w:rPr>
        <w:t>Current population</w:t>
      </w:r>
    </w:p>
    <w:p w:rsidR="007D76BB" w:rsidRDefault="00D70D28">
      <w:pPr>
        <w:spacing w:before="90"/>
        <w:ind w:left="482"/>
        <w:rPr>
          <w:rFonts w:ascii="Arial"/>
          <w:sz w:val="19"/>
        </w:rPr>
      </w:pPr>
      <w:r>
        <w:rPr>
          <w:rFonts w:ascii="Arial"/>
          <w:i/>
          <w:sz w:val="20"/>
        </w:rPr>
        <w:t>Step 1</w:t>
      </w:r>
      <w:r>
        <w:rPr>
          <w:rFonts w:ascii="Arial"/>
          <w:sz w:val="19"/>
        </w:rPr>
        <w:t>. Calculate total time in minutes to fulfil regulatory requirement:</w:t>
      </w:r>
    </w:p>
    <w:p w:rsidR="007D76BB" w:rsidRDefault="00D70D28">
      <w:pPr>
        <w:spacing w:before="158" w:line="264" w:lineRule="auto"/>
        <w:ind w:left="765" w:hanging="284"/>
        <w:rPr>
          <w:rFonts w:ascii="Arial"/>
          <w:sz w:val="19"/>
        </w:rPr>
      </w:pPr>
      <w:r>
        <w:rPr>
          <w:rFonts w:ascii="Arial"/>
          <w:w w:val="105"/>
          <w:sz w:val="19"/>
        </w:rPr>
        <w:t>Prepare and submit application for a new ingredient to be added to the Permissible Ingredients Determination:</w:t>
      </w:r>
      <w:r>
        <w:rPr>
          <w:rFonts w:ascii="Arial"/>
          <w:spacing w:val="-22"/>
          <w:w w:val="105"/>
          <w:sz w:val="19"/>
        </w:rPr>
        <w:t xml:space="preserve"> </w:t>
      </w:r>
      <w:r>
        <w:rPr>
          <w:rFonts w:ascii="Arial"/>
          <w:w w:val="105"/>
          <w:sz w:val="19"/>
        </w:rPr>
        <w:t>9</w:t>
      </w:r>
      <w:r>
        <w:rPr>
          <w:rFonts w:ascii="Arial"/>
          <w:spacing w:val="-22"/>
          <w:w w:val="105"/>
          <w:sz w:val="19"/>
        </w:rPr>
        <w:t xml:space="preserve"> </w:t>
      </w:r>
      <w:r>
        <w:rPr>
          <w:rFonts w:ascii="Arial"/>
          <w:w w:val="105"/>
          <w:sz w:val="19"/>
        </w:rPr>
        <w:t>x</w:t>
      </w:r>
      <w:r>
        <w:rPr>
          <w:rFonts w:ascii="Arial"/>
          <w:spacing w:val="-24"/>
          <w:w w:val="105"/>
          <w:sz w:val="19"/>
        </w:rPr>
        <w:t xml:space="preserve"> </w:t>
      </w:r>
      <w:r>
        <w:rPr>
          <w:rFonts w:ascii="Arial"/>
          <w:w w:val="105"/>
          <w:sz w:val="19"/>
        </w:rPr>
        <w:t>960</w:t>
      </w:r>
      <w:r>
        <w:rPr>
          <w:rFonts w:ascii="Arial"/>
          <w:spacing w:val="-22"/>
          <w:w w:val="105"/>
          <w:sz w:val="19"/>
        </w:rPr>
        <w:t xml:space="preserve"> </w:t>
      </w:r>
      <w:r>
        <w:rPr>
          <w:rFonts w:ascii="Arial"/>
          <w:w w:val="105"/>
          <w:sz w:val="19"/>
        </w:rPr>
        <w:t>(engage</w:t>
      </w:r>
      <w:r>
        <w:rPr>
          <w:rFonts w:ascii="Arial"/>
          <w:spacing w:val="-23"/>
          <w:w w:val="105"/>
          <w:sz w:val="19"/>
        </w:rPr>
        <w:t xml:space="preserve"> </w:t>
      </w:r>
      <w:r>
        <w:rPr>
          <w:rFonts w:ascii="Arial"/>
          <w:w w:val="105"/>
          <w:sz w:val="19"/>
        </w:rPr>
        <w:t>with</w:t>
      </w:r>
      <w:r>
        <w:rPr>
          <w:rFonts w:ascii="Arial"/>
          <w:spacing w:val="-21"/>
          <w:w w:val="105"/>
          <w:sz w:val="19"/>
        </w:rPr>
        <w:t xml:space="preserve"> </w:t>
      </w:r>
      <w:r>
        <w:rPr>
          <w:rFonts w:ascii="Arial"/>
          <w:w w:val="105"/>
          <w:sz w:val="19"/>
        </w:rPr>
        <w:t>TGA)</w:t>
      </w:r>
      <w:r>
        <w:rPr>
          <w:rFonts w:ascii="Arial"/>
          <w:spacing w:val="-22"/>
          <w:w w:val="105"/>
          <w:sz w:val="19"/>
        </w:rPr>
        <w:t xml:space="preserve"> </w:t>
      </w:r>
      <w:r>
        <w:rPr>
          <w:rFonts w:ascii="Arial"/>
          <w:w w:val="105"/>
          <w:sz w:val="19"/>
        </w:rPr>
        <w:t>+</w:t>
      </w:r>
      <w:r>
        <w:rPr>
          <w:rFonts w:ascii="Arial"/>
          <w:spacing w:val="-23"/>
          <w:w w:val="105"/>
          <w:sz w:val="19"/>
        </w:rPr>
        <w:t xml:space="preserve"> </w:t>
      </w:r>
      <w:r>
        <w:rPr>
          <w:rFonts w:ascii="Arial"/>
          <w:w w:val="105"/>
          <w:sz w:val="19"/>
        </w:rPr>
        <w:t>9</w:t>
      </w:r>
      <w:r>
        <w:rPr>
          <w:rFonts w:ascii="Arial"/>
          <w:spacing w:val="-23"/>
          <w:w w:val="105"/>
          <w:sz w:val="19"/>
        </w:rPr>
        <w:t xml:space="preserve"> </w:t>
      </w:r>
      <w:r>
        <w:rPr>
          <w:rFonts w:ascii="Arial"/>
          <w:w w:val="105"/>
          <w:sz w:val="19"/>
        </w:rPr>
        <w:t>x</w:t>
      </w:r>
      <w:r>
        <w:rPr>
          <w:rFonts w:ascii="Arial"/>
          <w:spacing w:val="-22"/>
          <w:w w:val="105"/>
          <w:sz w:val="19"/>
        </w:rPr>
        <w:t xml:space="preserve"> </w:t>
      </w:r>
      <w:r>
        <w:rPr>
          <w:rFonts w:ascii="Arial"/>
          <w:w w:val="105"/>
          <w:sz w:val="19"/>
        </w:rPr>
        <w:t>2160</w:t>
      </w:r>
      <w:r>
        <w:rPr>
          <w:rFonts w:ascii="Arial"/>
          <w:spacing w:val="-21"/>
          <w:w w:val="105"/>
          <w:sz w:val="19"/>
        </w:rPr>
        <w:t xml:space="preserve"> </w:t>
      </w:r>
      <w:r>
        <w:rPr>
          <w:rFonts w:ascii="Arial"/>
          <w:w w:val="105"/>
          <w:sz w:val="19"/>
        </w:rPr>
        <w:t>(engage</w:t>
      </w:r>
      <w:r>
        <w:rPr>
          <w:rFonts w:ascii="Arial"/>
          <w:spacing w:val="-22"/>
          <w:w w:val="105"/>
          <w:sz w:val="19"/>
        </w:rPr>
        <w:t xml:space="preserve"> </w:t>
      </w:r>
      <w:r>
        <w:rPr>
          <w:rFonts w:ascii="Arial"/>
          <w:w w:val="105"/>
          <w:sz w:val="19"/>
        </w:rPr>
        <w:t>with</w:t>
      </w:r>
      <w:r>
        <w:rPr>
          <w:rFonts w:ascii="Arial"/>
          <w:spacing w:val="-23"/>
          <w:w w:val="105"/>
          <w:sz w:val="19"/>
        </w:rPr>
        <w:t xml:space="preserve"> </w:t>
      </w:r>
      <w:r>
        <w:rPr>
          <w:rFonts w:ascii="Arial"/>
          <w:w w:val="105"/>
          <w:sz w:val="19"/>
        </w:rPr>
        <w:t>regulatory</w:t>
      </w:r>
      <w:r>
        <w:rPr>
          <w:rFonts w:ascii="Arial"/>
          <w:spacing w:val="-23"/>
          <w:w w:val="105"/>
          <w:sz w:val="19"/>
        </w:rPr>
        <w:t xml:space="preserve"> </w:t>
      </w:r>
      <w:r>
        <w:rPr>
          <w:rFonts w:ascii="Arial"/>
          <w:w w:val="105"/>
          <w:sz w:val="19"/>
        </w:rPr>
        <w:t>affairs</w:t>
      </w:r>
      <w:r>
        <w:rPr>
          <w:rFonts w:ascii="Arial"/>
          <w:spacing w:val="-24"/>
          <w:w w:val="105"/>
          <w:sz w:val="19"/>
        </w:rPr>
        <w:t xml:space="preserve"> </w:t>
      </w:r>
      <w:r>
        <w:rPr>
          <w:rFonts w:ascii="Arial"/>
          <w:w w:val="105"/>
          <w:sz w:val="19"/>
        </w:rPr>
        <w:t>consultant)</w:t>
      </w:r>
    </w:p>
    <w:p w:rsidR="007D76BB" w:rsidRDefault="00D70D28">
      <w:pPr>
        <w:spacing w:before="2"/>
        <w:ind w:left="765"/>
        <w:rPr>
          <w:rFonts w:ascii="Arial"/>
          <w:sz w:val="19"/>
        </w:rPr>
      </w:pPr>
      <w:r>
        <w:rPr>
          <w:rFonts w:ascii="Arial"/>
          <w:w w:val="105"/>
          <w:sz w:val="19"/>
        </w:rPr>
        <w:t>= 9 x 3,120 = 28,080 minutes</w:t>
      </w:r>
    </w:p>
    <w:p w:rsidR="007D76BB" w:rsidRDefault="00D70D28">
      <w:pPr>
        <w:spacing w:before="94"/>
        <w:ind w:left="482"/>
        <w:rPr>
          <w:rFonts w:ascii="Arial"/>
          <w:sz w:val="19"/>
        </w:rPr>
      </w:pPr>
      <w:r>
        <w:rPr>
          <w:rFonts w:ascii="Arial"/>
          <w:i/>
          <w:w w:val="110"/>
          <w:sz w:val="20"/>
        </w:rPr>
        <w:t xml:space="preserve">Step 2. </w:t>
      </w:r>
      <w:r>
        <w:rPr>
          <w:rFonts w:ascii="Arial"/>
          <w:w w:val="110"/>
          <w:sz w:val="19"/>
        </w:rPr>
        <w:t>Calculate total time in hours to fulfil regulatory requirement: 28,080/60 = 468 hours</w:t>
      </w:r>
    </w:p>
    <w:p w:rsidR="007D76BB" w:rsidRDefault="00D70D28">
      <w:pPr>
        <w:spacing w:before="149"/>
        <w:ind w:left="482"/>
        <w:rPr>
          <w:rFonts w:ascii="Arial"/>
          <w:sz w:val="19"/>
        </w:rPr>
      </w:pPr>
      <w:r>
        <w:rPr>
          <w:rFonts w:ascii="Arial"/>
          <w:i/>
          <w:sz w:val="20"/>
        </w:rPr>
        <w:t>Step 3</w:t>
      </w:r>
      <w:r>
        <w:rPr>
          <w:rFonts w:ascii="Arial"/>
          <w:sz w:val="19"/>
        </w:rPr>
        <w:t>.</w:t>
      </w:r>
    </w:p>
    <w:p w:rsidR="007D76BB" w:rsidRDefault="00D70D28">
      <w:pPr>
        <w:spacing w:before="161" w:line="352" w:lineRule="auto"/>
        <w:ind w:left="482" w:right="1181"/>
        <w:rPr>
          <w:rFonts w:ascii="Arial"/>
          <w:sz w:val="19"/>
        </w:rPr>
      </w:pPr>
      <w:r>
        <w:rPr>
          <w:rFonts w:ascii="Arial"/>
          <w:w w:val="105"/>
          <w:sz w:val="19"/>
        </w:rPr>
        <w:t>Apply</w:t>
      </w:r>
      <w:r>
        <w:rPr>
          <w:rFonts w:ascii="Arial"/>
          <w:spacing w:val="-18"/>
          <w:w w:val="105"/>
          <w:sz w:val="19"/>
        </w:rPr>
        <w:t xml:space="preserve"> </w:t>
      </w:r>
      <w:r>
        <w:rPr>
          <w:rFonts w:ascii="Arial"/>
          <w:w w:val="105"/>
          <w:sz w:val="19"/>
        </w:rPr>
        <w:t>the</w:t>
      </w:r>
      <w:r>
        <w:rPr>
          <w:rFonts w:ascii="Arial"/>
          <w:spacing w:val="-15"/>
          <w:w w:val="105"/>
          <w:sz w:val="19"/>
        </w:rPr>
        <w:t xml:space="preserve"> </w:t>
      </w:r>
      <w:r>
        <w:rPr>
          <w:rFonts w:ascii="Arial"/>
          <w:w w:val="105"/>
          <w:sz w:val="19"/>
        </w:rPr>
        <w:t>hourly</w:t>
      </w:r>
      <w:r>
        <w:rPr>
          <w:rFonts w:ascii="Arial"/>
          <w:spacing w:val="-17"/>
          <w:w w:val="105"/>
          <w:sz w:val="19"/>
        </w:rPr>
        <w:t xml:space="preserve"> </w:t>
      </w:r>
      <w:r>
        <w:rPr>
          <w:rFonts w:ascii="Arial"/>
          <w:w w:val="105"/>
          <w:sz w:val="19"/>
        </w:rPr>
        <w:t>rate</w:t>
      </w:r>
      <w:r>
        <w:rPr>
          <w:rFonts w:ascii="Arial"/>
          <w:spacing w:val="-16"/>
          <w:w w:val="105"/>
          <w:sz w:val="19"/>
        </w:rPr>
        <w:t xml:space="preserve"> </w:t>
      </w:r>
      <w:r>
        <w:rPr>
          <w:rFonts w:ascii="Arial"/>
          <w:w w:val="105"/>
          <w:sz w:val="19"/>
        </w:rPr>
        <w:t>to</w:t>
      </w:r>
      <w:r>
        <w:rPr>
          <w:rFonts w:ascii="Arial"/>
          <w:spacing w:val="-16"/>
          <w:w w:val="105"/>
          <w:sz w:val="19"/>
        </w:rPr>
        <w:t xml:space="preserve"> </w:t>
      </w:r>
      <w:r>
        <w:rPr>
          <w:rFonts w:ascii="Arial"/>
          <w:w w:val="105"/>
          <w:sz w:val="19"/>
        </w:rPr>
        <w:t>determine</w:t>
      </w:r>
      <w:r>
        <w:rPr>
          <w:rFonts w:ascii="Arial"/>
          <w:spacing w:val="-14"/>
          <w:w w:val="105"/>
          <w:sz w:val="19"/>
        </w:rPr>
        <w:t xml:space="preserve"> </w:t>
      </w:r>
      <w:r>
        <w:rPr>
          <w:rFonts w:ascii="Arial"/>
          <w:w w:val="105"/>
          <w:sz w:val="19"/>
        </w:rPr>
        <w:t>overall</w:t>
      </w:r>
      <w:r>
        <w:rPr>
          <w:rFonts w:ascii="Arial"/>
          <w:spacing w:val="-16"/>
          <w:w w:val="105"/>
          <w:sz w:val="19"/>
        </w:rPr>
        <w:t xml:space="preserve"> </w:t>
      </w:r>
      <w:r>
        <w:rPr>
          <w:rFonts w:ascii="Arial"/>
          <w:w w:val="105"/>
          <w:sz w:val="19"/>
        </w:rPr>
        <w:t>regulatory</w:t>
      </w:r>
      <w:r>
        <w:rPr>
          <w:rFonts w:ascii="Arial"/>
          <w:spacing w:val="-17"/>
          <w:w w:val="105"/>
          <w:sz w:val="19"/>
        </w:rPr>
        <w:t xml:space="preserve"> </w:t>
      </w:r>
      <w:r>
        <w:rPr>
          <w:rFonts w:ascii="Arial"/>
          <w:w w:val="105"/>
          <w:sz w:val="19"/>
        </w:rPr>
        <w:t>compliance</w:t>
      </w:r>
      <w:r>
        <w:rPr>
          <w:rFonts w:ascii="Arial"/>
          <w:spacing w:val="-16"/>
          <w:w w:val="105"/>
          <w:sz w:val="19"/>
        </w:rPr>
        <w:t xml:space="preserve"> </w:t>
      </w:r>
      <w:r>
        <w:rPr>
          <w:rFonts w:ascii="Arial"/>
          <w:w w:val="105"/>
          <w:sz w:val="19"/>
        </w:rPr>
        <w:t>cost):</w:t>
      </w:r>
      <w:r>
        <w:rPr>
          <w:rFonts w:ascii="Arial"/>
          <w:spacing w:val="-15"/>
          <w:w w:val="105"/>
          <w:sz w:val="19"/>
        </w:rPr>
        <w:t xml:space="preserve"> </w:t>
      </w:r>
      <w:r>
        <w:rPr>
          <w:rFonts w:ascii="Arial"/>
          <w:w w:val="105"/>
          <w:sz w:val="19"/>
        </w:rPr>
        <w:t>468</w:t>
      </w:r>
      <w:r>
        <w:rPr>
          <w:rFonts w:ascii="Arial"/>
          <w:spacing w:val="-17"/>
          <w:w w:val="105"/>
          <w:sz w:val="19"/>
        </w:rPr>
        <w:t xml:space="preserve"> </w:t>
      </w:r>
      <w:r>
        <w:rPr>
          <w:rFonts w:ascii="Arial"/>
          <w:w w:val="105"/>
          <w:sz w:val="19"/>
        </w:rPr>
        <w:t>x</w:t>
      </w:r>
      <w:r>
        <w:rPr>
          <w:rFonts w:ascii="Arial"/>
          <w:spacing w:val="-17"/>
          <w:w w:val="105"/>
          <w:sz w:val="19"/>
        </w:rPr>
        <w:t xml:space="preserve"> </w:t>
      </w:r>
      <w:r>
        <w:rPr>
          <w:rFonts w:ascii="Arial"/>
          <w:w w:val="105"/>
          <w:sz w:val="19"/>
        </w:rPr>
        <w:t>$84.84=</w:t>
      </w:r>
      <w:r>
        <w:rPr>
          <w:rFonts w:ascii="Arial"/>
          <w:spacing w:val="-15"/>
          <w:w w:val="105"/>
          <w:sz w:val="19"/>
        </w:rPr>
        <w:t xml:space="preserve"> </w:t>
      </w:r>
      <w:r>
        <w:rPr>
          <w:rFonts w:ascii="Arial"/>
          <w:w w:val="105"/>
          <w:sz w:val="19"/>
        </w:rPr>
        <w:t>$39,705 Add</w:t>
      </w:r>
      <w:r>
        <w:rPr>
          <w:rFonts w:ascii="Arial"/>
          <w:spacing w:val="-13"/>
          <w:w w:val="105"/>
          <w:sz w:val="19"/>
        </w:rPr>
        <w:t xml:space="preserve"> </w:t>
      </w:r>
      <w:r>
        <w:rPr>
          <w:rFonts w:ascii="Arial"/>
          <w:w w:val="105"/>
          <w:sz w:val="19"/>
        </w:rPr>
        <w:t>the</w:t>
      </w:r>
      <w:r>
        <w:rPr>
          <w:rFonts w:ascii="Arial"/>
          <w:spacing w:val="-10"/>
          <w:w w:val="105"/>
          <w:sz w:val="19"/>
        </w:rPr>
        <w:t xml:space="preserve"> </w:t>
      </w:r>
      <w:r>
        <w:rPr>
          <w:rFonts w:ascii="Arial"/>
          <w:w w:val="105"/>
          <w:sz w:val="19"/>
        </w:rPr>
        <w:t>regulatory</w:t>
      </w:r>
      <w:r>
        <w:rPr>
          <w:rFonts w:ascii="Arial"/>
          <w:spacing w:val="-13"/>
          <w:w w:val="105"/>
          <w:sz w:val="19"/>
        </w:rPr>
        <w:t xml:space="preserve"> </w:t>
      </w:r>
      <w:r>
        <w:rPr>
          <w:rFonts w:ascii="Arial"/>
          <w:w w:val="105"/>
          <w:sz w:val="19"/>
        </w:rPr>
        <w:t>consultant</w:t>
      </w:r>
      <w:r>
        <w:rPr>
          <w:rFonts w:ascii="Arial"/>
          <w:spacing w:val="-12"/>
          <w:w w:val="105"/>
          <w:sz w:val="19"/>
        </w:rPr>
        <w:t xml:space="preserve"> </w:t>
      </w:r>
      <w:r>
        <w:rPr>
          <w:rFonts w:ascii="Arial"/>
          <w:w w:val="105"/>
          <w:sz w:val="19"/>
        </w:rPr>
        <w:t>charges:</w:t>
      </w:r>
      <w:r>
        <w:rPr>
          <w:rFonts w:ascii="Arial"/>
          <w:spacing w:val="-11"/>
          <w:w w:val="105"/>
          <w:sz w:val="19"/>
        </w:rPr>
        <w:t xml:space="preserve"> </w:t>
      </w:r>
      <w:r>
        <w:rPr>
          <w:rFonts w:ascii="Arial"/>
          <w:w w:val="105"/>
          <w:sz w:val="19"/>
        </w:rPr>
        <w:t>$39,705+</w:t>
      </w:r>
      <w:r>
        <w:rPr>
          <w:rFonts w:ascii="Arial"/>
          <w:spacing w:val="-11"/>
          <w:w w:val="105"/>
          <w:sz w:val="19"/>
        </w:rPr>
        <w:t xml:space="preserve"> </w:t>
      </w:r>
      <w:r>
        <w:rPr>
          <w:rFonts w:ascii="Arial"/>
          <w:w w:val="105"/>
          <w:sz w:val="19"/>
        </w:rPr>
        <w:t>$270,000</w:t>
      </w:r>
      <w:r>
        <w:rPr>
          <w:rFonts w:ascii="Arial"/>
          <w:spacing w:val="-13"/>
          <w:w w:val="105"/>
          <w:sz w:val="19"/>
        </w:rPr>
        <w:t xml:space="preserve"> </w:t>
      </w:r>
      <w:r>
        <w:rPr>
          <w:rFonts w:ascii="Arial"/>
          <w:w w:val="105"/>
          <w:sz w:val="19"/>
        </w:rPr>
        <w:t>=</w:t>
      </w:r>
      <w:r>
        <w:rPr>
          <w:rFonts w:ascii="Arial"/>
          <w:spacing w:val="-5"/>
          <w:w w:val="105"/>
          <w:sz w:val="19"/>
        </w:rPr>
        <w:t xml:space="preserve"> </w:t>
      </w:r>
      <w:r>
        <w:rPr>
          <w:rFonts w:ascii="Arial"/>
          <w:w w:val="105"/>
          <w:sz w:val="19"/>
        </w:rPr>
        <w:t>$309,705</w:t>
      </w:r>
    </w:p>
    <w:p w:rsidR="007D76BB" w:rsidRDefault="00D70D28">
      <w:pPr>
        <w:spacing w:line="219" w:lineRule="exact"/>
        <w:ind w:left="482"/>
        <w:rPr>
          <w:rFonts w:ascii="Arial"/>
          <w:i/>
          <w:sz w:val="20"/>
        </w:rPr>
      </w:pPr>
      <w:r>
        <w:rPr>
          <w:rFonts w:ascii="Arial"/>
          <w:i/>
          <w:sz w:val="20"/>
        </w:rPr>
        <w:t>Future population</w:t>
      </w:r>
    </w:p>
    <w:p w:rsidR="007D76BB" w:rsidRDefault="00D70D28">
      <w:pPr>
        <w:spacing w:before="92"/>
        <w:ind w:left="482"/>
        <w:rPr>
          <w:rFonts w:ascii="Arial"/>
          <w:sz w:val="19"/>
        </w:rPr>
      </w:pPr>
      <w:r>
        <w:rPr>
          <w:rFonts w:ascii="Arial"/>
          <w:i/>
          <w:sz w:val="20"/>
        </w:rPr>
        <w:t>Step 1</w:t>
      </w:r>
      <w:r>
        <w:rPr>
          <w:rFonts w:ascii="Arial"/>
          <w:sz w:val="19"/>
        </w:rPr>
        <w:t>. Calculate total time in minutes to fulfil regulatory requirement:</w:t>
      </w:r>
    </w:p>
    <w:p w:rsidR="007D76BB" w:rsidRDefault="00D70D28">
      <w:pPr>
        <w:spacing w:before="156" w:line="266" w:lineRule="auto"/>
        <w:ind w:left="765" w:right="688" w:hanging="284"/>
        <w:rPr>
          <w:rFonts w:ascii="Arial"/>
          <w:sz w:val="19"/>
        </w:rPr>
      </w:pPr>
      <w:r>
        <w:rPr>
          <w:rFonts w:ascii="Arial"/>
          <w:sz w:val="19"/>
        </w:rPr>
        <w:t>Prepare and submit application for a new ingredient to be added to the Permissible Ingredients Determination: 1 x 960 (engage with TGA) + 1 x 2160 (engage with regulatory affairs consultant)</w:t>
      </w:r>
    </w:p>
    <w:p w:rsidR="007D76BB" w:rsidRDefault="00D70D28">
      <w:pPr>
        <w:spacing w:line="218" w:lineRule="exact"/>
        <w:ind w:left="765"/>
        <w:rPr>
          <w:rFonts w:ascii="Arial"/>
          <w:sz w:val="19"/>
        </w:rPr>
      </w:pPr>
      <w:r>
        <w:rPr>
          <w:rFonts w:ascii="Arial"/>
          <w:sz w:val="19"/>
        </w:rPr>
        <w:t>= 1 x 3,120 = 3,120 minutes</w:t>
      </w:r>
    </w:p>
    <w:p w:rsidR="007D76BB" w:rsidRDefault="00D70D28">
      <w:pPr>
        <w:spacing w:before="92"/>
        <w:ind w:left="482"/>
        <w:rPr>
          <w:rFonts w:ascii="Arial"/>
          <w:sz w:val="19"/>
        </w:rPr>
      </w:pPr>
      <w:r>
        <w:rPr>
          <w:rFonts w:ascii="Arial"/>
          <w:i/>
          <w:spacing w:val="-1"/>
          <w:w w:val="85"/>
          <w:sz w:val="20"/>
        </w:rPr>
        <w:t>S</w:t>
      </w:r>
      <w:r>
        <w:rPr>
          <w:rFonts w:ascii="Arial"/>
          <w:i/>
          <w:w w:val="127"/>
          <w:sz w:val="20"/>
        </w:rPr>
        <w:t>t</w:t>
      </w:r>
      <w:r>
        <w:rPr>
          <w:rFonts w:ascii="Arial"/>
          <w:i/>
          <w:w w:val="91"/>
          <w:sz w:val="20"/>
        </w:rPr>
        <w:t>e</w:t>
      </w:r>
      <w:r>
        <w:rPr>
          <w:rFonts w:ascii="Arial"/>
          <w:i/>
          <w:w w:val="96"/>
          <w:sz w:val="20"/>
        </w:rPr>
        <w:t>p</w:t>
      </w:r>
      <w:r>
        <w:rPr>
          <w:rFonts w:ascii="Arial"/>
          <w:i/>
          <w:spacing w:val="-10"/>
          <w:sz w:val="20"/>
        </w:rPr>
        <w:t xml:space="preserve"> </w:t>
      </w:r>
      <w:r>
        <w:rPr>
          <w:rFonts w:ascii="Arial"/>
          <w:i/>
          <w:spacing w:val="-1"/>
          <w:w w:val="104"/>
          <w:sz w:val="20"/>
        </w:rPr>
        <w:t>2</w:t>
      </w:r>
      <w:r>
        <w:rPr>
          <w:rFonts w:ascii="Arial"/>
          <w:i/>
          <w:w w:val="76"/>
          <w:sz w:val="20"/>
        </w:rPr>
        <w:t>.</w:t>
      </w:r>
      <w:r>
        <w:rPr>
          <w:rFonts w:ascii="Arial"/>
          <w:i/>
          <w:spacing w:val="-9"/>
          <w:sz w:val="20"/>
        </w:rPr>
        <w:t xml:space="preserve"> </w:t>
      </w:r>
      <w:r>
        <w:rPr>
          <w:rFonts w:ascii="Arial"/>
          <w:w w:val="91"/>
          <w:sz w:val="19"/>
        </w:rPr>
        <w:t>C</w:t>
      </w:r>
      <w:r>
        <w:rPr>
          <w:rFonts w:ascii="Arial"/>
          <w:spacing w:val="-2"/>
          <w:w w:val="91"/>
          <w:sz w:val="19"/>
        </w:rPr>
        <w:t>a</w:t>
      </w:r>
      <w:r>
        <w:rPr>
          <w:rFonts w:ascii="Arial"/>
          <w:w w:val="117"/>
          <w:sz w:val="19"/>
        </w:rPr>
        <w:t>l</w:t>
      </w:r>
      <w:r>
        <w:rPr>
          <w:rFonts w:ascii="Arial"/>
          <w:w w:val="99"/>
          <w:sz w:val="19"/>
        </w:rPr>
        <w:t>c</w:t>
      </w:r>
      <w:r>
        <w:rPr>
          <w:rFonts w:ascii="Arial"/>
          <w:spacing w:val="-2"/>
          <w:w w:val="101"/>
          <w:sz w:val="19"/>
        </w:rPr>
        <w:t>u</w:t>
      </w:r>
      <w:r>
        <w:rPr>
          <w:rFonts w:ascii="Arial"/>
          <w:w w:val="117"/>
          <w:sz w:val="19"/>
        </w:rPr>
        <w:t>l</w:t>
      </w:r>
      <w:r>
        <w:rPr>
          <w:rFonts w:ascii="Arial"/>
          <w:w w:val="94"/>
          <w:sz w:val="19"/>
        </w:rPr>
        <w:t>a</w:t>
      </w:r>
      <w:r>
        <w:rPr>
          <w:rFonts w:ascii="Arial"/>
          <w:spacing w:val="-2"/>
          <w:w w:val="134"/>
          <w:sz w:val="19"/>
        </w:rPr>
        <w:t>t</w:t>
      </w:r>
      <w:r>
        <w:rPr>
          <w:rFonts w:ascii="Arial"/>
          <w:w w:val="96"/>
          <w:sz w:val="19"/>
        </w:rPr>
        <w:t>e</w:t>
      </w:r>
      <w:r>
        <w:rPr>
          <w:rFonts w:ascii="Arial"/>
          <w:spacing w:val="-9"/>
          <w:sz w:val="19"/>
        </w:rPr>
        <w:t xml:space="preserve"> </w:t>
      </w:r>
      <w:r>
        <w:rPr>
          <w:rFonts w:ascii="Arial"/>
          <w:w w:val="134"/>
          <w:sz w:val="19"/>
        </w:rPr>
        <w:t>t</w:t>
      </w:r>
      <w:r>
        <w:rPr>
          <w:rFonts w:ascii="Arial"/>
          <w:w w:val="111"/>
          <w:sz w:val="19"/>
        </w:rPr>
        <w:t>ot</w:t>
      </w:r>
      <w:r>
        <w:rPr>
          <w:rFonts w:ascii="Arial"/>
          <w:w w:val="94"/>
          <w:sz w:val="19"/>
        </w:rPr>
        <w:t>a</w:t>
      </w:r>
      <w:r>
        <w:rPr>
          <w:rFonts w:ascii="Arial"/>
          <w:w w:val="117"/>
          <w:sz w:val="19"/>
        </w:rPr>
        <w:t>l</w:t>
      </w:r>
      <w:r>
        <w:rPr>
          <w:rFonts w:ascii="Arial"/>
          <w:spacing w:val="-9"/>
          <w:sz w:val="19"/>
        </w:rPr>
        <w:t xml:space="preserve"> </w:t>
      </w:r>
      <w:r>
        <w:rPr>
          <w:rFonts w:ascii="Arial"/>
          <w:w w:val="134"/>
          <w:sz w:val="19"/>
        </w:rPr>
        <w:t>t</w:t>
      </w:r>
      <w:r>
        <w:rPr>
          <w:rFonts w:ascii="Arial"/>
          <w:w w:val="104"/>
          <w:sz w:val="19"/>
        </w:rPr>
        <w:t>i</w:t>
      </w:r>
      <w:r>
        <w:rPr>
          <w:rFonts w:ascii="Arial"/>
          <w:spacing w:val="-3"/>
          <w:w w:val="104"/>
          <w:sz w:val="19"/>
        </w:rPr>
        <w:t>m</w:t>
      </w:r>
      <w:r>
        <w:rPr>
          <w:rFonts w:ascii="Arial"/>
          <w:w w:val="96"/>
          <w:sz w:val="19"/>
        </w:rPr>
        <w:t>e</w:t>
      </w:r>
      <w:r>
        <w:rPr>
          <w:rFonts w:ascii="Arial"/>
          <w:spacing w:val="-7"/>
          <w:sz w:val="19"/>
        </w:rPr>
        <w:t xml:space="preserve"> </w:t>
      </w:r>
      <w:r>
        <w:rPr>
          <w:rFonts w:ascii="Arial"/>
          <w:spacing w:val="-3"/>
          <w:w w:val="114"/>
          <w:sz w:val="19"/>
        </w:rPr>
        <w:t>i</w:t>
      </w:r>
      <w:r>
        <w:rPr>
          <w:rFonts w:ascii="Arial"/>
          <w:w w:val="101"/>
          <w:sz w:val="19"/>
        </w:rPr>
        <w:t>n</w:t>
      </w:r>
      <w:r>
        <w:rPr>
          <w:rFonts w:ascii="Arial"/>
          <w:spacing w:val="-7"/>
          <w:sz w:val="19"/>
        </w:rPr>
        <w:t xml:space="preserve"> </w:t>
      </w:r>
      <w:r>
        <w:rPr>
          <w:rFonts w:ascii="Arial"/>
          <w:spacing w:val="1"/>
          <w:w w:val="101"/>
          <w:sz w:val="19"/>
        </w:rPr>
        <w:t>h</w:t>
      </w:r>
      <w:r>
        <w:rPr>
          <w:rFonts w:ascii="Arial"/>
          <w:sz w:val="19"/>
        </w:rPr>
        <w:t>o</w:t>
      </w:r>
      <w:r>
        <w:rPr>
          <w:rFonts w:ascii="Arial"/>
          <w:spacing w:val="-2"/>
          <w:sz w:val="19"/>
        </w:rPr>
        <w:t>u</w:t>
      </w:r>
      <w:r>
        <w:rPr>
          <w:rFonts w:ascii="Arial"/>
          <w:w w:val="116"/>
          <w:sz w:val="19"/>
        </w:rPr>
        <w:t>r</w:t>
      </w:r>
      <w:r>
        <w:rPr>
          <w:rFonts w:ascii="Arial"/>
          <w:w w:val="93"/>
          <w:sz w:val="19"/>
        </w:rPr>
        <w:t>s</w:t>
      </w:r>
      <w:r>
        <w:rPr>
          <w:rFonts w:ascii="Arial"/>
          <w:spacing w:val="-8"/>
          <w:sz w:val="19"/>
        </w:rPr>
        <w:t xml:space="preserve"> </w:t>
      </w:r>
      <w:r>
        <w:rPr>
          <w:rFonts w:ascii="Arial"/>
          <w:w w:val="134"/>
          <w:sz w:val="19"/>
        </w:rPr>
        <w:t>t</w:t>
      </w:r>
      <w:r>
        <w:rPr>
          <w:rFonts w:ascii="Arial"/>
          <w:sz w:val="19"/>
        </w:rPr>
        <w:t>o</w:t>
      </w:r>
      <w:r>
        <w:rPr>
          <w:rFonts w:ascii="Arial"/>
          <w:spacing w:val="-10"/>
          <w:sz w:val="19"/>
        </w:rPr>
        <w:t xml:space="preserve"> </w:t>
      </w:r>
      <w:r>
        <w:rPr>
          <w:rFonts w:ascii="Arial"/>
          <w:spacing w:val="-1"/>
          <w:w w:val="119"/>
          <w:sz w:val="19"/>
        </w:rPr>
        <w:t>f</w:t>
      </w:r>
      <w:r>
        <w:rPr>
          <w:rFonts w:ascii="Arial"/>
          <w:spacing w:val="1"/>
          <w:w w:val="101"/>
          <w:sz w:val="19"/>
        </w:rPr>
        <w:t>u</w:t>
      </w:r>
      <w:r>
        <w:rPr>
          <w:rFonts w:ascii="Arial"/>
          <w:w w:val="117"/>
          <w:sz w:val="19"/>
        </w:rPr>
        <w:t>l</w:t>
      </w:r>
      <w:r>
        <w:rPr>
          <w:rFonts w:ascii="Arial"/>
          <w:spacing w:val="-1"/>
          <w:w w:val="119"/>
          <w:sz w:val="19"/>
        </w:rPr>
        <w:t>f</w:t>
      </w:r>
      <w:r>
        <w:rPr>
          <w:rFonts w:ascii="Arial"/>
          <w:w w:val="115"/>
          <w:sz w:val="19"/>
        </w:rPr>
        <w:t>il</w:t>
      </w:r>
      <w:r>
        <w:rPr>
          <w:rFonts w:ascii="Arial"/>
          <w:spacing w:val="-3"/>
          <w:sz w:val="19"/>
        </w:rPr>
        <w:t xml:space="preserve"> </w:t>
      </w:r>
      <w:r>
        <w:rPr>
          <w:rFonts w:ascii="Arial"/>
          <w:spacing w:val="-2"/>
          <w:w w:val="116"/>
          <w:sz w:val="19"/>
        </w:rPr>
        <w:t>r</w:t>
      </w:r>
      <w:r>
        <w:rPr>
          <w:rFonts w:ascii="Arial"/>
          <w:w w:val="96"/>
          <w:sz w:val="19"/>
        </w:rPr>
        <w:t>e</w:t>
      </w:r>
      <w:r>
        <w:rPr>
          <w:rFonts w:ascii="Arial"/>
          <w:spacing w:val="-2"/>
          <w:w w:val="101"/>
          <w:sz w:val="19"/>
        </w:rPr>
        <w:t>g</w:t>
      </w:r>
      <w:r>
        <w:rPr>
          <w:rFonts w:ascii="Arial"/>
          <w:spacing w:val="1"/>
          <w:w w:val="101"/>
          <w:sz w:val="19"/>
        </w:rPr>
        <w:t>u</w:t>
      </w:r>
      <w:r>
        <w:rPr>
          <w:rFonts w:ascii="Arial"/>
          <w:w w:val="117"/>
          <w:sz w:val="19"/>
        </w:rPr>
        <w:t>l</w:t>
      </w:r>
      <w:r>
        <w:rPr>
          <w:rFonts w:ascii="Arial"/>
          <w:spacing w:val="-2"/>
          <w:w w:val="94"/>
          <w:sz w:val="19"/>
        </w:rPr>
        <w:t>a</w:t>
      </w:r>
      <w:r>
        <w:rPr>
          <w:rFonts w:ascii="Arial"/>
          <w:w w:val="134"/>
          <w:sz w:val="19"/>
        </w:rPr>
        <w:t>t</w:t>
      </w:r>
      <w:r>
        <w:rPr>
          <w:rFonts w:ascii="Arial"/>
          <w:w w:val="106"/>
          <w:sz w:val="19"/>
        </w:rPr>
        <w:t>o</w:t>
      </w:r>
      <w:r>
        <w:rPr>
          <w:rFonts w:ascii="Arial"/>
          <w:spacing w:val="1"/>
          <w:w w:val="106"/>
          <w:sz w:val="19"/>
        </w:rPr>
        <w:t>r</w:t>
      </w:r>
      <w:r>
        <w:rPr>
          <w:rFonts w:ascii="Arial"/>
          <w:w w:val="105"/>
          <w:sz w:val="19"/>
        </w:rPr>
        <w:t>y</w:t>
      </w:r>
      <w:r>
        <w:rPr>
          <w:rFonts w:ascii="Arial"/>
          <w:spacing w:val="-8"/>
          <w:sz w:val="19"/>
        </w:rPr>
        <w:t xml:space="preserve"> </w:t>
      </w:r>
      <w:r>
        <w:rPr>
          <w:rFonts w:ascii="Arial"/>
          <w:spacing w:val="-2"/>
          <w:w w:val="116"/>
          <w:sz w:val="19"/>
        </w:rPr>
        <w:t>r</w:t>
      </w:r>
      <w:r>
        <w:rPr>
          <w:rFonts w:ascii="Arial"/>
          <w:spacing w:val="-2"/>
          <w:w w:val="96"/>
          <w:sz w:val="19"/>
        </w:rPr>
        <w:t>e</w:t>
      </w:r>
      <w:r>
        <w:rPr>
          <w:rFonts w:ascii="Arial"/>
          <w:spacing w:val="1"/>
          <w:w w:val="101"/>
          <w:sz w:val="19"/>
        </w:rPr>
        <w:t>qu</w:t>
      </w:r>
      <w:r>
        <w:rPr>
          <w:rFonts w:ascii="Arial"/>
          <w:w w:val="106"/>
          <w:sz w:val="19"/>
        </w:rPr>
        <w:t>ir</w:t>
      </w:r>
      <w:r>
        <w:rPr>
          <w:rFonts w:ascii="Arial"/>
          <w:spacing w:val="1"/>
          <w:w w:val="106"/>
          <w:sz w:val="19"/>
        </w:rPr>
        <w:t>e</w:t>
      </w:r>
      <w:r>
        <w:rPr>
          <w:rFonts w:ascii="Arial"/>
          <w:spacing w:val="-3"/>
          <w:w w:val="101"/>
          <w:sz w:val="19"/>
        </w:rPr>
        <w:t>m</w:t>
      </w:r>
      <w:r>
        <w:rPr>
          <w:rFonts w:ascii="Arial"/>
          <w:w w:val="96"/>
          <w:sz w:val="19"/>
        </w:rPr>
        <w:t>e</w:t>
      </w:r>
      <w:r>
        <w:rPr>
          <w:rFonts w:ascii="Arial"/>
          <w:spacing w:val="-2"/>
          <w:w w:val="101"/>
          <w:sz w:val="19"/>
        </w:rPr>
        <w:t>n</w:t>
      </w:r>
      <w:r>
        <w:rPr>
          <w:rFonts w:ascii="Arial"/>
          <w:w w:val="134"/>
          <w:sz w:val="19"/>
        </w:rPr>
        <w:t>t</w:t>
      </w:r>
      <w:r>
        <w:rPr>
          <w:rFonts w:ascii="Arial"/>
          <w:w w:val="80"/>
          <w:sz w:val="19"/>
        </w:rPr>
        <w:t>:</w:t>
      </w:r>
      <w:r>
        <w:rPr>
          <w:rFonts w:ascii="Arial"/>
          <w:spacing w:val="-9"/>
          <w:sz w:val="19"/>
        </w:rPr>
        <w:t xml:space="preserve"> </w:t>
      </w:r>
      <w:r>
        <w:rPr>
          <w:rFonts w:ascii="Arial"/>
          <w:w w:val="108"/>
          <w:sz w:val="19"/>
        </w:rPr>
        <w:t>3</w:t>
      </w:r>
      <w:r>
        <w:rPr>
          <w:rFonts w:ascii="Arial"/>
          <w:w w:val="71"/>
          <w:sz w:val="19"/>
        </w:rPr>
        <w:t>,</w:t>
      </w:r>
      <w:r>
        <w:rPr>
          <w:rFonts w:ascii="Arial"/>
          <w:spacing w:val="1"/>
          <w:w w:val="71"/>
          <w:sz w:val="19"/>
        </w:rPr>
        <w:t>1</w:t>
      </w:r>
      <w:r>
        <w:rPr>
          <w:rFonts w:ascii="Arial"/>
          <w:spacing w:val="-1"/>
          <w:w w:val="109"/>
          <w:sz w:val="19"/>
        </w:rPr>
        <w:t>2</w:t>
      </w:r>
      <w:r>
        <w:rPr>
          <w:rFonts w:ascii="Arial"/>
          <w:spacing w:val="1"/>
          <w:w w:val="114"/>
          <w:sz w:val="19"/>
        </w:rPr>
        <w:t>0</w:t>
      </w:r>
      <w:r>
        <w:rPr>
          <w:rFonts w:ascii="Arial"/>
          <w:w w:val="175"/>
          <w:sz w:val="19"/>
        </w:rPr>
        <w:t>/</w:t>
      </w:r>
      <w:r>
        <w:rPr>
          <w:rFonts w:ascii="Arial"/>
          <w:w w:val="110"/>
          <w:sz w:val="19"/>
        </w:rPr>
        <w:t>60</w:t>
      </w:r>
      <w:r>
        <w:rPr>
          <w:rFonts w:ascii="Arial"/>
          <w:spacing w:val="-9"/>
          <w:sz w:val="19"/>
        </w:rPr>
        <w:t xml:space="preserve"> </w:t>
      </w:r>
      <w:r>
        <w:rPr>
          <w:rFonts w:ascii="Arial"/>
          <w:w w:val="110"/>
          <w:sz w:val="19"/>
        </w:rPr>
        <w:t>=</w:t>
      </w:r>
      <w:r>
        <w:rPr>
          <w:rFonts w:ascii="Arial"/>
          <w:spacing w:val="-8"/>
          <w:sz w:val="19"/>
        </w:rPr>
        <w:t xml:space="preserve"> </w:t>
      </w:r>
      <w:r>
        <w:rPr>
          <w:rFonts w:ascii="Arial"/>
          <w:w w:val="110"/>
          <w:sz w:val="19"/>
        </w:rPr>
        <w:t>52</w:t>
      </w:r>
      <w:r>
        <w:rPr>
          <w:rFonts w:ascii="Arial"/>
          <w:spacing w:val="-9"/>
          <w:sz w:val="19"/>
        </w:rPr>
        <w:t xml:space="preserve"> </w:t>
      </w:r>
      <w:r>
        <w:rPr>
          <w:rFonts w:ascii="Arial"/>
          <w:spacing w:val="-2"/>
          <w:w w:val="101"/>
          <w:sz w:val="19"/>
        </w:rPr>
        <w:t>h</w:t>
      </w:r>
      <w:r>
        <w:rPr>
          <w:rFonts w:ascii="Arial"/>
          <w:sz w:val="19"/>
        </w:rPr>
        <w:t>ou</w:t>
      </w:r>
      <w:r>
        <w:rPr>
          <w:rFonts w:ascii="Arial"/>
          <w:w w:val="116"/>
          <w:sz w:val="19"/>
        </w:rPr>
        <w:t>r</w:t>
      </w:r>
      <w:r>
        <w:rPr>
          <w:rFonts w:ascii="Arial"/>
          <w:w w:val="93"/>
          <w:sz w:val="19"/>
        </w:rPr>
        <w:t>s</w:t>
      </w:r>
    </w:p>
    <w:p w:rsidR="007D76BB" w:rsidRDefault="00D70D28">
      <w:pPr>
        <w:spacing w:before="151"/>
        <w:ind w:left="482"/>
        <w:rPr>
          <w:rFonts w:ascii="Arial"/>
          <w:sz w:val="19"/>
        </w:rPr>
      </w:pPr>
      <w:r>
        <w:rPr>
          <w:rFonts w:ascii="Arial"/>
          <w:i/>
          <w:sz w:val="20"/>
        </w:rPr>
        <w:t>Step 3</w:t>
      </w:r>
      <w:r>
        <w:rPr>
          <w:rFonts w:ascii="Arial"/>
          <w:sz w:val="19"/>
        </w:rPr>
        <w:t>.</w:t>
      </w:r>
    </w:p>
    <w:p w:rsidR="007D76BB" w:rsidRDefault="00D70D28">
      <w:pPr>
        <w:spacing w:before="159" w:line="352" w:lineRule="auto"/>
        <w:ind w:left="482" w:right="1439"/>
        <w:rPr>
          <w:rFonts w:ascii="Arial"/>
          <w:sz w:val="19"/>
        </w:rPr>
      </w:pPr>
      <w:r>
        <w:rPr>
          <w:rFonts w:ascii="Arial"/>
          <w:w w:val="105"/>
          <w:sz w:val="19"/>
        </w:rPr>
        <w:t>Apply</w:t>
      </w:r>
      <w:r>
        <w:rPr>
          <w:rFonts w:ascii="Arial"/>
          <w:spacing w:val="-20"/>
          <w:w w:val="105"/>
          <w:sz w:val="19"/>
        </w:rPr>
        <w:t xml:space="preserve"> </w:t>
      </w:r>
      <w:r>
        <w:rPr>
          <w:rFonts w:ascii="Arial"/>
          <w:w w:val="105"/>
          <w:sz w:val="19"/>
        </w:rPr>
        <w:t>the</w:t>
      </w:r>
      <w:r>
        <w:rPr>
          <w:rFonts w:ascii="Arial"/>
          <w:spacing w:val="-19"/>
          <w:w w:val="105"/>
          <w:sz w:val="19"/>
        </w:rPr>
        <w:t xml:space="preserve"> </w:t>
      </w:r>
      <w:r>
        <w:rPr>
          <w:rFonts w:ascii="Arial"/>
          <w:w w:val="105"/>
          <w:sz w:val="19"/>
        </w:rPr>
        <w:t>hourly</w:t>
      </w:r>
      <w:r>
        <w:rPr>
          <w:rFonts w:ascii="Arial"/>
          <w:spacing w:val="-19"/>
          <w:w w:val="105"/>
          <w:sz w:val="19"/>
        </w:rPr>
        <w:t xml:space="preserve"> </w:t>
      </w:r>
      <w:r>
        <w:rPr>
          <w:rFonts w:ascii="Arial"/>
          <w:w w:val="105"/>
          <w:sz w:val="19"/>
        </w:rPr>
        <w:t>rate</w:t>
      </w:r>
      <w:r>
        <w:rPr>
          <w:rFonts w:ascii="Arial"/>
          <w:spacing w:val="-19"/>
          <w:w w:val="105"/>
          <w:sz w:val="19"/>
        </w:rPr>
        <w:t xml:space="preserve"> </w:t>
      </w:r>
      <w:r>
        <w:rPr>
          <w:rFonts w:ascii="Arial"/>
          <w:w w:val="105"/>
          <w:sz w:val="19"/>
        </w:rPr>
        <w:t>to</w:t>
      </w:r>
      <w:r>
        <w:rPr>
          <w:rFonts w:ascii="Arial"/>
          <w:spacing w:val="-18"/>
          <w:w w:val="105"/>
          <w:sz w:val="19"/>
        </w:rPr>
        <w:t xml:space="preserve"> </w:t>
      </w:r>
      <w:r>
        <w:rPr>
          <w:rFonts w:ascii="Arial"/>
          <w:w w:val="105"/>
          <w:sz w:val="19"/>
        </w:rPr>
        <w:t>determine</w:t>
      </w:r>
      <w:r>
        <w:rPr>
          <w:rFonts w:ascii="Arial"/>
          <w:spacing w:val="-17"/>
          <w:w w:val="105"/>
          <w:sz w:val="19"/>
        </w:rPr>
        <w:t xml:space="preserve"> </w:t>
      </w:r>
      <w:r>
        <w:rPr>
          <w:rFonts w:ascii="Arial"/>
          <w:w w:val="105"/>
          <w:sz w:val="19"/>
        </w:rPr>
        <w:t>overall</w:t>
      </w:r>
      <w:r>
        <w:rPr>
          <w:rFonts w:ascii="Arial"/>
          <w:spacing w:val="-19"/>
          <w:w w:val="105"/>
          <w:sz w:val="19"/>
        </w:rPr>
        <w:t xml:space="preserve"> </w:t>
      </w:r>
      <w:r>
        <w:rPr>
          <w:rFonts w:ascii="Arial"/>
          <w:w w:val="105"/>
          <w:sz w:val="19"/>
        </w:rPr>
        <w:t>regulatory</w:t>
      </w:r>
      <w:r>
        <w:rPr>
          <w:rFonts w:ascii="Arial"/>
          <w:spacing w:val="-19"/>
          <w:w w:val="105"/>
          <w:sz w:val="19"/>
        </w:rPr>
        <w:t xml:space="preserve"> </w:t>
      </w:r>
      <w:r>
        <w:rPr>
          <w:rFonts w:ascii="Arial"/>
          <w:w w:val="105"/>
          <w:sz w:val="19"/>
        </w:rPr>
        <w:t>compliance</w:t>
      </w:r>
      <w:r>
        <w:rPr>
          <w:rFonts w:ascii="Arial"/>
          <w:spacing w:val="-18"/>
          <w:w w:val="105"/>
          <w:sz w:val="19"/>
        </w:rPr>
        <w:t xml:space="preserve"> </w:t>
      </w:r>
      <w:r>
        <w:rPr>
          <w:rFonts w:ascii="Arial"/>
          <w:w w:val="105"/>
          <w:sz w:val="19"/>
        </w:rPr>
        <w:t>cost):</w:t>
      </w:r>
      <w:r>
        <w:rPr>
          <w:rFonts w:ascii="Arial"/>
          <w:spacing w:val="-18"/>
          <w:w w:val="105"/>
          <w:sz w:val="19"/>
        </w:rPr>
        <w:t xml:space="preserve"> </w:t>
      </w:r>
      <w:r>
        <w:rPr>
          <w:rFonts w:ascii="Arial"/>
          <w:w w:val="105"/>
          <w:sz w:val="19"/>
        </w:rPr>
        <w:t>52</w:t>
      </w:r>
      <w:r>
        <w:rPr>
          <w:rFonts w:ascii="Arial"/>
          <w:spacing w:val="-19"/>
          <w:w w:val="105"/>
          <w:sz w:val="19"/>
        </w:rPr>
        <w:t xml:space="preserve"> </w:t>
      </w:r>
      <w:r>
        <w:rPr>
          <w:rFonts w:ascii="Arial"/>
          <w:w w:val="105"/>
          <w:sz w:val="19"/>
        </w:rPr>
        <w:t>x</w:t>
      </w:r>
      <w:r>
        <w:rPr>
          <w:rFonts w:ascii="Arial"/>
          <w:spacing w:val="-20"/>
          <w:w w:val="105"/>
          <w:sz w:val="19"/>
        </w:rPr>
        <w:t xml:space="preserve"> </w:t>
      </w:r>
      <w:r>
        <w:rPr>
          <w:rFonts w:ascii="Arial"/>
          <w:w w:val="105"/>
          <w:sz w:val="19"/>
        </w:rPr>
        <w:t>$84.84=</w:t>
      </w:r>
      <w:r>
        <w:rPr>
          <w:rFonts w:ascii="Arial"/>
          <w:spacing w:val="-18"/>
          <w:w w:val="105"/>
          <w:sz w:val="19"/>
        </w:rPr>
        <w:t xml:space="preserve"> </w:t>
      </w:r>
      <w:r>
        <w:rPr>
          <w:rFonts w:ascii="Arial"/>
          <w:w w:val="105"/>
          <w:sz w:val="19"/>
        </w:rPr>
        <w:t>$4,412 Add</w:t>
      </w:r>
      <w:r>
        <w:rPr>
          <w:rFonts w:ascii="Arial"/>
          <w:spacing w:val="-14"/>
          <w:w w:val="105"/>
          <w:sz w:val="19"/>
        </w:rPr>
        <w:t xml:space="preserve"> </w:t>
      </w:r>
      <w:r>
        <w:rPr>
          <w:rFonts w:ascii="Arial"/>
          <w:w w:val="105"/>
          <w:sz w:val="19"/>
        </w:rPr>
        <w:t>the</w:t>
      </w:r>
      <w:r>
        <w:rPr>
          <w:rFonts w:ascii="Arial"/>
          <w:spacing w:val="-11"/>
          <w:w w:val="105"/>
          <w:sz w:val="19"/>
        </w:rPr>
        <w:t xml:space="preserve"> </w:t>
      </w:r>
      <w:r>
        <w:rPr>
          <w:rFonts w:ascii="Arial"/>
          <w:w w:val="105"/>
          <w:sz w:val="19"/>
        </w:rPr>
        <w:t>regulatory</w:t>
      </w:r>
      <w:r>
        <w:rPr>
          <w:rFonts w:ascii="Arial"/>
          <w:spacing w:val="-14"/>
          <w:w w:val="105"/>
          <w:sz w:val="19"/>
        </w:rPr>
        <w:t xml:space="preserve"> </w:t>
      </w:r>
      <w:r>
        <w:rPr>
          <w:rFonts w:ascii="Arial"/>
          <w:w w:val="105"/>
          <w:sz w:val="19"/>
        </w:rPr>
        <w:t>consultant</w:t>
      </w:r>
      <w:r>
        <w:rPr>
          <w:rFonts w:ascii="Arial"/>
          <w:spacing w:val="-13"/>
          <w:w w:val="105"/>
          <w:sz w:val="19"/>
        </w:rPr>
        <w:t xml:space="preserve"> </w:t>
      </w:r>
      <w:r>
        <w:rPr>
          <w:rFonts w:ascii="Arial"/>
          <w:w w:val="105"/>
          <w:sz w:val="19"/>
        </w:rPr>
        <w:t>charges:</w:t>
      </w:r>
      <w:r>
        <w:rPr>
          <w:rFonts w:ascii="Arial"/>
          <w:spacing w:val="-12"/>
          <w:w w:val="105"/>
          <w:sz w:val="19"/>
        </w:rPr>
        <w:t xml:space="preserve"> </w:t>
      </w:r>
      <w:r>
        <w:rPr>
          <w:rFonts w:ascii="Arial"/>
          <w:w w:val="105"/>
          <w:sz w:val="19"/>
        </w:rPr>
        <w:t>$4,412</w:t>
      </w:r>
      <w:r>
        <w:rPr>
          <w:rFonts w:ascii="Arial"/>
          <w:spacing w:val="-13"/>
          <w:w w:val="105"/>
          <w:sz w:val="19"/>
        </w:rPr>
        <w:t xml:space="preserve"> </w:t>
      </w:r>
      <w:r>
        <w:rPr>
          <w:rFonts w:ascii="Arial"/>
          <w:w w:val="105"/>
          <w:sz w:val="19"/>
        </w:rPr>
        <w:t>+</w:t>
      </w:r>
      <w:r>
        <w:rPr>
          <w:rFonts w:ascii="Arial"/>
          <w:spacing w:val="-13"/>
          <w:w w:val="105"/>
          <w:sz w:val="19"/>
        </w:rPr>
        <w:t xml:space="preserve"> </w:t>
      </w:r>
      <w:r>
        <w:rPr>
          <w:rFonts w:ascii="Arial"/>
          <w:w w:val="105"/>
          <w:sz w:val="19"/>
        </w:rPr>
        <w:t>$30,000</w:t>
      </w:r>
      <w:r>
        <w:rPr>
          <w:rFonts w:ascii="Arial"/>
          <w:spacing w:val="-11"/>
          <w:w w:val="105"/>
          <w:sz w:val="19"/>
        </w:rPr>
        <w:t xml:space="preserve"> </w:t>
      </w:r>
      <w:r>
        <w:rPr>
          <w:rFonts w:ascii="Arial"/>
          <w:w w:val="105"/>
          <w:sz w:val="19"/>
        </w:rPr>
        <w:t>=</w:t>
      </w:r>
      <w:r>
        <w:rPr>
          <w:rFonts w:ascii="Arial"/>
          <w:spacing w:val="-12"/>
          <w:w w:val="105"/>
          <w:sz w:val="19"/>
        </w:rPr>
        <w:t xml:space="preserve"> </w:t>
      </w:r>
      <w:r>
        <w:rPr>
          <w:rFonts w:ascii="Arial"/>
          <w:w w:val="105"/>
          <w:sz w:val="19"/>
        </w:rPr>
        <w:t>$34,412</w:t>
      </w:r>
    </w:p>
    <w:p w:rsidR="007D76BB" w:rsidRDefault="00D70D28">
      <w:pPr>
        <w:pStyle w:val="Heading6"/>
        <w:spacing w:before="157"/>
        <w:rPr>
          <w:rFonts w:ascii="Lucida Sans"/>
          <w:b/>
        </w:rPr>
      </w:pPr>
      <w:r>
        <w:rPr>
          <w:rFonts w:ascii="Lucida Sans"/>
          <w:b/>
        </w:rPr>
        <w:t>Impact Analysis Option 3</w:t>
      </w:r>
    </w:p>
    <w:p w:rsidR="007D76BB" w:rsidRDefault="00D70D28">
      <w:pPr>
        <w:pStyle w:val="BodyText"/>
        <w:spacing w:before="197"/>
        <w:ind w:left="482"/>
        <w:rPr>
          <w:rFonts w:ascii="Lucida Sans"/>
          <w:b/>
        </w:rPr>
      </w:pPr>
      <w:r>
        <w:rPr>
          <w:rFonts w:ascii="Lucida Sans"/>
          <w:b/>
          <w:color w:val="608FB5"/>
        </w:rPr>
        <w:t>Products</w:t>
      </w:r>
    </w:p>
    <w:p w:rsidR="007D76BB" w:rsidRDefault="00D70D28">
      <w:pPr>
        <w:spacing w:before="103" w:line="285" w:lineRule="auto"/>
        <w:ind w:left="482" w:right="873"/>
        <w:rPr>
          <w:rFonts w:ascii="Arial"/>
          <w:sz w:val="19"/>
        </w:rPr>
      </w:pPr>
      <w:r>
        <w:rPr>
          <w:rFonts w:ascii="Arial"/>
          <w:w w:val="105"/>
          <w:sz w:val="19"/>
        </w:rPr>
        <w:t>Option</w:t>
      </w:r>
      <w:r>
        <w:rPr>
          <w:rFonts w:ascii="Arial"/>
          <w:spacing w:val="-27"/>
          <w:w w:val="105"/>
          <w:sz w:val="19"/>
        </w:rPr>
        <w:t xml:space="preserve"> </w:t>
      </w:r>
      <w:r>
        <w:rPr>
          <w:rFonts w:ascii="Arial"/>
          <w:w w:val="105"/>
          <w:sz w:val="19"/>
        </w:rPr>
        <w:t>3</w:t>
      </w:r>
      <w:r>
        <w:rPr>
          <w:rFonts w:ascii="Arial"/>
          <w:spacing w:val="-27"/>
          <w:w w:val="105"/>
          <w:sz w:val="19"/>
        </w:rPr>
        <w:t xml:space="preserve"> </w:t>
      </w:r>
      <w:r>
        <w:rPr>
          <w:rFonts w:ascii="Arial"/>
          <w:w w:val="105"/>
          <w:sz w:val="19"/>
        </w:rPr>
        <w:t>excludes</w:t>
      </w:r>
      <w:r>
        <w:rPr>
          <w:rFonts w:ascii="Arial"/>
          <w:spacing w:val="-26"/>
          <w:w w:val="105"/>
          <w:sz w:val="19"/>
        </w:rPr>
        <w:t xml:space="preserve"> </w:t>
      </w:r>
      <w:r>
        <w:rPr>
          <w:rFonts w:ascii="Arial"/>
          <w:w w:val="105"/>
          <w:sz w:val="19"/>
        </w:rPr>
        <w:t>sports</w:t>
      </w:r>
      <w:r>
        <w:rPr>
          <w:rFonts w:ascii="Arial"/>
          <w:spacing w:val="-26"/>
          <w:w w:val="105"/>
          <w:sz w:val="19"/>
        </w:rPr>
        <w:t xml:space="preserve"> </w:t>
      </w:r>
      <w:r>
        <w:rPr>
          <w:rFonts w:ascii="Arial"/>
          <w:w w:val="105"/>
          <w:sz w:val="19"/>
        </w:rPr>
        <w:t>supplement</w:t>
      </w:r>
      <w:r>
        <w:rPr>
          <w:rFonts w:ascii="Arial"/>
          <w:spacing w:val="-26"/>
          <w:w w:val="105"/>
          <w:sz w:val="19"/>
        </w:rPr>
        <w:t xml:space="preserve"> </w:t>
      </w:r>
      <w:r>
        <w:rPr>
          <w:rFonts w:ascii="Arial"/>
          <w:w w:val="105"/>
          <w:sz w:val="19"/>
        </w:rPr>
        <w:t>products</w:t>
      </w:r>
      <w:r>
        <w:rPr>
          <w:rFonts w:ascii="Arial"/>
          <w:spacing w:val="-27"/>
          <w:w w:val="105"/>
          <w:sz w:val="19"/>
        </w:rPr>
        <w:t xml:space="preserve"> </w:t>
      </w:r>
      <w:r>
        <w:rPr>
          <w:rFonts w:ascii="Arial"/>
          <w:w w:val="105"/>
          <w:sz w:val="19"/>
        </w:rPr>
        <w:t>which</w:t>
      </w:r>
      <w:r>
        <w:rPr>
          <w:rFonts w:ascii="Arial"/>
          <w:spacing w:val="-27"/>
          <w:w w:val="105"/>
          <w:sz w:val="19"/>
        </w:rPr>
        <w:t xml:space="preserve"> </w:t>
      </w:r>
      <w:r>
        <w:rPr>
          <w:rFonts w:ascii="Arial"/>
          <w:w w:val="105"/>
          <w:sz w:val="19"/>
        </w:rPr>
        <w:t>are</w:t>
      </w:r>
      <w:r>
        <w:rPr>
          <w:rFonts w:ascii="Arial"/>
          <w:spacing w:val="-25"/>
          <w:w w:val="105"/>
          <w:sz w:val="19"/>
        </w:rPr>
        <w:t xml:space="preserve"> </w:t>
      </w:r>
      <w:r>
        <w:rPr>
          <w:rFonts w:ascii="Arial"/>
          <w:w w:val="105"/>
          <w:sz w:val="19"/>
        </w:rPr>
        <w:t>presented</w:t>
      </w:r>
      <w:r>
        <w:rPr>
          <w:rFonts w:ascii="Arial"/>
          <w:spacing w:val="-28"/>
          <w:w w:val="105"/>
          <w:sz w:val="19"/>
        </w:rPr>
        <w:t xml:space="preserve"> </w:t>
      </w:r>
      <w:r>
        <w:rPr>
          <w:rFonts w:ascii="Arial"/>
          <w:w w:val="105"/>
          <w:sz w:val="19"/>
        </w:rPr>
        <w:t>as</w:t>
      </w:r>
      <w:r>
        <w:rPr>
          <w:rFonts w:ascii="Arial"/>
          <w:spacing w:val="-26"/>
          <w:w w:val="105"/>
          <w:sz w:val="19"/>
        </w:rPr>
        <w:t xml:space="preserve"> </w:t>
      </w:r>
      <w:r>
        <w:rPr>
          <w:rFonts w:ascii="Arial"/>
          <w:w w:val="105"/>
          <w:sz w:val="19"/>
        </w:rPr>
        <w:t>either</w:t>
      </w:r>
      <w:r>
        <w:rPr>
          <w:rFonts w:ascii="Arial"/>
          <w:spacing w:val="-26"/>
          <w:w w:val="105"/>
          <w:sz w:val="19"/>
        </w:rPr>
        <w:t xml:space="preserve"> </w:t>
      </w:r>
      <w:r>
        <w:rPr>
          <w:rFonts w:ascii="Arial"/>
          <w:w w:val="105"/>
          <w:sz w:val="19"/>
        </w:rPr>
        <w:t>a</w:t>
      </w:r>
      <w:r>
        <w:rPr>
          <w:rFonts w:ascii="Arial"/>
          <w:spacing w:val="-23"/>
          <w:w w:val="105"/>
          <w:sz w:val="19"/>
        </w:rPr>
        <w:t xml:space="preserve"> </w:t>
      </w:r>
      <w:r>
        <w:rPr>
          <w:rFonts w:ascii="Arial"/>
          <w:w w:val="105"/>
          <w:sz w:val="19"/>
        </w:rPr>
        <w:t>pill,</w:t>
      </w:r>
      <w:r>
        <w:rPr>
          <w:rFonts w:ascii="Arial"/>
          <w:spacing w:val="-26"/>
          <w:w w:val="105"/>
          <w:sz w:val="19"/>
        </w:rPr>
        <w:t xml:space="preserve"> </w:t>
      </w:r>
      <w:r>
        <w:rPr>
          <w:rFonts w:ascii="Arial"/>
          <w:w w:val="105"/>
          <w:sz w:val="19"/>
        </w:rPr>
        <w:t>tablet</w:t>
      </w:r>
      <w:r>
        <w:rPr>
          <w:rFonts w:ascii="Arial"/>
          <w:spacing w:val="-25"/>
          <w:w w:val="105"/>
          <w:sz w:val="19"/>
        </w:rPr>
        <w:t xml:space="preserve"> </w:t>
      </w:r>
      <w:r>
        <w:rPr>
          <w:rFonts w:ascii="Arial"/>
          <w:w w:val="105"/>
          <w:sz w:val="19"/>
        </w:rPr>
        <w:t>or</w:t>
      </w:r>
      <w:r>
        <w:rPr>
          <w:rFonts w:ascii="Arial"/>
          <w:spacing w:val="-26"/>
          <w:w w:val="105"/>
          <w:sz w:val="19"/>
        </w:rPr>
        <w:t xml:space="preserve"> </w:t>
      </w:r>
      <w:r>
        <w:rPr>
          <w:rFonts w:ascii="Arial"/>
          <w:w w:val="105"/>
          <w:sz w:val="19"/>
        </w:rPr>
        <w:t>capsule. Option</w:t>
      </w:r>
      <w:r>
        <w:rPr>
          <w:rFonts w:ascii="Arial"/>
          <w:spacing w:val="-20"/>
          <w:w w:val="105"/>
          <w:sz w:val="19"/>
        </w:rPr>
        <w:t xml:space="preserve"> </w:t>
      </w:r>
      <w:r>
        <w:rPr>
          <w:rFonts w:ascii="Arial"/>
          <w:w w:val="105"/>
          <w:sz w:val="19"/>
        </w:rPr>
        <w:t>3</w:t>
      </w:r>
      <w:r>
        <w:rPr>
          <w:rFonts w:ascii="Arial"/>
          <w:spacing w:val="-19"/>
          <w:w w:val="105"/>
          <w:sz w:val="19"/>
        </w:rPr>
        <w:t xml:space="preserve"> </w:t>
      </w:r>
      <w:r>
        <w:rPr>
          <w:rFonts w:ascii="Arial"/>
          <w:w w:val="105"/>
          <w:sz w:val="19"/>
        </w:rPr>
        <w:t>includes</w:t>
      </w:r>
      <w:r>
        <w:rPr>
          <w:rFonts w:ascii="Arial"/>
          <w:spacing w:val="-19"/>
          <w:w w:val="105"/>
          <w:sz w:val="19"/>
        </w:rPr>
        <w:t xml:space="preserve"> </w:t>
      </w:r>
      <w:r>
        <w:rPr>
          <w:rFonts w:ascii="Arial"/>
          <w:w w:val="105"/>
          <w:sz w:val="19"/>
        </w:rPr>
        <w:t>a</w:t>
      </w:r>
      <w:r>
        <w:rPr>
          <w:rFonts w:ascii="Arial"/>
          <w:spacing w:val="-20"/>
          <w:w w:val="105"/>
          <w:sz w:val="19"/>
        </w:rPr>
        <w:t xml:space="preserve"> </w:t>
      </w:r>
      <w:r>
        <w:rPr>
          <w:rFonts w:ascii="Arial"/>
          <w:w w:val="105"/>
          <w:sz w:val="19"/>
        </w:rPr>
        <w:t>reduced</w:t>
      </w:r>
      <w:r>
        <w:rPr>
          <w:rFonts w:ascii="Arial"/>
          <w:spacing w:val="-21"/>
          <w:w w:val="105"/>
          <w:sz w:val="19"/>
        </w:rPr>
        <w:t xml:space="preserve"> </w:t>
      </w:r>
      <w:r>
        <w:rPr>
          <w:rFonts w:ascii="Arial"/>
          <w:w w:val="105"/>
          <w:sz w:val="19"/>
        </w:rPr>
        <w:t>scope</w:t>
      </w:r>
      <w:r>
        <w:rPr>
          <w:rFonts w:ascii="Arial"/>
          <w:spacing w:val="-16"/>
          <w:w w:val="105"/>
          <w:sz w:val="19"/>
        </w:rPr>
        <w:t xml:space="preserve"> </w:t>
      </w:r>
      <w:r>
        <w:rPr>
          <w:rFonts w:ascii="Arial"/>
          <w:w w:val="105"/>
          <w:sz w:val="19"/>
        </w:rPr>
        <w:t>for</w:t>
      </w:r>
      <w:r>
        <w:rPr>
          <w:rFonts w:ascii="Arial"/>
          <w:spacing w:val="-21"/>
          <w:w w:val="105"/>
          <w:sz w:val="19"/>
        </w:rPr>
        <w:t xml:space="preserve"> </w:t>
      </w:r>
      <w:r>
        <w:rPr>
          <w:rFonts w:ascii="Arial"/>
          <w:w w:val="105"/>
          <w:sz w:val="19"/>
        </w:rPr>
        <w:t>products</w:t>
      </w:r>
      <w:r>
        <w:rPr>
          <w:rFonts w:ascii="Arial"/>
          <w:spacing w:val="-21"/>
          <w:w w:val="105"/>
          <w:sz w:val="19"/>
        </w:rPr>
        <w:t xml:space="preserve"> </w:t>
      </w:r>
      <w:r>
        <w:rPr>
          <w:rFonts w:ascii="Arial"/>
          <w:w w:val="105"/>
          <w:sz w:val="19"/>
        </w:rPr>
        <w:t>affected</w:t>
      </w:r>
      <w:r>
        <w:rPr>
          <w:rFonts w:ascii="Arial"/>
          <w:spacing w:val="-21"/>
          <w:w w:val="105"/>
          <w:sz w:val="19"/>
        </w:rPr>
        <w:t xml:space="preserve"> </w:t>
      </w:r>
      <w:r>
        <w:rPr>
          <w:rFonts w:ascii="Arial"/>
          <w:w w:val="105"/>
          <w:sz w:val="19"/>
        </w:rPr>
        <w:t>by</w:t>
      </w:r>
      <w:r>
        <w:rPr>
          <w:rFonts w:ascii="Arial"/>
          <w:spacing w:val="-20"/>
          <w:w w:val="105"/>
          <w:sz w:val="19"/>
        </w:rPr>
        <w:t xml:space="preserve"> </w:t>
      </w:r>
      <w:r>
        <w:rPr>
          <w:rFonts w:ascii="Arial"/>
          <w:w w:val="105"/>
          <w:sz w:val="19"/>
        </w:rPr>
        <w:t>the</w:t>
      </w:r>
      <w:r>
        <w:rPr>
          <w:rFonts w:ascii="Arial"/>
          <w:spacing w:val="-18"/>
          <w:w w:val="105"/>
          <w:sz w:val="19"/>
        </w:rPr>
        <w:t xml:space="preserve"> </w:t>
      </w:r>
      <w:r>
        <w:rPr>
          <w:rFonts w:ascii="Arial"/>
          <w:w w:val="105"/>
          <w:sz w:val="19"/>
        </w:rPr>
        <w:t>regulatory</w:t>
      </w:r>
      <w:r>
        <w:rPr>
          <w:rFonts w:ascii="Arial"/>
          <w:spacing w:val="-20"/>
          <w:w w:val="105"/>
          <w:sz w:val="19"/>
        </w:rPr>
        <w:t xml:space="preserve"> </w:t>
      </w:r>
      <w:r>
        <w:rPr>
          <w:rFonts w:ascii="Arial"/>
          <w:w w:val="105"/>
          <w:sz w:val="19"/>
        </w:rPr>
        <w:t>clarification</w:t>
      </w:r>
      <w:r>
        <w:rPr>
          <w:rFonts w:ascii="Arial"/>
          <w:spacing w:val="-18"/>
          <w:w w:val="105"/>
          <w:sz w:val="19"/>
        </w:rPr>
        <w:t xml:space="preserve"> </w:t>
      </w:r>
      <w:r>
        <w:rPr>
          <w:rFonts w:ascii="Arial"/>
          <w:w w:val="105"/>
          <w:sz w:val="19"/>
        </w:rPr>
        <w:t>rather</w:t>
      </w:r>
      <w:r>
        <w:rPr>
          <w:rFonts w:ascii="Arial"/>
          <w:spacing w:val="-21"/>
          <w:w w:val="105"/>
          <w:sz w:val="19"/>
        </w:rPr>
        <w:t xml:space="preserve"> </w:t>
      </w:r>
      <w:r>
        <w:rPr>
          <w:rFonts w:ascii="Arial"/>
          <w:w w:val="105"/>
          <w:sz w:val="19"/>
        </w:rPr>
        <w:t>than</w:t>
      </w:r>
      <w:r>
        <w:rPr>
          <w:rFonts w:ascii="Arial"/>
          <w:spacing w:val="-17"/>
          <w:w w:val="105"/>
          <w:sz w:val="19"/>
        </w:rPr>
        <w:t xml:space="preserve"> </w:t>
      </w:r>
      <w:r>
        <w:rPr>
          <w:rFonts w:ascii="Arial"/>
          <w:w w:val="105"/>
          <w:sz w:val="19"/>
        </w:rPr>
        <w:t>a reduced or modified requirement (regulatory activity). Therefore, much of the regulatory impacts (timings and costs) are the same as those outlined for options 2A &amp; 2B. Therefore, the key differences</w:t>
      </w:r>
      <w:r>
        <w:rPr>
          <w:rFonts w:ascii="Arial"/>
          <w:spacing w:val="-19"/>
          <w:w w:val="105"/>
          <w:sz w:val="19"/>
        </w:rPr>
        <w:t xml:space="preserve"> </w:t>
      </w:r>
      <w:r>
        <w:rPr>
          <w:rFonts w:ascii="Arial"/>
          <w:w w:val="105"/>
          <w:sz w:val="19"/>
        </w:rPr>
        <w:t>in</w:t>
      </w:r>
      <w:r>
        <w:rPr>
          <w:rFonts w:ascii="Arial"/>
          <w:spacing w:val="-17"/>
          <w:w w:val="105"/>
          <w:sz w:val="19"/>
        </w:rPr>
        <w:t xml:space="preserve"> </w:t>
      </w:r>
      <w:r>
        <w:rPr>
          <w:rFonts w:ascii="Arial"/>
          <w:w w:val="105"/>
          <w:sz w:val="19"/>
        </w:rPr>
        <w:t>regulatory</w:t>
      </w:r>
      <w:r>
        <w:rPr>
          <w:rFonts w:ascii="Arial"/>
          <w:spacing w:val="-20"/>
          <w:w w:val="105"/>
          <w:sz w:val="19"/>
        </w:rPr>
        <w:t xml:space="preserve"> </w:t>
      </w:r>
      <w:r>
        <w:rPr>
          <w:rFonts w:ascii="Arial"/>
          <w:w w:val="105"/>
          <w:sz w:val="19"/>
        </w:rPr>
        <w:t>burden</w:t>
      </w:r>
      <w:r>
        <w:rPr>
          <w:rFonts w:ascii="Arial"/>
          <w:spacing w:val="-17"/>
          <w:w w:val="105"/>
          <w:sz w:val="19"/>
        </w:rPr>
        <w:t xml:space="preserve"> </w:t>
      </w:r>
      <w:r>
        <w:rPr>
          <w:rFonts w:ascii="Arial"/>
          <w:w w:val="105"/>
          <w:sz w:val="19"/>
        </w:rPr>
        <w:t>for</w:t>
      </w:r>
      <w:r>
        <w:rPr>
          <w:rFonts w:ascii="Arial"/>
          <w:spacing w:val="-18"/>
          <w:w w:val="105"/>
          <w:sz w:val="19"/>
        </w:rPr>
        <w:t xml:space="preserve"> </w:t>
      </w:r>
      <w:r>
        <w:rPr>
          <w:rFonts w:ascii="Arial"/>
          <w:w w:val="105"/>
          <w:sz w:val="19"/>
        </w:rPr>
        <w:t>Option</w:t>
      </w:r>
      <w:r>
        <w:rPr>
          <w:rFonts w:ascii="Arial"/>
          <w:spacing w:val="-17"/>
          <w:w w:val="105"/>
          <w:sz w:val="19"/>
        </w:rPr>
        <w:t xml:space="preserve"> </w:t>
      </w:r>
      <w:r>
        <w:rPr>
          <w:rFonts w:ascii="Arial"/>
          <w:w w:val="105"/>
          <w:sz w:val="19"/>
        </w:rPr>
        <w:t>3</w:t>
      </w:r>
      <w:r>
        <w:rPr>
          <w:rFonts w:ascii="Arial"/>
          <w:spacing w:val="-18"/>
          <w:w w:val="105"/>
          <w:sz w:val="19"/>
        </w:rPr>
        <w:t xml:space="preserve"> </w:t>
      </w:r>
      <w:r>
        <w:rPr>
          <w:rFonts w:ascii="Arial"/>
          <w:w w:val="105"/>
          <w:sz w:val="19"/>
        </w:rPr>
        <w:t>are</w:t>
      </w:r>
      <w:r>
        <w:rPr>
          <w:rFonts w:ascii="Arial"/>
          <w:spacing w:val="-17"/>
          <w:w w:val="105"/>
          <w:sz w:val="19"/>
        </w:rPr>
        <w:t xml:space="preserve"> </w:t>
      </w:r>
      <w:r>
        <w:rPr>
          <w:rFonts w:ascii="Arial"/>
          <w:w w:val="105"/>
          <w:sz w:val="19"/>
        </w:rPr>
        <w:t>driven</w:t>
      </w:r>
      <w:r>
        <w:rPr>
          <w:rFonts w:ascii="Arial"/>
          <w:spacing w:val="-19"/>
          <w:w w:val="105"/>
          <w:sz w:val="19"/>
        </w:rPr>
        <w:t xml:space="preserve"> </w:t>
      </w:r>
      <w:r>
        <w:rPr>
          <w:rFonts w:ascii="Arial"/>
          <w:w w:val="105"/>
          <w:sz w:val="19"/>
        </w:rPr>
        <w:t>by</w:t>
      </w:r>
      <w:r>
        <w:rPr>
          <w:rFonts w:ascii="Arial"/>
          <w:spacing w:val="-16"/>
          <w:w w:val="105"/>
          <w:sz w:val="19"/>
        </w:rPr>
        <w:t xml:space="preserve"> </w:t>
      </w:r>
      <w:r>
        <w:rPr>
          <w:rFonts w:ascii="Arial"/>
          <w:w w:val="105"/>
          <w:sz w:val="19"/>
        </w:rPr>
        <w:t>the</w:t>
      </w:r>
      <w:r>
        <w:rPr>
          <w:rFonts w:ascii="Arial"/>
          <w:spacing w:val="-17"/>
          <w:w w:val="105"/>
          <w:sz w:val="19"/>
        </w:rPr>
        <w:t xml:space="preserve"> </w:t>
      </w:r>
      <w:r>
        <w:rPr>
          <w:rFonts w:ascii="Arial"/>
          <w:w w:val="105"/>
          <w:sz w:val="19"/>
        </w:rPr>
        <w:t>reduced</w:t>
      </w:r>
      <w:r>
        <w:rPr>
          <w:rFonts w:ascii="Arial"/>
          <w:spacing w:val="-20"/>
          <w:w w:val="105"/>
          <w:sz w:val="19"/>
        </w:rPr>
        <w:t xml:space="preserve"> </w:t>
      </w:r>
      <w:r>
        <w:rPr>
          <w:rFonts w:ascii="Arial"/>
          <w:w w:val="105"/>
          <w:sz w:val="19"/>
        </w:rPr>
        <w:t>product</w:t>
      </w:r>
      <w:r>
        <w:rPr>
          <w:rFonts w:ascii="Arial"/>
          <w:spacing w:val="-19"/>
          <w:w w:val="105"/>
          <w:sz w:val="19"/>
        </w:rPr>
        <w:t xml:space="preserve"> </w:t>
      </w:r>
      <w:r>
        <w:rPr>
          <w:rFonts w:ascii="Arial"/>
          <w:w w:val="105"/>
          <w:sz w:val="19"/>
        </w:rPr>
        <w:t>population</w:t>
      </w:r>
      <w:r>
        <w:rPr>
          <w:rFonts w:ascii="Arial"/>
          <w:spacing w:val="-18"/>
          <w:w w:val="105"/>
          <w:sz w:val="19"/>
        </w:rPr>
        <w:t xml:space="preserve"> </w:t>
      </w:r>
      <w:r>
        <w:rPr>
          <w:rFonts w:ascii="Arial"/>
          <w:w w:val="105"/>
          <w:sz w:val="19"/>
        </w:rPr>
        <w:t>and</w:t>
      </w:r>
      <w:r>
        <w:rPr>
          <w:rFonts w:ascii="Arial"/>
          <w:spacing w:val="-19"/>
          <w:w w:val="105"/>
          <w:sz w:val="19"/>
        </w:rPr>
        <w:t xml:space="preserve"> </w:t>
      </w:r>
      <w:r>
        <w:rPr>
          <w:rFonts w:ascii="Arial"/>
          <w:w w:val="105"/>
          <w:sz w:val="19"/>
        </w:rPr>
        <w:t>the flow-on</w:t>
      </w:r>
      <w:r>
        <w:rPr>
          <w:rFonts w:ascii="Arial"/>
          <w:spacing w:val="-15"/>
          <w:w w:val="105"/>
          <w:sz w:val="19"/>
        </w:rPr>
        <w:t xml:space="preserve"> </w:t>
      </w:r>
      <w:r>
        <w:rPr>
          <w:rFonts w:ascii="Arial"/>
          <w:w w:val="105"/>
          <w:sz w:val="19"/>
        </w:rPr>
        <w:t>impact</w:t>
      </w:r>
      <w:r>
        <w:rPr>
          <w:rFonts w:ascii="Arial"/>
          <w:spacing w:val="-15"/>
          <w:w w:val="105"/>
          <w:sz w:val="19"/>
        </w:rPr>
        <w:t xml:space="preserve"> </w:t>
      </w:r>
      <w:r>
        <w:rPr>
          <w:rFonts w:ascii="Arial"/>
          <w:w w:val="105"/>
          <w:sz w:val="19"/>
        </w:rPr>
        <w:t>in</w:t>
      </w:r>
      <w:r>
        <w:rPr>
          <w:rFonts w:ascii="Arial"/>
          <w:spacing w:val="-17"/>
          <w:w w:val="105"/>
          <w:sz w:val="19"/>
        </w:rPr>
        <w:t xml:space="preserve"> </w:t>
      </w:r>
      <w:r>
        <w:rPr>
          <w:rFonts w:ascii="Arial"/>
          <w:w w:val="105"/>
          <w:sz w:val="19"/>
        </w:rPr>
        <w:t>the</w:t>
      </w:r>
      <w:r>
        <w:rPr>
          <w:rFonts w:ascii="Arial"/>
          <w:spacing w:val="-17"/>
          <w:w w:val="105"/>
          <w:sz w:val="19"/>
        </w:rPr>
        <w:t xml:space="preserve"> </w:t>
      </w:r>
      <w:r>
        <w:rPr>
          <w:rFonts w:ascii="Arial"/>
          <w:w w:val="105"/>
          <w:sz w:val="19"/>
        </w:rPr>
        <w:t>number</w:t>
      </w:r>
      <w:r>
        <w:rPr>
          <w:rFonts w:ascii="Arial"/>
          <w:spacing w:val="-14"/>
          <w:w w:val="105"/>
          <w:sz w:val="19"/>
        </w:rPr>
        <w:t xml:space="preserve"> </w:t>
      </w:r>
      <w:r>
        <w:rPr>
          <w:rFonts w:ascii="Arial"/>
          <w:w w:val="105"/>
          <w:sz w:val="19"/>
        </w:rPr>
        <w:t>of</w:t>
      </w:r>
      <w:r>
        <w:rPr>
          <w:rFonts w:ascii="Arial"/>
          <w:spacing w:val="-17"/>
          <w:w w:val="105"/>
          <w:sz w:val="19"/>
        </w:rPr>
        <w:t xml:space="preserve"> </w:t>
      </w:r>
      <w:r>
        <w:rPr>
          <w:rFonts w:ascii="Arial"/>
          <w:w w:val="105"/>
          <w:sz w:val="19"/>
        </w:rPr>
        <w:t>potential</w:t>
      </w:r>
      <w:r>
        <w:rPr>
          <w:rFonts w:ascii="Arial"/>
          <w:spacing w:val="-15"/>
          <w:w w:val="105"/>
          <w:sz w:val="19"/>
        </w:rPr>
        <w:t xml:space="preserve"> </w:t>
      </w:r>
      <w:r>
        <w:rPr>
          <w:rFonts w:ascii="Arial"/>
          <w:w w:val="105"/>
          <w:sz w:val="19"/>
        </w:rPr>
        <w:t>new</w:t>
      </w:r>
      <w:r>
        <w:rPr>
          <w:rFonts w:ascii="Arial"/>
          <w:spacing w:val="-17"/>
          <w:w w:val="105"/>
          <w:sz w:val="19"/>
        </w:rPr>
        <w:t xml:space="preserve"> </w:t>
      </w:r>
      <w:r>
        <w:rPr>
          <w:rFonts w:ascii="Arial"/>
          <w:w w:val="105"/>
          <w:sz w:val="19"/>
        </w:rPr>
        <w:t>sponsors</w:t>
      </w:r>
      <w:r>
        <w:rPr>
          <w:rFonts w:ascii="Arial"/>
          <w:spacing w:val="-17"/>
          <w:w w:val="105"/>
          <w:sz w:val="19"/>
        </w:rPr>
        <w:t xml:space="preserve"> </w:t>
      </w:r>
      <w:r>
        <w:rPr>
          <w:rFonts w:ascii="Arial"/>
          <w:w w:val="105"/>
          <w:sz w:val="19"/>
        </w:rPr>
        <w:t>and</w:t>
      </w:r>
      <w:r>
        <w:rPr>
          <w:rFonts w:ascii="Arial"/>
          <w:spacing w:val="-17"/>
          <w:w w:val="105"/>
          <w:sz w:val="19"/>
        </w:rPr>
        <w:t xml:space="preserve"> </w:t>
      </w:r>
      <w:r>
        <w:rPr>
          <w:rFonts w:ascii="Arial"/>
          <w:w w:val="105"/>
          <w:sz w:val="19"/>
        </w:rPr>
        <w:t>new</w:t>
      </w:r>
      <w:r>
        <w:rPr>
          <w:rFonts w:ascii="Arial"/>
          <w:spacing w:val="-13"/>
          <w:w w:val="105"/>
          <w:sz w:val="19"/>
        </w:rPr>
        <w:t xml:space="preserve"> </w:t>
      </w:r>
      <w:r>
        <w:rPr>
          <w:rFonts w:ascii="Arial"/>
          <w:w w:val="105"/>
          <w:sz w:val="19"/>
        </w:rPr>
        <w:t>ingredient</w:t>
      </w:r>
      <w:r>
        <w:rPr>
          <w:rFonts w:ascii="Arial"/>
          <w:spacing w:val="-17"/>
          <w:w w:val="105"/>
          <w:sz w:val="19"/>
        </w:rPr>
        <w:t xml:space="preserve"> </w:t>
      </w:r>
      <w:r>
        <w:rPr>
          <w:rFonts w:ascii="Arial"/>
          <w:w w:val="105"/>
          <w:sz w:val="19"/>
        </w:rPr>
        <w:t>applications.</w:t>
      </w:r>
    </w:p>
    <w:p w:rsidR="007D76BB" w:rsidRDefault="00D70D28">
      <w:pPr>
        <w:spacing w:before="159" w:line="285" w:lineRule="auto"/>
        <w:ind w:left="482" w:right="879"/>
        <w:rPr>
          <w:rFonts w:ascii="Arial"/>
          <w:sz w:val="19"/>
        </w:rPr>
      </w:pPr>
      <w:r>
        <w:rPr>
          <w:rFonts w:ascii="Arial"/>
          <w:w w:val="105"/>
          <w:sz w:val="19"/>
        </w:rPr>
        <w:t>Table</w:t>
      </w:r>
      <w:r>
        <w:rPr>
          <w:rFonts w:ascii="Arial"/>
          <w:spacing w:val="-23"/>
          <w:w w:val="105"/>
          <w:sz w:val="19"/>
        </w:rPr>
        <w:t xml:space="preserve"> </w:t>
      </w:r>
      <w:r>
        <w:rPr>
          <w:rFonts w:ascii="Arial"/>
          <w:w w:val="105"/>
          <w:sz w:val="19"/>
        </w:rPr>
        <w:t>10</w:t>
      </w:r>
      <w:r>
        <w:rPr>
          <w:rFonts w:ascii="Arial"/>
          <w:spacing w:val="-22"/>
          <w:w w:val="105"/>
          <w:sz w:val="19"/>
        </w:rPr>
        <w:t xml:space="preserve"> </w:t>
      </w:r>
      <w:r>
        <w:rPr>
          <w:rFonts w:ascii="Arial"/>
          <w:w w:val="105"/>
          <w:sz w:val="19"/>
        </w:rPr>
        <w:t>(below)</w:t>
      </w:r>
      <w:r>
        <w:rPr>
          <w:rFonts w:ascii="Arial"/>
          <w:spacing w:val="-25"/>
          <w:w w:val="105"/>
          <w:sz w:val="19"/>
        </w:rPr>
        <w:t xml:space="preserve"> </w:t>
      </w:r>
      <w:r>
        <w:rPr>
          <w:rFonts w:ascii="Arial"/>
          <w:w w:val="105"/>
          <w:sz w:val="19"/>
        </w:rPr>
        <w:t>represents</w:t>
      </w:r>
      <w:r>
        <w:rPr>
          <w:rFonts w:ascii="Arial"/>
          <w:spacing w:val="-25"/>
          <w:w w:val="105"/>
          <w:sz w:val="19"/>
        </w:rPr>
        <w:t xml:space="preserve"> </w:t>
      </w:r>
      <w:r>
        <w:rPr>
          <w:rFonts w:ascii="Arial"/>
          <w:w w:val="105"/>
          <w:sz w:val="19"/>
        </w:rPr>
        <w:t>an</w:t>
      </w:r>
      <w:r>
        <w:rPr>
          <w:rFonts w:ascii="Arial"/>
          <w:spacing w:val="-22"/>
          <w:w w:val="105"/>
          <w:sz w:val="19"/>
        </w:rPr>
        <w:t xml:space="preserve"> </w:t>
      </w:r>
      <w:r>
        <w:rPr>
          <w:rFonts w:ascii="Arial"/>
          <w:w w:val="105"/>
          <w:sz w:val="19"/>
        </w:rPr>
        <w:t>extrapolation</w:t>
      </w:r>
      <w:r>
        <w:rPr>
          <w:rFonts w:ascii="Arial"/>
          <w:spacing w:val="-23"/>
          <w:w w:val="105"/>
          <w:sz w:val="19"/>
        </w:rPr>
        <w:t xml:space="preserve"> </w:t>
      </w:r>
      <w:r>
        <w:rPr>
          <w:rFonts w:ascii="Arial"/>
          <w:w w:val="105"/>
          <w:sz w:val="19"/>
        </w:rPr>
        <w:t>of</w:t>
      </w:r>
      <w:r>
        <w:rPr>
          <w:rFonts w:ascii="Arial"/>
          <w:spacing w:val="-25"/>
          <w:w w:val="105"/>
          <w:sz w:val="19"/>
        </w:rPr>
        <w:t xml:space="preserve"> </w:t>
      </w:r>
      <w:r>
        <w:rPr>
          <w:rFonts w:ascii="Arial"/>
          <w:w w:val="105"/>
          <w:sz w:val="19"/>
        </w:rPr>
        <w:t>the</w:t>
      </w:r>
      <w:r>
        <w:rPr>
          <w:rFonts w:ascii="Arial"/>
          <w:spacing w:val="-25"/>
          <w:w w:val="105"/>
          <w:sz w:val="19"/>
        </w:rPr>
        <w:t xml:space="preserve"> </w:t>
      </w:r>
      <w:r>
        <w:rPr>
          <w:rFonts w:ascii="Arial"/>
          <w:w w:val="105"/>
          <w:sz w:val="19"/>
        </w:rPr>
        <w:t>data</w:t>
      </w:r>
      <w:r>
        <w:rPr>
          <w:rFonts w:ascii="Arial"/>
          <w:spacing w:val="-26"/>
          <w:w w:val="105"/>
          <w:sz w:val="19"/>
        </w:rPr>
        <w:t xml:space="preserve"> </w:t>
      </w:r>
      <w:r>
        <w:rPr>
          <w:rFonts w:ascii="Arial"/>
          <w:w w:val="105"/>
          <w:sz w:val="19"/>
        </w:rPr>
        <w:t>collected</w:t>
      </w:r>
      <w:r>
        <w:rPr>
          <w:rFonts w:ascii="Arial"/>
          <w:spacing w:val="-24"/>
          <w:w w:val="105"/>
          <w:sz w:val="19"/>
        </w:rPr>
        <w:t xml:space="preserve"> </w:t>
      </w:r>
      <w:r>
        <w:rPr>
          <w:rFonts w:ascii="Arial"/>
          <w:w w:val="105"/>
          <w:sz w:val="19"/>
        </w:rPr>
        <w:t>by</w:t>
      </w:r>
      <w:r>
        <w:rPr>
          <w:rFonts w:ascii="Arial"/>
          <w:spacing w:val="-24"/>
          <w:w w:val="105"/>
          <w:sz w:val="19"/>
        </w:rPr>
        <w:t xml:space="preserve"> </w:t>
      </w:r>
      <w:r>
        <w:rPr>
          <w:rFonts w:ascii="Arial"/>
          <w:w w:val="105"/>
          <w:sz w:val="19"/>
        </w:rPr>
        <w:t>Noetic</w:t>
      </w:r>
      <w:r>
        <w:rPr>
          <w:rFonts w:ascii="Arial"/>
          <w:spacing w:val="-21"/>
          <w:w w:val="105"/>
          <w:sz w:val="19"/>
        </w:rPr>
        <w:t xml:space="preserve"> </w:t>
      </w:r>
      <w:r>
        <w:rPr>
          <w:rFonts w:ascii="Arial"/>
          <w:w w:val="105"/>
          <w:sz w:val="19"/>
        </w:rPr>
        <w:t>via</w:t>
      </w:r>
      <w:r>
        <w:rPr>
          <w:rFonts w:ascii="Arial"/>
          <w:spacing w:val="-24"/>
          <w:w w:val="105"/>
          <w:sz w:val="19"/>
        </w:rPr>
        <w:t xml:space="preserve"> </w:t>
      </w:r>
      <w:r>
        <w:rPr>
          <w:rFonts w:ascii="Arial"/>
          <w:w w:val="105"/>
          <w:sz w:val="19"/>
        </w:rPr>
        <w:t>desktop</w:t>
      </w:r>
      <w:r>
        <w:rPr>
          <w:rFonts w:ascii="Arial"/>
          <w:spacing w:val="-23"/>
          <w:w w:val="105"/>
          <w:sz w:val="19"/>
        </w:rPr>
        <w:t xml:space="preserve"> </w:t>
      </w:r>
      <w:r>
        <w:rPr>
          <w:rFonts w:ascii="Arial"/>
          <w:w w:val="105"/>
          <w:sz w:val="19"/>
        </w:rPr>
        <w:t>research. As</w:t>
      </w:r>
      <w:r>
        <w:rPr>
          <w:rFonts w:ascii="Arial"/>
          <w:spacing w:val="-18"/>
          <w:w w:val="105"/>
          <w:sz w:val="19"/>
        </w:rPr>
        <w:t xml:space="preserve"> </w:t>
      </w:r>
      <w:r>
        <w:rPr>
          <w:rFonts w:ascii="Arial"/>
          <w:w w:val="105"/>
          <w:sz w:val="19"/>
        </w:rPr>
        <w:t>this</w:t>
      </w:r>
      <w:r>
        <w:rPr>
          <w:rFonts w:ascii="Arial"/>
          <w:spacing w:val="-20"/>
          <w:w w:val="105"/>
          <w:sz w:val="19"/>
        </w:rPr>
        <w:t xml:space="preserve"> </w:t>
      </w:r>
      <w:r>
        <w:rPr>
          <w:rFonts w:ascii="Arial"/>
          <w:w w:val="105"/>
          <w:sz w:val="19"/>
        </w:rPr>
        <w:t>table</w:t>
      </w:r>
      <w:r>
        <w:rPr>
          <w:rFonts w:ascii="Arial"/>
          <w:spacing w:val="-19"/>
          <w:w w:val="105"/>
          <w:sz w:val="19"/>
        </w:rPr>
        <w:t xml:space="preserve"> </w:t>
      </w:r>
      <w:r>
        <w:rPr>
          <w:rFonts w:ascii="Arial"/>
          <w:w w:val="105"/>
          <w:sz w:val="19"/>
        </w:rPr>
        <w:t>reveals,</w:t>
      </w:r>
      <w:r>
        <w:rPr>
          <w:rFonts w:ascii="Arial"/>
          <w:spacing w:val="-17"/>
          <w:w w:val="105"/>
          <w:sz w:val="19"/>
        </w:rPr>
        <w:t xml:space="preserve"> </w:t>
      </w:r>
      <w:r>
        <w:rPr>
          <w:rFonts w:ascii="Arial"/>
          <w:w w:val="105"/>
          <w:sz w:val="19"/>
        </w:rPr>
        <w:t>of</w:t>
      </w:r>
      <w:r>
        <w:rPr>
          <w:rFonts w:ascii="Arial"/>
          <w:spacing w:val="-20"/>
          <w:w w:val="105"/>
          <w:sz w:val="19"/>
        </w:rPr>
        <w:t xml:space="preserve"> </w:t>
      </w:r>
      <w:r>
        <w:rPr>
          <w:rFonts w:ascii="Arial"/>
          <w:w w:val="105"/>
          <w:sz w:val="19"/>
        </w:rPr>
        <w:t>the</w:t>
      </w:r>
      <w:r>
        <w:rPr>
          <w:rFonts w:ascii="Arial"/>
          <w:spacing w:val="-19"/>
          <w:w w:val="105"/>
          <w:sz w:val="19"/>
        </w:rPr>
        <w:t xml:space="preserve"> </w:t>
      </w:r>
      <w:r>
        <w:rPr>
          <w:rFonts w:ascii="Arial"/>
          <w:w w:val="105"/>
          <w:sz w:val="19"/>
        </w:rPr>
        <w:t>products</w:t>
      </w:r>
      <w:r>
        <w:rPr>
          <w:rFonts w:ascii="Arial"/>
          <w:spacing w:val="-18"/>
          <w:w w:val="105"/>
          <w:sz w:val="19"/>
        </w:rPr>
        <w:t xml:space="preserve"> </w:t>
      </w:r>
      <w:r>
        <w:rPr>
          <w:rFonts w:ascii="Arial"/>
          <w:w w:val="105"/>
          <w:sz w:val="19"/>
        </w:rPr>
        <w:t>most</w:t>
      </w:r>
      <w:r>
        <w:rPr>
          <w:rFonts w:ascii="Arial"/>
          <w:spacing w:val="-18"/>
          <w:w w:val="105"/>
          <w:sz w:val="19"/>
        </w:rPr>
        <w:t xml:space="preserve"> </w:t>
      </w:r>
      <w:r>
        <w:rPr>
          <w:rFonts w:ascii="Arial"/>
          <w:w w:val="105"/>
          <w:sz w:val="19"/>
        </w:rPr>
        <w:t>likely</w:t>
      </w:r>
      <w:r>
        <w:rPr>
          <w:rFonts w:ascii="Arial"/>
          <w:spacing w:val="-20"/>
          <w:w w:val="105"/>
          <w:sz w:val="19"/>
        </w:rPr>
        <w:t xml:space="preserve"> </w:t>
      </w:r>
      <w:r>
        <w:rPr>
          <w:rFonts w:ascii="Arial"/>
          <w:w w:val="105"/>
          <w:sz w:val="19"/>
        </w:rPr>
        <w:t>to</w:t>
      </w:r>
      <w:r>
        <w:rPr>
          <w:rFonts w:ascii="Arial"/>
          <w:spacing w:val="-18"/>
          <w:w w:val="105"/>
          <w:sz w:val="19"/>
        </w:rPr>
        <w:t xml:space="preserve"> </w:t>
      </w:r>
      <w:r>
        <w:rPr>
          <w:rFonts w:ascii="Arial"/>
          <w:w w:val="105"/>
          <w:sz w:val="19"/>
        </w:rPr>
        <w:t>be</w:t>
      </w:r>
      <w:r>
        <w:rPr>
          <w:rFonts w:ascii="Arial"/>
          <w:spacing w:val="-15"/>
          <w:w w:val="105"/>
          <w:sz w:val="19"/>
        </w:rPr>
        <w:t xml:space="preserve"> </w:t>
      </w:r>
      <w:r>
        <w:rPr>
          <w:rFonts w:ascii="Arial"/>
          <w:w w:val="105"/>
          <w:sz w:val="19"/>
        </w:rPr>
        <w:t>affected</w:t>
      </w:r>
      <w:r>
        <w:rPr>
          <w:rFonts w:ascii="Arial"/>
          <w:spacing w:val="-19"/>
          <w:w w:val="105"/>
          <w:sz w:val="19"/>
        </w:rPr>
        <w:t xml:space="preserve"> </w:t>
      </w:r>
      <w:r>
        <w:rPr>
          <w:rFonts w:ascii="Arial"/>
          <w:w w:val="105"/>
          <w:sz w:val="19"/>
        </w:rPr>
        <w:t>by</w:t>
      </w:r>
      <w:r>
        <w:rPr>
          <w:rFonts w:ascii="Arial"/>
          <w:spacing w:val="-18"/>
          <w:w w:val="105"/>
          <w:sz w:val="19"/>
        </w:rPr>
        <w:t xml:space="preserve"> </w:t>
      </w:r>
      <w:r>
        <w:rPr>
          <w:rFonts w:ascii="Arial"/>
          <w:w w:val="105"/>
          <w:sz w:val="19"/>
        </w:rPr>
        <w:t>the</w:t>
      </w:r>
      <w:r>
        <w:rPr>
          <w:rFonts w:ascii="Arial"/>
          <w:spacing w:val="-17"/>
          <w:w w:val="105"/>
          <w:sz w:val="19"/>
        </w:rPr>
        <w:t xml:space="preserve"> </w:t>
      </w:r>
      <w:r>
        <w:rPr>
          <w:rFonts w:ascii="Arial"/>
          <w:w w:val="105"/>
          <w:sz w:val="19"/>
        </w:rPr>
        <w:t>clarification</w:t>
      </w:r>
      <w:r>
        <w:rPr>
          <w:rFonts w:ascii="Arial"/>
          <w:spacing w:val="-17"/>
          <w:w w:val="105"/>
          <w:sz w:val="19"/>
        </w:rPr>
        <w:t xml:space="preserve"> </w:t>
      </w:r>
      <w:r>
        <w:rPr>
          <w:rFonts w:ascii="Arial"/>
          <w:w w:val="105"/>
          <w:sz w:val="19"/>
        </w:rPr>
        <w:t>(Fat</w:t>
      </w:r>
      <w:r>
        <w:rPr>
          <w:rFonts w:ascii="Arial"/>
          <w:spacing w:val="-17"/>
          <w:w w:val="105"/>
          <w:sz w:val="19"/>
        </w:rPr>
        <w:t xml:space="preserve"> </w:t>
      </w:r>
      <w:r>
        <w:rPr>
          <w:rFonts w:ascii="Arial"/>
          <w:w w:val="105"/>
          <w:sz w:val="19"/>
        </w:rPr>
        <w:t>Burner,</w:t>
      </w:r>
      <w:r>
        <w:rPr>
          <w:rFonts w:ascii="Arial"/>
          <w:spacing w:val="-17"/>
          <w:w w:val="105"/>
          <w:sz w:val="19"/>
        </w:rPr>
        <w:t xml:space="preserve"> </w:t>
      </w:r>
      <w:r>
        <w:rPr>
          <w:rFonts w:ascii="Arial"/>
          <w:w w:val="105"/>
          <w:sz w:val="19"/>
        </w:rPr>
        <w:t xml:space="preserve">Post- </w:t>
      </w:r>
      <w:r>
        <w:rPr>
          <w:rFonts w:ascii="Arial"/>
          <w:spacing w:val="-1"/>
          <w:w w:val="88"/>
          <w:sz w:val="19"/>
        </w:rPr>
        <w:t>W</w:t>
      </w:r>
      <w:r>
        <w:rPr>
          <w:rFonts w:ascii="Arial"/>
          <w:w w:val="106"/>
          <w:sz w:val="19"/>
        </w:rPr>
        <w:t>ork</w:t>
      </w:r>
      <w:r>
        <w:rPr>
          <w:rFonts w:ascii="Arial"/>
          <w:sz w:val="19"/>
        </w:rPr>
        <w:t>ou</w:t>
      </w:r>
      <w:r>
        <w:rPr>
          <w:rFonts w:ascii="Arial"/>
          <w:w w:val="134"/>
          <w:sz w:val="19"/>
        </w:rPr>
        <w:t>t</w:t>
      </w:r>
      <w:r>
        <w:rPr>
          <w:rFonts w:ascii="Arial"/>
          <w:spacing w:val="-7"/>
          <w:sz w:val="19"/>
        </w:rPr>
        <w:t xml:space="preserve"> </w:t>
      </w:r>
      <w:r>
        <w:rPr>
          <w:rFonts w:ascii="Arial"/>
          <w:w w:val="94"/>
          <w:sz w:val="19"/>
        </w:rPr>
        <w:t>a</w:t>
      </w:r>
      <w:r>
        <w:rPr>
          <w:rFonts w:ascii="Arial"/>
          <w:spacing w:val="1"/>
          <w:w w:val="101"/>
          <w:sz w:val="19"/>
        </w:rPr>
        <w:t>n</w:t>
      </w:r>
      <w:r>
        <w:rPr>
          <w:rFonts w:ascii="Arial"/>
          <w:sz w:val="19"/>
        </w:rPr>
        <w:t>d</w:t>
      </w:r>
      <w:r>
        <w:rPr>
          <w:rFonts w:ascii="Arial"/>
          <w:spacing w:val="-9"/>
          <w:sz w:val="19"/>
        </w:rPr>
        <w:t xml:space="preserve"> </w:t>
      </w:r>
      <w:r>
        <w:rPr>
          <w:rFonts w:ascii="Arial"/>
          <w:spacing w:val="-2"/>
          <w:w w:val="94"/>
          <w:sz w:val="19"/>
        </w:rPr>
        <w:t>P</w:t>
      </w:r>
      <w:r>
        <w:rPr>
          <w:rFonts w:ascii="Arial"/>
          <w:w w:val="116"/>
          <w:sz w:val="19"/>
        </w:rPr>
        <w:t>r</w:t>
      </w:r>
      <w:r>
        <w:rPr>
          <w:rFonts w:ascii="Arial"/>
          <w:spacing w:val="2"/>
          <w:w w:val="96"/>
          <w:sz w:val="19"/>
        </w:rPr>
        <w:t>e</w:t>
      </w:r>
      <w:r>
        <w:rPr>
          <w:rFonts w:ascii="Arial"/>
          <w:spacing w:val="1"/>
          <w:w w:val="119"/>
          <w:sz w:val="19"/>
        </w:rPr>
        <w:t>-</w:t>
      </w:r>
      <w:r>
        <w:rPr>
          <w:rFonts w:ascii="Arial"/>
          <w:spacing w:val="-1"/>
          <w:w w:val="88"/>
          <w:sz w:val="19"/>
        </w:rPr>
        <w:t>W</w:t>
      </w:r>
      <w:r>
        <w:rPr>
          <w:rFonts w:ascii="Arial"/>
          <w:w w:val="106"/>
          <w:sz w:val="19"/>
        </w:rPr>
        <w:t>ork</w:t>
      </w:r>
      <w:r>
        <w:rPr>
          <w:rFonts w:ascii="Arial"/>
          <w:sz w:val="19"/>
        </w:rPr>
        <w:t>ou</w:t>
      </w:r>
      <w:r>
        <w:rPr>
          <w:rFonts w:ascii="Arial"/>
          <w:w w:val="134"/>
          <w:sz w:val="19"/>
        </w:rPr>
        <w:t>t</w:t>
      </w:r>
      <w:r>
        <w:rPr>
          <w:rFonts w:ascii="Arial"/>
          <w:w w:val="92"/>
          <w:sz w:val="19"/>
        </w:rPr>
        <w:t>),</w:t>
      </w:r>
      <w:r>
        <w:rPr>
          <w:rFonts w:ascii="Arial"/>
          <w:spacing w:val="-11"/>
          <w:sz w:val="19"/>
        </w:rPr>
        <w:t xml:space="preserve"> </w:t>
      </w:r>
      <w:r>
        <w:rPr>
          <w:rFonts w:ascii="Arial"/>
          <w:spacing w:val="-1"/>
          <w:w w:val="112"/>
          <w:sz w:val="19"/>
        </w:rPr>
        <w:t>2</w:t>
      </w:r>
      <w:r>
        <w:rPr>
          <w:rFonts w:ascii="Arial"/>
          <w:spacing w:val="1"/>
          <w:w w:val="112"/>
          <w:sz w:val="19"/>
        </w:rPr>
        <w:t>0</w:t>
      </w:r>
      <w:r>
        <w:rPr>
          <w:rFonts w:ascii="Arial"/>
          <w:w w:val="97"/>
          <w:sz w:val="19"/>
        </w:rPr>
        <w:t>%</w:t>
      </w:r>
      <w:r>
        <w:rPr>
          <w:rFonts w:ascii="Arial"/>
          <w:spacing w:val="-7"/>
          <w:sz w:val="19"/>
        </w:rPr>
        <w:t xml:space="preserve"> </w:t>
      </w:r>
      <w:r>
        <w:rPr>
          <w:rFonts w:ascii="Arial"/>
          <w:w w:val="94"/>
          <w:sz w:val="19"/>
        </w:rPr>
        <w:t>a</w:t>
      </w:r>
      <w:r>
        <w:rPr>
          <w:rFonts w:ascii="Arial"/>
          <w:w w:val="116"/>
          <w:sz w:val="19"/>
        </w:rPr>
        <w:t>r</w:t>
      </w:r>
      <w:r>
        <w:rPr>
          <w:rFonts w:ascii="Arial"/>
          <w:w w:val="96"/>
          <w:sz w:val="19"/>
        </w:rPr>
        <w:t>e</w:t>
      </w:r>
      <w:r>
        <w:rPr>
          <w:rFonts w:ascii="Arial"/>
          <w:spacing w:val="-9"/>
          <w:sz w:val="19"/>
        </w:rPr>
        <w:t xml:space="preserve"> </w:t>
      </w:r>
      <w:r>
        <w:rPr>
          <w:rFonts w:ascii="Arial"/>
          <w:w w:val="101"/>
          <w:sz w:val="19"/>
        </w:rPr>
        <w:t>p</w:t>
      </w:r>
      <w:r>
        <w:rPr>
          <w:rFonts w:ascii="Arial"/>
          <w:spacing w:val="-2"/>
          <w:w w:val="116"/>
          <w:sz w:val="19"/>
        </w:rPr>
        <w:t>r</w:t>
      </w:r>
      <w:r>
        <w:rPr>
          <w:rFonts w:ascii="Arial"/>
          <w:w w:val="96"/>
          <w:sz w:val="19"/>
        </w:rPr>
        <w:t>e</w:t>
      </w:r>
      <w:r>
        <w:rPr>
          <w:rFonts w:ascii="Arial"/>
          <w:w w:val="95"/>
          <w:sz w:val="19"/>
        </w:rPr>
        <w:t>se</w:t>
      </w:r>
      <w:r>
        <w:rPr>
          <w:rFonts w:ascii="Arial"/>
          <w:spacing w:val="-2"/>
          <w:w w:val="101"/>
          <w:sz w:val="19"/>
        </w:rPr>
        <w:t>n</w:t>
      </w:r>
      <w:r>
        <w:rPr>
          <w:rFonts w:ascii="Arial"/>
          <w:w w:val="134"/>
          <w:sz w:val="19"/>
        </w:rPr>
        <w:t>t</w:t>
      </w:r>
      <w:r>
        <w:rPr>
          <w:rFonts w:ascii="Arial"/>
          <w:w w:val="96"/>
          <w:sz w:val="19"/>
        </w:rPr>
        <w:t>e</w:t>
      </w:r>
      <w:r>
        <w:rPr>
          <w:rFonts w:ascii="Arial"/>
          <w:sz w:val="19"/>
        </w:rPr>
        <w:t>d</w:t>
      </w:r>
      <w:r>
        <w:rPr>
          <w:rFonts w:ascii="Arial"/>
          <w:spacing w:val="-11"/>
          <w:sz w:val="19"/>
        </w:rPr>
        <w:t xml:space="preserve"> </w:t>
      </w:r>
      <w:r>
        <w:rPr>
          <w:rFonts w:ascii="Arial"/>
          <w:w w:val="94"/>
          <w:sz w:val="19"/>
        </w:rPr>
        <w:t>a</w:t>
      </w:r>
      <w:r>
        <w:rPr>
          <w:rFonts w:ascii="Arial"/>
          <w:w w:val="93"/>
          <w:sz w:val="19"/>
        </w:rPr>
        <w:t>s</w:t>
      </w:r>
      <w:r>
        <w:rPr>
          <w:rFonts w:ascii="Arial"/>
          <w:spacing w:val="-8"/>
          <w:sz w:val="19"/>
        </w:rPr>
        <w:t xml:space="preserve"> </w:t>
      </w:r>
      <w:r>
        <w:rPr>
          <w:rFonts w:ascii="Arial"/>
          <w:w w:val="94"/>
          <w:sz w:val="19"/>
        </w:rPr>
        <w:t>a</w:t>
      </w:r>
      <w:r>
        <w:rPr>
          <w:rFonts w:ascii="Arial"/>
          <w:spacing w:val="-9"/>
          <w:sz w:val="19"/>
        </w:rPr>
        <w:t xml:space="preserve"> </w:t>
      </w:r>
      <w:r>
        <w:rPr>
          <w:rFonts w:ascii="Arial"/>
          <w:w w:val="99"/>
          <w:sz w:val="19"/>
        </w:rPr>
        <w:t>c</w:t>
      </w:r>
      <w:r>
        <w:rPr>
          <w:rFonts w:ascii="Arial"/>
          <w:spacing w:val="-2"/>
          <w:w w:val="94"/>
          <w:sz w:val="19"/>
        </w:rPr>
        <w:t>a</w:t>
      </w:r>
      <w:r>
        <w:rPr>
          <w:rFonts w:ascii="Arial"/>
          <w:w w:val="101"/>
          <w:sz w:val="19"/>
        </w:rPr>
        <w:t>p</w:t>
      </w:r>
      <w:r>
        <w:rPr>
          <w:rFonts w:ascii="Arial"/>
          <w:spacing w:val="-3"/>
          <w:w w:val="93"/>
          <w:sz w:val="19"/>
        </w:rPr>
        <w:t>s</w:t>
      </w:r>
      <w:r>
        <w:rPr>
          <w:rFonts w:ascii="Arial"/>
          <w:spacing w:val="1"/>
          <w:w w:val="101"/>
          <w:sz w:val="19"/>
        </w:rPr>
        <w:t>u</w:t>
      </w:r>
      <w:r>
        <w:rPr>
          <w:rFonts w:ascii="Arial"/>
          <w:w w:val="117"/>
          <w:sz w:val="19"/>
        </w:rPr>
        <w:t>l</w:t>
      </w:r>
      <w:r>
        <w:rPr>
          <w:rFonts w:ascii="Arial"/>
          <w:w w:val="96"/>
          <w:sz w:val="19"/>
        </w:rPr>
        <w:t>e</w:t>
      </w:r>
      <w:r>
        <w:rPr>
          <w:rFonts w:ascii="Arial"/>
          <w:spacing w:val="1"/>
          <w:w w:val="175"/>
          <w:sz w:val="19"/>
        </w:rPr>
        <w:t>/</w:t>
      </w:r>
      <w:r>
        <w:rPr>
          <w:rFonts w:ascii="Arial"/>
          <w:w w:val="134"/>
          <w:sz w:val="19"/>
        </w:rPr>
        <w:t>t</w:t>
      </w:r>
      <w:r>
        <w:rPr>
          <w:rFonts w:ascii="Arial"/>
          <w:w w:val="94"/>
          <w:sz w:val="19"/>
        </w:rPr>
        <w:t>a</w:t>
      </w:r>
      <w:r>
        <w:rPr>
          <w:rFonts w:ascii="Arial"/>
          <w:spacing w:val="-1"/>
          <w:sz w:val="19"/>
        </w:rPr>
        <w:t>b</w:t>
      </w:r>
      <w:r>
        <w:rPr>
          <w:rFonts w:ascii="Arial"/>
          <w:w w:val="117"/>
          <w:sz w:val="19"/>
        </w:rPr>
        <w:t>l</w:t>
      </w:r>
      <w:r>
        <w:rPr>
          <w:rFonts w:ascii="Arial"/>
          <w:spacing w:val="-2"/>
          <w:w w:val="96"/>
          <w:sz w:val="19"/>
        </w:rPr>
        <w:t>e</w:t>
      </w:r>
      <w:r>
        <w:rPr>
          <w:rFonts w:ascii="Arial"/>
          <w:spacing w:val="1"/>
          <w:w w:val="134"/>
          <w:sz w:val="19"/>
        </w:rPr>
        <w:t>t</w:t>
      </w:r>
      <w:r>
        <w:rPr>
          <w:rFonts w:ascii="Arial"/>
          <w:w w:val="80"/>
          <w:sz w:val="19"/>
        </w:rPr>
        <w:t>.</w:t>
      </w:r>
    </w:p>
    <w:p w:rsidR="007D76BB" w:rsidRDefault="007D76BB">
      <w:pPr>
        <w:pStyle w:val="BodyText"/>
        <w:spacing w:before="10"/>
        <w:rPr>
          <w:rFonts w:ascii="Arial"/>
          <w:sz w:val="20"/>
        </w:rPr>
      </w:pPr>
    </w:p>
    <w:p w:rsidR="007D76BB" w:rsidRDefault="00D70D28">
      <w:pPr>
        <w:ind w:left="482"/>
        <w:rPr>
          <w:rFonts w:ascii="Arial"/>
          <w:sz w:val="11"/>
        </w:rPr>
      </w:pPr>
      <w:r>
        <w:rPr>
          <w:rFonts w:ascii="Arial"/>
          <w:color w:val="005386"/>
          <w:w w:val="105"/>
          <w:sz w:val="19"/>
        </w:rPr>
        <w:t>Table 10. Product dataset extrapolated across all Australia retailers</w:t>
      </w:r>
      <w:r>
        <w:rPr>
          <w:rFonts w:ascii="Arial"/>
          <w:color w:val="005386"/>
          <w:w w:val="105"/>
          <w:position w:val="7"/>
          <w:sz w:val="11"/>
        </w:rPr>
        <w:t>82</w:t>
      </w:r>
    </w:p>
    <w:p w:rsidR="007D76BB" w:rsidRDefault="007D76BB">
      <w:pPr>
        <w:pStyle w:val="BodyText"/>
        <w:spacing w:before="4"/>
        <w:rPr>
          <w:rFonts w:ascii="Arial"/>
          <w:sz w:val="16"/>
        </w:rPr>
      </w:pPr>
    </w:p>
    <w:tbl>
      <w:tblPr>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4"/>
        <w:gridCol w:w="1422"/>
        <w:gridCol w:w="1530"/>
        <w:gridCol w:w="1664"/>
      </w:tblGrid>
      <w:tr w:rsidR="007D76BB">
        <w:trPr>
          <w:trHeight w:val="479"/>
        </w:trPr>
        <w:tc>
          <w:tcPr>
            <w:tcW w:w="1594" w:type="dxa"/>
            <w:tcBorders>
              <w:top w:val="nil"/>
              <w:left w:val="nil"/>
            </w:tcBorders>
          </w:tcPr>
          <w:p w:rsidR="007D76BB" w:rsidRDefault="007D76BB">
            <w:pPr>
              <w:pStyle w:val="TableParagraph"/>
              <w:rPr>
                <w:rFonts w:ascii="Times New Roman"/>
                <w:sz w:val="18"/>
              </w:rPr>
            </w:pPr>
          </w:p>
        </w:tc>
        <w:tc>
          <w:tcPr>
            <w:tcW w:w="1422" w:type="dxa"/>
            <w:shd w:val="clear" w:color="auto" w:fill="005386"/>
          </w:tcPr>
          <w:p w:rsidR="007D76BB" w:rsidRDefault="00D70D28">
            <w:pPr>
              <w:pStyle w:val="TableParagraph"/>
              <w:spacing w:before="13"/>
              <w:ind w:left="100"/>
              <w:rPr>
                <w:rFonts w:ascii="Arial"/>
                <w:sz w:val="19"/>
              </w:rPr>
            </w:pPr>
            <w:r>
              <w:rPr>
                <w:rFonts w:ascii="Arial"/>
                <w:color w:val="FFFFFF"/>
                <w:w w:val="105"/>
                <w:sz w:val="19"/>
              </w:rPr>
              <w:t>Fat Burner</w:t>
            </w:r>
          </w:p>
          <w:p w:rsidR="007D76BB" w:rsidRDefault="00D70D28">
            <w:pPr>
              <w:pStyle w:val="TableParagraph"/>
              <w:spacing w:before="22" w:line="206" w:lineRule="exact"/>
              <w:ind w:left="100"/>
              <w:rPr>
                <w:rFonts w:ascii="Arial"/>
                <w:sz w:val="19"/>
              </w:rPr>
            </w:pPr>
            <w:r>
              <w:rPr>
                <w:rFonts w:ascii="Arial"/>
                <w:color w:val="FFFFFF"/>
                <w:w w:val="105"/>
                <w:sz w:val="19"/>
              </w:rPr>
              <w:t>Products</w:t>
            </w:r>
          </w:p>
        </w:tc>
        <w:tc>
          <w:tcPr>
            <w:tcW w:w="1530" w:type="dxa"/>
            <w:shd w:val="clear" w:color="auto" w:fill="005386"/>
          </w:tcPr>
          <w:p w:rsidR="007D76BB" w:rsidRDefault="00D70D28">
            <w:pPr>
              <w:pStyle w:val="TableParagraph"/>
              <w:spacing w:before="13"/>
              <w:ind w:left="101"/>
              <w:rPr>
                <w:rFonts w:ascii="Arial"/>
                <w:sz w:val="19"/>
              </w:rPr>
            </w:pPr>
            <w:r>
              <w:rPr>
                <w:rFonts w:ascii="Arial"/>
                <w:color w:val="FFFFFF"/>
                <w:w w:val="105"/>
                <w:sz w:val="19"/>
              </w:rPr>
              <w:t>Post-Workout</w:t>
            </w:r>
          </w:p>
          <w:p w:rsidR="007D76BB" w:rsidRDefault="00D70D28">
            <w:pPr>
              <w:pStyle w:val="TableParagraph"/>
              <w:spacing w:before="22" w:line="206" w:lineRule="exact"/>
              <w:ind w:left="101"/>
              <w:rPr>
                <w:rFonts w:ascii="Arial"/>
                <w:sz w:val="19"/>
              </w:rPr>
            </w:pPr>
            <w:r>
              <w:rPr>
                <w:rFonts w:ascii="Arial"/>
                <w:color w:val="FFFFFF"/>
                <w:w w:val="105"/>
                <w:sz w:val="19"/>
              </w:rPr>
              <w:t>Products</w:t>
            </w:r>
          </w:p>
        </w:tc>
        <w:tc>
          <w:tcPr>
            <w:tcW w:w="1664" w:type="dxa"/>
            <w:shd w:val="clear" w:color="auto" w:fill="005386"/>
          </w:tcPr>
          <w:p w:rsidR="007D76BB" w:rsidRDefault="00D70D28">
            <w:pPr>
              <w:pStyle w:val="TableParagraph"/>
              <w:spacing w:before="13"/>
              <w:ind w:left="101"/>
              <w:rPr>
                <w:rFonts w:ascii="Arial"/>
                <w:sz w:val="19"/>
              </w:rPr>
            </w:pPr>
            <w:r>
              <w:rPr>
                <w:rFonts w:ascii="Arial"/>
                <w:color w:val="FFFFFF"/>
                <w:w w:val="105"/>
                <w:sz w:val="19"/>
              </w:rPr>
              <w:t>Pre-Workout</w:t>
            </w:r>
          </w:p>
          <w:p w:rsidR="007D76BB" w:rsidRDefault="00D70D28">
            <w:pPr>
              <w:pStyle w:val="TableParagraph"/>
              <w:spacing w:before="22" w:line="206" w:lineRule="exact"/>
              <w:ind w:left="101"/>
              <w:rPr>
                <w:rFonts w:ascii="Arial"/>
                <w:sz w:val="19"/>
              </w:rPr>
            </w:pPr>
            <w:r>
              <w:rPr>
                <w:rFonts w:ascii="Arial"/>
                <w:color w:val="FFFFFF"/>
                <w:w w:val="105"/>
                <w:sz w:val="19"/>
              </w:rPr>
              <w:t>Products</w:t>
            </w:r>
          </w:p>
        </w:tc>
      </w:tr>
      <w:tr w:rsidR="007D76BB">
        <w:trPr>
          <w:trHeight w:val="242"/>
        </w:trPr>
        <w:tc>
          <w:tcPr>
            <w:tcW w:w="1594" w:type="dxa"/>
            <w:tcBorders>
              <w:left w:val="nil"/>
            </w:tcBorders>
            <w:shd w:val="clear" w:color="auto" w:fill="D9D9D9"/>
          </w:tcPr>
          <w:p w:rsidR="007D76BB" w:rsidRDefault="00D70D28">
            <w:pPr>
              <w:pStyle w:val="TableParagraph"/>
              <w:spacing w:before="14" w:line="208" w:lineRule="exact"/>
              <w:ind w:left="108"/>
              <w:rPr>
                <w:rFonts w:ascii="Arial"/>
                <w:sz w:val="11"/>
              </w:rPr>
            </w:pPr>
            <w:r>
              <w:rPr>
                <w:rFonts w:ascii="Arial"/>
                <w:w w:val="105"/>
                <w:sz w:val="19"/>
              </w:rPr>
              <w:t>Powders +</w:t>
            </w:r>
            <w:r>
              <w:rPr>
                <w:rFonts w:ascii="Arial"/>
                <w:w w:val="105"/>
                <w:position w:val="7"/>
                <w:sz w:val="11"/>
              </w:rPr>
              <w:t>83</w:t>
            </w:r>
          </w:p>
        </w:tc>
        <w:tc>
          <w:tcPr>
            <w:tcW w:w="1422" w:type="dxa"/>
          </w:tcPr>
          <w:p w:rsidR="007D76BB" w:rsidRDefault="00D70D28">
            <w:pPr>
              <w:pStyle w:val="TableParagraph"/>
              <w:spacing w:before="14" w:line="208" w:lineRule="exact"/>
              <w:ind w:right="105"/>
              <w:jc w:val="right"/>
              <w:rPr>
                <w:rFonts w:ascii="Arial"/>
                <w:sz w:val="19"/>
              </w:rPr>
            </w:pPr>
            <w:r>
              <w:rPr>
                <w:rFonts w:ascii="Arial"/>
                <w:w w:val="110"/>
                <w:sz w:val="19"/>
              </w:rPr>
              <w:t>225</w:t>
            </w:r>
          </w:p>
        </w:tc>
        <w:tc>
          <w:tcPr>
            <w:tcW w:w="1530" w:type="dxa"/>
          </w:tcPr>
          <w:p w:rsidR="007D76BB" w:rsidRDefault="00D70D28">
            <w:pPr>
              <w:pStyle w:val="TableParagraph"/>
              <w:spacing w:before="14" w:line="208" w:lineRule="exact"/>
              <w:ind w:right="101"/>
              <w:jc w:val="right"/>
              <w:rPr>
                <w:rFonts w:ascii="Arial"/>
                <w:sz w:val="19"/>
              </w:rPr>
            </w:pPr>
            <w:r>
              <w:rPr>
                <w:rFonts w:ascii="Arial"/>
                <w:w w:val="95"/>
                <w:sz w:val="19"/>
              </w:rPr>
              <w:t>160</w:t>
            </w:r>
          </w:p>
        </w:tc>
        <w:tc>
          <w:tcPr>
            <w:tcW w:w="1664" w:type="dxa"/>
          </w:tcPr>
          <w:p w:rsidR="007D76BB" w:rsidRDefault="00D70D28">
            <w:pPr>
              <w:pStyle w:val="TableParagraph"/>
              <w:spacing w:before="14" w:line="208" w:lineRule="exact"/>
              <w:ind w:right="104"/>
              <w:jc w:val="right"/>
              <w:rPr>
                <w:rFonts w:ascii="Arial"/>
                <w:sz w:val="19"/>
              </w:rPr>
            </w:pPr>
            <w:r>
              <w:rPr>
                <w:rFonts w:ascii="Arial"/>
                <w:w w:val="90"/>
                <w:sz w:val="19"/>
              </w:rPr>
              <w:t>271</w:t>
            </w:r>
          </w:p>
        </w:tc>
      </w:tr>
      <w:tr w:rsidR="007D76BB">
        <w:trPr>
          <w:trHeight w:val="239"/>
        </w:trPr>
        <w:tc>
          <w:tcPr>
            <w:tcW w:w="1594" w:type="dxa"/>
            <w:tcBorders>
              <w:left w:val="nil"/>
            </w:tcBorders>
            <w:shd w:val="clear" w:color="auto" w:fill="D9D9D9"/>
          </w:tcPr>
          <w:p w:rsidR="007D76BB" w:rsidRDefault="00D70D28">
            <w:pPr>
              <w:pStyle w:val="TableParagraph"/>
              <w:spacing w:before="13" w:line="206" w:lineRule="exact"/>
              <w:ind w:left="108"/>
              <w:rPr>
                <w:rFonts w:ascii="Arial"/>
                <w:sz w:val="19"/>
              </w:rPr>
            </w:pPr>
            <w:r>
              <w:rPr>
                <w:rFonts w:ascii="Arial"/>
                <w:w w:val="110"/>
                <w:sz w:val="19"/>
              </w:rPr>
              <w:t>Capsule/tablet</w:t>
            </w:r>
          </w:p>
        </w:tc>
        <w:tc>
          <w:tcPr>
            <w:tcW w:w="1422" w:type="dxa"/>
          </w:tcPr>
          <w:p w:rsidR="007D76BB" w:rsidRDefault="00D70D28">
            <w:pPr>
              <w:pStyle w:val="TableParagraph"/>
              <w:spacing w:before="13" w:line="206" w:lineRule="exact"/>
              <w:ind w:right="98"/>
              <w:jc w:val="right"/>
              <w:rPr>
                <w:rFonts w:ascii="Arial"/>
                <w:sz w:val="19"/>
              </w:rPr>
            </w:pPr>
            <w:r>
              <w:rPr>
                <w:rFonts w:ascii="Arial"/>
                <w:w w:val="80"/>
                <w:sz w:val="19"/>
              </w:rPr>
              <w:t>114</w:t>
            </w:r>
          </w:p>
        </w:tc>
        <w:tc>
          <w:tcPr>
            <w:tcW w:w="1530" w:type="dxa"/>
          </w:tcPr>
          <w:p w:rsidR="007D76BB" w:rsidRDefault="00D70D28">
            <w:pPr>
              <w:pStyle w:val="TableParagraph"/>
              <w:spacing w:before="13" w:line="206" w:lineRule="exact"/>
              <w:ind w:right="102"/>
              <w:jc w:val="right"/>
              <w:rPr>
                <w:rFonts w:ascii="Arial"/>
                <w:sz w:val="19"/>
              </w:rPr>
            </w:pPr>
            <w:r>
              <w:rPr>
                <w:rFonts w:ascii="Arial"/>
                <w:w w:val="107"/>
                <w:sz w:val="19"/>
              </w:rPr>
              <w:t>9</w:t>
            </w:r>
          </w:p>
        </w:tc>
        <w:tc>
          <w:tcPr>
            <w:tcW w:w="1664" w:type="dxa"/>
          </w:tcPr>
          <w:p w:rsidR="007D76BB" w:rsidRDefault="00D70D28">
            <w:pPr>
              <w:pStyle w:val="TableParagraph"/>
              <w:spacing w:before="13" w:line="206" w:lineRule="exact"/>
              <w:ind w:right="103"/>
              <w:jc w:val="right"/>
              <w:rPr>
                <w:rFonts w:ascii="Arial"/>
                <w:sz w:val="19"/>
              </w:rPr>
            </w:pPr>
            <w:r>
              <w:rPr>
                <w:rFonts w:ascii="Arial"/>
                <w:w w:val="107"/>
                <w:sz w:val="19"/>
              </w:rPr>
              <w:t>9</w:t>
            </w:r>
          </w:p>
        </w:tc>
      </w:tr>
    </w:tbl>
    <w:p w:rsidR="007D76BB" w:rsidRDefault="007D76BB">
      <w:pPr>
        <w:pStyle w:val="BodyText"/>
        <w:rPr>
          <w:rFonts w:ascii="Arial"/>
          <w:sz w:val="24"/>
        </w:rPr>
      </w:pPr>
    </w:p>
    <w:p w:rsidR="007D76BB" w:rsidRDefault="00D70D28">
      <w:pPr>
        <w:spacing w:before="158" w:line="285" w:lineRule="auto"/>
        <w:ind w:left="482" w:right="688"/>
        <w:rPr>
          <w:rFonts w:ascii="Arial"/>
          <w:sz w:val="19"/>
        </w:rPr>
      </w:pPr>
      <w:r>
        <w:rPr>
          <w:rFonts w:ascii="Arial"/>
          <w:w w:val="105"/>
          <w:sz w:val="19"/>
        </w:rPr>
        <w:t xml:space="preserve">Although Option 3 does not include products based solely on their </w:t>
      </w:r>
      <w:r>
        <w:rPr>
          <w:rFonts w:ascii="Arial"/>
          <w:w w:val="105"/>
          <w:sz w:val="19"/>
        </w:rPr>
        <w:lastRenderedPageBreak/>
        <w:t xml:space="preserve">presentation (e.g. as a </w:t>
      </w:r>
      <w:r>
        <w:rPr>
          <w:rFonts w:ascii="Arial"/>
          <w:w w:val="99"/>
          <w:sz w:val="19"/>
        </w:rPr>
        <w:t>c</w:t>
      </w:r>
      <w:r>
        <w:rPr>
          <w:rFonts w:ascii="Arial"/>
          <w:w w:val="94"/>
          <w:sz w:val="19"/>
        </w:rPr>
        <w:t>a</w:t>
      </w:r>
      <w:r>
        <w:rPr>
          <w:rFonts w:ascii="Arial"/>
          <w:w w:val="101"/>
          <w:sz w:val="19"/>
        </w:rPr>
        <w:t>p</w:t>
      </w:r>
      <w:r>
        <w:rPr>
          <w:rFonts w:ascii="Arial"/>
          <w:w w:val="97"/>
          <w:sz w:val="19"/>
        </w:rPr>
        <w:t>s</w:t>
      </w:r>
      <w:r>
        <w:rPr>
          <w:rFonts w:ascii="Arial"/>
          <w:spacing w:val="-2"/>
          <w:w w:val="97"/>
          <w:sz w:val="19"/>
        </w:rPr>
        <w:t>u</w:t>
      </w:r>
      <w:r>
        <w:rPr>
          <w:rFonts w:ascii="Arial"/>
          <w:w w:val="117"/>
          <w:sz w:val="19"/>
        </w:rPr>
        <w:t>l</w:t>
      </w:r>
      <w:r>
        <w:rPr>
          <w:rFonts w:ascii="Arial"/>
          <w:w w:val="96"/>
          <w:sz w:val="19"/>
        </w:rPr>
        <w:t>e</w:t>
      </w:r>
      <w:r>
        <w:rPr>
          <w:rFonts w:ascii="Arial"/>
          <w:spacing w:val="-2"/>
          <w:w w:val="175"/>
          <w:sz w:val="19"/>
        </w:rPr>
        <w:t>/</w:t>
      </w:r>
      <w:r>
        <w:rPr>
          <w:rFonts w:ascii="Arial"/>
          <w:w w:val="134"/>
          <w:sz w:val="19"/>
        </w:rPr>
        <w:t>t</w:t>
      </w:r>
      <w:r>
        <w:rPr>
          <w:rFonts w:ascii="Arial"/>
          <w:w w:val="94"/>
          <w:sz w:val="19"/>
        </w:rPr>
        <w:t>a</w:t>
      </w:r>
      <w:r>
        <w:rPr>
          <w:rFonts w:ascii="Arial"/>
          <w:spacing w:val="-1"/>
          <w:sz w:val="19"/>
        </w:rPr>
        <w:t>b</w:t>
      </w:r>
      <w:r>
        <w:rPr>
          <w:rFonts w:ascii="Arial"/>
          <w:w w:val="117"/>
          <w:sz w:val="19"/>
        </w:rPr>
        <w:t>l</w:t>
      </w:r>
      <w:r>
        <w:rPr>
          <w:rFonts w:ascii="Arial"/>
          <w:spacing w:val="-2"/>
          <w:w w:val="96"/>
          <w:sz w:val="19"/>
        </w:rPr>
        <w:t>e</w:t>
      </w:r>
      <w:r>
        <w:rPr>
          <w:rFonts w:ascii="Arial"/>
          <w:w w:val="134"/>
          <w:sz w:val="19"/>
        </w:rPr>
        <w:t>t</w:t>
      </w:r>
      <w:r>
        <w:rPr>
          <w:rFonts w:ascii="Arial"/>
          <w:spacing w:val="1"/>
          <w:w w:val="102"/>
          <w:sz w:val="19"/>
        </w:rPr>
        <w:t>)</w:t>
      </w:r>
      <w:r>
        <w:rPr>
          <w:rFonts w:ascii="Arial"/>
          <w:w w:val="80"/>
          <w:sz w:val="19"/>
        </w:rPr>
        <w:t>,</w:t>
      </w:r>
      <w:r>
        <w:rPr>
          <w:rFonts w:ascii="Arial"/>
          <w:spacing w:val="-7"/>
          <w:sz w:val="19"/>
        </w:rPr>
        <w:t xml:space="preserve"> </w:t>
      </w:r>
      <w:r>
        <w:rPr>
          <w:rFonts w:ascii="Arial"/>
          <w:spacing w:val="-2"/>
          <w:w w:val="134"/>
          <w:sz w:val="19"/>
        </w:rPr>
        <w:t>t</w:t>
      </w:r>
      <w:r>
        <w:rPr>
          <w:rFonts w:ascii="Arial"/>
          <w:spacing w:val="1"/>
          <w:w w:val="101"/>
          <w:sz w:val="19"/>
        </w:rPr>
        <w:t>h</w:t>
      </w:r>
      <w:r>
        <w:rPr>
          <w:rFonts w:ascii="Arial"/>
          <w:w w:val="96"/>
          <w:sz w:val="19"/>
        </w:rPr>
        <w:t>e</w:t>
      </w:r>
      <w:r>
        <w:rPr>
          <w:rFonts w:ascii="Arial"/>
          <w:spacing w:val="-3"/>
          <w:w w:val="93"/>
          <w:sz w:val="19"/>
        </w:rPr>
        <w:t>s</w:t>
      </w:r>
      <w:r>
        <w:rPr>
          <w:rFonts w:ascii="Arial"/>
          <w:w w:val="96"/>
          <w:sz w:val="19"/>
        </w:rPr>
        <w:t>e</w:t>
      </w:r>
      <w:r>
        <w:rPr>
          <w:rFonts w:ascii="Arial"/>
          <w:spacing w:val="-7"/>
          <w:sz w:val="19"/>
        </w:rPr>
        <w:t xml:space="preserve"> </w:t>
      </w:r>
      <w:r>
        <w:rPr>
          <w:rFonts w:ascii="Arial"/>
          <w:w w:val="98"/>
          <w:sz w:val="19"/>
        </w:rPr>
        <w:t>m</w:t>
      </w:r>
      <w:r>
        <w:rPr>
          <w:rFonts w:ascii="Arial"/>
          <w:spacing w:val="1"/>
          <w:w w:val="98"/>
          <w:sz w:val="19"/>
        </w:rPr>
        <w:t>a</w:t>
      </w:r>
      <w:r>
        <w:rPr>
          <w:rFonts w:ascii="Arial"/>
          <w:w w:val="105"/>
          <w:sz w:val="19"/>
        </w:rPr>
        <w:t>y</w:t>
      </w:r>
      <w:r>
        <w:rPr>
          <w:rFonts w:ascii="Arial"/>
          <w:spacing w:val="-10"/>
          <w:sz w:val="19"/>
        </w:rPr>
        <w:t xml:space="preserve"> </w:t>
      </w:r>
      <w:r>
        <w:rPr>
          <w:rFonts w:ascii="Arial"/>
          <w:spacing w:val="-3"/>
          <w:w w:val="93"/>
          <w:sz w:val="19"/>
        </w:rPr>
        <w:t>s</w:t>
      </w:r>
      <w:r>
        <w:rPr>
          <w:rFonts w:ascii="Arial"/>
          <w:w w:val="134"/>
          <w:sz w:val="19"/>
        </w:rPr>
        <w:t>t</w:t>
      </w:r>
      <w:r>
        <w:rPr>
          <w:rFonts w:ascii="Arial"/>
          <w:w w:val="116"/>
          <w:sz w:val="19"/>
        </w:rPr>
        <w:t>ill</w:t>
      </w:r>
      <w:r>
        <w:rPr>
          <w:rFonts w:ascii="Arial"/>
          <w:spacing w:val="-7"/>
          <w:sz w:val="19"/>
        </w:rPr>
        <w:t xml:space="preserve"> </w:t>
      </w:r>
      <w:r>
        <w:rPr>
          <w:rFonts w:ascii="Arial"/>
          <w:spacing w:val="-1"/>
          <w:sz w:val="19"/>
        </w:rPr>
        <w:t>b</w:t>
      </w:r>
      <w:r>
        <w:rPr>
          <w:rFonts w:ascii="Arial"/>
          <w:w w:val="96"/>
          <w:sz w:val="19"/>
        </w:rPr>
        <w:t>e</w:t>
      </w:r>
      <w:r>
        <w:rPr>
          <w:rFonts w:ascii="Arial"/>
          <w:spacing w:val="-9"/>
          <w:sz w:val="19"/>
        </w:rPr>
        <w:t xml:space="preserve"> </w:t>
      </w:r>
      <w:r>
        <w:rPr>
          <w:rFonts w:ascii="Arial"/>
          <w:w w:val="94"/>
          <w:sz w:val="19"/>
        </w:rPr>
        <w:t>a</w:t>
      </w:r>
      <w:r>
        <w:rPr>
          <w:rFonts w:ascii="Arial"/>
          <w:spacing w:val="-1"/>
          <w:w w:val="119"/>
          <w:sz w:val="19"/>
        </w:rPr>
        <w:t>ff</w:t>
      </w:r>
      <w:r>
        <w:rPr>
          <w:rFonts w:ascii="Arial"/>
          <w:w w:val="96"/>
          <w:sz w:val="19"/>
        </w:rPr>
        <w:t>e</w:t>
      </w:r>
      <w:r>
        <w:rPr>
          <w:rFonts w:ascii="Arial"/>
          <w:w w:val="99"/>
          <w:sz w:val="19"/>
        </w:rPr>
        <w:t>c</w:t>
      </w:r>
      <w:r>
        <w:rPr>
          <w:rFonts w:ascii="Arial"/>
          <w:spacing w:val="-2"/>
          <w:w w:val="134"/>
          <w:sz w:val="19"/>
        </w:rPr>
        <w:t>t</w:t>
      </w:r>
      <w:r>
        <w:rPr>
          <w:rFonts w:ascii="Arial"/>
          <w:w w:val="96"/>
          <w:sz w:val="19"/>
        </w:rPr>
        <w:t>e</w:t>
      </w:r>
      <w:r>
        <w:rPr>
          <w:rFonts w:ascii="Arial"/>
          <w:sz w:val="19"/>
        </w:rPr>
        <w:t>d</w:t>
      </w:r>
      <w:r>
        <w:rPr>
          <w:rFonts w:ascii="Arial"/>
          <w:spacing w:val="-9"/>
          <w:sz w:val="19"/>
        </w:rPr>
        <w:t xml:space="preserve"> </w:t>
      </w:r>
      <w:r>
        <w:rPr>
          <w:rFonts w:ascii="Arial"/>
          <w:spacing w:val="-1"/>
          <w:sz w:val="19"/>
        </w:rPr>
        <w:t>b</w:t>
      </w:r>
      <w:r>
        <w:rPr>
          <w:rFonts w:ascii="Arial"/>
          <w:w w:val="105"/>
          <w:sz w:val="19"/>
        </w:rPr>
        <w:t>y</w:t>
      </w:r>
      <w:r>
        <w:rPr>
          <w:rFonts w:ascii="Arial"/>
          <w:spacing w:val="-8"/>
          <w:sz w:val="19"/>
        </w:rPr>
        <w:t xml:space="preserve"> </w:t>
      </w:r>
      <w:r>
        <w:rPr>
          <w:rFonts w:ascii="Arial"/>
          <w:w w:val="134"/>
          <w:sz w:val="19"/>
        </w:rPr>
        <w:t>t</w:t>
      </w:r>
      <w:r>
        <w:rPr>
          <w:rFonts w:ascii="Arial"/>
          <w:spacing w:val="-2"/>
          <w:w w:val="101"/>
          <w:sz w:val="19"/>
        </w:rPr>
        <w:t>h</w:t>
      </w:r>
      <w:r>
        <w:rPr>
          <w:rFonts w:ascii="Arial"/>
          <w:w w:val="96"/>
          <w:sz w:val="19"/>
        </w:rPr>
        <w:t>e</w:t>
      </w:r>
      <w:r>
        <w:rPr>
          <w:rFonts w:ascii="Arial"/>
          <w:spacing w:val="-6"/>
          <w:sz w:val="19"/>
        </w:rPr>
        <w:t xml:space="preserve"> </w:t>
      </w:r>
      <w:r>
        <w:rPr>
          <w:rFonts w:ascii="Arial"/>
          <w:w w:val="101"/>
          <w:sz w:val="19"/>
        </w:rPr>
        <w:t>p</w:t>
      </w:r>
      <w:r>
        <w:rPr>
          <w:rFonts w:ascii="Arial"/>
          <w:w w:val="116"/>
          <w:sz w:val="19"/>
        </w:rPr>
        <w:t>r</w:t>
      </w:r>
      <w:r>
        <w:rPr>
          <w:rFonts w:ascii="Arial"/>
          <w:sz w:val="19"/>
        </w:rPr>
        <w:t>op</w:t>
      </w:r>
      <w:r>
        <w:rPr>
          <w:rFonts w:ascii="Arial"/>
          <w:w w:val="97"/>
          <w:sz w:val="19"/>
        </w:rPr>
        <w:t>o</w:t>
      </w:r>
      <w:r>
        <w:rPr>
          <w:rFonts w:ascii="Arial"/>
          <w:spacing w:val="-3"/>
          <w:w w:val="97"/>
          <w:sz w:val="19"/>
        </w:rPr>
        <w:t>s</w:t>
      </w:r>
      <w:r>
        <w:rPr>
          <w:rFonts w:ascii="Arial"/>
          <w:w w:val="96"/>
          <w:sz w:val="19"/>
        </w:rPr>
        <w:t>e</w:t>
      </w:r>
      <w:r>
        <w:rPr>
          <w:rFonts w:ascii="Arial"/>
          <w:sz w:val="19"/>
        </w:rPr>
        <w:t>d</w:t>
      </w:r>
      <w:r>
        <w:rPr>
          <w:rFonts w:ascii="Arial"/>
          <w:spacing w:val="-8"/>
          <w:sz w:val="19"/>
        </w:rPr>
        <w:t xml:space="preserve"> </w:t>
      </w:r>
      <w:r>
        <w:rPr>
          <w:rFonts w:ascii="Arial"/>
          <w:w w:val="116"/>
          <w:sz w:val="19"/>
        </w:rPr>
        <w:t>r</w:t>
      </w:r>
      <w:r>
        <w:rPr>
          <w:rFonts w:ascii="Arial"/>
          <w:w w:val="96"/>
          <w:sz w:val="19"/>
        </w:rPr>
        <w:t>e</w:t>
      </w:r>
      <w:r>
        <w:rPr>
          <w:rFonts w:ascii="Arial"/>
          <w:spacing w:val="-2"/>
          <w:w w:val="101"/>
          <w:sz w:val="19"/>
        </w:rPr>
        <w:t>g</w:t>
      </w:r>
      <w:r>
        <w:rPr>
          <w:rFonts w:ascii="Arial"/>
          <w:spacing w:val="1"/>
          <w:w w:val="101"/>
          <w:sz w:val="19"/>
        </w:rPr>
        <w:t>u</w:t>
      </w:r>
      <w:r>
        <w:rPr>
          <w:rFonts w:ascii="Arial"/>
          <w:w w:val="117"/>
          <w:sz w:val="19"/>
        </w:rPr>
        <w:t>l</w:t>
      </w:r>
      <w:r>
        <w:rPr>
          <w:rFonts w:ascii="Arial"/>
          <w:spacing w:val="-2"/>
          <w:w w:val="94"/>
          <w:sz w:val="19"/>
        </w:rPr>
        <w:t>a</w:t>
      </w:r>
      <w:r>
        <w:rPr>
          <w:rFonts w:ascii="Arial"/>
          <w:w w:val="134"/>
          <w:sz w:val="19"/>
        </w:rPr>
        <w:t>t</w:t>
      </w:r>
      <w:r>
        <w:rPr>
          <w:rFonts w:ascii="Arial"/>
          <w:w w:val="106"/>
          <w:sz w:val="19"/>
        </w:rPr>
        <w:t>ory</w:t>
      </w:r>
      <w:r>
        <w:rPr>
          <w:rFonts w:ascii="Arial"/>
          <w:spacing w:val="-8"/>
          <w:sz w:val="19"/>
        </w:rPr>
        <w:t xml:space="preserve"> </w:t>
      </w:r>
      <w:r>
        <w:rPr>
          <w:rFonts w:ascii="Arial"/>
          <w:w w:val="99"/>
          <w:sz w:val="19"/>
        </w:rPr>
        <w:t>c</w:t>
      </w:r>
      <w:r>
        <w:rPr>
          <w:rFonts w:ascii="Arial"/>
          <w:w w:val="117"/>
          <w:sz w:val="19"/>
        </w:rPr>
        <w:t>l</w:t>
      </w:r>
      <w:r>
        <w:rPr>
          <w:rFonts w:ascii="Arial"/>
          <w:w w:val="94"/>
          <w:sz w:val="19"/>
        </w:rPr>
        <w:t>a</w:t>
      </w:r>
      <w:r>
        <w:rPr>
          <w:rFonts w:ascii="Arial"/>
          <w:w w:val="116"/>
          <w:sz w:val="19"/>
        </w:rPr>
        <w:t>r</w:t>
      </w:r>
      <w:r>
        <w:rPr>
          <w:rFonts w:ascii="Arial"/>
          <w:w w:val="117"/>
          <w:sz w:val="19"/>
        </w:rPr>
        <w:t>i</w:t>
      </w:r>
      <w:r>
        <w:rPr>
          <w:rFonts w:ascii="Arial"/>
          <w:spacing w:val="-1"/>
          <w:w w:val="117"/>
          <w:sz w:val="19"/>
        </w:rPr>
        <w:t>f</w:t>
      </w:r>
      <w:r>
        <w:rPr>
          <w:rFonts w:ascii="Arial"/>
          <w:w w:val="104"/>
          <w:sz w:val="19"/>
        </w:rPr>
        <w:t>i</w:t>
      </w:r>
      <w:r>
        <w:rPr>
          <w:rFonts w:ascii="Arial"/>
          <w:spacing w:val="-2"/>
          <w:w w:val="104"/>
          <w:sz w:val="19"/>
        </w:rPr>
        <w:t>c</w:t>
      </w:r>
      <w:r>
        <w:rPr>
          <w:rFonts w:ascii="Arial"/>
          <w:w w:val="94"/>
          <w:sz w:val="19"/>
        </w:rPr>
        <w:t>a</w:t>
      </w:r>
      <w:r>
        <w:rPr>
          <w:rFonts w:ascii="Arial"/>
          <w:w w:val="134"/>
          <w:sz w:val="19"/>
        </w:rPr>
        <w:t>t</w:t>
      </w:r>
      <w:r>
        <w:rPr>
          <w:rFonts w:ascii="Arial"/>
          <w:w w:val="102"/>
          <w:sz w:val="19"/>
        </w:rPr>
        <w:t>ion</w:t>
      </w:r>
      <w:r>
        <w:rPr>
          <w:rFonts w:ascii="Arial"/>
          <w:spacing w:val="-9"/>
          <w:sz w:val="19"/>
        </w:rPr>
        <w:t xml:space="preserve"> </w:t>
      </w:r>
      <w:r>
        <w:rPr>
          <w:rFonts w:ascii="Arial"/>
          <w:spacing w:val="-1"/>
          <w:sz w:val="19"/>
        </w:rPr>
        <w:t>b</w:t>
      </w:r>
      <w:r>
        <w:rPr>
          <w:rFonts w:ascii="Arial"/>
          <w:w w:val="94"/>
          <w:sz w:val="19"/>
        </w:rPr>
        <w:t>a</w:t>
      </w:r>
      <w:r>
        <w:rPr>
          <w:rFonts w:ascii="Arial"/>
          <w:w w:val="95"/>
          <w:sz w:val="19"/>
        </w:rPr>
        <w:t>se</w:t>
      </w:r>
      <w:r>
        <w:rPr>
          <w:rFonts w:ascii="Arial"/>
          <w:sz w:val="19"/>
        </w:rPr>
        <w:t>d</w:t>
      </w:r>
      <w:r>
        <w:rPr>
          <w:rFonts w:ascii="Arial"/>
          <w:spacing w:val="-9"/>
          <w:sz w:val="19"/>
        </w:rPr>
        <w:t xml:space="preserve"> </w:t>
      </w:r>
      <w:r>
        <w:rPr>
          <w:rFonts w:ascii="Arial"/>
          <w:sz w:val="19"/>
        </w:rPr>
        <w:t>on</w:t>
      </w:r>
      <w:r>
        <w:rPr>
          <w:rFonts w:ascii="Arial"/>
          <w:spacing w:val="-7"/>
          <w:sz w:val="19"/>
        </w:rPr>
        <w:t xml:space="preserve"> </w:t>
      </w:r>
      <w:r>
        <w:rPr>
          <w:rFonts w:ascii="Arial"/>
          <w:spacing w:val="-2"/>
          <w:w w:val="134"/>
          <w:sz w:val="19"/>
        </w:rPr>
        <w:t>t</w:t>
      </w:r>
      <w:r>
        <w:rPr>
          <w:rFonts w:ascii="Arial"/>
          <w:spacing w:val="1"/>
          <w:w w:val="101"/>
          <w:sz w:val="19"/>
        </w:rPr>
        <w:t>h</w:t>
      </w:r>
      <w:r>
        <w:rPr>
          <w:rFonts w:ascii="Arial"/>
          <w:spacing w:val="3"/>
          <w:w w:val="96"/>
          <w:sz w:val="19"/>
        </w:rPr>
        <w:t>e</w:t>
      </w:r>
      <w:r>
        <w:rPr>
          <w:rFonts w:ascii="Arial"/>
          <w:spacing w:val="-1"/>
          <w:w w:val="115"/>
          <w:sz w:val="19"/>
        </w:rPr>
        <w:t xml:space="preserve">ir </w:t>
      </w:r>
      <w:r>
        <w:rPr>
          <w:rFonts w:ascii="Arial"/>
          <w:w w:val="105"/>
          <w:sz w:val="19"/>
        </w:rPr>
        <w:t>ingredients.</w:t>
      </w:r>
      <w:r>
        <w:rPr>
          <w:rFonts w:ascii="Arial"/>
          <w:spacing w:val="-25"/>
          <w:w w:val="105"/>
          <w:sz w:val="19"/>
        </w:rPr>
        <w:t xml:space="preserve"> </w:t>
      </w:r>
      <w:r>
        <w:rPr>
          <w:rFonts w:ascii="Arial"/>
          <w:w w:val="105"/>
          <w:sz w:val="19"/>
        </w:rPr>
        <w:t>As</w:t>
      </w:r>
      <w:r>
        <w:rPr>
          <w:rFonts w:ascii="Arial"/>
          <w:spacing w:val="-24"/>
          <w:w w:val="105"/>
          <w:sz w:val="19"/>
        </w:rPr>
        <w:t xml:space="preserve"> </w:t>
      </w:r>
      <w:r>
        <w:rPr>
          <w:rFonts w:ascii="Arial"/>
          <w:w w:val="105"/>
          <w:sz w:val="19"/>
        </w:rPr>
        <w:t>such,</w:t>
      </w:r>
      <w:r>
        <w:rPr>
          <w:rFonts w:ascii="Arial"/>
          <w:spacing w:val="-25"/>
          <w:w w:val="105"/>
          <w:sz w:val="19"/>
        </w:rPr>
        <w:t xml:space="preserve"> </w:t>
      </w:r>
      <w:r>
        <w:rPr>
          <w:rFonts w:ascii="Arial"/>
          <w:w w:val="105"/>
          <w:sz w:val="19"/>
        </w:rPr>
        <w:t>it</w:t>
      </w:r>
      <w:r>
        <w:rPr>
          <w:rFonts w:ascii="Arial"/>
          <w:spacing w:val="-23"/>
          <w:w w:val="105"/>
          <w:sz w:val="19"/>
        </w:rPr>
        <w:t xml:space="preserve"> </w:t>
      </w:r>
      <w:r>
        <w:rPr>
          <w:rFonts w:ascii="Arial"/>
          <w:w w:val="105"/>
          <w:sz w:val="19"/>
        </w:rPr>
        <w:t>is</w:t>
      </w:r>
      <w:r>
        <w:rPr>
          <w:rFonts w:ascii="Arial"/>
          <w:spacing w:val="-25"/>
          <w:w w:val="105"/>
          <w:sz w:val="19"/>
        </w:rPr>
        <w:t xml:space="preserve"> </w:t>
      </w:r>
      <w:r>
        <w:rPr>
          <w:rFonts w:ascii="Arial"/>
          <w:w w:val="105"/>
          <w:sz w:val="19"/>
        </w:rPr>
        <w:t>assessed</w:t>
      </w:r>
      <w:r>
        <w:rPr>
          <w:rFonts w:ascii="Arial"/>
          <w:spacing w:val="-25"/>
          <w:w w:val="105"/>
          <w:sz w:val="19"/>
        </w:rPr>
        <w:t xml:space="preserve"> </w:t>
      </w:r>
      <w:r>
        <w:rPr>
          <w:rFonts w:ascii="Arial"/>
          <w:w w:val="105"/>
          <w:sz w:val="19"/>
        </w:rPr>
        <w:t>that</w:t>
      </w:r>
      <w:r>
        <w:rPr>
          <w:rFonts w:ascii="Arial"/>
          <w:spacing w:val="-23"/>
          <w:w w:val="105"/>
          <w:sz w:val="19"/>
        </w:rPr>
        <w:t xml:space="preserve"> </w:t>
      </w:r>
      <w:r>
        <w:rPr>
          <w:rFonts w:ascii="Arial"/>
          <w:w w:val="105"/>
          <w:sz w:val="19"/>
        </w:rPr>
        <w:t>only</w:t>
      </w:r>
      <w:r>
        <w:rPr>
          <w:rFonts w:ascii="Arial"/>
          <w:spacing w:val="-25"/>
          <w:w w:val="105"/>
          <w:sz w:val="19"/>
        </w:rPr>
        <w:t xml:space="preserve"> </w:t>
      </w:r>
      <w:r>
        <w:rPr>
          <w:rFonts w:ascii="Arial"/>
          <w:w w:val="105"/>
          <w:sz w:val="19"/>
        </w:rPr>
        <w:t>a</w:t>
      </w:r>
      <w:r>
        <w:rPr>
          <w:rFonts w:ascii="Arial"/>
          <w:spacing w:val="-21"/>
          <w:w w:val="105"/>
          <w:sz w:val="19"/>
        </w:rPr>
        <w:t xml:space="preserve"> </w:t>
      </w:r>
      <w:r>
        <w:rPr>
          <w:rFonts w:ascii="Arial"/>
          <w:w w:val="105"/>
          <w:sz w:val="19"/>
        </w:rPr>
        <w:t>low</w:t>
      </w:r>
      <w:r>
        <w:rPr>
          <w:rFonts w:ascii="Arial"/>
          <w:spacing w:val="-23"/>
          <w:w w:val="105"/>
          <w:sz w:val="19"/>
        </w:rPr>
        <w:t xml:space="preserve"> </w:t>
      </w:r>
      <w:r>
        <w:rPr>
          <w:rFonts w:ascii="Arial"/>
          <w:w w:val="105"/>
          <w:sz w:val="19"/>
        </w:rPr>
        <w:t>percentage</w:t>
      </w:r>
      <w:r>
        <w:rPr>
          <w:rFonts w:ascii="Arial"/>
          <w:spacing w:val="-24"/>
          <w:w w:val="105"/>
          <w:sz w:val="19"/>
        </w:rPr>
        <w:t xml:space="preserve"> </w:t>
      </w:r>
      <w:r>
        <w:rPr>
          <w:rFonts w:ascii="Arial"/>
          <w:w w:val="105"/>
          <w:sz w:val="19"/>
        </w:rPr>
        <w:t>of</w:t>
      </w:r>
      <w:r>
        <w:rPr>
          <w:rFonts w:ascii="Arial"/>
          <w:spacing w:val="-23"/>
          <w:w w:val="105"/>
          <w:sz w:val="19"/>
        </w:rPr>
        <w:t xml:space="preserve"> </w:t>
      </w:r>
      <w:r>
        <w:rPr>
          <w:rFonts w:ascii="Arial"/>
          <w:w w:val="105"/>
          <w:sz w:val="19"/>
        </w:rPr>
        <w:t>capsule</w:t>
      </w:r>
      <w:r>
        <w:rPr>
          <w:rFonts w:ascii="Arial"/>
          <w:spacing w:val="-24"/>
          <w:w w:val="105"/>
          <w:sz w:val="19"/>
        </w:rPr>
        <w:t xml:space="preserve"> </w:t>
      </w:r>
      <w:r>
        <w:rPr>
          <w:rFonts w:ascii="Arial"/>
          <w:w w:val="105"/>
          <w:sz w:val="19"/>
        </w:rPr>
        <w:t>products</w:t>
      </w:r>
      <w:r>
        <w:rPr>
          <w:rFonts w:ascii="Arial"/>
          <w:spacing w:val="-24"/>
          <w:w w:val="105"/>
          <w:sz w:val="19"/>
        </w:rPr>
        <w:t xml:space="preserve"> </w:t>
      </w:r>
      <w:r>
        <w:rPr>
          <w:rFonts w:ascii="Arial"/>
          <w:w w:val="105"/>
          <w:sz w:val="19"/>
        </w:rPr>
        <w:t>(5%</w:t>
      </w:r>
      <w:r>
        <w:rPr>
          <w:rFonts w:ascii="Arial"/>
          <w:spacing w:val="-24"/>
          <w:w w:val="105"/>
          <w:sz w:val="19"/>
        </w:rPr>
        <w:t xml:space="preserve"> </w:t>
      </w:r>
      <w:r>
        <w:rPr>
          <w:rFonts w:ascii="Arial"/>
          <w:w w:val="105"/>
          <w:sz w:val="19"/>
        </w:rPr>
        <w:t>of</w:t>
      </w:r>
      <w:r>
        <w:rPr>
          <w:rFonts w:ascii="Arial"/>
          <w:spacing w:val="-25"/>
          <w:w w:val="105"/>
          <w:sz w:val="19"/>
        </w:rPr>
        <w:t xml:space="preserve"> </w:t>
      </w:r>
      <w:r>
        <w:rPr>
          <w:rFonts w:ascii="Arial"/>
          <w:w w:val="105"/>
          <w:sz w:val="19"/>
        </w:rPr>
        <w:t>total)</w:t>
      </w:r>
      <w:r>
        <w:rPr>
          <w:rFonts w:ascii="Arial"/>
          <w:spacing w:val="-23"/>
          <w:w w:val="105"/>
          <w:sz w:val="19"/>
        </w:rPr>
        <w:t xml:space="preserve"> </w:t>
      </w:r>
      <w:r>
        <w:rPr>
          <w:rFonts w:ascii="Arial"/>
          <w:w w:val="105"/>
          <w:sz w:val="19"/>
        </w:rPr>
        <w:t>will continue</w:t>
      </w:r>
      <w:r>
        <w:rPr>
          <w:rFonts w:ascii="Arial"/>
          <w:spacing w:val="-20"/>
          <w:w w:val="105"/>
          <w:sz w:val="19"/>
        </w:rPr>
        <w:t xml:space="preserve"> </w:t>
      </w:r>
      <w:r>
        <w:rPr>
          <w:rFonts w:ascii="Arial"/>
          <w:w w:val="105"/>
          <w:sz w:val="19"/>
        </w:rPr>
        <w:t>down</w:t>
      </w:r>
      <w:r>
        <w:rPr>
          <w:rFonts w:ascii="Arial"/>
          <w:spacing w:val="-19"/>
          <w:w w:val="105"/>
          <w:sz w:val="19"/>
        </w:rPr>
        <w:t xml:space="preserve"> </w:t>
      </w:r>
      <w:r>
        <w:rPr>
          <w:rFonts w:ascii="Arial"/>
          <w:w w:val="105"/>
          <w:sz w:val="19"/>
        </w:rPr>
        <w:t>the</w:t>
      </w:r>
      <w:r>
        <w:rPr>
          <w:rFonts w:ascii="Arial"/>
          <w:spacing w:val="-18"/>
          <w:w w:val="105"/>
          <w:sz w:val="19"/>
        </w:rPr>
        <w:t xml:space="preserve"> </w:t>
      </w:r>
      <w:r>
        <w:rPr>
          <w:rFonts w:ascii="Arial"/>
          <w:w w:val="105"/>
          <w:sz w:val="19"/>
        </w:rPr>
        <w:t>ARTG</w:t>
      </w:r>
      <w:r>
        <w:rPr>
          <w:rFonts w:ascii="Arial"/>
          <w:spacing w:val="-20"/>
          <w:w w:val="105"/>
          <w:sz w:val="19"/>
        </w:rPr>
        <w:t xml:space="preserve"> </w:t>
      </w:r>
      <w:r>
        <w:rPr>
          <w:rFonts w:ascii="Arial"/>
          <w:w w:val="105"/>
          <w:sz w:val="19"/>
        </w:rPr>
        <w:t>pathway</w:t>
      </w:r>
      <w:r>
        <w:rPr>
          <w:rFonts w:ascii="Arial"/>
          <w:spacing w:val="-18"/>
          <w:w w:val="105"/>
          <w:sz w:val="19"/>
        </w:rPr>
        <w:t xml:space="preserve"> </w:t>
      </w:r>
      <w:r>
        <w:rPr>
          <w:rFonts w:ascii="Arial"/>
          <w:w w:val="105"/>
          <w:sz w:val="19"/>
        </w:rPr>
        <w:t>for</w:t>
      </w:r>
      <w:r>
        <w:rPr>
          <w:rFonts w:ascii="Arial"/>
          <w:spacing w:val="-18"/>
          <w:w w:val="105"/>
          <w:sz w:val="19"/>
        </w:rPr>
        <w:t xml:space="preserve"> </w:t>
      </w:r>
      <w:r>
        <w:rPr>
          <w:rFonts w:ascii="Arial"/>
          <w:w w:val="105"/>
          <w:sz w:val="19"/>
        </w:rPr>
        <w:t>this</w:t>
      </w:r>
      <w:r>
        <w:rPr>
          <w:rFonts w:ascii="Arial"/>
          <w:spacing w:val="-20"/>
          <w:w w:val="105"/>
          <w:sz w:val="19"/>
        </w:rPr>
        <w:t xml:space="preserve"> </w:t>
      </w:r>
      <w:r>
        <w:rPr>
          <w:rFonts w:ascii="Arial"/>
          <w:w w:val="105"/>
          <w:sz w:val="19"/>
        </w:rPr>
        <w:t>option.</w:t>
      </w:r>
      <w:r>
        <w:rPr>
          <w:rFonts w:ascii="Arial"/>
          <w:spacing w:val="21"/>
          <w:w w:val="105"/>
          <w:sz w:val="19"/>
        </w:rPr>
        <w:t xml:space="preserve"> </w:t>
      </w:r>
      <w:r>
        <w:rPr>
          <w:rFonts w:ascii="Arial"/>
          <w:w w:val="105"/>
          <w:sz w:val="19"/>
        </w:rPr>
        <w:t>Drawing</w:t>
      </w:r>
      <w:r>
        <w:rPr>
          <w:rFonts w:ascii="Arial"/>
          <w:spacing w:val="-17"/>
          <w:w w:val="105"/>
          <w:sz w:val="19"/>
        </w:rPr>
        <w:t xml:space="preserve"> </w:t>
      </w:r>
      <w:r>
        <w:rPr>
          <w:rFonts w:ascii="Arial"/>
          <w:w w:val="105"/>
          <w:sz w:val="19"/>
        </w:rPr>
        <w:t>on</w:t>
      </w:r>
      <w:r>
        <w:rPr>
          <w:rFonts w:ascii="Arial"/>
          <w:spacing w:val="-18"/>
          <w:w w:val="105"/>
          <w:sz w:val="19"/>
        </w:rPr>
        <w:t xml:space="preserve"> </w:t>
      </w:r>
      <w:r>
        <w:rPr>
          <w:rFonts w:ascii="Arial"/>
          <w:w w:val="105"/>
          <w:sz w:val="19"/>
        </w:rPr>
        <w:t>stakeholder</w:t>
      </w:r>
      <w:r>
        <w:rPr>
          <w:rFonts w:ascii="Arial"/>
          <w:spacing w:val="-20"/>
          <w:w w:val="105"/>
          <w:sz w:val="19"/>
        </w:rPr>
        <w:t xml:space="preserve"> </w:t>
      </w:r>
      <w:r>
        <w:rPr>
          <w:rFonts w:ascii="Arial"/>
          <w:w w:val="105"/>
          <w:sz w:val="19"/>
        </w:rPr>
        <w:t>commentary,</w:t>
      </w:r>
      <w:r>
        <w:rPr>
          <w:rFonts w:ascii="Arial"/>
          <w:spacing w:val="-17"/>
          <w:w w:val="105"/>
          <w:sz w:val="19"/>
        </w:rPr>
        <w:t xml:space="preserve"> </w:t>
      </w:r>
      <w:r>
        <w:rPr>
          <w:rFonts w:ascii="Arial"/>
          <w:w w:val="105"/>
          <w:sz w:val="19"/>
        </w:rPr>
        <w:t>it</w:t>
      </w:r>
      <w:r>
        <w:rPr>
          <w:rFonts w:ascii="Arial"/>
          <w:spacing w:val="-18"/>
          <w:w w:val="105"/>
          <w:sz w:val="19"/>
        </w:rPr>
        <w:t xml:space="preserve"> </w:t>
      </w:r>
      <w:r>
        <w:rPr>
          <w:rFonts w:ascii="Arial"/>
          <w:w w:val="105"/>
          <w:sz w:val="19"/>
        </w:rPr>
        <w:t>is</w:t>
      </w:r>
    </w:p>
    <w:p w:rsidR="007D76BB" w:rsidRDefault="007D76BB">
      <w:pPr>
        <w:pStyle w:val="BodyText"/>
        <w:rPr>
          <w:rFonts w:ascii="Arial"/>
          <w:sz w:val="20"/>
        </w:rPr>
      </w:pPr>
    </w:p>
    <w:p w:rsidR="007D76BB" w:rsidRDefault="00D70D28">
      <w:pPr>
        <w:pStyle w:val="BodyText"/>
        <w:rPr>
          <w:rFonts w:ascii="Arial"/>
          <w:sz w:val="12"/>
        </w:rPr>
      </w:pPr>
      <w:r>
        <w:rPr>
          <w:noProof/>
          <w:lang w:val="en-AU" w:eastAsia="en-AU"/>
        </w:rPr>
        <mc:AlternateContent>
          <mc:Choice Requires="wps">
            <w:drawing>
              <wp:anchor distT="0" distB="0" distL="0" distR="0" simplePos="0" relativeHeight="251751424" behindDoc="1" locked="0" layoutInCell="1" allowOverlap="1">
                <wp:simplePos x="0" y="0"/>
                <wp:positionH relativeFrom="page">
                  <wp:posOffset>1080770</wp:posOffset>
                </wp:positionH>
                <wp:positionV relativeFrom="paragraph">
                  <wp:posOffset>118110</wp:posOffset>
                </wp:positionV>
                <wp:extent cx="1829435" cy="1270"/>
                <wp:effectExtent l="0" t="0" r="0" b="0"/>
                <wp:wrapTopAndBottom/>
                <wp:docPr id="278"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569BB" id="Freeform 134" o:spid="_x0000_s1026" style="position:absolute;margin-left:85.1pt;margin-top:9.3pt;width:144.05pt;height:.1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" path="m,l2880,e" filled="f" strokeweight=".84pt">
                <v:path arrowok="t" o:connecttype="custom" o:connectlocs="0,0;1828800,0" o:connectangles="0,0"/>
                <w10:wrap type="topAndBottom" anchorx="page"/>
              </v:shape>
            </w:pict>
          </mc:Fallback>
        </mc:AlternateContent>
      </w:r>
    </w:p>
    <w:p w:rsidR="007D76BB" w:rsidRDefault="00D70D28">
      <w:pPr>
        <w:spacing w:before="132"/>
        <w:ind w:left="482"/>
        <w:rPr>
          <w:rFonts w:ascii="Arial"/>
          <w:sz w:val="14"/>
        </w:rPr>
      </w:pPr>
      <w:r>
        <w:rPr>
          <w:rFonts w:ascii="Arial"/>
          <w:color w:val="5B6761"/>
          <w:w w:val="105"/>
          <w:position w:val="5"/>
          <w:sz w:val="8"/>
        </w:rPr>
        <w:t xml:space="preserve">82 </w:t>
      </w:r>
      <w:r>
        <w:rPr>
          <w:rFonts w:ascii="Arial"/>
          <w:color w:val="5B6761"/>
          <w:w w:val="105"/>
          <w:sz w:val="14"/>
        </w:rPr>
        <w:t>Figures have been rounded to the nearest integer.</w:t>
      </w:r>
    </w:p>
    <w:p w:rsidR="007D76BB" w:rsidRDefault="00D70D28">
      <w:pPr>
        <w:spacing w:before="79"/>
        <w:ind w:left="482"/>
        <w:rPr>
          <w:rFonts w:ascii="Arial"/>
          <w:sz w:val="14"/>
        </w:rPr>
      </w:pPr>
      <w:r>
        <w:rPr>
          <w:rFonts w:ascii="Arial"/>
          <w:color w:val="5B6761"/>
          <w:w w:val="105"/>
          <w:position w:val="5"/>
          <w:sz w:val="8"/>
        </w:rPr>
        <w:t xml:space="preserve">83 </w:t>
      </w:r>
      <w:r>
        <w:rPr>
          <w:rFonts w:ascii="Arial"/>
          <w:color w:val="5B6761"/>
          <w:w w:val="105"/>
          <w:sz w:val="14"/>
        </w:rPr>
        <w:t>Population includes powders, liquids and novel foods.</w:t>
      </w:r>
    </w:p>
    <w:p w:rsidR="007D76BB" w:rsidRDefault="007D76BB">
      <w:pPr>
        <w:rPr>
          <w:rFonts w:ascii="Arial"/>
          <w:sz w:val="14"/>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8"/>
        </w:rPr>
      </w:pPr>
    </w:p>
    <w:p w:rsidR="007D76BB" w:rsidRDefault="00D70D28">
      <w:pPr>
        <w:spacing w:before="108" w:line="285" w:lineRule="auto"/>
        <w:ind w:left="482"/>
        <w:rPr>
          <w:rFonts w:ascii="Arial"/>
          <w:sz w:val="19"/>
        </w:rPr>
      </w:pPr>
      <w:proofErr w:type="gramStart"/>
      <w:r>
        <w:rPr>
          <w:rFonts w:ascii="Arial"/>
          <w:w w:val="105"/>
          <w:sz w:val="19"/>
        </w:rPr>
        <w:t>assessed</w:t>
      </w:r>
      <w:proofErr w:type="gramEnd"/>
      <w:r>
        <w:rPr>
          <w:rFonts w:ascii="Arial"/>
          <w:spacing w:val="-29"/>
          <w:w w:val="105"/>
          <w:sz w:val="19"/>
        </w:rPr>
        <w:t xml:space="preserve"> </w:t>
      </w:r>
      <w:r>
        <w:rPr>
          <w:rFonts w:ascii="Arial"/>
          <w:w w:val="105"/>
          <w:sz w:val="19"/>
        </w:rPr>
        <w:t>that</w:t>
      </w:r>
      <w:r>
        <w:rPr>
          <w:rFonts w:ascii="Arial"/>
          <w:spacing w:val="-28"/>
          <w:w w:val="105"/>
          <w:sz w:val="19"/>
        </w:rPr>
        <w:t xml:space="preserve"> </w:t>
      </w:r>
      <w:r>
        <w:rPr>
          <w:rFonts w:ascii="Arial"/>
          <w:w w:val="105"/>
          <w:sz w:val="19"/>
        </w:rPr>
        <w:t>no</w:t>
      </w:r>
      <w:r>
        <w:rPr>
          <w:rFonts w:ascii="Arial"/>
          <w:spacing w:val="-29"/>
          <w:w w:val="105"/>
          <w:sz w:val="19"/>
        </w:rPr>
        <w:t xml:space="preserve"> </w:t>
      </w:r>
      <w:r>
        <w:rPr>
          <w:rFonts w:ascii="Arial"/>
          <w:w w:val="105"/>
          <w:sz w:val="19"/>
        </w:rPr>
        <w:t>capsule/pill</w:t>
      </w:r>
      <w:r>
        <w:rPr>
          <w:rFonts w:ascii="Arial"/>
          <w:spacing w:val="-27"/>
          <w:w w:val="105"/>
          <w:sz w:val="19"/>
        </w:rPr>
        <w:t xml:space="preserve"> </w:t>
      </w:r>
      <w:r>
        <w:rPr>
          <w:rFonts w:ascii="Arial"/>
          <w:w w:val="105"/>
          <w:sz w:val="19"/>
        </w:rPr>
        <w:t>products</w:t>
      </w:r>
      <w:r>
        <w:rPr>
          <w:rFonts w:ascii="Arial"/>
          <w:spacing w:val="-28"/>
          <w:w w:val="105"/>
          <w:sz w:val="19"/>
        </w:rPr>
        <w:t xml:space="preserve"> </w:t>
      </w:r>
      <w:r>
        <w:rPr>
          <w:rFonts w:ascii="Arial"/>
          <w:w w:val="105"/>
          <w:sz w:val="19"/>
        </w:rPr>
        <w:t>captured</w:t>
      </w:r>
      <w:r>
        <w:rPr>
          <w:rFonts w:ascii="Arial"/>
          <w:spacing w:val="-28"/>
          <w:w w:val="105"/>
          <w:sz w:val="19"/>
        </w:rPr>
        <w:t xml:space="preserve"> </w:t>
      </w:r>
      <w:r>
        <w:rPr>
          <w:rFonts w:ascii="Arial"/>
          <w:w w:val="105"/>
          <w:sz w:val="19"/>
        </w:rPr>
        <w:t>(based</w:t>
      </w:r>
      <w:r>
        <w:rPr>
          <w:rFonts w:ascii="Arial"/>
          <w:spacing w:val="-29"/>
          <w:w w:val="105"/>
          <w:sz w:val="19"/>
        </w:rPr>
        <w:t xml:space="preserve"> </w:t>
      </w:r>
      <w:r>
        <w:rPr>
          <w:rFonts w:ascii="Arial"/>
          <w:w w:val="105"/>
          <w:sz w:val="19"/>
        </w:rPr>
        <w:t>on</w:t>
      </w:r>
      <w:r>
        <w:rPr>
          <w:rFonts w:ascii="Arial"/>
          <w:spacing w:val="-26"/>
          <w:w w:val="105"/>
          <w:sz w:val="19"/>
        </w:rPr>
        <w:t xml:space="preserve"> </w:t>
      </w:r>
      <w:r>
        <w:rPr>
          <w:rFonts w:ascii="Arial"/>
          <w:w w:val="105"/>
          <w:sz w:val="19"/>
        </w:rPr>
        <w:t>ingredients)</w:t>
      </w:r>
      <w:r>
        <w:rPr>
          <w:rFonts w:ascii="Arial"/>
          <w:spacing w:val="-28"/>
          <w:w w:val="105"/>
          <w:sz w:val="19"/>
        </w:rPr>
        <w:t xml:space="preserve"> </w:t>
      </w:r>
      <w:r>
        <w:rPr>
          <w:rFonts w:ascii="Arial"/>
          <w:w w:val="105"/>
          <w:sz w:val="19"/>
        </w:rPr>
        <w:t>will</w:t>
      </w:r>
      <w:r>
        <w:rPr>
          <w:rFonts w:ascii="Arial"/>
          <w:spacing w:val="-27"/>
          <w:w w:val="105"/>
          <w:sz w:val="19"/>
        </w:rPr>
        <w:t xml:space="preserve"> </w:t>
      </w:r>
      <w:r>
        <w:rPr>
          <w:rFonts w:ascii="Arial"/>
          <w:w w:val="105"/>
          <w:sz w:val="19"/>
        </w:rPr>
        <w:t>reformulate.</w:t>
      </w:r>
      <w:r>
        <w:rPr>
          <w:rFonts w:ascii="Arial"/>
          <w:spacing w:val="-27"/>
          <w:w w:val="105"/>
          <w:sz w:val="19"/>
        </w:rPr>
        <w:t xml:space="preserve"> </w:t>
      </w:r>
      <w:r>
        <w:rPr>
          <w:rFonts w:ascii="Arial"/>
          <w:w w:val="105"/>
          <w:sz w:val="19"/>
        </w:rPr>
        <w:t>Thus,</w:t>
      </w:r>
      <w:r>
        <w:rPr>
          <w:rFonts w:ascii="Arial"/>
          <w:spacing w:val="-29"/>
          <w:w w:val="105"/>
          <w:sz w:val="19"/>
        </w:rPr>
        <w:t xml:space="preserve"> </w:t>
      </w:r>
      <w:r>
        <w:rPr>
          <w:rFonts w:ascii="Arial"/>
          <w:w w:val="105"/>
          <w:sz w:val="19"/>
        </w:rPr>
        <w:t>only</w:t>
      </w:r>
      <w:r>
        <w:rPr>
          <w:rFonts w:ascii="Arial"/>
          <w:spacing w:val="-28"/>
          <w:w w:val="105"/>
          <w:sz w:val="19"/>
        </w:rPr>
        <w:t xml:space="preserve"> </w:t>
      </w:r>
      <w:r>
        <w:rPr>
          <w:rFonts w:ascii="Arial"/>
          <w:w w:val="105"/>
          <w:sz w:val="19"/>
        </w:rPr>
        <w:t>7 capsule/tablet</w:t>
      </w:r>
      <w:r>
        <w:rPr>
          <w:rFonts w:ascii="Arial"/>
          <w:spacing w:val="-11"/>
          <w:w w:val="105"/>
          <w:sz w:val="19"/>
        </w:rPr>
        <w:t xml:space="preserve"> </w:t>
      </w:r>
      <w:r>
        <w:rPr>
          <w:rFonts w:ascii="Arial"/>
          <w:w w:val="105"/>
          <w:sz w:val="19"/>
        </w:rPr>
        <w:t>products</w:t>
      </w:r>
      <w:r>
        <w:rPr>
          <w:rFonts w:ascii="Arial"/>
          <w:spacing w:val="-13"/>
          <w:w w:val="105"/>
          <w:sz w:val="19"/>
        </w:rPr>
        <w:t xml:space="preserve"> </w:t>
      </w:r>
      <w:r>
        <w:rPr>
          <w:rFonts w:ascii="Arial"/>
          <w:w w:val="105"/>
          <w:sz w:val="19"/>
        </w:rPr>
        <w:t>will</w:t>
      </w:r>
      <w:r>
        <w:rPr>
          <w:rFonts w:ascii="Arial"/>
          <w:spacing w:val="-15"/>
          <w:w w:val="105"/>
          <w:sz w:val="19"/>
        </w:rPr>
        <w:t xml:space="preserve"> </w:t>
      </w:r>
      <w:r>
        <w:rPr>
          <w:rFonts w:ascii="Arial"/>
          <w:w w:val="105"/>
          <w:sz w:val="19"/>
        </w:rPr>
        <w:t>be</w:t>
      </w:r>
      <w:r>
        <w:rPr>
          <w:rFonts w:ascii="Arial"/>
          <w:spacing w:val="-10"/>
          <w:w w:val="105"/>
          <w:sz w:val="19"/>
        </w:rPr>
        <w:t xml:space="preserve"> </w:t>
      </w:r>
      <w:r>
        <w:rPr>
          <w:rFonts w:ascii="Arial"/>
          <w:w w:val="105"/>
          <w:sz w:val="19"/>
        </w:rPr>
        <w:t>included</w:t>
      </w:r>
      <w:r>
        <w:rPr>
          <w:rFonts w:ascii="Arial"/>
          <w:spacing w:val="-13"/>
          <w:w w:val="105"/>
          <w:sz w:val="19"/>
        </w:rPr>
        <w:t xml:space="preserve"> </w:t>
      </w:r>
      <w:r>
        <w:rPr>
          <w:rFonts w:ascii="Arial"/>
          <w:w w:val="105"/>
          <w:sz w:val="19"/>
        </w:rPr>
        <w:t>in</w:t>
      </w:r>
      <w:r>
        <w:rPr>
          <w:rFonts w:ascii="Arial"/>
          <w:spacing w:val="-12"/>
          <w:w w:val="105"/>
          <w:sz w:val="19"/>
        </w:rPr>
        <w:t xml:space="preserve"> </w:t>
      </w:r>
      <w:r>
        <w:rPr>
          <w:rFonts w:ascii="Arial"/>
          <w:w w:val="105"/>
          <w:sz w:val="19"/>
        </w:rPr>
        <w:t>the</w:t>
      </w:r>
      <w:r>
        <w:rPr>
          <w:rFonts w:ascii="Arial"/>
          <w:spacing w:val="-13"/>
          <w:w w:val="105"/>
          <w:sz w:val="19"/>
        </w:rPr>
        <w:t xml:space="preserve"> </w:t>
      </w:r>
      <w:r>
        <w:rPr>
          <w:rFonts w:ascii="Arial"/>
          <w:w w:val="105"/>
          <w:sz w:val="19"/>
        </w:rPr>
        <w:t>regulatory</w:t>
      </w:r>
      <w:r>
        <w:rPr>
          <w:rFonts w:ascii="Arial"/>
          <w:spacing w:val="-12"/>
          <w:w w:val="105"/>
          <w:sz w:val="19"/>
        </w:rPr>
        <w:t xml:space="preserve"> </w:t>
      </w:r>
      <w:r>
        <w:rPr>
          <w:rFonts w:ascii="Arial"/>
          <w:w w:val="105"/>
          <w:sz w:val="19"/>
        </w:rPr>
        <w:t>costing.</w:t>
      </w:r>
    </w:p>
    <w:p w:rsidR="007D76BB" w:rsidRDefault="007D76BB">
      <w:pPr>
        <w:pStyle w:val="BodyText"/>
        <w:spacing w:before="11"/>
        <w:rPr>
          <w:rFonts w:ascii="Arial"/>
          <w:sz w:val="20"/>
        </w:rPr>
      </w:pPr>
    </w:p>
    <w:p w:rsidR="007D76BB" w:rsidRDefault="00D70D28">
      <w:pPr>
        <w:ind w:left="482"/>
        <w:rPr>
          <w:rFonts w:ascii="Arial"/>
          <w:sz w:val="19"/>
        </w:rPr>
      </w:pPr>
      <w:r>
        <w:rPr>
          <w:rFonts w:ascii="Arial"/>
          <w:color w:val="005386"/>
          <w:sz w:val="19"/>
        </w:rPr>
        <w:t>Table 11. Calculation of capsule/tablet products proceeding down ARTG pathway</w:t>
      </w:r>
    </w:p>
    <w:p w:rsidR="007D76BB" w:rsidRDefault="007D76BB">
      <w:pPr>
        <w:pStyle w:val="BodyText"/>
        <w:spacing w:before="1"/>
        <w:rPr>
          <w:rFonts w:ascii="Arial"/>
          <w:sz w:val="16"/>
        </w:r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2269"/>
        <w:gridCol w:w="2694"/>
      </w:tblGrid>
      <w:tr w:rsidR="007D76BB">
        <w:trPr>
          <w:trHeight w:val="721"/>
        </w:trPr>
        <w:tc>
          <w:tcPr>
            <w:tcW w:w="2552" w:type="dxa"/>
            <w:shd w:val="clear" w:color="auto" w:fill="005386"/>
          </w:tcPr>
          <w:p w:rsidR="007D76BB" w:rsidRDefault="00D70D28">
            <w:pPr>
              <w:pStyle w:val="TableParagraph"/>
              <w:spacing w:before="13" w:line="266" w:lineRule="auto"/>
              <w:ind w:left="107" w:right="684"/>
              <w:rPr>
                <w:rFonts w:ascii="Arial"/>
                <w:sz w:val="19"/>
              </w:rPr>
            </w:pPr>
            <w:r>
              <w:rPr>
                <w:rFonts w:ascii="Arial"/>
                <w:color w:val="FFFFFF"/>
                <w:w w:val="105"/>
                <w:sz w:val="19"/>
              </w:rPr>
              <w:t xml:space="preserve">Total capsule/tablet </w:t>
            </w:r>
            <w:r>
              <w:rPr>
                <w:rFonts w:ascii="Arial"/>
                <w:color w:val="FFFFFF"/>
                <w:w w:val="110"/>
                <w:sz w:val="19"/>
              </w:rPr>
              <w:t>products in-scope</w:t>
            </w:r>
          </w:p>
        </w:tc>
        <w:tc>
          <w:tcPr>
            <w:tcW w:w="2269" w:type="dxa"/>
            <w:shd w:val="clear" w:color="auto" w:fill="005386"/>
          </w:tcPr>
          <w:p w:rsidR="007D76BB" w:rsidRDefault="00D70D28">
            <w:pPr>
              <w:pStyle w:val="TableParagraph"/>
              <w:spacing w:before="13"/>
              <w:ind w:left="107"/>
              <w:rPr>
                <w:rFonts w:ascii="Arial"/>
                <w:sz w:val="19"/>
              </w:rPr>
            </w:pPr>
            <w:r>
              <w:rPr>
                <w:rFonts w:ascii="Arial"/>
                <w:color w:val="FFFFFF"/>
                <w:w w:val="110"/>
                <w:sz w:val="19"/>
              </w:rPr>
              <w:t>% of capsule/tablet</w:t>
            </w:r>
          </w:p>
          <w:p w:rsidR="007D76BB" w:rsidRDefault="00D70D28">
            <w:pPr>
              <w:pStyle w:val="TableParagraph"/>
              <w:spacing w:before="3" w:line="240" w:lineRule="atLeast"/>
              <w:ind w:left="107"/>
              <w:rPr>
                <w:rFonts w:ascii="Arial"/>
                <w:sz w:val="19"/>
              </w:rPr>
            </w:pPr>
            <w:r>
              <w:rPr>
                <w:rFonts w:ascii="Arial"/>
                <w:color w:val="FFFFFF"/>
                <w:sz w:val="19"/>
              </w:rPr>
              <w:t>products proceeding down ARTG pathway</w:t>
            </w:r>
          </w:p>
        </w:tc>
        <w:tc>
          <w:tcPr>
            <w:tcW w:w="2694" w:type="dxa"/>
            <w:shd w:val="clear" w:color="auto" w:fill="005386"/>
          </w:tcPr>
          <w:p w:rsidR="007D76BB" w:rsidRDefault="00D70D28">
            <w:pPr>
              <w:pStyle w:val="TableParagraph"/>
              <w:spacing w:before="13" w:line="266" w:lineRule="auto"/>
              <w:ind w:left="106" w:right="20"/>
              <w:rPr>
                <w:rFonts w:ascii="Arial"/>
                <w:sz w:val="19"/>
              </w:rPr>
            </w:pPr>
            <w:r>
              <w:rPr>
                <w:rFonts w:ascii="Arial"/>
                <w:color w:val="FFFFFF"/>
                <w:w w:val="110"/>
                <w:sz w:val="19"/>
              </w:rPr>
              <w:t xml:space="preserve">Total capsule/tablet </w:t>
            </w:r>
            <w:r>
              <w:rPr>
                <w:rFonts w:ascii="Arial"/>
                <w:color w:val="FFFFFF"/>
                <w:w w:val="105"/>
                <w:sz w:val="19"/>
              </w:rPr>
              <w:t>products carried forward</w:t>
            </w:r>
          </w:p>
        </w:tc>
      </w:tr>
      <w:tr w:rsidR="007D76BB">
        <w:trPr>
          <w:trHeight w:val="242"/>
        </w:trPr>
        <w:tc>
          <w:tcPr>
            <w:tcW w:w="2552" w:type="dxa"/>
          </w:tcPr>
          <w:p w:rsidR="007D76BB" w:rsidRDefault="00D70D28">
            <w:pPr>
              <w:pStyle w:val="TableParagraph"/>
              <w:spacing w:before="13" w:line="208" w:lineRule="exact"/>
              <w:ind w:right="95"/>
              <w:jc w:val="right"/>
              <w:rPr>
                <w:rFonts w:ascii="Arial"/>
                <w:sz w:val="19"/>
              </w:rPr>
            </w:pPr>
            <w:r>
              <w:rPr>
                <w:rFonts w:ascii="Arial"/>
                <w:w w:val="95"/>
                <w:sz w:val="19"/>
              </w:rPr>
              <w:t>132</w:t>
            </w:r>
          </w:p>
        </w:tc>
        <w:tc>
          <w:tcPr>
            <w:tcW w:w="2269" w:type="dxa"/>
          </w:tcPr>
          <w:p w:rsidR="007D76BB" w:rsidRDefault="00D70D28">
            <w:pPr>
              <w:pStyle w:val="TableParagraph"/>
              <w:spacing w:before="13" w:line="208" w:lineRule="exact"/>
              <w:ind w:right="98"/>
              <w:jc w:val="right"/>
              <w:rPr>
                <w:rFonts w:ascii="Arial"/>
                <w:sz w:val="19"/>
              </w:rPr>
            </w:pPr>
            <w:r>
              <w:rPr>
                <w:rFonts w:ascii="Arial"/>
                <w:sz w:val="19"/>
              </w:rPr>
              <w:t>5%</w:t>
            </w:r>
          </w:p>
        </w:tc>
        <w:tc>
          <w:tcPr>
            <w:tcW w:w="2694" w:type="dxa"/>
          </w:tcPr>
          <w:p w:rsidR="007D76BB" w:rsidRDefault="00D70D28">
            <w:pPr>
              <w:pStyle w:val="TableParagraph"/>
              <w:spacing w:before="13" w:line="208" w:lineRule="exact"/>
              <w:ind w:right="97"/>
              <w:jc w:val="right"/>
              <w:rPr>
                <w:rFonts w:ascii="Arial"/>
                <w:sz w:val="19"/>
              </w:rPr>
            </w:pPr>
            <w:r>
              <w:rPr>
                <w:rFonts w:ascii="Arial"/>
                <w:w w:val="93"/>
                <w:sz w:val="19"/>
              </w:rPr>
              <w:t>7</w:t>
            </w:r>
          </w:p>
        </w:tc>
      </w:tr>
    </w:tbl>
    <w:p w:rsidR="007D76BB" w:rsidRDefault="00D70D28">
      <w:pPr>
        <w:spacing w:before="13" w:line="285" w:lineRule="auto"/>
        <w:ind w:left="482" w:right="1181"/>
        <w:rPr>
          <w:rFonts w:ascii="Arial"/>
          <w:sz w:val="19"/>
        </w:rPr>
      </w:pPr>
      <w:r>
        <w:rPr>
          <w:rFonts w:ascii="Arial"/>
          <w:w w:val="105"/>
          <w:sz w:val="19"/>
        </w:rPr>
        <w:t>The</w:t>
      </w:r>
      <w:r>
        <w:rPr>
          <w:rFonts w:ascii="Arial"/>
          <w:spacing w:val="-22"/>
          <w:w w:val="105"/>
          <w:sz w:val="19"/>
        </w:rPr>
        <w:t xml:space="preserve"> </w:t>
      </w:r>
      <w:r>
        <w:rPr>
          <w:rFonts w:ascii="Arial"/>
          <w:w w:val="105"/>
          <w:sz w:val="19"/>
        </w:rPr>
        <w:t>pathway</w:t>
      </w:r>
      <w:r>
        <w:rPr>
          <w:rFonts w:ascii="Arial"/>
          <w:spacing w:val="-24"/>
          <w:w w:val="105"/>
          <w:sz w:val="19"/>
        </w:rPr>
        <w:t xml:space="preserve"> </w:t>
      </w:r>
      <w:r>
        <w:rPr>
          <w:rFonts w:ascii="Arial"/>
          <w:w w:val="105"/>
          <w:sz w:val="19"/>
        </w:rPr>
        <w:t>for</w:t>
      </w:r>
      <w:r>
        <w:rPr>
          <w:rFonts w:ascii="Arial"/>
          <w:spacing w:val="-22"/>
          <w:w w:val="105"/>
          <w:sz w:val="19"/>
        </w:rPr>
        <w:t xml:space="preserve"> </w:t>
      </w:r>
      <w:r>
        <w:rPr>
          <w:rFonts w:ascii="Arial"/>
          <w:w w:val="105"/>
          <w:sz w:val="19"/>
        </w:rPr>
        <w:t>the</w:t>
      </w:r>
      <w:r>
        <w:rPr>
          <w:rFonts w:ascii="Arial"/>
          <w:spacing w:val="-23"/>
          <w:w w:val="105"/>
          <w:sz w:val="19"/>
        </w:rPr>
        <w:t xml:space="preserve"> </w:t>
      </w:r>
      <w:r>
        <w:rPr>
          <w:rFonts w:ascii="Arial"/>
          <w:w w:val="105"/>
          <w:sz w:val="19"/>
        </w:rPr>
        <w:t>remaining</w:t>
      </w:r>
      <w:r>
        <w:rPr>
          <w:rFonts w:ascii="Arial"/>
          <w:spacing w:val="-21"/>
          <w:w w:val="105"/>
          <w:sz w:val="19"/>
        </w:rPr>
        <w:t xml:space="preserve"> </w:t>
      </w:r>
      <w:r>
        <w:rPr>
          <w:rFonts w:ascii="Arial"/>
          <w:w w:val="105"/>
          <w:sz w:val="19"/>
        </w:rPr>
        <w:t>powder+</w:t>
      </w:r>
      <w:r>
        <w:rPr>
          <w:rFonts w:ascii="Arial"/>
          <w:spacing w:val="-23"/>
          <w:w w:val="105"/>
          <w:sz w:val="19"/>
        </w:rPr>
        <w:t xml:space="preserve"> </w:t>
      </w:r>
      <w:r>
        <w:rPr>
          <w:rFonts w:ascii="Arial"/>
          <w:w w:val="105"/>
          <w:sz w:val="19"/>
        </w:rPr>
        <w:t>product</w:t>
      </w:r>
      <w:r>
        <w:rPr>
          <w:rFonts w:ascii="Arial"/>
          <w:spacing w:val="-23"/>
          <w:w w:val="105"/>
          <w:sz w:val="19"/>
        </w:rPr>
        <w:t xml:space="preserve"> </w:t>
      </w:r>
      <w:r>
        <w:rPr>
          <w:rFonts w:ascii="Arial"/>
          <w:w w:val="105"/>
          <w:sz w:val="19"/>
        </w:rPr>
        <w:t>population</w:t>
      </w:r>
      <w:r>
        <w:rPr>
          <w:rFonts w:ascii="Arial"/>
          <w:spacing w:val="-20"/>
          <w:w w:val="105"/>
          <w:sz w:val="19"/>
        </w:rPr>
        <w:t xml:space="preserve"> </w:t>
      </w:r>
      <w:r>
        <w:rPr>
          <w:rFonts w:ascii="Arial"/>
          <w:w w:val="105"/>
          <w:sz w:val="19"/>
        </w:rPr>
        <w:t>is</w:t>
      </w:r>
      <w:r>
        <w:rPr>
          <w:rFonts w:ascii="Arial"/>
          <w:spacing w:val="-23"/>
          <w:w w:val="105"/>
          <w:sz w:val="19"/>
        </w:rPr>
        <w:t xml:space="preserve"> </w:t>
      </w:r>
      <w:r>
        <w:rPr>
          <w:rFonts w:ascii="Arial"/>
          <w:w w:val="105"/>
          <w:sz w:val="19"/>
        </w:rPr>
        <w:t>as</w:t>
      </w:r>
      <w:r>
        <w:rPr>
          <w:rFonts w:ascii="Arial"/>
          <w:spacing w:val="-22"/>
          <w:w w:val="105"/>
          <w:sz w:val="19"/>
        </w:rPr>
        <w:t xml:space="preserve"> </w:t>
      </w:r>
      <w:r>
        <w:rPr>
          <w:rFonts w:ascii="Arial"/>
          <w:w w:val="105"/>
          <w:sz w:val="19"/>
        </w:rPr>
        <w:t>detailed</w:t>
      </w:r>
      <w:r>
        <w:rPr>
          <w:rFonts w:ascii="Arial"/>
          <w:spacing w:val="-23"/>
          <w:w w:val="105"/>
          <w:sz w:val="19"/>
        </w:rPr>
        <w:t xml:space="preserve"> </w:t>
      </w:r>
      <w:r>
        <w:rPr>
          <w:rFonts w:ascii="Arial"/>
          <w:w w:val="105"/>
          <w:sz w:val="19"/>
        </w:rPr>
        <w:t>for</w:t>
      </w:r>
      <w:r>
        <w:rPr>
          <w:rFonts w:ascii="Arial"/>
          <w:spacing w:val="-21"/>
          <w:w w:val="105"/>
          <w:sz w:val="19"/>
        </w:rPr>
        <w:t xml:space="preserve"> </w:t>
      </w:r>
      <w:r>
        <w:rPr>
          <w:rFonts w:ascii="Arial"/>
          <w:w w:val="105"/>
          <w:sz w:val="19"/>
        </w:rPr>
        <w:t>options</w:t>
      </w:r>
      <w:r>
        <w:rPr>
          <w:rFonts w:ascii="Arial"/>
          <w:spacing w:val="-24"/>
          <w:w w:val="105"/>
          <w:sz w:val="19"/>
        </w:rPr>
        <w:t xml:space="preserve"> </w:t>
      </w:r>
      <w:r>
        <w:rPr>
          <w:rFonts w:ascii="Arial"/>
          <w:w w:val="105"/>
          <w:sz w:val="19"/>
        </w:rPr>
        <w:t>2A</w:t>
      </w:r>
      <w:r>
        <w:rPr>
          <w:rFonts w:ascii="Arial"/>
          <w:spacing w:val="-22"/>
          <w:w w:val="105"/>
          <w:sz w:val="19"/>
        </w:rPr>
        <w:t xml:space="preserve"> </w:t>
      </w:r>
      <w:r>
        <w:rPr>
          <w:rFonts w:ascii="Arial"/>
          <w:w w:val="105"/>
          <w:sz w:val="19"/>
        </w:rPr>
        <w:t>and</w:t>
      </w:r>
      <w:r>
        <w:rPr>
          <w:rFonts w:ascii="Arial"/>
          <w:spacing w:val="-22"/>
          <w:w w:val="105"/>
          <w:sz w:val="19"/>
        </w:rPr>
        <w:t xml:space="preserve"> </w:t>
      </w:r>
      <w:r>
        <w:rPr>
          <w:rFonts w:ascii="Arial"/>
          <w:w w:val="105"/>
          <w:sz w:val="19"/>
        </w:rPr>
        <w:t>2B. A</w:t>
      </w:r>
      <w:r>
        <w:rPr>
          <w:rFonts w:ascii="Arial"/>
          <w:spacing w:val="-12"/>
          <w:w w:val="105"/>
          <w:sz w:val="19"/>
        </w:rPr>
        <w:t xml:space="preserve"> </w:t>
      </w:r>
      <w:r>
        <w:rPr>
          <w:rFonts w:ascii="Arial"/>
          <w:w w:val="105"/>
          <w:sz w:val="19"/>
        </w:rPr>
        <w:t>revised</w:t>
      </w:r>
      <w:r>
        <w:rPr>
          <w:rFonts w:ascii="Arial"/>
          <w:spacing w:val="-12"/>
          <w:w w:val="105"/>
          <w:sz w:val="19"/>
        </w:rPr>
        <w:t xml:space="preserve"> </w:t>
      </w:r>
      <w:r>
        <w:rPr>
          <w:rFonts w:ascii="Arial"/>
          <w:w w:val="105"/>
          <w:sz w:val="19"/>
        </w:rPr>
        <w:t>population</w:t>
      </w:r>
      <w:r>
        <w:rPr>
          <w:rFonts w:ascii="Arial"/>
          <w:spacing w:val="-13"/>
          <w:w w:val="105"/>
          <w:sz w:val="19"/>
        </w:rPr>
        <w:t xml:space="preserve"> </w:t>
      </w:r>
      <w:r>
        <w:rPr>
          <w:rFonts w:ascii="Arial"/>
          <w:w w:val="105"/>
          <w:sz w:val="19"/>
        </w:rPr>
        <w:t>calculation</w:t>
      </w:r>
      <w:r>
        <w:rPr>
          <w:rFonts w:ascii="Arial"/>
          <w:spacing w:val="-9"/>
          <w:w w:val="105"/>
          <w:sz w:val="19"/>
        </w:rPr>
        <w:t xml:space="preserve"> </w:t>
      </w:r>
      <w:r>
        <w:rPr>
          <w:rFonts w:ascii="Arial"/>
          <w:w w:val="105"/>
          <w:sz w:val="19"/>
        </w:rPr>
        <w:t>is</w:t>
      </w:r>
      <w:r>
        <w:rPr>
          <w:rFonts w:ascii="Arial"/>
          <w:spacing w:val="-12"/>
          <w:w w:val="105"/>
          <w:sz w:val="19"/>
        </w:rPr>
        <w:t xml:space="preserve"> </w:t>
      </w:r>
      <w:r>
        <w:rPr>
          <w:rFonts w:ascii="Arial"/>
          <w:w w:val="105"/>
          <w:sz w:val="19"/>
        </w:rPr>
        <w:t>provided</w:t>
      </w:r>
      <w:r>
        <w:rPr>
          <w:rFonts w:ascii="Arial"/>
          <w:spacing w:val="-13"/>
          <w:w w:val="105"/>
          <w:sz w:val="19"/>
        </w:rPr>
        <w:t xml:space="preserve"> </w:t>
      </w:r>
      <w:r>
        <w:rPr>
          <w:rFonts w:ascii="Arial"/>
          <w:w w:val="105"/>
          <w:sz w:val="19"/>
        </w:rPr>
        <w:t>below.</w:t>
      </w:r>
    </w:p>
    <w:p w:rsidR="007D76BB" w:rsidRDefault="007D76BB">
      <w:pPr>
        <w:pStyle w:val="BodyText"/>
        <w:rPr>
          <w:rFonts w:ascii="Arial"/>
          <w:sz w:val="21"/>
        </w:rPr>
      </w:pPr>
    </w:p>
    <w:p w:rsidR="007D76BB" w:rsidRDefault="00D70D28">
      <w:pPr>
        <w:ind w:left="482"/>
        <w:rPr>
          <w:rFonts w:ascii="Arial"/>
          <w:sz w:val="19"/>
        </w:rPr>
      </w:pPr>
      <w:r>
        <w:rPr>
          <w:rFonts w:ascii="Arial"/>
          <w:color w:val="005386"/>
          <w:w w:val="105"/>
          <w:sz w:val="19"/>
        </w:rPr>
        <w:t>Table 12. Reformulation pathway</w:t>
      </w:r>
    </w:p>
    <w:p w:rsidR="007D76BB" w:rsidRDefault="007D76BB">
      <w:pPr>
        <w:pStyle w:val="BodyText"/>
        <w:spacing w:before="1"/>
        <w:rPr>
          <w:rFonts w:ascii="Arial"/>
          <w:sz w:val="16"/>
        </w:rPr>
      </w:pPr>
    </w:p>
    <w:tbl>
      <w:tblPr>
        <w:tblW w:w="0" w:type="auto"/>
        <w:tblInd w:w="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8"/>
        <w:gridCol w:w="2002"/>
        <w:gridCol w:w="1483"/>
        <w:gridCol w:w="1735"/>
        <w:gridCol w:w="654"/>
      </w:tblGrid>
      <w:tr w:rsidR="007D76BB">
        <w:trPr>
          <w:trHeight w:val="482"/>
        </w:trPr>
        <w:tc>
          <w:tcPr>
            <w:tcW w:w="1598" w:type="dxa"/>
            <w:tcBorders>
              <w:top w:val="nil"/>
              <w:left w:val="nil"/>
            </w:tcBorders>
          </w:tcPr>
          <w:p w:rsidR="007D76BB" w:rsidRDefault="007D76BB">
            <w:pPr>
              <w:pStyle w:val="TableParagraph"/>
              <w:rPr>
                <w:rFonts w:ascii="Times New Roman"/>
                <w:sz w:val="18"/>
              </w:rPr>
            </w:pPr>
          </w:p>
        </w:tc>
        <w:tc>
          <w:tcPr>
            <w:tcW w:w="2002" w:type="dxa"/>
            <w:shd w:val="clear" w:color="auto" w:fill="005386"/>
          </w:tcPr>
          <w:p w:rsidR="007D76BB" w:rsidRDefault="00D70D28">
            <w:pPr>
              <w:pStyle w:val="TableParagraph"/>
              <w:spacing w:before="14"/>
              <w:ind w:right="153"/>
              <w:jc w:val="right"/>
              <w:rPr>
                <w:rFonts w:ascii="Arial"/>
                <w:sz w:val="19"/>
              </w:rPr>
            </w:pPr>
            <w:r>
              <w:rPr>
                <w:rFonts w:ascii="Arial"/>
                <w:color w:val="FFFFFF"/>
                <w:w w:val="105"/>
                <w:sz w:val="19"/>
              </w:rPr>
              <w:t>Fat Burner Products</w:t>
            </w:r>
          </w:p>
        </w:tc>
        <w:tc>
          <w:tcPr>
            <w:tcW w:w="1483" w:type="dxa"/>
            <w:shd w:val="clear" w:color="auto" w:fill="005386"/>
          </w:tcPr>
          <w:p w:rsidR="007D76BB" w:rsidRDefault="00D70D28">
            <w:pPr>
              <w:pStyle w:val="TableParagraph"/>
              <w:spacing w:before="14"/>
              <w:ind w:left="105"/>
              <w:rPr>
                <w:rFonts w:ascii="Arial"/>
                <w:sz w:val="19"/>
              </w:rPr>
            </w:pPr>
            <w:r>
              <w:rPr>
                <w:rFonts w:ascii="Arial"/>
                <w:color w:val="FFFFFF"/>
                <w:w w:val="105"/>
                <w:sz w:val="19"/>
              </w:rPr>
              <w:t>Post-Workout</w:t>
            </w:r>
          </w:p>
          <w:p w:rsidR="007D76BB" w:rsidRDefault="00D70D28">
            <w:pPr>
              <w:pStyle w:val="TableParagraph"/>
              <w:spacing w:before="24" w:line="206" w:lineRule="exact"/>
              <w:ind w:left="105"/>
              <w:rPr>
                <w:rFonts w:ascii="Arial"/>
                <w:sz w:val="19"/>
              </w:rPr>
            </w:pPr>
            <w:r>
              <w:rPr>
                <w:rFonts w:ascii="Arial"/>
                <w:color w:val="FFFFFF"/>
                <w:w w:val="105"/>
                <w:sz w:val="19"/>
              </w:rPr>
              <w:t>Products</w:t>
            </w:r>
          </w:p>
        </w:tc>
        <w:tc>
          <w:tcPr>
            <w:tcW w:w="1735" w:type="dxa"/>
            <w:shd w:val="clear" w:color="auto" w:fill="005386"/>
          </w:tcPr>
          <w:p w:rsidR="007D76BB" w:rsidRDefault="00D70D28">
            <w:pPr>
              <w:pStyle w:val="TableParagraph"/>
              <w:spacing w:before="14"/>
              <w:ind w:left="108"/>
              <w:rPr>
                <w:rFonts w:ascii="Arial"/>
                <w:sz w:val="19"/>
              </w:rPr>
            </w:pPr>
            <w:r>
              <w:rPr>
                <w:rFonts w:ascii="Arial"/>
                <w:color w:val="FFFFFF"/>
                <w:w w:val="105"/>
                <w:sz w:val="19"/>
              </w:rPr>
              <w:t>Pre-Workout</w:t>
            </w:r>
          </w:p>
          <w:p w:rsidR="007D76BB" w:rsidRDefault="00D70D28">
            <w:pPr>
              <w:pStyle w:val="TableParagraph"/>
              <w:spacing w:before="24" w:line="206" w:lineRule="exact"/>
              <w:ind w:left="108"/>
              <w:rPr>
                <w:rFonts w:ascii="Arial"/>
                <w:sz w:val="19"/>
              </w:rPr>
            </w:pPr>
            <w:r>
              <w:rPr>
                <w:rFonts w:ascii="Arial"/>
                <w:color w:val="FFFFFF"/>
                <w:w w:val="105"/>
                <w:sz w:val="19"/>
              </w:rPr>
              <w:t>Products</w:t>
            </w:r>
          </w:p>
        </w:tc>
        <w:tc>
          <w:tcPr>
            <w:tcW w:w="654" w:type="dxa"/>
            <w:shd w:val="clear" w:color="auto" w:fill="005386"/>
          </w:tcPr>
          <w:p w:rsidR="007D76BB" w:rsidRDefault="00D70D28">
            <w:pPr>
              <w:pStyle w:val="TableParagraph"/>
              <w:spacing w:before="14"/>
              <w:ind w:right="94"/>
              <w:jc w:val="right"/>
              <w:rPr>
                <w:rFonts w:ascii="Arial"/>
                <w:sz w:val="19"/>
              </w:rPr>
            </w:pPr>
            <w:r>
              <w:rPr>
                <w:rFonts w:ascii="Arial"/>
                <w:color w:val="FFFFFF"/>
                <w:w w:val="105"/>
                <w:sz w:val="19"/>
              </w:rPr>
              <w:t>Total</w:t>
            </w:r>
          </w:p>
        </w:tc>
      </w:tr>
      <w:tr w:rsidR="007D76BB">
        <w:trPr>
          <w:trHeight w:val="239"/>
        </w:trPr>
        <w:tc>
          <w:tcPr>
            <w:tcW w:w="1598" w:type="dxa"/>
            <w:tcBorders>
              <w:left w:val="nil"/>
            </w:tcBorders>
          </w:tcPr>
          <w:p w:rsidR="007D76BB" w:rsidRDefault="00D70D28">
            <w:pPr>
              <w:pStyle w:val="TableParagraph"/>
              <w:spacing w:before="13" w:line="206" w:lineRule="exact"/>
              <w:ind w:left="127"/>
              <w:rPr>
                <w:rFonts w:ascii="Arial"/>
                <w:sz w:val="11"/>
              </w:rPr>
            </w:pPr>
            <w:r>
              <w:rPr>
                <w:rFonts w:ascii="Arial"/>
                <w:w w:val="105"/>
                <w:sz w:val="19"/>
              </w:rPr>
              <w:t>Powders +</w:t>
            </w:r>
            <w:r>
              <w:rPr>
                <w:rFonts w:ascii="Arial"/>
                <w:w w:val="105"/>
                <w:position w:val="7"/>
                <w:sz w:val="11"/>
              </w:rPr>
              <w:t>84</w:t>
            </w:r>
          </w:p>
        </w:tc>
        <w:tc>
          <w:tcPr>
            <w:tcW w:w="2002" w:type="dxa"/>
          </w:tcPr>
          <w:p w:rsidR="007D76BB" w:rsidRDefault="00D70D28">
            <w:pPr>
              <w:pStyle w:val="TableParagraph"/>
              <w:spacing w:before="13" w:line="206" w:lineRule="exact"/>
              <w:ind w:right="97"/>
              <w:jc w:val="right"/>
              <w:rPr>
                <w:rFonts w:ascii="Arial"/>
                <w:sz w:val="19"/>
              </w:rPr>
            </w:pPr>
            <w:r>
              <w:rPr>
                <w:rFonts w:ascii="Arial"/>
                <w:w w:val="105"/>
                <w:sz w:val="19"/>
              </w:rPr>
              <w:t>225 (10%) = 23</w:t>
            </w:r>
          </w:p>
        </w:tc>
        <w:tc>
          <w:tcPr>
            <w:tcW w:w="1483" w:type="dxa"/>
          </w:tcPr>
          <w:p w:rsidR="007D76BB" w:rsidRDefault="00D70D28">
            <w:pPr>
              <w:pStyle w:val="TableParagraph"/>
              <w:spacing w:before="13" w:line="206" w:lineRule="exact"/>
              <w:ind w:right="94"/>
              <w:jc w:val="right"/>
              <w:rPr>
                <w:rFonts w:ascii="Arial"/>
                <w:sz w:val="19"/>
              </w:rPr>
            </w:pPr>
            <w:r>
              <w:rPr>
                <w:rFonts w:ascii="Arial"/>
                <w:w w:val="105"/>
                <w:sz w:val="19"/>
              </w:rPr>
              <w:t>160 (5%) = 8</w:t>
            </w:r>
          </w:p>
        </w:tc>
        <w:tc>
          <w:tcPr>
            <w:tcW w:w="1735" w:type="dxa"/>
          </w:tcPr>
          <w:p w:rsidR="007D76BB" w:rsidRDefault="00D70D28">
            <w:pPr>
              <w:pStyle w:val="TableParagraph"/>
              <w:spacing w:before="13" w:line="206" w:lineRule="exact"/>
              <w:ind w:right="95"/>
              <w:jc w:val="right"/>
              <w:rPr>
                <w:rFonts w:ascii="Arial"/>
                <w:sz w:val="19"/>
              </w:rPr>
            </w:pPr>
            <w:r>
              <w:rPr>
                <w:rFonts w:ascii="Arial"/>
                <w:w w:val="105"/>
                <w:sz w:val="19"/>
              </w:rPr>
              <w:t>271 (20%) = 54</w:t>
            </w:r>
          </w:p>
        </w:tc>
        <w:tc>
          <w:tcPr>
            <w:tcW w:w="654" w:type="dxa"/>
          </w:tcPr>
          <w:p w:rsidR="007D76BB" w:rsidRDefault="00D70D28">
            <w:pPr>
              <w:pStyle w:val="TableParagraph"/>
              <w:spacing w:before="13" w:line="206" w:lineRule="exact"/>
              <w:ind w:right="95"/>
              <w:jc w:val="right"/>
              <w:rPr>
                <w:rFonts w:ascii="Arial"/>
                <w:sz w:val="19"/>
              </w:rPr>
            </w:pPr>
            <w:r>
              <w:rPr>
                <w:rFonts w:ascii="Arial"/>
                <w:w w:val="110"/>
                <w:sz w:val="19"/>
              </w:rPr>
              <w:t>85</w:t>
            </w:r>
          </w:p>
        </w:tc>
      </w:tr>
      <w:tr w:rsidR="007D76BB">
        <w:trPr>
          <w:trHeight w:val="242"/>
        </w:trPr>
        <w:tc>
          <w:tcPr>
            <w:tcW w:w="1598" w:type="dxa"/>
            <w:tcBorders>
              <w:left w:val="nil"/>
            </w:tcBorders>
          </w:tcPr>
          <w:p w:rsidR="007D76BB" w:rsidRDefault="00D70D28">
            <w:pPr>
              <w:pStyle w:val="TableParagraph"/>
              <w:spacing w:before="13" w:line="208" w:lineRule="exact"/>
              <w:ind w:left="127"/>
              <w:rPr>
                <w:rFonts w:ascii="Arial"/>
                <w:sz w:val="19"/>
              </w:rPr>
            </w:pPr>
            <w:r>
              <w:rPr>
                <w:rFonts w:ascii="Arial"/>
                <w:w w:val="110"/>
                <w:sz w:val="19"/>
              </w:rPr>
              <w:t>Capsule/tablet</w:t>
            </w:r>
          </w:p>
        </w:tc>
        <w:tc>
          <w:tcPr>
            <w:tcW w:w="2002" w:type="dxa"/>
          </w:tcPr>
          <w:p w:rsidR="007D76BB" w:rsidRDefault="00D70D28">
            <w:pPr>
              <w:pStyle w:val="TableParagraph"/>
              <w:spacing w:before="13" w:line="208" w:lineRule="exact"/>
              <w:ind w:right="99"/>
              <w:jc w:val="right"/>
              <w:rPr>
                <w:rFonts w:ascii="Arial"/>
                <w:sz w:val="19"/>
              </w:rPr>
            </w:pPr>
            <w:r>
              <w:rPr>
                <w:rFonts w:ascii="Arial"/>
                <w:w w:val="114"/>
                <w:sz w:val="19"/>
              </w:rPr>
              <w:t>0</w:t>
            </w:r>
          </w:p>
        </w:tc>
        <w:tc>
          <w:tcPr>
            <w:tcW w:w="1483" w:type="dxa"/>
          </w:tcPr>
          <w:p w:rsidR="007D76BB" w:rsidRDefault="00D70D28">
            <w:pPr>
              <w:pStyle w:val="TableParagraph"/>
              <w:spacing w:before="13" w:line="208" w:lineRule="exact"/>
              <w:ind w:right="98"/>
              <w:jc w:val="right"/>
              <w:rPr>
                <w:rFonts w:ascii="Arial"/>
                <w:sz w:val="19"/>
              </w:rPr>
            </w:pPr>
            <w:r>
              <w:rPr>
                <w:rFonts w:ascii="Arial"/>
                <w:w w:val="114"/>
                <w:sz w:val="19"/>
              </w:rPr>
              <w:t>0</w:t>
            </w:r>
          </w:p>
        </w:tc>
        <w:tc>
          <w:tcPr>
            <w:tcW w:w="1735" w:type="dxa"/>
          </w:tcPr>
          <w:p w:rsidR="007D76BB" w:rsidRDefault="00D70D28">
            <w:pPr>
              <w:pStyle w:val="TableParagraph"/>
              <w:spacing w:before="13" w:line="208" w:lineRule="exact"/>
              <w:ind w:right="96"/>
              <w:jc w:val="right"/>
              <w:rPr>
                <w:rFonts w:ascii="Arial"/>
                <w:sz w:val="19"/>
              </w:rPr>
            </w:pPr>
            <w:r>
              <w:rPr>
                <w:rFonts w:ascii="Arial"/>
                <w:w w:val="114"/>
                <w:sz w:val="19"/>
              </w:rPr>
              <w:t>0</w:t>
            </w:r>
          </w:p>
        </w:tc>
        <w:tc>
          <w:tcPr>
            <w:tcW w:w="654" w:type="dxa"/>
          </w:tcPr>
          <w:p w:rsidR="007D76BB" w:rsidRDefault="00D70D28">
            <w:pPr>
              <w:pStyle w:val="TableParagraph"/>
              <w:spacing w:before="13" w:line="208" w:lineRule="exact"/>
              <w:ind w:right="94"/>
              <w:jc w:val="right"/>
              <w:rPr>
                <w:rFonts w:ascii="Arial"/>
                <w:sz w:val="19"/>
              </w:rPr>
            </w:pPr>
            <w:r>
              <w:rPr>
                <w:rFonts w:ascii="Arial"/>
                <w:w w:val="114"/>
                <w:sz w:val="19"/>
              </w:rPr>
              <w:t>0</w:t>
            </w:r>
          </w:p>
        </w:tc>
      </w:tr>
      <w:tr w:rsidR="007D76BB">
        <w:trPr>
          <w:trHeight w:val="239"/>
        </w:trPr>
        <w:tc>
          <w:tcPr>
            <w:tcW w:w="6818" w:type="dxa"/>
            <w:gridSpan w:val="4"/>
            <w:tcBorders>
              <w:left w:val="nil"/>
            </w:tcBorders>
          </w:tcPr>
          <w:p w:rsidR="007D76BB" w:rsidRDefault="00D70D28">
            <w:pPr>
              <w:pStyle w:val="TableParagraph"/>
              <w:spacing w:before="13" w:line="206" w:lineRule="exact"/>
              <w:ind w:right="95"/>
              <w:jc w:val="right"/>
              <w:rPr>
                <w:rFonts w:ascii="Arial"/>
                <w:sz w:val="19"/>
              </w:rPr>
            </w:pPr>
            <w:r>
              <w:rPr>
                <w:rFonts w:ascii="Arial"/>
                <w:w w:val="105"/>
                <w:sz w:val="19"/>
              </w:rPr>
              <w:t>Total</w:t>
            </w:r>
          </w:p>
        </w:tc>
        <w:tc>
          <w:tcPr>
            <w:tcW w:w="654" w:type="dxa"/>
            <w:shd w:val="clear" w:color="auto" w:fill="D9D9D9"/>
          </w:tcPr>
          <w:p w:rsidR="007D76BB" w:rsidRDefault="00D70D28">
            <w:pPr>
              <w:pStyle w:val="TableParagraph"/>
              <w:spacing w:before="13" w:line="206" w:lineRule="exact"/>
              <w:ind w:right="95"/>
              <w:jc w:val="right"/>
              <w:rPr>
                <w:rFonts w:ascii="Arial"/>
                <w:sz w:val="19"/>
              </w:rPr>
            </w:pPr>
            <w:r>
              <w:rPr>
                <w:rFonts w:ascii="Arial"/>
                <w:w w:val="110"/>
                <w:sz w:val="19"/>
              </w:rPr>
              <w:t>85</w:t>
            </w:r>
          </w:p>
        </w:tc>
      </w:tr>
    </w:tbl>
    <w:p w:rsidR="007D76BB" w:rsidRDefault="007D76BB">
      <w:pPr>
        <w:pStyle w:val="BodyText"/>
        <w:rPr>
          <w:rFonts w:ascii="Arial"/>
        </w:rPr>
      </w:pPr>
    </w:p>
    <w:p w:rsidR="007D76BB" w:rsidRDefault="00D70D28">
      <w:pPr>
        <w:spacing w:before="1"/>
        <w:ind w:left="482"/>
        <w:rPr>
          <w:rFonts w:ascii="Arial"/>
          <w:sz w:val="19"/>
        </w:rPr>
      </w:pPr>
      <w:r>
        <w:rPr>
          <w:rFonts w:ascii="Arial"/>
          <w:color w:val="005386"/>
          <w:sz w:val="19"/>
        </w:rPr>
        <w:t>Table 13. ARTG pathway</w:t>
      </w:r>
    </w:p>
    <w:p w:rsidR="007D76BB" w:rsidRDefault="007D76BB">
      <w:pPr>
        <w:pStyle w:val="BodyText"/>
        <w:spacing w:before="3"/>
        <w:rPr>
          <w:rFonts w:ascii="Arial"/>
          <w:sz w:val="16"/>
        </w:rPr>
      </w:pPr>
    </w:p>
    <w:tbl>
      <w:tblPr>
        <w:tblW w:w="0" w:type="auto"/>
        <w:tblInd w:w="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8"/>
        <w:gridCol w:w="2002"/>
        <w:gridCol w:w="1483"/>
        <w:gridCol w:w="1735"/>
        <w:gridCol w:w="654"/>
      </w:tblGrid>
      <w:tr w:rsidR="007D76BB">
        <w:trPr>
          <w:trHeight w:val="481"/>
        </w:trPr>
        <w:tc>
          <w:tcPr>
            <w:tcW w:w="1598" w:type="dxa"/>
            <w:tcBorders>
              <w:top w:val="nil"/>
              <w:left w:val="nil"/>
            </w:tcBorders>
          </w:tcPr>
          <w:p w:rsidR="007D76BB" w:rsidRDefault="007D76BB">
            <w:pPr>
              <w:pStyle w:val="TableParagraph"/>
              <w:rPr>
                <w:rFonts w:ascii="Times New Roman"/>
                <w:sz w:val="18"/>
              </w:rPr>
            </w:pPr>
          </w:p>
        </w:tc>
        <w:tc>
          <w:tcPr>
            <w:tcW w:w="2002" w:type="dxa"/>
            <w:shd w:val="clear" w:color="auto" w:fill="005386"/>
          </w:tcPr>
          <w:p w:rsidR="007D76BB" w:rsidRDefault="00D70D28">
            <w:pPr>
              <w:pStyle w:val="TableParagraph"/>
              <w:spacing w:before="16"/>
              <w:ind w:right="153"/>
              <w:jc w:val="right"/>
              <w:rPr>
                <w:rFonts w:ascii="Arial"/>
                <w:sz w:val="19"/>
              </w:rPr>
            </w:pPr>
            <w:r>
              <w:rPr>
                <w:rFonts w:ascii="Arial"/>
                <w:color w:val="FFFFFF"/>
                <w:w w:val="105"/>
                <w:sz w:val="19"/>
              </w:rPr>
              <w:t>Fat Burner Products</w:t>
            </w:r>
          </w:p>
        </w:tc>
        <w:tc>
          <w:tcPr>
            <w:tcW w:w="1483" w:type="dxa"/>
            <w:shd w:val="clear" w:color="auto" w:fill="005386"/>
          </w:tcPr>
          <w:p w:rsidR="007D76BB" w:rsidRDefault="00D70D28">
            <w:pPr>
              <w:pStyle w:val="TableParagraph"/>
              <w:spacing w:before="2" w:line="240" w:lineRule="exact"/>
              <w:ind w:left="105"/>
              <w:rPr>
                <w:rFonts w:ascii="Arial"/>
                <w:sz w:val="19"/>
              </w:rPr>
            </w:pPr>
            <w:r>
              <w:rPr>
                <w:rFonts w:ascii="Arial"/>
                <w:color w:val="FFFFFF"/>
                <w:w w:val="105"/>
                <w:sz w:val="19"/>
              </w:rPr>
              <w:t>Post-Workout Products</w:t>
            </w:r>
          </w:p>
        </w:tc>
        <w:tc>
          <w:tcPr>
            <w:tcW w:w="1735" w:type="dxa"/>
            <w:shd w:val="clear" w:color="auto" w:fill="005386"/>
          </w:tcPr>
          <w:p w:rsidR="007D76BB" w:rsidRDefault="00D70D28">
            <w:pPr>
              <w:pStyle w:val="TableParagraph"/>
              <w:spacing w:before="2" w:line="240" w:lineRule="exact"/>
              <w:ind w:left="108"/>
              <w:rPr>
                <w:rFonts w:ascii="Arial"/>
                <w:sz w:val="19"/>
              </w:rPr>
            </w:pPr>
            <w:r>
              <w:rPr>
                <w:rFonts w:ascii="Arial"/>
                <w:color w:val="FFFFFF"/>
                <w:w w:val="105"/>
                <w:sz w:val="19"/>
              </w:rPr>
              <w:t>Pre-Workout Products</w:t>
            </w:r>
          </w:p>
        </w:tc>
        <w:tc>
          <w:tcPr>
            <w:tcW w:w="654" w:type="dxa"/>
            <w:shd w:val="clear" w:color="auto" w:fill="005386"/>
          </w:tcPr>
          <w:p w:rsidR="007D76BB" w:rsidRDefault="00D70D28">
            <w:pPr>
              <w:pStyle w:val="TableParagraph"/>
              <w:spacing w:before="16"/>
              <w:ind w:right="94"/>
              <w:jc w:val="right"/>
              <w:rPr>
                <w:rFonts w:ascii="Arial"/>
                <w:sz w:val="19"/>
              </w:rPr>
            </w:pPr>
            <w:r>
              <w:rPr>
                <w:rFonts w:ascii="Arial"/>
                <w:color w:val="FFFFFF"/>
                <w:w w:val="105"/>
                <w:sz w:val="19"/>
              </w:rPr>
              <w:t>Total</w:t>
            </w:r>
          </w:p>
        </w:tc>
      </w:tr>
      <w:tr w:rsidR="007D76BB">
        <w:trPr>
          <w:trHeight w:val="239"/>
        </w:trPr>
        <w:tc>
          <w:tcPr>
            <w:tcW w:w="1598" w:type="dxa"/>
            <w:tcBorders>
              <w:left w:val="nil"/>
            </w:tcBorders>
          </w:tcPr>
          <w:p w:rsidR="007D76BB" w:rsidRDefault="00D70D28">
            <w:pPr>
              <w:pStyle w:val="TableParagraph"/>
              <w:spacing w:before="13" w:line="206" w:lineRule="exact"/>
              <w:ind w:left="127"/>
              <w:rPr>
                <w:rFonts w:ascii="Arial"/>
                <w:sz w:val="11"/>
              </w:rPr>
            </w:pPr>
            <w:r>
              <w:rPr>
                <w:rFonts w:ascii="Arial"/>
                <w:w w:val="105"/>
                <w:sz w:val="19"/>
              </w:rPr>
              <w:t>Powders +</w:t>
            </w:r>
            <w:r>
              <w:rPr>
                <w:rFonts w:ascii="Arial"/>
                <w:w w:val="105"/>
                <w:position w:val="7"/>
                <w:sz w:val="11"/>
              </w:rPr>
              <w:t>85</w:t>
            </w:r>
          </w:p>
        </w:tc>
        <w:tc>
          <w:tcPr>
            <w:tcW w:w="2002" w:type="dxa"/>
          </w:tcPr>
          <w:p w:rsidR="007D76BB" w:rsidRDefault="00D70D28">
            <w:pPr>
              <w:pStyle w:val="TableParagraph"/>
              <w:spacing w:before="13" w:line="206" w:lineRule="exact"/>
              <w:ind w:right="99"/>
              <w:jc w:val="right"/>
              <w:rPr>
                <w:rFonts w:ascii="Arial"/>
                <w:sz w:val="19"/>
              </w:rPr>
            </w:pPr>
            <w:r>
              <w:rPr>
                <w:rFonts w:ascii="Arial"/>
                <w:sz w:val="19"/>
              </w:rPr>
              <w:t>225 (5%) =11</w:t>
            </w:r>
          </w:p>
        </w:tc>
        <w:tc>
          <w:tcPr>
            <w:tcW w:w="1483" w:type="dxa"/>
          </w:tcPr>
          <w:p w:rsidR="007D76BB" w:rsidRDefault="00D70D28">
            <w:pPr>
              <w:pStyle w:val="TableParagraph"/>
              <w:spacing w:before="13" w:line="206" w:lineRule="exact"/>
              <w:ind w:left="281"/>
              <w:rPr>
                <w:rFonts w:ascii="Arial"/>
                <w:sz w:val="19"/>
              </w:rPr>
            </w:pPr>
            <w:r>
              <w:rPr>
                <w:rFonts w:ascii="Arial"/>
                <w:w w:val="105"/>
                <w:sz w:val="19"/>
              </w:rPr>
              <w:t>160 (5%) = 8</w:t>
            </w:r>
          </w:p>
        </w:tc>
        <w:tc>
          <w:tcPr>
            <w:tcW w:w="1735" w:type="dxa"/>
          </w:tcPr>
          <w:p w:rsidR="007D76BB" w:rsidRDefault="00D70D28">
            <w:pPr>
              <w:pStyle w:val="TableParagraph"/>
              <w:spacing w:before="13" w:line="206" w:lineRule="exact"/>
              <w:ind w:left="480"/>
              <w:rPr>
                <w:rFonts w:ascii="Arial"/>
                <w:sz w:val="19"/>
              </w:rPr>
            </w:pPr>
            <w:r>
              <w:rPr>
                <w:rFonts w:ascii="Arial"/>
                <w:sz w:val="19"/>
              </w:rPr>
              <w:t>271 (5%) = 14</w:t>
            </w:r>
          </w:p>
        </w:tc>
        <w:tc>
          <w:tcPr>
            <w:tcW w:w="654" w:type="dxa"/>
          </w:tcPr>
          <w:p w:rsidR="007D76BB" w:rsidRDefault="00D70D28">
            <w:pPr>
              <w:pStyle w:val="TableParagraph"/>
              <w:spacing w:before="13" w:line="206" w:lineRule="exact"/>
              <w:ind w:right="90"/>
              <w:jc w:val="right"/>
              <w:rPr>
                <w:rFonts w:ascii="Arial"/>
                <w:sz w:val="19"/>
              </w:rPr>
            </w:pPr>
            <w:r>
              <w:rPr>
                <w:rFonts w:ascii="Arial"/>
                <w:w w:val="105"/>
                <w:sz w:val="19"/>
              </w:rPr>
              <w:t>33</w:t>
            </w:r>
          </w:p>
        </w:tc>
      </w:tr>
      <w:tr w:rsidR="007D76BB">
        <w:trPr>
          <w:trHeight w:val="242"/>
        </w:trPr>
        <w:tc>
          <w:tcPr>
            <w:tcW w:w="1598" w:type="dxa"/>
            <w:tcBorders>
              <w:left w:val="nil"/>
            </w:tcBorders>
          </w:tcPr>
          <w:p w:rsidR="007D76BB" w:rsidRDefault="00D70D28">
            <w:pPr>
              <w:pStyle w:val="TableParagraph"/>
              <w:spacing w:before="16" w:line="206" w:lineRule="exact"/>
              <w:ind w:left="127"/>
              <w:rPr>
                <w:rFonts w:ascii="Arial"/>
                <w:sz w:val="19"/>
              </w:rPr>
            </w:pPr>
            <w:r>
              <w:rPr>
                <w:rFonts w:ascii="Arial"/>
                <w:w w:val="110"/>
                <w:sz w:val="19"/>
              </w:rPr>
              <w:t>Capsule/tablet</w:t>
            </w:r>
          </w:p>
        </w:tc>
        <w:tc>
          <w:tcPr>
            <w:tcW w:w="5874" w:type="dxa"/>
            <w:gridSpan w:val="4"/>
          </w:tcPr>
          <w:p w:rsidR="007D76BB" w:rsidRDefault="00D70D28">
            <w:pPr>
              <w:pStyle w:val="TableParagraph"/>
              <w:spacing w:before="16" w:line="206" w:lineRule="exact"/>
              <w:ind w:right="92"/>
              <w:jc w:val="right"/>
              <w:rPr>
                <w:rFonts w:ascii="Arial"/>
                <w:sz w:val="19"/>
              </w:rPr>
            </w:pPr>
            <w:r>
              <w:rPr>
                <w:rFonts w:ascii="Arial"/>
                <w:w w:val="93"/>
                <w:sz w:val="19"/>
              </w:rPr>
              <w:t>7</w:t>
            </w:r>
          </w:p>
        </w:tc>
      </w:tr>
      <w:tr w:rsidR="007D76BB">
        <w:trPr>
          <w:trHeight w:val="239"/>
        </w:trPr>
        <w:tc>
          <w:tcPr>
            <w:tcW w:w="6818" w:type="dxa"/>
            <w:gridSpan w:val="4"/>
            <w:tcBorders>
              <w:left w:val="nil"/>
            </w:tcBorders>
          </w:tcPr>
          <w:p w:rsidR="007D76BB" w:rsidRDefault="00D70D28">
            <w:pPr>
              <w:pStyle w:val="TableParagraph"/>
              <w:spacing w:before="13" w:line="206" w:lineRule="exact"/>
              <w:ind w:right="95"/>
              <w:jc w:val="right"/>
              <w:rPr>
                <w:rFonts w:ascii="Arial"/>
                <w:sz w:val="19"/>
              </w:rPr>
            </w:pPr>
            <w:r>
              <w:rPr>
                <w:rFonts w:ascii="Arial"/>
                <w:w w:val="105"/>
                <w:sz w:val="19"/>
              </w:rPr>
              <w:t>Total</w:t>
            </w:r>
          </w:p>
        </w:tc>
        <w:tc>
          <w:tcPr>
            <w:tcW w:w="654" w:type="dxa"/>
            <w:shd w:val="clear" w:color="auto" w:fill="D9D9D9"/>
          </w:tcPr>
          <w:p w:rsidR="007D76BB" w:rsidRDefault="00D70D28">
            <w:pPr>
              <w:pStyle w:val="TableParagraph"/>
              <w:spacing w:before="13" w:line="206" w:lineRule="exact"/>
              <w:ind w:right="94"/>
              <w:jc w:val="right"/>
              <w:rPr>
                <w:rFonts w:ascii="Arial"/>
                <w:sz w:val="19"/>
              </w:rPr>
            </w:pPr>
            <w:r>
              <w:rPr>
                <w:rFonts w:ascii="Arial"/>
                <w:w w:val="110"/>
                <w:sz w:val="19"/>
              </w:rPr>
              <w:t>40</w:t>
            </w:r>
          </w:p>
        </w:tc>
      </w:tr>
    </w:tbl>
    <w:p w:rsidR="007D76BB" w:rsidRDefault="007D76BB">
      <w:pPr>
        <w:pStyle w:val="BodyText"/>
        <w:spacing w:before="10"/>
        <w:rPr>
          <w:rFonts w:ascii="Arial"/>
          <w:sz w:val="25"/>
        </w:rPr>
      </w:pPr>
    </w:p>
    <w:p w:rsidR="007D76BB" w:rsidRDefault="00D70D28">
      <w:pPr>
        <w:ind w:left="482"/>
        <w:rPr>
          <w:rFonts w:ascii="Lucida Sans"/>
          <w:b/>
          <w:sz w:val="20"/>
        </w:rPr>
      </w:pPr>
      <w:r>
        <w:rPr>
          <w:rFonts w:ascii="Lucida Sans"/>
          <w:b/>
          <w:sz w:val="20"/>
        </w:rPr>
        <w:t>Regulatory impact</w:t>
      </w:r>
    </w:p>
    <w:p w:rsidR="007D76BB" w:rsidRDefault="00D70D28">
      <w:pPr>
        <w:spacing w:before="201" w:line="268" w:lineRule="auto"/>
        <w:ind w:left="482" w:right="844"/>
        <w:rPr>
          <w:rFonts w:ascii="Arial"/>
          <w:sz w:val="19"/>
        </w:rPr>
      </w:pPr>
      <w:r>
        <w:rPr>
          <w:rFonts w:ascii="Arial"/>
          <w:w w:val="105"/>
          <w:sz w:val="19"/>
        </w:rPr>
        <w:t>As</w:t>
      </w:r>
      <w:r>
        <w:rPr>
          <w:rFonts w:ascii="Arial"/>
          <w:spacing w:val="-20"/>
          <w:w w:val="105"/>
          <w:sz w:val="19"/>
        </w:rPr>
        <w:t xml:space="preserve"> </w:t>
      </w:r>
      <w:r>
        <w:rPr>
          <w:rFonts w:ascii="Arial"/>
          <w:w w:val="105"/>
          <w:sz w:val="19"/>
        </w:rPr>
        <w:t>this</w:t>
      </w:r>
      <w:r>
        <w:rPr>
          <w:rFonts w:ascii="Arial"/>
          <w:spacing w:val="-19"/>
          <w:w w:val="105"/>
          <w:sz w:val="19"/>
        </w:rPr>
        <w:t xml:space="preserve"> </w:t>
      </w:r>
      <w:r>
        <w:rPr>
          <w:rFonts w:ascii="Arial"/>
          <w:w w:val="105"/>
          <w:sz w:val="19"/>
        </w:rPr>
        <w:t>option</w:t>
      </w:r>
      <w:r>
        <w:rPr>
          <w:rFonts w:ascii="Arial"/>
          <w:spacing w:val="-20"/>
          <w:w w:val="105"/>
          <w:sz w:val="19"/>
        </w:rPr>
        <w:t xml:space="preserve"> </w:t>
      </w:r>
      <w:r>
        <w:rPr>
          <w:rFonts w:ascii="Arial"/>
          <w:w w:val="105"/>
          <w:sz w:val="19"/>
        </w:rPr>
        <w:t>requires</w:t>
      </w:r>
      <w:r>
        <w:rPr>
          <w:rFonts w:ascii="Arial"/>
          <w:spacing w:val="-19"/>
          <w:w w:val="105"/>
          <w:sz w:val="19"/>
        </w:rPr>
        <w:t xml:space="preserve"> </w:t>
      </w:r>
      <w:r>
        <w:rPr>
          <w:rFonts w:ascii="Arial"/>
          <w:w w:val="105"/>
          <w:sz w:val="19"/>
        </w:rPr>
        <w:t>no</w:t>
      </w:r>
      <w:r>
        <w:rPr>
          <w:rFonts w:ascii="Arial"/>
          <w:spacing w:val="-21"/>
          <w:w w:val="105"/>
          <w:sz w:val="19"/>
        </w:rPr>
        <w:t xml:space="preserve"> </w:t>
      </w:r>
      <w:r>
        <w:rPr>
          <w:rFonts w:ascii="Arial"/>
          <w:w w:val="105"/>
          <w:sz w:val="19"/>
        </w:rPr>
        <w:t>changes</w:t>
      </w:r>
      <w:r>
        <w:rPr>
          <w:rFonts w:ascii="Arial"/>
          <w:spacing w:val="-19"/>
          <w:w w:val="105"/>
          <w:sz w:val="19"/>
        </w:rPr>
        <w:t xml:space="preserve"> </w:t>
      </w:r>
      <w:r>
        <w:rPr>
          <w:rFonts w:ascii="Arial"/>
          <w:w w:val="105"/>
          <w:sz w:val="19"/>
        </w:rPr>
        <w:t>to</w:t>
      </w:r>
      <w:r>
        <w:rPr>
          <w:rFonts w:ascii="Arial"/>
          <w:spacing w:val="-20"/>
          <w:w w:val="105"/>
          <w:sz w:val="19"/>
        </w:rPr>
        <w:t xml:space="preserve"> </w:t>
      </w:r>
      <w:r>
        <w:rPr>
          <w:rFonts w:ascii="Arial"/>
          <w:w w:val="105"/>
          <w:sz w:val="19"/>
        </w:rPr>
        <w:t>the</w:t>
      </w:r>
      <w:r>
        <w:rPr>
          <w:rFonts w:ascii="Arial"/>
          <w:spacing w:val="-19"/>
          <w:w w:val="105"/>
          <w:sz w:val="19"/>
        </w:rPr>
        <w:t xml:space="preserve"> </w:t>
      </w:r>
      <w:r>
        <w:rPr>
          <w:rFonts w:ascii="Arial"/>
          <w:w w:val="105"/>
          <w:sz w:val="19"/>
        </w:rPr>
        <w:t>regulatory</w:t>
      </w:r>
      <w:r>
        <w:rPr>
          <w:rFonts w:ascii="Arial"/>
          <w:spacing w:val="-18"/>
          <w:w w:val="105"/>
          <w:sz w:val="19"/>
        </w:rPr>
        <w:t xml:space="preserve"> </w:t>
      </w:r>
      <w:r>
        <w:rPr>
          <w:rFonts w:ascii="Arial"/>
          <w:w w:val="105"/>
          <w:sz w:val="19"/>
        </w:rPr>
        <w:t>impacts</w:t>
      </w:r>
      <w:r>
        <w:rPr>
          <w:rFonts w:ascii="Arial"/>
          <w:spacing w:val="-19"/>
          <w:w w:val="105"/>
          <w:sz w:val="19"/>
        </w:rPr>
        <w:t xml:space="preserve"> </w:t>
      </w:r>
      <w:r>
        <w:rPr>
          <w:rFonts w:ascii="Arial"/>
          <w:w w:val="105"/>
          <w:sz w:val="19"/>
        </w:rPr>
        <w:t>(timings)</w:t>
      </w:r>
      <w:r>
        <w:rPr>
          <w:rFonts w:ascii="Arial"/>
          <w:spacing w:val="-19"/>
          <w:w w:val="105"/>
          <w:sz w:val="19"/>
        </w:rPr>
        <w:t xml:space="preserve"> </w:t>
      </w:r>
      <w:r>
        <w:rPr>
          <w:rFonts w:ascii="Arial"/>
          <w:w w:val="105"/>
          <w:sz w:val="19"/>
        </w:rPr>
        <w:t>outlined</w:t>
      </w:r>
      <w:r>
        <w:rPr>
          <w:rFonts w:ascii="Arial"/>
          <w:spacing w:val="-14"/>
          <w:w w:val="105"/>
          <w:sz w:val="19"/>
        </w:rPr>
        <w:t xml:space="preserve"> </w:t>
      </w:r>
      <w:r>
        <w:rPr>
          <w:rFonts w:ascii="Arial"/>
          <w:w w:val="105"/>
          <w:sz w:val="19"/>
        </w:rPr>
        <w:t>for</w:t>
      </w:r>
      <w:r>
        <w:rPr>
          <w:rFonts w:ascii="Arial"/>
          <w:spacing w:val="-19"/>
          <w:w w:val="105"/>
          <w:sz w:val="19"/>
        </w:rPr>
        <w:t xml:space="preserve"> </w:t>
      </w:r>
      <w:r>
        <w:rPr>
          <w:rFonts w:ascii="Arial"/>
          <w:w w:val="105"/>
          <w:sz w:val="19"/>
        </w:rPr>
        <w:t>options</w:t>
      </w:r>
      <w:r>
        <w:rPr>
          <w:rFonts w:ascii="Arial"/>
          <w:spacing w:val="-19"/>
          <w:w w:val="105"/>
          <w:sz w:val="19"/>
        </w:rPr>
        <w:t xml:space="preserve"> </w:t>
      </w:r>
      <w:r>
        <w:rPr>
          <w:rFonts w:ascii="Arial"/>
          <w:w w:val="105"/>
          <w:sz w:val="19"/>
        </w:rPr>
        <w:t>2A</w:t>
      </w:r>
      <w:r>
        <w:rPr>
          <w:rFonts w:ascii="Arial"/>
          <w:spacing w:val="-18"/>
          <w:w w:val="105"/>
          <w:sz w:val="19"/>
        </w:rPr>
        <w:t xml:space="preserve"> </w:t>
      </w:r>
      <w:r>
        <w:rPr>
          <w:rFonts w:ascii="Arial"/>
          <w:w w:val="105"/>
          <w:sz w:val="19"/>
        </w:rPr>
        <w:t>and 2B,</w:t>
      </w:r>
      <w:r>
        <w:rPr>
          <w:rFonts w:ascii="Arial"/>
          <w:spacing w:val="-11"/>
          <w:w w:val="105"/>
          <w:sz w:val="19"/>
        </w:rPr>
        <w:t xml:space="preserve"> </w:t>
      </w:r>
      <w:r>
        <w:rPr>
          <w:rFonts w:ascii="Arial"/>
          <w:w w:val="105"/>
          <w:sz w:val="19"/>
        </w:rPr>
        <w:t>the</w:t>
      </w:r>
      <w:r>
        <w:rPr>
          <w:rFonts w:ascii="Arial"/>
          <w:spacing w:val="-13"/>
          <w:w w:val="105"/>
          <w:sz w:val="19"/>
        </w:rPr>
        <w:t xml:space="preserve"> </w:t>
      </w:r>
      <w:r>
        <w:rPr>
          <w:rFonts w:ascii="Arial"/>
          <w:w w:val="105"/>
          <w:sz w:val="19"/>
        </w:rPr>
        <w:t>previous</w:t>
      </w:r>
      <w:r>
        <w:rPr>
          <w:rFonts w:ascii="Arial"/>
          <w:spacing w:val="-11"/>
          <w:w w:val="105"/>
          <w:sz w:val="19"/>
        </w:rPr>
        <w:t xml:space="preserve"> </w:t>
      </w:r>
      <w:r>
        <w:rPr>
          <w:rFonts w:ascii="Arial"/>
          <w:w w:val="105"/>
          <w:sz w:val="19"/>
        </w:rPr>
        <w:t>figures</w:t>
      </w:r>
      <w:r>
        <w:rPr>
          <w:rFonts w:ascii="Arial"/>
          <w:spacing w:val="-12"/>
          <w:w w:val="105"/>
          <w:sz w:val="19"/>
        </w:rPr>
        <w:t xml:space="preserve"> </w:t>
      </w:r>
      <w:r>
        <w:rPr>
          <w:rFonts w:ascii="Arial"/>
          <w:w w:val="105"/>
          <w:sz w:val="19"/>
        </w:rPr>
        <w:t>will</w:t>
      </w:r>
      <w:r>
        <w:rPr>
          <w:rFonts w:ascii="Arial"/>
          <w:spacing w:val="-12"/>
          <w:w w:val="105"/>
          <w:sz w:val="19"/>
        </w:rPr>
        <w:t xml:space="preserve"> </w:t>
      </w:r>
      <w:r>
        <w:rPr>
          <w:rFonts w:ascii="Arial"/>
          <w:w w:val="105"/>
          <w:sz w:val="19"/>
        </w:rPr>
        <w:t>be</w:t>
      </w:r>
      <w:r>
        <w:rPr>
          <w:rFonts w:ascii="Arial"/>
          <w:spacing w:val="-11"/>
          <w:w w:val="105"/>
          <w:sz w:val="19"/>
        </w:rPr>
        <w:t xml:space="preserve"> </w:t>
      </w:r>
      <w:r>
        <w:rPr>
          <w:rFonts w:ascii="Arial"/>
          <w:w w:val="105"/>
          <w:sz w:val="19"/>
        </w:rPr>
        <w:t>carried</w:t>
      </w:r>
      <w:r>
        <w:rPr>
          <w:rFonts w:ascii="Arial"/>
          <w:spacing w:val="-13"/>
          <w:w w:val="105"/>
          <w:sz w:val="19"/>
        </w:rPr>
        <w:t xml:space="preserve"> </w:t>
      </w:r>
      <w:r>
        <w:rPr>
          <w:rFonts w:ascii="Arial"/>
          <w:w w:val="105"/>
          <w:sz w:val="19"/>
        </w:rPr>
        <w:t>through</w:t>
      </w:r>
      <w:r>
        <w:rPr>
          <w:rFonts w:ascii="Arial"/>
          <w:spacing w:val="-13"/>
          <w:w w:val="105"/>
          <w:sz w:val="19"/>
        </w:rPr>
        <w:t xml:space="preserve"> </w:t>
      </w:r>
      <w:r>
        <w:rPr>
          <w:rFonts w:ascii="Arial"/>
          <w:w w:val="105"/>
          <w:sz w:val="19"/>
        </w:rPr>
        <w:t>to</w:t>
      </w:r>
      <w:r>
        <w:rPr>
          <w:rFonts w:ascii="Arial"/>
          <w:spacing w:val="-12"/>
          <w:w w:val="105"/>
          <w:sz w:val="19"/>
        </w:rPr>
        <w:t xml:space="preserve"> </w:t>
      </w:r>
      <w:r>
        <w:rPr>
          <w:rFonts w:ascii="Arial"/>
          <w:w w:val="105"/>
          <w:sz w:val="19"/>
        </w:rPr>
        <w:t>this</w:t>
      </w:r>
      <w:r>
        <w:rPr>
          <w:rFonts w:ascii="Arial"/>
          <w:spacing w:val="-11"/>
          <w:w w:val="105"/>
          <w:sz w:val="19"/>
        </w:rPr>
        <w:t xml:space="preserve"> </w:t>
      </w:r>
      <w:r>
        <w:rPr>
          <w:rFonts w:ascii="Arial"/>
          <w:w w:val="105"/>
          <w:sz w:val="19"/>
        </w:rPr>
        <w:t>costing.</w:t>
      </w:r>
    </w:p>
    <w:p w:rsidR="007D76BB" w:rsidRDefault="00D70D28">
      <w:pPr>
        <w:spacing w:before="65"/>
        <w:ind w:left="482"/>
        <w:rPr>
          <w:rFonts w:ascii="Arial"/>
          <w:i/>
          <w:sz w:val="20"/>
        </w:rPr>
      </w:pPr>
      <w:r>
        <w:rPr>
          <w:rFonts w:ascii="Arial"/>
          <w:i/>
          <w:sz w:val="20"/>
        </w:rPr>
        <w:t>Future population considerations</w:t>
      </w:r>
    </w:p>
    <w:p w:rsidR="007D76BB" w:rsidRDefault="00D70D28">
      <w:pPr>
        <w:spacing w:before="199" w:line="264" w:lineRule="auto"/>
        <w:ind w:left="482" w:right="778"/>
        <w:rPr>
          <w:rFonts w:ascii="Arial"/>
          <w:sz w:val="19"/>
        </w:rPr>
      </w:pPr>
      <w:r>
        <w:rPr>
          <w:rFonts w:ascii="Arial"/>
          <w:w w:val="105"/>
          <w:sz w:val="19"/>
        </w:rPr>
        <w:t>In relation to the impact of the proposed regulatory clarification on future products, the assumptions outlined for options 2A and 2B remain applicable. Therefore, a 10% year-on-year growth has been used in the number of additional products listed in the ARTG arising from the proposed</w:t>
      </w:r>
      <w:r>
        <w:rPr>
          <w:rFonts w:ascii="Arial"/>
          <w:spacing w:val="-25"/>
          <w:w w:val="105"/>
          <w:sz w:val="19"/>
        </w:rPr>
        <w:t xml:space="preserve"> </w:t>
      </w:r>
      <w:r>
        <w:rPr>
          <w:rFonts w:ascii="Arial"/>
          <w:w w:val="105"/>
          <w:sz w:val="19"/>
        </w:rPr>
        <w:t>regulatory</w:t>
      </w:r>
      <w:r>
        <w:rPr>
          <w:rFonts w:ascii="Arial"/>
          <w:spacing w:val="-25"/>
          <w:w w:val="105"/>
          <w:sz w:val="19"/>
        </w:rPr>
        <w:t xml:space="preserve"> </w:t>
      </w:r>
      <w:r>
        <w:rPr>
          <w:rFonts w:ascii="Arial"/>
          <w:w w:val="105"/>
          <w:sz w:val="19"/>
        </w:rPr>
        <w:t>clarification.</w:t>
      </w:r>
      <w:r>
        <w:rPr>
          <w:rFonts w:ascii="Arial"/>
          <w:spacing w:val="-23"/>
          <w:w w:val="105"/>
          <w:sz w:val="19"/>
        </w:rPr>
        <w:t xml:space="preserve"> </w:t>
      </w:r>
      <w:r>
        <w:rPr>
          <w:rFonts w:ascii="Arial"/>
          <w:w w:val="105"/>
          <w:sz w:val="19"/>
        </w:rPr>
        <w:t>The</w:t>
      </w:r>
      <w:r>
        <w:rPr>
          <w:rFonts w:ascii="Arial"/>
          <w:spacing w:val="-24"/>
          <w:w w:val="105"/>
          <w:sz w:val="19"/>
        </w:rPr>
        <w:t xml:space="preserve"> </w:t>
      </w:r>
      <w:r>
        <w:rPr>
          <w:rFonts w:ascii="Arial"/>
          <w:w w:val="105"/>
          <w:sz w:val="19"/>
        </w:rPr>
        <w:t>current</w:t>
      </w:r>
      <w:r>
        <w:rPr>
          <w:rFonts w:ascii="Arial"/>
          <w:spacing w:val="-24"/>
          <w:w w:val="105"/>
          <w:sz w:val="19"/>
        </w:rPr>
        <w:t xml:space="preserve"> </w:t>
      </w:r>
      <w:r>
        <w:rPr>
          <w:rFonts w:ascii="Arial"/>
          <w:w w:val="105"/>
          <w:sz w:val="19"/>
        </w:rPr>
        <w:t>population</w:t>
      </w:r>
      <w:r>
        <w:rPr>
          <w:rFonts w:ascii="Arial"/>
          <w:spacing w:val="-26"/>
          <w:w w:val="105"/>
          <w:sz w:val="19"/>
        </w:rPr>
        <w:t xml:space="preserve"> </w:t>
      </w:r>
      <w:r>
        <w:rPr>
          <w:rFonts w:ascii="Arial"/>
          <w:w w:val="105"/>
          <w:sz w:val="19"/>
        </w:rPr>
        <w:t>is</w:t>
      </w:r>
      <w:r>
        <w:rPr>
          <w:rFonts w:ascii="Arial"/>
          <w:spacing w:val="-24"/>
          <w:w w:val="105"/>
          <w:sz w:val="19"/>
        </w:rPr>
        <w:t xml:space="preserve"> </w:t>
      </w:r>
      <w:r>
        <w:rPr>
          <w:rFonts w:ascii="Arial"/>
          <w:w w:val="105"/>
          <w:sz w:val="19"/>
        </w:rPr>
        <w:t>assessed</w:t>
      </w:r>
      <w:r>
        <w:rPr>
          <w:rFonts w:ascii="Arial"/>
          <w:spacing w:val="-25"/>
          <w:w w:val="105"/>
          <w:sz w:val="19"/>
        </w:rPr>
        <w:t xml:space="preserve"> </w:t>
      </w:r>
      <w:r>
        <w:rPr>
          <w:rFonts w:ascii="Arial"/>
          <w:w w:val="105"/>
          <w:sz w:val="19"/>
        </w:rPr>
        <w:t>to</w:t>
      </w:r>
      <w:r>
        <w:rPr>
          <w:rFonts w:ascii="Arial"/>
          <w:spacing w:val="-25"/>
          <w:w w:val="105"/>
          <w:sz w:val="19"/>
        </w:rPr>
        <w:t xml:space="preserve"> </w:t>
      </w:r>
      <w:r>
        <w:rPr>
          <w:rFonts w:ascii="Arial"/>
          <w:w w:val="105"/>
          <w:sz w:val="19"/>
        </w:rPr>
        <w:t>transition</w:t>
      </w:r>
      <w:r>
        <w:rPr>
          <w:rFonts w:ascii="Arial"/>
          <w:spacing w:val="-23"/>
          <w:w w:val="105"/>
          <w:sz w:val="19"/>
        </w:rPr>
        <w:t xml:space="preserve"> </w:t>
      </w:r>
      <w:r>
        <w:rPr>
          <w:rFonts w:ascii="Arial"/>
          <w:w w:val="105"/>
          <w:sz w:val="19"/>
        </w:rPr>
        <w:t>over</w:t>
      </w:r>
      <w:r>
        <w:rPr>
          <w:rFonts w:ascii="Arial"/>
          <w:spacing w:val="-24"/>
          <w:w w:val="105"/>
          <w:sz w:val="19"/>
        </w:rPr>
        <w:t xml:space="preserve"> </w:t>
      </w:r>
      <w:r>
        <w:rPr>
          <w:rFonts w:ascii="Arial"/>
          <w:w w:val="105"/>
          <w:sz w:val="19"/>
        </w:rPr>
        <w:t>a</w:t>
      </w:r>
      <w:r>
        <w:rPr>
          <w:rFonts w:ascii="Arial"/>
          <w:spacing w:val="-24"/>
          <w:w w:val="105"/>
          <w:sz w:val="19"/>
        </w:rPr>
        <w:t xml:space="preserve"> </w:t>
      </w:r>
      <w:r>
        <w:rPr>
          <w:rFonts w:ascii="Arial"/>
          <w:w w:val="105"/>
          <w:sz w:val="19"/>
        </w:rPr>
        <w:t>three-year period,</w:t>
      </w:r>
      <w:r>
        <w:rPr>
          <w:rFonts w:ascii="Arial"/>
          <w:spacing w:val="-16"/>
          <w:w w:val="105"/>
          <w:sz w:val="19"/>
        </w:rPr>
        <w:t xml:space="preserve"> </w:t>
      </w:r>
      <w:r>
        <w:rPr>
          <w:rFonts w:ascii="Arial"/>
          <w:w w:val="105"/>
          <w:sz w:val="19"/>
        </w:rPr>
        <w:t>with</w:t>
      </w:r>
      <w:r>
        <w:rPr>
          <w:rFonts w:ascii="Arial"/>
          <w:spacing w:val="-17"/>
          <w:w w:val="105"/>
          <w:sz w:val="19"/>
        </w:rPr>
        <w:t xml:space="preserve"> </w:t>
      </w:r>
      <w:r>
        <w:rPr>
          <w:rFonts w:ascii="Arial"/>
          <w:w w:val="105"/>
          <w:sz w:val="19"/>
        </w:rPr>
        <w:t>the</w:t>
      </w:r>
      <w:r>
        <w:rPr>
          <w:rFonts w:ascii="Arial"/>
          <w:spacing w:val="-18"/>
          <w:w w:val="105"/>
          <w:sz w:val="19"/>
        </w:rPr>
        <w:t xml:space="preserve"> </w:t>
      </w:r>
      <w:r>
        <w:rPr>
          <w:rFonts w:ascii="Arial"/>
          <w:w w:val="105"/>
          <w:sz w:val="19"/>
        </w:rPr>
        <w:t>projected</w:t>
      </w:r>
      <w:r>
        <w:rPr>
          <w:rFonts w:ascii="Arial"/>
          <w:spacing w:val="-17"/>
          <w:w w:val="105"/>
          <w:sz w:val="19"/>
        </w:rPr>
        <w:t xml:space="preserve"> </w:t>
      </w:r>
      <w:r>
        <w:rPr>
          <w:rFonts w:ascii="Arial"/>
          <w:w w:val="105"/>
          <w:sz w:val="19"/>
        </w:rPr>
        <w:t>growth</w:t>
      </w:r>
      <w:r>
        <w:rPr>
          <w:rFonts w:ascii="Arial"/>
          <w:spacing w:val="-15"/>
          <w:w w:val="105"/>
          <w:sz w:val="19"/>
        </w:rPr>
        <w:t xml:space="preserve"> </w:t>
      </w:r>
      <w:r>
        <w:rPr>
          <w:rFonts w:ascii="Arial"/>
          <w:w w:val="105"/>
          <w:sz w:val="19"/>
        </w:rPr>
        <w:t>in</w:t>
      </w:r>
      <w:r>
        <w:rPr>
          <w:rFonts w:ascii="Arial"/>
          <w:spacing w:val="-16"/>
          <w:w w:val="105"/>
          <w:sz w:val="19"/>
        </w:rPr>
        <w:t xml:space="preserve"> </w:t>
      </w:r>
      <w:r>
        <w:rPr>
          <w:rFonts w:ascii="Arial"/>
          <w:w w:val="105"/>
          <w:sz w:val="19"/>
        </w:rPr>
        <w:t>products</w:t>
      </w:r>
      <w:r>
        <w:rPr>
          <w:rFonts w:ascii="Arial"/>
          <w:spacing w:val="-18"/>
          <w:w w:val="105"/>
          <w:sz w:val="19"/>
        </w:rPr>
        <w:t xml:space="preserve"> </w:t>
      </w:r>
      <w:r>
        <w:rPr>
          <w:rFonts w:ascii="Arial"/>
          <w:w w:val="105"/>
          <w:sz w:val="19"/>
        </w:rPr>
        <w:t>listed</w:t>
      </w:r>
      <w:r>
        <w:rPr>
          <w:rFonts w:ascii="Arial"/>
          <w:spacing w:val="-17"/>
          <w:w w:val="105"/>
          <w:sz w:val="19"/>
        </w:rPr>
        <w:t xml:space="preserve"> </w:t>
      </w:r>
      <w:r>
        <w:rPr>
          <w:rFonts w:ascii="Arial"/>
          <w:w w:val="105"/>
          <w:sz w:val="19"/>
        </w:rPr>
        <w:t>on</w:t>
      </w:r>
      <w:r>
        <w:rPr>
          <w:rFonts w:ascii="Arial"/>
          <w:spacing w:val="-18"/>
          <w:w w:val="105"/>
          <w:sz w:val="19"/>
        </w:rPr>
        <w:t xml:space="preserve"> </w:t>
      </w:r>
      <w:r>
        <w:rPr>
          <w:rFonts w:ascii="Arial"/>
          <w:w w:val="105"/>
          <w:sz w:val="19"/>
        </w:rPr>
        <w:t>the</w:t>
      </w:r>
      <w:r>
        <w:rPr>
          <w:rFonts w:ascii="Arial"/>
          <w:spacing w:val="-15"/>
          <w:w w:val="105"/>
          <w:sz w:val="19"/>
        </w:rPr>
        <w:t xml:space="preserve"> </w:t>
      </w:r>
      <w:r>
        <w:rPr>
          <w:rFonts w:ascii="Arial"/>
          <w:w w:val="105"/>
          <w:sz w:val="19"/>
        </w:rPr>
        <w:t>ARTG</w:t>
      </w:r>
      <w:r>
        <w:rPr>
          <w:rFonts w:ascii="Arial"/>
          <w:spacing w:val="-18"/>
          <w:w w:val="105"/>
          <w:sz w:val="19"/>
        </w:rPr>
        <w:t xml:space="preserve"> </w:t>
      </w:r>
      <w:r>
        <w:rPr>
          <w:rFonts w:ascii="Arial"/>
          <w:w w:val="105"/>
          <w:sz w:val="19"/>
        </w:rPr>
        <w:t>shown</w:t>
      </w:r>
      <w:r>
        <w:rPr>
          <w:rFonts w:ascii="Arial"/>
          <w:spacing w:val="-15"/>
          <w:w w:val="105"/>
          <w:sz w:val="19"/>
        </w:rPr>
        <w:t xml:space="preserve"> </w:t>
      </w:r>
      <w:r>
        <w:rPr>
          <w:rFonts w:ascii="Arial"/>
          <w:w w:val="105"/>
          <w:sz w:val="19"/>
        </w:rPr>
        <w:t>in</w:t>
      </w:r>
      <w:r>
        <w:rPr>
          <w:rFonts w:ascii="Arial"/>
          <w:spacing w:val="-17"/>
          <w:w w:val="105"/>
          <w:sz w:val="19"/>
        </w:rPr>
        <w:t xml:space="preserve"> </w:t>
      </w:r>
      <w:r>
        <w:rPr>
          <w:rFonts w:ascii="Arial"/>
          <w:w w:val="105"/>
          <w:sz w:val="19"/>
        </w:rPr>
        <w:t>the</w:t>
      </w:r>
      <w:r>
        <w:rPr>
          <w:rFonts w:ascii="Arial"/>
          <w:spacing w:val="-18"/>
          <w:w w:val="105"/>
          <w:sz w:val="19"/>
        </w:rPr>
        <w:t xml:space="preserve"> </w:t>
      </w:r>
      <w:r>
        <w:rPr>
          <w:rFonts w:ascii="Arial"/>
          <w:w w:val="105"/>
          <w:sz w:val="19"/>
        </w:rPr>
        <w:t>table</w:t>
      </w:r>
      <w:r>
        <w:rPr>
          <w:rFonts w:ascii="Arial"/>
          <w:spacing w:val="-15"/>
          <w:w w:val="105"/>
          <w:sz w:val="19"/>
        </w:rPr>
        <w:t xml:space="preserve"> </w:t>
      </w:r>
      <w:r>
        <w:rPr>
          <w:rFonts w:ascii="Arial"/>
          <w:w w:val="105"/>
          <w:sz w:val="19"/>
        </w:rPr>
        <w:t>below.</w:t>
      </w:r>
    </w:p>
    <w:p w:rsidR="007D76BB" w:rsidRDefault="007D76BB">
      <w:pPr>
        <w:pStyle w:val="BodyText"/>
        <w:rPr>
          <w:rFonts w:ascii="Arial"/>
          <w:sz w:val="21"/>
        </w:rPr>
      </w:pPr>
    </w:p>
    <w:p w:rsidR="007D76BB" w:rsidRDefault="00D70D28">
      <w:pPr>
        <w:ind w:left="482"/>
        <w:rPr>
          <w:rFonts w:ascii="Arial"/>
          <w:sz w:val="19"/>
        </w:rPr>
      </w:pPr>
      <w:r>
        <w:rPr>
          <w:rFonts w:ascii="Arial"/>
          <w:color w:val="005386"/>
          <w:w w:val="105"/>
          <w:sz w:val="19"/>
        </w:rPr>
        <w:t>Table 14. Projected growth in the number of products listed on the ARTG</w:t>
      </w:r>
    </w:p>
    <w:p w:rsidR="007D76BB" w:rsidRDefault="007D76BB">
      <w:pPr>
        <w:pStyle w:val="BodyText"/>
        <w:spacing w:before="3" w:after="1"/>
        <w:rPr>
          <w:rFonts w:ascii="Arial"/>
          <w:sz w:val="16"/>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4"/>
        <w:gridCol w:w="880"/>
        <w:gridCol w:w="773"/>
        <w:gridCol w:w="816"/>
        <w:gridCol w:w="778"/>
        <w:gridCol w:w="775"/>
        <w:gridCol w:w="755"/>
        <w:gridCol w:w="757"/>
        <w:gridCol w:w="772"/>
        <w:gridCol w:w="732"/>
        <w:gridCol w:w="883"/>
      </w:tblGrid>
      <w:tr w:rsidR="007D76BB">
        <w:trPr>
          <w:trHeight w:val="962"/>
        </w:trPr>
        <w:tc>
          <w:tcPr>
            <w:tcW w:w="734" w:type="dxa"/>
            <w:shd w:val="clear" w:color="auto" w:fill="005386"/>
          </w:tcPr>
          <w:p w:rsidR="007D76BB" w:rsidRDefault="007D76BB">
            <w:pPr>
              <w:pStyle w:val="TableParagraph"/>
              <w:rPr>
                <w:rFonts w:ascii="Arial"/>
              </w:rPr>
            </w:pPr>
          </w:p>
          <w:p w:rsidR="007D76BB" w:rsidRDefault="00D70D28">
            <w:pPr>
              <w:pStyle w:val="TableParagraph"/>
              <w:ind w:left="107"/>
              <w:rPr>
                <w:rFonts w:ascii="Arial"/>
                <w:sz w:val="19"/>
              </w:rPr>
            </w:pPr>
            <w:proofErr w:type="spellStart"/>
            <w:r>
              <w:rPr>
                <w:rFonts w:ascii="Arial"/>
                <w:color w:val="FFFFFF"/>
                <w:sz w:val="19"/>
              </w:rPr>
              <w:t>Yr</w:t>
            </w:r>
            <w:proofErr w:type="spellEnd"/>
            <w:r>
              <w:rPr>
                <w:rFonts w:ascii="Arial"/>
                <w:color w:val="FFFFFF"/>
                <w:sz w:val="19"/>
              </w:rPr>
              <w:t xml:space="preserve"> 1</w:t>
            </w:r>
          </w:p>
        </w:tc>
        <w:tc>
          <w:tcPr>
            <w:tcW w:w="880" w:type="dxa"/>
            <w:shd w:val="clear" w:color="auto" w:fill="005386"/>
          </w:tcPr>
          <w:p w:rsidR="007D76BB" w:rsidRDefault="007D76BB">
            <w:pPr>
              <w:pStyle w:val="TableParagraph"/>
              <w:rPr>
                <w:rFonts w:ascii="Arial"/>
              </w:rPr>
            </w:pPr>
          </w:p>
          <w:p w:rsidR="007D76BB" w:rsidRDefault="00D70D28">
            <w:pPr>
              <w:pStyle w:val="TableParagraph"/>
              <w:ind w:left="108"/>
              <w:rPr>
                <w:rFonts w:ascii="Arial"/>
                <w:sz w:val="19"/>
              </w:rPr>
            </w:pPr>
            <w:proofErr w:type="spellStart"/>
            <w:r>
              <w:rPr>
                <w:rFonts w:ascii="Arial"/>
                <w:color w:val="FFFFFF"/>
                <w:w w:val="110"/>
                <w:sz w:val="19"/>
              </w:rPr>
              <w:t>Yr</w:t>
            </w:r>
            <w:proofErr w:type="spellEnd"/>
            <w:r>
              <w:rPr>
                <w:rFonts w:ascii="Arial"/>
                <w:color w:val="FFFFFF"/>
                <w:w w:val="110"/>
                <w:sz w:val="19"/>
              </w:rPr>
              <w:t xml:space="preserve"> 2</w:t>
            </w:r>
          </w:p>
        </w:tc>
        <w:tc>
          <w:tcPr>
            <w:tcW w:w="773" w:type="dxa"/>
            <w:shd w:val="clear" w:color="auto" w:fill="005386"/>
          </w:tcPr>
          <w:p w:rsidR="007D76BB" w:rsidRDefault="007D76BB">
            <w:pPr>
              <w:pStyle w:val="TableParagraph"/>
              <w:rPr>
                <w:rFonts w:ascii="Arial"/>
              </w:rPr>
            </w:pPr>
          </w:p>
          <w:p w:rsidR="007D76BB" w:rsidRDefault="00D70D28">
            <w:pPr>
              <w:pStyle w:val="TableParagraph"/>
              <w:ind w:left="108"/>
              <w:rPr>
                <w:rFonts w:ascii="Arial"/>
                <w:sz w:val="19"/>
              </w:rPr>
            </w:pPr>
            <w:proofErr w:type="spellStart"/>
            <w:r>
              <w:rPr>
                <w:rFonts w:ascii="Arial"/>
                <w:color w:val="FFFFFF"/>
                <w:w w:val="105"/>
                <w:sz w:val="19"/>
              </w:rPr>
              <w:t>Yr</w:t>
            </w:r>
            <w:proofErr w:type="spellEnd"/>
            <w:r>
              <w:rPr>
                <w:rFonts w:ascii="Arial"/>
                <w:color w:val="FFFFFF"/>
                <w:w w:val="105"/>
                <w:sz w:val="19"/>
              </w:rPr>
              <w:t xml:space="preserve"> 3</w:t>
            </w:r>
          </w:p>
        </w:tc>
        <w:tc>
          <w:tcPr>
            <w:tcW w:w="816" w:type="dxa"/>
            <w:shd w:val="clear" w:color="auto" w:fill="005386"/>
          </w:tcPr>
          <w:p w:rsidR="007D76BB" w:rsidRDefault="007D76BB">
            <w:pPr>
              <w:pStyle w:val="TableParagraph"/>
              <w:rPr>
                <w:rFonts w:ascii="Arial"/>
              </w:rPr>
            </w:pPr>
          </w:p>
          <w:p w:rsidR="007D76BB" w:rsidRDefault="00D70D28">
            <w:pPr>
              <w:pStyle w:val="TableParagraph"/>
              <w:ind w:left="109"/>
              <w:rPr>
                <w:rFonts w:ascii="Arial"/>
                <w:sz w:val="19"/>
              </w:rPr>
            </w:pPr>
            <w:proofErr w:type="spellStart"/>
            <w:r>
              <w:rPr>
                <w:rFonts w:ascii="Arial"/>
                <w:color w:val="FFFFFF"/>
                <w:w w:val="110"/>
                <w:sz w:val="19"/>
              </w:rPr>
              <w:t>Yr</w:t>
            </w:r>
            <w:proofErr w:type="spellEnd"/>
            <w:r>
              <w:rPr>
                <w:rFonts w:ascii="Arial"/>
                <w:color w:val="FFFFFF"/>
                <w:w w:val="110"/>
                <w:sz w:val="19"/>
              </w:rPr>
              <w:t xml:space="preserve"> 4</w:t>
            </w:r>
          </w:p>
        </w:tc>
        <w:tc>
          <w:tcPr>
            <w:tcW w:w="778" w:type="dxa"/>
            <w:shd w:val="clear" w:color="auto" w:fill="005386"/>
          </w:tcPr>
          <w:p w:rsidR="007D76BB" w:rsidRDefault="007D76BB">
            <w:pPr>
              <w:pStyle w:val="TableParagraph"/>
              <w:rPr>
                <w:rFonts w:ascii="Arial"/>
              </w:rPr>
            </w:pPr>
          </w:p>
          <w:p w:rsidR="007D76BB" w:rsidRDefault="00D70D28">
            <w:pPr>
              <w:pStyle w:val="TableParagraph"/>
              <w:ind w:left="106"/>
              <w:rPr>
                <w:rFonts w:ascii="Arial"/>
                <w:sz w:val="19"/>
              </w:rPr>
            </w:pPr>
            <w:proofErr w:type="spellStart"/>
            <w:r>
              <w:rPr>
                <w:rFonts w:ascii="Arial"/>
                <w:color w:val="FFFFFF"/>
                <w:w w:val="110"/>
                <w:sz w:val="19"/>
              </w:rPr>
              <w:t>Yr</w:t>
            </w:r>
            <w:proofErr w:type="spellEnd"/>
            <w:r>
              <w:rPr>
                <w:rFonts w:ascii="Arial"/>
                <w:color w:val="FFFFFF"/>
                <w:w w:val="110"/>
                <w:sz w:val="19"/>
              </w:rPr>
              <w:t xml:space="preserve"> 5</w:t>
            </w:r>
          </w:p>
        </w:tc>
        <w:tc>
          <w:tcPr>
            <w:tcW w:w="775" w:type="dxa"/>
            <w:tcBorders>
              <w:right w:val="single" w:sz="6" w:space="0" w:color="000000"/>
            </w:tcBorders>
            <w:shd w:val="clear" w:color="auto" w:fill="005386"/>
          </w:tcPr>
          <w:p w:rsidR="007D76BB" w:rsidRDefault="007D76BB">
            <w:pPr>
              <w:pStyle w:val="TableParagraph"/>
              <w:rPr>
                <w:rFonts w:ascii="Arial"/>
              </w:rPr>
            </w:pPr>
          </w:p>
          <w:p w:rsidR="007D76BB" w:rsidRDefault="00D70D28">
            <w:pPr>
              <w:pStyle w:val="TableParagraph"/>
              <w:ind w:left="108"/>
              <w:rPr>
                <w:rFonts w:ascii="Arial"/>
                <w:sz w:val="19"/>
              </w:rPr>
            </w:pPr>
            <w:proofErr w:type="spellStart"/>
            <w:r>
              <w:rPr>
                <w:rFonts w:ascii="Arial"/>
                <w:color w:val="FFFFFF"/>
                <w:w w:val="105"/>
                <w:sz w:val="19"/>
              </w:rPr>
              <w:t>Yr</w:t>
            </w:r>
            <w:proofErr w:type="spellEnd"/>
            <w:r>
              <w:rPr>
                <w:rFonts w:ascii="Arial"/>
                <w:color w:val="FFFFFF"/>
                <w:w w:val="105"/>
                <w:sz w:val="19"/>
              </w:rPr>
              <w:t xml:space="preserve"> 6</w:t>
            </w:r>
          </w:p>
        </w:tc>
        <w:tc>
          <w:tcPr>
            <w:tcW w:w="755" w:type="dxa"/>
            <w:tcBorders>
              <w:left w:val="single" w:sz="6" w:space="0" w:color="000000"/>
            </w:tcBorders>
            <w:shd w:val="clear" w:color="auto" w:fill="005386"/>
          </w:tcPr>
          <w:p w:rsidR="007D76BB" w:rsidRDefault="007D76BB">
            <w:pPr>
              <w:pStyle w:val="TableParagraph"/>
              <w:rPr>
                <w:rFonts w:ascii="Arial"/>
              </w:rPr>
            </w:pPr>
          </w:p>
          <w:p w:rsidR="007D76BB" w:rsidRDefault="00D70D28">
            <w:pPr>
              <w:pStyle w:val="TableParagraph"/>
              <w:ind w:left="104"/>
              <w:rPr>
                <w:rFonts w:ascii="Arial"/>
                <w:sz w:val="19"/>
              </w:rPr>
            </w:pPr>
            <w:proofErr w:type="spellStart"/>
            <w:r>
              <w:rPr>
                <w:rFonts w:ascii="Arial"/>
                <w:color w:val="FFFFFF"/>
                <w:w w:val="105"/>
                <w:sz w:val="19"/>
              </w:rPr>
              <w:t>Yr</w:t>
            </w:r>
            <w:proofErr w:type="spellEnd"/>
            <w:r>
              <w:rPr>
                <w:rFonts w:ascii="Arial"/>
                <w:color w:val="FFFFFF"/>
                <w:w w:val="105"/>
                <w:sz w:val="19"/>
              </w:rPr>
              <w:t xml:space="preserve"> 7</w:t>
            </w:r>
          </w:p>
        </w:tc>
        <w:tc>
          <w:tcPr>
            <w:tcW w:w="757" w:type="dxa"/>
            <w:tcBorders>
              <w:right w:val="single" w:sz="6" w:space="0" w:color="000000"/>
            </w:tcBorders>
            <w:shd w:val="clear" w:color="auto" w:fill="005386"/>
          </w:tcPr>
          <w:p w:rsidR="007D76BB" w:rsidRDefault="007D76BB">
            <w:pPr>
              <w:pStyle w:val="TableParagraph"/>
              <w:rPr>
                <w:rFonts w:ascii="Arial"/>
              </w:rPr>
            </w:pPr>
          </w:p>
          <w:p w:rsidR="007D76BB" w:rsidRDefault="00D70D28">
            <w:pPr>
              <w:pStyle w:val="TableParagraph"/>
              <w:ind w:left="108"/>
              <w:rPr>
                <w:rFonts w:ascii="Arial"/>
                <w:sz w:val="19"/>
              </w:rPr>
            </w:pPr>
            <w:proofErr w:type="spellStart"/>
            <w:r>
              <w:rPr>
                <w:rFonts w:ascii="Arial"/>
                <w:color w:val="FFFFFF"/>
                <w:w w:val="110"/>
                <w:sz w:val="19"/>
              </w:rPr>
              <w:t>Yr</w:t>
            </w:r>
            <w:proofErr w:type="spellEnd"/>
            <w:r>
              <w:rPr>
                <w:rFonts w:ascii="Arial"/>
                <w:color w:val="FFFFFF"/>
                <w:w w:val="110"/>
                <w:sz w:val="19"/>
              </w:rPr>
              <w:t xml:space="preserve"> 8</w:t>
            </w:r>
          </w:p>
        </w:tc>
        <w:tc>
          <w:tcPr>
            <w:tcW w:w="772" w:type="dxa"/>
            <w:tcBorders>
              <w:left w:val="single" w:sz="6" w:space="0" w:color="000000"/>
            </w:tcBorders>
            <w:shd w:val="clear" w:color="auto" w:fill="005386"/>
          </w:tcPr>
          <w:p w:rsidR="007D76BB" w:rsidRDefault="007D76BB">
            <w:pPr>
              <w:pStyle w:val="TableParagraph"/>
              <w:rPr>
                <w:rFonts w:ascii="Arial"/>
              </w:rPr>
            </w:pPr>
          </w:p>
          <w:p w:rsidR="007D76BB" w:rsidRDefault="00D70D28">
            <w:pPr>
              <w:pStyle w:val="TableParagraph"/>
              <w:ind w:left="104"/>
              <w:rPr>
                <w:rFonts w:ascii="Arial"/>
                <w:sz w:val="19"/>
              </w:rPr>
            </w:pPr>
            <w:proofErr w:type="spellStart"/>
            <w:r>
              <w:rPr>
                <w:rFonts w:ascii="Arial"/>
                <w:color w:val="FFFFFF"/>
                <w:w w:val="105"/>
                <w:sz w:val="19"/>
              </w:rPr>
              <w:t>Yr</w:t>
            </w:r>
            <w:proofErr w:type="spellEnd"/>
            <w:r>
              <w:rPr>
                <w:rFonts w:ascii="Arial"/>
                <w:color w:val="FFFFFF"/>
                <w:w w:val="105"/>
                <w:sz w:val="19"/>
              </w:rPr>
              <w:t xml:space="preserve"> 9</w:t>
            </w:r>
          </w:p>
        </w:tc>
        <w:tc>
          <w:tcPr>
            <w:tcW w:w="732" w:type="dxa"/>
            <w:shd w:val="clear" w:color="auto" w:fill="005386"/>
          </w:tcPr>
          <w:p w:rsidR="007D76BB" w:rsidRDefault="007D76BB">
            <w:pPr>
              <w:pStyle w:val="TableParagraph"/>
              <w:rPr>
                <w:rFonts w:ascii="Arial"/>
              </w:rPr>
            </w:pPr>
          </w:p>
          <w:p w:rsidR="007D76BB" w:rsidRDefault="00D70D28">
            <w:pPr>
              <w:pStyle w:val="TableParagraph"/>
              <w:ind w:left="108"/>
              <w:rPr>
                <w:rFonts w:ascii="Arial"/>
                <w:sz w:val="19"/>
              </w:rPr>
            </w:pPr>
            <w:proofErr w:type="spellStart"/>
            <w:r>
              <w:rPr>
                <w:rFonts w:ascii="Arial"/>
                <w:color w:val="FFFFFF"/>
                <w:sz w:val="19"/>
              </w:rPr>
              <w:t>Yr</w:t>
            </w:r>
            <w:proofErr w:type="spellEnd"/>
            <w:r>
              <w:rPr>
                <w:rFonts w:ascii="Arial"/>
                <w:color w:val="FFFFFF"/>
                <w:sz w:val="19"/>
              </w:rPr>
              <w:t xml:space="preserve"> 10</w:t>
            </w:r>
          </w:p>
        </w:tc>
        <w:tc>
          <w:tcPr>
            <w:tcW w:w="883" w:type="dxa"/>
            <w:shd w:val="clear" w:color="auto" w:fill="005386"/>
          </w:tcPr>
          <w:p w:rsidR="007D76BB" w:rsidRDefault="00D70D28">
            <w:pPr>
              <w:pStyle w:val="TableParagraph"/>
              <w:spacing w:before="13" w:line="264" w:lineRule="auto"/>
              <w:ind w:left="106" w:right="133"/>
              <w:rPr>
                <w:rFonts w:ascii="Arial"/>
                <w:sz w:val="19"/>
              </w:rPr>
            </w:pPr>
            <w:r>
              <w:rPr>
                <w:rFonts w:ascii="Arial"/>
                <w:color w:val="FFFFFF"/>
                <w:w w:val="105"/>
                <w:sz w:val="19"/>
              </w:rPr>
              <w:t xml:space="preserve">Total </w:t>
            </w:r>
            <w:r>
              <w:rPr>
                <w:rFonts w:ascii="Arial"/>
                <w:color w:val="FFFFFF"/>
                <w:spacing w:val="-5"/>
                <w:w w:val="105"/>
                <w:sz w:val="19"/>
              </w:rPr>
              <w:t xml:space="preserve">Growth </w:t>
            </w:r>
            <w:r>
              <w:rPr>
                <w:rFonts w:ascii="Arial"/>
                <w:color w:val="FFFFFF"/>
                <w:w w:val="105"/>
                <w:sz w:val="19"/>
              </w:rPr>
              <w:t>from</w:t>
            </w:r>
          </w:p>
          <w:p w:rsidR="007D76BB" w:rsidRDefault="00D70D28">
            <w:pPr>
              <w:pStyle w:val="TableParagraph"/>
              <w:spacing w:before="2" w:line="206" w:lineRule="exact"/>
              <w:ind w:left="106"/>
              <w:rPr>
                <w:rFonts w:ascii="Arial"/>
                <w:sz w:val="19"/>
              </w:rPr>
            </w:pPr>
            <w:r>
              <w:rPr>
                <w:rFonts w:ascii="Arial"/>
                <w:color w:val="FFFFFF"/>
                <w:sz w:val="19"/>
              </w:rPr>
              <w:t>Base</w:t>
            </w:r>
          </w:p>
        </w:tc>
      </w:tr>
      <w:tr w:rsidR="007D76BB">
        <w:trPr>
          <w:trHeight w:val="239"/>
        </w:trPr>
        <w:tc>
          <w:tcPr>
            <w:tcW w:w="734" w:type="dxa"/>
          </w:tcPr>
          <w:p w:rsidR="007D76BB" w:rsidRDefault="00D70D28">
            <w:pPr>
              <w:pStyle w:val="TableParagraph"/>
              <w:spacing w:before="13" w:line="206" w:lineRule="exact"/>
              <w:ind w:left="107"/>
              <w:rPr>
                <w:rFonts w:ascii="Arial"/>
                <w:sz w:val="19"/>
              </w:rPr>
            </w:pPr>
            <w:r>
              <w:rPr>
                <w:rFonts w:ascii="Arial"/>
                <w:spacing w:val="-1"/>
                <w:w w:val="109"/>
                <w:sz w:val="19"/>
              </w:rPr>
              <w:t>2</w:t>
            </w:r>
            <w:r>
              <w:rPr>
                <w:rFonts w:ascii="Arial"/>
                <w:spacing w:val="1"/>
                <w:w w:val="114"/>
                <w:sz w:val="19"/>
              </w:rPr>
              <w:t>0</w:t>
            </w:r>
            <w:r>
              <w:rPr>
                <w:rFonts w:ascii="Arial"/>
                <w:w w:val="175"/>
                <w:sz w:val="19"/>
              </w:rPr>
              <w:t>/</w:t>
            </w:r>
            <w:r>
              <w:rPr>
                <w:rFonts w:ascii="Arial"/>
                <w:spacing w:val="-1"/>
                <w:w w:val="109"/>
                <w:sz w:val="19"/>
              </w:rPr>
              <w:t>2</w:t>
            </w:r>
            <w:r>
              <w:rPr>
                <w:rFonts w:ascii="Arial"/>
                <w:w w:val="66"/>
                <w:sz w:val="19"/>
              </w:rPr>
              <w:t>1</w:t>
            </w:r>
          </w:p>
        </w:tc>
        <w:tc>
          <w:tcPr>
            <w:tcW w:w="880" w:type="dxa"/>
          </w:tcPr>
          <w:p w:rsidR="007D76BB" w:rsidRDefault="00D70D28">
            <w:pPr>
              <w:pStyle w:val="TableParagraph"/>
              <w:spacing w:before="13" w:line="206" w:lineRule="exact"/>
              <w:ind w:left="108"/>
              <w:rPr>
                <w:rFonts w:ascii="Arial"/>
                <w:sz w:val="19"/>
              </w:rPr>
            </w:pPr>
            <w:r>
              <w:rPr>
                <w:rFonts w:ascii="Arial"/>
                <w:spacing w:val="-1"/>
                <w:w w:val="109"/>
                <w:sz w:val="19"/>
              </w:rPr>
              <w:t>2</w:t>
            </w:r>
            <w:r>
              <w:rPr>
                <w:rFonts w:ascii="Arial"/>
                <w:spacing w:val="1"/>
                <w:w w:val="66"/>
                <w:sz w:val="19"/>
              </w:rPr>
              <w:t>1</w:t>
            </w:r>
            <w:r>
              <w:rPr>
                <w:rFonts w:ascii="Arial"/>
                <w:w w:val="175"/>
                <w:sz w:val="19"/>
              </w:rPr>
              <w:t>/</w:t>
            </w:r>
            <w:r>
              <w:rPr>
                <w:rFonts w:ascii="Arial"/>
                <w:spacing w:val="-1"/>
                <w:w w:val="109"/>
                <w:sz w:val="19"/>
              </w:rPr>
              <w:t>22</w:t>
            </w:r>
          </w:p>
        </w:tc>
        <w:tc>
          <w:tcPr>
            <w:tcW w:w="773" w:type="dxa"/>
          </w:tcPr>
          <w:p w:rsidR="007D76BB" w:rsidRDefault="00D70D28">
            <w:pPr>
              <w:pStyle w:val="TableParagraph"/>
              <w:spacing w:before="13" w:line="206" w:lineRule="exact"/>
              <w:ind w:left="108"/>
              <w:rPr>
                <w:rFonts w:ascii="Arial"/>
                <w:sz w:val="19"/>
              </w:rPr>
            </w:pPr>
            <w:r>
              <w:rPr>
                <w:rFonts w:ascii="Arial"/>
                <w:w w:val="125"/>
                <w:sz w:val="19"/>
              </w:rPr>
              <w:t>22/23</w:t>
            </w:r>
          </w:p>
        </w:tc>
        <w:tc>
          <w:tcPr>
            <w:tcW w:w="816" w:type="dxa"/>
          </w:tcPr>
          <w:p w:rsidR="007D76BB" w:rsidRDefault="00D70D28">
            <w:pPr>
              <w:pStyle w:val="TableParagraph"/>
              <w:spacing w:before="13" w:line="206" w:lineRule="exact"/>
              <w:ind w:left="109"/>
              <w:rPr>
                <w:rFonts w:ascii="Arial"/>
                <w:sz w:val="19"/>
              </w:rPr>
            </w:pPr>
            <w:r>
              <w:rPr>
                <w:rFonts w:ascii="Arial"/>
                <w:w w:val="125"/>
                <w:sz w:val="19"/>
              </w:rPr>
              <w:t>23/24</w:t>
            </w:r>
          </w:p>
        </w:tc>
        <w:tc>
          <w:tcPr>
            <w:tcW w:w="778" w:type="dxa"/>
          </w:tcPr>
          <w:p w:rsidR="007D76BB" w:rsidRDefault="00D70D28">
            <w:pPr>
              <w:pStyle w:val="TableParagraph"/>
              <w:spacing w:before="13" w:line="206" w:lineRule="exact"/>
              <w:ind w:left="106"/>
              <w:rPr>
                <w:rFonts w:ascii="Arial"/>
                <w:sz w:val="19"/>
              </w:rPr>
            </w:pPr>
            <w:r>
              <w:rPr>
                <w:rFonts w:ascii="Arial"/>
                <w:w w:val="120"/>
                <w:sz w:val="19"/>
              </w:rPr>
              <w:t>24/25</w:t>
            </w:r>
          </w:p>
        </w:tc>
        <w:tc>
          <w:tcPr>
            <w:tcW w:w="775" w:type="dxa"/>
            <w:tcBorders>
              <w:right w:val="single" w:sz="6" w:space="0" w:color="000000"/>
            </w:tcBorders>
          </w:tcPr>
          <w:p w:rsidR="007D76BB" w:rsidRDefault="00D70D28">
            <w:pPr>
              <w:pStyle w:val="TableParagraph"/>
              <w:spacing w:before="13" w:line="206" w:lineRule="exact"/>
              <w:ind w:left="108"/>
              <w:rPr>
                <w:rFonts w:ascii="Arial"/>
                <w:sz w:val="19"/>
              </w:rPr>
            </w:pPr>
            <w:r>
              <w:rPr>
                <w:rFonts w:ascii="Arial"/>
                <w:w w:val="115"/>
                <w:sz w:val="19"/>
              </w:rPr>
              <w:t>25/26</w:t>
            </w:r>
          </w:p>
        </w:tc>
        <w:tc>
          <w:tcPr>
            <w:tcW w:w="755" w:type="dxa"/>
            <w:tcBorders>
              <w:left w:val="single" w:sz="6" w:space="0" w:color="000000"/>
            </w:tcBorders>
          </w:tcPr>
          <w:p w:rsidR="007D76BB" w:rsidRDefault="00D70D28">
            <w:pPr>
              <w:pStyle w:val="TableParagraph"/>
              <w:spacing w:before="13" w:line="206" w:lineRule="exact"/>
              <w:ind w:left="104"/>
              <w:rPr>
                <w:rFonts w:ascii="Arial"/>
                <w:sz w:val="19"/>
              </w:rPr>
            </w:pPr>
            <w:r>
              <w:rPr>
                <w:rFonts w:ascii="Arial"/>
                <w:w w:val="115"/>
                <w:sz w:val="19"/>
              </w:rPr>
              <w:t>26/27</w:t>
            </w:r>
          </w:p>
        </w:tc>
        <w:tc>
          <w:tcPr>
            <w:tcW w:w="757" w:type="dxa"/>
            <w:tcBorders>
              <w:right w:val="single" w:sz="6" w:space="0" w:color="000000"/>
            </w:tcBorders>
          </w:tcPr>
          <w:p w:rsidR="007D76BB" w:rsidRDefault="00D70D28">
            <w:pPr>
              <w:pStyle w:val="TableParagraph"/>
              <w:spacing w:before="13" w:line="206" w:lineRule="exact"/>
              <w:ind w:left="108"/>
              <w:rPr>
                <w:rFonts w:ascii="Arial"/>
                <w:sz w:val="19"/>
              </w:rPr>
            </w:pPr>
            <w:r>
              <w:rPr>
                <w:rFonts w:ascii="Arial"/>
                <w:w w:val="120"/>
                <w:sz w:val="19"/>
              </w:rPr>
              <w:t>27/28</w:t>
            </w:r>
          </w:p>
        </w:tc>
        <w:tc>
          <w:tcPr>
            <w:tcW w:w="772" w:type="dxa"/>
            <w:tcBorders>
              <w:left w:val="single" w:sz="6" w:space="0" w:color="000000"/>
            </w:tcBorders>
          </w:tcPr>
          <w:p w:rsidR="007D76BB" w:rsidRDefault="00D70D28">
            <w:pPr>
              <w:pStyle w:val="TableParagraph"/>
              <w:spacing w:before="13" w:line="206" w:lineRule="exact"/>
              <w:ind w:left="104"/>
              <w:rPr>
                <w:rFonts w:ascii="Arial"/>
                <w:sz w:val="19"/>
              </w:rPr>
            </w:pPr>
            <w:r>
              <w:rPr>
                <w:rFonts w:ascii="Arial"/>
                <w:w w:val="120"/>
                <w:sz w:val="19"/>
              </w:rPr>
              <w:t>28/29</w:t>
            </w:r>
          </w:p>
        </w:tc>
        <w:tc>
          <w:tcPr>
            <w:tcW w:w="732" w:type="dxa"/>
          </w:tcPr>
          <w:p w:rsidR="007D76BB" w:rsidRDefault="00D70D28">
            <w:pPr>
              <w:pStyle w:val="TableParagraph"/>
              <w:spacing w:before="13" w:line="206" w:lineRule="exact"/>
              <w:ind w:left="108"/>
              <w:rPr>
                <w:rFonts w:ascii="Arial"/>
                <w:sz w:val="19"/>
              </w:rPr>
            </w:pPr>
            <w:r>
              <w:rPr>
                <w:rFonts w:ascii="Arial"/>
                <w:w w:val="108"/>
                <w:sz w:val="19"/>
              </w:rPr>
              <w:t>3</w:t>
            </w:r>
            <w:r>
              <w:rPr>
                <w:rFonts w:ascii="Arial"/>
                <w:spacing w:val="1"/>
                <w:w w:val="114"/>
                <w:sz w:val="19"/>
              </w:rPr>
              <w:t>0</w:t>
            </w:r>
            <w:r>
              <w:rPr>
                <w:rFonts w:ascii="Arial"/>
                <w:w w:val="175"/>
                <w:sz w:val="19"/>
              </w:rPr>
              <w:t>/</w:t>
            </w:r>
            <w:r>
              <w:rPr>
                <w:rFonts w:ascii="Arial"/>
                <w:spacing w:val="-2"/>
                <w:w w:val="108"/>
                <w:sz w:val="19"/>
              </w:rPr>
              <w:t>3</w:t>
            </w:r>
            <w:r>
              <w:rPr>
                <w:rFonts w:ascii="Arial"/>
                <w:w w:val="66"/>
                <w:sz w:val="19"/>
              </w:rPr>
              <w:t>1</w:t>
            </w:r>
          </w:p>
        </w:tc>
        <w:tc>
          <w:tcPr>
            <w:tcW w:w="883" w:type="dxa"/>
          </w:tcPr>
          <w:p w:rsidR="007D76BB" w:rsidRDefault="007D76BB">
            <w:pPr>
              <w:pStyle w:val="TableParagraph"/>
              <w:rPr>
                <w:rFonts w:ascii="Times New Roman"/>
                <w:sz w:val="16"/>
              </w:rPr>
            </w:pPr>
          </w:p>
        </w:tc>
      </w:tr>
      <w:tr w:rsidR="007D76BB">
        <w:trPr>
          <w:trHeight w:val="242"/>
        </w:trPr>
        <w:tc>
          <w:tcPr>
            <w:tcW w:w="2387" w:type="dxa"/>
            <w:gridSpan w:val="3"/>
          </w:tcPr>
          <w:p w:rsidR="007D76BB" w:rsidRDefault="00D70D28">
            <w:pPr>
              <w:pStyle w:val="TableParagraph"/>
              <w:spacing w:before="13" w:line="208" w:lineRule="exact"/>
              <w:ind w:left="1046" w:right="1046"/>
              <w:jc w:val="center"/>
              <w:rPr>
                <w:rFonts w:ascii="Arial"/>
                <w:sz w:val="19"/>
              </w:rPr>
            </w:pPr>
            <w:r>
              <w:rPr>
                <w:rFonts w:ascii="Arial"/>
                <w:w w:val="115"/>
                <w:sz w:val="19"/>
              </w:rPr>
              <w:t>40</w:t>
            </w:r>
          </w:p>
        </w:tc>
        <w:tc>
          <w:tcPr>
            <w:tcW w:w="816" w:type="dxa"/>
          </w:tcPr>
          <w:p w:rsidR="007D76BB" w:rsidRDefault="00D70D28">
            <w:pPr>
              <w:pStyle w:val="TableParagraph"/>
              <w:spacing w:before="13" w:line="208" w:lineRule="exact"/>
              <w:ind w:left="266" w:right="267"/>
              <w:jc w:val="center"/>
              <w:rPr>
                <w:rFonts w:ascii="Arial"/>
                <w:sz w:val="19"/>
              </w:rPr>
            </w:pPr>
            <w:r>
              <w:rPr>
                <w:rFonts w:ascii="Arial"/>
                <w:w w:val="110"/>
                <w:sz w:val="19"/>
              </w:rPr>
              <w:t>44</w:t>
            </w:r>
          </w:p>
        </w:tc>
        <w:tc>
          <w:tcPr>
            <w:tcW w:w="778" w:type="dxa"/>
          </w:tcPr>
          <w:p w:rsidR="007D76BB" w:rsidRDefault="00D70D28">
            <w:pPr>
              <w:pStyle w:val="TableParagraph"/>
              <w:spacing w:before="13" w:line="208" w:lineRule="exact"/>
              <w:ind w:left="247" w:right="248"/>
              <w:jc w:val="center"/>
              <w:rPr>
                <w:rFonts w:ascii="Arial"/>
                <w:sz w:val="19"/>
              </w:rPr>
            </w:pPr>
            <w:r>
              <w:rPr>
                <w:rFonts w:ascii="Arial"/>
                <w:w w:val="110"/>
                <w:sz w:val="19"/>
              </w:rPr>
              <w:t>48</w:t>
            </w:r>
          </w:p>
        </w:tc>
        <w:tc>
          <w:tcPr>
            <w:tcW w:w="775" w:type="dxa"/>
          </w:tcPr>
          <w:p w:rsidR="007D76BB" w:rsidRDefault="00D70D28">
            <w:pPr>
              <w:pStyle w:val="TableParagraph"/>
              <w:spacing w:before="13" w:line="208" w:lineRule="exact"/>
              <w:ind w:left="218" w:right="229"/>
              <w:jc w:val="center"/>
              <w:rPr>
                <w:rFonts w:ascii="Arial"/>
                <w:sz w:val="19"/>
              </w:rPr>
            </w:pPr>
            <w:r>
              <w:rPr>
                <w:rFonts w:ascii="Arial"/>
                <w:w w:val="110"/>
                <w:sz w:val="19"/>
              </w:rPr>
              <w:t>53</w:t>
            </w:r>
          </w:p>
        </w:tc>
        <w:tc>
          <w:tcPr>
            <w:tcW w:w="755" w:type="dxa"/>
          </w:tcPr>
          <w:p w:rsidR="007D76BB" w:rsidRDefault="00D70D28">
            <w:pPr>
              <w:pStyle w:val="TableParagraph"/>
              <w:spacing w:before="13" w:line="208" w:lineRule="exact"/>
              <w:ind w:left="230" w:right="242"/>
              <w:jc w:val="center"/>
              <w:rPr>
                <w:rFonts w:ascii="Arial"/>
                <w:sz w:val="19"/>
              </w:rPr>
            </w:pPr>
            <w:r>
              <w:rPr>
                <w:rFonts w:ascii="Arial"/>
                <w:w w:val="110"/>
                <w:sz w:val="19"/>
              </w:rPr>
              <w:t>58</w:t>
            </w:r>
          </w:p>
        </w:tc>
        <w:tc>
          <w:tcPr>
            <w:tcW w:w="757" w:type="dxa"/>
          </w:tcPr>
          <w:p w:rsidR="007D76BB" w:rsidRDefault="00D70D28">
            <w:pPr>
              <w:pStyle w:val="TableParagraph"/>
              <w:spacing w:before="13" w:line="208" w:lineRule="exact"/>
              <w:ind w:left="232" w:right="242"/>
              <w:jc w:val="center"/>
              <w:rPr>
                <w:rFonts w:ascii="Arial"/>
                <w:sz w:val="19"/>
              </w:rPr>
            </w:pPr>
            <w:r>
              <w:rPr>
                <w:rFonts w:ascii="Arial"/>
                <w:w w:val="110"/>
                <w:sz w:val="19"/>
              </w:rPr>
              <w:t>64</w:t>
            </w:r>
          </w:p>
        </w:tc>
        <w:tc>
          <w:tcPr>
            <w:tcW w:w="772" w:type="dxa"/>
          </w:tcPr>
          <w:p w:rsidR="007D76BB" w:rsidRDefault="00D70D28">
            <w:pPr>
              <w:pStyle w:val="TableParagraph"/>
              <w:spacing w:before="13" w:line="208" w:lineRule="exact"/>
              <w:ind w:left="245" w:right="254"/>
              <w:jc w:val="center"/>
              <w:rPr>
                <w:rFonts w:ascii="Arial"/>
                <w:sz w:val="19"/>
              </w:rPr>
            </w:pPr>
            <w:r>
              <w:rPr>
                <w:rFonts w:ascii="Arial"/>
                <w:w w:val="105"/>
                <w:sz w:val="19"/>
              </w:rPr>
              <w:t>70</w:t>
            </w:r>
          </w:p>
        </w:tc>
        <w:tc>
          <w:tcPr>
            <w:tcW w:w="732" w:type="dxa"/>
          </w:tcPr>
          <w:p w:rsidR="007D76BB" w:rsidRDefault="00D70D28">
            <w:pPr>
              <w:pStyle w:val="TableParagraph"/>
              <w:spacing w:before="13" w:line="208" w:lineRule="exact"/>
              <w:ind w:left="233" w:right="236"/>
              <w:jc w:val="center"/>
              <w:rPr>
                <w:rFonts w:ascii="Arial"/>
                <w:sz w:val="19"/>
              </w:rPr>
            </w:pPr>
            <w:r>
              <w:rPr>
                <w:rFonts w:ascii="Arial"/>
                <w:sz w:val="19"/>
              </w:rPr>
              <w:t>77</w:t>
            </w:r>
          </w:p>
        </w:tc>
        <w:tc>
          <w:tcPr>
            <w:tcW w:w="883" w:type="dxa"/>
            <w:shd w:val="clear" w:color="auto" w:fill="D9D9D9"/>
          </w:tcPr>
          <w:p w:rsidR="007D76BB" w:rsidRDefault="00D70D28">
            <w:pPr>
              <w:pStyle w:val="TableParagraph"/>
              <w:spacing w:before="13" w:line="208" w:lineRule="exact"/>
              <w:ind w:left="309" w:right="311"/>
              <w:jc w:val="center"/>
              <w:rPr>
                <w:rFonts w:ascii="Arial"/>
                <w:sz w:val="19"/>
              </w:rPr>
            </w:pPr>
            <w:r>
              <w:rPr>
                <w:rFonts w:ascii="Arial"/>
                <w:sz w:val="19"/>
              </w:rPr>
              <w:t>37</w:t>
            </w:r>
          </w:p>
        </w:tc>
      </w:tr>
      <w:tr w:rsidR="007D76BB">
        <w:trPr>
          <w:trHeight w:val="239"/>
        </w:trPr>
        <w:tc>
          <w:tcPr>
            <w:tcW w:w="2387" w:type="dxa"/>
            <w:gridSpan w:val="3"/>
          </w:tcPr>
          <w:p w:rsidR="007D76BB" w:rsidRDefault="00D70D28">
            <w:pPr>
              <w:pStyle w:val="TableParagraph"/>
              <w:spacing w:before="13" w:line="206" w:lineRule="exact"/>
              <w:ind w:left="450"/>
              <w:rPr>
                <w:rFonts w:ascii="Arial"/>
                <w:sz w:val="19"/>
              </w:rPr>
            </w:pPr>
            <w:r>
              <w:rPr>
                <w:rFonts w:ascii="Arial"/>
                <w:w w:val="105"/>
                <w:sz w:val="19"/>
              </w:rPr>
              <w:t>Increase per year</w:t>
            </w:r>
          </w:p>
        </w:tc>
        <w:tc>
          <w:tcPr>
            <w:tcW w:w="816" w:type="dxa"/>
          </w:tcPr>
          <w:p w:rsidR="007D76BB" w:rsidRDefault="00D70D28">
            <w:pPr>
              <w:pStyle w:val="TableParagraph"/>
              <w:spacing w:before="13" w:line="206" w:lineRule="exact"/>
              <w:jc w:val="center"/>
              <w:rPr>
                <w:rFonts w:ascii="Arial"/>
                <w:sz w:val="19"/>
              </w:rPr>
            </w:pPr>
            <w:r>
              <w:rPr>
                <w:rFonts w:ascii="Arial"/>
                <w:w w:val="111"/>
                <w:sz w:val="19"/>
              </w:rPr>
              <w:t>4</w:t>
            </w:r>
          </w:p>
        </w:tc>
        <w:tc>
          <w:tcPr>
            <w:tcW w:w="778" w:type="dxa"/>
          </w:tcPr>
          <w:p w:rsidR="007D76BB" w:rsidRDefault="00D70D28">
            <w:pPr>
              <w:pStyle w:val="TableParagraph"/>
              <w:spacing w:before="13" w:line="206" w:lineRule="exact"/>
              <w:ind w:right="2"/>
              <w:jc w:val="center"/>
              <w:rPr>
                <w:rFonts w:ascii="Arial"/>
                <w:sz w:val="19"/>
              </w:rPr>
            </w:pPr>
            <w:r>
              <w:rPr>
                <w:rFonts w:ascii="Arial"/>
                <w:w w:val="111"/>
                <w:sz w:val="19"/>
              </w:rPr>
              <w:t>4</w:t>
            </w:r>
          </w:p>
        </w:tc>
        <w:tc>
          <w:tcPr>
            <w:tcW w:w="775" w:type="dxa"/>
          </w:tcPr>
          <w:p w:rsidR="007D76BB" w:rsidRDefault="00D70D28">
            <w:pPr>
              <w:pStyle w:val="TableParagraph"/>
              <w:spacing w:before="13" w:line="206" w:lineRule="exact"/>
              <w:ind w:right="9"/>
              <w:jc w:val="center"/>
              <w:rPr>
                <w:rFonts w:ascii="Arial"/>
                <w:sz w:val="19"/>
              </w:rPr>
            </w:pPr>
            <w:r>
              <w:rPr>
                <w:rFonts w:ascii="Arial"/>
                <w:w w:val="111"/>
                <w:sz w:val="19"/>
              </w:rPr>
              <w:t>5</w:t>
            </w:r>
          </w:p>
        </w:tc>
        <w:tc>
          <w:tcPr>
            <w:tcW w:w="755" w:type="dxa"/>
          </w:tcPr>
          <w:p w:rsidR="007D76BB" w:rsidRDefault="00D70D28">
            <w:pPr>
              <w:pStyle w:val="TableParagraph"/>
              <w:spacing w:before="13" w:line="206" w:lineRule="exact"/>
              <w:ind w:right="7"/>
              <w:jc w:val="center"/>
              <w:rPr>
                <w:rFonts w:ascii="Arial"/>
                <w:sz w:val="19"/>
              </w:rPr>
            </w:pPr>
            <w:r>
              <w:rPr>
                <w:rFonts w:ascii="Arial"/>
                <w:w w:val="111"/>
                <w:sz w:val="19"/>
              </w:rPr>
              <w:t>5</w:t>
            </w:r>
          </w:p>
        </w:tc>
        <w:tc>
          <w:tcPr>
            <w:tcW w:w="757" w:type="dxa"/>
          </w:tcPr>
          <w:p w:rsidR="007D76BB" w:rsidRDefault="00D70D28">
            <w:pPr>
              <w:pStyle w:val="TableParagraph"/>
              <w:spacing w:before="13" w:line="206" w:lineRule="exact"/>
              <w:ind w:right="7"/>
              <w:jc w:val="center"/>
              <w:rPr>
                <w:rFonts w:ascii="Arial"/>
                <w:sz w:val="19"/>
              </w:rPr>
            </w:pPr>
            <w:r>
              <w:rPr>
                <w:rFonts w:ascii="Arial"/>
                <w:w w:val="107"/>
                <w:sz w:val="19"/>
              </w:rPr>
              <w:t>6</w:t>
            </w:r>
          </w:p>
        </w:tc>
        <w:tc>
          <w:tcPr>
            <w:tcW w:w="772" w:type="dxa"/>
          </w:tcPr>
          <w:p w:rsidR="007D76BB" w:rsidRDefault="00D70D28">
            <w:pPr>
              <w:pStyle w:val="TableParagraph"/>
              <w:spacing w:before="13" w:line="206" w:lineRule="exact"/>
              <w:ind w:right="10"/>
              <w:jc w:val="center"/>
              <w:rPr>
                <w:rFonts w:ascii="Arial"/>
                <w:sz w:val="19"/>
              </w:rPr>
            </w:pPr>
            <w:r>
              <w:rPr>
                <w:rFonts w:ascii="Arial"/>
                <w:w w:val="107"/>
                <w:sz w:val="19"/>
              </w:rPr>
              <w:t>6</w:t>
            </w:r>
          </w:p>
        </w:tc>
        <w:tc>
          <w:tcPr>
            <w:tcW w:w="732" w:type="dxa"/>
          </w:tcPr>
          <w:p w:rsidR="007D76BB" w:rsidRDefault="00D70D28">
            <w:pPr>
              <w:pStyle w:val="TableParagraph"/>
              <w:spacing w:before="13" w:line="206" w:lineRule="exact"/>
              <w:jc w:val="center"/>
              <w:rPr>
                <w:rFonts w:ascii="Arial"/>
                <w:sz w:val="19"/>
              </w:rPr>
            </w:pPr>
            <w:r>
              <w:rPr>
                <w:rFonts w:ascii="Arial"/>
                <w:w w:val="93"/>
                <w:sz w:val="19"/>
              </w:rPr>
              <w:t>7</w:t>
            </w:r>
          </w:p>
        </w:tc>
        <w:tc>
          <w:tcPr>
            <w:tcW w:w="883" w:type="dxa"/>
            <w:shd w:val="clear" w:color="auto" w:fill="D9D9D9"/>
          </w:tcPr>
          <w:p w:rsidR="007D76BB" w:rsidRDefault="00D70D28">
            <w:pPr>
              <w:pStyle w:val="TableParagraph"/>
              <w:spacing w:before="13" w:line="206" w:lineRule="exact"/>
              <w:ind w:left="309" w:right="310"/>
              <w:jc w:val="center"/>
              <w:rPr>
                <w:rFonts w:ascii="Arial"/>
                <w:sz w:val="19"/>
              </w:rPr>
            </w:pPr>
            <w:r>
              <w:rPr>
                <w:rFonts w:ascii="Arial"/>
                <w:sz w:val="19"/>
              </w:rPr>
              <w:t>37</w:t>
            </w:r>
          </w:p>
        </w:tc>
      </w:tr>
    </w:tbl>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D70D28">
      <w:pPr>
        <w:pStyle w:val="BodyText"/>
        <w:spacing w:before="8"/>
        <w:rPr>
          <w:rFonts w:ascii="Arial"/>
          <w:sz w:val="26"/>
        </w:rPr>
      </w:pPr>
      <w:r>
        <w:rPr>
          <w:noProof/>
          <w:lang w:val="en-AU" w:eastAsia="en-AU"/>
        </w:rPr>
        <mc:AlternateContent>
          <mc:Choice Requires="wps">
            <w:drawing>
              <wp:anchor distT="0" distB="0" distL="0" distR="0" simplePos="0" relativeHeight="251752448" behindDoc="1" locked="0" layoutInCell="1" allowOverlap="1">
                <wp:simplePos x="0" y="0"/>
                <wp:positionH relativeFrom="page">
                  <wp:posOffset>1080770</wp:posOffset>
                </wp:positionH>
                <wp:positionV relativeFrom="paragraph">
                  <wp:posOffset>225425</wp:posOffset>
                </wp:positionV>
                <wp:extent cx="1829435" cy="1270"/>
                <wp:effectExtent l="0" t="0" r="0" b="0"/>
                <wp:wrapTopAndBottom/>
                <wp:docPr id="277"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6DAE0" id="Freeform 133" o:spid="_x0000_s1026" style="position:absolute;margin-left:85.1pt;margin-top:17.75pt;width:144.05pt;height:.1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" path="m,l2880,e" filled="f" strokeweight=".84pt">
                <v:path arrowok="t" o:connecttype="custom" o:connectlocs="0,0;1828800,0" o:connectangles="0,0"/>
                <w10:wrap type="topAndBottom" anchorx="page"/>
              </v:shape>
            </w:pict>
          </mc:Fallback>
        </mc:AlternateContent>
      </w:r>
    </w:p>
    <w:p w:rsidR="007D76BB" w:rsidRDefault="00D70D28">
      <w:pPr>
        <w:spacing w:before="132"/>
        <w:ind w:left="482"/>
        <w:rPr>
          <w:rFonts w:ascii="Arial"/>
          <w:sz w:val="14"/>
        </w:rPr>
      </w:pPr>
      <w:r>
        <w:rPr>
          <w:rFonts w:ascii="Arial"/>
          <w:color w:val="5B6761"/>
          <w:w w:val="105"/>
          <w:position w:val="5"/>
          <w:sz w:val="8"/>
        </w:rPr>
        <w:t>84</w:t>
      </w:r>
      <w:r>
        <w:rPr>
          <w:rFonts w:ascii="Arial"/>
          <w:color w:val="5B6761"/>
          <w:spacing w:val="-12"/>
          <w:w w:val="105"/>
          <w:position w:val="5"/>
          <w:sz w:val="8"/>
        </w:rPr>
        <w:t xml:space="preserve"> </w:t>
      </w:r>
      <w:r>
        <w:rPr>
          <w:rFonts w:ascii="Arial"/>
          <w:color w:val="5B6761"/>
          <w:w w:val="105"/>
          <w:sz w:val="14"/>
        </w:rPr>
        <w:t>Population</w:t>
      </w:r>
      <w:r>
        <w:rPr>
          <w:rFonts w:ascii="Arial"/>
          <w:color w:val="5B6761"/>
          <w:spacing w:val="-29"/>
          <w:w w:val="105"/>
          <w:sz w:val="14"/>
        </w:rPr>
        <w:t xml:space="preserve"> </w:t>
      </w:r>
      <w:r>
        <w:rPr>
          <w:rFonts w:ascii="Arial"/>
          <w:color w:val="5B6761"/>
          <w:w w:val="105"/>
          <w:sz w:val="14"/>
        </w:rPr>
        <w:t>includes</w:t>
      </w:r>
      <w:r>
        <w:rPr>
          <w:rFonts w:ascii="Arial"/>
          <w:color w:val="5B6761"/>
          <w:spacing w:val="-29"/>
          <w:w w:val="105"/>
          <w:sz w:val="14"/>
        </w:rPr>
        <w:t xml:space="preserve"> </w:t>
      </w:r>
      <w:r>
        <w:rPr>
          <w:rFonts w:ascii="Arial"/>
          <w:color w:val="5B6761"/>
          <w:w w:val="105"/>
          <w:sz w:val="14"/>
        </w:rPr>
        <w:t>powders,</w:t>
      </w:r>
      <w:r>
        <w:rPr>
          <w:rFonts w:ascii="Arial"/>
          <w:color w:val="5B6761"/>
          <w:spacing w:val="-29"/>
          <w:w w:val="105"/>
          <w:sz w:val="14"/>
        </w:rPr>
        <w:t xml:space="preserve"> </w:t>
      </w:r>
      <w:r>
        <w:rPr>
          <w:rFonts w:ascii="Arial"/>
          <w:color w:val="5B6761"/>
          <w:w w:val="105"/>
          <w:sz w:val="14"/>
        </w:rPr>
        <w:t>liquids</w:t>
      </w:r>
      <w:r>
        <w:rPr>
          <w:rFonts w:ascii="Arial"/>
          <w:color w:val="5B6761"/>
          <w:spacing w:val="-29"/>
          <w:w w:val="105"/>
          <w:sz w:val="14"/>
        </w:rPr>
        <w:t xml:space="preserve"> </w:t>
      </w:r>
      <w:r>
        <w:rPr>
          <w:rFonts w:ascii="Arial"/>
          <w:color w:val="5B6761"/>
          <w:w w:val="105"/>
          <w:sz w:val="14"/>
        </w:rPr>
        <w:t>and</w:t>
      </w:r>
      <w:r>
        <w:rPr>
          <w:rFonts w:ascii="Arial"/>
          <w:color w:val="5B6761"/>
          <w:spacing w:val="-29"/>
          <w:w w:val="105"/>
          <w:sz w:val="14"/>
        </w:rPr>
        <w:t xml:space="preserve"> </w:t>
      </w:r>
      <w:r>
        <w:rPr>
          <w:rFonts w:ascii="Arial"/>
          <w:color w:val="5B6761"/>
          <w:w w:val="105"/>
          <w:sz w:val="14"/>
        </w:rPr>
        <w:t>novel</w:t>
      </w:r>
      <w:r>
        <w:rPr>
          <w:rFonts w:ascii="Arial"/>
          <w:color w:val="5B6761"/>
          <w:spacing w:val="-29"/>
          <w:w w:val="105"/>
          <w:sz w:val="14"/>
        </w:rPr>
        <w:t xml:space="preserve"> </w:t>
      </w:r>
      <w:r>
        <w:rPr>
          <w:rFonts w:ascii="Arial"/>
          <w:color w:val="5B6761"/>
          <w:w w:val="105"/>
          <w:sz w:val="14"/>
        </w:rPr>
        <w:t>foods.</w:t>
      </w:r>
    </w:p>
    <w:p w:rsidR="007D76BB" w:rsidRDefault="00D70D28">
      <w:pPr>
        <w:spacing w:before="79"/>
        <w:ind w:left="482"/>
        <w:rPr>
          <w:rFonts w:ascii="Arial"/>
          <w:sz w:val="14"/>
        </w:rPr>
      </w:pPr>
      <w:r>
        <w:rPr>
          <w:rFonts w:ascii="Arial"/>
          <w:color w:val="5B6761"/>
          <w:w w:val="105"/>
          <w:position w:val="5"/>
          <w:sz w:val="8"/>
        </w:rPr>
        <w:lastRenderedPageBreak/>
        <w:t>85</w:t>
      </w:r>
      <w:r>
        <w:rPr>
          <w:rFonts w:ascii="Arial"/>
          <w:color w:val="5B6761"/>
          <w:spacing w:val="-12"/>
          <w:w w:val="105"/>
          <w:position w:val="5"/>
          <w:sz w:val="8"/>
        </w:rPr>
        <w:t xml:space="preserve"> </w:t>
      </w:r>
      <w:r>
        <w:rPr>
          <w:rFonts w:ascii="Arial"/>
          <w:color w:val="5B6761"/>
          <w:w w:val="105"/>
          <w:sz w:val="14"/>
        </w:rPr>
        <w:t>Population</w:t>
      </w:r>
      <w:r>
        <w:rPr>
          <w:rFonts w:ascii="Arial"/>
          <w:color w:val="5B6761"/>
          <w:spacing w:val="-29"/>
          <w:w w:val="105"/>
          <w:sz w:val="14"/>
        </w:rPr>
        <w:t xml:space="preserve"> </w:t>
      </w:r>
      <w:r>
        <w:rPr>
          <w:rFonts w:ascii="Arial"/>
          <w:color w:val="5B6761"/>
          <w:w w:val="105"/>
          <w:sz w:val="14"/>
        </w:rPr>
        <w:t>includes</w:t>
      </w:r>
      <w:r>
        <w:rPr>
          <w:rFonts w:ascii="Arial"/>
          <w:color w:val="5B6761"/>
          <w:spacing w:val="-29"/>
          <w:w w:val="105"/>
          <w:sz w:val="14"/>
        </w:rPr>
        <w:t xml:space="preserve"> </w:t>
      </w:r>
      <w:r>
        <w:rPr>
          <w:rFonts w:ascii="Arial"/>
          <w:color w:val="5B6761"/>
          <w:w w:val="105"/>
          <w:sz w:val="14"/>
        </w:rPr>
        <w:t>powders,</w:t>
      </w:r>
      <w:r>
        <w:rPr>
          <w:rFonts w:ascii="Arial"/>
          <w:color w:val="5B6761"/>
          <w:spacing w:val="-29"/>
          <w:w w:val="105"/>
          <w:sz w:val="14"/>
        </w:rPr>
        <w:t xml:space="preserve"> </w:t>
      </w:r>
      <w:r>
        <w:rPr>
          <w:rFonts w:ascii="Arial"/>
          <w:color w:val="5B6761"/>
          <w:w w:val="105"/>
          <w:sz w:val="14"/>
        </w:rPr>
        <w:t>liquids</w:t>
      </w:r>
      <w:r>
        <w:rPr>
          <w:rFonts w:ascii="Arial"/>
          <w:color w:val="5B6761"/>
          <w:spacing w:val="-29"/>
          <w:w w:val="105"/>
          <w:sz w:val="14"/>
        </w:rPr>
        <w:t xml:space="preserve"> </w:t>
      </w:r>
      <w:r>
        <w:rPr>
          <w:rFonts w:ascii="Arial"/>
          <w:color w:val="5B6761"/>
          <w:w w:val="105"/>
          <w:sz w:val="14"/>
        </w:rPr>
        <w:t>and</w:t>
      </w:r>
      <w:r>
        <w:rPr>
          <w:rFonts w:ascii="Arial"/>
          <w:color w:val="5B6761"/>
          <w:spacing w:val="-29"/>
          <w:w w:val="105"/>
          <w:sz w:val="14"/>
        </w:rPr>
        <w:t xml:space="preserve"> </w:t>
      </w:r>
      <w:r>
        <w:rPr>
          <w:rFonts w:ascii="Arial"/>
          <w:color w:val="5B6761"/>
          <w:w w:val="105"/>
          <w:sz w:val="14"/>
        </w:rPr>
        <w:t>novel</w:t>
      </w:r>
      <w:r>
        <w:rPr>
          <w:rFonts w:ascii="Arial"/>
          <w:color w:val="5B6761"/>
          <w:spacing w:val="-29"/>
          <w:w w:val="105"/>
          <w:sz w:val="14"/>
        </w:rPr>
        <w:t xml:space="preserve"> </w:t>
      </w:r>
      <w:r>
        <w:rPr>
          <w:rFonts w:ascii="Arial"/>
          <w:color w:val="5B6761"/>
          <w:w w:val="105"/>
          <w:sz w:val="14"/>
        </w:rPr>
        <w:t>foods.</w:t>
      </w:r>
    </w:p>
    <w:p w:rsidR="007D76BB" w:rsidRDefault="007D76BB">
      <w:pPr>
        <w:rPr>
          <w:rFonts w:ascii="Arial"/>
          <w:sz w:val="14"/>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1"/>
        </w:rPr>
      </w:pPr>
    </w:p>
    <w:p w:rsidR="007D76BB" w:rsidRDefault="00D70D28">
      <w:pPr>
        <w:ind w:left="482"/>
        <w:rPr>
          <w:rFonts w:ascii="Lucida Sans"/>
          <w:b/>
          <w:sz w:val="20"/>
        </w:rPr>
      </w:pPr>
      <w:r>
        <w:rPr>
          <w:rFonts w:ascii="Lucida Sans"/>
          <w:b/>
          <w:sz w:val="20"/>
        </w:rPr>
        <w:t>Regulatory costing</w:t>
      </w:r>
    </w:p>
    <w:p w:rsidR="007D76BB" w:rsidRDefault="00D70D28">
      <w:pPr>
        <w:spacing w:before="196"/>
        <w:ind w:left="482"/>
        <w:rPr>
          <w:rFonts w:ascii="Arial"/>
          <w:i/>
          <w:sz w:val="20"/>
        </w:rPr>
      </w:pPr>
      <w:r>
        <w:rPr>
          <w:rFonts w:ascii="Arial"/>
          <w:i/>
          <w:sz w:val="20"/>
        </w:rPr>
        <w:t>Key assumptions</w:t>
      </w:r>
    </w:p>
    <w:p w:rsidR="007D76BB" w:rsidRDefault="00D70D28">
      <w:pPr>
        <w:pStyle w:val="ListParagraph"/>
        <w:numPr>
          <w:ilvl w:val="1"/>
          <w:numId w:val="5"/>
        </w:numPr>
        <w:tabs>
          <w:tab w:val="left" w:pos="766"/>
        </w:tabs>
        <w:spacing w:before="96" w:line="268" w:lineRule="auto"/>
        <w:ind w:right="1330"/>
        <w:rPr>
          <w:rFonts w:ascii="Arial" w:hAnsi="Arial"/>
          <w:sz w:val="19"/>
        </w:rPr>
      </w:pPr>
      <w:r>
        <w:rPr>
          <w:rFonts w:ascii="Arial" w:hAnsi="Arial"/>
          <w:w w:val="105"/>
          <w:sz w:val="19"/>
        </w:rPr>
        <w:t>All</w:t>
      </w:r>
      <w:r>
        <w:rPr>
          <w:rFonts w:ascii="Arial" w:hAnsi="Arial"/>
          <w:spacing w:val="-18"/>
          <w:w w:val="105"/>
          <w:sz w:val="19"/>
        </w:rPr>
        <w:t xml:space="preserve"> </w:t>
      </w:r>
      <w:r>
        <w:rPr>
          <w:rFonts w:ascii="Arial" w:hAnsi="Arial"/>
          <w:w w:val="105"/>
          <w:sz w:val="19"/>
        </w:rPr>
        <w:t>key</w:t>
      </w:r>
      <w:r>
        <w:rPr>
          <w:rFonts w:ascii="Arial" w:hAnsi="Arial"/>
          <w:spacing w:val="-19"/>
          <w:w w:val="105"/>
          <w:sz w:val="19"/>
        </w:rPr>
        <w:t xml:space="preserve"> </w:t>
      </w:r>
      <w:r>
        <w:rPr>
          <w:rFonts w:ascii="Arial" w:hAnsi="Arial"/>
          <w:w w:val="105"/>
          <w:sz w:val="19"/>
        </w:rPr>
        <w:t>assumptions</w:t>
      </w:r>
      <w:r>
        <w:rPr>
          <w:rFonts w:ascii="Arial" w:hAnsi="Arial"/>
          <w:spacing w:val="-20"/>
          <w:w w:val="105"/>
          <w:sz w:val="19"/>
        </w:rPr>
        <w:t xml:space="preserve"> </w:t>
      </w:r>
      <w:r>
        <w:rPr>
          <w:rFonts w:ascii="Arial" w:hAnsi="Arial"/>
          <w:w w:val="105"/>
          <w:sz w:val="19"/>
        </w:rPr>
        <w:t>highlighted</w:t>
      </w:r>
      <w:r>
        <w:rPr>
          <w:rFonts w:ascii="Arial" w:hAnsi="Arial"/>
          <w:spacing w:val="-19"/>
          <w:w w:val="105"/>
          <w:sz w:val="19"/>
        </w:rPr>
        <w:t xml:space="preserve"> </w:t>
      </w:r>
      <w:r>
        <w:rPr>
          <w:rFonts w:ascii="Arial" w:hAnsi="Arial"/>
          <w:w w:val="105"/>
          <w:sz w:val="19"/>
        </w:rPr>
        <w:t>in</w:t>
      </w:r>
      <w:r>
        <w:rPr>
          <w:rFonts w:ascii="Arial" w:hAnsi="Arial"/>
          <w:spacing w:val="-19"/>
          <w:w w:val="105"/>
          <w:sz w:val="19"/>
        </w:rPr>
        <w:t xml:space="preserve"> </w:t>
      </w:r>
      <w:r>
        <w:rPr>
          <w:rFonts w:ascii="Arial" w:hAnsi="Arial"/>
          <w:w w:val="105"/>
          <w:sz w:val="19"/>
        </w:rPr>
        <w:t>the</w:t>
      </w:r>
      <w:r>
        <w:rPr>
          <w:rFonts w:ascii="Arial" w:hAnsi="Arial"/>
          <w:spacing w:val="-18"/>
          <w:w w:val="105"/>
          <w:sz w:val="19"/>
        </w:rPr>
        <w:t xml:space="preserve"> </w:t>
      </w:r>
      <w:r>
        <w:rPr>
          <w:rFonts w:ascii="Arial" w:hAnsi="Arial"/>
          <w:w w:val="105"/>
          <w:sz w:val="19"/>
        </w:rPr>
        <w:t>product</w:t>
      </w:r>
      <w:r>
        <w:rPr>
          <w:rFonts w:ascii="Arial" w:hAnsi="Arial"/>
          <w:spacing w:val="-19"/>
          <w:w w:val="105"/>
          <w:sz w:val="19"/>
        </w:rPr>
        <w:t xml:space="preserve"> </w:t>
      </w:r>
      <w:r>
        <w:rPr>
          <w:rFonts w:ascii="Arial" w:hAnsi="Arial"/>
          <w:w w:val="105"/>
          <w:sz w:val="19"/>
        </w:rPr>
        <w:t>regulatory</w:t>
      </w:r>
      <w:r>
        <w:rPr>
          <w:rFonts w:ascii="Arial" w:hAnsi="Arial"/>
          <w:spacing w:val="-20"/>
          <w:w w:val="105"/>
          <w:sz w:val="19"/>
        </w:rPr>
        <w:t xml:space="preserve"> </w:t>
      </w:r>
      <w:r>
        <w:rPr>
          <w:rFonts w:ascii="Arial" w:hAnsi="Arial"/>
          <w:w w:val="105"/>
          <w:sz w:val="19"/>
        </w:rPr>
        <w:t>costing</w:t>
      </w:r>
      <w:r>
        <w:rPr>
          <w:rFonts w:ascii="Arial" w:hAnsi="Arial"/>
          <w:spacing w:val="-17"/>
          <w:w w:val="105"/>
          <w:sz w:val="19"/>
        </w:rPr>
        <w:t xml:space="preserve"> </w:t>
      </w:r>
      <w:r>
        <w:rPr>
          <w:rFonts w:ascii="Arial" w:hAnsi="Arial"/>
          <w:w w:val="105"/>
          <w:sz w:val="19"/>
        </w:rPr>
        <w:t>for</w:t>
      </w:r>
      <w:r>
        <w:rPr>
          <w:rFonts w:ascii="Arial" w:hAnsi="Arial"/>
          <w:spacing w:val="-18"/>
          <w:w w:val="105"/>
          <w:sz w:val="19"/>
        </w:rPr>
        <w:t xml:space="preserve"> </w:t>
      </w:r>
      <w:r>
        <w:rPr>
          <w:rFonts w:ascii="Arial" w:hAnsi="Arial"/>
          <w:w w:val="105"/>
          <w:sz w:val="19"/>
        </w:rPr>
        <w:t>options</w:t>
      </w:r>
      <w:r>
        <w:rPr>
          <w:rFonts w:ascii="Arial" w:hAnsi="Arial"/>
          <w:spacing w:val="-13"/>
          <w:w w:val="105"/>
          <w:sz w:val="19"/>
        </w:rPr>
        <w:t xml:space="preserve"> </w:t>
      </w:r>
      <w:r>
        <w:rPr>
          <w:rFonts w:ascii="Arial" w:hAnsi="Arial"/>
          <w:w w:val="105"/>
          <w:sz w:val="19"/>
        </w:rPr>
        <w:t>2A</w:t>
      </w:r>
      <w:r>
        <w:rPr>
          <w:rFonts w:ascii="Arial" w:hAnsi="Arial"/>
          <w:spacing w:val="-19"/>
          <w:w w:val="105"/>
          <w:sz w:val="19"/>
        </w:rPr>
        <w:t xml:space="preserve"> </w:t>
      </w:r>
      <w:r>
        <w:rPr>
          <w:rFonts w:ascii="Arial" w:hAnsi="Arial"/>
          <w:w w:val="105"/>
          <w:sz w:val="19"/>
        </w:rPr>
        <w:t>and</w:t>
      </w:r>
      <w:r>
        <w:rPr>
          <w:rFonts w:ascii="Arial" w:hAnsi="Arial"/>
          <w:spacing w:val="-18"/>
          <w:w w:val="105"/>
          <w:sz w:val="19"/>
        </w:rPr>
        <w:t xml:space="preserve"> </w:t>
      </w:r>
      <w:r>
        <w:rPr>
          <w:rFonts w:ascii="Arial" w:hAnsi="Arial"/>
          <w:w w:val="105"/>
          <w:sz w:val="19"/>
        </w:rPr>
        <w:t>2B</w:t>
      </w:r>
      <w:r>
        <w:rPr>
          <w:rFonts w:ascii="Arial" w:hAnsi="Arial"/>
          <w:spacing w:val="-18"/>
          <w:w w:val="105"/>
          <w:sz w:val="19"/>
        </w:rPr>
        <w:t xml:space="preserve"> </w:t>
      </w:r>
      <w:r>
        <w:rPr>
          <w:rFonts w:ascii="Arial" w:hAnsi="Arial"/>
          <w:w w:val="105"/>
          <w:sz w:val="19"/>
        </w:rPr>
        <w:t>are applicable.</w:t>
      </w:r>
    </w:p>
    <w:p w:rsidR="007D76BB" w:rsidRDefault="00D70D28">
      <w:pPr>
        <w:spacing w:before="63"/>
        <w:ind w:left="482"/>
        <w:rPr>
          <w:rFonts w:ascii="Arial"/>
          <w:i/>
          <w:sz w:val="20"/>
        </w:rPr>
      </w:pPr>
      <w:r>
        <w:rPr>
          <w:rFonts w:ascii="Arial"/>
          <w:i/>
          <w:sz w:val="20"/>
        </w:rPr>
        <w:t>Inputs</w:t>
      </w:r>
    </w:p>
    <w:p w:rsidR="007D76BB" w:rsidRDefault="00D70D28">
      <w:pPr>
        <w:spacing w:before="12"/>
        <w:ind w:left="482"/>
        <w:rPr>
          <w:rFonts w:ascii="Arial"/>
          <w:i/>
          <w:sz w:val="20"/>
        </w:rPr>
      </w:pPr>
      <w:r>
        <w:rPr>
          <w:rFonts w:ascii="Arial"/>
          <w:i/>
          <w:sz w:val="20"/>
        </w:rPr>
        <w:t>(Note: All timing inputs for products have been carried through from options 2A and 2B)</w:t>
      </w:r>
    </w:p>
    <w:p w:rsidR="007D76BB" w:rsidRDefault="00D70D28">
      <w:pPr>
        <w:pStyle w:val="ListParagraph"/>
        <w:numPr>
          <w:ilvl w:val="1"/>
          <w:numId w:val="5"/>
        </w:numPr>
        <w:tabs>
          <w:tab w:val="left" w:pos="766"/>
        </w:tabs>
        <w:spacing w:before="92"/>
        <w:rPr>
          <w:rFonts w:ascii="Arial" w:hAnsi="Arial"/>
          <w:sz w:val="19"/>
        </w:rPr>
      </w:pPr>
      <w:r>
        <w:rPr>
          <w:rFonts w:ascii="Arial" w:hAnsi="Arial"/>
          <w:w w:val="105"/>
          <w:sz w:val="19"/>
        </w:rPr>
        <w:t>Number</w:t>
      </w:r>
      <w:r>
        <w:rPr>
          <w:rFonts w:ascii="Arial" w:hAnsi="Arial"/>
          <w:spacing w:val="-12"/>
          <w:w w:val="105"/>
          <w:sz w:val="19"/>
        </w:rPr>
        <w:t xml:space="preserve"> </w:t>
      </w:r>
      <w:r>
        <w:rPr>
          <w:rFonts w:ascii="Arial" w:hAnsi="Arial"/>
          <w:w w:val="105"/>
          <w:sz w:val="19"/>
        </w:rPr>
        <w:t>of</w:t>
      </w:r>
      <w:r>
        <w:rPr>
          <w:rFonts w:ascii="Arial" w:hAnsi="Arial"/>
          <w:spacing w:val="-12"/>
          <w:w w:val="105"/>
          <w:sz w:val="19"/>
        </w:rPr>
        <w:t xml:space="preserve"> </w:t>
      </w:r>
      <w:r>
        <w:rPr>
          <w:rFonts w:ascii="Arial" w:hAnsi="Arial"/>
          <w:w w:val="105"/>
          <w:sz w:val="19"/>
        </w:rPr>
        <w:t>products</w:t>
      </w:r>
      <w:r>
        <w:rPr>
          <w:rFonts w:ascii="Arial" w:hAnsi="Arial"/>
          <w:spacing w:val="-11"/>
          <w:w w:val="105"/>
          <w:sz w:val="19"/>
        </w:rPr>
        <w:t xml:space="preserve"> </w:t>
      </w:r>
      <w:r>
        <w:rPr>
          <w:rFonts w:ascii="Arial" w:hAnsi="Arial"/>
          <w:w w:val="105"/>
          <w:sz w:val="19"/>
        </w:rPr>
        <w:t>likely</w:t>
      </w:r>
      <w:r>
        <w:rPr>
          <w:rFonts w:ascii="Arial" w:hAnsi="Arial"/>
          <w:spacing w:val="-15"/>
          <w:w w:val="105"/>
          <w:sz w:val="19"/>
        </w:rPr>
        <w:t xml:space="preserve"> </w:t>
      </w:r>
      <w:r>
        <w:rPr>
          <w:rFonts w:ascii="Arial" w:hAnsi="Arial"/>
          <w:w w:val="105"/>
          <w:sz w:val="19"/>
        </w:rPr>
        <w:t>to</w:t>
      </w:r>
      <w:r>
        <w:rPr>
          <w:rFonts w:ascii="Arial" w:hAnsi="Arial"/>
          <w:spacing w:val="-13"/>
          <w:w w:val="105"/>
          <w:sz w:val="19"/>
        </w:rPr>
        <w:t xml:space="preserve"> </w:t>
      </w:r>
      <w:r>
        <w:rPr>
          <w:rFonts w:ascii="Arial" w:hAnsi="Arial"/>
          <w:w w:val="105"/>
          <w:sz w:val="19"/>
        </w:rPr>
        <w:t>be</w:t>
      </w:r>
      <w:r>
        <w:rPr>
          <w:rFonts w:ascii="Arial" w:hAnsi="Arial"/>
          <w:spacing w:val="-10"/>
          <w:w w:val="105"/>
          <w:sz w:val="19"/>
        </w:rPr>
        <w:t xml:space="preserve"> </w:t>
      </w:r>
      <w:r>
        <w:rPr>
          <w:rFonts w:ascii="Arial" w:hAnsi="Arial"/>
          <w:w w:val="105"/>
          <w:sz w:val="19"/>
        </w:rPr>
        <w:t>reformulated</w:t>
      </w:r>
      <w:r>
        <w:rPr>
          <w:rFonts w:ascii="Arial" w:hAnsi="Arial"/>
          <w:spacing w:val="-13"/>
          <w:w w:val="105"/>
          <w:sz w:val="19"/>
        </w:rPr>
        <w:t xml:space="preserve"> </w:t>
      </w:r>
      <w:r>
        <w:rPr>
          <w:rFonts w:ascii="Arial" w:hAnsi="Arial"/>
          <w:i/>
          <w:w w:val="105"/>
          <w:sz w:val="20"/>
        </w:rPr>
        <w:t>(current</w:t>
      </w:r>
      <w:r>
        <w:rPr>
          <w:rFonts w:ascii="Arial" w:hAnsi="Arial"/>
          <w:i/>
          <w:spacing w:val="-17"/>
          <w:w w:val="105"/>
          <w:sz w:val="20"/>
        </w:rPr>
        <w:t xml:space="preserve"> </w:t>
      </w:r>
      <w:r>
        <w:rPr>
          <w:rFonts w:ascii="Arial" w:hAnsi="Arial"/>
          <w:i/>
          <w:w w:val="105"/>
          <w:sz w:val="20"/>
        </w:rPr>
        <w:t>population)</w:t>
      </w:r>
      <w:r>
        <w:rPr>
          <w:rFonts w:ascii="Arial" w:hAnsi="Arial"/>
          <w:i/>
          <w:spacing w:val="-14"/>
          <w:w w:val="105"/>
          <w:sz w:val="20"/>
        </w:rPr>
        <w:t xml:space="preserve"> </w:t>
      </w:r>
      <w:r>
        <w:rPr>
          <w:rFonts w:ascii="Arial" w:hAnsi="Arial"/>
          <w:w w:val="105"/>
          <w:sz w:val="19"/>
        </w:rPr>
        <w:t>=</w:t>
      </w:r>
      <w:r>
        <w:rPr>
          <w:rFonts w:ascii="Arial" w:hAnsi="Arial"/>
          <w:spacing w:val="-12"/>
          <w:w w:val="105"/>
          <w:sz w:val="19"/>
        </w:rPr>
        <w:t xml:space="preserve"> </w:t>
      </w:r>
      <w:r>
        <w:rPr>
          <w:rFonts w:ascii="Arial" w:hAnsi="Arial"/>
          <w:w w:val="105"/>
          <w:sz w:val="19"/>
        </w:rPr>
        <w:t>85</w:t>
      </w:r>
    </w:p>
    <w:p w:rsidR="007D76BB" w:rsidRDefault="00D70D28">
      <w:pPr>
        <w:pStyle w:val="ListParagraph"/>
        <w:numPr>
          <w:ilvl w:val="1"/>
          <w:numId w:val="5"/>
        </w:numPr>
        <w:tabs>
          <w:tab w:val="left" w:pos="766"/>
        </w:tabs>
        <w:spacing w:before="89"/>
        <w:rPr>
          <w:rFonts w:ascii="Arial" w:hAnsi="Arial"/>
          <w:sz w:val="19"/>
        </w:rPr>
      </w:pPr>
      <w:r>
        <w:rPr>
          <w:rFonts w:ascii="Arial" w:hAnsi="Arial"/>
          <w:w w:val="105"/>
          <w:sz w:val="19"/>
        </w:rPr>
        <w:t>Number</w:t>
      </w:r>
      <w:r>
        <w:rPr>
          <w:rFonts w:ascii="Arial" w:hAnsi="Arial"/>
          <w:spacing w:val="-13"/>
          <w:w w:val="105"/>
          <w:sz w:val="19"/>
        </w:rPr>
        <w:t xml:space="preserve"> </w:t>
      </w:r>
      <w:r>
        <w:rPr>
          <w:rFonts w:ascii="Arial" w:hAnsi="Arial"/>
          <w:w w:val="105"/>
          <w:sz w:val="19"/>
        </w:rPr>
        <w:t>of</w:t>
      </w:r>
      <w:r>
        <w:rPr>
          <w:rFonts w:ascii="Arial" w:hAnsi="Arial"/>
          <w:spacing w:val="-13"/>
          <w:w w:val="105"/>
          <w:sz w:val="19"/>
        </w:rPr>
        <w:t xml:space="preserve"> </w:t>
      </w:r>
      <w:r>
        <w:rPr>
          <w:rFonts w:ascii="Arial" w:hAnsi="Arial"/>
          <w:w w:val="105"/>
          <w:sz w:val="19"/>
        </w:rPr>
        <w:t>products</w:t>
      </w:r>
      <w:r>
        <w:rPr>
          <w:rFonts w:ascii="Arial" w:hAnsi="Arial"/>
          <w:spacing w:val="-12"/>
          <w:w w:val="105"/>
          <w:sz w:val="19"/>
        </w:rPr>
        <w:t xml:space="preserve"> </w:t>
      </w:r>
      <w:r>
        <w:rPr>
          <w:rFonts w:ascii="Arial" w:hAnsi="Arial"/>
          <w:w w:val="105"/>
          <w:sz w:val="19"/>
        </w:rPr>
        <w:t>likely</w:t>
      </w:r>
      <w:r>
        <w:rPr>
          <w:rFonts w:ascii="Arial" w:hAnsi="Arial"/>
          <w:spacing w:val="-15"/>
          <w:w w:val="105"/>
          <w:sz w:val="19"/>
        </w:rPr>
        <w:t xml:space="preserve"> </w:t>
      </w:r>
      <w:r>
        <w:rPr>
          <w:rFonts w:ascii="Arial" w:hAnsi="Arial"/>
          <w:w w:val="105"/>
          <w:sz w:val="19"/>
        </w:rPr>
        <w:t>to</w:t>
      </w:r>
      <w:r>
        <w:rPr>
          <w:rFonts w:ascii="Arial" w:hAnsi="Arial"/>
          <w:spacing w:val="-14"/>
          <w:w w:val="105"/>
          <w:sz w:val="19"/>
        </w:rPr>
        <w:t xml:space="preserve"> </w:t>
      </w:r>
      <w:r>
        <w:rPr>
          <w:rFonts w:ascii="Arial" w:hAnsi="Arial"/>
          <w:w w:val="105"/>
          <w:sz w:val="19"/>
        </w:rPr>
        <w:t>be</w:t>
      </w:r>
      <w:r>
        <w:rPr>
          <w:rFonts w:ascii="Arial" w:hAnsi="Arial"/>
          <w:spacing w:val="-12"/>
          <w:w w:val="105"/>
          <w:sz w:val="19"/>
        </w:rPr>
        <w:t xml:space="preserve"> </w:t>
      </w:r>
      <w:r>
        <w:rPr>
          <w:rFonts w:ascii="Arial" w:hAnsi="Arial"/>
          <w:w w:val="105"/>
          <w:sz w:val="19"/>
        </w:rPr>
        <w:t>listed</w:t>
      </w:r>
      <w:r>
        <w:rPr>
          <w:rFonts w:ascii="Arial" w:hAnsi="Arial"/>
          <w:spacing w:val="-13"/>
          <w:w w:val="105"/>
          <w:sz w:val="19"/>
        </w:rPr>
        <w:t xml:space="preserve"> </w:t>
      </w:r>
      <w:r>
        <w:rPr>
          <w:rFonts w:ascii="Arial" w:hAnsi="Arial"/>
          <w:w w:val="105"/>
          <w:sz w:val="19"/>
        </w:rPr>
        <w:t>on</w:t>
      </w:r>
      <w:r>
        <w:rPr>
          <w:rFonts w:ascii="Arial" w:hAnsi="Arial"/>
          <w:spacing w:val="-12"/>
          <w:w w:val="105"/>
          <w:sz w:val="19"/>
        </w:rPr>
        <w:t xml:space="preserve"> </w:t>
      </w:r>
      <w:r>
        <w:rPr>
          <w:rFonts w:ascii="Arial" w:hAnsi="Arial"/>
          <w:w w:val="105"/>
          <w:sz w:val="19"/>
        </w:rPr>
        <w:t>the</w:t>
      </w:r>
      <w:r>
        <w:rPr>
          <w:rFonts w:ascii="Arial" w:hAnsi="Arial"/>
          <w:spacing w:val="-14"/>
          <w:w w:val="105"/>
          <w:sz w:val="19"/>
        </w:rPr>
        <w:t xml:space="preserve"> </w:t>
      </w:r>
      <w:r>
        <w:rPr>
          <w:rFonts w:ascii="Arial" w:hAnsi="Arial"/>
          <w:w w:val="105"/>
          <w:sz w:val="19"/>
        </w:rPr>
        <w:t>ARTG</w:t>
      </w:r>
      <w:r>
        <w:rPr>
          <w:rFonts w:ascii="Arial" w:hAnsi="Arial"/>
          <w:spacing w:val="-14"/>
          <w:w w:val="105"/>
          <w:sz w:val="19"/>
        </w:rPr>
        <w:t xml:space="preserve"> </w:t>
      </w:r>
      <w:r>
        <w:rPr>
          <w:rFonts w:ascii="Arial" w:hAnsi="Arial"/>
          <w:i/>
          <w:w w:val="105"/>
          <w:sz w:val="20"/>
        </w:rPr>
        <w:t>(current</w:t>
      </w:r>
      <w:r>
        <w:rPr>
          <w:rFonts w:ascii="Arial" w:hAnsi="Arial"/>
          <w:i/>
          <w:spacing w:val="-17"/>
          <w:w w:val="105"/>
          <w:sz w:val="20"/>
        </w:rPr>
        <w:t xml:space="preserve"> </w:t>
      </w:r>
      <w:r>
        <w:rPr>
          <w:rFonts w:ascii="Arial" w:hAnsi="Arial"/>
          <w:i/>
          <w:w w:val="105"/>
          <w:sz w:val="20"/>
        </w:rPr>
        <w:t>population)</w:t>
      </w:r>
      <w:r>
        <w:rPr>
          <w:rFonts w:ascii="Arial" w:hAnsi="Arial"/>
          <w:i/>
          <w:spacing w:val="-17"/>
          <w:w w:val="105"/>
          <w:sz w:val="20"/>
        </w:rPr>
        <w:t xml:space="preserve"> </w:t>
      </w:r>
      <w:r>
        <w:rPr>
          <w:rFonts w:ascii="Arial" w:hAnsi="Arial"/>
          <w:w w:val="105"/>
          <w:sz w:val="19"/>
        </w:rPr>
        <w:t>=</w:t>
      </w:r>
      <w:r>
        <w:rPr>
          <w:rFonts w:ascii="Arial" w:hAnsi="Arial"/>
          <w:spacing w:val="-13"/>
          <w:w w:val="105"/>
          <w:sz w:val="19"/>
        </w:rPr>
        <w:t xml:space="preserve"> </w:t>
      </w:r>
      <w:r>
        <w:rPr>
          <w:rFonts w:ascii="Arial" w:hAnsi="Arial"/>
          <w:w w:val="105"/>
          <w:sz w:val="19"/>
        </w:rPr>
        <w:t>40</w:t>
      </w:r>
    </w:p>
    <w:p w:rsidR="007D76BB" w:rsidRDefault="00D70D28">
      <w:pPr>
        <w:pStyle w:val="ListParagraph"/>
        <w:numPr>
          <w:ilvl w:val="1"/>
          <w:numId w:val="5"/>
        </w:numPr>
        <w:tabs>
          <w:tab w:val="left" w:pos="766"/>
        </w:tabs>
        <w:spacing w:before="92"/>
        <w:rPr>
          <w:rFonts w:ascii="Arial" w:hAnsi="Arial"/>
          <w:sz w:val="19"/>
        </w:rPr>
      </w:pPr>
      <w:r>
        <w:rPr>
          <w:rFonts w:ascii="Arial" w:hAnsi="Arial"/>
          <w:w w:val="105"/>
          <w:sz w:val="19"/>
        </w:rPr>
        <w:t>Number</w:t>
      </w:r>
      <w:r>
        <w:rPr>
          <w:rFonts w:ascii="Arial" w:hAnsi="Arial"/>
          <w:spacing w:val="-13"/>
          <w:w w:val="105"/>
          <w:sz w:val="19"/>
        </w:rPr>
        <w:t xml:space="preserve"> </w:t>
      </w:r>
      <w:r>
        <w:rPr>
          <w:rFonts w:ascii="Arial" w:hAnsi="Arial"/>
          <w:w w:val="105"/>
          <w:sz w:val="19"/>
        </w:rPr>
        <w:t>of</w:t>
      </w:r>
      <w:r>
        <w:rPr>
          <w:rFonts w:ascii="Arial" w:hAnsi="Arial"/>
          <w:spacing w:val="-14"/>
          <w:w w:val="105"/>
          <w:sz w:val="19"/>
        </w:rPr>
        <w:t xml:space="preserve"> </w:t>
      </w:r>
      <w:r>
        <w:rPr>
          <w:rFonts w:ascii="Arial" w:hAnsi="Arial"/>
          <w:w w:val="105"/>
          <w:sz w:val="19"/>
        </w:rPr>
        <w:t>products</w:t>
      </w:r>
      <w:r>
        <w:rPr>
          <w:rFonts w:ascii="Arial" w:hAnsi="Arial"/>
          <w:spacing w:val="-13"/>
          <w:w w:val="105"/>
          <w:sz w:val="19"/>
        </w:rPr>
        <w:t xml:space="preserve"> </w:t>
      </w:r>
      <w:r>
        <w:rPr>
          <w:rFonts w:ascii="Arial" w:hAnsi="Arial"/>
          <w:w w:val="105"/>
          <w:sz w:val="19"/>
        </w:rPr>
        <w:t>likely</w:t>
      </w:r>
      <w:r>
        <w:rPr>
          <w:rFonts w:ascii="Arial" w:hAnsi="Arial"/>
          <w:spacing w:val="-15"/>
          <w:w w:val="105"/>
          <w:sz w:val="19"/>
        </w:rPr>
        <w:t xml:space="preserve"> </w:t>
      </w:r>
      <w:r>
        <w:rPr>
          <w:rFonts w:ascii="Arial" w:hAnsi="Arial"/>
          <w:w w:val="105"/>
          <w:sz w:val="19"/>
        </w:rPr>
        <w:t>to</w:t>
      </w:r>
      <w:r>
        <w:rPr>
          <w:rFonts w:ascii="Arial" w:hAnsi="Arial"/>
          <w:spacing w:val="-16"/>
          <w:w w:val="105"/>
          <w:sz w:val="19"/>
        </w:rPr>
        <w:t xml:space="preserve"> </w:t>
      </w:r>
      <w:r>
        <w:rPr>
          <w:rFonts w:ascii="Arial" w:hAnsi="Arial"/>
          <w:w w:val="105"/>
          <w:sz w:val="19"/>
        </w:rPr>
        <w:t>be</w:t>
      </w:r>
      <w:r>
        <w:rPr>
          <w:rFonts w:ascii="Arial" w:hAnsi="Arial"/>
          <w:spacing w:val="-12"/>
          <w:w w:val="105"/>
          <w:sz w:val="19"/>
        </w:rPr>
        <w:t xml:space="preserve"> </w:t>
      </w:r>
      <w:r>
        <w:rPr>
          <w:rFonts w:ascii="Arial" w:hAnsi="Arial"/>
          <w:w w:val="105"/>
          <w:sz w:val="19"/>
        </w:rPr>
        <w:t>listed</w:t>
      </w:r>
      <w:r>
        <w:rPr>
          <w:rFonts w:ascii="Arial" w:hAnsi="Arial"/>
          <w:spacing w:val="-14"/>
          <w:w w:val="105"/>
          <w:sz w:val="19"/>
        </w:rPr>
        <w:t xml:space="preserve"> </w:t>
      </w:r>
      <w:r>
        <w:rPr>
          <w:rFonts w:ascii="Arial" w:hAnsi="Arial"/>
          <w:w w:val="105"/>
          <w:sz w:val="19"/>
        </w:rPr>
        <w:t>on</w:t>
      </w:r>
      <w:r>
        <w:rPr>
          <w:rFonts w:ascii="Arial" w:hAnsi="Arial"/>
          <w:spacing w:val="-13"/>
          <w:w w:val="105"/>
          <w:sz w:val="19"/>
        </w:rPr>
        <w:t xml:space="preserve"> </w:t>
      </w:r>
      <w:r>
        <w:rPr>
          <w:rFonts w:ascii="Arial" w:hAnsi="Arial"/>
          <w:w w:val="105"/>
          <w:sz w:val="19"/>
        </w:rPr>
        <w:t>the</w:t>
      </w:r>
      <w:r>
        <w:rPr>
          <w:rFonts w:ascii="Arial" w:hAnsi="Arial"/>
          <w:spacing w:val="-14"/>
          <w:w w:val="105"/>
          <w:sz w:val="19"/>
        </w:rPr>
        <w:t xml:space="preserve"> </w:t>
      </w:r>
      <w:r>
        <w:rPr>
          <w:rFonts w:ascii="Arial" w:hAnsi="Arial"/>
          <w:w w:val="105"/>
          <w:sz w:val="19"/>
        </w:rPr>
        <w:t>ARTG</w:t>
      </w:r>
      <w:r>
        <w:rPr>
          <w:rFonts w:ascii="Arial" w:hAnsi="Arial"/>
          <w:spacing w:val="-9"/>
          <w:w w:val="105"/>
          <w:sz w:val="19"/>
        </w:rPr>
        <w:t xml:space="preserve"> </w:t>
      </w:r>
      <w:r>
        <w:rPr>
          <w:rFonts w:ascii="Arial" w:hAnsi="Arial"/>
          <w:i/>
          <w:w w:val="105"/>
          <w:sz w:val="20"/>
        </w:rPr>
        <w:t>(future</w:t>
      </w:r>
      <w:r>
        <w:rPr>
          <w:rFonts w:ascii="Arial" w:hAnsi="Arial"/>
          <w:i/>
          <w:spacing w:val="-16"/>
          <w:w w:val="105"/>
          <w:sz w:val="20"/>
        </w:rPr>
        <w:t xml:space="preserve"> </w:t>
      </w:r>
      <w:r>
        <w:rPr>
          <w:rFonts w:ascii="Arial" w:hAnsi="Arial"/>
          <w:i/>
          <w:w w:val="105"/>
          <w:sz w:val="20"/>
        </w:rPr>
        <w:t>population)</w:t>
      </w:r>
      <w:r>
        <w:rPr>
          <w:rFonts w:ascii="Arial" w:hAnsi="Arial"/>
          <w:i/>
          <w:spacing w:val="-15"/>
          <w:w w:val="105"/>
          <w:sz w:val="20"/>
        </w:rPr>
        <w:t xml:space="preserve"> </w:t>
      </w:r>
      <w:r>
        <w:rPr>
          <w:rFonts w:ascii="Arial" w:hAnsi="Arial"/>
          <w:w w:val="105"/>
          <w:sz w:val="19"/>
        </w:rPr>
        <w:t>=</w:t>
      </w:r>
      <w:r>
        <w:rPr>
          <w:rFonts w:ascii="Arial" w:hAnsi="Arial"/>
          <w:spacing w:val="-15"/>
          <w:w w:val="105"/>
          <w:sz w:val="19"/>
        </w:rPr>
        <w:t xml:space="preserve"> </w:t>
      </w:r>
      <w:r>
        <w:rPr>
          <w:rFonts w:ascii="Arial" w:hAnsi="Arial"/>
          <w:w w:val="105"/>
          <w:sz w:val="19"/>
        </w:rPr>
        <w:t>37</w:t>
      </w:r>
    </w:p>
    <w:p w:rsidR="007D76BB" w:rsidRDefault="00D70D28">
      <w:pPr>
        <w:pStyle w:val="ListParagraph"/>
        <w:numPr>
          <w:ilvl w:val="1"/>
          <w:numId w:val="5"/>
        </w:numPr>
        <w:tabs>
          <w:tab w:val="left" w:pos="766"/>
        </w:tabs>
        <w:spacing w:before="98"/>
        <w:rPr>
          <w:rFonts w:ascii="Arial" w:hAnsi="Arial"/>
          <w:sz w:val="19"/>
        </w:rPr>
      </w:pPr>
      <w:r>
        <w:rPr>
          <w:rFonts w:ascii="Arial" w:hAnsi="Arial"/>
          <w:w w:val="105"/>
          <w:sz w:val="19"/>
        </w:rPr>
        <w:t>Cumulative</w:t>
      </w:r>
      <w:r>
        <w:rPr>
          <w:rFonts w:ascii="Arial" w:hAnsi="Arial"/>
          <w:spacing w:val="-14"/>
          <w:w w:val="105"/>
          <w:sz w:val="19"/>
        </w:rPr>
        <w:t xml:space="preserve"> </w:t>
      </w:r>
      <w:r>
        <w:rPr>
          <w:rFonts w:ascii="Arial" w:hAnsi="Arial"/>
          <w:w w:val="105"/>
          <w:sz w:val="19"/>
        </w:rPr>
        <w:t>count</w:t>
      </w:r>
      <w:r>
        <w:rPr>
          <w:rFonts w:ascii="Arial" w:hAnsi="Arial"/>
          <w:spacing w:val="-15"/>
          <w:w w:val="105"/>
          <w:sz w:val="19"/>
        </w:rPr>
        <w:t xml:space="preserve"> </w:t>
      </w:r>
      <w:r>
        <w:rPr>
          <w:rFonts w:ascii="Arial" w:hAnsi="Arial"/>
          <w:w w:val="105"/>
          <w:sz w:val="19"/>
        </w:rPr>
        <w:t>(less</w:t>
      </w:r>
      <w:r>
        <w:rPr>
          <w:rFonts w:ascii="Arial" w:hAnsi="Arial"/>
          <w:spacing w:val="-14"/>
          <w:w w:val="105"/>
          <w:sz w:val="19"/>
        </w:rPr>
        <w:t xml:space="preserve"> </w:t>
      </w:r>
      <w:r>
        <w:rPr>
          <w:rFonts w:ascii="Arial" w:hAnsi="Arial"/>
          <w:w w:val="105"/>
          <w:sz w:val="19"/>
        </w:rPr>
        <w:t>year</w:t>
      </w:r>
      <w:r>
        <w:rPr>
          <w:rFonts w:ascii="Arial" w:hAnsi="Arial"/>
          <w:spacing w:val="-17"/>
          <w:w w:val="105"/>
          <w:sz w:val="19"/>
        </w:rPr>
        <w:t xml:space="preserve"> </w:t>
      </w:r>
      <w:r>
        <w:rPr>
          <w:rFonts w:ascii="Arial" w:hAnsi="Arial"/>
          <w:w w:val="105"/>
          <w:sz w:val="19"/>
        </w:rPr>
        <w:t>of</w:t>
      </w:r>
      <w:r>
        <w:rPr>
          <w:rFonts w:ascii="Arial" w:hAnsi="Arial"/>
          <w:spacing w:val="-15"/>
          <w:w w:val="105"/>
          <w:sz w:val="19"/>
        </w:rPr>
        <w:t xml:space="preserve"> </w:t>
      </w:r>
      <w:r>
        <w:rPr>
          <w:rFonts w:ascii="Arial" w:hAnsi="Arial"/>
          <w:w w:val="105"/>
          <w:sz w:val="19"/>
        </w:rPr>
        <w:t>listing)</w:t>
      </w:r>
      <w:r>
        <w:rPr>
          <w:rFonts w:ascii="Arial" w:hAnsi="Arial"/>
          <w:spacing w:val="-14"/>
          <w:w w:val="105"/>
          <w:sz w:val="19"/>
        </w:rPr>
        <w:t xml:space="preserve"> </w:t>
      </w:r>
      <w:r>
        <w:rPr>
          <w:rFonts w:ascii="Arial" w:hAnsi="Arial"/>
          <w:w w:val="105"/>
          <w:sz w:val="19"/>
        </w:rPr>
        <w:t>of</w:t>
      </w:r>
      <w:r>
        <w:rPr>
          <w:rFonts w:ascii="Arial" w:hAnsi="Arial"/>
          <w:spacing w:val="-17"/>
          <w:w w:val="105"/>
          <w:sz w:val="19"/>
        </w:rPr>
        <w:t xml:space="preserve"> </w:t>
      </w:r>
      <w:r>
        <w:rPr>
          <w:rFonts w:ascii="Arial" w:hAnsi="Arial"/>
          <w:w w:val="105"/>
          <w:sz w:val="19"/>
        </w:rPr>
        <w:t>number</w:t>
      </w:r>
      <w:r>
        <w:rPr>
          <w:rFonts w:ascii="Arial" w:hAnsi="Arial"/>
          <w:spacing w:val="-13"/>
          <w:w w:val="105"/>
          <w:sz w:val="19"/>
        </w:rPr>
        <w:t xml:space="preserve"> </w:t>
      </w:r>
      <w:r>
        <w:rPr>
          <w:rFonts w:ascii="Arial" w:hAnsi="Arial"/>
          <w:w w:val="105"/>
          <w:sz w:val="19"/>
        </w:rPr>
        <w:t>of</w:t>
      </w:r>
      <w:r>
        <w:rPr>
          <w:rFonts w:ascii="Arial" w:hAnsi="Arial"/>
          <w:spacing w:val="-17"/>
          <w:w w:val="105"/>
          <w:sz w:val="19"/>
        </w:rPr>
        <w:t xml:space="preserve"> </w:t>
      </w:r>
      <w:r>
        <w:rPr>
          <w:rFonts w:ascii="Arial" w:hAnsi="Arial"/>
          <w:w w:val="105"/>
          <w:sz w:val="19"/>
        </w:rPr>
        <w:t>products</w:t>
      </w:r>
      <w:r>
        <w:rPr>
          <w:rFonts w:ascii="Arial" w:hAnsi="Arial"/>
          <w:spacing w:val="-16"/>
          <w:w w:val="105"/>
          <w:sz w:val="19"/>
        </w:rPr>
        <w:t xml:space="preserve"> </w:t>
      </w:r>
      <w:r>
        <w:rPr>
          <w:rFonts w:ascii="Arial" w:hAnsi="Arial"/>
          <w:w w:val="105"/>
          <w:sz w:val="19"/>
        </w:rPr>
        <w:t>likely</w:t>
      </w:r>
      <w:r>
        <w:rPr>
          <w:rFonts w:ascii="Arial" w:hAnsi="Arial"/>
          <w:spacing w:val="-16"/>
          <w:w w:val="105"/>
          <w:sz w:val="19"/>
        </w:rPr>
        <w:t xml:space="preserve"> </w:t>
      </w:r>
      <w:r>
        <w:rPr>
          <w:rFonts w:ascii="Arial" w:hAnsi="Arial"/>
          <w:w w:val="105"/>
          <w:sz w:val="19"/>
        </w:rPr>
        <w:t>to</w:t>
      </w:r>
      <w:r>
        <w:rPr>
          <w:rFonts w:ascii="Arial" w:hAnsi="Arial"/>
          <w:spacing w:val="-14"/>
          <w:w w:val="105"/>
          <w:sz w:val="19"/>
        </w:rPr>
        <w:t xml:space="preserve"> </w:t>
      </w:r>
      <w:r>
        <w:rPr>
          <w:rFonts w:ascii="Arial" w:hAnsi="Arial"/>
          <w:w w:val="105"/>
          <w:sz w:val="19"/>
        </w:rPr>
        <w:t>be</w:t>
      </w:r>
      <w:r>
        <w:rPr>
          <w:rFonts w:ascii="Arial" w:hAnsi="Arial"/>
          <w:spacing w:val="-15"/>
          <w:w w:val="105"/>
          <w:sz w:val="19"/>
        </w:rPr>
        <w:t xml:space="preserve"> </w:t>
      </w:r>
      <w:r>
        <w:rPr>
          <w:rFonts w:ascii="Arial" w:hAnsi="Arial"/>
          <w:w w:val="105"/>
          <w:sz w:val="19"/>
        </w:rPr>
        <w:t>listed</w:t>
      </w:r>
      <w:r>
        <w:rPr>
          <w:rFonts w:ascii="Arial" w:hAnsi="Arial"/>
          <w:spacing w:val="-15"/>
          <w:w w:val="105"/>
          <w:sz w:val="19"/>
        </w:rPr>
        <w:t xml:space="preserve"> </w:t>
      </w:r>
      <w:r>
        <w:rPr>
          <w:rFonts w:ascii="Arial" w:hAnsi="Arial"/>
          <w:w w:val="105"/>
          <w:sz w:val="19"/>
        </w:rPr>
        <w:t>on</w:t>
      </w:r>
      <w:r>
        <w:rPr>
          <w:rFonts w:ascii="Arial" w:hAnsi="Arial"/>
          <w:spacing w:val="-13"/>
          <w:w w:val="105"/>
          <w:sz w:val="19"/>
        </w:rPr>
        <w:t xml:space="preserve"> </w:t>
      </w:r>
      <w:r>
        <w:rPr>
          <w:rFonts w:ascii="Arial" w:hAnsi="Arial"/>
          <w:w w:val="105"/>
          <w:sz w:val="19"/>
        </w:rPr>
        <w:t>the</w:t>
      </w:r>
      <w:r>
        <w:rPr>
          <w:rFonts w:ascii="Arial" w:hAnsi="Arial"/>
          <w:spacing w:val="-7"/>
          <w:w w:val="105"/>
          <w:sz w:val="19"/>
        </w:rPr>
        <w:t xml:space="preserve"> </w:t>
      </w:r>
      <w:r>
        <w:rPr>
          <w:rFonts w:ascii="Arial" w:hAnsi="Arial"/>
          <w:w w:val="105"/>
          <w:sz w:val="19"/>
        </w:rPr>
        <w:t>ARTG</w:t>
      </w:r>
    </w:p>
    <w:p w:rsidR="007D76BB" w:rsidRDefault="00D70D28">
      <w:pPr>
        <w:spacing w:before="15"/>
        <w:ind w:left="765"/>
        <w:rPr>
          <w:rFonts w:ascii="Arial"/>
          <w:sz w:val="19"/>
        </w:rPr>
      </w:pPr>
      <w:r>
        <w:rPr>
          <w:rFonts w:ascii="Arial"/>
          <w:i/>
          <w:w w:val="105"/>
          <w:sz w:val="20"/>
        </w:rPr>
        <w:t>(</w:t>
      </w:r>
      <w:proofErr w:type="gramStart"/>
      <w:r>
        <w:rPr>
          <w:rFonts w:ascii="Arial"/>
          <w:i/>
          <w:w w:val="105"/>
          <w:sz w:val="20"/>
        </w:rPr>
        <w:t>future</w:t>
      </w:r>
      <w:proofErr w:type="gramEnd"/>
      <w:r>
        <w:rPr>
          <w:rFonts w:ascii="Arial"/>
          <w:i/>
          <w:w w:val="105"/>
          <w:sz w:val="20"/>
        </w:rPr>
        <w:t xml:space="preserve"> population) </w:t>
      </w:r>
      <w:r>
        <w:rPr>
          <w:rFonts w:ascii="Arial"/>
          <w:w w:val="105"/>
          <w:sz w:val="19"/>
        </w:rPr>
        <w:t>for ongoing requirements = 97</w:t>
      </w:r>
    </w:p>
    <w:p w:rsidR="007D76BB" w:rsidRDefault="00D70D28">
      <w:pPr>
        <w:pStyle w:val="ListParagraph"/>
        <w:numPr>
          <w:ilvl w:val="1"/>
          <w:numId w:val="5"/>
        </w:numPr>
        <w:tabs>
          <w:tab w:val="left" w:pos="766"/>
        </w:tabs>
        <w:spacing w:before="99"/>
        <w:rPr>
          <w:rFonts w:ascii="Arial" w:hAnsi="Arial"/>
          <w:sz w:val="19"/>
        </w:rPr>
      </w:pPr>
      <w:r>
        <w:rPr>
          <w:rFonts w:ascii="Arial" w:hAnsi="Arial"/>
          <w:sz w:val="19"/>
        </w:rPr>
        <w:t>Number</w:t>
      </w:r>
      <w:r>
        <w:rPr>
          <w:rFonts w:ascii="Arial" w:hAnsi="Arial"/>
          <w:spacing w:val="-7"/>
          <w:sz w:val="19"/>
        </w:rPr>
        <w:t xml:space="preserve"> </w:t>
      </w:r>
      <w:r>
        <w:rPr>
          <w:rFonts w:ascii="Arial" w:hAnsi="Arial"/>
          <w:sz w:val="19"/>
        </w:rPr>
        <w:t>of</w:t>
      </w:r>
      <w:r>
        <w:rPr>
          <w:rFonts w:ascii="Arial" w:hAnsi="Arial"/>
          <w:spacing w:val="-8"/>
          <w:sz w:val="19"/>
        </w:rPr>
        <w:t xml:space="preserve"> </w:t>
      </w:r>
      <w:r>
        <w:rPr>
          <w:rFonts w:ascii="Arial" w:hAnsi="Arial"/>
          <w:sz w:val="19"/>
        </w:rPr>
        <w:t>ARTG</w:t>
      </w:r>
      <w:r>
        <w:rPr>
          <w:rFonts w:ascii="Arial" w:hAnsi="Arial"/>
          <w:spacing w:val="-11"/>
          <w:sz w:val="19"/>
        </w:rPr>
        <w:t xml:space="preserve"> </w:t>
      </w:r>
      <w:r>
        <w:rPr>
          <w:rFonts w:ascii="Arial" w:hAnsi="Arial"/>
          <w:sz w:val="19"/>
        </w:rPr>
        <w:t>entries</w:t>
      </w:r>
      <w:r>
        <w:rPr>
          <w:rFonts w:ascii="Arial" w:hAnsi="Arial"/>
          <w:spacing w:val="-7"/>
          <w:sz w:val="19"/>
        </w:rPr>
        <w:t xml:space="preserve"> </w:t>
      </w:r>
      <w:r>
        <w:rPr>
          <w:rFonts w:ascii="Arial" w:hAnsi="Arial"/>
          <w:sz w:val="19"/>
        </w:rPr>
        <w:t>x</w:t>
      </w:r>
      <w:r>
        <w:rPr>
          <w:rFonts w:ascii="Arial" w:hAnsi="Arial"/>
          <w:spacing w:val="-10"/>
          <w:sz w:val="19"/>
        </w:rPr>
        <w:t xml:space="preserve"> </w:t>
      </w:r>
      <w:r>
        <w:rPr>
          <w:rFonts w:ascii="Arial" w:hAnsi="Arial"/>
          <w:sz w:val="19"/>
        </w:rPr>
        <w:t>years</w:t>
      </w:r>
      <w:r>
        <w:rPr>
          <w:rFonts w:ascii="Arial" w:hAnsi="Arial"/>
          <w:spacing w:val="-7"/>
          <w:sz w:val="19"/>
        </w:rPr>
        <w:t xml:space="preserve"> </w:t>
      </w:r>
      <w:r>
        <w:rPr>
          <w:rFonts w:ascii="Arial" w:hAnsi="Arial"/>
          <w:sz w:val="19"/>
        </w:rPr>
        <w:t>of</w:t>
      </w:r>
      <w:r>
        <w:rPr>
          <w:rFonts w:ascii="Arial" w:hAnsi="Arial"/>
          <w:spacing w:val="-9"/>
          <w:sz w:val="19"/>
        </w:rPr>
        <w:t xml:space="preserve"> </w:t>
      </w:r>
      <w:r>
        <w:rPr>
          <w:rFonts w:ascii="Arial" w:hAnsi="Arial"/>
          <w:sz w:val="19"/>
        </w:rPr>
        <w:t>listing</w:t>
      </w:r>
      <w:r>
        <w:rPr>
          <w:rFonts w:ascii="Arial" w:hAnsi="Arial"/>
          <w:spacing w:val="-8"/>
          <w:sz w:val="19"/>
        </w:rPr>
        <w:t xml:space="preserve"> </w:t>
      </w:r>
      <w:r>
        <w:rPr>
          <w:rFonts w:ascii="Arial" w:hAnsi="Arial"/>
          <w:sz w:val="19"/>
        </w:rPr>
        <w:t>(Years</w:t>
      </w:r>
      <w:r>
        <w:rPr>
          <w:rFonts w:ascii="Arial" w:hAnsi="Arial"/>
          <w:spacing w:val="-7"/>
          <w:sz w:val="19"/>
        </w:rPr>
        <w:t xml:space="preserve"> </w:t>
      </w:r>
      <w:r>
        <w:rPr>
          <w:rFonts w:ascii="Arial" w:hAnsi="Arial"/>
          <w:sz w:val="19"/>
        </w:rPr>
        <w:t>4</w:t>
      </w:r>
      <w:r>
        <w:rPr>
          <w:rFonts w:ascii="Arial" w:hAnsi="Arial"/>
          <w:spacing w:val="-9"/>
          <w:sz w:val="19"/>
        </w:rPr>
        <w:t xml:space="preserve"> </w:t>
      </w:r>
      <w:r>
        <w:rPr>
          <w:rFonts w:ascii="Arial" w:hAnsi="Arial"/>
          <w:sz w:val="19"/>
        </w:rPr>
        <w:t>to</w:t>
      </w:r>
      <w:r>
        <w:rPr>
          <w:rFonts w:ascii="Arial" w:hAnsi="Arial"/>
          <w:spacing w:val="-8"/>
          <w:sz w:val="19"/>
        </w:rPr>
        <w:t xml:space="preserve"> </w:t>
      </w:r>
      <w:r>
        <w:rPr>
          <w:rFonts w:ascii="Arial" w:hAnsi="Arial"/>
          <w:sz w:val="19"/>
        </w:rPr>
        <w:t>10)</w:t>
      </w:r>
      <w:r>
        <w:rPr>
          <w:rFonts w:ascii="Arial" w:hAnsi="Arial"/>
          <w:spacing w:val="-9"/>
          <w:sz w:val="19"/>
        </w:rPr>
        <w:t xml:space="preserve"> </w:t>
      </w:r>
      <w:r>
        <w:rPr>
          <w:rFonts w:ascii="Arial" w:hAnsi="Arial"/>
          <w:sz w:val="19"/>
        </w:rPr>
        <w:t>=</w:t>
      </w:r>
      <w:r>
        <w:rPr>
          <w:rFonts w:ascii="Arial" w:hAnsi="Arial"/>
          <w:spacing w:val="-6"/>
          <w:sz w:val="19"/>
        </w:rPr>
        <w:t xml:space="preserve"> </w:t>
      </w:r>
      <w:r>
        <w:rPr>
          <w:rFonts w:ascii="Arial" w:hAnsi="Arial"/>
          <w:sz w:val="19"/>
        </w:rPr>
        <w:t>134</w:t>
      </w:r>
    </w:p>
    <w:p w:rsidR="007D76BB" w:rsidRDefault="00D70D28">
      <w:pPr>
        <w:spacing w:before="94"/>
        <w:ind w:left="482"/>
        <w:rPr>
          <w:rFonts w:ascii="Arial"/>
          <w:i/>
          <w:sz w:val="20"/>
        </w:rPr>
      </w:pPr>
      <w:r>
        <w:rPr>
          <w:rFonts w:ascii="Arial"/>
          <w:i/>
          <w:sz w:val="20"/>
        </w:rPr>
        <w:t>Current population</w:t>
      </w:r>
    </w:p>
    <w:p w:rsidR="007D76BB" w:rsidRDefault="00D70D28">
      <w:pPr>
        <w:spacing w:before="89"/>
        <w:ind w:left="482"/>
        <w:rPr>
          <w:rFonts w:ascii="Arial"/>
          <w:sz w:val="19"/>
        </w:rPr>
      </w:pPr>
      <w:r>
        <w:rPr>
          <w:rFonts w:ascii="Arial"/>
          <w:i/>
          <w:sz w:val="20"/>
        </w:rPr>
        <w:t>Step 1</w:t>
      </w:r>
      <w:r>
        <w:rPr>
          <w:rFonts w:ascii="Arial"/>
          <w:sz w:val="19"/>
        </w:rPr>
        <w:t>. Calculate total time in minutes to fulfil regulatory requirement:</w:t>
      </w:r>
    </w:p>
    <w:p w:rsidR="007D76BB" w:rsidRDefault="00D70D28">
      <w:pPr>
        <w:pStyle w:val="ListParagraph"/>
        <w:numPr>
          <w:ilvl w:val="1"/>
          <w:numId w:val="5"/>
        </w:numPr>
        <w:tabs>
          <w:tab w:val="left" w:pos="766"/>
        </w:tabs>
        <w:spacing w:before="159" w:line="266" w:lineRule="auto"/>
        <w:ind w:right="896"/>
        <w:rPr>
          <w:rFonts w:ascii="Arial" w:hAnsi="Arial"/>
          <w:sz w:val="19"/>
        </w:rPr>
      </w:pPr>
      <w:r>
        <w:rPr>
          <w:rFonts w:ascii="Arial" w:hAnsi="Arial"/>
          <w:w w:val="105"/>
          <w:sz w:val="19"/>
        </w:rPr>
        <w:t>Reformulation:</w:t>
      </w:r>
      <w:r>
        <w:rPr>
          <w:rFonts w:ascii="Arial" w:hAnsi="Arial"/>
          <w:spacing w:val="-19"/>
          <w:w w:val="105"/>
          <w:sz w:val="19"/>
        </w:rPr>
        <w:t xml:space="preserve"> </w:t>
      </w:r>
      <w:r>
        <w:rPr>
          <w:rFonts w:ascii="Arial" w:hAnsi="Arial"/>
          <w:w w:val="105"/>
          <w:sz w:val="19"/>
        </w:rPr>
        <w:t>Number</w:t>
      </w:r>
      <w:r>
        <w:rPr>
          <w:rFonts w:ascii="Arial" w:hAnsi="Arial"/>
          <w:spacing w:val="-19"/>
          <w:w w:val="105"/>
          <w:sz w:val="19"/>
        </w:rPr>
        <w:t xml:space="preserve"> </w:t>
      </w:r>
      <w:r>
        <w:rPr>
          <w:rFonts w:ascii="Arial" w:hAnsi="Arial"/>
          <w:w w:val="105"/>
          <w:sz w:val="19"/>
        </w:rPr>
        <w:t>of</w:t>
      </w:r>
      <w:r>
        <w:rPr>
          <w:rFonts w:ascii="Arial" w:hAnsi="Arial"/>
          <w:spacing w:val="-17"/>
          <w:w w:val="105"/>
          <w:sz w:val="19"/>
        </w:rPr>
        <w:t xml:space="preserve"> </w:t>
      </w:r>
      <w:r>
        <w:rPr>
          <w:rFonts w:ascii="Arial" w:hAnsi="Arial"/>
          <w:w w:val="105"/>
          <w:sz w:val="19"/>
        </w:rPr>
        <w:t>products</w:t>
      </w:r>
      <w:r>
        <w:rPr>
          <w:rFonts w:ascii="Arial" w:hAnsi="Arial"/>
          <w:spacing w:val="-17"/>
          <w:w w:val="105"/>
          <w:sz w:val="19"/>
        </w:rPr>
        <w:t xml:space="preserve"> </w:t>
      </w:r>
      <w:r>
        <w:rPr>
          <w:rFonts w:ascii="Arial" w:hAnsi="Arial"/>
          <w:w w:val="105"/>
          <w:sz w:val="19"/>
        </w:rPr>
        <w:t>likely</w:t>
      </w:r>
      <w:r>
        <w:rPr>
          <w:rFonts w:ascii="Arial" w:hAnsi="Arial"/>
          <w:spacing w:val="-19"/>
          <w:w w:val="105"/>
          <w:sz w:val="19"/>
        </w:rPr>
        <w:t xml:space="preserve"> </w:t>
      </w:r>
      <w:r>
        <w:rPr>
          <w:rFonts w:ascii="Arial" w:hAnsi="Arial"/>
          <w:w w:val="105"/>
          <w:sz w:val="19"/>
        </w:rPr>
        <w:t>to</w:t>
      </w:r>
      <w:r>
        <w:rPr>
          <w:rFonts w:ascii="Arial" w:hAnsi="Arial"/>
          <w:spacing w:val="-19"/>
          <w:w w:val="105"/>
          <w:sz w:val="19"/>
        </w:rPr>
        <w:t xml:space="preserve"> </w:t>
      </w:r>
      <w:r>
        <w:rPr>
          <w:rFonts w:ascii="Arial" w:hAnsi="Arial"/>
          <w:w w:val="105"/>
          <w:sz w:val="19"/>
        </w:rPr>
        <w:t>be</w:t>
      </w:r>
      <w:r>
        <w:rPr>
          <w:rFonts w:ascii="Arial" w:hAnsi="Arial"/>
          <w:spacing w:val="-17"/>
          <w:w w:val="105"/>
          <w:sz w:val="19"/>
        </w:rPr>
        <w:t xml:space="preserve"> </w:t>
      </w:r>
      <w:r>
        <w:rPr>
          <w:rFonts w:ascii="Arial" w:hAnsi="Arial"/>
          <w:w w:val="105"/>
          <w:sz w:val="19"/>
        </w:rPr>
        <w:t>reformulated</w:t>
      </w:r>
      <w:r>
        <w:rPr>
          <w:rFonts w:ascii="Arial" w:hAnsi="Arial"/>
          <w:spacing w:val="-19"/>
          <w:w w:val="105"/>
          <w:sz w:val="19"/>
        </w:rPr>
        <w:t xml:space="preserve"> </w:t>
      </w:r>
      <w:r>
        <w:rPr>
          <w:rFonts w:ascii="Arial" w:hAnsi="Arial"/>
          <w:w w:val="105"/>
          <w:sz w:val="19"/>
        </w:rPr>
        <w:t>(85)</w:t>
      </w:r>
      <w:r>
        <w:rPr>
          <w:rFonts w:ascii="Arial" w:hAnsi="Arial"/>
          <w:spacing w:val="-18"/>
          <w:w w:val="105"/>
          <w:sz w:val="19"/>
        </w:rPr>
        <w:t xml:space="preserve"> </w:t>
      </w:r>
      <w:r>
        <w:rPr>
          <w:rFonts w:ascii="Arial" w:hAnsi="Arial"/>
          <w:w w:val="105"/>
          <w:sz w:val="19"/>
        </w:rPr>
        <w:t>x</w:t>
      </w:r>
      <w:r>
        <w:rPr>
          <w:rFonts w:ascii="Arial" w:hAnsi="Arial"/>
          <w:spacing w:val="-18"/>
          <w:w w:val="105"/>
          <w:sz w:val="19"/>
        </w:rPr>
        <w:t xml:space="preserve"> </w:t>
      </w:r>
      <w:r>
        <w:rPr>
          <w:rFonts w:ascii="Arial" w:hAnsi="Arial"/>
          <w:w w:val="105"/>
          <w:sz w:val="19"/>
        </w:rPr>
        <w:t>Time</w:t>
      </w:r>
      <w:r>
        <w:rPr>
          <w:rFonts w:ascii="Arial" w:hAnsi="Arial"/>
          <w:spacing w:val="-19"/>
          <w:w w:val="105"/>
          <w:sz w:val="19"/>
        </w:rPr>
        <w:t xml:space="preserve"> </w:t>
      </w:r>
      <w:r>
        <w:rPr>
          <w:rFonts w:ascii="Arial" w:hAnsi="Arial"/>
          <w:w w:val="105"/>
          <w:sz w:val="19"/>
        </w:rPr>
        <w:t>required</w:t>
      </w:r>
      <w:r>
        <w:rPr>
          <w:rFonts w:ascii="Arial" w:hAnsi="Arial"/>
          <w:spacing w:val="-20"/>
          <w:w w:val="105"/>
          <w:sz w:val="19"/>
        </w:rPr>
        <w:t xml:space="preserve"> </w:t>
      </w:r>
      <w:r>
        <w:rPr>
          <w:rFonts w:ascii="Arial" w:hAnsi="Arial"/>
          <w:w w:val="105"/>
          <w:sz w:val="19"/>
        </w:rPr>
        <w:t>to</w:t>
      </w:r>
      <w:r>
        <w:rPr>
          <w:rFonts w:ascii="Arial" w:hAnsi="Arial"/>
          <w:spacing w:val="-19"/>
          <w:w w:val="105"/>
          <w:sz w:val="19"/>
        </w:rPr>
        <w:t xml:space="preserve"> </w:t>
      </w:r>
      <w:r>
        <w:rPr>
          <w:rFonts w:ascii="Arial" w:hAnsi="Arial"/>
          <w:w w:val="105"/>
          <w:sz w:val="19"/>
        </w:rPr>
        <w:t>reformulate per</w:t>
      </w:r>
      <w:r>
        <w:rPr>
          <w:rFonts w:ascii="Arial" w:hAnsi="Arial"/>
          <w:spacing w:val="-14"/>
          <w:w w:val="105"/>
          <w:sz w:val="19"/>
        </w:rPr>
        <w:t xml:space="preserve"> </w:t>
      </w:r>
      <w:r>
        <w:rPr>
          <w:rFonts w:ascii="Arial" w:hAnsi="Arial"/>
          <w:w w:val="105"/>
          <w:sz w:val="19"/>
        </w:rPr>
        <w:t>product</w:t>
      </w:r>
      <w:r>
        <w:rPr>
          <w:rFonts w:ascii="Arial" w:hAnsi="Arial"/>
          <w:spacing w:val="-12"/>
          <w:w w:val="105"/>
          <w:sz w:val="19"/>
        </w:rPr>
        <w:t xml:space="preserve"> </w:t>
      </w:r>
      <w:r>
        <w:rPr>
          <w:rFonts w:ascii="Arial" w:hAnsi="Arial"/>
          <w:w w:val="105"/>
          <w:sz w:val="19"/>
        </w:rPr>
        <w:t>(2,160)</w:t>
      </w:r>
      <w:r>
        <w:rPr>
          <w:rFonts w:ascii="Arial" w:hAnsi="Arial"/>
          <w:spacing w:val="-11"/>
          <w:w w:val="105"/>
          <w:sz w:val="19"/>
        </w:rPr>
        <w:t xml:space="preserve"> </w:t>
      </w:r>
      <w:r>
        <w:rPr>
          <w:rFonts w:ascii="Arial" w:hAnsi="Arial"/>
          <w:w w:val="105"/>
          <w:sz w:val="19"/>
        </w:rPr>
        <w:t>=</w:t>
      </w:r>
      <w:r>
        <w:rPr>
          <w:rFonts w:ascii="Arial" w:hAnsi="Arial"/>
          <w:spacing w:val="-13"/>
          <w:w w:val="105"/>
          <w:sz w:val="19"/>
        </w:rPr>
        <w:t xml:space="preserve"> </w:t>
      </w:r>
      <w:r>
        <w:rPr>
          <w:rFonts w:ascii="Arial" w:hAnsi="Arial"/>
          <w:w w:val="105"/>
          <w:sz w:val="19"/>
        </w:rPr>
        <w:t>183,600</w:t>
      </w:r>
      <w:r>
        <w:rPr>
          <w:rFonts w:ascii="Arial" w:hAnsi="Arial"/>
          <w:spacing w:val="-9"/>
          <w:w w:val="105"/>
          <w:sz w:val="19"/>
        </w:rPr>
        <w:t xml:space="preserve"> </w:t>
      </w:r>
      <w:r>
        <w:rPr>
          <w:rFonts w:ascii="Arial" w:hAnsi="Arial"/>
          <w:w w:val="105"/>
          <w:sz w:val="19"/>
        </w:rPr>
        <w:t>minutes</w:t>
      </w:r>
    </w:p>
    <w:p w:rsidR="007D76BB" w:rsidRDefault="00D70D28">
      <w:pPr>
        <w:pStyle w:val="ListParagraph"/>
        <w:numPr>
          <w:ilvl w:val="1"/>
          <w:numId w:val="5"/>
        </w:numPr>
        <w:tabs>
          <w:tab w:val="left" w:pos="766"/>
        </w:tabs>
        <w:spacing w:before="76" w:line="266" w:lineRule="auto"/>
        <w:ind w:right="947"/>
        <w:rPr>
          <w:rFonts w:ascii="Arial" w:hAnsi="Arial"/>
          <w:sz w:val="19"/>
        </w:rPr>
      </w:pPr>
      <w:r>
        <w:rPr>
          <w:rFonts w:ascii="Arial" w:hAnsi="Arial"/>
          <w:w w:val="105"/>
          <w:sz w:val="19"/>
        </w:rPr>
        <w:t>List</w:t>
      </w:r>
      <w:r>
        <w:rPr>
          <w:rFonts w:ascii="Arial" w:hAnsi="Arial"/>
          <w:spacing w:val="-20"/>
          <w:w w:val="105"/>
          <w:sz w:val="19"/>
        </w:rPr>
        <w:t xml:space="preserve"> </w:t>
      </w:r>
      <w:r>
        <w:rPr>
          <w:rFonts w:ascii="Arial" w:hAnsi="Arial"/>
          <w:w w:val="105"/>
          <w:sz w:val="19"/>
        </w:rPr>
        <w:t>on</w:t>
      </w:r>
      <w:r>
        <w:rPr>
          <w:rFonts w:ascii="Arial" w:hAnsi="Arial"/>
          <w:spacing w:val="-19"/>
          <w:w w:val="105"/>
          <w:sz w:val="19"/>
        </w:rPr>
        <w:t xml:space="preserve"> </w:t>
      </w:r>
      <w:r>
        <w:rPr>
          <w:rFonts w:ascii="Arial" w:hAnsi="Arial"/>
          <w:w w:val="105"/>
          <w:sz w:val="19"/>
        </w:rPr>
        <w:t>the</w:t>
      </w:r>
      <w:r>
        <w:rPr>
          <w:rFonts w:ascii="Arial" w:hAnsi="Arial"/>
          <w:spacing w:val="-21"/>
          <w:w w:val="105"/>
          <w:sz w:val="19"/>
        </w:rPr>
        <w:t xml:space="preserve"> </w:t>
      </w:r>
      <w:r>
        <w:rPr>
          <w:rFonts w:ascii="Arial" w:hAnsi="Arial"/>
          <w:w w:val="105"/>
          <w:sz w:val="19"/>
        </w:rPr>
        <w:t>ARTG:</w:t>
      </w:r>
      <w:r>
        <w:rPr>
          <w:rFonts w:ascii="Arial" w:hAnsi="Arial"/>
          <w:spacing w:val="-19"/>
          <w:w w:val="105"/>
          <w:sz w:val="19"/>
        </w:rPr>
        <w:t xml:space="preserve"> </w:t>
      </w:r>
      <w:r>
        <w:rPr>
          <w:rFonts w:ascii="Arial" w:hAnsi="Arial"/>
          <w:w w:val="105"/>
          <w:sz w:val="19"/>
        </w:rPr>
        <w:t>Number</w:t>
      </w:r>
      <w:r>
        <w:rPr>
          <w:rFonts w:ascii="Arial" w:hAnsi="Arial"/>
          <w:spacing w:val="-19"/>
          <w:w w:val="105"/>
          <w:sz w:val="19"/>
        </w:rPr>
        <w:t xml:space="preserve"> </w:t>
      </w:r>
      <w:r>
        <w:rPr>
          <w:rFonts w:ascii="Arial" w:hAnsi="Arial"/>
          <w:w w:val="105"/>
          <w:sz w:val="19"/>
        </w:rPr>
        <w:t>of</w:t>
      </w:r>
      <w:r>
        <w:rPr>
          <w:rFonts w:ascii="Arial" w:hAnsi="Arial"/>
          <w:spacing w:val="-20"/>
          <w:w w:val="105"/>
          <w:sz w:val="19"/>
        </w:rPr>
        <w:t xml:space="preserve"> </w:t>
      </w:r>
      <w:r>
        <w:rPr>
          <w:rFonts w:ascii="Arial" w:hAnsi="Arial"/>
          <w:w w:val="105"/>
          <w:sz w:val="19"/>
        </w:rPr>
        <w:t>products</w:t>
      </w:r>
      <w:r>
        <w:rPr>
          <w:rFonts w:ascii="Arial" w:hAnsi="Arial"/>
          <w:spacing w:val="-19"/>
          <w:w w:val="105"/>
          <w:sz w:val="19"/>
        </w:rPr>
        <w:t xml:space="preserve"> </w:t>
      </w:r>
      <w:r>
        <w:rPr>
          <w:rFonts w:ascii="Arial" w:hAnsi="Arial"/>
          <w:w w:val="105"/>
          <w:sz w:val="19"/>
        </w:rPr>
        <w:t>likely</w:t>
      </w:r>
      <w:r>
        <w:rPr>
          <w:rFonts w:ascii="Arial" w:hAnsi="Arial"/>
          <w:spacing w:val="-20"/>
          <w:w w:val="105"/>
          <w:sz w:val="19"/>
        </w:rPr>
        <w:t xml:space="preserve"> </w:t>
      </w:r>
      <w:r>
        <w:rPr>
          <w:rFonts w:ascii="Arial" w:hAnsi="Arial"/>
          <w:w w:val="105"/>
          <w:sz w:val="19"/>
        </w:rPr>
        <w:t>to</w:t>
      </w:r>
      <w:r>
        <w:rPr>
          <w:rFonts w:ascii="Arial" w:hAnsi="Arial"/>
          <w:spacing w:val="-22"/>
          <w:w w:val="105"/>
          <w:sz w:val="19"/>
        </w:rPr>
        <w:t xml:space="preserve"> </w:t>
      </w:r>
      <w:r>
        <w:rPr>
          <w:rFonts w:ascii="Arial" w:hAnsi="Arial"/>
          <w:w w:val="105"/>
          <w:sz w:val="19"/>
        </w:rPr>
        <w:t>be</w:t>
      </w:r>
      <w:r>
        <w:rPr>
          <w:rFonts w:ascii="Arial" w:hAnsi="Arial"/>
          <w:spacing w:val="-18"/>
          <w:w w:val="105"/>
          <w:sz w:val="19"/>
        </w:rPr>
        <w:t xml:space="preserve"> </w:t>
      </w:r>
      <w:r>
        <w:rPr>
          <w:rFonts w:ascii="Arial" w:hAnsi="Arial"/>
          <w:w w:val="105"/>
          <w:sz w:val="19"/>
        </w:rPr>
        <w:t>listed</w:t>
      </w:r>
      <w:r>
        <w:rPr>
          <w:rFonts w:ascii="Arial" w:hAnsi="Arial"/>
          <w:spacing w:val="-20"/>
          <w:w w:val="105"/>
          <w:sz w:val="19"/>
        </w:rPr>
        <w:t xml:space="preserve"> </w:t>
      </w:r>
      <w:r>
        <w:rPr>
          <w:rFonts w:ascii="Arial" w:hAnsi="Arial"/>
          <w:w w:val="105"/>
          <w:sz w:val="19"/>
        </w:rPr>
        <w:t>on</w:t>
      </w:r>
      <w:r>
        <w:rPr>
          <w:rFonts w:ascii="Arial" w:hAnsi="Arial"/>
          <w:spacing w:val="-20"/>
          <w:w w:val="105"/>
          <w:sz w:val="19"/>
        </w:rPr>
        <w:t xml:space="preserve"> </w:t>
      </w:r>
      <w:r>
        <w:rPr>
          <w:rFonts w:ascii="Arial" w:hAnsi="Arial"/>
          <w:w w:val="105"/>
          <w:sz w:val="19"/>
        </w:rPr>
        <w:t>the</w:t>
      </w:r>
      <w:r>
        <w:rPr>
          <w:rFonts w:ascii="Arial" w:hAnsi="Arial"/>
          <w:spacing w:val="-20"/>
          <w:w w:val="105"/>
          <w:sz w:val="19"/>
        </w:rPr>
        <w:t xml:space="preserve"> </w:t>
      </w:r>
      <w:r>
        <w:rPr>
          <w:rFonts w:ascii="Arial" w:hAnsi="Arial"/>
          <w:w w:val="105"/>
          <w:sz w:val="19"/>
        </w:rPr>
        <w:t>ARTG</w:t>
      </w:r>
      <w:r>
        <w:rPr>
          <w:rFonts w:ascii="Arial" w:hAnsi="Arial"/>
          <w:spacing w:val="-20"/>
          <w:w w:val="105"/>
          <w:sz w:val="19"/>
        </w:rPr>
        <w:t xml:space="preserve"> </w:t>
      </w:r>
      <w:r>
        <w:rPr>
          <w:rFonts w:ascii="Arial" w:hAnsi="Arial"/>
          <w:w w:val="105"/>
          <w:sz w:val="19"/>
        </w:rPr>
        <w:t>(40)</w:t>
      </w:r>
      <w:r>
        <w:rPr>
          <w:rFonts w:ascii="Arial" w:hAnsi="Arial"/>
          <w:spacing w:val="-21"/>
          <w:w w:val="105"/>
          <w:sz w:val="19"/>
        </w:rPr>
        <w:t xml:space="preserve"> </w:t>
      </w:r>
      <w:r>
        <w:rPr>
          <w:rFonts w:ascii="Arial" w:hAnsi="Arial"/>
          <w:w w:val="105"/>
          <w:sz w:val="19"/>
        </w:rPr>
        <w:t>x</w:t>
      </w:r>
      <w:r>
        <w:rPr>
          <w:rFonts w:ascii="Arial" w:hAnsi="Arial"/>
          <w:spacing w:val="-21"/>
          <w:w w:val="105"/>
          <w:sz w:val="19"/>
        </w:rPr>
        <w:t xml:space="preserve"> </w:t>
      </w:r>
      <w:r>
        <w:rPr>
          <w:rFonts w:ascii="Arial" w:hAnsi="Arial"/>
          <w:w w:val="105"/>
          <w:sz w:val="19"/>
        </w:rPr>
        <w:t>Time</w:t>
      </w:r>
      <w:r>
        <w:rPr>
          <w:rFonts w:ascii="Arial" w:hAnsi="Arial"/>
          <w:spacing w:val="-19"/>
          <w:w w:val="105"/>
          <w:sz w:val="19"/>
        </w:rPr>
        <w:t xml:space="preserve"> </w:t>
      </w:r>
      <w:r>
        <w:rPr>
          <w:rFonts w:ascii="Arial" w:hAnsi="Arial"/>
          <w:w w:val="105"/>
          <w:sz w:val="19"/>
        </w:rPr>
        <w:t>required</w:t>
      </w:r>
      <w:r>
        <w:rPr>
          <w:rFonts w:ascii="Arial" w:hAnsi="Arial"/>
          <w:spacing w:val="-21"/>
          <w:w w:val="105"/>
          <w:sz w:val="19"/>
        </w:rPr>
        <w:t xml:space="preserve"> </w:t>
      </w:r>
      <w:r>
        <w:rPr>
          <w:rFonts w:ascii="Arial" w:hAnsi="Arial"/>
          <w:w w:val="105"/>
          <w:sz w:val="19"/>
        </w:rPr>
        <w:t>to</w:t>
      </w:r>
      <w:r>
        <w:rPr>
          <w:rFonts w:ascii="Arial" w:hAnsi="Arial"/>
          <w:spacing w:val="-20"/>
          <w:w w:val="105"/>
          <w:sz w:val="19"/>
        </w:rPr>
        <w:t xml:space="preserve"> </w:t>
      </w:r>
      <w:r>
        <w:rPr>
          <w:rFonts w:ascii="Arial" w:hAnsi="Arial"/>
          <w:w w:val="105"/>
          <w:sz w:val="19"/>
        </w:rPr>
        <w:t>list a</w:t>
      </w:r>
      <w:r>
        <w:rPr>
          <w:rFonts w:ascii="Arial" w:hAnsi="Arial"/>
          <w:spacing w:val="-12"/>
          <w:w w:val="105"/>
          <w:sz w:val="19"/>
        </w:rPr>
        <w:t xml:space="preserve"> </w:t>
      </w:r>
      <w:r>
        <w:rPr>
          <w:rFonts w:ascii="Arial" w:hAnsi="Arial"/>
          <w:w w:val="105"/>
          <w:sz w:val="19"/>
        </w:rPr>
        <w:t>product</w:t>
      </w:r>
      <w:r>
        <w:rPr>
          <w:rFonts w:ascii="Arial" w:hAnsi="Arial"/>
          <w:spacing w:val="-11"/>
          <w:w w:val="105"/>
          <w:sz w:val="19"/>
        </w:rPr>
        <w:t xml:space="preserve"> </w:t>
      </w:r>
      <w:r>
        <w:rPr>
          <w:rFonts w:ascii="Arial" w:hAnsi="Arial"/>
          <w:w w:val="105"/>
          <w:sz w:val="19"/>
        </w:rPr>
        <w:t>on</w:t>
      </w:r>
      <w:r>
        <w:rPr>
          <w:rFonts w:ascii="Arial" w:hAnsi="Arial"/>
          <w:spacing w:val="-11"/>
          <w:w w:val="105"/>
          <w:sz w:val="19"/>
        </w:rPr>
        <w:t xml:space="preserve"> </w:t>
      </w:r>
      <w:r>
        <w:rPr>
          <w:rFonts w:ascii="Arial" w:hAnsi="Arial"/>
          <w:w w:val="105"/>
          <w:sz w:val="19"/>
        </w:rPr>
        <w:t>the</w:t>
      </w:r>
      <w:r>
        <w:rPr>
          <w:rFonts w:ascii="Arial" w:hAnsi="Arial"/>
          <w:spacing w:val="-13"/>
          <w:w w:val="105"/>
          <w:sz w:val="19"/>
        </w:rPr>
        <w:t xml:space="preserve"> </w:t>
      </w:r>
      <w:r>
        <w:rPr>
          <w:rFonts w:ascii="Arial" w:hAnsi="Arial"/>
          <w:w w:val="105"/>
          <w:sz w:val="19"/>
        </w:rPr>
        <w:t>ARTG</w:t>
      </w:r>
      <w:r>
        <w:rPr>
          <w:rFonts w:ascii="Arial" w:hAnsi="Arial"/>
          <w:spacing w:val="-12"/>
          <w:w w:val="105"/>
          <w:sz w:val="19"/>
        </w:rPr>
        <w:t xml:space="preserve"> </w:t>
      </w:r>
      <w:r>
        <w:rPr>
          <w:rFonts w:ascii="Arial" w:hAnsi="Arial"/>
          <w:w w:val="105"/>
          <w:sz w:val="19"/>
        </w:rPr>
        <w:t>(4,210)</w:t>
      </w:r>
      <w:r>
        <w:rPr>
          <w:rFonts w:ascii="Arial" w:hAnsi="Arial"/>
          <w:spacing w:val="-12"/>
          <w:w w:val="105"/>
          <w:sz w:val="19"/>
        </w:rPr>
        <w:t xml:space="preserve"> </w:t>
      </w:r>
      <w:r>
        <w:rPr>
          <w:rFonts w:ascii="Arial" w:hAnsi="Arial"/>
          <w:w w:val="105"/>
          <w:sz w:val="19"/>
        </w:rPr>
        <w:t>=</w:t>
      </w:r>
      <w:r>
        <w:rPr>
          <w:rFonts w:ascii="Arial" w:hAnsi="Arial"/>
          <w:spacing w:val="-12"/>
          <w:w w:val="105"/>
          <w:sz w:val="19"/>
        </w:rPr>
        <w:t xml:space="preserve"> </w:t>
      </w:r>
      <w:r>
        <w:rPr>
          <w:rFonts w:ascii="Arial" w:hAnsi="Arial"/>
          <w:w w:val="105"/>
          <w:sz w:val="19"/>
        </w:rPr>
        <w:t>168,400</w:t>
      </w:r>
      <w:r>
        <w:rPr>
          <w:rFonts w:ascii="Arial" w:hAnsi="Arial"/>
          <w:spacing w:val="-10"/>
          <w:w w:val="105"/>
          <w:sz w:val="19"/>
        </w:rPr>
        <w:t xml:space="preserve"> </w:t>
      </w:r>
      <w:r>
        <w:rPr>
          <w:rFonts w:ascii="Arial" w:hAnsi="Arial"/>
          <w:w w:val="105"/>
          <w:sz w:val="19"/>
        </w:rPr>
        <w:t>minutes</w:t>
      </w:r>
    </w:p>
    <w:p w:rsidR="007D76BB" w:rsidRDefault="00D70D28">
      <w:pPr>
        <w:pStyle w:val="ListParagraph"/>
        <w:numPr>
          <w:ilvl w:val="1"/>
          <w:numId w:val="5"/>
        </w:numPr>
        <w:tabs>
          <w:tab w:val="left" w:pos="766"/>
        </w:tabs>
        <w:spacing w:before="79"/>
        <w:rPr>
          <w:rFonts w:ascii="Arial" w:hAnsi="Arial"/>
          <w:sz w:val="19"/>
        </w:rPr>
      </w:pPr>
      <w:r>
        <w:rPr>
          <w:rFonts w:ascii="Arial" w:hAnsi="Arial"/>
          <w:w w:val="105"/>
          <w:sz w:val="19"/>
        </w:rPr>
        <w:t>Time</w:t>
      </w:r>
      <w:r>
        <w:rPr>
          <w:rFonts w:ascii="Arial" w:hAnsi="Arial"/>
          <w:spacing w:val="-12"/>
          <w:w w:val="105"/>
          <w:sz w:val="19"/>
        </w:rPr>
        <w:t xml:space="preserve"> </w:t>
      </w:r>
      <w:r>
        <w:rPr>
          <w:rFonts w:ascii="Arial" w:hAnsi="Arial"/>
          <w:w w:val="105"/>
          <w:sz w:val="19"/>
        </w:rPr>
        <w:t>to</w:t>
      </w:r>
      <w:r>
        <w:rPr>
          <w:rFonts w:ascii="Arial" w:hAnsi="Arial"/>
          <w:spacing w:val="-12"/>
          <w:w w:val="105"/>
          <w:sz w:val="19"/>
        </w:rPr>
        <w:t xml:space="preserve"> </w:t>
      </w:r>
      <w:r>
        <w:rPr>
          <w:rFonts w:ascii="Arial" w:hAnsi="Arial"/>
          <w:w w:val="105"/>
          <w:sz w:val="19"/>
        </w:rPr>
        <w:t>reformulate</w:t>
      </w:r>
      <w:r>
        <w:rPr>
          <w:rFonts w:ascii="Arial" w:hAnsi="Arial"/>
          <w:spacing w:val="-13"/>
          <w:w w:val="105"/>
          <w:sz w:val="19"/>
        </w:rPr>
        <w:t xml:space="preserve"> </w:t>
      </w:r>
      <w:r>
        <w:rPr>
          <w:rFonts w:ascii="Arial" w:hAnsi="Arial"/>
          <w:w w:val="105"/>
          <w:sz w:val="19"/>
        </w:rPr>
        <w:t>and</w:t>
      </w:r>
      <w:r>
        <w:rPr>
          <w:rFonts w:ascii="Arial" w:hAnsi="Arial"/>
          <w:spacing w:val="-15"/>
          <w:w w:val="105"/>
          <w:sz w:val="19"/>
        </w:rPr>
        <w:t xml:space="preserve"> </w:t>
      </w:r>
      <w:r>
        <w:rPr>
          <w:rFonts w:ascii="Arial" w:hAnsi="Arial"/>
          <w:w w:val="105"/>
          <w:sz w:val="19"/>
        </w:rPr>
        <w:t>list</w:t>
      </w:r>
      <w:r>
        <w:rPr>
          <w:rFonts w:ascii="Arial" w:hAnsi="Arial"/>
          <w:spacing w:val="-13"/>
          <w:w w:val="105"/>
          <w:sz w:val="19"/>
        </w:rPr>
        <w:t xml:space="preserve"> </w:t>
      </w:r>
      <w:r>
        <w:rPr>
          <w:rFonts w:ascii="Arial" w:hAnsi="Arial"/>
          <w:w w:val="105"/>
          <w:sz w:val="19"/>
        </w:rPr>
        <w:t>on</w:t>
      </w:r>
      <w:r>
        <w:rPr>
          <w:rFonts w:ascii="Arial" w:hAnsi="Arial"/>
          <w:spacing w:val="-12"/>
          <w:w w:val="105"/>
          <w:sz w:val="19"/>
        </w:rPr>
        <w:t xml:space="preserve"> </w:t>
      </w:r>
      <w:r>
        <w:rPr>
          <w:rFonts w:ascii="Arial" w:hAnsi="Arial"/>
          <w:w w:val="105"/>
          <w:sz w:val="19"/>
        </w:rPr>
        <w:t>the</w:t>
      </w:r>
      <w:r>
        <w:rPr>
          <w:rFonts w:ascii="Arial" w:hAnsi="Arial"/>
          <w:spacing w:val="-13"/>
          <w:w w:val="105"/>
          <w:sz w:val="19"/>
        </w:rPr>
        <w:t xml:space="preserve"> </w:t>
      </w:r>
      <w:r>
        <w:rPr>
          <w:rFonts w:ascii="Arial" w:hAnsi="Arial"/>
          <w:w w:val="105"/>
          <w:sz w:val="19"/>
        </w:rPr>
        <w:t>ARTG</w:t>
      </w:r>
      <w:r>
        <w:rPr>
          <w:rFonts w:ascii="Arial" w:hAnsi="Arial"/>
          <w:spacing w:val="-13"/>
          <w:w w:val="105"/>
          <w:sz w:val="19"/>
        </w:rPr>
        <w:t xml:space="preserve"> </w:t>
      </w:r>
      <w:r>
        <w:rPr>
          <w:rFonts w:ascii="Arial" w:hAnsi="Arial"/>
          <w:w w:val="105"/>
          <w:sz w:val="19"/>
        </w:rPr>
        <w:t>=</w:t>
      </w:r>
      <w:r>
        <w:rPr>
          <w:rFonts w:ascii="Arial" w:hAnsi="Arial"/>
          <w:spacing w:val="-9"/>
          <w:w w:val="105"/>
          <w:sz w:val="19"/>
        </w:rPr>
        <w:t xml:space="preserve"> </w:t>
      </w:r>
      <w:r>
        <w:rPr>
          <w:rFonts w:ascii="Arial" w:hAnsi="Arial"/>
          <w:w w:val="105"/>
          <w:sz w:val="19"/>
        </w:rPr>
        <w:t>183,600</w:t>
      </w:r>
      <w:r>
        <w:rPr>
          <w:rFonts w:ascii="Arial" w:hAnsi="Arial"/>
          <w:spacing w:val="-12"/>
          <w:w w:val="105"/>
          <w:sz w:val="19"/>
        </w:rPr>
        <w:t xml:space="preserve"> </w:t>
      </w:r>
      <w:r>
        <w:rPr>
          <w:rFonts w:ascii="Arial" w:hAnsi="Arial"/>
          <w:w w:val="105"/>
          <w:sz w:val="19"/>
        </w:rPr>
        <w:t>+</w:t>
      </w:r>
      <w:r>
        <w:rPr>
          <w:rFonts w:ascii="Arial" w:hAnsi="Arial"/>
          <w:spacing w:val="-13"/>
          <w:w w:val="105"/>
          <w:sz w:val="19"/>
        </w:rPr>
        <w:t xml:space="preserve"> </w:t>
      </w:r>
      <w:r>
        <w:rPr>
          <w:rFonts w:ascii="Arial" w:hAnsi="Arial"/>
          <w:w w:val="105"/>
          <w:sz w:val="19"/>
        </w:rPr>
        <w:t>168,400</w:t>
      </w:r>
      <w:r>
        <w:rPr>
          <w:rFonts w:ascii="Arial" w:hAnsi="Arial"/>
          <w:spacing w:val="-10"/>
          <w:w w:val="105"/>
          <w:sz w:val="19"/>
        </w:rPr>
        <w:t xml:space="preserve"> </w:t>
      </w:r>
      <w:r>
        <w:rPr>
          <w:rFonts w:ascii="Arial" w:hAnsi="Arial"/>
          <w:w w:val="105"/>
          <w:sz w:val="19"/>
        </w:rPr>
        <w:t>=</w:t>
      </w:r>
      <w:r>
        <w:rPr>
          <w:rFonts w:ascii="Arial" w:hAnsi="Arial"/>
          <w:spacing w:val="-14"/>
          <w:w w:val="105"/>
          <w:sz w:val="19"/>
        </w:rPr>
        <w:t xml:space="preserve"> </w:t>
      </w:r>
      <w:r>
        <w:rPr>
          <w:rFonts w:ascii="Arial" w:hAnsi="Arial"/>
          <w:w w:val="105"/>
          <w:sz w:val="19"/>
        </w:rPr>
        <w:t>352,000</w:t>
      </w:r>
      <w:r>
        <w:rPr>
          <w:rFonts w:ascii="Arial" w:hAnsi="Arial"/>
          <w:spacing w:val="-12"/>
          <w:w w:val="105"/>
          <w:sz w:val="19"/>
        </w:rPr>
        <w:t xml:space="preserve"> </w:t>
      </w:r>
      <w:r>
        <w:rPr>
          <w:rFonts w:ascii="Arial" w:hAnsi="Arial"/>
          <w:w w:val="105"/>
          <w:sz w:val="19"/>
        </w:rPr>
        <w:t>minutes</w:t>
      </w:r>
    </w:p>
    <w:p w:rsidR="007D76BB" w:rsidRDefault="00D70D28">
      <w:pPr>
        <w:spacing w:before="92"/>
        <w:ind w:left="482"/>
        <w:rPr>
          <w:rFonts w:ascii="Arial"/>
          <w:sz w:val="19"/>
        </w:rPr>
      </w:pPr>
      <w:r>
        <w:rPr>
          <w:rFonts w:ascii="Arial"/>
          <w:i/>
          <w:w w:val="105"/>
          <w:sz w:val="20"/>
        </w:rPr>
        <w:t xml:space="preserve">Step 2. </w:t>
      </w:r>
      <w:r>
        <w:rPr>
          <w:rFonts w:ascii="Arial"/>
          <w:w w:val="105"/>
          <w:sz w:val="19"/>
        </w:rPr>
        <w:t>Calculate total time in hours to fulfil regulatory requirement:</w:t>
      </w:r>
    </w:p>
    <w:p w:rsidR="007D76BB" w:rsidRDefault="00D70D28">
      <w:pPr>
        <w:pStyle w:val="ListParagraph"/>
        <w:numPr>
          <w:ilvl w:val="1"/>
          <w:numId w:val="5"/>
        </w:numPr>
        <w:tabs>
          <w:tab w:val="left" w:pos="766"/>
        </w:tabs>
        <w:spacing w:before="161"/>
        <w:rPr>
          <w:rFonts w:ascii="Arial" w:hAnsi="Arial"/>
          <w:sz w:val="19"/>
        </w:rPr>
      </w:pPr>
      <w:r>
        <w:rPr>
          <w:rFonts w:ascii="Arial" w:hAnsi="Arial"/>
          <w:w w:val="115"/>
          <w:sz w:val="19"/>
        </w:rPr>
        <w:t>352,000/60</w:t>
      </w:r>
      <w:r>
        <w:rPr>
          <w:rFonts w:ascii="Arial" w:hAnsi="Arial"/>
          <w:spacing w:val="-18"/>
          <w:w w:val="115"/>
          <w:sz w:val="19"/>
        </w:rPr>
        <w:t xml:space="preserve"> </w:t>
      </w:r>
      <w:r>
        <w:rPr>
          <w:rFonts w:ascii="Arial" w:hAnsi="Arial"/>
          <w:w w:val="115"/>
          <w:sz w:val="19"/>
        </w:rPr>
        <w:t>=</w:t>
      </w:r>
      <w:r>
        <w:rPr>
          <w:rFonts w:ascii="Arial" w:hAnsi="Arial"/>
          <w:spacing w:val="-16"/>
          <w:w w:val="115"/>
          <w:sz w:val="19"/>
        </w:rPr>
        <w:t xml:space="preserve"> </w:t>
      </w:r>
      <w:r>
        <w:rPr>
          <w:rFonts w:ascii="Arial" w:hAnsi="Arial"/>
          <w:w w:val="115"/>
          <w:sz w:val="19"/>
        </w:rPr>
        <w:t>5,867</w:t>
      </w:r>
      <w:r>
        <w:rPr>
          <w:rFonts w:ascii="Arial" w:hAnsi="Arial"/>
          <w:spacing w:val="-17"/>
          <w:w w:val="115"/>
          <w:sz w:val="19"/>
        </w:rPr>
        <w:t xml:space="preserve"> </w:t>
      </w:r>
      <w:r>
        <w:rPr>
          <w:rFonts w:ascii="Arial" w:hAnsi="Arial"/>
          <w:w w:val="115"/>
          <w:sz w:val="19"/>
        </w:rPr>
        <w:t>hours</w:t>
      </w:r>
    </w:p>
    <w:p w:rsidR="007D76BB" w:rsidRDefault="00D70D28">
      <w:pPr>
        <w:spacing w:before="91"/>
        <w:ind w:left="482"/>
        <w:rPr>
          <w:rFonts w:ascii="Arial"/>
          <w:sz w:val="19"/>
        </w:rPr>
      </w:pPr>
      <w:r>
        <w:rPr>
          <w:rFonts w:ascii="Arial"/>
          <w:i/>
          <w:w w:val="105"/>
          <w:sz w:val="20"/>
        </w:rPr>
        <w:t>Step 3</w:t>
      </w:r>
      <w:r>
        <w:rPr>
          <w:rFonts w:ascii="Arial"/>
          <w:w w:val="105"/>
          <w:sz w:val="19"/>
        </w:rPr>
        <w:t>. Apply the hourly rate to determine overall regulatory compliance cost:</w:t>
      </w:r>
    </w:p>
    <w:p w:rsidR="007D76BB" w:rsidRDefault="00D70D28">
      <w:pPr>
        <w:pStyle w:val="ListParagraph"/>
        <w:numPr>
          <w:ilvl w:val="1"/>
          <w:numId w:val="5"/>
        </w:numPr>
        <w:tabs>
          <w:tab w:val="left" w:pos="766"/>
        </w:tabs>
        <w:spacing w:before="161"/>
        <w:rPr>
          <w:rFonts w:ascii="Arial" w:hAnsi="Arial"/>
          <w:sz w:val="19"/>
        </w:rPr>
      </w:pPr>
      <w:r>
        <w:rPr>
          <w:rFonts w:ascii="Arial" w:hAnsi="Arial"/>
          <w:w w:val="105"/>
          <w:sz w:val="19"/>
        </w:rPr>
        <w:t>5,867 x $84.84=</w:t>
      </w:r>
      <w:r>
        <w:rPr>
          <w:rFonts w:ascii="Arial" w:hAnsi="Arial"/>
          <w:spacing w:val="-33"/>
          <w:w w:val="105"/>
          <w:sz w:val="19"/>
        </w:rPr>
        <w:t xml:space="preserve"> </w:t>
      </w:r>
      <w:r>
        <w:rPr>
          <w:rFonts w:ascii="Arial" w:hAnsi="Arial"/>
          <w:w w:val="105"/>
          <w:sz w:val="19"/>
        </w:rPr>
        <w:t>$497,728</w:t>
      </w:r>
    </w:p>
    <w:p w:rsidR="007D76BB" w:rsidRDefault="00D70D28">
      <w:pPr>
        <w:spacing w:before="92"/>
        <w:ind w:left="482"/>
        <w:rPr>
          <w:rFonts w:ascii="Arial"/>
          <w:i/>
          <w:sz w:val="20"/>
        </w:rPr>
      </w:pPr>
      <w:r>
        <w:rPr>
          <w:rFonts w:ascii="Arial"/>
          <w:i/>
          <w:sz w:val="20"/>
        </w:rPr>
        <w:t>Future population</w:t>
      </w:r>
    </w:p>
    <w:p w:rsidR="007D76BB" w:rsidRDefault="00D70D28">
      <w:pPr>
        <w:spacing w:before="91"/>
        <w:ind w:left="482"/>
        <w:rPr>
          <w:rFonts w:ascii="Arial"/>
          <w:sz w:val="19"/>
        </w:rPr>
      </w:pPr>
      <w:r>
        <w:rPr>
          <w:rFonts w:ascii="Arial"/>
          <w:i/>
          <w:sz w:val="20"/>
        </w:rPr>
        <w:t>Step 1</w:t>
      </w:r>
      <w:r>
        <w:rPr>
          <w:rFonts w:ascii="Arial"/>
          <w:sz w:val="19"/>
        </w:rPr>
        <w:t>. Calculate total time in minutes to fulfil regulatory requirement:</w:t>
      </w:r>
    </w:p>
    <w:p w:rsidR="007D76BB" w:rsidRDefault="00D70D28">
      <w:pPr>
        <w:pStyle w:val="ListParagraph"/>
        <w:numPr>
          <w:ilvl w:val="1"/>
          <w:numId w:val="5"/>
        </w:numPr>
        <w:tabs>
          <w:tab w:val="left" w:pos="766"/>
        </w:tabs>
        <w:spacing w:before="159" w:line="266" w:lineRule="auto"/>
        <w:ind w:right="1044"/>
        <w:rPr>
          <w:rFonts w:ascii="Arial" w:hAnsi="Arial"/>
          <w:sz w:val="19"/>
        </w:rPr>
      </w:pPr>
      <w:r>
        <w:rPr>
          <w:rFonts w:ascii="Arial" w:hAnsi="Arial"/>
          <w:w w:val="105"/>
          <w:sz w:val="19"/>
        </w:rPr>
        <w:t>Current</w:t>
      </w:r>
      <w:r>
        <w:rPr>
          <w:rFonts w:ascii="Arial" w:hAnsi="Arial"/>
          <w:spacing w:val="-17"/>
          <w:w w:val="105"/>
          <w:sz w:val="19"/>
        </w:rPr>
        <w:t xml:space="preserve"> </w:t>
      </w:r>
      <w:r>
        <w:rPr>
          <w:rFonts w:ascii="Arial" w:hAnsi="Arial"/>
          <w:w w:val="105"/>
          <w:sz w:val="19"/>
        </w:rPr>
        <w:t>population</w:t>
      </w:r>
      <w:r>
        <w:rPr>
          <w:rFonts w:ascii="Arial" w:hAnsi="Arial"/>
          <w:spacing w:val="-17"/>
          <w:w w:val="105"/>
          <w:sz w:val="19"/>
        </w:rPr>
        <w:t xml:space="preserve"> </w:t>
      </w:r>
      <w:r>
        <w:rPr>
          <w:rFonts w:ascii="Arial" w:hAnsi="Arial"/>
          <w:w w:val="105"/>
          <w:sz w:val="19"/>
        </w:rPr>
        <w:t>fulfill</w:t>
      </w:r>
      <w:r>
        <w:rPr>
          <w:rFonts w:ascii="Arial" w:hAnsi="Arial"/>
          <w:spacing w:val="-15"/>
          <w:w w:val="105"/>
          <w:sz w:val="19"/>
        </w:rPr>
        <w:t xml:space="preserve"> </w:t>
      </w:r>
      <w:r>
        <w:rPr>
          <w:rFonts w:ascii="Arial" w:hAnsi="Arial"/>
          <w:w w:val="105"/>
          <w:sz w:val="19"/>
        </w:rPr>
        <w:t>ongoing</w:t>
      </w:r>
      <w:r>
        <w:rPr>
          <w:rFonts w:ascii="Arial" w:hAnsi="Arial"/>
          <w:spacing w:val="-15"/>
          <w:w w:val="105"/>
          <w:sz w:val="19"/>
        </w:rPr>
        <w:t xml:space="preserve"> </w:t>
      </w:r>
      <w:r>
        <w:rPr>
          <w:rFonts w:ascii="Arial" w:hAnsi="Arial"/>
          <w:w w:val="105"/>
          <w:sz w:val="19"/>
        </w:rPr>
        <w:t>requirements</w:t>
      </w:r>
      <w:r>
        <w:rPr>
          <w:rFonts w:ascii="Arial" w:hAnsi="Arial"/>
          <w:spacing w:val="-16"/>
          <w:w w:val="105"/>
          <w:sz w:val="19"/>
        </w:rPr>
        <w:t xml:space="preserve"> </w:t>
      </w:r>
      <w:r>
        <w:rPr>
          <w:rFonts w:ascii="Arial" w:hAnsi="Arial"/>
          <w:w w:val="105"/>
          <w:sz w:val="19"/>
        </w:rPr>
        <w:t>(years</w:t>
      </w:r>
      <w:r>
        <w:rPr>
          <w:rFonts w:ascii="Arial" w:hAnsi="Arial"/>
          <w:spacing w:val="-13"/>
          <w:w w:val="105"/>
          <w:sz w:val="19"/>
        </w:rPr>
        <w:t xml:space="preserve"> </w:t>
      </w:r>
      <w:r>
        <w:rPr>
          <w:rFonts w:ascii="Arial" w:hAnsi="Arial"/>
          <w:w w:val="105"/>
          <w:sz w:val="19"/>
        </w:rPr>
        <w:t>4</w:t>
      </w:r>
      <w:r>
        <w:rPr>
          <w:rFonts w:ascii="Arial" w:hAnsi="Arial"/>
          <w:spacing w:val="-16"/>
          <w:w w:val="105"/>
          <w:sz w:val="19"/>
        </w:rPr>
        <w:t xml:space="preserve"> </w:t>
      </w:r>
      <w:r>
        <w:rPr>
          <w:rFonts w:ascii="Arial" w:hAnsi="Arial"/>
          <w:w w:val="105"/>
          <w:sz w:val="19"/>
        </w:rPr>
        <w:t>to</w:t>
      </w:r>
      <w:r>
        <w:rPr>
          <w:rFonts w:ascii="Arial" w:hAnsi="Arial"/>
          <w:spacing w:val="-16"/>
          <w:w w:val="105"/>
          <w:sz w:val="19"/>
        </w:rPr>
        <w:t xml:space="preserve"> </w:t>
      </w:r>
      <w:r>
        <w:rPr>
          <w:rFonts w:ascii="Arial" w:hAnsi="Arial"/>
          <w:w w:val="105"/>
          <w:sz w:val="19"/>
        </w:rPr>
        <w:t>10)</w:t>
      </w:r>
      <w:r>
        <w:rPr>
          <w:rFonts w:ascii="Arial" w:hAnsi="Arial"/>
          <w:spacing w:val="-15"/>
          <w:w w:val="105"/>
          <w:sz w:val="19"/>
        </w:rPr>
        <w:t xml:space="preserve"> </w:t>
      </w:r>
      <w:r>
        <w:rPr>
          <w:rFonts w:ascii="Arial" w:hAnsi="Arial"/>
          <w:w w:val="105"/>
          <w:sz w:val="19"/>
        </w:rPr>
        <w:t>=</w:t>
      </w:r>
      <w:r>
        <w:rPr>
          <w:rFonts w:ascii="Arial" w:hAnsi="Arial"/>
          <w:spacing w:val="-17"/>
          <w:w w:val="105"/>
          <w:sz w:val="19"/>
        </w:rPr>
        <w:t xml:space="preserve"> </w:t>
      </w:r>
      <w:r>
        <w:rPr>
          <w:rFonts w:ascii="Arial" w:hAnsi="Arial"/>
          <w:w w:val="105"/>
          <w:sz w:val="19"/>
        </w:rPr>
        <w:t>current</w:t>
      </w:r>
      <w:r>
        <w:rPr>
          <w:rFonts w:ascii="Arial" w:hAnsi="Arial"/>
          <w:spacing w:val="-17"/>
          <w:w w:val="105"/>
          <w:sz w:val="19"/>
        </w:rPr>
        <w:t xml:space="preserve"> </w:t>
      </w:r>
      <w:r>
        <w:rPr>
          <w:rFonts w:ascii="Arial" w:hAnsi="Arial"/>
          <w:w w:val="105"/>
          <w:sz w:val="19"/>
        </w:rPr>
        <w:t>population</w:t>
      </w:r>
      <w:r>
        <w:rPr>
          <w:rFonts w:ascii="Arial" w:hAnsi="Arial"/>
          <w:spacing w:val="-15"/>
          <w:w w:val="105"/>
          <w:sz w:val="19"/>
        </w:rPr>
        <w:t xml:space="preserve"> </w:t>
      </w:r>
      <w:r>
        <w:rPr>
          <w:rFonts w:ascii="Arial" w:hAnsi="Arial"/>
          <w:w w:val="105"/>
          <w:sz w:val="19"/>
        </w:rPr>
        <w:t>(40)</w:t>
      </w:r>
      <w:r>
        <w:rPr>
          <w:rFonts w:ascii="Arial" w:hAnsi="Arial"/>
          <w:spacing w:val="-16"/>
          <w:w w:val="105"/>
          <w:sz w:val="19"/>
        </w:rPr>
        <w:t xml:space="preserve"> </w:t>
      </w:r>
      <w:r>
        <w:rPr>
          <w:rFonts w:ascii="Arial" w:hAnsi="Arial"/>
          <w:w w:val="105"/>
          <w:sz w:val="19"/>
        </w:rPr>
        <w:t>x</w:t>
      </w:r>
      <w:r>
        <w:rPr>
          <w:rFonts w:ascii="Arial" w:hAnsi="Arial"/>
          <w:spacing w:val="-17"/>
          <w:w w:val="105"/>
          <w:sz w:val="19"/>
        </w:rPr>
        <w:t xml:space="preserve"> </w:t>
      </w:r>
      <w:r>
        <w:rPr>
          <w:rFonts w:ascii="Arial" w:hAnsi="Arial"/>
          <w:w w:val="105"/>
          <w:sz w:val="19"/>
        </w:rPr>
        <w:t>time required</w:t>
      </w:r>
      <w:r>
        <w:rPr>
          <w:rFonts w:ascii="Arial" w:hAnsi="Arial"/>
          <w:spacing w:val="-20"/>
          <w:w w:val="105"/>
          <w:sz w:val="19"/>
        </w:rPr>
        <w:t xml:space="preserve"> </w:t>
      </w:r>
      <w:r>
        <w:rPr>
          <w:rFonts w:ascii="Arial" w:hAnsi="Arial"/>
          <w:w w:val="105"/>
          <w:sz w:val="19"/>
        </w:rPr>
        <w:t>(ongoing</w:t>
      </w:r>
      <w:r>
        <w:rPr>
          <w:rFonts w:ascii="Arial" w:hAnsi="Arial"/>
          <w:spacing w:val="-20"/>
          <w:w w:val="105"/>
          <w:sz w:val="19"/>
        </w:rPr>
        <w:t xml:space="preserve"> </w:t>
      </w:r>
      <w:r>
        <w:rPr>
          <w:rFonts w:ascii="Arial" w:hAnsi="Arial"/>
          <w:w w:val="105"/>
          <w:sz w:val="19"/>
        </w:rPr>
        <w:t>annual)</w:t>
      </w:r>
      <w:r>
        <w:rPr>
          <w:rFonts w:ascii="Arial" w:hAnsi="Arial"/>
          <w:spacing w:val="-18"/>
          <w:w w:val="105"/>
          <w:sz w:val="19"/>
        </w:rPr>
        <w:t xml:space="preserve"> </w:t>
      </w:r>
      <w:r>
        <w:rPr>
          <w:rFonts w:ascii="Arial" w:hAnsi="Arial"/>
          <w:w w:val="105"/>
          <w:sz w:val="19"/>
        </w:rPr>
        <w:t>to</w:t>
      </w:r>
      <w:r>
        <w:rPr>
          <w:rFonts w:ascii="Arial" w:hAnsi="Arial"/>
          <w:spacing w:val="-21"/>
          <w:w w:val="105"/>
          <w:sz w:val="19"/>
        </w:rPr>
        <w:t xml:space="preserve"> </w:t>
      </w:r>
      <w:r>
        <w:rPr>
          <w:rFonts w:ascii="Arial" w:hAnsi="Arial"/>
          <w:w w:val="105"/>
          <w:sz w:val="19"/>
        </w:rPr>
        <w:t>maintain</w:t>
      </w:r>
      <w:r>
        <w:rPr>
          <w:rFonts w:ascii="Arial" w:hAnsi="Arial"/>
          <w:spacing w:val="-19"/>
          <w:w w:val="105"/>
          <w:sz w:val="19"/>
        </w:rPr>
        <w:t xml:space="preserve"> </w:t>
      </w:r>
      <w:r>
        <w:rPr>
          <w:rFonts w:ascii="Arial" w:hAnsi="Arial"/>
          <w:w w:val="105"/>
          <w:sz w:val="19"/>
        </w:rPr>
        <w:t>listing</w:t>
      </w:r>
      <w:r>
        <w:rPr>
          <w:rFonts w:ascii="Arial" w:hAnsi="Arial"/>
          <w:spacing w:val="-18"/>
          <w:w w:val="105"/>
          <w:sz w:val="19"/>
        </w:rPr>
        <w:t xml:space="preserve"> </w:t>
      </w:r>
      <w:r>
        <w:rPr>
          <w:rFonts w:ascii="Arial" w:hAnsi="Arial"/>
          <w:w w:val="105"/>
          <w:sz w:val="19"/>
        </w:rPr>
        <w:t>on</w:t>
      </w:r>
      <w:r>
        <w:rPr>
          <w:rFonts w:ascii="Arial" w:hAnsi="Arial"/>
          <w:spacing w:val="-20"/>
          <w:w w:val="105"/>
          <w:sz w:val="19"/>
        </w:rPr>
        <w:t xml:space="preserve"> </w:t>
      </w:r>
      <w:r>
        <w:rPr>
          <w:rFonts w:ascii="Arial" w:hAnsi="Arial"/>
          <w:w w:val="105"/>
          <w:sz w:val="19"/>
        </w:rPr>
        <w:t>the</w:t>
      </w:r>
      <w:r>
        <w:rPr>
          <w:rFonts w:ascii="Arial" w:hAnsi="Arial"/>
          <w:spacing w:val="-20"/>
          <w:w w:val="105"/>
          <w:sz w:val="19"/>
        </w:rPr>
        <w:t xml:space="preserve"> </w:t>
      </w:r>
      <w:r>
        <w:rPr>
          <w:rFonts w:ascii="Arial" w:hAnsi="Arial"/>
          <w:w w:val="105"/>
          <w:sz w:val="19"/>
        </w:rPr>
        <w:t>ARTG</w:t>
      </w:r>
      <w:r>
        <w:rPr>
          <w:rFonts w:ascii="Arial" w:hAnsi="Arial"/>
          <w:spacing w:val="-14"/>
          <w:w w:val="105"/>
          <w:sz w:val="19"/>
        </w:rPr>
        <w:t xml:space="preserve"> </w:t>
      </w:r>
      <w:r>
        <w:rPr>
          <w:rFonts w:ascii="Arial" w:hAnsi="Arial"/>
          <w:w w:val="105"/>
          <w:sz w:val="19"/>
        </w:rPr>
        <w:t>(240)</w:t>
      </w:r>
      <w:r>
        <w:rPr>
          <w:rFonts w:ascii="Arial" w:hAnsi="Arial"/>
          <w:spacing w:val="-19"/>
          <w:w w:val="105"/>
          <w:sz w:val="19"/>
        </w:rPr>
        <w:t xml:space="preserve"> </w:t>
      </w:r>
      <w:r>
        <w:rPr>
          <w:rFonts w:ascii="Arial" w:hAnsi="Arial"/>
          <w:w w:val="105"/>
          <w:sz w:val="19"/>
        </w:rPr>
        <w:t>x</w:t>
      </w:r>
      <w:r>
        <w:rPr>
          <w:rFonts w:ascii="Arial" w:hAnsi="Arial"/>
          <w:spacing w:val="-18"/>
          <w:w w:val="105"/>
          <w:sz w:val="19"/>
        </w:rPr>
        <w:t xml:space="preserve"> </w:t>
      </w:r>
      <w:r>
        <w:rPr>
          <w:rFonts w:ascii="Arial" w:hAnsi="Arial"/>
          <w:w w:val="105"/>
          <w:sz w:val="19"/>
        </w:rPr>
        <w:t>years</w:t>
      </w:r>
      <w:r>
        <w:rPr>
          <w:rFonts w:ascii="Arial" w:hAnsi="Arial"/>
          <w:spacing w:val="-20"/>
          <w:w w:val="105"/>
          <w:sz w:val="19"/>
        </w:rPr>
        <w:t xml:space="preserve"> </w:t>
      </w:r>
      <w:r>
        <w:rPr>
          <w:rFonts w:ascii="Arial" w:hAnsi="Arial"/>
          <w:w w:val="105"/>
          <w:sz w:val="19"/>
        </w:rPr>
        <w:t>(8)</w:t>
      </w:r>
      <w:r>
        <w:rPr>
          <w:rFonts w:ascii="Arial" w:hAnsi="Arial"/>
          <w:spacing w:val="-19"/>
          <w:w w:val="105"/>
          <w:sz w:val="19"/>
        </w:rPr>
        <w:t xml:space="preserve"> </w:t>
      </w:r>
      <w:r>
        <w:rPr>
          <w:rFonts w:ascii="Arial" w:hAnsi="Arial"/>
          <w:w w:val="105"/>
          <w:sz w:val="19"/>
        </w:rPr>
        <w:t>=</w:t>
      </w:r>
      <w:r>
        <w:rPr>
          <w:rFonts w:ascii="Arial" w:hAnsi="Arial"/>
          <w:spacing w:val="-19"/>
          <w:w w:val="105"/>
          <w:sz w:val="19"/>
        </w:rPr>
        <w:t xml:space="preserve"> </w:t>
      </w:r>
      <w:r>
        <w:rPr>
          <w:rFonts w:ascii="Arial" w:hAnsi="Arial"/>
          <w:w w:val="105"/>
          <w:sz w:val="19"/>
        </w:rPr>
        <w:t>76,800</w:t>
      </w:r>
      <w:r>
        <w:rPr>
          <w:rFonts w:ascii="Arial" w:hAnsi="Arial"/>
          <w:spacing w:val="-19"/>
          <w:w w:val="105"/>
          <w:sz w:val="19"/>
        </w:rPr>
        <w:t xml:space="preserve"> </w:t>
      </w:r>
      <w:r>
        <w:rPr>
          <w:rFonts w:ascii="Arial" w:hAnsi="Arial"/>
          <w:w w:val="105"/>
          <w:sz w:val="19"/>
        </w:rPr>
        <w:t>minutes</w:t>
      </w:r>
    </w:p>
    <w:p w:rsidR="007D76BB" w:rsidRDefault="00D70D28">
      <w:pPr>
        <w:pStyle w:val="ListParagraph"/>
        <w:numPr>
          <w:ilvl w:val="1"/>
          <w:numId w:val="5"/>
        </w:numPr>
        <w:tabs>
          <w:tab w:val="left" w:pos="766"/>
        </w:tabs>
        <w:spacing w:before="74" w:line="268" w:lineRule="auto"/>
        <w:ind w:right="1476"/>
        <w:rPr>
          <w:rFonts w:ascii="Arial" w:hAnsi="Arial"/>
          <w:sz w:val="19"/>
        </w:rPr>
      </w:pPr>
      <w:r>
        <w:rPr>
          <w:rFonts w:ascii="Arial" w:hAnsi="Arial"/>
          <w:w w:val="105"/>
          <w:sz w:val="19"/>
        </w:rPr>
        <w:t>Future</w:t>
      </w:r>
      <w:r>
        <w:rPr>
          <w:rFonts w:ascii="Arial" w:hAnsi="Arial"/>
          <w:spacing w:val="-22"/>
          <w:w w:val="105"/>
          <w:sz w:val="19"/>
        </w:rPr>
        <w:t xml:space="preserve"> </w:t>
      </w:r>
      <w:r>
        <w:rPr>
          <w:rFonts w:ascii="Arial" w:hAnsi="Arial"/>
          <w:w w:val="105"/>
          <w:sz w:val="19"/>
        </w:rPr>
        <w:t>population</w:t>
      </w:r>
      <w:r>
        <w:rPr>
          <w:rFonts w:ascii="Arial" w:hAnsi="Arial"/>
          <w:spacing w:val="-20"/>
          <w:w w:val="105"/>
          <w:sz w:val="19"/>
        </w:rPr>
        <w:t xml:space="preserve"> </w:t>
      </w:r>
      <w:r>
        <w:rPr>
          <w:rFonts w:ascii="Arial" w:hAnsi="Arial"/>
          <w:w w:val="105"/>
          <w:sz w:val="19"/>
        </w:rPr>
        <w:t>list</w:t>
      </w:r>
      <w:r>
        <w:rPr>
          <w:rFonts w:ascii="Arial" w:hAnsi="Arial"/>
          <w:spacing w:val="-21"/>
          <w:w w:val="105"/>
          <w:sz w:val="19"/>
        </w:rPr>
        <w:t xml:space="preserve"> </w:t>
      </w:r>
      <w:r>
        <w:rPr>
          <w:rFonts w:ascii="Arial" w:hAnsi="Arial"/>
          <w:w w:val="105"/>
          <w:sz w:val="19"/>
        </w:rPr>
        <w:t>on</w:t>
      </w:r>
      <w:r>
        <w:rPr>
          <w:rFonts w:ascii="Arial" w:hAnsi="Arial"/>
          <w:spacing w:val="-21"/>
          <w:w w:val="105"/>
          <w:sz w:val="19"/>
        </w:rPr>
        <w:t xml:space="preserve"> </w:t>
      </w:r>
      <w:r>
        <w:rPr>
          <w:rFonts w:ascii="Arial" w:hAnsi="Arial"/>
          <w:w w:val="105"/>
          <w:sz w:val="19"/>
        </w:rPr>
        <w:t>the</w:t>
      </w:r>
      <w:r>
        <w:rPr>
          <w:rFonts w:ascii="Arial" w:hAnsi="Arial"/>
          <w:spacing w:val="-22"/>
          <w:w w:val="105"/>
          <w:sz w:val="19"/>
        </w:rPr>
        <w:t xml:space="preserve"> </w:t>
      </w:r>
      <w:r>
        <w:rPr>
          <w:rFonts w:ascii="Arial" w:hAnsi="Arial"/>
          <w:w w:val="105"/>
          <w:sz w:val="19"/>
        </w:rPr>
        <w:t>ARTG</w:t>
      </w:r>
      <w:r>
        <w:rPr>
          <w:rFonts w:ascii="Arial" w:hAnsi="Arial"/>
          <w:spacing w:val="-22"/>
          <w:w w:val="105"/>
          <w:sz w:val="19"/>
        </w:rPr>
        <w:t xml:space="preserve"> </w:t>
      </w:r>
      <w:r>
        <w:rPr>
          <w:rFonts w:ascii="Arial" w:hAnsi="Arial"/>
          <w:w w:val="105"/>
          <w:sz w:val="19"/>
        </w:rPr>
        <w:t>=</w:t>
      </w:r>
      <w:r>
        <w:rPr>
          <w:rFonts w:ascii="Arial" w:hAnsi="Arial"/>
          <w:spacing w:val="-18"/>
          <w:w w:val="105"/>
          <w:sz w:val="19"/>
        </w:rPr>
        <w:t xml:space="preserve"> </w:t>
      </w:r>
      <w:r>
        <w:rPr>
          <w:rFonts w:ascii="Arial" w:hAnsi="Arial"/>
          <w:w w:val="105"/>
          <w:sz w:val="19"/>
        </w:rPr>
        <w:t>Future</w:t>
      </w:r>
      <w:r>
        <w:rPr>
          <w:rFonts w:ascii="Arial" w:hAnsi="Arial"/>
          <w:spacing w:val="-21"/>
          <w:w w:val="105"/>
          <w:sz w:val="19"/>
        </w:rPr>
        <w:t xml:space="preserve"> </w:t>
      </w:r>
      <w:r>
        <w:rPr>
          <w:rFonts w:ascii="Arial" w:hAnsi="Arial"/>
          <w:w w:val="105"/>
          <w:sz w:val="19"/>
        </w:rPr>
        <w:t>ARTG</w:t>
      </w:r>
      <w:r>
        <w:rPr>
          <w:rFonts w:ascii="Arial" w:hAnsi="Arial"/>
          <w:spacing w:val="-21"/>
          <w:w w:val="105"/>
          <w:sz w:val="19"/>
        </w:rPr>
        <w:t xml:space="preserve"> </w:t>
      </w:r>
      <w:r>
        <w:rPr>
          <w:rFonts w:ascii="Arial" w:hAnsi="Arial"/>
          <w:w w:val="105"/>
          <w:sz w:val="19"/>
        </w:rPr>
        <w:t>population</w:t>
      </w:r>
      <w:r>
        <w:rPr>
          <w:rFonts w:ascii="Arial" w:hAnsi="Arial"/>
          <w:spacing w:val="-20"/>
          <w:w w:val="105"/>
          <w:sz w:val="19"/>
        </w:rPr>
        <w:t xml:space="preserve"> </w:t>
      </w:r>
      <w:r>
        <w:rPr>
          <w:rFonts w:ascii="Arial" w:hAnsi="Arial"/>
          <w:w w:val="105"/>
          <w:sz w:val="19"/>
        </w:rPr>
        <w:t>(37)</w:t>
      </w:r>
      <w:r>
        <w:rPr>
          <w:rFonts w:ascii="Arial" w:hAnsi="Arial"/>
          <w:spacing w:val="-21"/>
          <w:w w:val="105"/>
          <w:sz w:val="19"/>
        </w:rPr>
        <w:t xml:space="preserve"> </w:t>
      </w:r>
      <w:r>
        <w:rPr>
          <w:rFonts w:ascii="Arial" w:hAnsi="Arial"/>
          <w:w w:val="105"/>
          <w:sz w:val="19"/>
        </w:rPr>
        <w:t>x</w:t>
      </w:r>
      <w:r>
        <w:rPr>
          <w:rFonts w:ascii="Arial" w:hAnsi="Arial"/>
          <w:spacing w:val="-23"/>
          <w:w w:val="105"/>
          <w:sz w:val="19"/>
        </w:rPr>
        <w:t xml:space="preserve"> </w:t>
      </w:r>
      <w:r>
        <w:rPr>
          <w:rFonts w:ascii="Arial" w:hAnsi="Arial"/>
          <w:w w:val="105"/>
          <w:sz w:val="19"/>
        </w:rPr>
        <w:t>time</w:t>
      </w:r>
      <w:r>
        <w:rPr>
          <w:rFonts w:ascii="Arial" w:hAnsi="Arial"/>
          <w:spacing w:val="-21"/>
          <w:w w:val="105"/>
          <w:sz w:val="19"/>
        </w:rPr>
        <w:t xml:space="preserve"> </w:t>
      </w:r>
      <w:r>
        <w:rPr>
          <w:rFonts w:ascii="Arial" w:hAnsi="Arial"/>
          <w:w w:val="105"/>
          <w:sz w:val="19"/>
        </w:rPr>
        <w:t>required</w:t>
      </w:r>
      <w:r>
        <w:rPr>
          <w:rFonts w:ascii="Arial" w:hAnsi="Arial"/>
          <w:spacing w:val="-22"/>
          <w:w w:val="105"/>
          <w:sz w:val="19"/>
        </w:rPr>
        <w:t xml:space="preserve"> </w:t>
      </w:r>
      <w:r>
        <w:rPr>
          <w:rFonts w:ascii="Arial" w:hAnsi="Arial"/>
          <w:w w:val="105"/>
          <w:sz w:val="19"/>
        </w:rPr>
        <w:t>to</w:t>
      </w:r>
      <w:r>
        <w:rPr>
          <w:rFonts w:ascii="Arial" w:hAnsi="Arial"/>
          <w:spacing w:val="-21"/>
          <w:w w:val="105"/>
          <w:sz w:val="19"/>
        </w:rPr>
        <w:t xml:space="preserve"> </w:t>
      </w:r>
      <w:r>
        <w:rPr>
          <w:rFonts w:ascii="Arial" w:hAnsi="Arial"/>
          <w:w w:val="105"/>
          <w:sz w:val="19"/>
        </w:rPr>
        <w:t>list</w:t>
      </w:r>
      <w:r>
        <w:rPr>
          <w:rFonts w:ascii="Arial" w:hAnsi="Arial"/>
          <w:spacing w:val="-19"/>
          <w:w w:val="105"/>
          <w:sz w:val="19"/>
        </w:rPr>
        <w:t xml:space="preserve"> </w:t>
      </w:r>
      <w:r>
        <w:rPr>
          <w:rFonts w:ascii="Arial" w:hAnsi="Arial"/>
          <w:w w:val="105"/>
          <w:sz w:val="19"/>
        </w:rPr>
        <w:t>a product</w:t>
      </w:r>
      <w:r>
        <w:rPr>
          <w:rFonts w:ascii="Arial" w:hAnsi="Arial"/>
          <w:spacing w:val="-14"/>
          <w:w w:val="105"/>
          <w:sz w:val="19"/>
        </w:rPr>
        <w:t xml:space="preserve"> </w:t>
      </w:r>
      <w:r>
        <w:rPr>
          <w:rFonts w:ascii="Arial" w:hAnsi="Arial"/>
          <w:w w:val="105"/>
          <w:sz w:val="19"/>
        </w:rPr>
        <w:t>on</w:t>
      </w:r>
      <w:r>
        <w:rPr>
          <w:rFonts w:ascii="Arial" w:hAnsi="Arial"/>
          <w:spacing w:val="-13"/>
          <w:w w:val="105"/>
          <w:sz w:val="19"/>
        </w:rPr>
        <w:t xml:space="preserve"> </w:t>
      </w:r>
      <w:r>
        <w:rPr>
          <w:rFonts w:ascii="Arial" w:hAnsi="Arial"/>
          <w:w w:val="105"/>
          <w:sz w:val="19"/>
        </w:rPr>
        <w:t>the</w:t>
      </w:r>
      <w:r>
        <w:rPr>
          <w:rFonts w:ascii="Arial" w:hAnsi="Arial"/>
          <w:spacing w:val="-14"/>
          <w:w w:val="105"/>
          <w:sz w:val="19"/>
        </w:rPr>
        <w:t xml:space="preserve"> </w:t>
      </w:r>
      <w:r>
        <w:rPr>
          <w:rFonts w:ascii="Arial" w:hAnsi="Arial"/>
          <w:w w:val="105"/>
          <w:sz w:val="19"/>
        </w:rPr>
        <w:t>ARTG</w:t>
      </w:r>
      <w:r>
        <w:rPr>
          <w:rFonts w:ascii="Arial" w:hAnsi="Arial"/>
          <w:spacing w:val="-12"/>
          <w:w w:val="105"/>
          <w:sz w:val="19"/>
        </w:rPr>
        <w:t xml:space="preserve"> </w:t>
      </w:r>
      <w:r>
        <w:rPr>
          <w:rFonts w:ascii="Arial" w:hAnsi="Arial"/>
          <w:w w:val="105"/>
          <w:sz w:val="19"/>
        </w:rPr>
        <w:t>(4,210)</w:t>
      </w:r>
      <w:r>
        <w:rPr>
          <w:rFonts w:ascii="Arial" w:hAnsi="Arial"/>
          <w:spacing w:val="-14"/>
          <w:w w:val="105"/>
          <w:sz w:val="19"/>
        </w:rPr>
        <w:t xml:space="preserve"> </w:t>
      </w:r>
      <w:r>
        <w:rPr>
          <w:rFonts w:ascii="Arial" w:hAnsi="Arial"/>
          <w:w w:val="105"/>
          <w:sz w:val="19"/>
        </w:rPr>
        <w:t>=</w:t>
      </w:r>
      <w:r>
        <w:rPr>
          <w:rFonts w:ascii="Arial" w:hAnsi="Arial"/>
          <w:spacing w:val="-13"/>
          <w:w w:val="105"/>
          <w:sz w:val="19"/>
        </w:rPr>
        <w:t xml:space="preserve"> </w:t>
      </w:r>
      <w:r>
        <w:rPr>
          <w:rFonts w:ascii="Arial" w:hAnsi="Arial"/>
          <w:w w:val="105"/>
          <w:sz w:val="19"/>
        </w:rPr>
        <w:t>155,770</w:t>
      </w:r>
      <w:r>
        <w:rPr>
          <w:rFonts w:ascii="Arial" w:hAnsi="Arial"/>
          <w:spacing w:val="-10"/>
          <w:w w:val="105"/>
          <w:sz w:val="19"/>
        </w:rPr>
        <w:t xml:space="preserve"> </w:t>
      </w:r>
      <w:r>
        <w:rPr>
          <w:rFonts w:ascii="Arial" w:hAnsi="Arial"/>
          <w:w w:val="105"/>
          <w:sz w:val="19"/>
        </w:rPr>
        <w:t>minutes</w:t>
      </w:r>
    </w:p>
    <w:p w:rsidR="007D76BB" w:rsidRDefault="00D70D28">
      <w:pPr>
        <w:pStyle w:val="ListParagraph"/>
        <w:numPr>
          <w:ilvl w:val="1"/>
          <w:numId w:val="5"/>
        </w:numPr>
        <w:tabs>
          <w:tab w:val="left" w:pos="766"/>
        </w:tabs>
        <w:spacing w:before="72" w:line="266" w:lineRule="auto"/>
        <w:ind w:right="1209"/>
        <w:rPr>
          <w:rFonts w:ascii="Arial" w:hAnsi="Arial"/>
          <w:sz w:val="19"/>
        </w:rPr>
      </w:pPr>
      <w:r>
        <w:rPr>
          <w:rFonts w:ascii="Arial" w:hAnsi="Arial"/>
          <w:w w:val="105"/>
          <w:sz w:val="19"/>
        </w:rPr>
        <w:t>Future</w:t>
      </w:r>
      <w:r>
        <w:rPr>
          <w:rFonts w:ascii="Arial" w:hAnsi="Arial"/>
          <w:spacing w:val="-26"/>
          <w:w w:val="105"/>
          <w:sz w:val="19"/>
        </w:rPr>
        <w:t xml:space="preserve"> </w:t>
      </w:r>
      <w:r>
        <w:rPr>
          <w:rFonts w:ascii="Arial" w:hAnsi="Arial"/>
          <w:w w:val="105"/>
          <w:sz w:val="19"/>
        </w:rPr>
        <w:t>population</w:t>
      </w:r>
      <w:r>
        <w:rPr>
          <w:rFonts w:ascii="Arial" w:hAnsi="Arial"/>
          <w:spacing w:val="-25"/>
          <w:w w:val="105"/>
          <w:sz w:val="19"/>
        </w:rPr>
        <w:t xml:space="preserve"> </w:t>
      </w:r>
      <w:r>
        <w:rPr>
          <w:rFonts w:ascii="Arial" w:hAnsi="Arial"/>
          <w:w w:val="105"/>
          <w:sz w:val="19"/>
        </w:rPr>
        <w:t>fulfill</w:t>
      </w:r>
      <w:r>
        <w:rPr>
          <w:rFonts w:ascii="Arial" w:hAnsi="Arial"/>
          <w:spacing w:val="-24"/>
          <w:w w:val="105"/>
          <w:sz w:val="19"/>
        </w:rPr>
        <w:t xml:space="preserve"> </w:t>
      </w:r>
      <w:r>
        <w:rPr>
          <w:rFonts w:ascii="Arial" w:hAnsi="Arial"/>
          <w:w w:val="105"/>
          <w:sz w:val="19"/>
        </w:rPr>
        <w:t>all</w:t>
      </w:r>
      <w:r>
        <w:rPr>
          <w:rFonts w:ascii="Arial" w:hAnsi="Arial"/>
          <w:spacing w:val="-24"/>
          <w:w w:val="105"/>
          <w:sz w:val="19"/>
        </w:rPr>
        <w:t xml:space="preserve"> </w:t>
      </w:r>
      <w:r>
        <w:rPr>
          <w:rFonts w:ascii="Arial" w:hAnsi="Arial"/>
          <w:w w:val="105"/>
          <w:sz w:val="19"/>
        </w:rPr>
        <w:t>ongoing</w:t>
      </w:r>
      <w:r>
        <w:rPr>
          <w:rFonts w:ascii="Arial" w:hAnsi="Arial"/>
          <w:spacing w:val="-26"/>
          <w:w w:val="105"/>
          <w:sz w:val="19"/>
        </w:rPr>
        <w:t xml:space="preserve"> </w:t>
      </w:r>
      <w:r>
        <w:rPr>
          <w:rFonts w:ascii="Arial" w:hAnsi="Arial"/>
          <w:w w:val="105"/>
          <w:sz w:val="19"/>
        </w:rPr>
        <w:t>requirements</w:t>
      </w:r>
      <w:r>
        <w:rPr>
          <w:rFonts w:ascii="Arial" w:hAnsi="Arial"/>
          <w:spacing w:val="-25"/>
          <w:w w:val="105"/>
          <w:sz w:val="19"/>
        </w:rPr>
        <w:t xml:space="preserve"> </w:t>
      </w:r>
      <w:r>
        <w:rPr>
          <w:rFonts w:ascii="Arial" w:hAnsi="Arial"/>
          <w:w w:val="105"/>
          <w:sz w:val="19"/>
        </w:rPr>
        <w:t>(years</w:t>
      </w:r>
      <w:r>
        <w:rPr>
          <w:rFonts w:ascii="Arial" w:hAnsi="Arial"/>
          <w:spacing w:val="-23"/>
          <w:w w:val="105"/>
          <w:sz w:val="19"/>
        </w:rPr>
        <w:t xml:space="preserve"> </w:t>
      </w:r>
      <w:r>
        <w:rPr>
          <w:rFonts w:ascii="Arial" w:hAnsi="Arial"/>
          <w:w w:val="105"/>
          <w:sz w:val="19"/>
        </w:rPr>
        <w:t>4</w:t>
      </w:r>
      <w:r>
        <w:rPr>
          <w:rFonts w:ascii="Arial" w:hAnsi="Arial"/>
          <w:spacing w:val="-25"/>
          <w:w w:val="105"/>
          <w:sz w:val="19"/>
        </w:rPr>
        <w:t xml:space="preserve"> </w:t>
      </w:r>
      <w:r>
        <w:rPr>
          <w:rFonts w:ascii="Arial" w:hAnsi="Arial"/>
          <w:w w:val="105"/>
          <w:sz w:val="19"/>
        </w:rPr>
        <w:t>to</w:t>
      </w:r>
      <w:r>
        <w:rPr>
          <w:rFonts w:ascii="Arial" w:hAnsi="Arial"/>
          <w:spacing w:val="-25"/>
          <w:w w:val="105"/>
          <w:sz w:val="19"/>
        </w:rPr>
        <w:t xml:space="preserve"> </w:t>
      </w:r>
      <w:r>
        <w:rPr>
          <w:rFonts w:ascii="Arial" w:hAnsi="Arial"/>
          <w:w w:val="105"/>
          <w:sz w:val="19"/>
        </w:rPr>
        <w:t>10)</w:t>
      </w:r>
      <w:r>
        <w:rPr>
          <w:rFonts w:ascii="Arial" w:hAnsi="Arial"/>
          <w:spacing w:val="-25"/>
          <w:w w:val="105"/>
          <w:sz w:val="19"/>
        </w:rPr>
        <w:t xml:space="preserve"> </w:t>
      </w:r>
      <w:r>
        <w:rPr>
          <w:rFonts w:ascii="Arial" w:hAnsi="Arial"/>
          <w:w w:val="105"/>
          <w:sz w:val="19"/>
        </w:rPr>
        <w:t>less</w:t>
      </w:r>
      <w:r>
        <w:rPr>
          <w:rFonts w:ascii="Arial" w:hAnsi="Arial"/>
          <w:spacing w:val="-25"/>
          <w:w w:val="105"/>
          <w:sz w:val="19"/>
        </w:rPr>
        <w:t xml:space="preserve"> </w:t>
      </w:r>
      <w:r>
        <w:rPr>
          <w:rFonts w:ascii="Arial" w:hAnsi="Arial"/>
          <w:w w:val="105"/>
          <w:sz w:val="19"/>
        </w:rPr>
        <w:t>‘Fees</w:t>
      </w:r>
      <w:r>
        <w:rPr>
          <w:rFonts w:ascii="Arial" w:hAnsi="Arial"/>
          <w:spacing w:val="-26"/>
          <w:w w:val="105"/>
          <w:sz w:val="19"/>
        </w:rPr>
        <w:t xml:space="preserve"> </w:t>
      </w:r>
      <w:r>
        <w:rPr>
          <w:rFonts w:ascii="Arial" w:hAnsi="Arial"/>
          <w:w w:val="105"/>
          <w:sz w:val="19"/>
        </w:rPr>
        <w:t>(Ongoing)’</w:t>
      </w:r>
      <w:r>
        <w:rPr>
          <w:rFonts w:ascii="Arial" w:hAnsi="Arial"/>
          <w:spacing w:val="-27"/>
          <w:w w:val="105"/>
          <w:sz w:val="19"/>
        </w:rPr>
        <w:t xml:space="preserve"> </w:t>
      </w:r>
      <w:r>
        <w:rPr>
          <w:rFonts w:ascii="Arial" w:hAnsi="Arial"/>
          <w:w w:val="105"/>
          <w:sz w:val="19"/>
        </w:rPr>
        <w:t>=</w:t>
      </w:r>
      <w:r>
        <w:rPr>
          <w:rFonts w:ascii="Arial" w:hAnsi="Arial"/>
          <w:spacing w:val="-24"/>
          <w:w w:val="105"/>
          <w:sz w:val="19"/>
        </w:rPr>
        <w:t xml:space="preserve"> </w:t>
      </w:r>
      <w:r>
        <w:rPr>
          <w:rFonts w:ascii="Arial" w:hAnsi="Arial"/>
          <w:w w:val="105"/>
          <w:sz w:val="19"/>
        </w:rPr>
        <w:t>134</w:t>
      </w:r>
      <w:r>
        <w:rPr>
          <w:rFonts w:ascii="Arial" w:hAnsi="Arial"/>
          <w:spacing w:val="-25"/>
          <w:w w:val="105"/>
          <w:sz w:val="19"/>
        </w:rPr>
        <w:t xml:space="preserve"> </w:t>
      </w:r>
      <w:r>
        <w:rPr>
          <w:rFonts w:ascii="Arial" w:hAnsi="Arial"/>
          <w:w w:val="105"/>
          <w:sz w:val="19"/>
        </w:rPr>
        <w:t>x 210 = 28,140</w:t>
      </w:r>
      <w:r>
        <w:rPr>
          <w:rFonts w:ascii="Arial" w:hAnsi="Arial"/>
          <w:spacing w:val="-33"/>
          <w:w w:val="105"/>
          <w:sz w:val="19"/>
        </w:rPr>
        <w:t xml:space="preserve"> </w:t>
      </w:r>
      <w:r>
        <w:rPr>
          <w:rFonts w:ascii="Arial" w:hAnsi="Arial"/>
          <w:w w:val="105"/>
          <w:sz w:val="19"/>
        </w:rPr>
        <w:t>minutes</w:t>
      </w:r>
    </w:p>
    <w:p w:rsidR="007D76BB" w:rsidRDefault="00D70D28">
      <w:pPr>
        <w:pStyle w:val="ListParagraph"/>
        <w:numPr>
          <w:ilvl w:val="1"/>
          <w:numId w:val="5"/>
        </w:numPr>
        <w:tabs>
          <w:tab w:val="left" w:pos="766"/>
        </w:tabs>
        <w:spacing w:before="79"/>
        <w:rPr>
          <w:rFonts w:ascii="Arial" w:hAnsi="Arial"/>
          <w:sz w:val="19"/>
        </w:rPr>
      </w:pPr>
      <w:r>
        <w:rPr>
          <w:rFonts w:ascii="Arial" w:hAnsi="Arial"/>
          <w:w w:val="105"/>
          <w:sz w:val="19"/>
        </w:rPr>
        <w:t>Future</w:t>
      </w:r>
      <w:r>
        <w:rPr>
          <w:rFonts w:ascii="Arial" w:hAnsi="Arial"/>
          <w:spacing w:val="-15"/>
          <w:w w:val="105"/>
          <w:sz w:val="19"/>
        </w:rPr>
        <w:t xml:space="preserve"> </w:t>
      </w:r>
      <w:r>
        <w:rPr>
          <w:rFonts w:ascii="Arial" w:hAnsi="Arial"/>
          <w:w w:val="105"/>
          <w:sz w:val="19"/>
        </w:rPr>
        <w:t>population</w:t>
      </w:r>
      <w:r>
        <w:rPr>
          <w:rFonts w:ascii="Arial" w:hAnsi="Arial"/>
          <w:spacing w:val="-13"/>
          <w:w w:val="105"/>
          <w:sz w:val="19"/>
        </w:rPr>
        <w:t xml:space="preserve"> </w:t>
      </w:r>
      <w:r>
        <w:rPr>
          <w:rFonts w:ascii="Arial" w:hAnsi="Arial"/>
          <w:w w:val="105"/>
          <w:sz w:val="19"/>
        </w:rPr>
        <w:t>fulfill</w:t>
      </w:r>
      <w:r>
        <w:rPr>
          <w:rFonts w:ascii="Arial" w:hAnsi="Arial"/>
          <w:spacing w:val="-13"/>
          <w:w w:val="105"/>
          <w:sz w:val="19"/>
        </w:rPr>
        <w:t xml:space="preserve"> </w:t>
      </w:r>
      <w:r>
        <w:rPr>
          <w:rFonts w:ascii="Arial" w:hAnsi="Arial"/>
          <w:w w:val="105"/>
          <w:sz w:val="19"/>
        </w:rPr>
        <w:t>‘Fees</w:t>
      </w:r>
      <w:r>
        <w:rPr>
          <w:rFonts w:ascii="Arial" w:hAnsi="Arial"/>
          <w:spacing w:val="-13"/>
          <w:w w:val="105"/>
          <w:sz w:val="19"/>
        </w:rPr>
        <w:t xml:space="preserve"> </w:t>
      </w:r>
      <w:r>
        <w:rPr>
          <w:rFonts w:ascii="Arial" w:hAnsi="Arial"/>
          <w:w w:val="105"/>
          <w:sz w:val="19"/>
        </w:rPr>
        <w:t>(Ongoing)’</w:t>
      </w:r>
      <w:r>
        <w:rPr>
          <w:rFonts w:ascii="Arial" w:hAnsi="Arial"/>
          <w:spacing w:val="-14"/>
          <w:w w:val="105"/>
          <w:sz w:val="19"/>
        </w:rPr>
        <w:t xml:space="preserve"> </w:t>
      </w:r>
      <w:r>
        <w:rPr>
          <w:rFonts w:ascii="Arial" w:hAnsi="Arial"/>
          <w:w w:val="105"/>
          <w:sz w:val="19"/>
        </w:rPr>
        <w:t>less</w:t>
      </w:r>
      <w:r>
        <w:rPr>
          <w:rFonts w:ascii="Arial" w:hAnsi="Arial"/>
          <w:spacing w:val="-14"/>
          <w:w w:val="105"/>
          <w:sz w:val="19"/>
        </w:rPr>
        <w:t xml:space="preserve"> </w:t>
      </w:r>
      <w:r>
        <w:rPr>
          <w:rFonts w:ascii="Arial" w:hAnsi="Arial"/>
          <w:w w:val="105"/>
          <w:sz w:val="19"/>
        </w:rPr>
        <w:t>year</w:t>
      </w:r>
      <w:r>
        <w:rPr>
          <w:rFonts w:ascii="Arial" w:hAnsi="Arial"/>
          <w:spacing w:val="-13"/>
          <w:w w:val="105"/>
          <w:sz w:val="19"/>
        </w:rPr>
        <w:t xml:space="preserve"> </w:t>
      </w:r>
      <w:r>
        <w:rPr>
          <w:rFonts w:ascii="Arial" w:hAnsi="Arial"/>
          <w:w w:val="105"/>
          <w:sz w:val="19"/>
        </w:rPr>
        <w:t>of</w:t>
      </w:r>
      <w:r>
        <w:rPr>
          <w:rFonts w:ascii="Arial" w:hAnsi="Arial"/>
          <w:spacing w:val="-14"/>
          <w:w w:val="105"/>
          <w:sz w:val="19"/>
        </w:rPr>
        <w:t xml:space="preserve"> </w:t>
      </w:r>
      <w:r>
        <w:rPr>
          <w:rFonts w:ascii="Arial" w:hAnsi="Arial"/>
          <w:w w:val="105"/>
          <w:sz w:val="19"/>
        </w:rPr>
        <w:t>listing:</w:t>
      </w:r>
      <w:r>
        <w:rPr>
          <w:rFonts w:ascii="Arial" w:hAnsi="Arial"/>
          <w:spacing w:val="-9"/>
          <w:w w:val="105"/>
          <w:sz w:val="19"/>
        </w:rPr>
        <w:t xml:space="preserve"> </w:t>
      </w:r>
      <w:r>
        <w:rPr>
          <w:rFonts w:ascii="Arial" w:hAnsi="Arial"/>
          <w:w w:val="105"/>
          <w:sz w:val="19"/>
        </w:rPr>
        <w:t>97</w:t>
      </w:r>
      <w:r>
        <w:rPr>
          <w:rFonts w:ascii="Arial" w:hAnsi="Arial"/>
          <w:spacing w:val="-13"/>
          <w:w w:val="105"/>
          <w:sz w:val="19"/>
        </w:rPr>
        <w:t xml:space="preserve"> </w:t>
      </w:r>
      <w:r>
        <w:rPr>
          <w:rFonts w:ascii="Arial" w:hAnsi="Arial"/>
          <w:w w:val="105"/>
          <w:sz w:val="19"/>
        </w:rPr>
        <w:t>x</w:t>
      </w:r>
      <w:r>
        <w:rPr>
          <w:rFonts w:ascii="Arial" w:hAnsi="Arial"/>
          <w:spacing w:val="-16"/>
          <w:w w:val="105"/>
          <w:sz w:val="19"/>
        </w:rPr>
        <w:t xml:space="preserve"> </w:t>
      </w:r>
      <w:r>
        <w:rPr>
          <w:rFonts w:ascii="Arial" w:hAnsi="Arial"/>
          <w:w w:val="105"/>
          <w:sz w:val="19"/>
        </w:rPr>
        <w:t>30</w:t>
      </w:r>
      <w:r>
        <w:rPr>
          <w:rFonts w:ascii="Arial" w:hAnsi="Arial"/>
          <w:spacing w:val="-13"/>
          <w:w w:val="105"/>
          <w:sz w:val="19"/>
        </w:rPr>
        <w:t xml:space="preserve"> </w:t>
      </w:r>
      <w:r>
        <w:rPr>
          <w:rFonts w:ascii="Arial" w:hAnsi="Arial"/>
          <w:w w:val="105"/>
          <w:sz w:val="19"/>
        </w:rPr>
        <w:t>=</w:t>
      </w:r>
      <w:r>
        <w:rPr>
          <w:rFonts w:ascii="Arial" w:hAnsi="Arial"/>
          <w:spacing w:val="-12"/>
          <w:w w:val="105"/>
          <w:sz w:val="19"/>
        </w:rPr>
        <w:t xml:space="preserve"> </w:t>
      </w:r>
      <w:r>
        <w:rPr>
          <w:rFonts w:ascii="Arial" w:hAnsi="Arial"/>
          <w:w w:val="105"/>
          <w:sz w:val="19"/>
        </w:rPr>
        <w:t>2,910</w:t>
      </w:r>
      <w:r>
        <w:rPr>
          <w:rFonts w:ascii="Arial" w:hAnsi="Arial"/>
          <w:spacing w:val="-13"/>
          <w:w w:val="105"/>
          <w:sz w:val="19"/>
        </w:rPr>
        <w:t xml:space="preserve"> </w:t>
      </w:r>
      <w:r>
        <w:rPr>
          <w:rFonts w:ascii="Arial" w:hAnsi="Arial"/>
          <w:w w:val="105"/>
          <w:sz w:val="19"/>
        </w:rPr>
        <w:t>minutes</w:t>
      </w:r>
    </w:p>
    <w:p w:rsidR="007D76BB" w:rsidRDefault="00D70D28">
      <w:pPr>
        <w:pStyle w:val="ListParagraph"/>
        <w:numPr>
          <w:ilvl w:val="1"/>
          <w:numId w:val="5"/>
        </w:numPr>
        <w:tabs>
          <w:tab w:val="left" w:pos="766"/>
        </w:tabs>
        <w:spacing w:before="99" w:line="268" w:lineRule="auto"/>
        <w:ind w:right="1472"/>
        <w:rPr>
          <w:rFonts w:ascii="Arial" w:hAnsi="Arial"/>
          <w:sz w:val="19"/>
        </w:rPr>
      </w:pPr>
      <w:r>
        <w:rPr>
          <w:rFonts w:ascii="Arial" w:hAnsi="Arial"/>
          <w:w w:val="105"/>
          <w:sz w:val="19"/>
        </w:rPr>
        <w:t>Carry</w:t>
      </w:r>
      <w:r>
        <w:rPr>
          <w:rFonts w:ascii="Arial" w:hAnsi="Arial"/>
          <w:spacing w:val="-17"/>
          <w:w w:val="105"/>
          <w:sz w:val="19"/>
        </w:rPr>
        <w:t xml:space="preserve"> </w:t>
      </w:r>
      <w:r>
        <w:rPr>
          <w:rFonts w:ascii="Arial" w:hAnsi="Arial"/>
          <w:w w:val="105"/>
          <w:sz w:val="19"/>
        </w:rPr>
        <w:t>forward</w:t>
      </w:r>
      <w:r>
        <w:rPr>
          <w:rFonts w:ascii="Arial" w:hAnsi="Arial"/>
          <w:spacing w:val="-17"/>
          <w:w w:val="105"/>
          <w:sz w:val="19"/>
        </w:rPr>
        <w:t xml:space="preserve"> </w:t>
      </w:r>
      <w:r>
        <w:rPr>
          <w:rFonts w:ascii="Arial" w:hAnsi="Arial"/>
          <w:w w:val="105"/>
          <w:sz w:val="19"/>
        </w:rPr>
        <w:t>time</w:t>
      </w:r>
      <w:r>
        <w:rPr>
          <w:rFonts w:ascii="Arial" w:hAnsi="Arial"/>
          <w:spacing w:val="-17"/>
          <w:w w:val="105"/>
          <w:sz w:val="19"/>
        </w:rPr>
        <w:t xml:space="preserve"> </w:t>
      </w:r>
      <w:r>
        <w:rPr>
          <w:rFonts w:ascii="Arial" w:hAnsi="Arial"/>
          <w:w w:val="105"/>
          <w:sz w:val="19"/>
        </w:rPr>
        <w:t>for</w:t>
      </w:r>
      <w:r>
        <w:rPr>
          <w:rFonts w:ascii="Arial" w:hAnsi="Arial"/>
          <w:spacing w:val="-16"/>
          <w:w w:val="105"/>
          <w:sz w:val="19"/>
        </w:rPr>
        <w:t xml:space="preserve"> </w:t>
      </w:r>
      <w:r>
        <w:rPr>
          <w:rFonts w:ascii="Arial" w:hAnsi="Arial"/>
          <w:w w:val="105"/>
          <w:sz w:val="19"/>
        </w:rPr>
        <w:t>future</w:t>
      </w:r>
      <w:r>
        <w:rPr>
          <w:rFonts w:ascii="Arial" w:hAnsi="Arial"/>
          <w:spacing w:val="-15"/>
          <w:w w:val="105"/>
          <w:sz w:val="19"/>
        </w:rPr>
        <w:t xml:space="preserve"> </w:t>
      </w:r>
      <w:r>
        <w:rPr>
          <w:rFonts w:ascii="Arial" w:hAnsi="Arial"/>
          <w:w w:val="105"/>
          <w:sz w:val="19"/>
        </w:rPr>
        <w:t>population</w:t>
      </w:r>
      <w:r>
        <w:rPr>
          <w:rFonts w:ascii="Arial" w:hAnsi="Arial"/>
          <w:spacing w:val="-17"/>
          <w:w w:val="105"/>
          <w:sz w:val="19"/>
        </w:rPr>
        <w:t xml:space="preserve"> </w:t>
      </w:r>
      <w:r>
        <w:rPr>
          <w:rFonts w:ascii="Arial" w:hAnsi="Arial"/>
          <w:w w:val="105"/>
          <w:sz w:val="19"/>
        </w:rPr>
        <w:t>to</w:t>
      </w:r>
      <w:r>
        <w:rPr>
          <w:rFonts w:ascii="Arial" w:hAnsi="Arial"/>
          <w:spacing w:val="-17"/>
          <w:w w:val="105"/>
          <w:sz w:val="19"/>
        </w:rPr>
        <w:t xml:space="preserve"> </w:t>
      </w:r>
      <w:r>
        <w:rPr>
          <w:rFonts w:ascii="Arial" w:hAnsi="Arial"/>
          <w:w w:val="105"/>
          <w:sz w:val="19"/>
        </w:rPr>
        <w:t>fulfil</w:t>
      </w:r>
      <w:r>
        <w:rPr>
          <w:rFonts w:ascii="Arial" w:hAnsi="Arial"/>
          <w:spacing w:val="-15"/>
          <w:w w:val="105"/>
          <w:sz w:val="19"/>
        </w:rPr>
        <w:t xml:space="preserve"> </w:t>
      </w:r>
      <w:r>
        <w:rPr>
          <w:rFonts w:ascii="Arial" w:hAnsi="Arial"/>
          <w:w w:val="105"/>
          <w:sz w:val="19"/>
        </w:rPr>
        <w:t>ongoing</w:t>
      </w:r>
      <w:r>
        <w:rPr>
          <w:rFonts w:ascii="Arial" w:hAnsi="Arial"/>
          <w:spacing w:val="-17"/>
          <w:w w:val="105"/>
          <w:sz w:val="19"/>
        </w:rPr>
        <w:t xml:space="preserve"> </w:t>
      </w:r>
      <w:r>
        <w:rPr>
          <w:rFonts w:ascii="Arial" w:hAnsi="Arial"/>
          <w:w w:val="105"/>
          <w:sz w:val="19"/>
        </w:rPr>
        <w:t>requirements</w:t>
      </w:r>
      <w:r>
        <w:rPr>
          <w:rFonts w:ascii="Arial" w:hAnsi="Arial"/>
          <w:spacing w:val="-17"/>
          <w:w w:val="105"/>
          <w:sz w:val="19"/>
        </w:rPr>
        <w:t xml:space="preserve"> </w:t>
      </w:r>
      <w:r>
        <w:rPr>
          <w:rFonts w:ascii="Arial" w:hAnsi="Arial"/>
          <w:w w:val="105"/>
          <w:sz w:val="19"/>
        </w:rPr>
        <w:t>=</w:t>
      </w:r>
      <w:r>
        <w:rPr>
          <w:rFonts w:ascii="Arial" w:hAnsi="Arial"/>
          <w:spacing w:val="-10"/>
          <w:w w:val="105"/>
          <w:sz w:val="19"/>
        </w:rPr>
        <w:t xml:space="preserve"> </w:t>
      </w:r>
      <w:r>
        <w:rPr>
          <w:rFonts w:ascii="Arial" w:hAnsi="Arial"/>
          <w:w w:val="105"/>
          <w:sz w:val="19"/>
        </w:rPr>
        <w:t>28,140</w:t>
      </w:r>
      <w:r>
        <w:rPr>
          <w:rFonts w:ascii="Arial" w:hAnsi="Arial"/>
          <w:spacing w:val="-17"/>
          <w:w w:val="105"/>
          <w:sz w:val="19"/>
        </w:rPr>
        <w:t xml:space="preserve"> </w:t>
      </w:r>
      <w:r>
        <w:rPr>
          <w:rFonts w:ascii="Arial" w:hAnsi="Arial"/>
          <w:w w:val="105"/>
          <w:sz w:val="19"/>
        </w:rPr>
        <w:t>+</w:t>
      </w:r>
      <w:r>
        <w:rPr>
          <w:rFonts w:ascii="Arial" w:hAnsi="Arial"/>
          <w:spacing w:val="-16"/>
          <w:w w:val="105"/>
          <w:sz w:val="19"/>
        </w:rPr>
        <w:t xml:space="preserve"> </w:t>
      </w:r>
      <w:r>
        <w:rPr>
          <w:rFonts w:ascii="Arial" w:hAnsi="Arial"/>
          <w:w w:val="105"/>
          <w:sz w:val="19"/>
        </w:rPr>
        <w:t>2,910</w:t>
      </w:r>
      <w:r>
        <w:rPr>
          <w:rFonts w:ascii="Arial" w:hAnsi="Arial"/>
          <w:spacing w:val="-14"/>
          <w:w w:val="105"/>
          <w:sz w:val="19"/>
        </w:rPr>
        <w:t xml:space="preserve"> </w:t>
      </w:r>
      <w:r>
        <w:rPr>
          <w:rFonts w:ascii="Arial" w:hAnsi="Arial"/>
          <w:w w:val="105"/>
          <w:sz w:val="19"/>
        </w:rPr>
        <w:t>= 31,050</w:t>
      </w:r>
      <w:r>
        <w:rPr>
          <w:rFonts w:ascii="Arial" w:hAnsi="Arial"/>
          <w:spacing w:val="-9"/>
          <w:w w:val="105"/>
          <w:sz w:val="19"/>
        </w:rPr>
        <w:t xml:space="preserve"> </w:t>
      </w:r>
      <w:r>
        <w:rPr>
          <w:rFonts w:ascii="Arial" w:hAnsi="Arial"/>
          <w:w w:val="105"/>
          <w:sz w:val="19"/>
        </w:rPr>
        <w:t>minutes</w:t>
      </w:r>
    </w:p>
    <w:p w:rsidR="007D76BB" w:rsidRDefault="00D70D28">
      <w:pPr>
        <w:pStyle w:val="ListParagraph"/>
        <w:numPr>
          <w:ilvl w:val="1"/>
          <w:numId w:val="5"/>
        </w:numPr>
        <w:tabs>
          <w:tab w:val="left" w:pos="766"/>
        </w:tabs>
        <w:spacing w:before="72" w:line="266" w:lineRule="auto"/>
        <w:ind w:right="900"/>
        <w:rPr>
          <w:rFonts w:ascii="Arial" w:hAnsi="Arial"/>
          <w:sz w:val="19"/>
        </w:rPr>
      </w:pPr>
      <w:r>
        <w:rPr>
          <w:rFonts w:ascii="Arial" w:hAnsi="Arial"/>
          <w:w w:val="105"/>
          <w:sz w:val="19"/>
        </w:rPr>
        <w:t>Time</w:t>
      </w:r>
      <w:r>
        <w:rPr>
          <w:rFonts w:ascii="Arial" w:hAnsi="Arial"/>
          <w:spacing w:val="-14"/>
          <w:w w:val="105"/>
          <w:sz w:val="19"/>
        </w:rPr>
        <w:t xml:space="preserve"> </w:t>
      </w:r>
      <w:r>
        <w:rPr>
          <w:rFonts w:ascii="Arial" w:hAnsi="Arial"/>
          <w:w w:val="105"/>
          <w:sz w:val="19"/>
        </w:rPr>
        <w:t>for</w:t>
      </w:r>
      <w:r>
        <w:rPr>
          <w:rFonts w:ascii="Arial" w:hAnsi="Arial"/>
          <w:spacing w:val="-13"/>
          <w:w w:val="105"/>
          <w:sz w:val="19"/>
        </w:rPr>
        <w:t xml:space="preserve"> </w:t>
      </w:r>
      <w:r>
        <w:rPr>
          <w:rFonts w:ascii="Arial" w:hAnsi="Arial"/>
          <w:w w:val="105"/>
          <w:sz w:val="19"/>
        </w:rPr>
        <w:t>future</w:t>
      </w:r>
      <w:r>
        <w:rPr>
          <w:rFonts w:ascii="Arial" w:hAnsi="Arial"/>
          <w:spacing w:val="-15"/>
          <w:w w:val="105"/>
          <w:sz w:val="19"/>
        </w:rPr>
        <w:t xml:space="preserve"> </w:t>
      </w:r>
      <w:r>
        <w:rPr>
          <w:rFonts w:ascii="Arial" w:hAnsi="Arial"/>
          <w:w w:val="105"/>
          <w:sz w:val="19"/>
        </w:rPr>
        <w:t>population</w:t>
      </w:r>
      <w:r>
        <w:rPr>
          <w:rFonts w:ascii="Arial" w:hAnsi="Arial"/>
          <w:spacing w:val="-10"/>
          <w:w w:val="105"/>
          <w:sz w:val="19"/>
        </w:rPr>
        <w:t xml:space="preserve"> </w:t>
      </w:r>
      <w:r>
        <w:rPr>
          <w:rFonts w:ascii="Arial" w:hAnsi="Arial"/>
          <w:w w:val="105"/>
          <w:sz w:val="19"/>
        </w:rPr>
        <w:t>to</w:t>
      </w:r>
      <w:r>
        <w:rPr>
          <w:rFonts w:ascii="Arial" w:hAnsi="Arial"/>
          <w:spacing w:val="-16"/>
          <w:w w:val="105"/>
          <w:sz w:val="19"/>
        </w:rPr>
        <w:t xml:space="preserve"> </w:t>
      </w:r>
      <w:r>
        <w:rPr>
          <w:rFonts w:ascii="Arial" w:hAnsi="Arial"/>
          <w:w w:val="105"/>
          <w:sz w:val="19"/>
        </w:rPr>
        <w:t>list</w:t>
      </w:r>
      <w:r>
        <w:rPr>
          <w:rFonts w:ascii="Arial" w:hAnsi="Arial"/>
          <w:spacing w:val="-14"/>
          <w:w w:val="105"/>
          <w:sz w:val="19"/>
        </w:rPr>
        <w:t xml:space="preserve"> </w:t>
      </w:r>
      <w:r>
        <w:rPr>
          <w:rFonts w:ascii="Arial" w:hAnsi="Arial"/>
          <w:w w:val="105"/>
          <w:sz w:val="19"/>
        </w:rPr>
        <w:t>in</w:t>
      </w:r>
      <w:r>
        <w:rPr>
          <w:rFonts w:ascii="Arial" w:hAnsi="Arial"/>
          <w:spacing w:val="-13"/>
          <w:w w:val="105"/>
          <w:sz w:val="19"/>
        </w:rPr>
        <w:t xml:space="preserve"> </w:t>
      </w:r>
      <w:r>
        <w:rPr>
          <w:rFonts w:ascii="Arial" w:hAnsi="Arial"/>
          <w:w w:val="105"/>
          <w:sz w:val="19"/>
        </w:rPr>
        <w:t>the</w:t>
      </w:r>
      <w:r>
        <w:rPr>
          <w:rFonts w:ascii="Arial" w:hAnsi="Arial"/>
          <w:spacing w:val="-15"/>
          <w:w w:val="105"/>
          <w:sz w:val="19"/>
        </w:rPr>
        <w:t xml:space="preserve"> </w:t>
      </w:r>
      <w:r>
        <w:rPr>
          <w:rFonts w:ascii="Arial" w:hAnsi="Arial"/>
          <w:w w:val="105"/>
          <w:sz w:val="19"/>
        </w:rPr>
        <w:t>ARTG</w:t>
      </w:r>
      <w:r>
        <w:rPr>
          <w:rFonts w:ascii="Arial" w:hAnsi="Arial"/>
          <w:spacing w:val="-15"/>
          <w:w w:val="105"/>
          <w:sz w:val="19"/>
        </w:rPr>
        <w:t xml:space="preserve"> </w:t>
      </w:r>
      <w:r>
        <w:rPr>
          <w:rFonts w:ascii="Arial" w:hAnsi="Arial"/>
          <w:w w:val="105"/>
          <w:sz w:val="19"/>
        </w:rPr>
        <w:t>and</w:t>
      </w:r>
      <w:r>
        <w:rPr>
          <w:rFonts w:ascii="Arial" w:hAnsi="Arial"/>
          <w:spacing w:val="-15"/>
          <w:w w:val="105"/>
          <w:sz w:val="19"/>
        </w:rPr>
        <w:t xml:space="preserve"> </w:t>
      </w:r>
      <w:r>
        <w:rPr>
          <w:rFonts w:ascii="Arial" w:hAnsi="Arial"/>
          <w:w w:val="105"/>
          <w:sz w:val="19"/>
        </w:rPr>
        <w:t>for</w:t>
      </w:r>
      <w:r>
        <w:rPr>
          <w:rFonts w:ascii="Arial" w:hAnsi="Arial"/>
          <w:spacing w:val="-13"/>
          <w:w w:val="105"/>
          <w:sz w:val="19"/>
        </w:rPr>
        <w:t xml:space="preserve"> </w:t>
      </w:r>
      <w:r>
        <w:rPr>
          <w:rFonts w:ascii="Arial" w:hAnsi="Arial"/>
          <w:w w:val="105"/>
          <w:sz w:val="19"/>
        </w:rPr>
        <w:t>both</w:t>
      </w:r>
      <w:r>
        <w:rPr>
          <w:rFonts w:ascii="Arial" w:hAnsi="Arial"/>
          <w:spacing w:val="-15"/>
          <w:w w:val="105"/>
          <w:sz w:val="19"/>
        </w:rPr>
        <w:t xml:space="preserve"> </w:t>
      </w:r>
      <w:r>
        <w:rPr>
          <w:rFonts w:ascii="Arial" w:hAnsi="Arial"/>
          <w:w w:val="105"/>
          <w:sz w:val="19"/>
        </w:rPr>
        <w:t>current</w:t>
      </w:r>
      <w:r>
        <w:rPr>
          <w:rFonts w:ascii="Arial" w:hAnsi="Arial"/>
          <w:spacing w:val="-15"/>
          <w:w w:val="105"/>
          <w:sz w:val="19"/>
        </w:rPr>
        <w:t xml:space="preserve"> </w:t>
      </w:r>
      <w:r>
        <w:rPr>
          <w:rFonts w:ascii="Arial" w:hAnsi="Arial"/>
          <w:w w:val="105"/>
          <w:sz w:val="19"/>
        </w:rPr>
        <w:t>and</w:t>
      </w:r>
      <w:r>
        <w:rPr>
          <w:rFonts w:ascii="Arial" w:hAnsi="Arial"/>
          <w:spacing w:val="-15"/>
          <w:w w:val="105"/>
          <w:sz w:val="19"/>
        </w:rPr>
        <w:t xml:space="preserve"> </w:t>
      </w:r>
      <w:r>
        <w:rPr>
          <w:rFonts w:ascii="Arial" w:hAnsi="Arial"/>
          <w:w w:val="105"/>
          <w:sz w:val="19"/>
        </w:rPr>
        <w:t>future</w:t>
      </w:r>
      <w:r>
        <w:rPr>
          <w:rFonts w:ascii="Arial" w:hAnsi="Arial"/>
          <w:spacing w:val="-16"/>
          <w:w w:val="105"/>
          <w:sz w:val="19"/>
        </w:rPr>
        <w:t xml:space="preserve"> </w:t>
      </w:r>
      <w:r>
        <w:rPr>
          <w:rFonts w:ascii="Arial" w:hAnsi="Arial"/>
          <w:w w:val="105"/>
          <w:sz w:val="19"/>
        </w:rPr>
        <w:t>populations</w:t>
      </w:r>
      <w:r>
        <w:rPr>
          <w:rFonts w:ascii="Arial" w:hAnsi="Arial"/>
          <w:spacing w:val="-14"/>
          <w:w w:val="105"/>
          <w:sz w:val="19"/>
        </w:rPr>
        <w:t xml:space="preserve"> </w:t>
      </w:r>
      <w:r>
        <w:rPr>
          <w:rFonts w:ascii="Arial" w:hAnsi="Arial"/>
          <w:w w:val="105"/>
          <w:sz w:val="19"/>
        </w:rPr>
        <w:t>to</w:t>
      </w:r>
      <w:r>
        <w:rPr>
          <w:rFonts w:ascii="Arial" w:hAnsi="Arial"/>
          <w:spacing w:val="-14"/>
          <w:w w:val="105"/>
          <w:sz w:val="19"/>
        </w:rPr>
        <w:t xml:space="preserve"> </w:t>
      </w:r>
      <w:r>
        <w:rPr>
          <w:rFonts w:ascii="Arial" w:hAnsi="Arial"/>
          <w:w w:val="105"/>
          <w:sz w:val="19"/>
        </w:rPr>
        <w:t xml:space="preserve">fulfil ARTG ongoing requirements = 76,800 (current population ongoing requirements) + </w:t>
      </w:r>
      <w:r>
        <w:rPr>
          <w:rFonts w:ascii="Arial" w:hAnsi="Arial"/>
          <w:w w:val="105"/>
          <w:sz w:val="19"/>
        </w:rPr>
        <w:lastRenderedPageBreak/>
        <w:t>155,770 (future</w:t>
      </w:r>
      <w:r>
        <w:rPr>
          <w:rFonts w:ascii="Arial" w:hAnsi="Arial"/>
          <w:spacing w:val="-20"/>
          <w:w w:val="105"/>
          <w:sz w:val="19"/>
        </w:rPr>
        <w:t xml:space="preserve"> </w:t>
      </w:r>
      <w:r>
        <w:rPr>
          <w:rFonts w:ascii="Arial" w:hAnsi="Arial"/>
          <w:w w:val="105"/>
          <w:sz w:val="19"/>
        </w:rPr>
        <w:t>population</w:t>
      </w:r>
      <w:r>
        <w:rPr>
          <w:rFonts w:ascii="Arial" w:hAnsi="Arial"/>
          <w:spacing w:val="-17"/>
          <w:w w:val="105"/>
          <w:sz w:val="19"/>
        </w:rPr>
        <w:t xml:space="preserve"> </w:t>
      </w:r>
      <w:r>
        <w:rPr>
          <w:rFonts w:ascii="Arial" w:hAnsi="Arial"/>
          <w:w w:val="105"/>
          <w:sz w:val="19"/>
        </w:rPr>
        <w:t>ARTG</w:t>
      </w:r>
      <w:r>
        <w:rPr>
          <w:rFonts w:ascii="Arial" w:hAnsi="Arial"/>
          <w:spacing w:val="-19"/>
          <w:w w:val="105"/>
          <w:sz w:val="19"/>
        </w:rPr>
        <w:t xml:space="preserve"> </w:t>
      </w:r>
      <w:r>
        <w:rPr>
          <w:rFonts w:ascii="Arial" w:hAnsi="Arial"/>
          <w:w w:val="105"/>
          <w:sz w:val="19"/>
        </w:rPr>
        <w:t>listing)</w:t>
      </w:r>
      <w:r>
        <w:rPr>
          <w:rFonts w:ascii="Arial" w:hAnsi="Arial"/>
          <w:spacing w:val="-18"/>
          <w:w w:val="105"/>
          <w:sz w:val="19"/>
        </w:rPr>
        <w:t xml:space="preserve"> </w:t>
      </w:r>
      <w:r>
        <w:rPr>
          <w:rFonts w:ascii="Arial" w:hAnsi="Arial"/>
          <w:w w:val="105"/>
          <w:sz w:val="19"/>
        </w:rPr>
        <w:t>+</w:t>
      </w:r>
      <w:r>
        <w:rPr>
          <w:rFonts w:ascii="Arial" w:hAnsi="Arial"/>
          <w:spacing w:val="-18"/>
          <w:w w:val="105"/>
          <w:sz w:val="19"/>
        </w:rPr>
        <w:t xml:space="preserve"> </w:t>
      </w:r>
      <w:r>
        <w:rPr>
          <w:rFonts w:ascii="Arial" w:hAnsi="Arial"/>
          <w:w w:val="105"/>
          <w:sz w:val="19"/>
        </w:rPr>
        <w:t>31,050</w:t>
      </w:r>
      <w:r>
        <w:rPr>
          <w:rFonts w:ascii="Arial" w:hAnsi="Arial"/>
          <w:spacing w:val="-16"/>
          <w:w w:val="105"/>
          <w:sz w:val="19"/>
        </w:rPr>
        <w:t xml:space="preserve"> </w:t>
      </w:r>
      <w:r>
        <w:rPr>
          <w:rFonts w:ascii="Arial" w:hAnsi="Arial"/>
          <w:w w:val="105"/>
          <w:sz w:val="19"/>
        </w:rPr>
        <w:t>(future</w:t>
      </w:r>
      <w:r>
        <w:rPr>
          <w:rFonts w:ascii="Arial" w:hAnsi="Arial"/>
          <w:spacing w:val="-19"/>
          <w:w w:val="105"/>
          <w:sz w:val="19"/>
        </w:rPr>
        <w:t xml:space="preserve"> </w:t>
      </w:r>
      <w:r>
        <w:rPr>
          <w:rFonts w:ascii="Arial" w:hAnsi="Arial"/>
          <w:w w:val="105"/>
          <w:sz w:val="19"/>
        </w:rPr>
        <w:t>population</w:t>
      </w:r>
      <w:r>
        <w:rPr>
          <w:rFonts w:ascii="Arial" w:hAnsi="Arial"/>
          <w:spacing w:val="-18"/>
          <w:w w:val="105"/>
          <w:sz w:val="19"/>
        </w:rPr>
        <w:t xml:space="preserve"> </w:t>
      </w:r>
      <w:r>
        <w:rPr>
          <w:rFonts w:ascii="Arial" w:hAnsi="Arial"/>
          <w:w w:val="105"/>
          <w:sz w:val="19"/>
        </w:rPr>
        <w:t>ongoing</w:t>
      </w:r>
      <w:r>
        <w:rPr>
          <w:rFonts w:ascii="Arial" w:hAnsi="Arial"/>
          <w:spacing w:val="-17"/>
          <w:w w:val="105"/>
          <w:sz w:val="19"/>
        </w:rPr>
        <w:t xml:space="preserve"> </w:t>
      </w:r>
      <w:r>
        <w:rPr>
          <w:rFonts w:ascii="Arial" w:hAnsi="Arial"/>
          <w:w w:val="105"/>
          <w:sz w:val="19"/>
        </w:rPr>
        <w:t>requirements)</w:t>
      </w:r>
      <w:r>
        <w:rPr>
          <w:rFonts w:ascii="Arial" w:hAnsi="Arial"/>
          <w:spacing w:val="-21"/>
          <w:w w:val="105"/>
          <w:sz w:val="19"/>
        </w:rPr>
        <w:t xml:space="preserve"> </w:t>
      </w:r>
      <w:r>
        <w:rPr>
          <w:rFonts w:ascii="Arial" w:hAnsi="Arial"/>
          <w:w w:val="105"/>
          <w:sz w:val="19"/>
        </w:rPr>
        <w:t>=</w:t>
      </w:r>
      <w:r>
        <w:rPr>
          <w:rFonts w:ascii="Arial" w:hAnsi="Arial"/>
          <w:spacing w:val="-16"/>
          <w:w w:val="105"/>
          <w:sz w:val="19"/>
        </w:rPr>
        <w:t xml:space="preserve"> </w:t>
      </w:r>
      <w:r>
        <w:rPr>
          <w:rFonts w:ascii="Arial" w:hAnsi="Arial"/>
          <w:w w:val="105"/>
          <w:sz w:val="19"/>
        </w:rPr>
        <w:t>263,620</w:t>
      </w:r>
    </w:p>
    <w:p w:rsidR="007D76BB" w:rsidRDefault="00D70D28">
      <w:pPr>
        <w:spacing w:before="67"/>
        <w:ind w:left="482"/>
        <w:rPr>
          <w:rFonts w:ascii="Arial"/>
          <w:sz w:val="19"/>
        </w:rPr>
      </w:pPr>
      <w:r>
        <w:rPr>
          <w:rFonts w:ascii="Arial"/>
          <w:i/>
          <w:w w:val="105"/>
          <w:sz w:val="20"/>
        </w:rPr>
        <w:t xml:space="preserve">Step 2. </w:t>
      </w:r>
      <w:r>
        <w:rPr>
          <w:rFonts w:ascii="Arial"/>
          <w:w w:val="105"/>
          <w:sz w:val="19"/>
        </w:rPr>
        <w:t>Calculate total time in hours to fulfil regulatory requirement:</w:t>
      </w:r>
    </w:p>
    <w:p w:rsidR="007D76BB" w:rsidRDefault="00D70D28">
      <w:pPr>
        <w:pStyle w:val="ListParagraph"/>
        <w:numPr>
          <w:ilvl w:val="1"/>
          <w:numId w:val="5"/>
        </w:numPr>
        <w:tabs>
          <w:tab w:val="left" w:pos="766"/>
        </w:tabs>
        <w:spacing w:before="161"/>
        <w:rPr>
          <w:rFonts w:ascii="Arial" w:hAnsi="Arial"/>
          <w:sz w:val="19"/>
        </w:rPr>
      </w:pPr>
      <w:r>
        <w:rPr>
          <w:rFonts w:ascii="Arial" w:hAnsi="Arial"/>
          <w:w w:val="110"/>
          <w:sz w:val="19"/>
        </w:rPr>
        <w:t>263,620/60 = 4,394</w:t>
      </w:r>
      <w:r>
        <w:rPr>
          <w:rFonts w:ascii="Arial" w:hAnsi="Arial"/>
          <w:spacing w:val="-38"/>
          <w:w w:val="110"/>
          <w:sz w:val="19"/>
        </w:rPr>
        <w:t xml:space="preserve"> </w:t>
      </w:r>
      <w:r>
        <w:rPr>
          <w:rFonts w:ascii="Arial" w:hAnsi="Arial"/>
          <w:w w:val="110"/>
          <w:sz w:val="19"/>
        </w:rPr>
        <w:t>hours</w:t>
      </w:r>
    </w:p>
    <w:p w:rsidR="007D76BB" w:rsidRDefault="00D70D28">
      <w:pPr>
        <w:spacing w:before="92"/>
        <w:ind w:left="482"/>
        <w:rPr>
          <w:rFonts w:ascii="Arial"/>
          <w:sz w:val="19"/>
        </w:rPr>
      </w:pPr>
      <w:r>
        <w:rPr>
          <w:rFonts w:ascii="Arial"/>
          <w:i/>
          <w:w w:val="105"/>
          <w:sz w:val="20"/>
        </w:rPr>
        <w:t>Step 3</w:t>
      </w:r>
      <w:r>
        <w:rPr>
          <w:rFonts w:ascii="Arial"/>
          <w:w w:val="105"/>
          <w:sz w:val="19"/>
        </w:rPr>
        <w:t>. Apply the hourly rate to determine overall regulatory compliance cost:</w:t>
      </w:r>
    </w:p>
    <w:p w:rsidR="007D76BB" w:rsidRDefault="00D70D28">
      <w:pPr>
        <w:pStyle w:val="ListParagraph"/>
        <w:numPr>
          <w:ilvl w:val="1"/>
          <w:numId w:val="5"/>
        </w:numPr>
        <w:tabs>
          <w:tab w:val="left" w:pos="766"/>
        </w:tabs>
        <w:spacing w:before="161"/>
        <w:rPr>
          <w:rFonts w:ascii="Arial" w:hAnsi="Arial"/>
          <w:sz w:val="19"/>
        </w:rPr>
      </w:pPr>
      <w:r>
        <w:rPr>
          <w:rFonts w:ascii="Arial" w:hAnsi="Arial"/>
          <w:w w:val="105"/>
          <w:sz w:val="19"/>
        </w:rPr>
        <w:t>4,394 x $84.84=</w:t>
      </w:r>
      <w:r>
        <w:rPr>
          <w:rFonts w:ascii="Arial" w:hAnsi="Arial"/>
          <w:spacing w:val="-31"/>
          <w:w w:val="105"/>
          <w:sz w:val="19"/>
        </w:rPr>
        <w:t xml:space="preserve"> </w:t>
      </w:r>
      <w:r>
        <w:rPr>
          <w:rFonts w:ascii="Arial" w:hAnsi="Arial"/>
          <w:w w:val="105"/>
          <w:sz w:val="19"/>
        </w:rPr>
        <w:t>$372,759</w:t>
      </w:r>
    </w:p>
    <w:p w:rsidR="007D76BB" w:rsidRDefault="007D76BB">
      <w:pPr>
        <w:rPr>
          <w:rFonts w:ascii="Arial" w:hAnsi="Arial"/>
          <w:sz w:val="19"/>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8"/>
        </w:rPr>
      </w:pPr>
    </w:p>
    <w:p w:rsidR="007D76BB" w:rsidRDefault="00D70D28">
      <w:pPr>
        <w:pStyle w:val="BodyText"/>
        <w:spacing w:before="103"/>
        <w:ind w:left="482"/>
        <w:rPr>
          <w:rFonts w:ascii="Lucida Sans"/>
          <w:b/>
        </w:rPr>
      </w:pPr>
      <w:r>
        <w:rPr>
          <w:rFonts w:ascii="Lucida Sans"/>
          <w:b/>
          <w:color w:val="608FB5"/>
        </w:rPr>
        <w:t>Sponsors</w:t>
      </w:r>
    </w:p>
    <w:p w:rsidR="007D76BB" w:rsidRDefault="00D70D28">
      <w:pPr>
        <w:spacing w:before="197"/>
        <w:ind w:left="482"/>
        <w:rPr>
          <w:rFonts w:ascii="Arial"/>
          <w:i/>
          <w:sz w:val="20"/>
        </w:rPr>
      </w:pPr>
      <w:r>
        <w:rPr>
          <w:rFonts w:ascii="Arial"/>
          <w:i/>
          <w:sz w:val="20"/>
        </w:rPr>
        <w:t>Determination of current and future populations</w:t>
      </w:r>
    </w:p>
    <w:p w:rsidR="007D76BB" w:rsidRDefault="00D70D28">
      <w:pPr>
        <w:spacing w:before="197" w:line="264" w:lineRule="auto"/>
        <w:ind w:left="482" w:right="928"/>
        <w:rPr>
          <w:rFonts w:ascii="Arial"/>
          <w:sz w:val="19"/>
        </w:rPr>
      </w:pPr>
      <w:r>
        <w:rPr>
          <w:rFonts w:ascii="Arial"/>
          <w:w w:val="105"/>
          <w:sz w:val="19"/>
        </w:rPr>
        <w:t>As</w:t>
      </w:r>
      <w:r>
        <w:rPr>
          <w:rFonts w:ascii="Arial"/>
          <w:spacing w:val="-25"/>
          <w:w w:val="105"/>
          <w:sz w:val="19"/>
        </w:rPr>
        <w:t xml:space="preserve"> </w:t>
      </w:r>
      <w:r>
        <w:rPr>
          <w:rFonts w:ascii="Arial"/>
          <w:w w:val="105"/>
          <w:sz w:val="19"/>
        </w:rPr>
        <w:t>highlighted</w:t>
      </w:r>
      <w:r>
        <w:rPr>
          <w:rFonts w:ascii="Arial"/>
          <w:spacing w:val="-25"/>
          <w:w w:val="105"/>
          <w:sz w:val="19"/>
        </w:rPr>
        <w:t xml:space="preserve"> </w:t>
      </w:r>
      <w:r>
        <w:rPr>
          <w:rFonts w:ascii="Arial"/>
          <w:w w:val="105"/>
          <w:sz w:val="19"/>
        </w:rPr>
        <w:t>in</w:t>
      </w:r>
      <w:r>
        <w:rPr>
          <w:rFonts w:ascii="Arial"/>
          <w:spacing w:val="-24"/>
          <w:w w:val="105"/>
          <w:sz w:val="19"/>
        </w:rPr>
        <w:t xml:space="preserve"> </w:t>
      </w:r>
      <w:r>
        <w:rPr>
          <w:rFonts w:ascii="Arial"/>
          <w:w w:val="105"/>
          <w:sz w:val="19"/>
        </w:rPr>
        <w:t>the</w:t>
      </w:r>
      <w:r>
        <w:rPr>
          <w:rFonts w:ascii="Arial"/>
          <w:spacing w:val="-25"/>
          <w:w w:val="105"/>
          <w:sz w:val="19"/>
        </w:rPr>
        <w:t xml:space="preserve"> </w:t>
      </w:r>
      <w:r>
        <w:rPr>
          <w:rFonts w:ascii="Arial"/>
          <w:w w:val="105"/>
          <w:sz w:val="19"/>
        </w:rPr>
        <w:t>products</w:t>
      </w:r>
      <w:r>
        <w:rPr>
          <w:rFonts w:ascii="Arial"/>
          <w:spacing w:val="-25"/>
          <w:w w:val="105"/>
          <w:sz w:val="19"/>
        </w:rPr>
        <w:t xml:space="preserve"> </w:t>
      </w:r>
      <w:r>
        <w:rPr>
          <w:rFonts w:ascii="Arial"/>
          <w:w w:val="105"/>
          <w:sz w:val="19"/>
        </w:rPr>
        <w:t>section,</w:t>
      </w:r>
      <w:r>
        <w:rPr>
          <w:rFonts w:ascii="Arial"/>
          <w:spacing w:val="-25"/>
          <w:w w:val="105"/>
          <w:sz w:val="19"/>
        </w:rPr>
        <w:t xml:space="preserve"> </w:t>
      </w:r>
      <w:r>
        <w:rPr>
          <w:rFonts w:ascii="Arial"/>
          <w:w w:val="105"/>
          <w:sz w:val="19"/>
        </w:rPr>
        <w:t>Option</w:t>
      </w:r>
      <w:r>
        <w:rPr>
          <w:rFonts w:ascii="Arial"/>
          <w:spacing w:val="-21"/>
          <w:w w:val="105"/>
          <w:sz w:val="19"/>
        </w:rPr>
        <w:t xml:space="preserve"> </w:t>
      </w:r>
      <w:r>
        <w:rPr>
          <w:rFonts w:ascii="Arial"/>
          <w:w w:val="105"/>
          <w:sz w:val="19"/>
        </w:rPr>
        <w:t>3</w:t>
      </w:r>
      <w:r>
        <w:rPr>
          <w:rFonts w:ascii="Arial"/>
          <w:spacing w:val="-26"/>
          <w:w w:val="105"/>
          <w:sz w:val="19"/>
        </w:rPr>
        <w:t xml:space="preserve"> </w:t>
      </w:r>
      <w:r>
        <w:rPr>
          <w:rFonts w:ascii="Arial"/>
          <w:w w:val="105"/>
          <w:sz w:val="19"/>
        </w:rPr>
        <w:t>represents</w:t>
      </w:r>
      <w:r>
        <w:rPr>
          <w:rFonts w:ascii="Arial"/>
          <w:spacing w:val="-23"/>
          <w:w w:val="105"/>
          <w:sz w:val="19"/>
        </w:rPr>
        <w:t xml:space="preserve"> </w:t>
      </w:r>
      <w:r>
        <w:rPr>
          <w:rFonts w:ascii="Arial"/>
          <w:w w:val="105"/>
          <w:sz w:val="19"/>
        </w:rPr>
        <w:t>a</w:t>
      </w:r>
      <w:r>
        <w:rPr>
          <w:rFonts w:ascii="Arial"/>
          <w:spacing w:val="-24"/>
          <w:w w:val="105"/>
          <w:sz w:val="19"/>
        </w:rPr>
        <w:t xml:space="preserve"> </w:t>
      </w:r>
      <w:r>
        <w:rPr>
          <w:rFonts w:ascii="Arial"/>
          <w:w w:val="105"/>
          <w:sz w:val="19"/>
        </w:rPr>
        <w:t>46%</w:t>
      </w:r>
      <w:r>
        <w:rPr>
          <w:rFonts w:ascii="Arial"/>
          <w:spacing w:val="-24"/>
          <w:w w:val="105"/>
          <w:sz w:val="19"/>
        </w:rPr>
        <w:t xml:space="preserve"> </w:t>
      </w:r>
      <w:r>
        <w:rPr>
          <w:rFonts w:ascii="Arial"/>
          <w:w w:val="105"/>
          <w:sz w:val="19"/>
        </w:rPr>
        <w:t>decrease</w:t>
      </w:r>
      <w:r>
        <w:rPr>
          <w:rFonts w:ascii="Arial"/>
          <w:spacing w:val="-23"/>
          <w:w w:val="105"/>
          <w:sz w:val="19"/>
        </w:rPr>
        <w:t xml:space="preserve"> </w:t>
      </w:r>
      <w:r>
        <w:rPr>
          <w:rFonts w:ascii="Arial"/>
          <w:w w:val="105"/>
          <w:sz w:val="19"/>
        </w:rPr>
        <w:t>in</w:t>
      </w:r>
      <w:r>
        <w:rPr>
          <w:rFonts w:ascii="Arial"/>
          <w:spacing w:val="-25"/>
          <w:w w:val="105"/>
          <w:sz w:val="19"/>
        </w:rPr>
        <w:t xml:space="preserve"> </w:t>
      </w:r>
      <w:r>
        <w:rPr>
          <w:rFonts w:ascii="Arial"/>
          <w:w w:val="105"/>
          <w:sz w:val="19"/>
        </w:rPr>
        <w:t>predicted</w:t>
      </w:r>
      <w:r>
        <w:rPr>
          <w:rFonts w:ascii="Arial"/>
          <w:spacing w:val="-24"/>
          <w:w w:val="105"/>
          <w:sz w:val="19"/>
        </w:rPr>
        <w:t xml:space="preserve"> </w:t>
      </w:r>
      <w:r>
        <w:rPr>
          <w:rFonts w:ascii="Arial"/>
          <w:w w:val="105"/>
          <w:sz w:val="19"/>
        </w:rPr>
        <w:t>additional ARTG</w:t>
      </w:r>
      <w:r>
        <w:rPr>
          <w:rFonts w:ascii="Arial"/>
          <w:spacing w:val="-19"/>
          <w:w w:val="105"/>
          <w:sz w:val="19"/>
        </w:rPr>
        <w:t xml:space="preserve"> </w:t>
      </w:r>
      <w:r>
        <w:rPr>
          <w:rFonts w:ascii="Arial"/>
          <w:w w:val="105"/>
          <w:sz w:val="19"/>
        </w:rPr>
        <w:t>listings</w:t>
      </w:r>
      <w:r>
        <w:rPr>
          <w:rFonts w:ascii="Arial"/>
          <w:spacing w:val="-18"/>
          <w:w w:val="105"/>
          <w:sz w:val="19"/>
        </w:rPr>
        <w:t xml:space="preserve"> </w:t>
      </w:r>
      <w:r>
        <w:rPr>
          <w:rFonts w:ascii="Arial"/>
          <w:w w:val="105"/>
          <w:sz w:val="19"/>
        </w:rPr>
        <w:t>for</w:t>
      </w:r>
      <w:r>
        <w:rPr>
          <w:rFonts w:ascii="Arial"/>
          <w:spacing w:val="-19"/>
          <w:w w:val="105"/>
          <w:sz w:val="19"/>
        </w:rPr>
        <w:t xml:space="preserve"> </w:t>
      </w:r>
      <w:r>
        <w:rPr>
          <w:rFonts w:ascii="Arial"/>
          <w:w w:val="105"/>
          <w:sz w:val="19"/>
        </w:rPr>
        <w:t>the</w:t>
      </w:r>
      <w:r>
        <w:rPr>
          <w:rFonts w:ascii="Arial"/>
          <w:spacing w:val="-19"/>
          <w:w w:val="105"/>
          <w:sz w:val="19"/>
        </w:rPr>
        <w:t xml:space="preserve"> </w:t>
      </w:r>
      <w:r>
        <w:rPr>
          <w:rFonts w:ascii="Arial"/>
          <w:w w:val="105"/>
          <w:sz w:val="19"/>
        </w:rPr>
        <w:t>current</w:t>
      </w:r>
      <w:r>
        <w:rPr>
          <w:rFonts w:ascii="Arial"/>
          <w:spacing w:val="-20"/>
          <w:w w:val="105"/>
          <w:sz w:val="19"/>
        </w:rPr>
        <w:t xml:space="preserve"> </w:t>
      </w:r>
      <w:r>
        <w:rPr>
          <w:rFonts w:ascii="Arial"/>
          <w:w w:val="105"/>
          <w:sz w:val="19"/>
        </w:rPr>
        <w:t>population</w:t>
      </w:r>
      <w:r>
        <w:rPr>
          <w:rFonts w:ascii="Arial"/>
          <w:spacing w:val="-18"/>
          <w:w w:val="105"/>
          <w:sz w:val="19"/>
        </w:rPr>
        <w:t xml:space="preserve"> </w:t>
      </w:r>
      <w:r>
        <w:rPr>
          <w:rFonts w:ascii="Arial"/>
          <w:w w:val="105"/>
          <w:sz w:val="19"/>
        </w:rPr>
        <w:t>(87</w:t>
      </w:r>
      <w:r>
        <w:rPr>
          <w:rFonts w:ascii="Arial"/>
          <w:spacing w:val="-19"/>
          <w:w w:val="105"/>
          <w:sz w:val="19"/>
        </w:rPr>
        <w:t xml:space="preserve"> </w:t>
      </w:r>
      <w:r>
        <w:rPr>
          <w:rFonts w:ascii="Arial"/>
          <w:w w:val="105"/>
          <w:sz w:val="19"/>
        </w:rPr>
        <w:t>products</w:t>
      </w:r>
      <w:r>
        <w:rPr>
          <w:rFonts w:ascii="Arial"/>
          <w:spacing w:val="-19"/>
          <w:w w:val="105"/>
          <w:sz w:val="19"/>
        </w:rPr>
        <w:t xml:space="preserve"> </w:t>
      </w:r>
      <w:r>
        <w:rPr>
          <w:rFonts w:ascii="Arial"/>
          <w:w w:val="105"/>
          <w:sz w:val="19"/>
        </w:rPr>
        <w:t>(Options</w:t>
      </w:r>
      <w:r>
        <w:rPr>
          <w:rFonts w:ascii="Arial"/>
          <w:spacing w:val="-19"/>
          <w:w w:val="105"/>
          <w:sz w:val="19"/>
        </w:rPr>
        <w:t xml:space="preserve"> </w:t>
      </w:r>
      <w:r>
        <w:rPr>
          <w:rFonts w:ascii="Arial"/>
          <w:w w:val="105"/>
          <w:sz w:val="19"/>
        </w:rPr>
        <w:t>2A</w:t>
      </w:r>
      <w:r>
        <w:rPr>
          <w:rFonts w:ascii="Arial"/>
          <w:spacing w:val="-18"/>
          <w:w w:val="105"/>
          <w:sz w:val="19"/>
        </w:rPr>
        <w:t xml:space="preserve"> </w:t>
      </w:r>
      <w:r>
        <w:rPr>
          <w:rFonts w:ascii="Arial"/>
          <w:w w:val="105"/>
          <w:sz w:val="19"/>
        </w:rPr>
        <w:t>&amp;</w:t>
      </w:r>
      <w:r>
        <w:rPr>
          <w:rFonts w:ascii="Arial"/>
          <w:spacing w:val="-20"/>
          <w:w w:val="105"/>
          <w:sz w:val="19"/>
        </w:rPr>
        <w:t xml:space="preserve"> </w:t>
      </w:r>
      <w:r>
        <w:rPr>
          <w:rFonts w:ascii="Arial"/>
          <w:w w:val="105"/>
          <w:sz w:val="19"/>
        </w:rPr>
        <w:t>2B)</w:t>
      </w:r>
      <w:r>
        <w:rPr>
          <w:rFonts w:ascii="Arial"/>
          <w:spacing w:val="-18"/>
          <w:w w:val="105"/>
          <w:sz w:val="19"/>
        </w:rPr>
        <w:t xml:space="preserve"> </w:t>
      </w:r>
      <w:r>
        <w:rPr>
          <w:rFonts w:ascii="Arial"/>
          <w:w w:val="105"/>
          <w:sz w:val="19"/>
        </w:rPr>
        <w:t>and</w:t>
      </w:r>
      <w:r>
        <w:rPr>
          <w:rFonts w:ascii="Arial"/>
          <w:spacing w:val="-19"/>
          <w:w w:val="105"/>
          <w:sz w:val="19"/>
        </w:rPr>
        <w:t xml:space="preserve"> </w:t>
      </w:r>
      <w:r>
        <w:rPr>
          <w:rFonts w:ascii="Arial"/>
          <w:w w:val="105"/>
          <w:sz w:val="19"/>
        </w:rPr>
        <w:t>40</w:t>
      </w:r>
      <w:r>
        <w:rPr>
          <w:rFonts w:ascii="Arial"/>
          <w:spacing w:val="-18"/>
          <w:w w:val="105"/>
          <w:sz w:val="19"/>
        </w:rPr>
        <w:t xml:space="preserve"> </w:t>
      </w:r>
      <w:r>
        <w:rPr>
          <w:rFonts w:ascii="Arial"/>
          <w:w w:val="105"/>
          <w:sz w:val="19"/>
        </w:rPr>
        <w:t>products</w:t>
      </w:r>
      <w:r>
        <w:rPr>
          <w:rFonts w:ascii="Arial"/>
          <w:spacing w:val="-18"/>
          <w:w w:val="105"/>
          <w:sz w:val="19"/>
        </w:rPr>
        <w:t xml:space="preserve"> </w:t>
      </w:r>
      <w:r>
        <w:rPr>
          <w:rFonts w:ascii="Arial"/>
          <w:w w:val="105"/>
          <w:sz w:val="19"/>
        </w:rPr>
        <w:t>(Option 3)).</w:t>
      </w:r>
      <w:r>
        <w:rPr>
          <w:rFonts w:ascii="Arial"/>
          <w:spacing w:val="-26"/>
          <w:w w:val="105"/>
          <w:sz w:val="19"/>
        </w:rPr>
        <w:t xml:space="preserve"> </w:t>
      </w:r>
      <w:r>
        <w:rPr>
          <w:rFonts w:ascii="Arial"/>
          <w:w w:val="105"/>
          <w:sz w:val="19"/>
        </w:rPr>
        <w:t>However,</w:t>
      </w:r>
      <w:r>
        <w:rPr>
          <w:rFonts w:ascii="Arial"/>
          <w:spacing w:val="-25"/>
          <w:w w:val="105"/>
          <w:sz w:val="19"/>
        </w:rPr>
        <w:t xml:space="preserve"> </w:t>
      </w:r>
      <w:r>
        <w:rPr>
          <w:rFonts w:ascii="Arial"/>
          <w:w w:val="105"/>
          <w:sz w:val="19"/>
        </w:rPr>
        <w:t>it</w:t>
      </w:r>
      <w:r>
        <w:rPr>
          <w:rFonts w:ascii="Arial"/>
          <w:spacing w:val="-26"/>
          <w:w w:val="105"/>
          <w:sz w:val="19"/>
        </w:rPr>
        <w:t xml:space="preserve"> </w:t>
      </w:r>
      <w:r>
        <w:rPr>
          <w:rFonts w:ascii="Arial"/>
          <w:w w:val="105"/>
          <w:sz w:val="19"/>
        </w:rPr>
        <w:t>has</w:t>
      </w:r>
      <w:r>
        <w:rPr>
          <w:rFonts w:ascii="Arial"/>
          <w:spacing w:val="-26"/>
          <w:w w:val="105"/>
          <w:sz w:val="19"/>
        </w:rPr>
        <w:t xml:space="preserve"> </w:t>
      </w:r>
      <w:r>
        <w:rPr>
          <w:rFonts w:ascii="Arial"/>
          <w:w w:val="105"/>
          <w:sz w:val="19"/>
        </w:rPr>
        <w:t>been</w:t>
      </w:r>
      <w:r>
        <w:rPr>
          <w:rFonts w:ascii="Arial"/>
          <w:spacing w:val="-27"/>
          <w:w w:val="105"/>
          <w:sz w:val="19"/>
        </w:rPr>
        <w:t xml:space="preserve"> </w:t>
      </w:r>
      <w:r>
        <w:rPr>
          <w:rFonts w:ascii="Arial"/>
          <w:w w:val="105"/>
          <w:sz w:val="19"/>
        </w:rPr>
        <w:t>assumed</w:t>
      </w:r>
      <w:r>
        <w:rPr>
          <w:rFonts w:ascii="Arial"/>
          <w:spacing w:val="-27"/>
          <w:w w:val="105"/>
          <w:sz w:val="19"/>
        </w:rPr>
        <w:t xml:space="preserve"> </w:t>
      </w:r>
      <w:r>
        <w:rPr>
          <w:rFonts w:ascii="Arial"/>
          <w:w w:val="105"/>
          <w:sz w:val="19"/>
        </w:rPr>
        <w:t>that</w:t>
      </w:r>
      <w:r>
        <w:rPr>
          <w:rFonts w:ascii="Arial"/>
          <w:spacing w:val="-26"/>
          <w:w w:val="105"/>
          <w:sz w:val="19"/>
        </w:rPr>
        <w:t xml:space="preserve"> </w:t>
      </w:r>
      <w:r>
        <w:rPr>
          <w:rFonts w:ascii="Arial"/>
          <w:w w:val="105"/>
          <w:sz w:val="19"/>
        </w:rPr>
        <w:t>all</w:t>
      </w:r>
      <w:r>
        <w:rPr>
          <w:rFonts w:ascii="Arial"/>
          <w:spacing w:val="-26"/>
          <w:w w:val="105"/>
          <w:sz w:val="19"/>
        </w:rPr>
        <w:t xml:space="preserve"> </w:t>
      </w:r>
      <w:r>
        <w:rPr>
          <w:rFonts w:ascii="Arial"/>
          <w:w w:val="105"/>
          <w:sz w:val="19"/>
        </w:rPr>
        <w:t>in-scope</w:t>
      </w:r>
      <w:r>
        <w:rPr>
          <w:rFonts w:ascii="Arial"/>
          <w:spacing w:val="-25"/>
          <w:w w:val="105"/>
          <w:sz w:val="19"/>
        </w:rPr>
        <w:t xml:space="preserve"> </w:t>
      </w:r>
      <w:r>
        <w:rPr>
          <w:rFonts w:ascii="Arial"/>
          <w:w w:val="105"/>
          <w:sz w:val="19"/>
        </w:rPr>
        <w:t>brand</w:t>
      </w:r>
      <w:r>
        <w:rPr>
          <w:rFonts w:ascii="Arial"/>
          <w:spacing w:val="-28"/>
          <w:w w:val="105"/>
          <w:sz w:val="19"/>
        </w:rPr>
        <w:t xml:space="preserve"> </w:t>
      </w:r>
      <w:r>
        <w:rPr>
          <w:rFonts w:ascii="Arial"/>
          <w:w w:val="105"/>
          <w:sz w:val="19"/>
        </w:rPr>
        <w:t>owners/manufacturers</w:t>
      </w:r>
      <w:r>
        <w:rPr>
          <w:rFonts w:ascii="Arial"/>
          <w:spacing w:val="-26"/>
          <w:w w:val="105"/>
          <w:sz w:val="19"/>
        </w:rPr>
        <w:t xml:space="preserve"> </w:t>
      </w:r>
      <w:r>
        <w:rPr>
          <w:rFonts w:ascii="Arial"/>
          <w:w w:val="105"/>
          <w:sz w:val="19"/>
        </w:rPr>
        <w:t>have</w:t>
      </w:r>
      <w:r>
        <w:rPr>
          <w:rFonts w:ascii="Arial"/>
          <w:spacing w:val="-27"/>
          <w:w w:val="105"/>
          <w:sz w:val="19"/>
        </w:rPr>
        <w:t xml:space="preserve"> </w:t>
      </w:r>
      <w:r>
        <w:rPr>
          <w:rFonts w:ascii="Arial"/>
          <w:w w:val="105"/>
          <w:sz w:val="19"/>
        </w:rPr>
        <w:t>more</w:t>
      </w:r>
      <w:r>
        <w:rPr>
          <w:rFonts w:ascii="Arial"/>
          <w:spacing w:val="-27"/>
          <w:w w:val="105"/>
          <w:sz w:val="19"/>
        </w:rPr>
        <w:t xml:space="preserve"> </w:t>
      </w:r>
      <w:r>
        <w:rPr>
          <w:rFonts w:ascii="Arial"/>
          <w:w w:val="105"/>
          <w:sz w:val="19"/>
        </w:rPr>
        <w:t>than one product. It has also been assumed that many brand owners/manufacturers produce both powder and capsule/tablet products. Furthermore, it is considered likely that all capsule/tablet manufacturers have the ability to produce powders but not vice versa, due to the technological uplift required to shift from powder production to capsule/tablet production. The removal of the presentation</w:t>
      </w:r>
      <w:r>
        <w:rPr>
          <w:rFonts w:ascii="Arial"/>
          <w:spacing w:val="-20"/>
          <w:w w:val="105"/>
          <w:sz w:val="19"/>
        </w:rPr>
        <w:t xml:space="preserve"> </w:t>
      </w:r>
      <w:r>
        <w:rPr>
          <w:rFonts w:ascii="Arial"/>
          <w:w w:val="105"/>
          <w:sz w:val="19"/>
        </w:rPr>
        <w:t>aspect</w:t>
      </w:r>
      <w:r>
        <w:rPr>
          <w:rFonts w:ascii="Arial"/>
          <w:spacing w:val="-20"/>
          <w:w w:val="105"/>
          <w:sz w:val="19"/>
        </w:rPr>
        <w:t xml:space="preserve"> </w:t>
      </w:r>
      <w:r>
        <w:rPr>
          <w:rFonts w:ascii="Arial"/>
          <w:w w:val="105"/>
          <w:sz w:val="19"/>
        </w:rPr>
        <w:t>from</w:t>
      </w:r>
      <w:r>
        <w:rPr>
          <w:rFonts w:ascii="Arial"/>
          <w:spacing w:val="-19"/>
          <w:w w:val="105"/>
          <w:sz w:val="19"/>
        </w:rPr>
        <w:t xml:space="preserve"> </w:t>
      </w:r>
      <w:r>
        <w:rPr>
          <w:rFonts w:ascii="Arial"/>
          <w:w w:val="105"/>
          <w:sz w:val="19"/>
        </w:rPr>
        <w:t>the</w:t>
      </w:r>
      <w:r>
        <w:rPr>
          <w:rFonts w:ascii="Arial"/>
          <w:spacing w:val="-18"/>
          <w:w w:val="105"/>
          <w:sz w:val="19"/>
        </w:rPr>
        <w:t xml:space="preserve"> </w:t>
      </w:r>
      <w:r>
        <w:rPr>
          <w:rFonts w:ascii="Arial"/>
          <w:w w:val="105"/>
          <w:sz w:val="19"/>
        </w:rPr>
        <w:t>proposed</w:t>
      </w:r>
      <w:r>
        <w:rPr>
          <w:rFonts w:ascii="Arial"/>
          <w:spacing w:val="-20"/>
          <w:w w:val="105"/>
          <w:sz w:val="19"/>
        </w:rPr>
        <w:t xml:space="preserve"> </w:t>
      </w:r>
      <w:r>
        <w:rPr>
          <w:rFonts w:ascii="Arial"/>
          <w:w w:val="105"/>
          <w:sz w:val="19"/>
        </w:rPr>
        <w:t>regulatory</w:t>
      </w:r>
      <w:r>
        <w:rPr>
          <w:rFonts w:ascii="Arial"/>
          <w:spacing w:val="-19"/>
          <w:w w:val="105"/>
          <w:sz w:val="19"/>
        </w:rPr>
        <w:t xml:space="preserve"> </w:t>
      </w:r>
      <w:r>
        <w:rPr>
          <w:rFonts w:ascii="Arial"/>
          <w:w w:val="105"/>
          <w:sz w:val="19"/>
        </w:rPr>
        <w:t>clarification</w:t>
      </w:r>
      <w:r>
        <w:rPr>
          <w:rFonts w:ascii="Arial"/>
          <w:spacing w:val="-17"/>
          <w:w w:val="105"/>
          <w:sz w:val="19"/>
        </w:rPr>
        <w:t xml:space="preserve"> </w:t>
      </w:r>
      <w:r>
        <w:rPr>
          <w:rFonts w:ascii="Arial"/>
          <w:w w:val="105"/>
          <w:sz w:val="19"/>
        </w:rPr>
        <w:t>is</w:t>
      </w:r>
      <w:r>
        <w:rPr>
          <w:rFonts w:ascii="Arial"/>
          <w:spacing w:val="-19"/>
          <w:w w:val="105"/>
          <w:sz w:val="19"/>
        </w:rPr>
        <w:t xml:space="preserve"> </w:t>
      </w:r>
      <w:r>
        <w:rPr>
          <w:rFonts w:ascii="Arial"/>
          <w:w w:val="105"/>
          <w:sz w:val="19"/>
        </w:rPr>
        <w:t>not</w:t>
      </w:r>
      <w:r>
        <w:rPr>
          <w:rFonts w:ascii="Arial"/>
          <w:spacing w:val="-19"/>
          <w:w w:val="105"/>
          <w:sz w:val="19"/>
        </w:rPr>
        <w:t xml:space="preserve"> </w:t>
      </w:r>
      <w:r>
        <w:rPr>
          <w:rFonts w:ascii="Arial"/>
          <w:w w:val="105"/>
          <w:sz w:val="19"/>
        </w:rPr>
        <w:t>likely</w:t>
      </w:r>
      <w:r>
        <w:rPr>
          <w:rFonts w:ascii="Arial"/>
          <w:spacing w:val="-19"/>
          <w:w w:val="105"/>
          <w:sz w:val="19"/>
        </w:rPr>
        <w:t xml:space="preserve"> </w:t>
      </w:r>
      <w:r>
        <w:rPr>
          <w:rFonts w:ascii="Arial"/>
          <w:w w:val="105"/>
          <w:sz w:val="19"/>
        </w:rPr>
        <w:t>to</w:t>
      </w:r>
      <w:r>
        <w:rPr>
          <w:rFonts w:ascii="Arial"/>
          <w:spacing w:val="-21"/>
          <w:w w:val="105"/>
          <w:sz w:val="19"/>
        </w:rPr>
        <w:t xml:space="preserve"> </w:t>
      </w:r>
      <w:r>
        <w:rPr>
          <w:rFonts w:ascii="Arial"/>
          <w:w w:val="105"/>
          <w:sz w:val="19"/>
        </w:rPr>
        <w:t>exclude</w:t>
      </w:r>
      <w:r>
        <w:rPr>
          <w:rFonts w:ascii="Arial"/>
          <w:spacing w:val="-18"/>
          <w:w w:val="105"/>
          <w:sz w:val="19"/>
        </w:rPr>
        <w:t xml:space="preserve"> </w:t>
      </w:r>
      <w:r>
        <w:rPr>
          <w:rFonts w:ascii="Arial"/>
          <w:w w:val="105"/>
          <w:sz w:val="19"/>
        </w:rPr>
        <w:t>many</w:t>
      </w:r>
      <w:r>
        <w:rPr>
          <w:rFonts w:ascii="Arial"/>
          <w:spacing w:val="-19"/>
          <w:w w:val="105"/>
          <w:sz w:val="19"/>
        </w:rPr>
        <w:t xml:space="preserve"> </w:t>
      </w:r>
      <w:r>
        <w:rPr>
          <w:rFonts w:ascii="Arial"/>
          <w:w w:val="105"/>
          <w:sz w:val="19"/>
        </w:rPr>
        <w:t>brand owners/manufacturers</w:t>
      </w:r>
      <w:r>
        <w:rPr>
          <w:rFonts w:ascii="Arial"/>
          <w:spacing w:val="-18"/>
          <w:w w:val="105"/>
          <w:sz w:val="19"/>
        </w:rPr>
        <w:t xml:space="preserve"> </w:t>
      </w:r>
      <w:r>
        <w:rPr>
          <w:rFonts w:ascii="Arial"/>
          <w:w w:val="105"/>
          <w:sz w:val="19"/>
        </w:rPr>
        <w:t>as</w:t>
      </w:r>
      <w:r>
        <w:rPr>
          <w:rFonts w:ascii="Arial"/>
          <w:spacing w:val="-21"/>
          <w:w w:val="105"/>
          <w:sz w:val="19"/>
        </w:rPr>
        <w:t xml:space="preserve"> </w:t>
      </w:r>
      <w:r>
        <w:rPr>
          <w:rFonts w:ascii="Arial"/>
          <w:w w:val="105"/>
          <w:sz w:val="19"/>
        </w:rPr>
        <w:t>they</w:t>
      </w:r>
      <w:r>
        <w:rPr>
          <w:rFonts w:ascii="Arial"/>
          <w:spacing w:val="-19"/>
          <w:w w:val="105"/>
          <w:sz w:val="19"/>
        </w:rPr>
        <w:t xml:space="preserve"> </w:t>
      </w:r>
      <w:r>
        <w:rPr>
          <w:rFonts w:ascii="Arial"/>
          <w:w w:val="105"/>
          <w:sz w:val="19"/>
        </w:rPr>
        <w:t>will</w:t>
      </w:r>
      <w:r>
        <w:rPr>
          <w:rFonts w:ascii="Arial"/>
          <w:spacing w:val="-18"/>
          <w:w w:val="105"/>
          <w:sz w:val="19"/>
        </w:rPr>
        <w:t xml:space="preserve"> </w:t>
      </w:r>
      <w:r>
        <w:rPr>
          <w:rFonts w:ascii="Arial"/>
          <w:w w:val="105"/>
          <w:sz w:val="19"/>
        </w:rPr>
        <w:t>still</w:t>
      </w:r>
      <w:r>
        <w:rPr>
          <w:rFonts w:ascii="Arial"/>
          <w:spacing w:val="-20"/>
          <w:w w:val="105"/>
          <w:sz w:val="19"/>
        </w:rPr>
        <w:t xml:space="preserve"> </w:t>
      </w:r>
      <w:r>
        <w:rPr>
          <w:rFonts w:ascii="Arial"/>
          <w:w w:val="105"/>
          <w:sz w:val="19"/>
        </w:rPr>
        <w:t>need</w:t>
      </w:r>
      <w:r>
        <w:rPr>
          <w:rFonts w:ascii="Arial"/>
          <w:spacing w:val="-22"/>
          <w:w w:val="105"/>
          <w:sz w:val="19"/>
        </w:rPr>
        <w:t xml:space="preserve"> </w:t>
      </w:r>
      <w:r>
        <w:rPr>
          <w:rFonts w:ascii="Arial"/>
          <w:w w:val="105"/>
          <w:sz w:val="19"/>
        </w:rPr>
        <w:t>to</w:t>
      </w:r>
      <w:r>
        <w:rPr>
          <w:rFonts w:ascii="Arial"/>
          <w:spacing w:val="-19"/>
          <w:w w:val="105"/>
          <w:sz w:val="19"/>
        </w:rPr>
        <w:t xml:space="preserve"> </w:t>
      </w:r>
      <w:r>
        <w:rPr>
          <w:rFonts w:ascii="Arial"/>
          <w:w w:val="105"/>
          <w:sz w:val="19"/>
        </w:rPr>
        <w:t>be</w:t>
      </w:r>
      <w:r>
        <w:rPr>
          <w:rFonts w:ascii="Arial"/>
          <w:spacing w:val="-20"/>
          <w:w w:val="105"/>
          <w:sz w:val="19"/>
        </w:rPr>
        <w:t xml:space="preserve"> </w:t>
      </w:r>
      <w:r>
        <w:rPr>
          <w:rFonts w:ascii="Arial"/>
          <w:w w:val="105"/>
          <w:sz w:val="19"/>
        </w:rPr>
        <w:t>aware</w:t>
      </w:r>
      <w:r>
        <w:rPr>
          <w:rFonts w:ascii="Arial"/>
          <w:spacing w:val="-20"/>
          <w:w w:val="105"/>
          <w:sz w:val="19"/>
        </w:rPr>
        <w:t xml:space="preserve"> </w:t>
      </w:r>
      <w:r>
        <w:rPr>
          <w:rFonts w:ascii="Arial"/>
          <w:w w:val="105"/>
          <w:sz w:val="19"/>
        </w:rPr>
        <w:t>of</w:t>
      </w:r>
      <w:r>
        <w:rPr>
          <w:rFonts w:ascii="Arial"/>
          <w:spacing w:val="-20"/>
          <w:w w:val="105"/>
          <w:sz w:val="19"/>
        </w:rPr>
        <w:t xml:space="preserve"> </w:t>
      </w:r>
      <w:r>
        <w:rPr>
          <w:rFonts w:ascii="Arial"/>
          <w:w w:val="105"/>
          <w:sz w:val="19"/>
        </w:rPr>
        <w:t>the</w:t>
      </w:r>
      <w:r>
        <w:rPr>
          <w:rFonts w:ascii="Arial"/>
          <w:spacing w:val="-20"/>
          <w:w w:val="105"/>
          <w:sz w:val="19"/>
        </w:rPr>
        <w:t xml:space="preserve"> </w:t>
      </w:r>
      <w:r>
        <w:rPr>
          <w:rFonts w:ascii="Arial"/>
          <w:w w:val="105"/>
          <w:sz w:val="19"/>
        </w:rPr>
        <w:t>potential</w:t>
      </w:r>
      <w:r>
        <w:rPr>
          <w:rFonts w:ascii="Arial"/>
          <w:spacing w:val="-18"/>
          <w:w w:val="105"/>
          <w:sz w:val="19"/>
        </w:rPr>
        <w:t xml:space="preserve"> </w:t>
      </w:r>
      <w:r>
        <w:rPr>
          <w:rFonts w:ascii="Arial"/>
          <w:w w:val="105"/>
          <w:sz w:val="19"/>
        </w:rPr>
        <w:t>impact</w:t>
      </w:r>
      <w:r>
        <w:rPr>
          <w:rFonts w:ascii="Arial"/>
          <w:spacing w:val="-18"/>
          <w:w w:val="105"/>
          <w:sz w:val="19"/>
        </w:rPr>
        <w:t xml:space="preserve"> </w:t>
      </w:r>
      <w:r>
        <w:rPr>
          <w:rFonts w:ascii="Arial"/>
          <w:w w:val="105"/>
          <w:sz w:val="19"/>
        </w:rPr>
        <w:t>across</w:t>
      </w:r>
      <w:r>
        <w:rPr>
          <w:rFonts w:ascii="Arial"/>
          <w:spacing w:val="-19"/>
          <w:w w:val="105"/>
          <w:sz w:val="19"/>
        </w:rPr>
        <w:t xml:space="preserve"> </w:t>
      </w:r>
      <w:r>
        <w:rPr>
          <w:rFonts w:ascii="Arial"/>
          <w:w w:val="105"/>
          <w:sz w:val="19"/>
        </w:rPr>
        <w:t>their</w:t>
      </w:r>
      <w:r>
        <w:rPr>
          <w:rFonts w:ascii="Arial"/>
          <w:spacing w:val="-19"/>
          <w:w w:val="105"/>
          <w:sz w:val="19"/>
        </w:rPr>
        <w:t xml:space="preserve"> </w:t>
      </w:r>
      <w:r>
        <w:rPr>
          <w:rFonts w:ascii="Arial"/>
          <w:w w:val="105"/>
          <w:sz w:val="19"/>
        </w:rPr>
        <w:t>range of</w:t>
      </w:r>
      <w:r>
        <w:rPr>
          <w:rFonts w:ascii="Arial"/>
          <w:spacing w:val="-12"/>
          <w:w w:val="105"/>
          <w:sz w:val="19"/>
        </w:rPr>
        <w:t xml:space="preserve"> </w:t>
      </w:r>
      <w:r>
        <w:rPr>
          <w:rFonts w:ascii="Arial"/>
          <w:w w:val="105"/>
          <w:sz w:val="19"/>
        </w:rPr>
        <w:t>products.</w:t>
      </w:r>
    </w:p>
    <w:p w:rsidR="007D76BB" w:rsidRDefault="00D70D28">
      <w:pPr>
        <w:spacing w:before="185" w:line="264" w:lineRule="auto"/>
        <w:ind w:left="482" w:right="914"/>
        <w:rPr>
          <w:rFonts w:ascii="Arial"/>
          <w:sz w:val="19"/>
        </w:rPr>
      </w:pPr>
      <w:r>
        <w:rPr>
          <w:rFonts w:ascii="Arial"/>
          <w:w w:val="105"/>
          <w:sz w:val="19"/>
        </w:rPr>
        <w:t>As</w:t>
      </w:r>
      <w:r>
        <w:rPr>
          <w:rFonts w:ascii="Arial"/>
          <w:spacing w:val="-27"/>
          <w:w w:val="105"/>
          <w:sz w:val="19"/>
        </w:rPr>
        <w:t xml:space="preserve"> </w:t>
      </w:r>
      <w:r>
        <w:rPr>
          <w:rFonts w:ascii="Arial"/>
          <w:w w:val="105"/>
          <w:sz w:val="19"/>
        </w:rPr>
        <w:t>a</w:t>
      </w:r>
      <w:r>
        <w:rPr>
          <w:rFonts w:ascii="Arial"/>
          <w:spacing w:val="-27"/>
          <w:w w:val="105"/>
          <w:sz w:val="19"/>
        </w:rPr>
        <w:t xml:space="preserve"> </w:t>
      </w:r>
      <w:r>
        <w:rPr>
          <w:rFonts w:ascii="Arial"/>
          <w:w w:val="105"/>
          <w:sz w:val="19"/>
        </w:rPr>
        <w:t>key</w:t>
      </w:r>
      <w:r>
        <w:rPr>
          <w:rFonts w:ascii="Arial"/>
          <w:spacing w:val="-26"/>
          <w:w w:val="105"/>
          <w:sz w:val="19"/>
        </w:rPr>
        <w:t xml:space="preserve"> </w:t>
      </w:r>
      <w:r>
        <w:rPr>
          <w:rFonts w:ascii="Arial"/>
          <w:w w:val="105"/>
          <w:sz w:val="19"/>
        </w:rPr>
        <w:t>element</w:t>
      </w:r>
      <w:r>
        <w:rPr>
          <w:rFonts w:ascii="Arial"/>
          <w:spacing w:val="-28"/>
          <w:w w:val="105"/>
          <w:sz w:val="19"/>
        </w:rPr>
        <w:t xml:space="preserve"> </w:t>
      </w:r>
      <w:r>
        <w:rPr>
          <w:rFonts w:ascii="Arial"/>
          <w:w w:val="105"/>
          <w:sz w:val="19"/>
        </w:rPr>
        <w:t>of</w:t>
      </w:r>
      <w:r>
        <w:rPr>
          <w:rFonts w:ascii="Arial"/>
          <w:spacing w:val="-28"/>
          <w:w w:val="105"/>
          <w:sz w:val="19"/>
        </w:rPr>
        <w:t xml:space="preserve"> </w:t>
      </w:r>
      <w:r>
        <w:rPr>
          <w:rFonts w:ascii="Arial"/>
          <w:w w:val="105"/>
          <w:sz w:val="19"/>
        </w:rPr>
        <w:t>the</w:t>
      </w:r>
      <w:r>
        <w:rPr>
          <w:rFonts w:ascii="Arial"/>
          <w:spacing w:val="-26"/>
          <w:w w:val="105"/>
          <w:sz w:val="19"/>
        </w:rPr>
        <w:t xml:space="preserve"> </w:t>
      </w:r>
      <w:r>
        <w:rPr>
          <w:rFonts w:ascii="Arial"/>
          <w:w w:val="105"/>
          <w:sz w:val="19"/>
        </w:rPr>
        <w:t>sponsor</w:t>
      </w:r>
      <w:r>
        <w:rPr>
          <w:rFonts w:ascii="Arial"/>
          <w:spacing w:val="-27"/>
          <w:w w:val="105"/>
          <w:sz w:val="19"/>
        </w:rPr>
        <w:t xml:space="preserve"> </w:t>
      </w:r>
      <w:r>
        <w:rPr>
          <w:rFonts w:ascii="Arial"/>
          <w:w w:val="105"/>
          <w:sz w:val="19"/>
        </w:rPr>
        <w:t>regulatory</w:t>
      </w:r>
      <w:r>
        <w:rPr>
          <w:rFonts w:ascii="Arial"/>
          <w:spacing w:val="-27"/>
          <w:w w:val="105"/>
          <w:sz w:val="19"/>
        </w:rPr>
        <w:t xml:space="preserve"> </w:t>
      </w:r>
      <w:r>
        <w:rPr>
          <w:rFonts w:ascii="Arial"/>
          <w:w w:val="105"/>
          <w:sz w:val="19"/>
        </w:rPr>
        <w:t>costing</w:t>
      </w:r>
      <w:r>
        <w:rPr>
          <w:rFonts w:ascii="Arial"/>
          <w:spacing w:val="-28"/>
          <w:w w:val="105"/>
          <w:sz w:val="19"/>
        </w:rPr>
        <w:t xml:space="preserve"> </w:t>
      </w:r>
      <w:r>
        <w:rPr>
          <w:rFonts w:ascii="Arial"/>
          <w:w w:val="105"/>
          <w:sz w:val="19"/>
        </w:rPr>
        <w:t>equates</w:t>
      </w:r>
      <w:r>
        <w:rPr>
          <w:rFonts w:ascii="Arial"/>
          <w:spacing w:val="-27"/>
          <w:w w:val="105"/>
          <w:sz w:val="19"/>
        </w:rPr>
        <w:t xml:space="preserve"> </w:t>
      </w:r>
      <w:r>
        <w:rPr>
          <w:rFonts w:ascii="Arial"/>
          <w:w w:val="105"/>
          <w:sz w:val="19"/>
        </w:rPr>
        <w:t>to</w:t>
      </w:r>
      <w:r>
        <w:rPr>
          <w:rFonts w:ascii="Arial"/>
          <w:spacing w:val="-28"/>
          <w:w w:val="105"/>
          <w:sz w:val="19"/>
        </w:rPr>
        <w:t xml:space="preserve"> </w:t>
      </w:r>
      <w:r>
        <w:rPr>
          <w:rFonts w:ascii="Arial"/>
          <w:w w:val="105"/>
          <w:sz w:val="19"/>
        </w:rPr>
        <w:t>awareness</w:t>
      </w:r>
      <w:r>
        <w:rPr>
          <w:rFonts w:ascii="Arial"/>
          <w:spacing w:val="-27"/>
          <w:w w:val="105"/>
          <w:sz w:val="19"/>
        </w:rPr>
        <w:t xml:space="preserve"> </w:t>
      </w:r>
      <w:r>
        <w:rPr>
          <w:rFonts w:ascii="Arial"/>
          <w:w w:val="105"/>
          <w:sz w:val="19"/>
        </w:rPr>
        <w:t>of</w:t>
      </w:r>
      <w:r>
        <w:rPr>
          <w:rFonts w:ascii="Arial"/>
          <w:spacing w:val="-27"/>
          <w:w w:val="105"/>
          <w:sz w:val="19"/>
        </w:rPr>
        <w:t xml:space="preserve"> </w:t>
      </w:r>
      <w:r>
        <w:rPr>
          <w:rFonts w:ascii="Arial"/>
          <w:w w:val="105"/>
          <w:sz w:val="19"/>
        </w:rPr>
        <w:t>the</w:t>
      </w:r>
      <w:r>
        <w:rPr>
          <w:rFonts w:ascii="Arial"/>
          <w:spacing w:val="-28"/>
          <w:w w:val="105"/>
          <w:sz w:val="19"/>
        </w:rPr>
        <w:t xml:space="preserve"> </w:t>
      </w:r>
      <w:r>
        <w:rPr>
          <w:rFonts w:ascii="Arial"/>
          <w:w w:val="105"/>
          <w:sz w:val="19"/>
        </w:rPr>
        <w:t>regulatory</w:t>
      </w:r>
      <w:r>
        <w:rPr>
          <w:rFonts w:ascii="Arial"/>
          <w:spacing w:val="-27"/>
          <w:w w:val="105"/>
          <w:sz w:val="19"/>
        </w:rPr>
        <w:t xml:space="preserve"> </w:t>
      </w:r>
      <w:r>
        <w:rPr>
          <w:rFonts w:ascii="Arial"/>
          <w:w w:val="105"/>
          <w:sz w:val="19"/>
        </w:rPr>
        <w:t>changes, it is considered that there will not be a material reduction in the number of potentially impacted sponsors</w:t>
      </w:r>
      <w:r>
        <w:rPr>
          <w:rFonts w:ascii="Arial"/>
          <w:spacing w:val="-28"/>
          <w:w w:val="105"/>
          <w:sz w:val="19"/>
        </w:rPr>
        <w:t xml:space="preserve"> </w:t>
      </w:r>
      <w:r>
        <w:rPr>
          <w:rFonts w:ascii="Arial"/>
          <w:w w:val="105"/>
          <w:sz w:val="19"/>
        </w:rPr>
        <w:t>(which</w:t>
      </w:r>
      <w:r>
        <w:rPr>
          <w:rFonts w:ascii="Arial"/>
          <w:spacing w:val="-29"/>
          <w:w w:val="105"/>
          <w:sz w:val="19"/>
        </w:rPr>
        <w:t xml:space="preserve"> </w:t>
      </w:r>
      <w:r>
        <w:rPr>
          <w:rFonts w:ascii="Arial"/>
          <w:w w:val="105"/>
          <w:sz w:val="19"/>
        </w:rPr>
        <w:t>was</w:t>
      </w:r>
      <w:r>
        <w:rPr>
          <w:rFonts w:ascii="Arial"/>
          <w:spacing w:val="-30"/>
          <w:w w:val="105"/>
          <w:sz w:val="19"/>
        </w:rPr>
        <w:t xml:space="preserve"> </w:t>
      </w:r>
      <w:r>
        <w:rPr>
          <w:rFonts w:ascii="Arial"/>
          <w:w w:val="105"/>
          <w:sz w:val="19"/>
        </w:rPr>
        <w:t>calculated</w:t>
      </w:r>
      <w:r>
        <w:rPr>
          <w:rFonts w:ascii="Arial"/>
          <w:spacing w:val="-29"/>
          <w:w w:val="105"/>
          <w:sz w:val="19"/>
        </w:rPr>
        <w:t xml:space="preserve"> </w:t>
      </w:r>
      <w:r>
        <w:rPr>
          <w:rFonts w:ascii="Arial"/>
          <w:w w:val="105"/>
          <w:sz w:val="19"/>
        </w:rPr>
        <w:t>based</w:t>
      </w:r>
      <w:r>
        <w:rPr>
          <w:rFonts w:ascii="Arial"/>
          <w:spacing w:val="-29"/>
          <w:w w:val="105"/>
          <w:sz w:val="19"/>
        </w:rPr>
        <w:t xml:space="preserve"> </w:t>
      </w:r>
      <w:r>
        <w:rPr>
          <w:rFonts w:ascii="Arial"/>
          <w:w w:val="105"/>
          <w:sz w:val="19"/>
        </w:rPr>
        <w:t>on</w:t>
      </w:r>
      <w:r>
        <w:rPr>
          <w:rFonts w:ascii="Arial"/>
          <w:spacing w:val="-26"/>
          <w:w w:val="105"/>
          <w:sz w:val="19"/>
        </w:rPr>
        <w:t xml:space="preserve"> </w:t>
      </w:r>
      <w:r>
        <w:rPr>
          <w:rFonts w:ascii="Arial"/>
          <w:w w:val="105"/>
          <w:sz w:val="19"/>
        </w:rPr>
        <w:t>existing</w:t>
      </w:r>
      <w:r>
        <w:rPr>
          <w:rFonts w:ascii="Arial"/>
          <w:spacing w:val="-30"/>
          <w:w w:val="105"/>
          <w:sz w:val="19"/>
        </w:rPr>
        <w:t xml:space="preserve"> </w:t>
      </w:r>
      <w:r>
        <w:rPr>
          <w:rFonts w:ascii="Arial"/>
          <w:w w:val="105"/>
          <w:sz w:val="19"/>
        </w:rPr>
        <w:t>brand</w:t>
      </w:r>
      <w:r>
        <w:rPr>
          <w:rFonts w:ascii="Arial"/>
          <w:spacing w:val="-29"/>
          <w:w w:val="105"/>
          <w:sz w:val="19"/>
        </w:rPr>
        <w:t xml:space="preserve"> </w:t>
      </w:r>
      <w:r>
        <w:rPr>
          <w:rFonts w:ascii="Arial"/>
          <w:w w:val="105"/>
          <w:sz w:val="19"/>
        </w:rPr>
        <w:t>owners/manufacturers</w:t>
      </w:r>
      <w:r>
        <w:rPr>
          <w:rFonts w:ascii="Arial"/>
          <w:spacing w:val="-28"/>
          <w:w w:val="105"/>
          <w:sz w:val="19"/>
        </w:rPr>
        <w:t xml:space="preserve"> </w:t>
      </w:r>
      <w:r>
        <w:rPr>
          <w:rFonts w:ascii="Arial"/>
          <w:w w:val="105"/>
          <w:sz w:val="19"/>
        </w:rPr>
        <w:t>with</w:t>
      </w:r>
      <w:r>
        <w:rPr>
          <w:rFonts w:ascii="Arial"/>
          <w:spacing w:val="-29"/>
          <w:w w:val="105"/>
          <w:sz w:val="19"/>
        </w:rPr>
        <w:t xml:space="preserve"> </w:t>
      </w:r>
      <w:r>
        <w:rPr>
          <w:rFonts w:ascii="Arial"/>
          <w:w w:val="105"/>
          <w:sz w:val="19"/>
        </w:rPr>
        <w:t>products</w:t>
      </w:r>
      <w:r>
        <w:rPr>
          <w:rFonts w:ascii="Arial"/>
          <w:spacing w:val="-29"/>
          <w:w w:val="105"/>
          <w:sz w:val="19"/>
        </w:rPr>
        <w:t xml:space="preserve"> </w:t>
      </w:r>
      <w:r>
        <w:rPr>
          <w:rFonts w:ascii="Arial"/>
          <w:w w:val="105"/>
          <w:sz w:val="19"/>
        </w:rPr>
        <w:t>in</w:t>
      </w:r>
      <w:r>
        <w:rPr>
          <w:rFonts w:ascii="Arial"/>
          <w:spacing w:val="-29"/>
          <w:w w:val="105"/>
          <w:sz w:val="19"/>
        </w:rPr>
        <w:t xml:space="preserve"> </w:t>
      </w:r>
      <w:r>
        <w:rPr>
          <w:rFonts w:ascii="Arial"/>
          <w:w w:val="105"/>
          <w:sz w:val="19"/>
        </w:rPr>
        <w:t>the in-scope</w:t>
      </w:r>
      <w:r>
        <w:rPr>
          <w:rFonts w:ascii="Arial"/>
          <w:spacing w:val="-23"/>
          <w:w w:val="105"/>
          <w:sz w:val="19"/>
        </w:rPr>
        <w:t xml:space="preserve"> </w:t>
      </w:r>
      <w:r>
        <w:rPr>
          <w:rFonts w:ascii="Arial"/>
          <w:w w:val="105"/>
          <w:sz w:val="19"/>
        </w:rPr>
        <w:t>sports</w:t>
      </w:r>
      <w:r>
        <w:rPr>
          <w:rFonts w:ascii="Arial"/>
          <w:spacing w:val="-24"/>
          <w:w w:val="105"/>
          <w:sz w:val="19"/>
        </w:rPr>
        <w:t xml:space="preserve"> </w:t>
      </w:r>
      <w:r>
        <w:rPr>
          <w:rFonts w:ascii="Arial"/>
          <w:w w:val="105"/>
          <w:sz w:val="19"/>
        </w:rPr>
        <w:t>supplements</w:t>
      </w:r>
      <w:r>
        <w:rPr>
          <w:rFonts w:ascii="Arial"/>
          <w:spacing w:val="-25"/>
          <w:w w:val="105"/>
          <w:sz w:val="19"/>
        </w:rPr>
        <w:t xml:space="preserve"> </w:t>
      </w:r>
      <w:r>
        <w:rPr>
          <w:rFonts w:ascii="Arial"/>
          <w:w w:val="105"/>
          <w:sz w:val="19"/>
        </w:rPr>
        <w:t>product</w:t>
      </w:r>
      <w:r>
        <w:rPr>
          <w:rFonts w:ascii="Arial"/>
          <w:spacing w:val="-23"/>
          <w:w w:val="105"/>
          <w:sz w:val="19"/>
        </w:rPr>
        <w:t xml:space="preserve"> </w:t>
      </w:r>
      <w:r>
        <w:rPr>
          <w:rFonts w:ascii="Arial"/>
          <w:w w:val="105"/>
          <w:sz w:val="19"/>
        </w:rPr>
        <w:t>categories).</w:t>
      </w:r>
      <w:r>
        <w:rPr>
          <w:rFonts w:ascii="Arial"/>
          <w:spacing w:val="-22"/>
          <w:w w:val="105"/>
          <w:sz w:val="19"/>
        </w:rPr>
        <w:t xml:space="preserve"> </w:t>
      </w:r>
      <w:r>
        <w:rPr>
          <w:rFonts w:ascii="Arial"/>
          <w:w w:val="105"/>
          <w:sz w:val="19"/>
        </w:rPr>
        <w:t>For</w:t>
      </w:r>
      <w:r>
        <w:rPr>
          <w:rFonts w:ascii="Arial"/>
          <w:spacing w:val="-22"/>
          <w:w w:val="105"/>
          <w:sz w:val="19"/>
        </w:rPr>
        <w:t xml:space="preserve"> </w:t>
      </w:r>
      <w:r>
        <w:rPr>
          <w:rFonts w:ascii="Arial"/>
          <w:w w:val="105"/>
          <w:sz w:val="19"/>
        </w:rPr>
        <w:t>options</w:t>
      </w:r>
      <w:r>
        <w:rPr>
          <w:rFonts w:ascii="Arial"/>
          <w:spacing w:val="-23"/>
          <w:w w:val="105"/>
          <w:sz w:val="19"/>
        </w:rPr>
        <w:t xml:space="preserve"> </w:t>
      </w:r>
      <w:r>
        <w:rPr>
          <w:rFonts w:ascii="Arial"/>
          <w:w w:val="105"/>
          <w:sz w:val="19"/>
        </w:rPr>
        <w:t>2A</w:t>
      </w:r>
      <w:r>
        <w:rPr>
          <w:rFonts w:ascii="Arial"/>
          <w:spacing w:val="-23"/>
          <w:w w:val="105"/>
          <w:sz w:val="19"/>
        </w:rPr>
        <w:t xml:space="preserve"> </w:t>
      </w:r>
      <w:r>
        <w:rPr>
          <w:rFonts w:ascii="Arial"/>
          <w:w w:val="105"/>
          <w:sz w:val="19"/>
        </w:rPr>
        <w:t>and</w:t>
      </w:r>
      <w:r>
        <w:rPr>
          <w:rFonts w:ascii="Arial"/>
          <w:spacing w:val="-24"/>
          <w:w w:val="105"/>
          <w:sz w:val="19"/>
        </w:rPr>
        <w:t xml:space="preserve"> </w:t>
      </w:r>
      <w:r>
        <w:rPr>
          <w:rFonts w:ascii="Arial"/>
          <w:w w:val="105"/>
          <w:sz w:val="19"/>
        </w:rPr>
        <w:t>2B</w:t>
      </w:r>
      <w:r>
        <w:rPr>
          <w:rFonts w:ascii="Arial"/>
          <w:spacing w:val="-24"/>
          <w:w w:val="105"/>
          <w:sz w:val="19"/>
        </w:rPr>
        <w:t xml:space="preserve"> </w:t>
      </w:r>
      <w:r>
        <w:rPr>
          <w:rFonts w:ascii="Arial"/>
          <w:w w:val="105"/>
          <w:sz w:val="19"/>
        </w:rPr>
        <w:t>an</w:t>
      </w:r>
      <w:r>
        <w:rPr>
          <w:rFonts w:ascii="Arial"/>
          <w:spacing w:val="-25"/>
          <w:w w:val="105"/>
          <w:sz w:val="19"/>
        </w:rPr>
        <w:t xml:space="preserve"> </w:t>
      </w:r>
      <w:r>
        <w:rPr>
          <w:rFonts w:ascii="Arial"/>
          <w:w w:val="105"/>
          <w:sz w:val="19"/>
        </w:rPr>
        <w:t>estimate</w:t>
      </w:r>
      <w:r>
        <w:rPr>
          <w:rFonts w:ascii="Arial"/>
          <w:spacing w:val="-25"/>
          <w:w w:val="105"/>
          <w:sz w:val="19"/>
        </w:rPr>
        <w:t xml:space="preserve"> </w:t>
      </w:r>
      <w:r>
        <w:rPr>
          <w:rFonts w:ascii="Arial"/>
          <w:w w:val="105"/>
          <w:sz w:val="19"/>
        </w:rPr>
        <w:t>of</w:t>
      </w:r>
      <w:r>
        <w:rPr>
          <w:rFonts w:ascii="Arial"/>
          <w:spacing w:val="-24"/>
          <w:w w:val="105"/>
          <w:sz w:val="19"/>
        </w:rPr>
        <w:t xml:space="preserve"> </w:t>
      </w:r>
      <w:r>
        <w:rPr>
          <w:rFonts w:ascii="Arial"/>
          <w:w w:val="105"/>
          <w:sz w:val="19"/>
        </w:rPr>
        <w:t>10%</w:t>
      </w:r>
      <w:r>
        <w:rPr>
          <w:rFonts w:ascii="Arial"/>
          <w:spacing w:val="-24"/>
          <w:w w:val="105"/>
          <w:sz w:val="19"/>
        </w:rPr>
        <w:t xml:space="preserve"> </w:t>
      </w:r>
      <w:r>
        <w:rPr>
          <w:rFonts w:ascii="Arial"/>
          <w:w w:val="105"/>
          <w:sz w:val="19"/>
        </w:rPr>
        <w:t>was used</w:t>
      </w:r>
      <w:r>
        <w:rPr>
          <w:rFonts w:ascii="Arial"/>
          <w:spacing w:val="-22"/>
          <w:w w:val="105"/>
          <w:sz w:val="19"/>
        </w:rPr>
        <w:t xml:space="preserve"> </w:t>
      </w:r>
      <w:r>
        <w:rPr>
          <w:rFonts w:ascii="Arial"/>
          <w:w w:val="105"/>
          <w:sz w:val="19"/>
        </w:rPr>
        <w:t>for</w:t>
      </w:r>
      <w:r>
        <w:rPr>
          <w:rFonts w:ascii="Arial"/>
          <w:spacing w:val="-21"/>
          <w:w w:val="105"/>
          <w:sz w:val="19"/>
        </w:rPr>
        <w:t xml:space="preserve"> </w:t>
      </w:r>
      <w:r>
        <w:rPr>
          <w:rFonts w:ascii="Arial"/>
          <w:w w:val="105"/>
          <w:sz w:val="19"/>
        </w:rPr>
        <w:t>the</w:t>
      </w:r>
      <w:r>
        <w:rPr>
          <w:rFonts w:ascii="Arial"/>
          <w:spacing w:val="-22"/>
          <w:w w:val="105"/>
          <w:sz w:val="19"/>
        </w:rPr>
        <w:t xml:space="preserve"> </w:t>
      </w:r>
      <w:r>
        <w:rPr>
          <w:rFonts w:ascii="Arial"/>
          <w:w w:val="105"/>
          <w:sz w:val="19"/>
        </w:rPr>
        <w:t>number</w:t>
      </w:r>
      <w:r>
        <w:rPr>
          <w:rFonts w:ascii="Arial"/>
          <w:spacing w:val="-22"/>
          <w:w w:val="105"/>
          <w:sz w:val="19"/>
        </w:rPr>
        <w:t xml:space="preserve"> </w:t>
      </w:r>
      <w:r>
        <w:rPr>
          <w:rFonts w:ascii="Arial"/>
          <w:w w:val="105"/>
          <w:sz w:val="19"/>
        </w:rPr>
        <w:t>of</w:t>
      </w:r>
      <w:r>
        <w:rPr>
          <w:rFonts w:ascii="Arial"/>
          <w:spacing w:val="-22"/>
          <w:w w:val="105"/>
          <w:sz w:val="19"/>
        </w:rPr>
        <w:t xml:space="preserve"> </w:t>
      </w:r>
      <w:r>
        <w:rPr>
          <w:rFonts w:ascii="Arial"/>
          <w:w w:val="105"/>
          <w:sz w:val="19"/>
        </w:rPr>
        <w:t>potential</w:t>
      </w:r>
      <w:r>
        <w:rPr>
          <w:rFonts w:ascii="Arial"/>
          <w:spacing w:val="-22"/>
          <w:w w:val="105"/>
          <w:sz w:val="19"/>
        </w:rPr>
        <w:t xml:space="preserve"> </w:t>
      </w:r>
      <w:r>
        <w:rPr>
          <w:rFonts w:ascii="Arial"/>
          <w:w w:val="105"/>
          <w:sz w:val="19"/>
        </w:rPr>
        <w:t>new</w:t>
      </w:r>
      <w:r>
        <w:rPr>
          <w:rFonts w:ascii="Arial"/>
          <w:spacing w:val="-20"/>
          <w:w w:val="105"/>
          <w:sz w:val="19"/>
        </w:rPr>
        <w:t xml:space="preserve"> </w:t>
      </w:r>
      <w:r>
        <w:rPr>
          <w:rFonts w:ascii="Arial"/>
          <w:w w:val="105"/>
          <w:sz w:val="19"/>
        </w:rPr>
        <w:t>sponsors</w:t>
      </w:r>
      <w:r>
        <w:rPr>
          <w:rFonts w:ascii="Arial"/>
          <w:spacing w:val="-20"/>
          <w:w w:val="105"/>
          <w:sz w:val="19"/>
        </w:rPr>
        <w:t xml:space="preserve"> </w:t>
      </w:r>
      <w:r>
        <w:rPr>
          <w:rFonts w:ascii="Arial"/>
          <w:w w:val="105"/>
          <w:sz w:val="19"/>
        </w:rPr>
        <w:t>who</w:t>
      </w:r>
      <w:r>
        <w:rPr>
          <w:rFonts w:ascii="Arial"/>
          <w:spacing w:val="-21"/>
          <w:w w:val="105"/>
          <w:sz w:val="19"/>
        </w:rPr>
        <w:t xml:space="preserve"> </w:t>
      </w:r>
      <w:r>
        <w:rPr>
          <w:rFonts w:ascii="Arial"/>
          <w:w w:val="105"/>
          <w:sz w:val="19"/>
        </w:rPr>
        <w:t>will</w:t>
      </w:r>
      <w:r>
        <w:rPr>
          <w:rFonts w:ascii="Arial"/>
          <w:spacing w:val="-22"/>
          <w:w w:val="105"/>
          <w:sz w:val="19"/>
        </w:rPr>
        <w:t xml:space="preserve"> </w:t>
      </w:r>
      <w:r>
        <w:rPr>
          <w:rFonts w:ascii="Arial"/>
          <w:w w:val="105"/>
          <w:sz w:val="19"/>
        </w:rPr>
        <w:t>proceed</w:t>
      </w:r>
      <w:r>
        <w:rPr>
          <w:rFonts w:ascii="Arial"/>
          <w:spacing w:val="-22"/>
          <w:w w:val="105"/>
          <w:sz w:val="19"/>
        </w:rPr>
        <w:t xml:space="preserve"> </w:t>
      </w:r>
      <w:r>
        <w:rPr>
          <w:rFonts w:ascii="Arial"/>
          <w:w w:val="105"/>
          <w:sz w:val="19"/>
        </w:rPr>
        <w:t>down</w:t>
      </w:r>
      <w:r>
        <w:rPr>
          <w:rFonts w:ascii="Arial"/>
          <w:spacing w:val="-22"/>
          <w:w w:val="105"/>
          <w:sz w:val="19"/>
        </w:rPr>
        <w:t xml:space="preserve"> </w:t>
      </w:r>
      <w:r>
        <w:rPr>
          <w:rFonts w:ascii="Arial"/>
          <w:w w:val="105"/>
          <w:sz w:val="19"/>
        </w:rPr>
        <w:t>the</w:t>
      </w:r>
      <w:r>
        <w:rPr>
          <w:rFonts w:ascii="Arial"/>
          <w:spacing w:val="-22"/>
          <w:w w:val="105"/>
          <w:sz w:val="19"/>
        </w:rPr>
        <w:t xml:space="preserve"> </w:t>
      </w:r>
      <w:r>
        <w:rPr>
          <w:rFonts w:ascii="Arial"/>
          <w:w w:val="105"/>
          <w:sz w:val="19"/>
        </w:rPr>
        <w:t>pathway</w:t>
      </w:r>
      <w:r>
        <w:rPr>
          <w:rFonts w:ascii="Arial"/>
          <w:spacing w:val="-21"/>
          <w:w w:val="105"/>
          <w:sz w:val="19"/>
        </w:rPr>
        <w:t xml:space="preserve"> </w:t>
      </w:r>
      <w:r>
        <w:rPr>
          <w:rFonts w:ascii="Arial"/>
          <w:w w:val="105"/>
          <w:sz w:val="19"/>
        </w:rPr>
        <w:t>of</w:t>
      </w:r>
      <w:r>
        <w:rPr>
          <w:rFonts w:ascii="Arial"/>
          <w:spacing w:val="-24"/>
          <w:w w:val="105"/>
          <w:sz w:val="19"/>
        </w:rPr>
        <w:t xml:space="preserve"> </w:t>
      </w:r>
      <w:r>
        <w:rPr>
          <w:rFonts w:ascii="Arial"/>
          <w:w w:val="105"/>
          <w:sz w:val="19"/>
        </w:rPr>
        <w:t>becoming</w:t>
      </w:r>
      <w:r>
        <w:rPr>
          <w:rFonts w:ascii="Arial"/>
          <w:spacing w:val="-22"/>
          <w:w w:val="105"/>
          <w:sz w:val="19"/>
        </w:rPr>
        <w:t xml:space="preserve"> </w:t>
      </w:r>
      <w:r>
        <w:rPr>
          <w:rFonts w:ascii="Arial"/>
          <w:w w:val="105"/>
          <w:sz w:val="19"/>
        </w:rPr>
        <w:t>a sponsor. This has been reduced by 40% (n=6) to account for the reduction in brand owners/manufacturers needing to become a sponsor purely because of the presentation of their product</w:t>
      </w:r>
      <w:r>
        <w:rPr>
          <w:rFonts w:ascii="Arial"/>
          <w:spacing w:val="-17"/>
          <w:w w:val="105"/>
          <w:sz w:val="19"/>
        </w:rPr>
        <w:t xml:space="preserve"> </w:t>
      </w:r>
      <w:r>
        <w:rPr>
          <w:rFonts w:ascii="Arial"/>
          <w:w w:val="105"/>
          <w:sz w:val="19"/>
        </w:rPr>
        <w:t>(that</w:t>
      </w:r>
      <w:r>
        <w:rPr>
          <w:rFonts w:ascii="Arial"/>
          <w:spacing w:val="-15"/>
          <w:w w:val="105"/>
          <w:sz w:val="19"/>
        </w:rPr>
        <w:t xml:space="preserve"> </w:t>
      </w:r>
      <w:r>
        <w:rPr>
          <w:rFonts w:ascii="Arial"/>
          <w:w w:val="105"/>
          <w:sz w:val="19"/>
        </w:rPr>
        <w:t>is,</w:t>
      </w:r>
      <w:r>
        <w:rPr>
          <w:rFonts w:ascii="Arial"/>
          <w:spacing w:val="-17"/>
          <w:w w:val="105"/>
          <w:sz w:val="19"/>
        </w:rPr>
        <w:t xml:space="preserve"> </w:t>
      </w:r>
      <w:r>
        <w:rPr>
          <w:rFonts w:ascii="Arial"/>
          <w:w w:val="105"/>
          <w:sz w:val="19"/>
        </w:rPr>
        <w:t>they</w:t>
      </w:r>
      <w:r>
        <w:rPr>
          <w:rFonts w:ascii="Arial"/>
          <w:spacing w:val="-18"/>
          <w:w w:val="105"/>
          <w:sz w:val="19"/>
        </w:rPr>
        <w:t xml:space="preserve"> </w:t>
      </w:r>
      <w:r>
        <w:rPr>
          <w:rFonts w:ascii="Arial"/>
          <w:w w:val="105"/>
          <w:sz w:val="19"/>
        </w:rPr>
        <w:t>will</w:t>
      </w:r>
      <w:r>
        <w:rPr>
          <w:rFonts w:ascii="Arial"/>
          <w:spacing w:val="-17"/>
          <w:w w:val="105"/>
          <w:sz w:val="19"/>
        </w:rPr>
        <w:t xml:space="preserve"> </w:t>
      </w:r>
      <w:r>
        <w:rPr>
          <w:rFonts w:ascii="Arial"/>
          <w:w w:val="105"/>
          <w:sz w:val="19"/>
        </w:rPr>
        <w:t>become</w:t>
      </w:r>
      <w:r>
        <w:rPr>
          <w:rFonts w:ascii="Arial"/>
          <w:spacing w:val="-15"/>
          <w:w w:val="105"/>
          <w:sz w:val="19"/>
        </w:rPr>
        <w:t xml:space="preserve"> </w:t>
      </w:r>
      <w:r>
        <w:rPr>
          <w:rFonts w:ascii="Arial"/>
          <w:w w:val="105"/>
          <w:sz w:val="19"/>
        </w:rPr>
        <w:t>a</w:t>
      </w:r>
      <w:r>
        <w:rPr>
          <w:rFonts w:ascii="Arial"/>
          <w:spacing w:val="-16"/>
          <w:w w:val="105"/>
          <w:sz w:val="19"/>
        </w:rPr>
        <w:t xml:space="preserve"> </w:t>
      </w:r>
      <w:r>
        <w:rPr>
          <w:rFonts w:ascii="Arial"/>
          <w:w w:val="105"/>
          <w:sz w:val="19"/>
        </w:rPr>
        <w:t>sponsor</w:t>
      </w:r>
      <w:r>
        <w:rPr>
          <w:rFonts w:ascii="Arial"/>
          <w:spacing w:val="-18"/>
          <w:w w:val="105"/>
          <w:sz w:val="19"/>
        </w:rPr>
        <w:t xml:space="preserve"> </w:t>
      </w:r>
      <w:r>
        <w:rPr>
          <w:rFonts w:ascii="Arial"/>
          <w:w w:val="105"/>
          <w:sz w:val="19"/>
        </w:rPr>
        <w:t>purely</w:t>
      </w:r>
      <w:r>
        <w:rPr>
          <w:rFonts w:ascii="Arial"/>
          <w:spacing w:val="-16"/>
          <w:w w:val="105"/>
          <w:sz w:val="19"/>
        </w:rPr>
        <w:t xml:space="preserve"> </w:t>
      </w:r>
      <w:r>
        <w:rPr>
          <w:rFonts w:ascii="Arial"/>
          <w:w w:val="105"/>
          <w:sz w:val="19"/>
        </w:rPr>
        <w:t>on</w:t>
      </w:r>
      <w:r>
        <w:rPr>
          <w:rFonts w:ascii="Arial"/>
          <w:spacing w:val="-17"/>
          <w:w w:val="105"/>
          <w:sz w:val="19"/>
        </w:rPr>
        <w:t xml:space="preserve"> </w:t>
      </w:r>
      <w:r>
        <w:rPr>
          <w:rFonts w:ascii="Arial"/>
          <w:w w:val="105"/>
          <w:sz w:val="19"/>
        </w:rPr>
        <w:t>the</w:t>
      </w:r>
      <w:r>
        <w:rPr>
          <w:rFonts w:ascii="Arial"/>
          <w:spacing w:val="-17"/>
          <w:w w:val="105"/>
          <w:sz w:val="19"/>
        </w:rPr>
        <w:t xml:space="preserve"> </w:t>
      </w:r>
      <w:r>
        <w:rPr>
          <w:rFonts w:ascii="Arial"/>
          <w:w w:val="105"/>
          <w:sz w:val="19"/>
        </w:rPr>
        <w:t>basis</w:t>
      </w:r>
      <w:r>
        <w:rPr>
          <w:rFonts w:ascii="Arial"/>
          <w:spacing w:val="-16"/>
          <w:w w:val="105"/>
          <w:sz w:val="19"/>
        </w:rPr>
        <w:t xml:space="preserve"> </w:t>
      </w:r>
      <w:r>
        <w:rPr>
          <w:rFonts w:ascii="Arial"/>
          <w:w w:val="105"/>
          <w:sz w:val="19"/>
        </w:rPr>
        <w:t>on</w:t>
      </w:r>
      <w:r>
        <w:rPr>
          <w:rFonts w:ascii="Arial"/>
          <w:spacing w:val="-16"/>
          <w:w w:val="105"/>
          <w:sz w:val="19"/>
        </w:rPr>
        <w:t xml:space="preserve"> </w:t>
      </w:r>
      <w:r>
        <w:rPr>
          <w:rFonts w:ascii="Arial"/>
          <w:w w:val="105"/>
          <w:sz w:val="19"/>
        </w:rPr>
        <w:t>their</w:t>
      </w:r>
      <w:r>
        <w:rPr>
          <w:rFonts w:ascii="Arial"/>
          <w:spacing w:val="-18"/>
          <w:w w:val="105"/>
          <w:sz w:val="19"/>
        </w:rPr>
        <w:t xml:space="preserve"> </w:t>
      </w:r>
      <w:r>
        <w:rPr>
          <w:rFonts w:ascii="Arial"/>
          <w:w w:val="105"/>
          <w:sz w:val="19"/>
        </w:rPr>
        <w:t>product</w:t>
      </w:r>
      <w:r>
        <w:rPr>
          <w:rFonts w:ascii="Arial"/>
          <w:spacing w:val="-17"/>
          <w:w w:val="105"/>
          <w:sz w:val="19"/>
        </w:rPr>
        <w:t xml:space="preserve"> </w:t>
      </w:r>
      <w:r>
        <w:rPr>
          <w:rFonts w:ascii="Arial"/>
          <w:w w:val="105"/>
          <w:sz w:val="19"/>
        </w:rPr>
        <w:t>ingredients).</w:t>
      </w:r>
    </w:p>
    <w:p w:rsidR="007D76BB" w:rsidRDefault="00D70D28">
      <w:pPr>
        <w:spacing w:before="72"/>
        <w:ind w:left="482"/>
        <w:rPr>
          <w:rFonts w:ascii="Arial"/>
          <w:i/>
          <w:sz w:val="20"/>
        </w:rPr>
      </w:pPr>
      <w:r>
        <w:rPr>
          <w:rFonts w:ascii="Arial"/>
          <w:i/>
          <w:sz w:val="20"/>
        </w:rPr>
        <w:t>Future population considerations</w:t>
      </w:r>
    </w:p>
    <w:p w:rsidR="007D76BB" w:rsidRDefault="00D70D28">
      <w:pPr>
        <w:spacing w:before="199" w:line="264" w:lineRule="auto"/>
        <w:ind w:left="482" w:right="948"/>
        <w:rPr>
          <w:rFonts w:ascii="Arial"/>
          <w:sz w:val="19"/>
        </w:rPr>
      </w:pPr>
      <w:r>
        <w:rPr>
          <w:rFonts w:ascii="Arial"/>
          <w:w w:val="110"/>
          <w:sz w:val="19"/>
        </w:rPr>
        <w:t>As</w:t>
      </w:r>
      <w:r>
        <w:rPr>
          <w:rFonts w:ascii="Arial"/>
          <w:spacing w:val="-44"/>
          <w:w w:val="110"/>
          <w:sz w:val="19"/>
        </w:rPr>
        <w:t xml:space="preserve"> </w:t>
      </w:r>
      <w:r>
        <w:rPr>
          <w:rFonts w:ascii="Arial"/>
          <w:w w:val="110"/>
          <w:sz w:val="19"/>
        </w:rPr>
        <w:t>outlined</w:t>
      </w:r>
      <w:r>
        <w:rPr>
          <w:rFonts w:ascii="Arial"/>
          <w:spacing w:val="-43"/>
          <w:w w:val="110"/>
          <w:sz w:val="19"/>
        </w:rPr>
        <w:t xml:space="preserve"> </w:t>
      </w:r>
      <w:r>
        <w:rPr>
          <w:rFonts w:ascii="Arial"/>
          <w:w w:val="110"/>
          <w:sz w:val="19"/>
        </w:rPr>
        <w:t>in</w:t>
      </w:r>
      <w:r>
        <w:rPr>
          <w:rFonts w:ascii="Arial"/>
          <w:spacing w:val="-43"/>
          <w:w w:val="110"/>
          <w:sz w:val="19"/>
        </w:rPr>
        <w:t xml:space="preserve"> </w:t>
      </w:r>
      <w:r>
        <w:rPr>
          <w:rFonts w:ascii="Arial"/>
          <w:w w:val="110"/>
          <w:sz w:val="19"/>
        </w:rPr>
        <w:t>options</w:t>
      </w:r>
      <w:r>
        <w:rPr>
          <w:rFonts w:ascii="Arial"/>
          <w:spacing w:val="-44"/>
          <w:w w:val="110"/>
          <w:sz w:val="19"/>
        </w:rPr>
        <w:t xml:space="preserve"> </w:t>
      </w:r>
      <w:r>
        <w:rPr>
          <w:rFonts w:ascii="Arial"/>
          <w:w w:val="110"/>
          <w:sz w:val="19"/>
        </w:rPr>
        <w:t>2A</w:t>
      </w:r>
      <w:r>
        <w:rPr>
          <w:rFonts w:ascii="Arial"/>
          <w:spacing w:val="-42"/>
          <w:w w:val="110"/>
          <w:sz w:val="19"/>
        </w:rPr>
        <w:t xml:space="preserve"> </w:t>
      </w:r>
      <w:r>
        <w:rPr>
          <w:rFonts w:ascii="Arial"/>
          <w:w w:val="110"/>
          <w:sz w:val="19"/>
        </w:rPr>
        <w:t>&amp;</w:t>
      </w:r>
      <w:r>
        <w:rPr>
          <w:rFonts w:ascii="Arial"/>
          <w:spacing w:val="-44"/>
          <w:w w:val="110"/>
          <w:sz w:val="19"/>
        </w:rPr>
        <w:t xml:space="preserve"> </w:t>
      </w:r>
      <w:r>
        <w:rPr>
          <w:rFonts w:ascii="Arial"/>
          <w:w w:val="110"/>
          <w:sz w:val="19"/>
        </w:rPr>
        <w:t>2B,</w:t>
      </w:r>
      <w:r>
        <w:rPr>
          <w:rFonts w:ascii="Arial"/>
          <w:spacing w:val="-43"/>
          <w:w w:val="110"/>
          <w:sz w:val="19"/>
        </w:rPr>
        <w:t xml:space="preserve"> </w:t>
      </w:r>
      <w:r>
        <w:rPr>
          <w:rFonts w:ascii="Arial"/>
          <w:w w:val="110"/>
          <w:sz w:val="19"/>
        </w:rPr>
        <w:t>the</w:t>
      </w:r>
      <w:r>
        <w:rPr>
          <w:rFonts w:ascii="Arial"/>
          <w:spacing w:val="-44"/>
          <w:w w:val="110"/>
          <w:sz w:val="19"/>
        </w:rPr>
        <w:t xml:space="preserve"> </w:t>
      </w:r>
      <w:r>
        <w:rPr>
          <w:rFonts w:ascii="Arial"/>
          <w:w w:val="110"/>
          <w:sz w:val="19"/>
        </w:rPr>
        <w:t>future</w:t>
      </w:r>
      <w:r>
        <w:rPr>
          <w:rFonts w:ascii="Arial"/>
          <w:spacing w:val="-43"/>
          <w:w w:val="110"/>
          <w:sz w:val="19"/>
        </w:rPr>
        <w:t xml:space="preserve"> </w:t>
      </w:r>
      <w:r>
        <w:rPr>
          <w:rFonts w:ascii="Arial"/>
          <w:w w:val="110"/>
          <w:sz w:val="19"/>
        </w:rPr>
        <w:t>population</w:t>
      </w:r>
      <w:r>
        <w:rPr>
          <w:rFonts w:ascii="Arial"/>
          <w:spacing w:val="-42"/>
          <w:w w:val="110"/>
          <w:sz w:val="19"/>
        </w:rPr>
        <w:t xml:space="preserve"> </w:t>
      </w:r>
      <w:r>
        <w:rPr>
          <w:rFonts w:ascii="Arial"/>
          <w:w w:val="110"/>
          <w:sz w:val="19"/>
        </w:rPr>
        <w:t>for</w:t>
      </w:r>
      <w:r>
        <w:rPr>
          <w:rFonts w:ascii="Arial"/>
          <w:spacing w:val="-44"/>
          <w:w w:val="110"/>
          <w:sz w:val="19"/>
        </w:rPr>
        <w:t xml:space="preserve"> </w:t>
      </w:r>
      <w:r>
        <w:rPr>
          <w:rFonts w:ascii="Arial"/>
          <w:w w:val="110"/>
          <w:sz w:val="19"/>
        </w:rPr>
        <w:t>sponsors</w:t>
      </w:r>
      <w:r>
        <w:rPr>
          <w:rFonts w:ascii="Arial"/>
          <w:spacing w:val="-43"/>
          <w:w w:val="110"/>
          <w:sz w:val="19"/>
        </w:rPr>
        <w:t xml:space="preserve"> </w:t>
      </w:r>
      <w:r>
        <w:rPr>
          <w:rFonts w:ascii="Arial"/>
          <w:w w:val="110"/>
          <w:sz w:val="19"/>
        </w:rPr>
        <w:t>is</w:t>
      </w:r>
      <w:r>
        <w:rPr>
          <w:rFonts w:ascii="Arial"/>
          <w:spacing w:val="-43"/>
          <w:w w:val="110"/>
          <w:sz w:val="19"/>
        </w:rPr>
        <w:t xml:space="preserve"> </w:t>
      </w:r>
      <w:r>
        <w:rPr>
          <w:rFonts w:ascii="Arial"/>
          <w:w w:val="110"/>
          <w:sz w:val="19"/>
        </w:rPr>
        <w:t>considered</w:t>
      </w:r>
      <w:r>
        <w:rPr>
          <w:rFonts w:ascii="Arial"/>
          <w:spacing w:val="-44"/>
          <w:w w:val="110"/>
          <w:sz w:val="19"/>
        </w:rPr>
        <w:t xml:space="preserve"> </w:t>
      </w:r>
      <w:r>
        <w:rPr>
          <w:rFonts w:ascii="Arial"/>
          <w:w w:val="110"/>
          <w:sz w:val="19"/>
        </w:rPr>
        <w:t>to</w:t>
      </w:r>
      <w:r>
        <w:rPr>
          <w:rFonts w:ascii="Arial"/>
          <w:spacing w:val="-44"/>
          <w:w w:val="110"/>
          <w:sz w:val="19"/>
        </w:rPr>
        <w:t xml:space="preserve"> </w:t>
      </w:r>
      <w:r>
        <w:rPr>
          <w:rFonts w:ascii="Arial"/>
          <w:w w:val="110"/>
          <w:sz w:val="19"/>
        </w:rPr>
        <w:t>represent</w:t>
      </w:r>
      <w:r>
        <w:rPr>
          <w:rFonts w:ascii="Arial"/>
          <w:spacing w:val="-43"/>
          <w:w w:val="110"/>
          <w:sz w:val="19"/>
        </w:rPr>
        <w:t xml:space="preserve"> </w:t>
      </w:r>
      <w:r>
        <w:rPr>
          <w:rFonts w:ascii="Arial"/>
          <w:w w:val="110"/>
          <w:sz w:val="19"/>
        </w:rPr>
        <w:t>a</w:t>
      </w:r>
      <w:r>
        <w:rPr>
          <w:rFonts w:ascii="Arial"/>
          <w:spacing w:val="-43"/>
          <w:w w:val="110"/>
          <w:sz w:val="19"/>
        </w:rPr>
        <w:t xml:space="preserve"> </w:t>
      </w:r>
      <w:r>
        <w:rPr>
          <w:rFonts w:ascii="Arial"/>
          <w:w w:val="110"/>
          <w:sz w:val="19"/>
        </w:rPr>
        <w:t xml:space="preserve">non- </w:t>
      </w:r>
      <w:r>
        <w:rPr>
          <w:rFonts w:ascii="Arial"/>
          <w:w w:val="105"/>
          <w:sz w:val="19"/>
        </w:rPr>
        <w:t>material</w:t>
      </w:r>
      <w:r>
        <w:rPr>
          <w:rFonts w:ascii="Arial"/>
          <w:spacing w:val="-21"/>
          <w:w w:val="105"/>
          <w:sz w:val="19"/>
        </w:rPr>
        <w:t xml:space="preserve"> </w:t>
      </w:r>
      <w:r>
        <w:rPr>
          <w:rFonts w:ascii="Arial"/>
          <w:w w:val="105"/>
          <w:sz w:val="19"/>
        </w:rPr>
        <w:t>increase</w:t>
      </w:r>
      <w:r>
        <w:rPr>
          <w:rFonts w:ascii="Arial"/>
          <w:spacing w:val="-22"/>
          <w:w w:val="105"/>
          <w:sz w:val="19"/>
        </w:rPr>
        <w:t xml:space="preserve"> </w:t>
      </w:r>
      <w:r>
        <w:rPr>
          <w:rFonts w:ascii="Arial"/>
          <w:w w:val="105"/>
          <w:sz w:val="19"/>
        </w:rPr>
        <w:t>in</w:t>
      </w:r>
      <w:r>
        <w:rPr>
          <w:rFonts w:ascii="Arial"/>
          <w:spacing w:val="-23"/>
          <w:w w:val="105"/>
          <w:sz w:val="19"/>
        </w:rPr>
        <w:t xml:space="preserve"> </w:t>
      </w:r>
      <w:r>
        <w:rPr>
          <w:rFonts w:ascii="Arial"/>
          <w:w w:val="105"/>
          <w:sz w:val="19"/>
        </w:rPr>
        <w:t>the</w:t>
      </w:r>
      <w:r>
        <w:rPr>
          <w:rFonts w:ascii="Arial"/>
          <w:spacing w:val="-20"/>
          <w:w w:val="105"/>
          <w:sz w:val="19"/>
        </w:rPr>
        <w:t xml:space="preserve"> </w:t>
      </w:r>
      <w:r>
        <w:rPr>
          <w:rFonts w:ascii="Arial"/>
          <w:w w:val="105"/>
          <w:sz w:val="19"/>
        </w:rPr>
        <w:t>overall</w:t>
      </w:r>
      <w:r>
        <w:rPr>
          <w:rFonts w:ascii="Arial"/>
          <w:spacing w:val="-21"/>
          <w:w w:val="105"/>
          <w:sz w:val="19"/>
        </w:rPr>
        <w:t xml:space="preserve"> </w:t>
      </w:r>
      <w:r>
        <w:rPr>
          <w:rFonts w:ascii="Arial"/>
          <w:w w:val="105"/>
          <w:sz w:val="19"/>
        </w:rPr>
        <w:t>regulatory</w:t>
      </w:r>
      <w:r>
        <w:rPr>
          <w:rFonts w:ascii="Arial"/>
          <w:spacing w:val="-19"/>
          <w:w w:val="105"/>
          <w:sz w:val="19"/>
        </w:rPr>
        <w:t xml:space="preserve"> </w:t>
      </w:r>
      <w:r>
        <w:rPr>
          <w:rFonts w:ascii="Arial"/>
          <w:w w:val="105"/>
          <w:sz w:val="19"/>
        </w:rPr>
        <w:t>burden.</w:t>
      </w:r>
      <w:r>
        <w:rPr>
          <w:rFonts w:ascii="Arial"/>
          <w:spacing w:val="-20"/>
          <w:w w:val="105"/>
          <w:sz w:val="19"/>
        </w:rPr>
        <w:t xml:space="preserve"> </w:t>
      </w:r>
      <w:r>
        <w:rPr>
          <w:rFonts w:ascii="Arial"/>
          <w:w w:val="105"/>
          <w:sz w:val="19"/>
        </w:rPr>
        <w:t>Likewise,</w:t>
      </w:r>
      <w:r>
        <w:rPr>
          <w:rFonts w:ascii="Arial"/>
          <w:spacing w:val="-21"/>
          <w:w w:val="105"/>
          <w:sz w:val="19"/>
        </w:rPr>
        <w:t xml:space="preserve"> </w:t>
      </w:r>
      <w:r>
        <w:rPr>
          <w:rFonts w:ascii="Arial"/>
          <w:w w:val="105"/>
          <w:sz w:val="19"/>
        </w:rPr>
        <w:t>the</w:t>
      </w:r>
      <w:r>
        <w:rPr>
          <w:rFonts w:ascii="Arial"/>
          <w:spacing w:val="-22"/>
          <w:w w:val="105"/>
          <w:sz w:val="19"/>
        </w:rPr>
        <w:t xml:space="preserve"> </w:t>
      </w:r>
      <w:r>
        <w:rPr>
          <w:rFonts w:ascii="Arial"/>
          <w:w w:val="105"/>
          <w:sz w:val="19"/>
        </w:rPr>
        <w:t>proposed</w:t>
      </w:r>
      <w:r>
        <w:rPr>
          <w:rFonts w:ascii="Arial"/>
          <w:spacing w:val="-23"/>
          <w:w w:val="105"/>
          <w:sz w:val="19"/>
        </w:rPr>
        <w:t xml:space="preserve"> </w:t>
      </w:r>
      <w:r>
        <w:rPr>
          <w:rFonts w:ascii="Arial"/>
          <w:w w:val="105"/>
          <w:sz w:val="19"/>
        </w:rPr>
        <w:t>regulatory</w:t>
      </w:r>
      <w:r>
        <w:rPr>
          <w:rFonts w:ascii="Arial"/>
          <w:spacing w:val="-22"/>
          <w:w w:val="105"/>
          <w:sz w:val="19"/>
        </w:rPr>
        <w:t xml:space="preserve"> </w:t>
      </w:r>
      <w:r>
        <w:rPr>
          <w:rFonts w:ascii="Arial"/>
          <w:w w:val="105"/>
          <w:sz w:val="19"/>
        </w:rPr>
        <w:t>clarification will</w:t>
      </w:r>
      <w:r>
        <w:rPr>
          <w:rFonts w:ascii="Arial"/>
          <w:spacing w:val="-16"/>
          <w:w w:val="105"/>
          <w:sz w:val="19"/>
        </w:rPr>
        <w:t xml:space="preserve"> </w:t>
      </w:r>
      <w:r>
        <w:rPr>
          <w:rFonts w:ascii="Arial"/>
          <w:w w:val="105"/>
          <w:sz w:val="19"/>
        </w:rPr>
        <w:t>form</w:t>
      </w:r>
      <w:r>
        <w:rPr>
          <w:rFonts w:ascii="Arial"/>
          <w:spacing w:val="-16"/>
          <w:w w:val="105"/>
          <w:sz w:val="19"/>
        </w:rPr>
        <w:t xml:space="preserve"> </w:t>
      </w:r>
      <w:r>
        <w:rPr>
          <w:rFonts w:ascii="Arial"/>
          <w:w w:val="105"/>
          <w:sz w:val="19"/>
        </w:rPr>
        <w:t>but</w:t>
      </w:r>
      <w:r>
        <w:rPr>
          <w:rFonts w:ascii="Arial"/>
          <w:spacing w:val="-15"/>
          <w:w w:val="105"/>
          <w:sz w:val="19"/>
        </w:rPr>
        <w:t xml:space="preserve"> </w:t>
      </w:r>
      <w:r>
        <w:rPr>
          <w:rFonts w:ascii="Arial"/>
          <w:w w:val="105"/>
          <w:sz w:val="19"/>
        </w:rPr>
        <w:t>part</w:t>
      </w:r>
      <w:r>
        <w:rPr>
          <w:rFonts w:ascii="Arial"/>
          <w:spacing w:val="-17"/>
          <w:w w:val="105"/>
          <w:sz w:val="19"/>
        </w:rPr>
        <w:t xml:space="preserve"> </w:t>
      </w:r>
      <w:r>
        <w:rPr>
          <w:rFonts w:ascii="Arial"/>
          <w:w w:val="105"/>
          <w:sz w:val="19"/>
        </w:rPr>
        <w:t>of</w:t>
      </w:r>
      <w:r>
        <w:rPr>
          <w:rFonts w:ascii="Arial"/>
          <w:spacing w:val="-17"/>
          <w:w w:val="105"/>
          <w:sz w:val="19"/>
        </w:rPr>
        <w:t xml:space="preserve"> </w:t>
      </w:r>
      <w:r>
        <w:rPr>
          <w:rFonts w:ascii="Arial"/>
          <w:w w:val="105"/>
          <w:sz w:val="19"/>
        </w:rPr>
        <w:t>the</w:t>
      </w:r>
      <w:r>
        <w:rPr>
          <w:rFonts w:ascii="Arial"/>
          <w:spacing w:val="-18"/>
          <w:w w:val="105"/>
          <w:sz w:val="19"/>
        </w:rPr>
        <w:t xml:space="preserve"> </w:t>
      </w:r>
      <w:r>
        <w:rPr>
          <w:rFonts w:ascii="Arial"/>
          <w:w w:val="105"/>
          <w:sz w:val="19"/>
        </w:rPr>
        <w:t>complex</w:t>
      </w:r>
      <w:r>
        <w:rPr>
          <w:rFonts w:ascii="Arial"/>
          <w:spacing w:val="-18"/>
          <w:w w:val="105"/>
          <w:sz w:val="19"/>
        </w:rPr>
        <w:t xml:space="preserve"> </w:t>
      </w:r>
      <w:r>
        <w:rPr>
          <w:rFonts w:ascii="Arial"/>
          <w:w w:val="105"/>
          <w:sz w:val="19"/>
        </w:rPr>
        <w:t>regulatory</w:t>
      </w:r>
      <w:r>
        <w:rPr>
          <w:rFonts w:ascii="Arial"/>
          <w:spacing w:val="-16"/>
          <w:w w:val="105"/>
          <w:sz w:val="19"/>
        </w:rPr>
        <w:t xml:space="preserve"> </w:t>
      </w:r>
      <w:r>
        <w:rPr>
          <w:rFonts w:ascii="Arial"/>
          <w:w w:val="105"/>
          <w:sz w:val="19"/>
        </w:rPr>
        <w:t>framework</w:t>
      </w:r>
      <w:r>
        <w:rPr>
          <w:rFonts w:ascii="Arial"/>
          <w:spacing w:val="-16"/>
          <w:w w:val="105"/>
          <w:sz w:val="19"/>
        </w:rPr>
        <w:t xml:space="preserve"> </w:t>
      </w:r>
      <w:r>
        <w:rPr>
          <w:rFonts w:ascii="Arial"/>
          <w:w w:val="105"/>
          <w:sz w:val="19"/>
        </w:rPr>
        <w:t>that</w:t>
      </w:r>
      <w:r>
        <w:rPr>
          <w:rFonts w:ascii="Arial"/>
          <w:spacing w:val="-17"/>
          <w:w w:val="105"/>
          <w:sz w:val="19"/>
        </w:rPr>
        <w:t xml:space="preserve"> </w:t>
      </w:r>
      <w:r>
        <w:rPr>
          <w:rFonts w:ascii="Arial"/>
          <w:w w:val="105"/>
          <w:sz w:val="19"/>
        </w:rPr>
        <w:t>new</w:t>
      </w:r>
      <w:r>
        <w:rPr>
          <w:rFonts w:ascii="Arial"/>
          <w:spacing w:val="-16"/>
          <w:w w:val="105"/>
          <w:sz w:val="19"/>
        </w:rPr>
        <w:t xml:space="preserve"> </w:t>
      </w:r>
      <w:r>
        <w:rPr>
          <w:rFonts w:ascii="Arial"/>
          <w:w w:val="105"/>
          <w:sz w:val="19"/>
        </w:rPr>
        <w:t>food</w:t>
      </w:r>
      <w:r>
        <w:rPr>
          <w:rFonts w:ascii="Arial"/>
          <w:spacing w:val="-17"/>
          <w:w w:val="105"/>
          <w:sz w:val="19"/>
        </w:rPr>
        <w:t xml:space="preserve"> </w:t>
      </w:r>
      <w:r>
        <w:rPr>
          <w:rFonts w:ascii="Arial"/>
          <w:w w:val="105"/>
          <w:sz w:val="19"/>
        </w:rPr>
        <w:t>manufacturers/brand</w:t>
      </w:r>
      <w:r>
        <w:rPr>
          <w:rFonts w:ascii="Arial"/>
          <w:spacing w:val="-18"/>
          <w:w w:val="105"/>
          <w:sz w:val="19"/>
        </w:rPr>
        <w:t xml:space="preserve"> </w:t>
      </w:r>
      <w:r>
        <w:rPr>
          <w:rFonts w:ascii="Arial"/>
          <w:w w:val="105"/>
          <w:sz w:val="19"/>
        </w:rPr>
        <w:t xml:space="preserve">owners </w:t>
      </w:r>
      <w:r>
        <w:rPr>
          <w:rFonts w:ascii="Arial"/>
          <w:w w:val="110"/>
          <w:sz w:val="19"/>
        </w:rPr>
        <w:t>will</w:t>
      </w:r>
      <w:r>
        <w:rPr>
          <w:rFonts w:ascii="Arial"/>
          <w:spacing w:val="-36"/>
          <w:w w:val="110"/>
          <w:sz w:val="19"/>
        </w:rPr>
        <w:t xml:space="preserve"> </w:t>
      </w:r>
      <w:r>
        <w:rPr>
          <w:rFonts w:ascii="Arial"/>
          <w:w w:val="110"/>
          <w:sz w:val="19"/>
        </w:rPr>
        <w:t>need</w:t>
      </w:r>
      <w:r>
        <w:rPr>
          <w:rFonts w:ascii="Arial"/>
          <w:spacing w:val="-36"/>
          <w:w w:val="110"/>
          <w:sz w:val="19"/>
        </w:rPr>
        <w:t xml:space="preserve"> </w:t>
      </w:r>
      <w:r>
        <w:rPr>
          <w:rFonts w:ascii="Arial"/>
          <w:w w:val="110"/>
          <w:sz w:val="19"/>
        </w:rPr>
        <w:t>to</w:t>
      </w:r>
      <w:r>
        <w:rPr>
          <w:rFonts w:ascii="Arial"/>
          <w:spacing w:val="-35"/>
          <w:w w:val="110"/>
          <w:sz w:val="19"/>
        </w:rPr>
        <w:t xml:space="preserve"> </w:t>
      </w:r>
      <w:r>
        <w:rPr>
          <w:rFonts w:ascii="Arial"/>
          <w:w w:val="110"/>
          <w:sz w:val="19"/>
        </w:rPr>
        <w:t>be</w:t>
      </w:r>
      <w:r>
        <w:rPr>
          <w:rFonts w:ascii="Arial"/>
          <w:spacing w:val="-35"/>
          <w:w w:val="110"/>
          <w:sz w:val="19"/>
        </w:rPr>
        <w:t xml:space="preserve"> </w:t>
      </w:r>
      <w:r>
        <w:rPr>
          <w:rFonts w:ascii="Arial"/>
          <w:w w:val="110"/>
          <w:sz w:val="19"/>
        </w:rPr>
        <w:t>aware</w:t>
      </w:r>
      <w:r>
        <w:rPr>
          <w:rFonts w:ascii="Arial"/>
          <w:spacing w:val="-34"/>
          <w:w w:val="110"/>
          <w:sz w:val="19"/>
        </w:rPr>
        <w:t xml:space="preserve"> </w:t>
      </w:r>
      <w:r>
        <w:rPr>
          <w:rFonts w:ascii="Arial"/>
          <w:w w:val="110"/>
          <w:sz w:val="19"/>
        </w:rPr>
        <w:t>of</w:t>
      </w:r>
      <w:r>
        <w:rPr>
          <w:rFonts w:ascii="Arial"/>
          <w:spacing w:val="-37"/>
          <w:w w:val="110"/>
          <w:sz w:val="19"/>
        </w:rPr>
        <w:t xml:space="preserve"> </w:t>
      </w:r>
      <w:r>
        <w:rPr>
          <w:rFonts w:ascii="Arial"/>
          <w:w w:val="110"/>
          <w:sz w:val="19"/>
        </w:rPr>
        <w:t>and</w:t>
      </w:r>
      <w:r>
        <w:rPr>
          <w:rFonts w:ascii="Arial"/>
          <w:spacing w:val="-36"/>
          <w:w w:val="110"/>
          <w:sz w:val="19"/>
        </w:rPr>
        <w:t xml:space="preserve"> </w:t>
      </w:r>
      <w:r>
        <w:rPr>
          <w:rFonts w:ascii="Arial"/>
          <w:w w:val="110"/>
          <w:sz w:val="19"/>
        </w:rPr>
        <w:t>therefore</w:t>
      </w:r>
      <w:r>
        <w:rPr>
          <w:rFonts w:ascii="Arial"/>
          <w:spacing w:val="-34"/>
          <w:w w:val="110"/>
          <w:sz w:val="19"/>
        </w:rPr>
        <w:t xml:space="preserve"> </w:t>
      </w:r>
      <w:r>
        <w:rPr>
          <w:rFonts w:ascii="Arial"/>
          <w:w w:val="110"/>
          <w:sz w:val="19"/>
        </w:rPr>
        <w:t>is</w:t>
      </w:r>
      <w:r>
        <w:rPr>
          <w:rFonts w:ascii="Arial"/>
          <w:spacing w:val="-36"/>
          <w:w w:val="110"/>
          <w:sz w:val="19"/>
        </w:rPr>
        <w:t xml:space="preserve"> </w:t>
      </w:r>
      <w:r>
        <w:rPr>
          <w:rFonts w:ascii="Arial"/>
          <w:w w:val="110"/>
          <w:sz w:val="19"/>
        </w:rPr>
        <w:t>considered</w:t>
      </w:r>
      <w:r>
        <w:rPr>
          <w:rFonts w:ascii="Arial"/>
          <w:spacing w:val="-36"/>
          <w:w w:val="110"/>
          <w:sz w:val="19"/>
        </w:rPr>
        <w:t xml:space="preserve"> </w:t>
      </w:r>
      <w:r>
        <w:rPr>
          <w:rFonts w:ascii="Arial"/>
          <w:w w:val="110"/>
          <w:sz w:val="19"/>
        </w:rPr>
        <w:t>to</w:t>
      </w:r>
      <w:r>
        <w:rPr>
          <w:rFonts w:ascii="Arial"/>
          <w:spacing w:val="-35"/>
          <w:w w:val="110"/>
          <w:sz w:val="19"/>
        </w:rPr>
        <w:t xml:space="preserve"> </w:t>
      </w:r>
      <w:r>
        <w:rPr>
          <w:rFonts w:ascii="Arial"/>
          <w:w w:val="110"/>
          <w:sz w:val="19"/>
        </w:rPr>
        <w:t>represent</w:t>
      </w:r>
      <w:r>
        <w:rPr>
          <w:rFonts w:ascii="Arial"/>
          <w:spacing w:val="-35"/>
          <w:w w:val="110"/>
          <w:sz w:val="19"/>
        </w:rPr>
        <w:t xml:space="preserve"> </w:t>
      </w:r>
      <w:r>
        <w:rPr>
          <w:rFonts w:ascii="Arial"/>
          <w:w w:val="110"/>
          <w:sz w:val="19"/>
        </w:rPr>
        <w:t>a</w:t>
      </w:r>
      <w:r>
        <w:rPr>
          <w:rFonts w:ascii="Arial"/>
          <w:spacing w:val="-35"/>
          <w:w w:val="110"/>
          <w:sz w:val="19"/>
        </w:rPr>
        <w:t xml:space="preserve"> </w:t>
      </w:r>
      <w:r>
        <w:rPr>
          <w:rFonts w:ascii="Arial"/>
          <w:w w:val="110"/>
          <w:sz w:val="19"/>
        </w:rPr>
        <w:t>non-material</w:t>
      </w:r>
      <w:r>
        <w:rPr>
          <w:rFonts w:ascii="Arial"/>
          <w:spacing w:val="-36"/>
          <w:w w:val="110"/>
          <w:sz w:val="19"/>
        </w:rPr>
        <w:t xml:space="preserve"> </w:t>
      </w:r>
      <w:r>
        <w:rPr>
          <w:rFonts w:ascii="Arial"/>
          <w:w w:val="110"/>
          <w:sz w:val="19"/>
        </w:rPr>
        <w:t>increase</w:t>
      </w:r>
      <w:r>
        <w:rPr>
          <w:rFonts w:ascii="Arial"/>
          <w:spacing w:val="-34"/>
          <w:w w:val="110"/>
          <w:sz w:val="19"/>
        </w:rPr>
        <w:t xml:space="preserve"> </w:t>
      </w:r>
      <w:r>
        <w:rPr>
          <w:rFonts w:ascii="Arial"/>
          <w:w w:val="110"/>
          <w:sz w:val="19"/>
        </w:rPr>
        <w:t>in</w:t>
      </w:r>
      <w:r>
        <w:rPr>
          <w:rFonts w:ascii="Arial"/>
          <w:spacing w:val="-35"/>
          <w:w w:val="110"/>
          <w:sz w:val="19"/>
        </w:rPr>
        <w:t xml:space="preserve"> </w:t>
      </w:r>
      <w:r>
        <w:rPr>
          <w:rFonts w:ascii="Arial"/>
          <w:w w:val="110"/>
          <w:sz w:val="19"/>
        </w:rPr>
        <w:t>the overall regulatory</w:t>
      </w:r>
      <w:r>
        <w:rPr>
          <w:rFonts w:ascii="Arial"/>
          <w:spacing w:val="-27"/>
          <w:w w:val="110"/>
          <w:sz w:val="19"/>
        </w:rPr>
        <w:t xml:space="preserve"> </w:t>
      </w:r>
      <w:r>
        <w:rPr>
          <w:rFonts w:ascii="Arial"/>
          <w:w w:val="110"/>
          <w:sz w:val="19"/>
        </w:rPr>
        <w:t>burden.</w:t>
      </w:r>
    </w:p>
    <w:p w:rsidR="007D76BB" w:rsidRDefault="00D70D28">
      <w:pPr>
        <w:spacing w:before="76"/>
        <w:ind w:left="482"/>
        <w:rPr>
          <w:rFonts w:ascii="Lucida Sans"/>
          <w:b/>
          <w:sz w:val="20"/>
        </w:rPr>
      </w:pPr>
      <w:r>
        <w:rPr>
          <w:rFonts w:ascii="Lucida Sans"/>
          <w:b/>
          <w:sz w:val="20"/>
        </w:rPr>
        <w:t>Regulatory impact</w:t>
      </w:r>
    </w:p>
    <w:p w:rsidR="007D76BB" w:rsidRDefault="00D70D28">
      <w:pPr>
        <w:spacing w:before="103" w:line="266" w:lineRule="auto"/>
        <w:ind w:left="482" w:right="688"/>
        <w:rPr>
          <w:rFonts w:ascii="Arial"/>
          <w:sz w:val="19"/>
        </w:rPr>
      </w:pPr>
      <w:r>
        <w:rPr>
          <w:rFonts w:ascii="Arial"/>
          <w:w w:val="105"/>
          <w:sz w:val="19"/>
        </w:rPr>
        <w:t>As</w:t>
      </w:r>
      <w:r>
        <w:rPr>
          <w:rFonts w:ascii="Arial"/>
          <w:spacing w:val="-25"/>
          <w:w w:val="105"/>
          <w:sz w:val="19"/>
        </w:rPr>
        <w:t xml:space="preserve"> </w:t>
      </w:r>
      <w:r>
        <w:rPr>
          <w:rFonts w:ascii="Arial"/>
          <w:w w:val="105"/>
          <w:sz w:val="19"/>
        </w:rPr>
        <w:t>there</w:t>
      </w:r>
      <w:r>
        <w:rPr>
          <w:rFonts w:ascii="Arial"/>
          <w:spacing w:val="-25"/>
          <w:w w:val="105"/>
          <w:sz w:val="19"/>
        </w:rPr>
        <w:t xml:space="preserve"> </w:t>
      </w:r>
      <w:r>
        <w:rPr>
          <w:rFonts w:ascii="Arial"/>
          <w:w w:val="105"/>
          <w:sz w:val="19"/>
        </w:rPr>
        <w:t>is</w:t>
      </w:r>
      <w:r>
        <w:rPr>
          <w:rFonts w:ascii="Arial"/>
          <w:spacing w:val="-25"/>
          <w:w w:val="105"/>
          <w:sz w:val="19"/>
        </w:rPr>
        <w:t xml:space="preserve"> </w:t>
      </w:r>
      <w:r>
        <w:rPr>
          <w:rFonts w:ascii="Arial"/>
          <w:w w:val="105"/>
          <w:sz w:val="19"/>
        </w:rPr>
        <w:t>no</w:t>
      </w:r>
      <w:r>
        <w:rPr>
          <w:rFonts w:ascii="Arial"/>
          <w:spacing w:val="-26"/>
          <w:w w:val="105"/>
          <w:sz w:val="19"/>
        </w:rPr>
        <w:t xml:space="preserve"> </w:t>
      </w:r>
      <w:r>
        <w:rPr>
          <w:rFonts w:ascii="Arial"/>
          <w:w w:val="105"/>
          <w:sz w:val="19"/>
        </w:rPr>
        <w:t>difference</w:t>
      </w:r>
      <w:r>
        <w:rPr>
          <w:rFonts w:ascii="Arial"/>
          <w:spacing w:val="-25"/>
          <w:w w:val="105"/>
          <w:sz w:val="19"/>
        </w:rPr>
        <w:t xml:space="preserve"> </w:t>
      </w:r>
      <w:r>
        <w:rPr>
          <w:rFonts w:ascii="Arial"/>
          <w:w w:val="105"/>
          <w:sz w:val="19"/>
        </w:rPr>
        <w:t>between</w:t>
      </w:r>
      <w:r>
        <w:rPr>
          <w:rFonts w:ascii="Arial"/>
          <w:spacing w:val="-24"/>
          <w:w w:val="105"/>
          <w:sz w:val="19"/>
        </w:rPr>
        <w:t xml:space="preserve"> </w:t>
      </w:r>
      <w:r>
        <w:rPr>
          <w:rFonts w:ascii="Arial"/>
          <w:w w:val="105"/>
          <w:sz w:val="19"/>
        </w:rPr>
        <w:t>the</w:t>
      </w:r>
      <w:r>
        <w:rPr>
          <w:rFonts w:ascii="Arial"/>
          <w:spacing w:val="-25"/>
          <w:w w:val="105"/>
          <w:sz w:val="19"/>
        </w:rPr>
        <w:t xml:space="preserve"> </w:t>
      </w:r>
      <w:r>
        <w:rPr>
          <w:rFonts w:ascii="Arial"/>
          <w:w w:val="105"/>
          <w:sz w:val="19"/>
        </w:rPr>
        <w:t>timings</w:t>
      </w:r>
      <w:r>
        <w:rPr>
          <w:rFonts w:ascii="Arial"/>
          <w:spacing w:val="-25"/>
          <w:w w:val="105"/>
          <w:sz w:val="19"/>
        </w:rPr>
        <w:t xml:space="preserve"> </w:t>
      </w:r>
      <w:r>
        <w:rPr>
          <w:rFonts w:ascii="Arial"/>
          <w:w w:val="105"/>
          <w:sz w:val="19"/>
        </w:rPr>
        <w:t>and</w:t>
      </w:r>
      <w:r>
        <w:rPr>
          <w:rFonts w:ascii="Arial"/>
          <w:spacing w:val="-25"/>
          <w:w w:val="105"/>
          <w:sz w:val="19"/>
        </w:rPr>
        <w:t xml:space="preserve"> </w:t>
      </w:r>
      <w:r>
        <w:rPr>
          <w:rFonts w:ascii="Arial"/>
          <w:w w:val="105"/>
          <w:sz w:val="19"/>
        </w:rPr>
        <w:t>requirements</w:t>
      </w:r>
      <w:r>
        <w:rPr>
          <w:rFonts w:ascii="Arial"/>
          <w:spacing w:val="-25"/>
          <w:w w:val="105"/>
          <w:sz w:val="19"/>
        </w:rPr>
        <w:t xml:space="preserve"> </w:t>
      </w:r>
      <w:r>
        <w:rPr>
          <w:rFonts w:ascii="Arial"/>
          <w:w w:val="105"/>
          <w:sz w:val="19"/>
        </w:rPr>
        <w:t>for</w:t>
      </w:r>
      <w:r>
        <w:rPr>
          <w:rFonts w:ascii="Arial"/>
          <w:spacing w:val="-23"/>
          <w:w w:val="105"/>
          <w:sz w:val="19"/>
        </w:rPr>
        <w:t xml:space="preserve"> </w:t>
      </w:r>
      <w:r>
        <w:rPr>
          <w:rFonts w:ascii="Arial"/>
          <w:w w:val="105"/>
          <w:sz w:val="19"/>
        </w:rPr>
        <w:t>proceeding</w:t>
      </w:r>
      <w:r>
        <w:rPr>
          <w:rFonts w:ascii="Arial"/>
          <w:spacing w:val="-24"/>
          <w:w w:val="105"/>
          <w:sz w:val="19"/>
        </w:rPr>
        <w:t xml:space="preserve"> </w:t>
      </w:r>
      <w:r>
        <w:rPr>
          <w:rFonts w:ascii="Arial"/>
          <w:w w:val="105"/>
          <w:sz w:val="19"/>
        </w:rPr>
        <w:t>down</w:t>
      </w:r>
      <w:r>
        <w:rPr>
          <w:rFonts w:ascii="Arial"/>
          <w:spacing w:val="-25"/>
          <w:w w:val="105"/>
          <w:sz w:val="19"/>
        </w:rPr>
        <w:t xml:space="preserve"> </w:t>
      </w:r>
      <w:r>
        <w:rPr>
          <w:rFonts w:ascii="Arial"/>
          <w:w w:val="105"/>
          <w:sz w:val="19"/>
        </w:rPr>
        <w:t>the</w:t>
      </w:r>
      <w:r>
        <w:rPr>
          <w:rFonts w:ascii="Arial"/>
          <w:spacing w:val="-24"/>
          <w:w w:val="105"/>
          <w:sz w:val="19"/>
        </w:rPr>
        <w:t xml:space="preserve"> </w:t>
      </w:r>
      <w:r>
        <w:rPr>
          <w:rFonts w:ascii="Arial"/>
          <w:w w:val="105"/>
          <w:sz w:val="19"/>
        </w:rPr>
        <w:t>sponsor pathway</w:t>
      </w:r>
      <w:r>
        <w:rPr>
          <w:rFonts w:ascii="Arial"/>
          <w:spacing w:val="-19"/>
          <w:w w:val="105"/>
          <w:sz w:val="19"/>
        </w:rPr>
        <w:t xml:space="preserve"> </w:t>
      </w:r>
      <w:r>
        <w:rPr>
          <w:rFonts w:ascii="Arial"/>
          <w:w w:val="105"/>
          <w:sz w:val="19"/>
        </w:rPr>
        <w:t>across</w:t>
      </w:r>
      <w:r>
        <w:rPr>
          <w:rFonts w:ascii="Arial"/>
          <w:spacing w:val="-15"/>
          <w:w w:val="105"/>
          <w:sz w:val="19"/>
        </w:rPr>
        <w:t xml:space="preserve"> </w:t>
      </w:r>
      <w:r>
        <w:rPr>
          <w:rFonts w:ascii="Arial"/>
          <w:w w:val="105"/>
          <w:sz w:val="19"/>
        </w:rPr>
        <w:t>options</w:t>
      </w:r>
      <w:r>
        <w:rPr>
          <w:rFonts w:ascii="Arial"/>
          <w:spacing w:val="-18"/>
          <w:w w:val="105"/>
          <w:sz w:val="19"/>
        </w:rPr>
        <w:t xml:space="preserve"> </w:t>
      </w:r>
      <w:r>
        <w:rPr>
          <w:rFonts w:ascii="Arial"/>
          <w:w w:val="105"/>
          <w:sz w:val="19"/>
        </w:rPr>
        <w:t>2A,</w:t>
      </w:r>
      <w:r>
        <w:rPr>
          <w:rFonts w:ascii="Arial"/>
          <w:spacing w:val="-18"/>
          <w:w w:val="105"/>
          <w:sz w:val="19"/>
        </w:rPr>
        <w:t xml:space="preserve"> </w:t>
      </w:r>
      <w:r>
        <w:rPr>
          <w:rFonts w:ascii="Arial"/>
          <w:w w:val="105"/>
          <w:sz w:val="19"/>
        </w:rPr>
        <w:t>2B</w:t>
      </w:r>
      <w:r>
        <w:rPr>
          <w:rFonts w:ascii="Arial"/>
          <w:spacing w:val="-16"/>
          <w:w w:val="105"/>
          <w:sz w:val="19"/>
        </w:rPr>
        <w:t xml:space="preserve"> </w:t>
      </w:r>
      <w:r>
        <w:rPr>
          <w:rFonts w:ascii="Arial"/>
          <w:w w:val="105"/>
          <w:sz w:val="19"/>
        </w:rPr>
        <w:t>and</w:t>
      </w:r>
      <w:r>
        <w:rPr>
          <w:rFonts w:ascii="Arial"/>
          <w:spacing w:val="-16"/>
          <w:w w:val="105"/>
          <w:sz w:val="19"/>
        </w:rPr>
        <w:t xml:space="preserve"> </w:t>
      </w:r>
      <w:r>
        <w:rPr>
          <w:rFonts w:ascii="Arial"/>
          <w:w w:val="105"/>
          <w:sz w:val="19"/>
        </w:rPr>
        <w:t>3,</w:t>
      </w:r>
      <w:r>
        <w:rPr>
          <w:rFonts w:ascii="Arial"/>
          <w:spacing w:val="-18"/>
          <w:w w:val="105"/>
          <w:sz w:val="19"/>
        </w:rPr>
        <w:t xml:space="preserve"> </w:t>
      </w:r>
      <w:r>
        <w:rPr>
          <w:rFonts w:ascii="Arial"/>
          <w:w w:val="105"/>
          <w:sz w:val="19"/>
        </w:rPr>
        <w:t>the</w:t>
      </w:r>
      <w:r>
        <w:rPr>
          <w:rFonts w:ascii="Arial"/>
          <w:spacing w:val="-18"/>
          <w:w w:val="105"/>
          <w:sz w:val="19"/>
        </w:rPr>
        <w:t xml:space="preserve"> </w:t>
      </w:r>
      <w:r>
        <w:rPr>
          <w:rFonts w:ascii="Arial"/>
          <w:w w:val="105"/>
          <w:sz w:val="19"/>
        </w:rPr>
        <w:t>previously</w:t>
      </w:r>
      <w:r>
        <w:rPr>
          <w:rFonts w:ascii="Arial"/>
          <w:spacing w:val="-18"/>
          <w:w w:val="105"/>
          <w:sz w:val="19"/>
        </w:rPr>
        <w:t xml:space="preserve"> </w:t>
      </w:r>
      <w:r>
        <w:rPr>
          <w:rFonts w:ascii="Arial"/>
          <w:w w:val="105"/>
          <w:sz w:val="19"/>
        </w:rPr>
        <w:t>listed</w:t>
      </w:r>
      <w:r>
        <w:rPr>
          <w:rFonts w:ascii="Arial"/>
          <w:spacing w:val="-17"/>
          <w:w w:val="105"/>
          <w:sz w:val="19"/>
        </w:rPr>
        <w:t xml:space="preserve"> </w:t>
      </w:r>
      <w:r>
        <w:rPr>
          <w:rFonts w:ascii="Arial"/>
          <w:w w:val="105"/>
          <w:sz w:val="19"/>
        </w:rPr>
        <w:t>timings</w:t>
      </w:r>
      <w:r>
        <w:rPr>
          <w:rFonts w:ascii="Arial"/>
          <w:spacing w:val="-19"/>
          <w:w w:val="105"/>
          <w:sz w:val="19"/>
        </w:rPr>
        <w:t xml:space="preserve"> </w:t>
      </w:r>
      <w:r>
        <w:rPr>
          <w:rFonts w:ascii="Arial"/>
          <w:w w:val="105"/>
          <w:sz w:val="19"/>
        </w:rPr>
        <w:t>have</w:t>
      </w:r>
      <w:r>
        <w:rPr>
          <w:rFonts w:ascii="Arial"/>
          <w:spacing w:val="-17"/>
          <w:w w:val="105"/>
          <w:sz w:val="19"/>
        </w:rPr>
        <w:t xml:space="preserve"> </w:t>
      </w:r>
      <w:r>
        <w:rPr>
          <w:rFonts w:ascii="Arial"/>
          <w:w w:val="105"/>
          <w:sz w:val="19"/>
        </w:rPr>
        <w:t>been</w:t>
      </w:r>
      <w:r>
        <w:rPr>
          <w:rFonts w:ascii="Arial"/>
          <w:spacing w:val="-17"/>
          <w:w w:val="105"/>
          <w:sz w:val="19"/>
        </w:rPr>
        <w:t xml:space="preserve"> </w:t>
      </w:r>
      <w:r>
        <w:rPr>
          <w:rFonts w:ascii="Arial"/>
          <w:w w:val="105"/>
          <w:sz w:val="19"/>
        </w:rPr>
        <w:t>used.</w:t>
      </w:r>
    </w:p>
    <w:p w:rsidR="007D76BB" w:rsidRDefault="007D76BB">
      <w:pPr>
        <w:pStyle w:val="BodyText"/>
        <w:spacing w:before="2"/>
        <w:rPr>
          <w:rFonts w:ascii="Arial"/>
          <w:sz w:val="24"/>
        </w:rPr>
      </w:pPr>
    </w:p>
    <w:p w:rsidR="007D76BB" w:rsidRDefault="00D70D28">
      <w:pPr>
        <w:ind w:left="482"/>
        <w:rPr>
          <w:rFonts w:ascii="Lucida Sans"/>
          <w:b/>
          <w:sz w:val="20"/>
        </w:rPr>
      </w:pPr>
      <w:r>
        <w:rPr>
          <w:rFonts w:ascii="Lucida Sans"/>
          <w:b/>
          <w:sz w:val="20"/>
        </w:rPr>
        <w:t>Regulatory costing</w:t>
      </w:r>
    </w:p>
    <w:p w:rsidR="007D76BB" w:rsidRDefault="00D70D28">
      <w:pPr>
        <w:spacing w:before="194"/>
        <w:ind w:left="482"/>
        <w:rPr>
          <w:rFonts w:ascii="Arial"/>
          <w:i/>
          <w:sz w:val="20"/>
        </w:rPr>
      </w:pPr>
      <w:r>
        <w:rPr>
          <w:rFonts w:ascii="Arial"/>
          <w:i/>
          <w:sz w:val="20"/>
        </w:rPr>
        <w:t>Key assumptions</w:t>
      </w:r>
    </w:p>
    <w:p w:rsidR="007D76BB" w:rsidRDefault="00D70D28">
      <w:pPr>
        <w:pStyle w:val="ListParagraph"/>
        <w:numPr>
          <w:ilvl w:val="1"/>
          <w:numId w:val="5"/>
        </w:numPr>
        <w:tabs>
          <w:tab w:val="left" w:pos="766"/>
        </w:tabs>
        <w:spacing w:before="101"/>
        <w:rPr>
          <w:rFonts w:ascii="Arial" w:hAnsi="Arial"/>
          <w:sz w:val="19"/>
        </w:rPr>
      </w:pPr>
      <w:r>
        <w:rPr>
          <w:rFonts w:ascii="Arial" w:hAnsi="Arial"/>
          <w:w w:val="105"/>
          <w:sz w:val="19"/>
        </w:rPr>
        <w:t>Assumptions</w:t>
      </w:r>
      <w:r>
        <w:rPr>
          <w:rFonts w:ascii="Arial" w:hAnsi="Arial"/>
          <w:spacing w:val="-14"/>
          <w:w w:val="105"/>
          <w:sz w:val="19"/>
        </w:rPr>
        <w:t xml:space="preserve"> </w:t>
      </w:r>
      <w:r>
        <w:rPr>
          <w:rFonts w:ascii="Arial" w:hAnsi="Arial"/>
          <w:w w:val="105"/>
          <w:sz w:val="19"/>
        </w:rPr>
        <w:t>are</w:t>
      </w:r>
      <w:r>
        <w:rPr>
          <w:rFonts w:ascii="Arial" w:hAnsi="Arial"/>
          <w:spacing w:val="-11"/>
          <w:w w:val="105"/>
          <w:sz w:val="19"/>
        </w:rPr>
        <w:t xml:space="preserve"> </w:t>
      </w:r>
      <w:r>
        <w:rPr>
          <w:rFonts w:ascii="Arial" w:hAnsi="Arial"/>
          <w:w w:val="105"/>
          <w:sz w:val="19"/>
        </w:rPr>
        <w:t>consistent</w:t>
      </w:r>
      <w:r>
        <w:rPr>
          <w:rFonts w:ascii="Arial" w:hAnsi="Arial"/>
          <w:spacing w:val="-13"/>
          <w:w w:val="105"/>
          <w:sz w:val="19"/>
        </w:rPr>
        <w:t xml:space="preserve"> </w:t>
      </w:r>
      <w:r>
        <w:rPr>
          <w:rFonts w:ascii="Arial" w:hAnsi="Arial"/>
          <w:w w:val="105"/>
          <w:sz w:val="19"/>
        </w:rPr>
        <w:t>with</w:t>
      </w:r>
      <w:r>
        <w:rPr>
          <w:rFonts w:ascii="Arial" w:hAnsi="Arial"/>
          <w:spacing w:val="-13"/>
          <w:w w:val="105"/>
          <w:sz w:val="19"/>
        </w:rPr>
        <w:t xml:space="preserve"> </w:t>
      </w:r>
      <w:r>
        <w:rPr>
          <w:rFonts w:ascii="Arial" w:hAnsi="Arial"/>
          <w:w w:val="105"/>
          <w:sz w:val="19"/>
        </w:rPr>
        <w:t>those</w:t>
      </w:r>
      <w:r>
        <w:rPr>
          <w:rFonts w:ascii="Arial" w:hAnsi="Arial"/>
          <w:spacing w:val="-13"/>
          <w:w w:val="105"/>
          <w:sz w:val="19"/>
        </w:rPr>
        <w:t xml:space="preserve"> </w:t>
      </w:r>
      <w:r>
        <w:rPr>
          <w:rFonts w:ascii="Arial" w:hAnsi="Arial"/>
          <w:w w:val="105"/>
          <w:sz w:val="19"/>
        </w:rPr>
        <w:t>identified</w:t>
      </w:r>
      <w:r>
        <w:rPr>
          <w:rFonts w:ascii="Arial" w:hAnsi="Arial"/>
          <w:spacing w:val="-13"/>
          <w:w w:val="105"/>
          <w:sz w:val="19"/>
        </w:rPr>
        <w:t xml:space="preserve"> </w:t>
      </w:r>
      <w:r>
        <w:rPr>
          <w:rFonts w:ascii="Arial" w:hAnsi="Arial"/>
          <w:w w:val="105"/>
          <w:sz w:val="19"/>
        </w:rPr>
        <w:t>for</w:t>
      </w:r>
      <w:r>
        <w:rPr>
          <w:rFonts w:ascii="Arial" w:hAnsi="Arial"/>
          <w:spacing w:val="-7"/>
          <w:w w:val="105"/>
          <w:sz w:val="19"/>
        </w:rPr>
        <w:t xml:space="preserve"> </w:t>
      </w:r>
      <w:r>
        <w:rPr>
          <w:rFonts w:ascii="Arial" w:hAnsi="Arial"/>
          <w:w w:val="105"/>
          <w:sz w:val="19"/>
        </w:rPr>
        <w:t>options</w:t>
      </w:r>
      <w:r>
        <w:rPr>
          <w:rFonts w:ascii="Arial" w:hAnsi="Arial"/>
          <w:spacing w:val="-12"/>
          <w:w w:val="105"/>
          <w:sz w:val="19"/>
        </w:rPr>
        <w:t xml:space="preserve"> </w:t>
      </w:r>
      <w:r>
        <w:rPr>
          <w:rFonts w:ascii="Arial" w:hAnsi="Arial"/>
          <w:w w:val="105"/>
          <w:sz w:val="19"/>
        </w:rPr>
        <w:t>2A</w:t>
      </w:r>
      <w:r>
        <w:rPr>
          <w:rFonts w:ascii="Arial" w:hAnsi="Arial"/>
          <w:spacing w:val="-11"/>
          <w:w w:val="105"/>
          <w:sz w:val="19"/>
        </w:rPr>
        <w:t xml:space="preserve"> </w:t>
      </w:r>
      <w:r>
        <w:rPr>
          <w:rFonts w:ascii="Arial" w:hAnsi="Arial"/>
          <w:w w:val="105"/>
          <w:sz w:val="19"/>
        </w:rPr>
        <w:t>and</w:t>
      </w:r>
      <w:r>
        <w:rPr>
          <w:rFonts w:ascii="Arial" w:hAnsi="Arial"/>
          <w:spacing w:val="-12"/>
          <w:w w:val="105"/>
          <w:sz w:val="19"/>
        </w:rPr>
        <w:t xml:space="preserve"> </w:t>
      </w:r>
      <w:r>
        <w:rPr>
          <w:rFonts w:ascii="Arial" w:hAnsi="Arial"/>
          <w:w w:val="105"/>
          <w:sz w:val="19"/>
        </w:rPr>
        <w:t>2B</w:t>
      </w:r>
    </w:p>
    <w:p w:rsidR="007D76BB" w:rsidRDefault="00D70D28">
      <w:pPr>
        <w:spacing w:before="91"/>
        <w:ind w:left="482"/>
        <w:rPr>
          <w:rFonts w:ascii="Arial"/>
          <w:i/>
          <w:sz w:val="20"/>
        </w:rPr>
      </w:pPr>
      <w:r>
        <w:rPr>
          <w:rFonts w:ascii="Arial"/>
          <w:i/>
          <w:sz w:val="20"/>
        </w:rPr>
        <w:t>Inputs</w:t>
      </w:r>
    </w:p>
    <w:p w:rsidR="007D76BB" w:rsidRDefault="00D70D28">
      <w:pPr>
        <w:spacing w:before="13"/>
        <w:ind w:left="482"/>
        <w:rPr>
          <w:rFonts w:ascii="Arial"/>
          <w:i/>
          <w:sz w:val="20"/>
        </w:rPr>
      </w:pPr>
      <w:r>
        <w:rPr>
          <w:rFonts w:ascii="Arial"/>
          <w:i/>
          <w:sz w:val="20"/>
        </w:rPr>
        <w:t>(Note: All timing inputs for sponsors have been carried through from options 2A and 2B)</w:t>
      </w:r>
    </w:p>
    <w:p w:rsidR="007D76BB" w:rsidRDefault="00D70D28">
      <w:pPr>
        <w:pStyle w:val="ListParagraph"/>
        <w:numPr>
          <w:ilvl w:val="1"/>
          <w:numId w:val="5"/>
        </w:numPr>
        <w:tabs>
          <w:tab w:val="left" w:pos="766"/>
        </w:tabs>
        <w:spacing w:before="98"/>
        <w:rPr>
          <w:rFonts w:ascii="Arial" w:hAnsi="Arial"/>
          <w:sz w:val="19"/>
        </w:rPr>
      </w:pPr>
      <w:r>
        <w:rPr>
          <w:rFonts w:ascii="Arial" w:hAnsi="Arial"/>
          <w:sz w:val="19"/>
        </w:rPr>
        <w:t>Number of existing sponsors =</w:t>
      </w:r>
      <w:r>
        <w:rPr>
          <w:rFonts w:ascii="Arial" w:hAnsi="Arial"/>
          <w:spacing w:val="-40"/>
          <w:sz w:val="19"/>
        </w:rPr>
        <w:t xml:space="preserve"> </w:t>
      </w:r>
      <w:r>
        <w:rPr>
          <w:rFonts w:ascii="Arial" w:hAnsi="Arial"/>
          <w:sz w:val="19"/>
        </w:rPr>
        <w:t>19</w:t>
      </w:r>
    </w:p>
    <w:p w:rsidR="007D76BB" w:rsidRDefault="00D70D28">
      <w:pPr>
        <w:pStyle w:val="ListParagraph"/>
        <w:numPr>
          <w:ilvl w:val="1"/>
          <w:numId w:val="5"/>
        </w:numPr>
        <w:tabs>
          <w:tab w:val="left" w:pos="766"/>
        </w:tabs>
        <w:spacing w:before="104"/>
        <w:rPr>
          <w:rFonts w:ascii="Arial" w:hAnsi="Arial"/>
          <w:sz w:val="19"/>
        </w:rPr>
      </w:pPr>
      <w:r>
        <w:rPr>
          <w:rFonts w:ascii="Arial" w:hAnsi="Arial"/>
          <w:w w:val="105"/>
          <w:sz w:val="19"/>
        </w:rPr>
        <w:t>Number</w:t>
      </w:r>
      <w:r>
        <w:rPr>
          <w:rFonts w:ascii="Arial" w:hAnsi="Arial"/>
          <w:spacing w:val="-11"/>
          <w:w w:val="105"/>
          <w:sz w:val="19"/>
        </w:rPr>
        <w:t xml:space="preserve"> </w:t>
      </w:r>
      <w:r>
        <w:rPr>
          <w:rFonts w:ascii="Arial" w:hAnsi="Arial"/>
          <w:w w:val="105"/>
          <w:sz w:val="19"/>
        </w:rPr>
        <w:t>of</w:t>
      </w:r>
      <w:r>
        <w:rPr>
          <w:rFonts w:ascii="Arial" w:hAnsi="Arial"/>
          <w:spacing w:val="-12"/>
          <w:w w:val="105"/>
          <w:sz w:val="19"/>
        </w:rPr>
        <w:t xml:space="preserve"> </w:t>
      </w:r>
      <w:r>
        <w:rPr>
          <w:rFonts w:ascii="Arial" w:hAnsi="Arial"/>
          <w:w w:val="105"/>
          <w:sz w:val="19"/>
        </w:rPr>
        <w:t>potential</w:t>
      </w:r>
      <w:r>
        <w:rPr>
          <w:rFonts w:ascii="Arial" w:hAnsi="Arial"/>
          <w:spacing w:val="-12"/>
          <w:w w:val="105"/>
          <w:sz w:val="19"/>
        </w:rPr>
        <w:t xml:space="preserve"> </w:t>
      </w:r>
      <w:r>
        <w:rPr>
          <w:rFonts w:ascii="Arial" w:hAnsi="Arial"/>
          <w:w w:val="105"/>
          <w:sz w:val="19"/>
        </w:rPr>
        <w:t>new</w:t>
      </w:r>
      <w:r>
        <w:rPr>
          <w:rFonts w:ascii="Arial" w:hAnsi="Arial"/>
          <w:spacing w:val="-10"/>
          <w:w w:val="105"/>
          <w:sz w:val="19"/>
        </w:rPr>
        <w:t xml:space="preserve"> </w:t>
      </w:r>
      <w:r>
        <w:rPr>
          <w:rFonts w:ascii="Arial" w:hAnsi="Arial"/>
          <w:w w:val="105"/>
          <w:sz w:val="19"/>
        </w:rPr>
        <w:t>sponsors</w:t>
      </w:r>
      <w:r>
        <w:rPr>
          <w:rFonts w:ascii="Arial" w:hAnsi="Arial"/>
          <w:spacing w:val="-9"/>
          <w:w w:val="105"/>
          <w:sz w:val="19"/>
        </w:rPr>
        <w:t xml:space="preserve"> </w:t>
      </w:r>
      <w:r>
        <w:rPr>
          <w:rFonts w:ascii="Arial" w:hAnsi="Arial"/>
          <w:w w:val="105"/>
          <w:sz w:val="19"/>
        </w:rPr>
        <w:t>=</w:t>
      </w:r>
      <w:r>
        <w:rPr>
          <w:rFonts w:ascii="Arial" w:hAnsi="Arial"/>
          <w:spacing w:val="-11"/>
          <w:w w:val="105"/>
          <w:sz w:val="19"/>
        </w:rPr>
        <w:t xml:space="preserve"> </w:t>
      </w:r>
      <w:r>
        <w:rPr>
          <w:rFonts w:ascii="Arial" w:hAnsi="Arial"/>
          <w:w w:val="105"/>
          <w:sz w:val="19"/>
        </w:rPr>
        <w:t>93</w:t>
      </w:r>
    </w:p>
    <w:p w:rsidR="007D76BB" w:rsidRDefault="00D70D28">
      <w:pPr>
        <w:pStyle w:val="ListParagraph"/>
        <w:numPr>
          <w:ilvl w:val="1"/>
          <w:numId w:val="5"/>
        </w:numPr>
        <w:tabs>
          <w:tab w:val="left" w:pos="766"/>
        </w:tabs>
        <w:spacing w:before="98" w:line="268" w:lineRule="auto"/>
        <w:ind w:right="1075"/>
        <w:rPr>
          <w:rFonts w:ascii="Arial" w:hAnsi="Arial"/>
          <w:sz w:val="19"/>
        </w:rPr>
      </w:pPr>
      <w:r>
        <w:rPr>
          <w:rFonts w:ascii="Arial" w:hAnsi="Arial"/>
          <w:w w:val="110"/>
          <w:sz w:val="19"/>
        </w:rPr>
        <w:t>Number</w:t>
      </w:r>
      <w:r>
        <w:rPr>
          <w:rFonts w:ascii="Arial" w:hAnsi="Arial"/>
          <w:spacing w:val="-39"/>
          <w:w w:val="110"/>
          <w:sz w:val="19"/>
        </w:rPr>
        <w:t xml:space="preserve"> </w:t>
      </w:r>
      <w:r>
        <w:rPr>
          <w:rFonts w:ascii="Arial" w:hAnsi="Arial"/>
          <w:w w:val="110"/>
          <w:sz w:val="19"/>
        </w:rPr>
        <w:t>of</w:t>
      </w:r>
      <w:r>
        <w:rPr>
          <w:rFonts w:ascii="Arial" w:hAnsi="Arial"/>
          <w:spacing w:val="-40"/>
          <w:w w:val="110"/>
          <w:sz w:val="19"/>
        </w:rPr>
        <w:t xml:space="preserve"> </w:t>
      </w:r>
      <w:r>
        <w:rPr>
          <w:rFonts w:ascii="Arial" w:hAnsi="Arial"/>
          <w:w w:val="110"/>
          <w:sz w:val="19"/>
        </w:rPr>
        <w:t>potential</w:t>
      </w:r>
      <w:r>
        <w:rPr>
          <w:rFonts w:ascii="Arial" w:hAnsi="Arial"/>
          <w:spacing w:val="-39"/>
          <w:w w:val="110"/>
          <w:sz w:val="19"/>
        </w:rPr>
        <w:t xml:space="preserve"> </w:t>
      </w:r>
      <w:r>
        <w:rPr>
          <w:rFonts w:ascii="Arial" w:hAnsi="Arial"/>
          <w:w w:val="110"/>
          <w:sz w:val="19"/>
        </w:rPr>
        <w:t>new</w:t>
      </w:r>
      <w:r>
        <w:rPr>
          <w:rFonts w:ascii="Arial" w:hAnsi="Arial"/>
          <w:spacing w:val="-39"/>
          <w:w w:val="110"/>
          <w:sz w:val="19"/>
        </w:rPr>
        <w:t xml:space="preserve"> </w:t>
      </w:r>
      <w:r>
        <w:rPr>
          <w:rFonts w:ascii="Arial" w:hAnsi="Arial"/>
          <w:w w:val="110"/>
          <w:sz w:val="19"/>
        </w:rPr>
        <w:t>sponsors</w:t>
      </w:r>
      <w:r>
        <w:rPr>
          <w:rFonts w:ascii="Arial" w:hAnsi="Arial"/>
          <w:spacing w:val="-39"/>
          <w:w w:val="110"/>
          <w:sz w:val="19"/>
        </w:rPr>
        <w:t xml:space="preserve"> </w:t>
      </w:r>
      <w:r>
        <w:rPr>
          <w:rFonts w:ascii="Arial" w:hAnsi="Arial"/>
          <w:w w:val="110"/>
          <w:sz w:val="19"/>
        </w:rPr>
        <w:t>who</w:t>
      </w:r>
      <w:r>
        <w:rPr>
          <w:rFonts w:ascii="Arial" w:hAnsi="Arial"/>
          <w:spacing w:val="-39"/>
          <w:w w:val="110"/>
          <w:sz w:val="19"/>
        </w:rPr>
        <w:t xml:space="preserve"> </w:t>
      </w:r>
      <w:r>
        <w:rPr>
          <w:rFonts w:ascii="Arial" w:hAnsi="Arial"/>
          <w:w w:val="110"/>
          <w:sz w:val="19"/>
        </w:rPr>
        <w:t>do</w:t>
      </w:r>
      <w:r>
        <w:rPr>
          <w:rFonts w:ascii="Arial" w:hAnsi="Arial"/>
          <w:spacing w:val="-40"/>
          <w:w w:val="110"/>
          <w:sz w:val="19"/>
        </w:rPr>
        <w:t xml:space="preserve"> </w:t>
      </w:r>
      <w:r>
        <w:rPr>
          <w:rFonts w:ascii="Arial" w:hAnsi="Arial"/>
          <w:w w:val="110"/>
          <w:sz w:val="19"/>
        </w:rPr>
        <w:t>not</w:t>
      </w:r>
      <w:r>
        <w:rPr>
          <w:rFonts w:ascii="Arial" w:hAnsi="Arial"/>
          <w:spacing w:val="-38"/>
          <w:w w:val="110"/>
          <w:sz w:val="19"/>
        </w:rPr>
        <w:t xml:space="preserve"> </w:t>
      </w:r>
      <w:r>
        <w:rPr>
          <w:rFonts w:ascii="Arial" w:hAnsi="Arial"/>
          <w:w w:val="110"/>
          <w:sz w:val="19"/>
        </w:rPr>
        <w:t>engage</w:t>
      </w:r>
      <w:r>
        <w:rPr>
          <w:rFonts w:ascii="Arial" w:hAnsi="Arial"/>
          <w:spacing w:val="-40"/>
          <w:w w:val="110"/>
          <w:sz w:val="19"/>
        </w:rPr>
        <w:t xml:space="preserve"> </w:t>
      </w:r>
      <w:r>
        <w:rPr>
          <w:rFonts w:ascii="Arial" w:hAnsi="Arial"/>
          <w:w w:val="110"/>
          <w:sz w:val="19"/>
        </w:rPr>
        <w:t>with</w:t>
      </w:r>
      <w:r>
        <w:rPr>
          <w:rFonts w:ascii="Arial" w:hAnsi="Arial"/>
          <w:spacing w:val="-38"/>
          <w:w w:val="110"/>
          <w:sz w:val="19"/>
        </w:rPr>
        <w:t xml:space="preserve"> </w:t>
      </w:r>
      <w:r>
        <w:rPr>
          <w:rFonts w:ascii="Arial" w:hAnsi="Arial"/>
          <w:w w:val="110"/>
          <w:sz w:val="19"/>
        </w:rPr>
        <w:t>a</w:t>
      </w:r>
      <w:r>
        <w:rPr>
          <w:rFonts w:ascii="Arial" w:hAnsi="Arial"/>
          <w:spacing w:val="-40"/>
          <w:w w:val="110"/>
          <w:sz w:val="19"/>
        </w:rPr>
        <w:t xml:space="preserve"> </w:t>
      </w:r>
      <w:r>
        <w:rPr>
          <w:rFonts w:ascii="Arial" w:hAnsi="Arial"/>
          <w:w w:val="110"/>
          <w:sz w:val="19"/>
        </w:rPr>
        <w:t>regulatory</w:t>
      </w:r>
      <w:r>
        <w:rPr>
          <w:rFonts w:ascii="Arial" w:hAnsi="Arial"/>
          <w:spacing w:val="-40"/>
          <w:w w:val="110"/>
          <w:sz w:val="19"/>
        </w:rPr>
        <w:t xml:space="preserve"> </w:t>
      </w:r>
      <w:r>
        <w:rPr>
          <w:rFonts w:ascii="Arial" w:hAnsi="Arial"/>
          <w:w w:val="110"/>
          <w:sz w:val="19"/>
        </w:rPr>
        <w:t>affairs</w:t>
      </w:r>
      <w:r>
        <w:rPr>
          <w:rFonts w:ascii="Arial" w:hAnsi="Arial"/>
          <w:spacing w:val="-39"/>
          <w:w w:val="110"/>
          <w:sz w:val="19"/>
        </w:rPr>
        <w:t xml:space="preserve"> </w:t>
      </w:r>
      <w:r>
        <w:rPr>
          <w:rFonts w:ascii="Arial" w:hAnsi="Arial"/>
          <w:w w:val="110"/>
          <w:sz w:val="19"/>
        </w:rPr>
        <w:t>consultant</w:t>
      </w:r>
      <w:r>
        <w:rPr>
          <w:rFonts w:ascii="Arial" w:hAnsi="Arial"/>
          <w:spacing w:val="-40"/>
          <w:w w:val="110"/>
          <w:sz w:val="19"/>
        </w:rPr>
        <w:t xml:space="preserve"> </w:t>
      </w:r>
      <w:r>
        <w:rPr>
          <w:rFonts w:ascii="Arial" w:hAnsi="Arial"/>
          <w:w w:val="110"/>
          <w:sz w:val="19"/>
        </w:rPr>
        <w:t xml:space="preserve">to </w:t>
      </w:r>
      <w:r>
        <w:rPr>
          <w:rFonts w:ascii="Arial" w:hAnsi="Arial"/>
          <w:w w:val="105"/>
          <w:sz w:val="19"/>
        </w:rPr>
        <w:t>understand</w:t>
      </w:r>
      <w:r>
        <w:rPr>
          <w:rFonts w:ascii="Arial" w:hAnsi="Arial"/>
          <w:spacing w:val="-20"/>
          <w:w w:val="105"/>
          <w:sz w:val="19"/>
        </w:rPr>
        <w:t xml:space="preserve"> </w:t>
      </w:r>
      <w:r>
        <w:rPr>
          <w:rFonts w:ascii="Arial" w:hAnsi="Arial"/>
          <w:w w:val="105"/>
          <w:sz w:val="19"/>
        </w:rPr>
        <w:t>the</w:t>
      </w:r>
      <w:r>
        <w:rPr>
          <w:rFonts w:ascii="Arial" w:hAnsi="Arial"/>
          <w:spacing w:val="-20"/>
          <w:w w:val="105"/>
          <w:sz w:val="19"/>
        </w:rPr>
        <w:t xml:space="preserve"> </w:t>
      </w:r>
      <w:r>
        <w:rPr>
          <w:rFonts w:ascii="Arial" w:hAnsi="Arial"/>
          <w:w w:val="105"/>
          <w:sz w:val="19"/>
        </w:rPr>
        <w:t>potential</w:t>
      </w:r>
      <w:r>
        <w:rPr>
          <w:rFonts w:ascii="Arial" w:hAnsi="Arial"/>
          <w:spacing w:val="-18"/>
          <w:w w:val="105"/>
          <w:sz w:val="19"/>
        </w:rPr>
        <w:t xml:space="preserve"> </w:t>
      </w:r>
      <w:r>
        <w:rPr>
          <w:rFonts w:ascii="Arial" w:hAnsi="Arial"/>
          <w:w w:val="105"/>
          <w:sz w:val="19"/>
        </w:rPr>
        <w:t>impact</w:t>
      </w:r>
      <w:r>
        <w:rPr>
          <w:rFonts w:ascii="Arial" w:hAnsi="Arial"/>
          <w:spacing w:val="-18"/>
          <w:w w:val="105"/>
          <w:sz w:val="19"/>
        </w:rPr>
        <w:t xml:space="preserve"> </w:t>
      </w:r>
      <w:r>
        <w:rPr>
          <w:rFonts w:ascii="Arial" w:hAnsi="Arial"/>
          <w:w w:val="105"/>
          <w:sz w:val="19"/>
        </w:rPr>
        <w:t>on</w:t>
      </w:r>
      <w:r>
        <w:rPr>
          <w:rFonts w:ascii="Arial" w:hAnsi="Arial"/>
          <w:spacing w:val="-20"/>
          <w:w w:val="105"/>
          <w:sz w:val="19"/>
        </w:rPr>
        <w:t xml:space="preserve"> </w:t>
      </w:r>
      <w:r>
        <w:rPr>
          <w:rFonts w:ascii="Arial" w:hAnsi="Arial"/>
          <w:w w:val="105"/>
          <w:sz w:val="19"/>
        </w:rPr>
        <w:t>their</w:t>
      </w:r>
      <w:r>
        <w:rPr>
          <w:rFonts w:ascii="Arial" w:hAnsi="Arial"/>
          <w:spacing w:val="-18"/>
          <w:w w:val="105"/>
          <w:sz w:val="19"/>
        </w:rPr>
        <w:t xml:space="preserve"> </w:t>
      </w:r>
      <w:r>
        <w:rPr>
          <w:rFonts w:ascii="Arial" w:hAnsi="Arial"/>
          <w:w w:val="105"/>
          <w:sz w:val="19"/>
        </w:rPr>
        <w:t>business</w:t>
      </w:r>
      <w:r>
        <w:rPr>
          <w:rFonts w:ascii="Arial" w:hAnsi="Arial"/>
          <w:spacing w:val="-18"/>
          <w:w w:val="105"/>
          <w:sz w:val="19"/>
        </w:rPr>
        <w:t xml:space="preserve"> </w:t>
      </w:r>
      <w:r>
        <w:rPr>
          <w:rFonts w:ascii="Arial" w:hAnsi="Arial"/>
          <w:w w:val="105"/>
          <w:sz w:val="19"/>
        </w:rPr>
        <w:t>of</w:t>
      </w:r>
      <w:r>
        <w:rPr>
          <w:rFonts w:ascii="Arial" w:hAnsi="Arial"/>
          <w:spacing w:val="-20"/>
          <w:w w:val="105"/>
          <w:sz w:val="19"/>
        </w:rPr>
        <w:t xml:space="preserve"> </w:t>
      </w:r>
      <w:r>
        <w:rPr>
          <w:rFonts w:ascii="Arial" w:hAnsi="Arial"/>
          <w:w w:val="105"/>
          <w:sz w:val="19"/>
        </w:rPr>
        <w:t>the</w:t>
      </w:r>
      <w:r>
        <w:rPr>
          <w:rFonts w:ascii="Arial" w:hAnsi="Arial"/>
          <w:spacing w:val="-20"/>
          <w:w w:val="105"/>
          <w:sz w:val="19"/>
        </w:rPr>
        <w:t xml:space="preserve"> </w:t>
      </w:r>
      <w:r>
        <w:rPr>
          <w:rFonts w:ascii="Arial" w:hAnsi="Arial"/>
          <w:w w:val="105"/>
          <w:sz w:val="19"/>
        </w:rPr>
        <w:t>proposed</w:t>
      </w:r>
      <w:r>
        <w:rPr>
          <w:rFonts w:ascii="Arial" w:hAnsi="Arial"/>
          <w:spacing w:val="-19"/>
          <w:w w:val="105"/>
          <w:sz w:val="19"/>
        </w:rPr>
        <w:t xml:space="preserve"> </w:t>
      </w:r>
      <w:r>
        <w:rPr>
          <w:rFonts w:ascii="Arial" w:hAnsi="Arial"/>
          <w:w w:val="105"/>
          <w:sz w:val="19"/>
        </w:rPr>
        <w:t>regulatory</w:t>
      </w:r>
      <w:r>
        <w:rPr>
          <w:rFonts w:ascii="Arial" w:hAnsi="Arial"/>
          <w:spacing w:val="-20"/>
          <w:w w:val="105"/>
          <w:sz w:val="19"/>
        </w:rPr>
        <w:t xml:space="preserve"> </w:t>
      </w:r>
      <w:r>
        <w:rPr>
          <w:rFonts w:ascii="Arial" w:hAnsi="Arial"/>
          <w:w w:val="105"/>
          <w:sz w:val="19"/>
        </w:rPr>
        <w:t>clarification</w:t>
      </w:r>
      <w:r>
        <w:rPr>
          <w:rFonts w:ascii="Arial" w:hAnsi="Arial"/>
          <w:spacing w:val="-18"/>
          <w:w w:val="105"/>
          <w:sz w:val="19"/>
        </w:rPr>
        <w:t xml:space="preserve"> </w:t>
      </w:r>
      <w:r>
        <w:rPr>
          <w:rFonts w:ascii="Arial" w:hAnsi="Arial"/>
          <w:w w:val="105"/>
          <w:sz w:val="19"/>
        </w:rPr>
        <w:lastRenderedPageBreak/>
        <w:t>=</w:t>
      </w:r>
      <w:r>
        <w:rPr>
          <w:rFonts w:ascii="Arial" w:hAnsi="Arial"/>
          <w:spacing w:val="-12"/>
          <w:w w:val="105"/>
          <w:sz w:val="19"/>
        </w:rPr>
        <w:t xml:space="preserve"> </w:t>
      </w:r>
      <w:r>
        <w:rPr>
          <w:rFonts w:ascii="Arial" w:hAnsi="Arial"/>
          <w:w w:val="105"/>
          <w:sz w:val="19"/>
        </w:rPr>
        <w:t>70</w:t>
      </w:r>
    </w:p>
    <w:p w:rsidR="007D76BB" w:rsidRDefault="00D70D28">
      <w:pPr>
        <w:pStyle w:val="ListParagraph"/>
        <w:numPr>
          <w:ilvl w:val="1"/>
          <w:numId w:val="5"/>
        </w:numPr>
        <w:tabs>
          <w:tab w:val="left" w:pos="766"/>
        </w:tabs>
        <w:spacing w:before="73" w:line="266" w:lineRule="auto"/>
        <w:ind w:right="1066"/>
        <w:rPr>
          <w:rFonts w:ascii="Arial" w:hAnsi="Arial"/>
          <w:sz w:val="19"/>
        </w:rPr>
      </w:pPr>
      <w:r>
        <w:rPr>
          <w:rFonts w:ascii="Arial" w:hAnsi="Arial"/>
          <w:w w:val="110"/>
          <w:sz w:val="19"/>
        </w:rPr>
        <w:t>Number</w:t>
      </w:r>
      <w:r>
        <w:rPr>
          <w:rFonts w:ascii="Arial" w:hAnsi="Arial"/>
          <w:spacing w:val="-33"/>
          <w:w w:val="110"/>
          <w:sz w:val="19"/>
        </w:rPr>
        <w:t xml:space="preserve"> </w:t>
      </w:r>
      <w:r>
        <w:rPr>
          <w:rFonts w:ascii="Arial" w:hAnsi="Arial"/>
          <w:w w:val="110"/>
          <w:sz w:val="19"/>
        </w:rPr>
        <w:t>of</w:t>
      </w:r>
      <w:r>
        <w:rPr>
          <w:rFonts w:ascii="Arial" w:hAnsi="Arial"/>
          <w:spacing w:val="-32"/>
          <w:w w:val="110"/>
          <w:sz w:val="19"/>
        </w:rPr>
        <w:t xml:space="preserve"> </w:t>
      </w:r>
      <w:r>
        <w:rPr>
          <w:rFonts w:ascii="Arial" w:hAnsi="Arial"/>
          <w:w w:val="110"/>
          <w:sz w:val="19"/>
        </w:rPr>
        <w:t>potential</w:t>
      </w:r>
      <w:r>
        <w:rPr>
          <w:rFonts w:ascii="Arial" w:hAnsi="Arial"/>
          <w:spacing w:val="-33"/>
          <w:w w:val="110"/>
          <w:sz w:val="19"/>
        </w:rPr>
        <w:t xml:space="preserve"> </w:t>
      </w:r>
      <w:r>
        <w:rPr>
          <w:rFonts w:ascii="Arial" w:hAnsi="Arial"/>
          <w:w w:val="110"/>
          <w:sz w:val="19"/>
        </w:rPr>
        <w:t>new</w:t>
      </w:r>
      <w:r>
        <w:rPr>
          <w:rFonts w:ascii="Arial" w:hAnsi="Arial"/>
          <w:spacing w:val="-32"/>
          <w:w w:val="110"/>
          <w:sz w:val="19"/>
        </w:rPr>
        <w:t xml:space="preserve"> </w:t>
      </w:r>
      <w:r>
        <w:rPr>
          <w:rFonts w:ascii="Arial" w:hAnsi="Arial"/>
          <w:w w:val="110"/>
          <w:sz w:val="19"/>
        </w:rPr>
        <w:t>sponsors</w:t>
      </w:r>
      <w:r>
        <w:rPr>
          <w:rFonts w:ascii="Arial" w:hAnsi="Arial"/>
          <w:spacing w:val="-33"/>
          <w:w w:val="110"/>
          <w:sz w:val="19"/>
        </w:rPr>
        <w:t xml:space="preserve"> </w:t>
      </w:r>
      <w:r>
        <w:rPr>
          <w:rFonts w:ascii="Arial" w:hAnsi="Arial"/>
          <w:w w:val="110"/>
          <w:sz w:val="19"/>
        </w:rPr>
        <w:t>who</w:t>
      </w:r>
      <w:r>
        <w:rPr>
          <w:rFonts w:ascii="Arial" w:hAnsi="Arial"/>
          <w:spacing w:val="-33"/>
          <w:w w:val="110"/>
          <w:sz w:val="19"/>
        </w:rPr>
        <w:t xml:space="preserve"> </w:t>
      </w:r>
      <w:r>
        <w:rPr>
          <w:rFonts w:ascii="Arial" w:hAnsi="Arial"/>
          <w:w w:val="110"/>
          <w:sz w:val="19"/>
        </w:rPr>
        <w:t>do</w:t>
      </w:r>
      <w:r>
        <w:rPr>
          <w:rFonts w:ascii="Arial" w:hAnsi="Arial"/>
          <w:spacing w:val="-32"/>
          <w:w w:val="110"/>
          <w:sz w:val="19"/>
        </w:rPr>
        <w:t xml:space="preserve"> </w:t>
      </w:r>
      <w:r>
        <w:rPr>
          <w:rFonts w:ascii="Arial" w:hAnsi="Arial"/>
          <w:w w:val="110"/>
          <w:sz w:val="19"/>
        </w:rPr>
        <w:t>engage</w:t>
      </w:r>
      <w:r>
        <w:rPr>
          <w:rFonts w:ascii="Arial" w:hAnsi="Arial"/>
          <w:spacing w:val="-32"/>
          <w:w w:val="110"/>
          <w:sz w:val="19"/>
        </w:rPr>
        <w:t xml:space="preserve"> </w:t>
      </w:r>
      <w:r>
        <w:rPr>
          <w:rFonts w:ascii="Arial" w:hAnsi="Arial"/>
          <w:w w:val="110"/>
          <w:sz w:val="19"/>
        </w:rPr>
        <w:t>with</w:t>
      </w:r>
      <w:r>
        <w:rPr>
          <w:rFonts w:ascii="Arial" w:hAnsi="Arial"/>
          <w:spacing w:val="-33"/>
          <w:w w:val="110"/>
          <w:sz w:val="19"/>
        </w:rPr>
        <w:t xml:space="preserve"> </w:t>
      </w:r>
      <w:r>
        <w:rPr>
          <w:rFonts w:ascii="Arial" w:hAnsi="Arial"/>
          <w:w w:val="110"/>
          <w:sz w:val="19"/>
        </w:rPr>
        <w:t>a</w:t>
      </w:r>
      <w:r>
        <w:rPr>
          <w:rFonts w:ascii="Arial" w:hAnsi="Arial"/>
          <w:spacing w:val="-34"/>
          <w:w w:val="110"/>
          <w:sz w:val="19"/>
        </w:rPr>
        <w:t xml:space="preserve"> </w:t>
      </w:r>
      <w:r>
        <w:rPr>
          <w:rFonts w:ascii="Arial" w:hAnsi="Arial"/>
          <w:w w:val="110"/>
          <w:sz w:val="19"/>
        </w:rPr>
        <w:t>regulatory</w:t>
      </w:r>
      <w:r>
        <w:rPr>
          <w:rFonts w:ascii="Arial" w:hAnsi="Arial"/>
          <w:spacing w:val="-30"/>
          <w:w w:val="110"/>
          <w:sz w:val="19"/>
        </w:rPr>
        <w:t xml:space="preserve"> </w:t>
      </w:r>
      <w:r>
        <w:rPr>
          <w:rFonts w:ascii="Arial" w:hAnsi="Arial"/>
          <w:w w:val="110"/>
          <w:sz w:val="19"/>
        </w:rPr>
        <w:t>affairs</w:t>
      </w:r>
      <w:r>
        <w:rPr>
          <w:rFonts w:ascii="Arial" w:hAnsi="Arial"/>
          <w:spacing w:val="-34"/>
          <w:w w:val="110"/>
          <w:sz w:val="19"/>
        </w:rPr>
        <w:t xml:space="preserve"> </w:t>
      </w:r>
      <w:r>
        <w:rPr>
          <w:rFonts w:ascii="Arial" w:hAnsi="Arial"/>
          <w:w w:val="110"/>
          <w:sz w:val="19"/>
        </w:rPr>
        <w:t>consultant</w:t>
      </w:r>
      <w:r>
        <w:rPr>
          <w:rFonts w:ascii="Arial" w:hAnsi="Arial"/>
          <w:spacing w:val="-33"/>
          <w:w w:val="110"/>
          <w:sz w:val="19"/>
        </w:rPr>
        <w:t xml:space="preserve"> </w:t>
      </w:r>
      <w:r>
        <w:rPr>
          <w:rFonts w:ascii="Arial" w:hAnsi="Arial"/>
          <w:w w:val="110"/>
          <w:sz w:val="19"/>
        </w:rPr>
        <w:t xml:space="preserve">to </w:t>
      </w:r>
      <w:r>
        <w:rPr>
          <w:rFonts w:ascii="Arial" w:hAnsi="Arial"/>
          <w:w w:val="105"/>
          <w:sz w:val="19"/>
        </w:rPr>
        <w:t>understand</w:t>
      </w:r>
      <w:r>
        <w:rPr>
          <w:rFonts w:ascii="Arial" w:hAnsi="Arial"/>
          <w:spacing w:val="-19"/>
          <w:w w:val="105"/>
          <w:sz w:val="19"/>
        </w:rPr>
        <w:t xml:space="preserve"> </w:t>
      </w:r>
      <w:r>
        <w:rPr>
          <w:rFonts w:ascii="Arial" w:hAnsi="Arial"/>
          <w:w w:val="105"/>
          <w:sz w:val="19"/>
        </w:rPr>
        <w:t>the</w:t>
      </w:r>
      <w:r>
        <w:rPr>
          <w:rFonts w:ascii="Arial" w:hAnsi="Arial"/>
          <w:spacing w:val="-19"/>
          <w:w w:val="105"/>
          <w:sz w:val="19"/>
        </w:rPr>
        <w:t xml:space="preserve"> </w:t>
      </w:r>
      <w:r>
        <w:rPr>
          <w:rFonts w:ascii="Arial" w:hAnsi="Arial"/>
          <w:w w:val="105"/>
          <w:sz w:val="19"/>
        </w:rPr>
        <w:t>potential</w:t>
      </w:r>
      <w:r>
        <w:rPr>
          <w:rFonts w:ascii="Arial" w:hAnsi="Arial"/>
          <w:spacing w:val="-18"/>
          <w:w w:val="105"/>
          <w:sz w:val="19"/>
        </w:rPr>
        <w:t xml:space="preserve"> </w:t>
      </w:r>
      <w:r>
        <w:rPr>
          <w:rFonts w:ascii="Arial" w:hAnsi="Arial"/>
          <w:w w:val="105"/>
          <w:sz w:val="19"/>
        </w:rPr>
        <w:t>impact</w:t>
      </w:r>
      <w:r>
        <w:rPr>
          <w:rFonts w:ascii="Arial" w:hAnsi="Arial"/>
          <w:spacing w:val="-17"/>
          <w:w w:val="105"/>
          <w:sz w:val="19"/>
        </w:rPr>
        <w:t xml:space="preserve"> </w:t>
      </w:r>
      <w:r>
        <w:rPr>
          <w:rFonts w:ascii="Arial" w:hAnsi="Arial"/>
          <w:w w:val="105"/>
          <w:sz w:val="19"/>
        </w:rPr>
        <w:t>on</w:t>
      </w:r>
      <w:r>
        <w:rPr>
          <w:rFonts w:ascii="Arial" w:hAnsi="Arial"/>
          <w:spacing w:val="-19"/>
          <w:w w:val="105"/>
          <w:sz w:val="19"/>
        </w:rPr>
        <w:t xml:space="preserve"> </w:t>
      </w:r>
      <w:r>
        <w:rPr>
          <w:rFonts w:ascii="Arial" w:hAnsi="Arial"/>
          <w:w w:val="105"/>
          <w:sz w:val="19"/>
        </w:rPr>
        <w:t>their</w:t>
      </w:r>
      <w:r>
        <w:rPr>
          <w:rFonts w:ascii="Arial" w:hAnsi="Arial"/>
          <w:spacing w:val="-17"/>
          <w:w w:val="105"/>
          <w:sz w:val="19"/>
        </w:rPr>
        <w:t xml:space="preserve"> </w:t>
      </w:r>
      <w:r>
        <w:rPr>
          <w:rFonts w:ascii="Arial" w:hAnsi="Arial"/>
          <w:w w:val="105"/>
          <w:sz w:val="19"/>
        </w:rPr>
        <w:t>business</w:t>
      </w:r>
      <w:r>
        <w:rPr>
          <w:rFonts w:ascii="Arial" w:hAnsi="Arial"/>
          <w:spacing w:val="-19"/>
          <w:w w:val="105"/>
          <w:sz w:val="19"/>
        </w:rPr>
        <w:t xml:space="preserve"> </w:t>
      </w:r>
      <w:r>
        <w:rPr>
          <w:rFonts w:ascii="Arial" w:hAnsi="Arial"/>
          <w:w w:val="105"/>
          <w:sz w:val="19"/>
        </w:rPr>
        <w:t>of</w:t>
      </w:r>
      <w:r>
        <w:rPr>
          <w:rFonts w:ascii="Arial" w:hAnsi="Arial"/>
          <w:spacing w:val="-19"/>
          <w:w w:val="105"/>
          <w:sz w:val="19"/>
        </w:rPr>
        <w:t xml:space="preserve"> </w:t>
      </w:r>
      <w:r>
        <w:rPr>
          <w:rFonts w:ascii="Arial" w:hAnsi="Arial"/>
          <w:w w:val="105"/>
          <w:sz w:val="19"/>
        </w:rPr>
        <w:t>the</w:t>
      </w:r>
      <w:r>
        <w:rPr>
          <w:rFonts w:ascii="Arial" w:hAnsi="Arial"/>
          <w:spacing w:val="-18"/>
          <w:w w:val="105"/>
          <w:sz w:val="19"/>
        </w:rPr>
        <w:t xml:space="preserve"> </w:t>
      </w:r>
      <w:r>
        <w:rPr>
          <w:rFonts w:ascii="Arial" w:hAnsi="Arial"/>
          <w:w w:val="105"/>
          <w:sz w:val="19"/>
        </w:rPr>
        <w:t>proposed</w:t>
      </w:r>
      <w:r>
        <w:rPr>
          <w:rFonts w:ascii="Arial" w:hAnsi="Arial"/>
          <w:spacing w:val="-19"/>
          <w:w w:val="105"/>
          <w:sz w:val="19"/>
        </w:rPr>
        <w:t xml:space="preserve"> </w:t>
      </w:r>
      <w:r>
        <w:rPr>
          <w:rFonts w:ascii="Arial" w:hAnsi="Arial"/>
          <w:w w:val="105"/>
          <w:sz w:val="19"/>
        </w:rPr>
        <w:t>regulatory</w:t>
      </w:r>
      <w:r>
        <w:rPr>
          <w:rFonts w:ascii="Arial" w:hAnsi="Arial"/>
          <w:spacing w:val="-14"/>
          <w:w w:val="105"/>
          <w:sz w:val="19"/>
        </w:rPr>
        <w:t xml:space="preserve"> </w:t>
      </w:r>
      <w:r>
        <w:rPr>
          <w:rFonts w:ascii="Arial" w:hAnsi="Arial"/>
          <w:w w:val="105"/>
          <w:sz w:val="19"/>
        </w:rPr>
        <w:t>clarification</w:t>
      </w:r>
      <w:r>
        <w:rPr>
          <w:rFonts w:ascii="Arial" w:hAnsi="Arial"/>
          <w:spacing w:val="-18"/>
          <w:w w:val="105"/>
          <w:sz w:val="19"/>
        </w:rPr>
        <w:t xml:space="preserve"> </w:t>
      </w:r>
      <w:r>
        <w:rPr>
          <w:rFonts w:ascii="Arial" w:hAnsi="Arial"/>
          <w:w w:val="105"/>
          <w:sz w:val="19"/>
        </w:rPr>
        <w:t>=</w:t>
      </w:r>
      <w:r>
        <w:rPr>
          <w:rFonts w:ascii="Arial" w:hAnsi="Arial"/>
          <w:spacing w:val="-16"/>
          <w:w w:val="105"/>
          <w:sz w:val="19"/>
        </w:rPr>
        <w:t xml:space="preserve"> </w:t>
      </w:r>
      <w:r>
        <w:rPr>
          <w:rFonts w:ascii="Arial" w:hAnsi="Arial"/>
          <w:w w:val="105"/>
          <w:sz w:val="19"/>
        </w:rPr>
        <w:t>23</w:t>
      </w:r>
    </w:p>
    <w:p w:rsidR="007D76BB" w:rsidRDefault="00D70D28">
      <w:pPr>
        <w:pStyle w:val="ListParagraph"/>
        <w:numPr>
          <w:ilvl w:val="1"/>
          <w:numId w:val="5"/>
        </w:numPr>
        <w:tabs>
          <w:tab w:val="left" w:pos="766"/>
        </w:tabs>
        <w:spacing w:before="79"/>
        <w:rPr>
          <w:rFonts w:ascii="Arial" w:hAnsi="Arial"/>
          <w:sz w:val="19"/>
        </w:rPr>
      </w:pPr>
      <w:r>
        <w:rPr>
          <w:rFonts w:ascii="Arial" w:hAnsi="Arial"/>
          <w:w w:val="105"/>
          <w:sz w:val="19"/>
        </w:rPr>
        <w:t>Number</w:t>
      </w:r>
      <w:r>
        <w:rPr>
          <w:rFonts w:ascii="Arial" w:hAnsi="Arial"/>
          <w:spacing w:val="-12"/>
          <w:w w:val="105"/>
          <w:sz w:val="19"/>
        </w:rPr>
        <w:t xml:space="preserve"> </w:t>
      </w:r>
      <w:r>
        <w:rPr>
          <w:rFonts w:ascii="Arial" w:hAnsi="Arial"/>
          <w:w w:val="105"/>
          <w:sz w:val="19"/>
        </w:rPr>
        <w:t>of</w:t>
      </w:r>
      <w:r>
        <w:rPr>
          <w:rFonts w:ascii="Arial" w:hAnsi="Arial"/>
          <w:spacing w:val="-13"/>
          <w:w w:val="105"/>
          <w:sz w:val="19"/>
        </w:rPr>
        <w:t xml:space="preserve"> </w:t>
      </w:r>
      <w:r>
        <w:rPr>
          <w:rFonts w:ascii="Arial" w:hAnsi="Arial"/>
          <w:w w:val="105"/>
          <w:sz w:val="19"/>
        </w:rPr>
        <w:t>potential</w:t>
      </w:r>
      <w:r>
        <w:rPr>
          <w:rFonts w:ascii="Arial" w:hAnsi="Arial"/>
          <w:spacing w:val="-14"/>
          <w:w w:val="105"/>
          <w:sz w:val="19"/>
        </w:rPr>
        <w:t xml:space="preserve"> </w:t>
      </w:r>
      <w:r>
        <w:rPr>
          <w:rFonts w:ascii="Arial" w:hAnsi="Arial"/>
          <w:w w:val="105"/>
          <w:sz w:val="19"/>
        </w:rPr>
        <w:t>new</w:t>
      </w:r>
      <w:r>
        <w:rPr>
          <w:rFonts w:ascii="Arial" w:hAnsi="Arial"/>
          <w:spacing w:val="-12"/>
          <w:w w:val="105"/>
          <w:sz w:val="19"/>
        </w:rPr>
        <w:t xml:space="preserve"> </w:t>
      </w:r>
      <w:r>
        <w:rPr>
          <w:rFonts w:ascii="Arial" w:hAnsi="Arial"/>
          <w:w w:val="105"/>
          <w:sz w:val="19"/>
        </w:rPr>
        <w:t>sponsors</w:t>
      </w:r>
      <w:r>
        <w:rPr>
          <w:rFonts w:ascii="Arial" w:hAnsi="Arial"/>
          <w:spacing w:val="-13"/>
          <w:w w:val="105"/>
          <w:sz w:val="19"/>
        </w:rPr>
        <w:t xml:space="preserve"> </w:t>
      </w:r>
      <w:r>
        <w:rPr>
          <w:rFonts w:ascii="Arial" w:hAnsi="Arial"/>
          <w:w w:val="105"/>
          <w:sz w:val="19"/>
        </w:rPr>
        <w:t>proceeding</w:t>
      </w:r>
      <w:r>
        <w:rPr>
          <w:rFonts w:ascii="Arial" w:hAnsi="Arial"/>
          <w:spacing w:val="-13"/>
          <w:w w:val="105"/>
          <w:sz w:val="19"/>
        </w:rPr>
        <w:t xml:space="preserve"> </w:t>
      </w:r>
      <w:r>
        <w:rPr>
          <w:rFonts w:ascii="Arial" w:hAnsi="Arial"/>
          <w:w w:val="105"/>
          <w:sz w:val="19"/>
        </w:rPr>
        <w:t>to</w:t>
      </w:r>
      <w:r>
        <w:rPr>
          <w:rFonts w:ascii="Arial" w:hAnsi="Arial"/>
          <w:spacing w:val="-13"/>
          <w:w w:val="105"/>
          <w:sz w:val="19"/>
        </w:rPr>
        <w:t xml:space="preserve"> </w:t>
      </w:r>
      <w:r>
        <w:rPr>
          <w:rFonts w:ascii="Arial" w:hAnsi="Arial"/>
          <w:w w:val="105"/>
          <w:sz w:val="19"/>
        </w:rPr>
        <w:t>sponsor</w:t>
      </w:r>
      <w:r>
        <w:rPr>
          <w:rFonts w:ascii="Arial" w:hAnsi="Arial"/>
          <w:spacing w:val="-15"/>
          <w:w w:val="105"/>
          <w:sz w:val="19"/>
        </w:rPr>
        <w:t xml:space="preserve"> </w:t>
      </w:r>
      <w:r>
        <w:rPr>
          <w:rFonts w:ascii="Arial" w:hAnsi="Arial"/>
          <w:w w:val="105"/>
          <w:sz w:val="19"/>
        </w:rPr>
        <w:t>application</w:t>
      </w:r>
      <w:r>
        <w:rPr>
          <w:rFonts w:ascii="Arial" w:hAnsi="Arial"/>
          <w:spacing w:val="-12"/>
          <w:w w:val="105"/>
          <w:sz w:val="19"/>
        </w:rPr>
        <w:t xml:space="preserve"> </w:t>
      </w:r>
      <w:r>
        <w:rPr>
          <w:rFonts w:ascii="Arial" w:hAnsi="Arial"/>
          <w:w w:val="105"/>
          <w:sz w:val="19"/>
        </w:rPr>
        <w:t>=</w:t>
      </w:r>
      <w:r>
        <w:rPr>
          <w:rFonts w:ascii="Arial" w:hAnsi="Arial"/>
          <w:spacing w:val="-7"/>
          <w:w w:val="105"/>
          <w:sz w:val="19"/>
        </w:rPr>
        <w:t xml:space="preserve"> </w:t>
      </w:r>
      <w:r>
        <w:rPr>
          <w:rFonts w:ascii="Arial" w:hAnsi="Arial"/>
          <w:w w:val="105"/>
          <w:sz w:val="19"/>
        </w:rPr>
        <w:t>6</w:t>
      </w:r>
    </w:p>
    <w:p w:rsidR="007D76BB" w:rsidRDefault="00D70D28">
      <w:pPr>
        <w:spacing w:before="93"/>
        <w:ind w:left="482"/>
        <w:rPr>
          <w:rFonts w:ascii="Arial"/>
          <w:i/>
          <w:sz w:val="20"/>
        </w:rPr>
      </w:pPr>
      <w:r>
        <w:rPr>
          <w:rFonts w:ascii="Arial"/>
          <w:i/>
          <w:sz w:val="20"/>
        </w:rPr>
        <w:t>Current population</w:t>
      </w:r>
    </w:p>
    <w:p w:rsidR="007D76BB" w:rsidRDefault="00D70D28">
      <w:pPr>
        <w:spacing w:before="90"/>
        <w:ind w:left="482"/>
        <w:rPr>
          <w:rFonts w:ascii="Arial"/>
          <w:sz w:val="19"/>
        </w:rPr>
      </w:pPr>
      <w:r>
        <w:rPr>
          <w:rFonts w:ascii="Arial"/>
          <w:i/>
          <w:sz w:val="20"/>
        </w:rPr>
        <w:t>Step 1</w:t>
      </w:r>
      <w:r>
        <w:rPr>
          <w:rFonts w:ascii="Arial"/>
          <w:sz w:val="19"/>
        </w:rPr>
        <w:t>. Calculate total time in minutes to fulfil regulatory requirement:</w:t>
      </w:r>
    </w:p>
    <w:p w:rsidR="007D76BB" w:rsidRDefault="00D70D28">
      <w:pPr>
        <w:pStyle w:val="ListParagraph"/>
        <w:numPr>
          <w:ilvl w:val="1"/>
          <w:numId w:val="5"/>
        </w:numPr>
        <w:tabs>
          <w:tab w:val="left" w:pos="766"/>
        </w:tabs>
        <w:spacing w:before="158" w:line="266" w:lineRule="auto"/>
        <w:ind w:right="1596"/>
        <w:rPr>
          <w:rFonts w:ascii="Arial" w:hAnsi="Arial"/>
          <w:sz w:val="19"/>
        </w:rPr>
      </w:pPr>
      <w:r>
        <w:rPr>
          <w:rFonts w:ascii="Arial" w:hAnsi="Arial"/>
          <w:w w:val="105"/>
          <w:sz w:val="19"/>
        </w:rPr>
        <w:t>Existing</w:t>
      </w:r>
      <w:r>
        <w:rPr>
          <w:rFonts w:ascii="Arial" w:hAnsi="Arial"/>
          <w:spacing w:val="-27"/>
          <w:w w:val="105"/>
          <w:sz w:val="19"/>
        </w:rPr>
        <w:t xml:space="preserve"> </w:t>
      </w:r>
      <w:r>
        <w:rPr>
          <w:rFonts w:ascii="Arial" w:hAnsi="Arial"/>
          <w:w w:val="105"/>
          <w:sz w:val="19"/>
        </w:rPr>
        <w:t>sponsors</w:t>
      </w:r>
      <w:r>
        <w:rPr>
          <w:rFonts w:ascii="Arial" w:hAnsi="Arial"/>
          <w:spacing w:val="-29"/>
          <w:w w:val="105"/>
          <w:sz w:val="19"/>
        </w:rPr>
        <w:t xml:space="preserve"> </w:t>
      </w:r>
      <w:r>
        <w:rPr>
          <w:rFonts w:ascii="Arial" w:hAnsi="Arial"/>
          <w:w w:val="105"/>
          <w:sz w:val="19"/>
        </w:rPr>
        <w:t>review</w:t>
      </w:r>
      <w:r>
        <w:rPr>
          <w:rFonts w:ascii="Arial" w:hAnsi="Arial"/>
          <w:spacing w:val="-28"/>
          <w:w w:val="105"/>
          <w:sz w:val="19"/>
        </w:rPr>
        <w:t xml:space="preserve"> </w:t>
      </w:r>
      <w:r>
        <w:rPr>
          <w:rFonts w:ascii="Arial" w:hAnsi="Arial"/>
          <w:w w:val="105"/>
          <w:sz w:val="19"/>
        </w:rPr>
        <w:t>regulatory</w:t>
      </w:r>
      <w:r>
        <w:rPr>
          <w:rFonts w:ascii="Arial" w:hAnsi="Arial"/>
          <w:spacing w:val="-28"/>
          <w:w w:val="105"/>
          <w:sz w:val="19"/>
        </w:rPr>
        <w:t xml:space="preserve"> </w:t>
      </w:r>
      <w:r>
        <w:rPr>
          <w:rFonts w:ascii="Arial" w:hAnsi="Arial"/>
          <w:w w:val="105"/>
          <w:sz w:val="19"/>
        </w:rPr>
        <w:t>clarification:</w:t>
      </w:r>
      <w:r>
        <w:rPr>
          <w:rFonts w:ascii="Arial" w:hAnsi="Arial"/>
          <w:spacing w:val="-29"/>
          <w:w w:val="105"/>
          <w:sz w:val="19"/>
        </w:rPr>
        <w:t xml:space="preserve"> </w:t>
      </w:r>
      <w:r>
        <w:rPr>
          <w:rFonts w:ascii="Arial" w:hAnsi="Arial"/>
          <w:w w:val="105"/>
          <w:sz w:val="19"/>
        </w:rPr>
        <w:t>number</w:t>
      </w:r>
      <w:r>
        <w:rPr>
          <w:rFonts w:ascii="Arial" w:hAnsi="Arial"/>
          <w:spacing w:val="-30"/>
          <w:w w:val="105"/>
          <w:sz w:val="19"/>
        </w:rPr>
        <w:t xml:space="preserve"> </w:t>
      </w:r>
      <w:r>
        <w:rPr>
          <w:rFonts w:ascii="Arial" w:hAnsi="Arial"/>
          <w:w w:val="105"/>
          <w:sz w:val="19"/>
        </w:rPr>
        <w:t>of</w:t>
      </w:r>
      <w:r>
        <w:rPr>
          <w:rFonts w:ascii="Arial" w:hAnsi="Arial"/>
          <w:spacing w:val="-28"/>
          <w:w w:val="105"/>
          <w:sz w:val="19"/>
        </w:rPr>
        <w:t xml:space="preserve"> </w:t>
      </w:r>
      <w:r>
        <w:rPr>
          <w:rFonts w:ascii="Arial" w:hAnsi="Arial"/>
          <w:w w:val="105"/>
          <w:sz w:val="19"/>
        </w:rPr>
        <w:t>existing</w:t>
      </w:r>
      <w:r>
        <w:rPr>
          <w:rFonts w:ascii="Arial" w:hAnsi="Arial"/>
          <w:spacing w:val="-27"/>
          <w:w w:val="105"/>
          <w:sz w:val="19"/>
        </w:rPr>
        <w:t xml:space="preserve"> </w:t>
      </w:r>
      <w:r>
        <w:rPr>
          <w:rFonts w:ascii="Arial" w:hAnsi="Arial"/>
          <w:w w:val="105"/>
          <w:sz w:val="19"/>
        </w:rPr>
        <w:t>sponsors</w:t>
      </w:r>
      <w:r>
        <w:rPr>
          <w:rFonts w:ascii="Arial" w:hAnsi="Arial"/>
          <w:spacing w:val="-27"/>
          <w:w w:val="105"/>
          <w:sz w:val="19"/>
        </w:rPr>
        <w:t xml:space="preserve"> </w:t>
      </w:r>
      <w:r>
        <w:rPr>
          <w:rFonts w:ascii="Arial" w:hAnsi="Arial"/>
          <w:w w:val="105"/>
          <w:sz w:val="19"/>
        </w:rPr>
        <w:t>(19)</w:t>
      </w:r>
      <w:r>
        <w:rPr>
          <w:rFonts w:ascii="Arial" w:hAnsi="Arial"/>
          <w:spacing w:val="-27"/>
          <w:w w:val="105"/>
          <w:sz w:val="19"/>
        </w:rPr>
        <w:t xml:space="preserve"> </w:t>
      </w:r>
      <w:r>
        <w:rPr>
          <w:rFonts w:ascii="Arial" w:hAnsi="Arial"/>
          <w:w w:val="105"/>
          <w:sz w:val="19"/>
        </w:rPr>
        <w:t>x</w:t>
      </w:r>
      <w:r>
        <w:rPr>
          <w:rFonts w:ascii="Arial" w:hAnsi="Arial"/>
          <w:spacing w:val="-29"/>
          <w:w w:val="105"/>
          <w:sz w:val="19"/>
        </w:rPr>
        <w:t xml:space="preserve"> </w:t>
      </w:r>
      <w:r>
        <w:rPr>
          <w:rFonts w:ascii="Arial" w:hAnsi="Arial"/>
          <w:w w:val="105"/>
          <w:sz w:val="19"/>
        </w:rPr>
        <w:t>time required</w:t>
      </w:r>
      <w:r>
        <w:rPr>
          <w:rFonts w:ascii="Arial" w:hAnsi="Arial"/>
          <w:spacing w:val="-15"/>
          <w:w w:val="105"/>
          <w:sz w:val="19"/>
        </w:rPr>
        <w:t xml:space="preserve"> </w:t>
      </w:r>
      <w:r>
        <w:rPr>
          <w:rFonts w:ascii="Arial" w:hAnsi="Arial"/>
          <w:w w:val="105"/>
          <w:sz w:val="19"/>
        </w:rPr>
        <w:t>to</w:t>
      </w:r>
      <w:r>
        <w:rPr>
          <w:rFonts w:ascii="Arial" w:hAnsi="Arial"/>
          <w:spacing w:val="-15"/>
          <w:w w:val="105"/>
          <w:sz w:val="19"/>
        </w:rPr>
        <w:t xml:space="preserve"> </w:t>
      </w:r>
      <w:r>
        <w:rPr>
          <w:rFonts w:ascii="Arial" w:hAnsi="Arial"/>
          <w:w w:val="105"/>
          <w:sz w:val="19"/>
        </w:rPr>
        <w:t>read</w:t>
      </w:r>
      <w:r>
        <w:rPr>
          <w:rFonts w:ascii="Arial" w:hAnsi="Arial"/>
          <w:spacing w:val="-16"/>
          <w:w w:val="105"/>
          <w:sz w:val="19"/>
        </w:rPr>
        <w:t xml:space="preserve"> </w:t>
      </w:r>
      <w:r>
        <w:rPr>
          <w:rFonts w:ascii="Arial" w:hAnsi="Arial"/>
          <w:w w:val="105"/>
          <w:sz w:val="19"/>
        </w:rPr>
        <w:t>explanatory</w:t>
      </w:r>
      <w:r>
        <w:rPr>
          <w:rFonts w:ascii="Arial" w:hAnsi="Arial"/>
          <w:spacing w:val="-15"/>
          <w:w w:val="105"/>
          <w:sz w:val="19"/>
        </w:rPr>
        <w:t xml:space="preserve"> </w:t>
      </w:r>
      <w:r>
        <w:rPr>
          <w:rFonts w:ascii="Arial" w:hAnsi="Arial"/>
          <w:w w:val="105"/>
          <w:sz w:val="19"/>
        </w:rPr>
        <w:t>material</w:t>
      </w:r>
      <w:r>
        <w:rPr>
          <w:rFonts w:ascii="Arial" w:hAnsi="Arial"/>
          <w:spacing w:val="-14"/>
          <w:w w:val="105"/>
          <w:sz w:val="19"/>
        </w:rPr>
        <w:t xml:space="preserve"> </w:t>
      </w:r>
      <w:r>
        <w:rPr>
          <w:rFonts w:ascii="Arial" w:hAnsi="Arial"/>
          <w:w w:val="105"/>
          <w:sz w:val="19"/>
        </w:rPr>
        <w:t>(60</w:t>
      </w:r>
      <w:r>
        <w:rPr>
          <w:rFonts w:ascii="Arial" w:hAnsi="Arial"/>
          <w:spacing w:val="-11"/>
          <w:w w:val="105"/>
          <w:sz w:val="19"/>
        </w:rPr>
        <w:t xml:space="preserve"> </w:t>
      </w:r>
      <w:r>
        <w:rPr>
          <w:rFonts w:ascii="Arial" w:hAnsi="Arial"/>
          <w:w w:val="105"/>
          <w:sz w:val="19"/>
        </w:rPr>
        <w:t>minutes)</w:t>
      </w:r>
      <w:r>
        <w:rPr>
          <w:rFonts w:ascii="Arial" w:hAnsi="Arial"/>
          <w:spacing w:val="-14"/>
          <w:w w:val="105"/>
          <w:sz w:val="19"/>
        </w:rPr>
        <w:t xml:space="preserve"> </w:t>
      </w:r>
      <w:r>
        <w:rPr>
          <w:rFonts w:ascii="Arial" w:hAnsi="Arial"/>
          <w:w w:val="105"/>
          <w:sz w:val="19"/>
        </w:rPr>
        <w:t>=</w:t>
      </w:r>
      <w:r>
        <w:rPr>
          <w:rFonts w:ascii="Arial" w:hAnsi="Arial"/>
          <w:spacing w:val="-15"/>
          <w:w w:val="105"/>
          <w:sz w:val="19"/>
        </w:rPr>
        <w:t xml:space="preserve"> </w:t>
      </w:r>
      <w:r>
        <w:rPr>
          <w:rFonts w:ascii="Arial" w:hAnsi="Arial"/>
          <w:w w:val="105"/>
          <w:sz w:val="19"/>
        </w:rPr>
        <w:t>1,140</w:t>
      </w:r>
      <w:r>
        <w:rPr>
          <w:rFonts w:ascii="Arial" w:hAnsi="Arial"/>
          <w:spacing w:val="-12"/>
          <w:w w:val="105"/>
          <w:sz w:val="19"/>
        </w:rPr>
        <w:t xml:space="preserve"> </w:t>
      </w:r>
      <w:r>
        <w:rPr>
          <w:rFonts w:ascii="Arial" w:hAnsi="Arial"/>
          <w:w w:val="105"/>
          <w:sz w:val="19"/>
        </w:rPr>
        <w:t>minutes</w:t>
      </w:r>
    </w:p>
    <w:p w:rsidR="007D76BB" w:rsidRDefault="007D76BB">
      <w:pPr>
        <w:spacing w:line="266" w:lineRule="auto"/>
        <w:rPr>
          <w:rFonts w:ascii="Arial" w:hAnsi="Arial"/>
          <w:sz w:val="19"/>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8"/>
        </w:rPr>
      </w:pPr>
    </w:p>
    <w:p w:rsidR="007D76BB" w:rsidRDefault="00D70D28">
      <w:pPr>
        <w:pStyle w:val="ListParagraph"/>
        <w:numPr>
          <w:ilvl w:val="1"/>
          <w:numId w:val="5"/>
        </w:numPr>
        <w:tabs>
          <w:tab w:val="left" w:pos="766"/>
        </w:tabs>
        <w:spacing w:before="108" w:line="264" w:lineRule="auto"/>
        <w:ind w:right="995"/>
        <w:rPr>
          <w:rFonts w:ascii="Arial" w:hAnsi="Arial"/>
          <w:sz w:val="19"/>
        </w:rPr>
      </w:pPr>
      <w:r>
        <w:rPr>
          <w:rFonts w:ascii="Arial" w:hAnsi="Arial"/>
          <w:w w:val="105"/>
          <w:sz w:val="19"/>
        </w:rPr>
        <w:t>Potential new sponsors equate themselves without use of regulatory consultant with TGA regulatory</w:t>
      </w:r>
      <w:r>
        <w:rPr>
          <w:rFonts w:ascii="Arial" w:hAnsi="Arial"/>
          <w:spacing w:val="-22"/>
          <w:w w:val="105"/>
          <w:sz w:val="19"/>
        </w:rPr>
        <w:t xml:space="preserve"> </w:t>
      </w:r>
      <w:r>
        <w:rPr>
          <w:rFonts w:ascii="Arial" w:hAnsi="Arial"/>
          <w:w w:val="105"/>
          <w:sz w:val="19"/>
        </w:rPr>
        <w:t>framework:</w:t>
      </w:r>
      <w:r>
        <w:rPr>
          <w:rFonts w:ascii="Arial" w:hAnsi="Arial"/>
          <w:spacing w:val="-23"/>
          <w:w w:val="105"/>
          <w:sz w:val="19"/>
        </w:rPr>
        <w:t xml:space="preserve"> </w:t>
      </w:r>
      <w:r>
        <w:rPr>
          <w:rFonts w:ascii="Arial" w:hAnsi="Arial"/>
          <w:w w:val="105"/>
          <w:sz w:val="19"/>
        </w:rPr>
        <w:t>number</w:t>
      </w:r>
      <w:r>
        <w:rPr>
          <w:rFonts w:ascii="Arial" w:hAnsi="Arial"/>
          <w:spacing w:val="-20"/>
          <w:w w:val="105"/>
          <w:sz w:val="19"/>
        </w:rPr>
        <w:t xml:space="preserve"> </w:t>
      </w:r>
      <w:r>
        <w:rPr>
          <w:rFonts w:ascii="Arial" w:hAnsi="Arial"/>
          <w:w w:val="105"/>
          <w:sz w:val="19"/>
        </w:rPr>
        <w:t>of</w:t>
      </w:r>
      <w:r>
        <w:rPr>
          <w:rFonts w:ascii="Arial" w:hAnsi="Arial"/>
          <w:spacing w:val="-22"/>
          <w:w w:val="105"/>
          <w:sz w:val="19"/>
        </w:rPr>
        <w:t xml:space="preserve"> </w:t>
      </w:r>
      <w:r>
        <w:rPr>
          <w:rFonts w:ascii="Arial" w:hAnsi="Arial"/>
          <w:w w:val="105"/>
          <w:sz w:val="19"/>
        </w:rPr>
        <w:t>potential</w:t>
      </w:r>
      <w:r>
        <w:rPr>
          <w:rFonts w:ascii="Arial" w:hAnsi="Arial"/>
          <w:spacing w:val="-22"/>
          <w:w w:val="105"/>
          <w:sz w:val="19"/>
        </w:rPr>
        <w:t xml:space="preserve"> </w:t>
      </w:r>
      <w:r>
        <w:rPr>
          <w:rFonts w:ascii="Arial" w:hAnsi="Arial"/>
          <w:w w:val="105"/>
          <w:sz w:val="19"/>
        </w:rPr>
        <w:t>sponsors</w:t>
      </w:r>
      <w:r>
        <w:rPr>
          <w:rFonts w:ascii="Arial" w:hAnsi="Arial"/>
          <w:spacing w:val="-23"/>
          <w:w w:val="105"/>
          <w:sz w:val="19"/>
        </w:rPr>
        <w:t xml:space="preserve"> </w:t>
      </w:r>
      <w:r>
        <w:rPr>
          <w:rFonts w:ascii="Arial" w:hAnsi="Arial"/>
          <w:w w:val="105"/>
          <w:sz w:val="19"/>
        </w:rPr>
        <w:t>who</w:t>
      </w:r>
      <w:r>
        <w:rPr>
          <w:rFonts w:ascii="Arial" w:hAnsi="Arial"/>
          <w:spacing w:val="-23"/>
          <w:w w:val="105"/>
          <w:sz w:val="19"/>
        </w:rPr>
        <w:t xml:space="preserve"> </w:t>
      </w:r>
      <w:r>
        <w:rPr>
          <w:rFonts w:ascii="Arial" w:hAnsi="Arial"/>
          <w:w w:val="105"/>
          <w:sz w:val="19"/>
        </w:rPr>
        <w:t>do</w:t>
      </w:r>
      <w:r>
        <w:rPr>
          <w:rFonts w:ascii="Arial" w:hAnsi="Arial"/>
          <w:spacing w:val="-22"/>
          <w:w w:val="105"/>
          <w:sz w:val="19"/>
        </w:rPr>
        <w:t xml:space="preserve"> </w:t>
      </w:r>
      <w:r>
        <w:rPr>
          <w:rFonts w:ascii="Arial" w:hAnsi="Arial"/>
          <w:w w:val="105"/>
          <w:sz w:val="19"/>
        </w:rPr>
        <w:t>not</w:t>
      </w:r>
      <w:r>
        <w:rPr>
          <w:rFonts w:ascii="Arial" w:hAnsi="Arial"/>
          <w:spacing w:val="-18"/>
          <w:w w:val="105"/>
          <w:sz w:val="19"/>
        </w:rPr>
        <w:t xml:space="preserve"> </w:t>
      </w:r>
      <w:r>
        <w:rPr>
          <w:rFonts w:ascii="Arial" w:hAnsi="Arial"/>
          <w:w w:val="105"/>
          <w:sz w:val="19"/>
        </w:rPr>
        <w:t>engage</w:t>
      </w:r>
      <w:r>
        <w:rPr>
          <w:rFonts w:ascii="Arial" w:hAnsi="Arial"/>
          <w:spacing w:val="-22"/>
          <w:w w:val="105"/>
          <w:sz w:val="19"/>
        </w:rPr>
        <w:t xml:space="preserve"> </w:t>
      </w:r>
      <w:r>
        <w:rPr>
          <w:rFonts w:ascii="Arial" w:hAnsi="Arial"/>
          <w:w w:val="105"/>
          <w:sz w:val="19"/>
        </w:rPr>
        <w:t>(70)</w:t>
      </w:r>
      <w:r>
        <w:rPr>
          <w:rFonts w:ascii="Arial" w:hAnsi="Arial"/>
          <w:spacing w:val="-21"/>
          <w:w w:val="105"/>
          <w:sz w:val="19"/>
        </w:rPr>
        <w:t xml:space="preserve"> </w:t>
      </w:r>
      <w:r>
        <w:rPr>
          <w:rFonts w:ascii="Arial" w:hAnsi="Arial"/>
          <w:w w:val="105"/>
          <w:sz w:val="19"/>
        </w:rPr>
        <w:t>x</w:t>
      </w:r>
      <w:r>
        <w:rPr>
          <w:rFonts w:ascii="Arial" w:hAnsi="Arial"/>
          <w:spacing w:val="-23"/>
          <w:w w:val="105"/>
          <w:sz w:val="19"/>
        </w:rPr>
        <w:t xml:space="preserve"> </w:t>
      </w:r>
      <w:r>
        <w:rPr>
          <w:rFonts w:ascii="Arial" w:hAnsi="Arial"/>
          <w:w w:val="105"/>
          <w:sz w:val="19"/>
        </w:rPr>
        <w:t>time</w:t>
      </w:r>
      <w:r>
        <w:rPr>
          <w:rFonts w:ascii="Arial" w:hAnsi="Arial"/>
          <w:spacing w:val="-21"/>
          <w:w w:val="105"/>
          <w:sz w:val="19"/>
        </w:rPr>
        <w:t xml:space="preserve"> </w:t>
      </w:r>
      <w:r>
        <w:rPr>
          <w:rFonts w:ascii="Arial" w:hAnsi="Arial"/>
          <w:w w:val="105"/>
          <w:sz w:val="19"/>
        </w:rPr>
        <w:t>required</w:t>
      </w:r>
      <w:r>
        <w:rPr>
          <w:rFonts w:ascii="Arial" w:hAnsi="Arial"/>
          <w:spacing w:val="-22"/>
          <w:w w:val="105"/>
          <w:sz w:val="19"/>
        </w:rPr>
        <w:t xml:space="preserve"> </w:t>
      </w:r>
      <w:r>
        <w:rPr>
          <w:rFonts w:ascii="Arial" w:hAnsi="Arial"/>
          <w:w w:val="105"/>
          <w:sz w:val="19"/>
        </w:rPr>
        <w:t>for potential sponsor to equate themselves with regulatory framework without consultant (480 minutes) = 33,600</w:t>
      </w:r>
      <w:r>
        <w:rPr>
          <w:rFonts w:ascii="Arial" w:hAnsi="Arial"/>
          <w:spacing w:val="-33"/>
          <w:w w:val="105"/>
          <w:sz w:val="19"/>
        </w:rPr>
        <w:t xml:space="preserve"> </w:t>
      </w:r>
      <w:r>
        <w:rPr>
          <w:rFonts w:ascii="Arial" w:hAnsi="Arial"/>
          <w:w w:val="105"/>
          <w:sz w:val="19"/>
        </w:rPr>
        <w:t>minutes</w:t>
      </w:r>
    </w:p>
    <w:p w:rsidR="007D76BB" w:rsidRDefault="00D70D28">
      <w:pPr>
        <w:pStyle w:val="ListParagraph"/>
        <w:numPr>
          <w:ilvl w:val="1"/>
          <w:numId w:val="5"/>
        </w:numPr>
        <w:tabs>
          <w:tab w:val="left" w:pos="766"/>
        </w:tabs>
        <w:spacing w:before="80" w:line="264" w:lineRule="auto"/>
        <w:ind w:right="1383"/>
        <w:rPr>
          <w:rFonts w:ascii="Arial" w:hAnsi="Arial"/>
          <w:sz w:val="19"/>
        </w:rPr>
      </w:pPr>
      <w:r>
        <w:rPr>
          <w:rFonts w:ascii="Arial" w:hAnsi="Arial"/>
          <w:w w:val="105"/>
          <w:sz w:val="19"/>
        </w:rPr>
        <w:t>Potential new sponsors equate themselves with use of regulatory consultant with TGA regulatory</w:t>
      </w:r>
      <w:r>
        <w:rPr>
          <w:rFonts w:ascii="Arial" w:hAnsi="Arial"/>
          <w:spacing w:val="-23"/>
          <w:w w:val="105"/>
          <w:sz w:val="19"/>
        </w:rPr>
        <w:t xml:space="preserve"> </w:t>
      </w:r>
      <w:r>
        <w:rPr>
          <w:rFonts w:ascii="Arial" w:hAnsi="Arial"/>
          <w:w w:val="105"/>
          <w:sz w:val="19"/>
        </w:rPr>
        <w:t>framework:</w:t>
      </w:r>
      <w:r>
        <w:rPr>
          <w:rFonts w:ascii="Arial" w:hAnsi="Arial"/>
          <w:spacing w:val="-23"/>
          <w:w w:val="105"/>
          <w:sz w:val="19"/>
        </w:rPr>
        <w:t xml:space="preserve"> </w:t>
      </w:r>
      <w:r>
        <w:rPr>
          <w:rFonts w:ascii="Arial" w:hAnsi="Arial"/>
          <w:w w:val="105"/>
          <w:sz w:val="19"/>
        </w:rPr>
        <w:t>number</w:t>
      </w:r>
      <w:r>
        <w:rPr>
          <w:rFonts w:ascii="Arial" w:hAnsi="Arial"/>
          <w:spacing w:val="-22"/>
          <w:w w:val="105"/>
          <w:sz w:val="19"/>
        </w:rPr>
        <w:t xml:space="preserve"> </w:t>
      </w:r>
      <w:r>
        <w:rPr>
          <w:rFonts w:ascii="Arial" w:hAnsi="Arial"/>
          <w:w w:val="105"/>
          <w:sz w:val="19"/>
        </w:rPr>
        <w:t>of</w:t>
      </w:r>
      <w:r>
        <w:rPr>
          <w:rFonts w:ascii="Arial" w:hAnsi="Arial"/>
          <w:spacing w:val="-23"/>
          <w:w w:val="105"/>
          <w:sz w:val="19"/>
        </w:rPr>
        <w:t xml:space="preserve"> </w:t>
      </w:r>
      <w:r>
        <w:rPr>
          <w:rFonts w:ascii="Arial" w:hAnsi="Arial"/>
          <w:w w:val="105"/>
          <w:sz w:val="19"/>
        </w:rPr>
        <w:t>potential</w:t>
      </w:r>
      <w:r>
        <w:rPr>
          <w:rFonts w:ascii="Arial" w:hAnsi="Arial"/>
          <w:spacing w:val="-22"/>
          <w:w w:val="105"/>
          <w:sz w:val="19"/>
        </w:rPr>
        <w:t xml:space="preserve"> </w:t>
      </w:r>
      <w:r>
        <w:rPr>
          <w:rFonts w:ascii="Arial" w:hAnsi="Arial"/>
          <w:w w:val="105"/>
          <w:sz w:val="19"/>
        </w:rPr>
        <w:t>sponsors</w:t>
      </w:r>
      <w:r>
        <w:rPr>
          <w:rFonts w:ascii="Arial" w:hAnsi="Arial"/>
          <w:spacing w:val="-24"/>
          <w:w w:val="105"/>
          <w:sz w:val="19"/>
        </w:rPr>
        <w:t xml:space="preserve"> </w:t>
      </w:r>
      <w:r>
        <w:rPr>
          <w:rFonts w:ascii="Arial" w:hAnsi="Arial"/>
          <w:w w:val="105"/>
          <w:sz w:val="19"/>
        </w:rPr>
        <w:t>who</w:t>
      </w:r>
      <w:r>
        <w:rPr>
          <w:rFonts w:ascii="Arial" w:hAnsi="Arial"/>
          <w:spacing w:val="-23"/>
          <w:w w:val="105"/>
          <w:sz w:val="19"/>
        </w:rPr>
        <w:t xml:space="preserve"> </w:t>
      </w:r>
      <w:r>
        <w:rPr>
          <w:rFonts w:ascii="Arial" w:hAnsi="Arial"/>
          <w:w w:val="105"/>
          <w:sz w:val="19"/>
        </w:rPr>
        <w:t>do</w:t>
      </w:r>
      <w:r>
        <w:rPr>
          <w:rFonts w:ascii="Arial" w:hAnsi="Arial"/>
          <w:spacing w:val="-22"/>
          <w:w w:val="105"/>
          <w:sz w:val="19"/>
        </w:rPr>
        <w:t xml:space="preserve"> </w:t>
      </w:r>
      <w:r>
        <w:rPr>
          <w:rFonts w:ascii="Arial" w:hAnsi="Arial"/>
          <w:w w:val="105"/>
          <w:sz w:val="19"/>
        </w:rPr>
        <w:t>engage</w:t>
      </w:r>
      <w:r>
        <w:rPr>
          <w:rFonts w:ascii="Arial" w:hAnsi="Arial"/>
          <w:spacing w:val="-22"/>
          <w:w w:val="105"/>
          <w:sz w:val="19"/>
        </w:rPr>
        <w:t xml:space="preserve"> </w:t>
      </w:r>
      <w:r>
        <w:rPr>
          <w:rFonts w:ascii="Arial" w:hAnsi="Arial"/>
          <w:w w:val="105"/>
          <w:sz w:val="19"/>
        </w:rPr>
        <w:t>(23)</w:t>
      </w:r>
      <w:r>
        <w:rPr>
          <w:rFonts w:ascii="Arial" w:hAnsi="Arial"/>
          <w:spacing w:val="-22"/>
          <w:w w:val="105"/>
          <w:sz w:val="19"/>
        </w:rPr>
        <w:t xml:space="preserve"> </w:t>
      </w:r>
      <w:r>
        <w:rPr>
          <w:rFonts w:ascii="Arial" w:hAnsi="Arial"/>
          <w:w w:val="105"/>
          <w:sz w:val="19"/>
        </w:rPr>
        <w:t>x</w:t>
      </w:r>
      <w:r>
        <w:rPr>
          <w:rFonts w:ascii="Arial" w:hAnsi="Arial"/>
          <w:spacing w:val="-22"/>
          <w:w w:val="105"/>
          <w:sz w:val="19"/>
        </w:rPr>
        <w:t xml:space="preserve"> </w:t>
      </w:r>
      <w:r>
        <w:rPr>
          <w:rFonts w:ascii="Arial" w:hAnsi="Arial"/>
          <w:w w:val="105"/>
          <w:sz w:val="19"/>
        </w:rPr>
        <w:t>time</w:t>
      </w:r>
      <w:r>
        <w:rPr>
          <w:rFonts w:ascii="Arial" w:hAnsi="Arial"/>
          <w:spacing w:val="-21"/>
          <w:w w:val="105"/>
          <w:sz w:val="19"/>
        </w:rPr>
        <w:t xml:space="preserve"> </w:t>
      </w:r>
      <w:r>
        <w:rPr>
          <w:rFonts w:ascii="Arial" w:hAnsi="Arial"/>
          <w:w w:val="105"/>
          <w:sz w:val="19"/>
        </w:rPr>
        <w:t>required</w:t>
      </w:r>
      <w:r>
        <w:rPr>
          <w:rFonts w:ascii="Arial" w:hAnsi="Arial"/>
          <w:spacing w:val="-23"/>
          <w:w w:val="105"/>
          <w:sz w:val="19"/>
        </w:rPr>
        <w:t xml:space="preserve"> </w:t>
      </w:r>
      <w:r>
        <w:rPr>
          <w:rFonts w:ascii="Arial" w:hAnsi="Arial"/>
          <w:w w:val="105"/>
          <w:sz w:val="19"/>
        </w:rPr>
        <w:t>to consult</w:t>
      </w:r>
      <w:r>
        <w:rPr>
          <w:rFonts w:ascii="Arial" w:hAnsi="Arial"/>
          <w:spacing w:val="-13"/>
          <w:w w:val="105"/>
          <w:sz w:val="19"/>
        </w:rPr>
        <w:t xml:space="preserve"> </w:t>
      </w:r>
      <w:r>
        <w:rPr>
          <w:rFonts w:ascii="Arial" w:hAnsi="Arial"/>
          <w:w w:val="105"/>
          <w:sz w:val="19"/>
        </w:rPr>
        <w:t>with</w:t>
      </w:r>
      <w:r>
        <w:rPr>
          <w:rFonts w:ascii="Arial" w:hAnsi="Arial"/>
          <w:spacing w:val="-15"/>
          <w:w w:val="105"/>
          <w:sz w:val="19"/>
        </w:rPr>
        <w:t xml:space="preserve"> </w:t>
      </w:r>
      <w:r>
        <w:rPr>
          <w:rFonts w:ascii="Arial" w:hAnsi="Arial"/>
          <w:w w:val="105"/>
          <w:sz w:val="19"/>
        </w:rPr>
        <w:t>a</w:t>
      </w:r>
      <w:r>
        <w:rPr>
          <w:rFonts w:ascii="Arial" w:hAnsi="Arial"/>
          <w:spacing w:val="-12"/>
          <w:w w:val="105"/>
          <w:sz w:val="19"/>
        </w:rPr>
        <w:t xml:space="preserve"> </w:t>
      </w:r>
      <w:r>
        <w:rPr>
          <w:rFonts w:ascii="Arial" w:hAnsi="Arial"/>
          <w:w w:val="105"/>
          <w:sz w:val="19"/>
        </w:rPr>
        <w:t>regulatory</w:t>
      </w:r>
      <w:r>
        <w:rPr>
          <w:rFonts w:ascii="Arial" w:hAnsi="Arial"/>
          <w:spacing w:val="-15"/>
          <w:w w:val="105"/>
          <w:sz w:val="19"/>
        </w:rPr>
        <w:t xml:space="preserve"> </w:t>
      </w:r>
      <w:r>
        <w:rPr>
          <w:rFonts w:ascii="Arial" w:hAnsi="Arial"/>
          <w:w w:val="105"/>
          <w:sz w:val="19"/>
        </w:rPr>
        <w:t>affairs</w:t>
      </w:r>
      <w:r>
        <w:rPr>
          <w:rFonts w:ascii="Arial" w:hAnsi="Arial"/>
          <w:spacing w:val="-9"/>
          <w:w w:val="105"/>
          <w:sz w:val="19"/>
        </w:rPr>
        <w:t xml:space="preserve"> </w:t>
      </w:r>
      <w:r>
        <w:rPr>
          <w:rFonts w:ascii="Arial" w:hAnsi="Arial"/>
          <w:w w:val="105"/>
          <w:sz w:val="19"/>
        </w:rPr>
        <w:t>consultant</w:t>
      </w:r>
      <w:r>
        <w:rPr>
          <w:rFonts w:ascii="Arial" w:hAnsi="Arial"/>
          <w:spacing w:val="-14"/>
          <w:w w:val="105"/>
          <w:sz w:val="19"/>
        </w:rPr>
        <w:t xml:space="preserve"> </w:t>
      </w:r>
      <w:r>
        <w:rPr>
          <w:rFonts w:ascii="Arial" w:hAnsi="Arial"/>
          <w:w w:val="105"/>
          <w:sz w:val="19"/>
        </w:rPr>
        <w:t>(180</w:t>
      </w:r>
      <w:r>
        <w:rPr>
          <w:rFonts w:ascii="Arial" w:hAnsi="Arial"/>
          <w:spacing w:val="-14"/>
          <w:w w:val="105"/>
          <w:sz w:val="19"/>
        </w:rPr>
        <w:t xml:space="preserve"> </w:t>
      </w:r>
      <w:r>
        <w:rPr>
          <w:rFonts w:ascii="Arial" w:hAnsi="Arial"/>
          <w:w w:val="105"/>
          <w:sz w:val="19"/>
        </w:rPr>
        <w:t>minutes)</w:t>
      </w:r>
      <w:r>
        <w:rPr>
          <w:rFonts w:ascii="Arial" w:hAnsi="Arial"/>
          <w:spacing w:val="-14"/>
          <w:w w:val="105"/>
          <w:sz w:val="19"/>
        </w:rPr>
        <w:t xml:space="preserve"> </w:t>
      </w:r>
      <w:r>
        <w:rPr>
          <w:rFonts w:ascii="Arial" w:hAnsi="Arial"/>
          <w:w w:val="105"/>
          <w:sz w:val="19"/>
        </w:rPr>
        <w:t>=</w:t>
      </w:r>
      <w:r>
        <w:rPr>
          <w:rFonts w:ascii="Arial" w:hAnsi="Arial"/>
          <w:spacing w:val="-13"/>
          <w:w w:val="105"/>
          <w:sz w:val="19"/>
        </w:rPr>
        <w:t xml:space="preserve"> </w:t>
      </w:r>
      <w:r>
        <w:rPr>
          <w:rFonts w:ascii="Arial" w:hAnsi="Arial"/>
          <w:w w:val="105"/>
          <w:sz w:val="19"/>
        </w:rPr>
        <w:t>4,140</w:t>
      </w:r>
      <w:r>
        <w:rPr>
          <w:rFonts w:ascii="Arial" w:hAnsi="Arial"/>
          <w:spacing w:val="-15"/>
          <w:w w:val="105"/>
          <w:sz w:val="19"/>
        </w:rPr>
        <w:t xml:space="preserve"> </w:t>
      </w:r>
      <w:r>
        <w:rPr>
          <w:rFonts w:ascii="Arial" w:hAnsi="Arial"/>
          <w:w w:val="105"/>
          <w:sz w:val="19"/>
        </w:rPr>
        <w:t>minutes</w:t>
      </w:r>
    </w:p>
    <w:p w:rsidR="007D76BB" w:rsidRDefault="00D70D28">
      <w:pPr>
        <w:pStyle w:val="ListParagraph"/>
        <w:numPr>
          <w:ilvl w:val="1"/>
          <w:numId w:val="5"/>
        </w:numPr>
        <w:tabs>
          <w:tab w:val="left" w:pos="766"/>
        </w:tabs>
        <w:spacing w:before="81" w:line="266" w:lineRule="auto"/>
        <w:ind w:right="875"/>
        <w:rPr>
          <w:rFonts w:ascii="Arial" w:hAnsi="Arial"/>
          <w:sz w:val="19"/>
        </w:rPr>
      </w:pPr>
      <w:r>
        <w:rPr>
          <w:rFonts w:ascii="Arial" w:hAnsi="Arial"/>
          <w:w w:val="105"/>
          <w:sz w:val="19"/>
        </w:rPr>
        <w:t>New</w:t>
      </w:r>
      <w:r>
        <w:rPr>
          <w:rFonts w:ascii="Arial" w:hAnsi="Arial"/>
          <w:spacing w:val="-31"/>
          <w:w w:val="105"/>
          <w:sz w:val="19"/>
        </w:rPr>
        <w:t xml:space="preserve"> </w:t>
      </w:r>
      <w:r>
        <w:rPr>
          <w:rFonts w:ascii="Arial" w:hAnsi="Arial"/>
          <w:w w:val="105"/>
          <w:sz w:val="19"/>
        </w:rPr>
        <w:t>sponsors</w:t>
      </w:r>
      <w:r>
        <w:rPr>
          <w:rFonts w:ascii="Arial" w:hAnsi="Arial"/>
          <w:spacing w:val="-31"/>
          <w:w w:val="105"/>
          <w:sz w:val="19"/>
        </w:rPr>
        <w:t xml:space="preserve"> </w:t>
      </w:r>
      <w:r>
        <w:rPr>
          <w:rFonts w:ascii="Arial" w:hAnsi="Arial"/>
          <w:w w:val="105"/>
          <w:sz w:val="19"/>
        </w:rPr>
        <w:t>become</w:t>
      </w:r>
      <w:r>
        <w:rPr>
          <w:rFonts w:ascii="Arial" w:hAnsi="Arial"/>
          <w:spacing w:val="-31"/>
          <w:w w:val="105"/>
          <w:sz w:val="19"/>
        </w:rPr>
        <w:t xml:space="preserve"> </w:t>
      </w:r>
      <w:r>
        <w:rPr>
          <w:rFonts w:ascii="Arial" w:hAnsi="Arial"/>
          <w:w w:val="105"/>
          <w:sz w:val="19"/>
        </w:rPr>
        <w:t>aware</w:t>
      </w:r>
      <w:r>
        <w:rPr>
          <w:rFonts w:ascii="Arial" w:hAnsi="Arial"/>
          <w:spacing w:val="-31"/>
          <w:w w:val="105"/>
          <w:sz w:val="19"/>
        </w:rPr>
        <w:t xml:space="preserve"> </w:t>
      </w:r>
      <w:r>
        <w:rPr>
          <w:rFonts w:ascii="Arial" w:hAnsi="Arial"/>
          <w:w w:val="105"/>
          <w:sz w:val="19"/>
        </w:rPr>
        <w:t>of</w:t>
      </w:r>
      <w:r>
        <w:rPr>
          <w:rFonts w:ascii="Arial" w:hAnsi="Arial"/>
          <w:spacing w:val="-32"/>
          <w:w w:val="105"/>
          <w:sz w:val="19"/>
        </w:rPr>
        <w:t xml:space="preserve"> </w:t>
      </w:r>
      <w:r>
        <w:rPr>
          <w:rFonts w:ascii="Arial" w:hAnsi="Arial"/>
          <w:w w:val="105"/>
          <w:sz w:val="19"/>
        </w:rPr>
        <w:t>responsibilities</w:t>
      </w:r>
      <w:r>
        <w:rPr>
          <w:rFonts w:ascii="Arial" w:hAnsi="Arial"/>
          <w:spacing w:val="-31"/>
          <w:w w:val="105"/>
          <w:sz w:val="19"/>
        </w:rPr>
        <w:t xml:space="preserve"> </w:t>
      </w:r>
      <w:r>
        <w:rPr>
          <w:rFonts w:ascii="Arial" w:hAnsi="Arial"/>
          <w:w w:val="105"/>
          <w:sz w:val="19"/>
        </w:rPr>
        <w:t>of</w:t>
      </w:r>
      <w:r>
        <w:rPr>
          <w:rFonts w:ascii="Arial" w:hAnsi="Arial"/>
          <w:spacing w:val="-31"/>
          <w:w w:val="105"/>
          <w:sz w:val="19"/>
        </w:rPr>
        <w:t xml:space="preserve"> </w:t>
      </w:r>
      <w:r>
        <w:rPr>
          <w:rFonts w:ascii="Arial" w:hAnsi="Arial"/>
          <w:w w:val="105"/>
          <w:sz w:val="19"/>
        </w:rPr>
        <w:t>being</w:t>
      </w:r>
      <w:r>
        <w:rPr>
          <w:rFonts w:ascii="Arial" w:hAnsi="Arial"/>
          <w:spacing w:val="-32"/>
          <w:w w:val="105"/>
          <w:sz w:val="19"/>
        </w:rPr>
        <w:t xml:space="preserve"> </w:t>
      </w:r>
      <w:r>
        <w:rPr>
          <w:rFonts w:ascii="Arial" w:hAnsi="Arial"/>
          <w:w w:val="105"/>
          <w:sz w:val="19"/>
        </w:rPr>
        <w:t>a</w:t>
      </w:r>
      <w:r>
        <w:rPr>
          <w:rFonts w:ascii="Arial" w:hAnsi="Arial"/>
          <w:spacing w:val="-30"/>
          <w:w w:val="105"/>
          <w:sz w:val="19"/>
        </w:rPr>
        <w:t xml:space="preserve"> </w:t>
      </w:r>
      <w:r>
        <w:rPr>
          <w:rFonts w:ascii="Arial" w:hAnsi="Arial"/>
          <w:w w:val="105"/>
          <w:sz w:val="19"/>
        </w:rPr>
        <w:t>sponsor:</w:t>
      </w:r>
      <w:r>
        <w:rPr>
          <w:rFonts w:ascii="Arial" w:hAnsi="Arial"/>
          <w:spacing w:val="-31"/>
          <w:w w:val="105"/>
          <w:sz w:val="19"/>
        </w:rPr>
        <w:t xml:space="preserve"> </w:t>
      </w:r>
      <w:r>
        <w:rPr>
          <w:rFonts w:ascii="Arial" w:hAnsi="Arial"/>
          <w:w w:val="105"/>
          <w:sz w:val="19"/>
        </w:rPr>
        <w:t>number</w:t>
      </w:r>
      <w:r>
        <w:rPr>
          <w:rFonts w:ascii="Arial" w:hAnsi="Arial"/>
          <w:spacing w:val="-31"/>
          <w:w w:val="105"/>
          <w:sz w:val="19"/>
        </w:rPr>
        <w:t xml:space="preserve"> </w:t>
      </w:r>
      <w:r>
        <w:rPr>
          <w:rFonts w:ascii="Arial" w:hAnsi="Arial"/>
          <w:w w:val="105"/>
          <w:sz w:val="19"/>
        </w:rPr>
        <w:t>of</w:t>
      </w:r>
      <w:r>
        <w:rPr>
          <w:rFonts w:ascii="Arial" w:hAnsi="Arial"/>
          <w:spacing w:val="-31"/>
          <w:w w:val="105"/>
          <w:sz w:val="19"/>
        </w:rPr>
        <w:t xml:space="preserve"> </w:t>
      </w:r>
      <w:r>
        <w:rPr>
          <w:rFonts w:ascii="Arial" w:hAnsi="Arial"/>
          <w:w w:val="105"/>
          <w:sz w:val="19"/>
        </w:rPr>
        <w:t>new</w:t>
      </w:r>
      <w:r>
        <w:rPr>
          <w:rFonts w:ascii="Arial" w:hAnsi="Arial"/>
          <w:spacing w:val="-32"/>
          <w:w w:val="105"/>
          <w:sz w:val="19"/>
        </w:rPr>
        <w:t xml:space="preserve"> </w:t>
      </w:r>
      <w:r>
        <w:rPr>
          <w:rFonts w:ascii="Arial" w:hAnsi="Arial"/>
          <w:w w:val="105"/>
          <w:sz w:val="19"/>
        </w:rPr>
        <w:t>sponsors</w:t>
      </w:r>
      <w:r>
        <w:rPr>
          <w:rFonts w:ascii="Arial" w:hAnsi="Arial"/>
          <w:spacing w:val="-31"/>
          <w:w w:val="105"/>
          <w:sz w:val="19"/>
        </w:rPr>
        <w:t xml:space="preserve"> </w:t>
      </w:r>
      <w:r>
        <w:rPr>
          <w:rFonts w:ascii="Arial" w:hAnsi="Arial"/>
          <w:w w:val="105"/>
          <w:sz w:val="19"/>
        </w:rPr>
        <w:t>(6)</w:t>
      </w:r>
      <w:r>
        <w:rPr>
          <w:rFonts w:ascii="Arial" w:hAnsi="Arial"/>
          <w:spacing w:val="-31"/>
          <w:w w:val="105"/>
          <w:sz w:val="19"/>
        </w:rPr>
        <w:t xml:space="preserve"> </w:t>
      </w:r>
      <w:r>
        <w:rPr>
          <w:rFonts w:ascii="Arial" w:hAnsi="Arial"/>
          <w:w w:val="105"/>
          <w:sz w:val="19"/>
        </w:rPr>
        <w:t>x time</w:t>
      </w:r>
      <w:r>
        <w:rPr>
          <w:rFonts w:ascii="Arial" w:hAnsi="Arial"/>
          <w:spacing w:val="-22"/>
          <w:w w:val="105"/>
          <w:sz w:val="19"/>
        </w:rPr>
        <w:t xml:space="preserve"> </w:t>
      </w:r>
      <w:r>
        <w:rPr>
          <w:rFonts w:ascii="Arial" w:hAnsi="Arial"/>
          <w:w w:val="105"/>
          <w:sz w:val="19"/>
        </w:rPr>
        <w:t>taken</w:t>
      </w:r>
      <w:r>
        <w:rPr>
          <w:rFonts w:ascii="Arial" w:hAnsi="Arial"/>
          <w:spacing w:val="-22"/>
          <w:w w:val="105"/>
          <w:sz w:val="19"/>
        </w:rPr>
        <w:t xml:space="preserve"> </w:t>
      </w:r>
      <w:r>
        <w:rPr>
          <w:rFonts w:ascii="Arial" w:hAnsi="Arial"/>
          <w:w w:val="105"/>
          <w:sz w:val="19"/>
        </w:rPr>
        <w:t>to</w:t>
      </w:r>
      <w:r>
        <w:rPr>
          <w:rFonts w:ascii="Arial" w:hAnsi="Arial"/>
          <w:spacing w:val="-24"/>
          <w:w w:val="105"/>
          <w:sz w:val="19"/>
        </w:rPr>
        <w:t xml:space="preserve"> </w:t>
      </w:r>
      <w:r>
        <w:rPr>
          <w:rFonts w:ascii="Arial" w:hAnsi="Arial"/>
          <w:w w:val="105"/>
          <w:sz w:val="19"/>
        </w:rPr>
        <w:t>become</w:t>
      </w:r>
      <w:r>
        <w:rPr>
          <w:rFonts w:ascii="Arial" w:hAnsi="Arial"/>
          <w:spacing w:val="-23"/>
          <w:w w:val="105"/>
          <w:sz w:val="19"/>
        </w:rPr>
        <w:t xml:space="preserve"> </w:t>
      </w:r>
      <w:r>
        <w:rPr>
          <w:rFonts w:ascii="Arial" w:hAnsi="Arial"/>
          <w:w w:val="105"/>
          <w:sz w:val="19"/>
        </w:rPr>
        <w:t>aware</w:t>
      </w:r>
      <w:r>
        <w:rPr>
          <w:rFonts w:ascii="Arial" w:hAnsi="Arial"/>
          <w:spacing w:val="-25"/>
          <w:w w:val="105"/>
          <w:sz w:val="19"/>
        </w:rPr>
        <w:t xml:space="preserve"> </w:t>
      </w:r>
      <w:r>
        <w:rPr>
          <w:rFonts w:ascii="Arial" w:hAnsi="Arial"/>
          <w:w w:val="105"/>
          <w:sz w:val="19"/>
        </w:rPr>
        <w:t>of</w:t>
      </w:r>
      <w:r>
        <w:rPr>
          <w:rFonts w:ascii="Arial" w:hAnsi="Arial"/>
          <w:spacing w:val="-23"/>
          <w:w w:val="105"/>
          <w:sz w:val="19"/>
        </w:rPr>
        <w:t xml:space="preserve"> </w:t>
      </w:r>
      <w:r>
        <w:rPr>
          <w:rFonts w:ascii="Arial" w:hAnsi="Arial"/>
          <w:w w:val="105"/>
          <w:sz w:val="19"/>
        </w:rPr>
        <w:t>responsibilities</w:t>
      </w:r>
      <w:r>
        <w:rPr>
          <w:rFonts w:ascii="Arial" w:hAnsi="Arial"/>
          <w:spacing w:val="-23"/>
          <w:w w:val="105"/>
          <w:sz w:val="19"/>
        </w:rPr>
        <w:t xml:space="preserve"> </w:t>
      </w:r>
      <w:r>
        <w:rPr>
          <w:rFonts w:ascii="Arial" w:hAnsi="Arial"/>
          <w:w w:val="105"/>
          <w:sz w:val="19"/>
        </w:rPr>
        <w:t>of</w:t>
      </w:r>
      <w:r>
        <w:rPr>
          <w:rFonts w:ascii="Arial" w:hAnsi="Arial"/>
          <w:spacing w:val="-23"/>
          <w:w w:val="105"/>
          <w:sz w:val="19"/>
        </w:rPr>
        <w:t xml:space="preserve"> </w:t>
      </w:r>
      <w:r>
        <w:rPr>
          <w:rFonts w:ascii="Arial" w:hAnsi="Arial"/>
          <w:w w:val="105"/>
          <w:sz w:val="19"/>
        </w:rPr>
        <w:t>being</w:t>
      </w:r>
      <w:r>
        <w:rPr>
          <w:rFonts w:ascii="Arial" w:hAnsi="Arial"/>
          <w:spacing w:val="-22"/>
          <w:w w:val="105"/>
          <w:sz w:val="19"/>
        </w:rPr>
        <w:t xml:space="preserve"> </w:t>
      </w:r>
      <w:r>
        <w:rPr>
          <w:rFonts w:ascii="Arial" w:hAnsi="Arial"/>
          <w:w w:val="105"/>
          <w:sz w:val="19"/>
        </w:rPr>
        <w:t>a</w:t>
      </w:r>
      <w:r>
        <w:rPr>
          <w:rFonts w:ascii="Arial" w:hAnsi="Arial"/>
          <w:spacing w:val="-25"/>
          <w:w w:val="105"/>
          <w:sz w:val="19"/>
        </w:rPr>
        <w:t xml:space="preserve"> </w:t>
      </w:r>
      <w:r>
        <w:rPr>
          <w:rFonts w:ascii="Arial" w:hAnsi="Arial"/>
          <w:w w:val="105"/>
          <w:sz w:val="19"/>
        </w:rPr>
        <w:t>sponsor</w:t>
      </w:r>
      <w:r>
        <w:rPr>
          <w:rFonts w:ascii="Arial" w:hAnsi="Arial"/>
          <w:spacing w:val="-21"/>
          <w:w w:val="105"/>
          <w:sz w:val="19"/>
        </w:rPr>
        <w:t xml:space="preserve"> </w:t>
      </w:r>
      <w:r>
        <w:rPr>
          <w:rFonts w:ascii="Arial" w:hAnsi="Arial"/>
          <w:w w:val="105"/>
          <w:sz w:val="19"/>
        </w:rPr>
        <w:t>(240</w:t>
      </w:r>
      <w:r>
        <w:rPr>
          <w:rFonts w:ascii="Arial" w:hAnsi="Arial"/>
          <w:spacing w:val="-22"/>
          <w:w w:val="105"/>
          <w:sz w:val="19"/>
        </w:rPr>
        <w:t xml:space="preserve"> </w:t>
      </w:r>
      <w:r>
        <w:rPr>
          <w:rFonts w:ascii="Arial" w:hAnsi="Arial"/>
          <w:w w:val="105"/>
          <w:sz w:val="19"/>
        </w:rPr>
        <w:t>minutes)</w:t>
      </w:r>
      <w:r>
        <w:rPr>
          <w:rFonts w:ascii="Arial" w:hAnsi="Arial"/>
          <w:spacing w:val="-22"/>
          <w:w w:val="105"/>
          <w:sz w:val="19"/>
        </w:rPr>
        <w:t xml:space="preserve"> </w:t>
      </w:r>
      <w:r>
        <w:rPr>
          <w:rFonts w:ascii="Arial" w:hAnsi="Arial"/>
          <w:w w:val="105"/>
          <w:sz w:val="19"/>
        </w:rPr>
        <w:t>=</w:t>
      </w:r>
      <w:r>
        <w:rPr>
          <w:rFonts w:ascii="Arial" w:hAnsi="Arial"/>
          <w:spacing w:val="-24"/>
          <w:w w:val="105"/>
          <w:sz w:val="19"/>
        </w:rPr>
        <w:t xml:space="preserve"> </w:t>
      </w:r>
      <w:r>
        <w:rPr>
          <w:rFonts w:ascii="Arial" w:hAnsi="Arial"/>
          <w:w w:val="105"/>
          <w:sz w:val="19"/>
        </w:rPr>
        <w:t>1,440</w:t>
      </w:r>
      <w:r>
        <w:rPr>
          <w:rFonts w:ascii="Arial" w:hAnsi="Arial"/>
          <w:spacing w:val="-21"/>
          <w:w w:val="105"/>
          <w:sz w:val="19"/>
        </w:rPr>
        <w:t xml:space="preserve"> </w:t>
      </w:r>
      <w:r>
        <w:rPr>
          <w:rFonts w:ascii="Arial" w:hAnsi="Arial"/>
          <w:w w:val="105"/>
          <w:sz w:val="19"/>
        </w:rPr>
        <w:t>minutes</w:t>
      </w:r>
    </w:p>
    <w:p w:rsidR="007D76BB" w:rsidRDefault="00D70D28">
      <w:pPr>
        <w:pStyle w:val="ListParagraph"/>
        <w:numPr>
          <w:ilvl w:val="1"/>
          <w:numId w:val="5"/>
        </w:numPr>
        <w:tabs>
          <w:tab w:val="left" w:pos="766"/>
        </w:tabs>
        <w:spacing w:before="76" w:line="264" w:lineRule="auto"/>
        <w:ind w:right="889"/>
        <w:rPr>
          <w:rFonts w:ascii="Arial" w:hAnsi="Arial"/>
          <w:sz w:val="19"/>
        </w:rPr>
      </w:pPr>
      <w:r>
        <w:rPr>
          <w:rFonts w:ascii="Arial" w:hAnsi="Arial"/>
          <w:w w:val="105"/>
          <w:sz w:val="19"/>
        </w:rPr>
        <w:t>New</w:t>
      </w:r>
      <w:r>
        <w:rPr>
          <w:rFonts w:ascii="Arial" w:hAnsi="Arial"/>
          <w:spacing w:val="-33"/>
          <w:w w:val="105"/>
          <w:sz w:val="19"/>
        </w:rPr>
        <w:t xml:space="preserve"> </w:t>
      </w:r>
      <w:r>
        <w:rPr>
          <w:rFonts w:ascii="Arial" w:hAnsi="Arial"/>
          <w:w w:val="105"/>
          <w:sz w:val="19"/>
        </w:rPr>
        <w:t>sponsors</w:t>
      </w:r>
      <w:r>
        <w:rPr>
          <w:rFonts w:ascii="Arial" w:hAnsi="Arial"/>
          <w:spacing w:val="-34"/>
          <w:w w:val="105"/>
          <w:sz w:val="19"/>
        </w:rPr>
        <w:t xml:space="preserve"> </w:t>
      </w:r>
      <w:r>
        <w:rPr>
          <w:rFonts w:ascii="Arial" w:hAnsi="Arial"/>
          <w:w w:val="105"/>
          <w:sz w:val="19"/>
        </w:rPr>
        <w:t>complete</w:t>
      </w:r>
      <w:r>
        <w:rPr>
          <w:rFonts w:ascii="Arial" w:hAnsi="Arial"/>
          <w:spacing w:val="-33"/>
          <w:w w:val="105"/>
          <w:sz w:val="19"/>
        </w:rPr>
        <w:t xml:space="preserve"> </w:t>
      </w:r>
      <w:r>
        <w:rPr>
          <w:rFonts w:ascii="Arial" w:hAnsi="Arial"/>
          <w:w w:val="105"/>
          <w:sz w:val="19"/>
        </w:rPr>
        <w:t>‘</w:t>
      </w:r>
      <w:proofErr w:type="spellStart"/>
      <w:r>
        <w:rPr>
          <w:rFonts w:ascii="Arial" w:hAnsi="Arial"/>
          <w:w w:val="105"/>
          <w:sz w:val="19"/>
        </w:rPr>
        <w:t>Organisation</w:t>
      </w:r>
      <w:proofErr w:type="spellEnd"/>
      <w:r>
        <w:rPr>
          <w:rFonts w:ascii="Arial" w:hAnsi="Arial"/>
          <w:spacing w:val="-34"/>
          <w:w w:val="105"/>
          <w:sz w:val="19"/>
        </w:rPr>
        <w:t xml:space="preserve"> </w:t>
      </w:r>
      <w:r>
        <w:rPr>
          <w:rFonts w:ascii="Arial" w:hAnsi="Arial"/>
          <w:w w:val="105"/>
          <w:sz w:val="19"/>
        </w:rPr>
        <w:t>Details’</w:t>
      </w:r>
      <w:r>
        <w:rPr>
          <w:rFonts w:ascii="Arial" w:hAnsi="Arial"/>
          <w:spacing w:val="-34"/>
          <w:w w:val="105"/>
          <w:sz w:val="19"/>
        </w:rPr>
        <w:t xml:space="preserve"> </w:t>
      </w:r>
      <w:r>
        <w:rPr>
          <w:rFonts w:ascii="Arial" w:hAnsi="Arial"/>
          <w:w w:val="105"/>
          <w:sz w:val="19"/>
        </w:rPr>
        <w:t>form</w:t>
      </w:r>
      <w:r>
        <w:rPr>
          <w:rFonts w:ascii="Arial" w:hAnsi="Arial"/>
          <w:spacing w:val="-33"/>
          <w:w w:val="105"/>
          <w:sz w:val="19"/>
        </w:rPr>
        <w:t xml:space="preserve"> </w:t>
      </w:r>
      <w:r>
        <w:rPr>
          <w:rFonts w:ascii="Arial" w:hAnsi="Arial"/>
          <w:w w:val="105"/>
          <w:sz w:val="19"/>
        </w:rPr>
        <w:t>and</w:t>
      </w:r>
      <w:r>
        <w:rPr>
          <w:rFonts w:ascii="Arial" w:hAnsi="Arial"/>
          <w:spacing w:val="-35"/>
          <w:w w:val="105"/>
          <w:sz w:val="19"/>
        </w:rPr>
        <w:t xml:space="preserve"> </w:t>
      </w:r>
      <w:r>
        <w:rPr>
          <w:rFonts w:ascii="Arial" w:hAnsi="Arial"/>
          <w:w w:val="105"/>
          <w:sz w:val="19"/>
        </w:rPr>
        <w:t>register</w:t>
      </w:r>
      <w:r>
        <w:rPr>
          <w:rFonts w:ascii="Arial" w:hAnsi="Arial"/>
          <w:spacing w:val="-33"/>
          <w:w w:val="105"/>
          <w:sz w:val="19"/>
        </w:rPr>
        <w:t xml:space="preserve"> </w:t>
      </w:r>
      <w:r>
        <w:rPr>
          <w:rFonts w:ascii="Arial" w:hAnsi="Arial"/>
          <w:w w:val="105"/>
          <w:sz w:val="19"/>
        </w:rPr>
        <w:t>on</w:t>
      </w:r>
      <w:r>
        <w:rPr>
          <w:rFonts w:ascii="Arial" w:hAnsi="Arial"/>
          <w:spacing w:val="-33"/>
          <w:w w:val="105"/>
          <w:sz w:val="19"/>
        </w:rPr>
        <w:t xml:space="preserve"> </w:t>
      </w:r>
      <w:proofErr w:type="spellStart"/>
      <w:r>
        <w:rPr>
          <w:rFonts w:ascii="Arial" w:hAnsi="Arial"/>
          <w:w w:val="105"/>
          <w:sz w:val="19"/>
        </w:rPr>
        <w:t>eBS</w:t>
      </w:r>
      <w:proofErr w:type="spellEnd"/>
      <w:r>
        <w:rPr>
          <w:rFonts w:ascii="Arial" w:hAnsi="Arial"/>
          <w:w w:val="105"/>
          <w:sz w:val="19"/>
        </w:rPr>
        <w:t>:</w:t>
      </w:r>
      <w:r>
        <w:rPr>
          <w:rFonts w:ascii="Arial" w:hAnsi="Arial"/>
          <w:spacing w:val="-35"/>
          <w:w w:val="105"/>
          <w:sz w:val="19"/>
        </w:rPr>
        <w:t xml:space="preserve"> </w:t>
      </w:r>
      <w:r>
        <w:rPr>
          <w:rFonts w:ascii="Arial" w:hAnsi="Arial"/>
          <w:w w:val="105"/>
          <w:sz w:val="19"/>
        </w:rPr>
        <w:t>number</w:t>
      </w:r>
      <w:r>
        <w:rPr>
          <w:rFonts w:ascii="Arial" w:hAnsi="Arial"/>
          <w:spacing w:val="-34"/>
          <w:w w:val="105"/>
          <w:sz w:val="19"/>
        </w:rPr>
        <w:t xml:space="preserve"> </w:t>
      </w:r>
      <w:r>
        <w:rPr>
          <w:rFonts w:ascii="Arial" w:hAnsi="Arial"/>
          <w:w w:val="105"/>
          <w:sz w:val="19"/>
        </w:rPr>
        <w:t>of</w:t>
      </w:r>
      <w:r>
        <w:rPr>
          <w:rFonts w:ascii="Arial" w:hAnsi="Arial"/>
          <w:spacing w:val="-34"/>
          <w:w w:val="105"/>
          <w:sz w:val="19"/>
        </w:rPr>
        <w:t xml:space="preserve"> </w:t>
      </w:r>
      <w:r>
        <w:rPr>
          <w:rFonts w:ascii="Arial" w:hAnsi="Arial"/>
          <w:w w:val="105"/>
          <w:sz w:val="19"/>
        </w:rPr>
        <w:t>new</w:t>
      </w:r>
      <w:r>
        <w:rPr>
          <w:rFonts w:ascii="Arial" w:hAnsi="Arial"/>
          <w:spacing w:val="-33"/>
          <w:w w:val="105"/>
          <w:sz w:val="19"/>
        </w:rPr>
        <w:t xml:space="preserve"> </w:t>
      </w:r>
      <w:r>
        <w:rPr>
          <w:rFonts w:ascii="Arial" w:hAnsi="Arial"/>
          <w:w w:val="105"/>
          <w:sz w:val="19"/>
        </w:rPr>
        <w:t>sponsors proceeding to sponsor application (6) x time required to complete ‘</w:t>
      </w:r>
      <w:proofErr w:type="spellStart"/>
      <w:r>
        <w:rPr>
          <w:rFonts w:ascii="Arial" w:hAnsi="Arial"/>
          <w:w w:val="105"/>
          <w:sz w:val="19"/>
        </w:rPr>
        <w:t>Organisation</w:t>
      </w:r>
      <w:proofErr w:type="spellEnd"/>
      <w:r>
        <w:rPr>
          <w:rFonts w:ascii="Arial" w:hAnsi="Arial"/>
          <w:w w:val="105"/>
          <w:sz w:val="19"/>
        </w:rPr>
        <w:t xml:space="preserve"> Details’ form (30</w:t>
      </w:r>
      <w:r>
        <w:rPr>
          <w:rFonts w:ascii="Arial" w:hAnsi="Arial"/>
          <w:spacing w:val="-9"/>
          <w:w w:val="105"/>
          <w:sz w:val="19"/>
        </w:rPr>
        <w:t xml:space="preserve"> </w:t>
      </w:r>
      <w:r>
        <w:rPr>
          <w:rFonts w:ascii="Arial" w:hAnsi="Arial"/>
          <w:w w:val="105"/>
          <w:sz w:val="19"/>
        </w:rPr>
        <w:t>minutes)</w:t>
      </w:r>
      <w:r>
        <w:rPr>
          <w:rFonts w:ascii="Arial" w:hAnsi="Arial"/>
          <w:spacing w:val="-11"/>
          <w:w w:val="105"/>
          <w:sz w:val="19"/>
        </w:rPr>
        <w:t xml:space="preserve"> </w:t>
      </w:r>
      <w:r>
        <w:rPr>
          <w:rFonts w:ascii="Arial" w:hAnsi="Arial"/>
          <w:w w:val="105"/>
          <w:sz w:val="19"/>
        </w:rPr>
        <w:t>=</w:t>
      </w:r>
      <w:r>
        <w:rPr>
          <w:rFonts w:ascii="Arial" w:hAnsi="Arial"/>
          <w:spacing w:val="-11"/>
          <w:w w:val="105"/>
          <w:sz w:val="19"/>
        </w:rPr>
        <w:t xml:space="preserve"> </w:t>
      </w:r>
      <w:r>
        <w:rPr>
          <w:rFonts w:ascii="Arial" w:hAnsi="Arial"/>
          <w:w w:val="105"/>
          <w:sz w:val="19"/>
        </w:rPr>
        <w:t>180</w:t>
      </w:r>
      <w:r>
        <w:rPr>
          <w:rFonts w:ascii="Arial" w:hAnsi="Arial"/>
          <w:spacing w:val="-12"/>
          <w:w w:val="105"/>
          <w:sz w:val="19"/>
        </w:rPr>
        <w:t xml:space="preserve"> </w:t>
      </w:r>
      <w:r>
        <w:rPr>
          <w:rFonts w:ascii="Arial" w:hAnsi="Arial"/>
          <w:w w:val="105"/>
          <w:sz w:val="19"/>
        </w:rPr>
        <w:t>minutes</w:t>
      </w:r>
    </w:p>
    <w:p w:rsidR="007D76BB" w:rsidRDefault="00D70D28">
      <w:pPr>
        <w:pStyle w:val="ListParagraph"/>
        <w:numPr>
          <w:ilvl w:val="1"/>
          <w:numId w:val="5"/>
        </w:numPr>
        <w:tabs>
          <w:tab w:val="left" w:pos="766"/>
        </w:tabs>
        <w:spacing w:before="81" w:line="264" w:lineRule="auto"/>
        <w:ind w:right="981"/>
        <w:rPr>
          <w:rFonts w:ascii="Arial" w:hAnsi="Arial"/>
          <w:sz w:val="19"/>
        </w:rPr>
      </w:pPr>
      <w:r>
        <w:rPr>
          <w:rFonts w:ascii="Arial" w:hAnsi="Arial"/>
          <w:w w:val="105"/>
          <w:sz w:val="19"/>
        </w:rPr>
        <w:t>Time</w:t>
      </w:r>
      <w:r>
        <w:rPr>
          <w:rFonts w:ascii="Arial" w:hAnsi="Arial"/>
          <w:spacing w:val="-26"/>
          <w:w w:val="105"/>
          <w:sz w:val="19"/>
        </w:rPr>
        <w:t xml:space="preserve"> </w:t>
      </w:r>
      <w:r>
        <w:rPr>
          <w:rFonts w:ascii="Arial" w:hAnsi="Arial"/>
          <w:w w:val="105"/>
          <w:sz w:val="19"/>
        </w:rPr>
        <w:t>required</w:t>
      </w:r>
      <w:r>
        <w:rPr>
          <w:rFonts w:ascii="Arial" w:hAnsi="Arial"/>
          <w:spacing w:val="-26"/>
          <w:w w:val="105"/>
          <w:sz w:val="19"/>
        </w:rPr>
        <w:t xml:space="preserve"> </w:t>
      </w:r>
      <w:r>
        <w:rPr>
          <w:rFonts w:ascii="Arial" w:hAnsi="Arial"/>
          <w:w w:val="105"/>
          <w:sz w:val="19"/>
        </w:rPr>
        <w:t>for</w:t>
      </w:r>
      <w:r>
        <w:rPr>
          <w:rFonts w:ascii="Arial" w:hAnsi="Arial"/>
          <w:spacing w:val="-26"/>
          <w:w w:val="105"/>
          <w:sz w:val="19"/>
        </w:rPr>
        <w:t xml:space="preserve"> </w:t>
      </w:r>
      <w:r>
        <w:rPr>
          <w:rFonts w:ascii="Arial" w:hAnsi="Arial"/>
          <w:w w:val="105"/>
          <w:sz w:val="19"/>
        </w:rPr>
        <w:t>awareness</w:t>
      </w:r>
      <w:r>
        <w:rPr>
          <w:rFonts w:ascii="Arial" w:hAnsi="Arial"/>
          <w:spacing w:val="-27"/>
          <w:w w:val="105"/>
          <w:sz w:val="19"/>
        </w:rPr>
        <w:t xml:space="preserve"> </w:t>
      </w:r>
      <w:r>
        <w:rPr>
          <w:rFonts w:ascii="Arial" w:hAnsi="Arial"/>
          <w:w w:val="105"/>
          <w:sz w:val="19"/>
        </w:rPr>
        <w:t>activities:</w:t>
      </w:r>
      <w:r>
        <w:rPr>
          <w:rFonts w:ascii="Arial" w:hAnsi="Arial"/>
          <w:spacing w:val="-25"/>
          <w:w w:val="105"/>
          <w:sz w:val="19"/>
        </w:rPr>
        <w:t xml:space="preserve"> </w:t>
      </w:r>
      <w:r>
        <w:rPr>
          <w:rFonts w:ascii="Arial" w:hAnsi="Arial"/>
          <w:w w:val="105"/>
          <w:sz w:val="19"/>
        </w:rPr>
        <w:t>1,140</w:t>
      </w:r>
      <w:r>
        <w:rPr>
          <w:rFonts w:ascii="Arial" w:hAnsi="Arial"/>
          <w:spacing w:val="-24"/>
          <w:w w:val="105"/>
          <w:sz w:val="19"/>
        </w:rPr>
        <w:t xml:space="preserve"> </w:t>
      </w:r>
      <w:r>
        <w:rPr>
          <w:rFonts w:ascii="Arial" w:hAnsi="Arial"/>
          <w:w w:val="105"/>
          <w:sz w:val="19"/>
        </w:rPr>
        <w:t>(existing</w:t>
      </w:r>
      <w:r>
        <w:rPr>
          <w:rFonts w:ascii="Arial" w:hAnsi="Arial"/>
          <w:spacing w:val="-26"/>
          <w:w w:val="105"/>
          <w:sz w:val="19"/>
        </w:rPr>
        <w:t xml:space="preserve"> </w:t>
      </w:r>
      <w:r>
        <w:rPr>
          <w:rFonts w:ascii="Arial" w:hAnsi="Arial"/>
          <w:w w:val="105"/>
          <w:sz w:val="19"/>
        </w:rPr>
        <w:t>sponsors</w:t>
      </w:r>
      <w:r>
        <w:rPr>
          <w:rFonts w:ascii="Arial" w:hAnsi="Arial"/>
          <w:spacing w:val="-26"/>
          <w:w w:val="105"/>
          <w:sz w:val="19"/>
        </w:rPr>
        <w:t xml:space="preserve"> </w:t>
      </w:r>
      <w:r>
        <w:rPr>
          <w:rFonts w:ascii="Arial" w:hAnsi="Arial"/>
          <w:w w:val="105"/>
          <w:sz w:val="19"/>
        </w:rPr>
        <w:t>review</w:t>
      </w:r>
      <w:r>
        <w:rPr>
          <w:rFonts w:ascii="Arial" w:hAnsi="Arial"/>
          <w:spacing w:val="-26"/>
          <w:w w:val="105"/>
          <w:sz w:val="19"/>
        </w:rPr>
        <w:t xml:space="preserve"> </w:t>
      </w:r>
      <w:r>
        <w:rPr>
          <w:rFonts w:ascii="Arial" w:hAnsi="Arial"/>
          <w:w w:val="105"/>
          <w:sz w:val="19"/>
        </w:rPr>
        <w:t>documents)</w:t>
      </w:r>
      <w:r>
        <w:rPr>
          <w:rFonts w:ascii="Arial" w:hAnsi="Arial"/>
          <w:spacing w:val="-24"/>
          <w:w w:val="105"/>
          <w:sz w:val="19"/>
        </w:rPr>
        <w:t xml:space="preserve"> </w:t>
      </w:r>
      <w:r>
        <w:rPr>
          <w:rFonts w:ascii="Arial" w:hAnsi="Arial"/>
          <w:w w:val="105"/>
          <w:sz w:val="19"/>
        </w:rPr>
        <w:t>+</w:t>
      </w:r>
      <w:r>
        <w:rPr>
          <w:rFonts w:ascii="Arial" w:hAnsi="Arial"/>
          <w:spacing w:val="-27"/>
          <w:w w:val="105"/>
          <w:sz w:val="19"/>
        </w:rPr>
        <w:t xml:space="preserve"> </w:t>
      </w:r>
      <w:r>
        <w:rPr>
          <w:rFonts w:ascii="Arial" w:hAnsi="Arial"/>
          <w:w w:val="105"/>
          <w:sz w:val="19"/>
        </w:rPr>
        <w:t>33,600 (new</w:t>
      </w:r>
      <w:r>
        <w:rPr>
          <w:rFonts w:ascii="Arial" w:hAnsi="Arial"/>
          <w:spacing w:val="-29"/>
          <w:w w:val="105"/>
          <w:sz w:val="19"/>
        </w:rPr>
        <w:t xml:space="preserve"> </w:t>
      </w:r>
      <w:r>
        <w:rPr>
          <w:rFonts w:ascii="Arial" w:hAnsi="Arial"/>
          <w:w w:val="105"/>
          <w:sz w:val="19"/>
        </w:rPr>
        <w:t>sponsors</w:t>
      </w:r>
      <w:r>
        <w:rPr>
          <w:rFonts w:ascii="Arial" w:hAnsi="Arial"/>
          <w:spacing w:val="-31"/>
          <w:w w:val="105"/>
          <w:sz w:val="19"/>
        </w:rPr>
        <w:t xml:space="preserve"> </w:t>
      </w:r>
      <w:r>
        <w:rPr>
          <w:rFonts w:ascii="Arial" w:hAnsi="Arial"/>
          <w:w w:val="105"/>
          <w:sz w:val="19"/>
        </w:rPr>
        <w:t>without</w:t>
      </w:r>
      <w:r>
        <w:rPr>
          <w:rFonts w:ascii="Arial" w:hAnsi="Arial"/>
          <w:spacing w:val="-29"/>
          <w:w w:val="105"/>
          <w:sz w:val="19"/>
        </w:rPr>
        <w:t xml:space="preserve"> </w:t>
      </w:r>
      <w:r>
        <w:rPr>
          <w:rFonts w:ascii="Arial" w:hAnsi="Arial"/>
          <w:w w:val="105"/>
          <w:sz w:val="19"/>
        </w:rPr>
        <w:t>regulatory</w:t>
      </w:r>
      <w:r>
        <w:rPr>
          <w:rFonts w:ascii="Arial" w:hAnsi="Arial"/>
          <w:spacing w:val="-30"/>
          <w:w w:val="105"/>
          <w:sz w:val="19"/>
        </w:rPr>
        <w:t xml:space="preserve"> </w:t>
      </w:r>
      <w:r>
        <w:rPr>
          <w:rFonts w:ascii="Arial" w:hAnsi="Arial"/>
          <w:w w:val="105"/>
          <w:sz w:val="19"/>
        </w:rPr>
        <w:t>consultant</w:t>
      </w:r>
      <w:r>
        <w:rPr>
          <w:rFonts w:ascii="Arial" w:hAnsi="Arial"/>
          <w:spacing w:val="-29"/>
          <w:w w:val="105"/>
          <w:sz w:val="19"/>
        </w:rPr>
        <w:t xml:space="preserve"> </w:t>
      </w:r>
      <w:r>
        <w:rPr>
          <w:rFonts w:ascii="Arial" w:hAnsi="Arial"/>
          <w:w w:val="105"/>
          <w:sz w:val="19"/>
        </w:rPr>
        <w:t>support</w:t>
      </w:r>
      <w:r>
        <w:rPr>
          <w:rFonts w:ascii="Arial" w:hAnsi="Arial"/>
          <w:spacing w:val="-29"/>
          <w:w w:val="105"/>
          <w:sz w:val="19"/>
        </w:rPr>
        <w:t xml:space="preserve"> </w:t>
      </w:r>
      <w:r>
        <w:rPr>
          <w:rFonts w:ascii="Arial" w:hAnsi="Arial"/>
          <w:w w:val="105"/>
          <w:sz w:val="19"/>
        </w:rPr>
        <w:t>review</w:t>
      </w:r>
      <w:r>
        <w:rPr>
          <w:rFonts w:ascii="Arial" w:hAnsi="Arial"/>
          <w:spacing w:val="-29"/>
          <w:w w:val="105"/>
          <w:sz w:val="19"/>
        </w:rPr>
        <w:t xml:space="preserve"> </w:t>
      </w:r>
      <w:r>
        <w:rPr>
          <w:rFonts w:ascii="Arial" w:hAnsi="Arial"/>
          <w:w w:val="105"/>
          <w:sz w:val="19"/>
        </w:rPr>
        <w:t>documents)</w:t>
      </w:r>
      <w:r>
        <w:rPr>
          <w:rFonts w:ascii="Arial" w:hAnsi="Arial"/>
          <w:spacing w:val="-30"/>
          <w:w w:val="105"/>
          <w:sz w:val="19"/>
        </w:rPr>
        <w:t xml:space="preserve"> </w:t>
      </w:r>
      <w:r>
        <w:rPr>
          <w:rFonts w:ascii="Arial" w:hAnsi="Arial"/>
          <w:w w:val="105"/>
          <w:sz w:val="19"/>
        </w:rPr>
        <w:t>+</w:t>
      </w:r>
      <w:r>
        <w:rPr>
          <w:rFonts w:ascii="Arial" w:hAnsi="Arial"/>
          <w:spacing w:val="-30"/>
          <w:w w:val="105"/>
          <w:sz w:val="19"/>
        </w:rPr>
        <w:t xml:space="preserve"> </w:t>
      </w:r>
      <w:r>
        <w:rPr>
          <w:rFonts w:ascii="Arial" w:hAnsi="Arial"/>
          <w:w w:val="105"/>
          <w:sz w:val="19"/>
        </w:rPr>
        <w:t>4,140</w:t>
      </w:r>
      <w:r>
        <w:rPr>
          <w:rFonts w:ascii="Arial" w:hAnsi="Arial"/>
          <w:spacing w:val="-28"/>
          <w:w w:val="105"/>
          <w:sz w:val="19"/>
        </w:rPr>
        <w:t xml:space="preserve"> </w:t>
      </w:r>
      <w:r>
        <w:rPr>
          <w:rFonts w:ascii="Arial" w:hAnsi="Arial"/>
          <w:w w:val="105"/>
          <w:sz w:val="19"/>
        </w:rPr>
        <w:t>(new</w:t>
      </w:r>
      <w:r>
        <w:rPr>
          <w:rFonts w:ascii="Arial" w:hAnsi="Arial"/>
          <w:spacing w:val="-29"/>
          <w:w w:val="105"/>
          <w:sz w:val="19"/>
        </w:rPr>
        <w:t xml:space="preserve"> </w:t>
      </w:r>
      <w:r>
        <w:rPr>
          <w:rFonts w:ascii="Arial" w:hAnsi="Arial"/>
          <w:w w:val="105"/>
          <w:sz w:val="19"/>
        </w:rPr>
        <w:t>sponsors with</w:t>
      </w:r>
      <w:r>
        <w:rPr>
          <w:rFonts w:ascii="Arial" w:hAnsi="Arial"/>
          <w:spacing w:val="-26"/>
          <w:w w:val="105"/>
          <w:sz w:val="19"/>
        </w:rPr>
        <w:t xml:space="preserve"> </w:t>
      </w:r>
      <w:r>
        <w:rPr>
          <w:rFonts w:ascii="Arial" w:hAnsi="Arial"/>
          <w:w w:val="105"/>
          <w:sz w:val="19"/>
        </w:rPr>
        <w:t>regulatory</w:t>
      </w:r>
      <w:r>
        <w:rPr>
          <w:rFonts w:ascii="Arial" w:hAnsi="Arial"/>
          <w:spacing w:val="-28"/>
          <w:w w:val="105"/>
          <w:sz w:val="19"/>
        </w:rPr>
        <w:t xml:space="preserve"> </w:t>
      </w:r>
      <w:r>
        <w:rPr>
          <w:rFonts w:ascii="Arial" w:hAnsi="Arial"/>
          <w:w w:val="105"/>
          <w:sz w:val="19"/>
        </w:rPr>
        <w:t>consultant</w:t>
      </w:r>
      <w:r>
        <w:rPr>
          <w:rFonts w:ascii="Arial" w:hAnsi="Arial"/>
          <w:spacing w:val="-27"/>
          <w:w w:val="105"/>
          <w:sz w:val="19"/>
        </w:rPr>
        <w:t xml:space="preserve"> </w:t>
      </w:r>
      <w:r>
        <w:rPr>
          <w:rFonts w:ascii="Arial" w:hAnsi="Arial"/>
          <w:w w:val="105"/>
          <w:sz w:val="19"/>
        </w:rPr>
        <w:t>support</w:t>
      </w:r>
      <w:r>
        <w:rPr>
          <w:rFonts w:ascii="Arial" w:hAnsi="Arial"/>
          <w:spacing w:val="-26"/>
          <w:w w:val="105"/>
          <w:sz w:val="19"/>
        </w:rPr>
        <w:t xml:space="preserve"> </w:t>
      </w:r>
      <w:r>
        <w:rPr>
          <w:rFonts w:ascii="Arial" w:hAnsi="Arial"/>
          <w:w w:val="105"/>
          <w:sz w:val="19"/>
        </w:rPr>
        <w:t>review</w:t>
      </w:r>
      <w:r>
        <w:rPr>
          <w:rFonts w:ascii="Arial" w:hAnsi="Arial"/>
          <w:spacing w:val="-27"/>
          <w:w w:val="105"/>
          <w:sz w:val="19"/>
        </w:rPr>
        <w:t xml:space="preserve"> </w:t>
      </w:r>
      <w:r>
        <w:rPr>
          <w:rFonts w:ascii="Arial" w:hAnsi="Arial"/>
          <w:w w:val="105"/>
          <w:sz w:val="19"/>
        </w:rPr>
        <w:t>documents)</w:t>
      </w:r>
      <w:r>
        <w:rPr>
          <w:rFonts w:ascii="Arial" w:hAnsi="Arial"/>
          <w:spacing w:val="-24"/>
          <w:w w:val="105"/>
          <w:sz w:val="19"/>
        </w:rPr>
        <w:t xml:space="preserve"> </w:t>
      </w:r>
      <w:r>
        <w:rPr>
          <w:rFonts w:ascii="Arial" w:hAnsi="Arial"/>
          <w:w w:val="105"/>
          <w:sz w:val="19"/>
        </w:rPr>
        <w:t>+</w:t>
      </w:r>
      <w:r>
        <w:rPr>
          <w:rFonts w:ascii="Arial" w:hAnsi="Arial"/>
          <w:spacing w:val="-29"/>
          <w:w w:val="105"/>
          <w:sz w:val="19"/>
        </w:rPr>
        <w:t xml:space="preserve"> </w:t>
      </w:r>
      <w:r>
        <w:rPr>
          <w:rFonts w:ascii="Arial" w:hAnsi="Arial"/>
          <w:w w:val="105"/>
          <w:sz w:val="19"/>
        </w:rPr>
        <w:t>1,440</w:t>
      </w:r>
      <w:r>
        <w:rPr>
          <w:rFonts w:ascii="Arial" w:hAnsi="Arial"/>
          <w:spacing w:val="-26"/>
          <w:w w:val="105"/>
          <w:sz w:val="19"/>
        </w:rPr>
        <w:t xml:space="preserve"> </w:t>
      </w:r>
      <w:r>
        <w:rPr>
          <w:rFonts w:ascii="Arial" w:hAnsi="Arial"/>
          <w:w w:val="105"/>
          <w:sz w:val="19"/>
        </w:rPr>
        <w:t>(new</w:t>
      </w:r>
      <w:r>
        <w:rPr>
          <w:rFonts w:ascii="Arial" w:hAnsi="Arial"/>
          <w:spacing w:val="-28"/>
          <w:w w:val="105"/>
          <w:sz w:val="19"/>
        </w:rPr>
        <w:t xml:space="preserve"> </w:t>
      </w:r>
      <w:r>
        <w:rPr>
          <w:rFonts w:ascii="Arial" w:hAnsi="Arial"/>
          <w:w w:val="105"/>
          <w:sz w:val="19"/>
        </w:rPr>
        <w:t>sponsors</w:t>
      </w:r>
      <w:r>
        <w:rPr>
          <w:rFonts w:ascii="Arial" w:hAnsi="Arial"/>
          <w:spacing w:val="-27"/>
          <w:w w:val="105"/>
          <w:sz w:val="19"/>
        </w:rPr>
        <w:t xml:space="preserve"> </w:t>
      </w:r>
      <w:r>
        <w:rPr>
          <w:rFonts w:ascii="Arial" w:hAnsi="Arial"/>
          <w:w w:val="105"/>
          <w:sz w:val="19"/>
        </w:rPr>
        <w:t>become</w:t>
      </w:r>
      <w:r>
        <w:rPr>
          <w:rFonts w:ascii="Arial" w:hAnsi="Arial"/>
          <w:spacing w:val="-28"/>
          <w:w w:val="105"/>
          <w:sz w:val="19"/>
        </w:rPr>
        <w:t xml:space="preserve"> </w:t>
      </w:r>
      <w:r>
        <w:rPr>
          <w:rFonts w:ascii="Arial" w:hAnsi="Arial"/>
          <w:w w:val="105"/>
          <w:sz w:val="19"/>
        </w:rPr>
        <w:t>aware</w:t>
      </w:r>
      <w:r>
        <w:rPr>
          <w:rFonts w:ascii="Arial" w:hAnsi="Arial"/>
          <w:spacing w:val="-27"/>
          <w:w w:val="105"/>
          <w:sz w:val="19"/>
        </w:rPr>
        <w:t xml:space="preserve"> </w:t>
      </w:r>
      <w:r>
        <w:rPr>
          <w:rFonts w:ascii="Arial" w:hAnsi="Arial"/>
          <w:w w:val="105"/>
          <w:sz w:val="19"/>
        </w:rPr>
        <w:t>of sponsor</w:t>
      </w:r>
      <w:r>
        <w:rPr>
          <w:rFonts w:ascii="Arial" w:hAnsi="Arial"/>
          <w:spacing w:val="-15"/>
          <w:w w:val="105"/>
          <w:sz w:val="19"/>
        </w:rPr>
        <w:t xml:space="preserve"> </w:t>
      </w:r>
      <w:r>
        <w:rPr>
          <w:rFonts w:ascii="Arial" w:hAnsi="Arial"/>
          <w:w w:val="105"/>
          <w:sz w:val="19"/>
        </w:rPr>
        <w:t>responsibilities)</w:t>
      </w:r>
      <w:r>
        <w:rPr>
          <w:rFonts w:ascii="Arial" w:hAnsi="Arial"/>
          <w:spacing w:val="-13"/>
          <w:w w:val="105"/>
          <w:sz w:val="19"/>
        </w:rPr>
        <w:t xml:space="preserve"> </w:t>
      </w:r>
      <w:r>
        <w:rPr>
          <w:rFonts w:ascii="Arial" w:hAnsi="Arial"/>
          <w:w w:val="105"/>
          <w:sz w:val="19"/>
        </w:rPr>
        <w:t>+</w:t>
      </w:r>
      <w:r>
        <w:rPr>
          <w:rFonts w:ascii="Arial" w:hAnsi="Arial"/>
          <w:spacing w:val="-17"/>
          <w:w w:val="105"/>
          <w:sz w:val="19"/>
        </w:rPr>
        <w:t xml:space="preserve"> </w:t>
      </w:r>
      <w:r>
        <w:rPr>
          <w:rFonts w:ascii="Arial" w:hAnsi="Arial"/>
          <w:w w:val="105"/>
          <w:sz w:val="19"/>
        </w:rPr>
        <w:t>180</w:t>
      </w:r>
      <w:r>
        <w:rPr>
          <w:rFonts w:ascii="Arial" w:hAnsi="Arial"/>
          <w:spacing w:val="-13"/>
          <w:w w:val="105"/>
          <w:sz w:val="19"/>
        </w:rPr>
        <w:t xml:space="preserve"> </w:t>
      </w:r>
      <w:r>
        <w:rPr>
          <w:rFonts w:ascii="Arial" w:hAnsi="Arial"/>
          <w:w w:val="105"/>
          <w:sz w:val="19"/>
        </w:rPr>
        <w:t>(new</w:t>
      </w:r>
      <w:r>
        <w:rPr>
          <w:rFonts w:ascii="Arial" w:hAnsi="Arial"/>
          <w:spacing w:val="-14"/>
          <w:w w:val="105"/>
          <w:sz w:val="19"/>
        </w:rPr>
        <w:t xml:space="preserve"> </w:t>
      </w:r>
      <w:r>
        <w:rPr>
          <w:rFonts w:ascii="Arial" w:hAnsi="Arial"/>
          <w:w w:val="105"/>
          <w:sz w:val="19"/>
        </w:rPr>
        <w:t>sponsors</w:t>
      </w:r>
      <w:r>
        <w:rPr>
          <w:rFonts w:ascii="Arial" w:hAnsi="Arial"/>
          <w:spacing w:val="-17"/>
          <w:w w:val="105"/>
          <w:sz w:val="19"/>
        </w:rPr>
        <w:t xml:space="preserve"> </w:t>
      </w:r>
      <w:r>
        <w:rPr>
          <w:rFonts w:ascii="Arial" w:hAnsi="Arial"/>
          <w:w w:val="105"/>
          <w:sz w:val="19"/>
        </w:rPr>
        <w:t>get</w:t>
      </w:r>
      <w:r>
        <w:rPr>
          <w:rFonts w:ascii="Arial" w:hAnsi="Arial"/>
          <w:spacing w:val="-14"/>
          <w:w w:val="105"/>
          <w:sz w:val="19"/>
        </w:rPr>
        <w:t xml:space="preserve"> </w:t>
      </w:r>
      <w:r>
        <w:rPr>
          <w:rFonts w:ascii="Arial" w:hAnsi="Arial"/>
          <w:w w:val="105"/>
          <w:sz w:val="19"/>
        </w:rPr>
        <w:t>onto</w:t>
      </w:r>
      <w:r>
        <w:rPr>
          <w:rFonts w:ascii="Arial" w:hAnsi="Arial"/>
          <w:spacing w:val="-13"/>
          <w:w w:val="105"/>
          <w:sz w:val="19"/>
        </w:rPr>
        <w:t xml:space="preserve"> </w:t>
      </w:r>
      <w:proofErr w:type="spellStart"/>
      <w:proofErr w:type="gramStart"/>
      <w:r>
        <w:rPr>
          <w:rFonts w:ascii="Arial" w:hAnsi="Arial"/>
          <w:w w:val="105"/>
          <w:sz w:val="19"/>
        </w:rPr>
        <w:t>eBS</w:t>
      </w:r>
      <w:proofErr w:type="spellEnd"/>
      <w:proofErr w:type="gramEnd"/>
      <w:r>
        <w:rPr>
          <w:rFonts w:ascii="Arial" w:hAnsi="Arial"/>
          <w:w w:val="105"/>
          <w:sz w:val="19"/>
        </w:rPr>
        <w:t>)</w:t>
      </w:r>
      <w:r>
        <w:rPr>
          <w:rFonts w:ascii="Arial" w:hAnsi="Arial"/>
          <w:spacing w:val="-15"/>
          <w:w w:val="105"/>
          <w:sz w:val="19"/>
        </w:rPr>
        <w:t xml:space="preserve"> </w:t>
      </w:r>
      <w:r>
        <w:rPr>
          <w:rFonts w:ascii="Arial" w:hAnsi="Arial"/>
          <w:w w:val="105"/>
          <w:sz w:val="19"/>
        </w:rPr>
        <w:t>=</w:t>
      </w:r>
      <w:r>
        <w:rPr>
          <w:rFonts w:ascii="Arial" w:hAnsi="Arial"/>
          <w:spacing w:val="-15"/>
          <w:w w:val="105"/>
          <w:sz w:val="19"/>
        </w:rPr>
        <w:t xml:space="preserve"> </w:t>
      </w:r>
      <w:r>
        <w:rPr>
          <w:rFonts w:ascii="Arial" w:hAnsi="Arial"/>
          <w:w w:val="105"/>
          <w:sz w:val="19"/>
        </w:rPr>
        <w:t>40,500</w:t>
      </w:r>
      <w:r>
        <w:rPr>
          <w:rFonts w:ascii="Arial" w:hAnsi="Arial"/>
          <w:spacing w:val="-16"/>
          <w:w w:val="105"/>
          <w:sz w:val="19"/>
        </w:rPr>
        <w:t xml:space="preserve"> </w:t>
      </w:r>
      <w:r>
        <w:rPr>
          <w:rFonts w:ascii="Arial" w:hAnsi="Arial"/>
          <w:w w:val="105"/>
          <w:sz w:val="19"/>
        </w:rPr>
        <w:t>minutes.</w:t>
      </w:r>
    </w:p>
    <w:p w:rsidR="007D76BB" w:rsidRDefault="00D70D28">
      <w:pPr>
        <w:spacing w:before="74"/>
        <w:ind w:left="482"/>
        <w:rPr>
          <w:rFonts w:ascii="Arial"/>
          <w:sz w:val="19"/>
        </w:rPr>
      </w:pPr>
      <w:r>
        <w:rPr>
          <w:rFonts w:ascii="Arial"/>
          <w:i/>
          <w:w w:val="110"/>
          <w:sz w:val="20"/>
        </w:rPr>
        <w:t xml:space="preserve">Step 2. </w:t>
      </w:r>
      <w:r>
        <w:rPr>
          <w:rFonts w:ascii="Arial"/>
          <w:w w:val="110"/>
          <w:sz w:val="19"/>
        </w:rPr>
        <w:t>Calculate total time in hours to fulfil regulatory requirement: 40,500/60 = 675 hours</w:t>
      </w:r>
    </w:p>
    <w:p w:rsidR="007D76BB" w:rsidRDefault="00D70D28">
      <w:pPr>
        <w:spacing w:before="152"/>
        <w:ind w:left="482"/>
        <w:rPr>
          <w:rFonts w:ascii="Arial"/>
          <w:sz w:val="19"/>
        </w:rPr>
      </w:pPr>
      <w:r>
        <w:rPr>
          <w:rFonts w:ascii="Arial"/>
          <w:i/>
          <w:sz w:val="20"/>
        </w:rPr>
        <w:t>Step 3</w:t>
      </w:r>
      <w:r>
        <w:rPr>
          <w:rFonts w:ascii="Arial"/>
          <w:sz w:val="19"/>
        </w:rPr>
        <w:t>.</w:t>
      </w:r>
    </w:p>
    <w:p w:rsidR="007D76BB" w:rsidRDefault="00D70D28">
      <w:pPr>
        <w:pStyle w:val="ListParagraph"/>
        <w:numPr>
          <w:ilvl w:val="1"/>
          <w:numId w:val="5"/>
        </w:numPr>
        <w:tabs>
          <w:tab w:val="left" w:pos="766"/>
        </w:tabs>
        <w:spacing w:before="158"/>
        <w:rPr>
          <w:rFonts w:ascii="Arial" w:hAnsi="Arial"/>
          <w:sz w:val="19"/>
        </w:rPr>
      </w:pPr>
      <w:r>
        <w:rPr>
          <w:rFonts w:ascii="Arial" w:hAnsi="Arial"/>
          <w:w w:val="110"/>
          <w:sz w:val="19"/>
        </w:rPr>
        <w:t>Apply</w:t>
      </w:r>
      <w:r>
        <w:rPr>
          <w:rFonts w:ascii="Arial" w:hAnsi="Arial"/>
          <w:spacing w:val="-27"/>
          <w:w w:val="110"/>
          <w:sz w:val="19"/>
        </w:rPr>
        <w:t xml:space="preserve"> </w:t>
      </w:r>
      <w:r>
        <w:rPr>
          <w:rFonts w:ascii="Arial" w:hAnsi="Arial"/>
          <w:w w:val="110"/>
          <w:sz w:val="19"/>
        </w:rPr>
        <w:t>the</w:t>
      </w:r>
      <w:r>
        <w:rPr>
          <w:rFonts w:ascii="Arial" w:hAnsi="Arial"/>
          <w:spacing w:val="-26"/>
          <w:w w:val="110"/>
          <w:sz w:val="19"/>
        </w:rPr>
        <w:t xml:space="preserve"> </w:t>
      </w:r>
      <w:r>
        <w:rPr>
          <w:rFonts w:ascii="Arial" w:hAnsi="Arial"/>
          <w:w w:val="110"/>
          <w:sz w:val="19"/>
        </w:rPr>
        <w:t>hourly</w:t>
      </w:r>
      <w:r>
        <w:rPr>
          <w:rFonts w:ascii="Arial" w:hAnsi="Arial"/>
          <w:spacing w:val="-27"/>
          <w:w w:val="110"/>
          <w:sz w:val="19"/>
        </w:rPr>
        <w:t xml:space="preserve"> </w:t>
      </w:r>
      <w:r>
        <w:rPr>
          <w:rFonts w:ascii="Arial" w:hAnsi="Arial"/>
          <w:w w:val="110"/>
          <w:sz w:val="19"/>
        </w:rPr>
        <w:t>rate</w:t>
      </w:r>
      <w:r>
        <w:rPr>
          <w:rFonts w:ascii="Arial" w:hAnsi="Arial"/>
          <w:spacing w:val="-26"/>
          <w:w w:val="110"/>
          <w:sz w:val="19"/>
        </w:rPr>
        <w:t xml:space="preserve"> </w:t>
      </w:r>
      <w:r>
        <w:rPr>
          <w:rFonts w:ascii="Arial" w:hAnsi="Arial"/>
          <w:w w:val="110"/>
          <w:sz w:val="19"/>
        </w:rPr>
        <w:t>to</w:t>
      </w:r>
      <w:r>
        <w:rPr>
          <w:rFonts w:ascii="Arial" w:hAnsi="Arial"/>
          <w:spacing w:val="-25"/>
          <w:w w:val="110"/>
          <w:sz w:val="19"/>
        </w:rPr>
        <w:t xml:space="preserve"> </w:t>
      </w:r>
      <w:r>
        <w:rPr>
          <w:rFonts w:ascii="Arial" w:hAnsi="Arial"/>
          <w:w w:val="110"/>
          <w:sz w:val="19"/>
        </w:rPr>
        <w:t>determine</w:t>
      </w:r>
      <w:r>
        <w:rPr>
          <w:rFonts w:ascii="Arial" w:hAnsi="Arial"/>
          <w:spacing w:val="-25"/>
          <w:w w:val="110"/>
          <w:sz w:val="19"/>
        </w:rPr>
        <w:t xml:space="preserve"> </w:t>
      </w:r>
      <w:r>
        <w:rPr>
          <w:rFonts w:ascii="Arial" w:hAnsi="Arial"/>
          <w:w w:val="110"/>
          <w:sz w:val="19"/>
        </w:rPr>
        <w:t>overall</w:t>
      </w:r>
      <w:r>
        <w:rPr>
          <w:rFonts w:ascii="Arial" w:hAnsi="Arial"/>
          <w:spacing w:val="-26"/>
          <w:w w:val="110"/>
          <w:sz w:val="19"/>
        </w:rPr>
        <w:t xml:space="preserve"> </w:t>
      </w:r>
      <w:r>
        <w:rPr>
          <w:rFonts w:ascii="Arial" w:hAnsi="Arial"/>
          <w:w w:val="110"/>
          <w:sz w:val="19"/>
        </w:rPr>
        <w:t>regulatory</w:t>
      </w:r>
      <w:r>
        <w:rPr>
          <w:rFonts w:ascii="Arial" w:hAnsi="Arial"/>
          <w:spacing w:val="-26"/>
          <w:w w:val="110"/>
          <w:sz w:val="19"/>
        </w:rPr>
        <w:t xml:space="preserve"> </w:t>
      </w:r>
      <w:r>
        <w:rPr>
          <w:rFonts w:ascii="Arial" w:hAnsi="Arial"/>
          <w:w w:val="110"/>
          <w:sz w:val="19"/>
        </w:rPr>
        <w:t>compliance</w:t>
      </w:r>
      <w:r>
        <w:rPr>
          <w:rFonts w:ascii="Arial" w:hAnsi="Arial"/>
          <w:spacing w:val="-26"/>
          <w:w w:val="110"/>
          <w:sz w:val="19"/>
        </w:rPr>
        <w:t xml:space="preserve"> </w:t>
      </w:r>
      <w:r>
        <w:rPr>
          <w:rFonts w:ascii="Arial" w:hAnsi="Arial"/>
          <w:w w:val="110"/>
          <w:sz w:val="19"/>
        </w:rPr>
        <w:t>cost:</w:t>
      </w:r>
      <w:r>
        <w:rPr>
          <w:rFonts w:ascii="Arial" w:hAnsi="Arial"/>
          <w:spacing w:val="-24"/>
          <w:w w:val="110"/>
          <w:sz w:val="19"/>
        </w:rPr>
        <w:t xml:space="preserve"> </w:t>
      </w:r>
      <w:r>
        <w:rPr>
          <w:rFonts w:ascii="Arial" w:hAnsi="Arial"/>
          <w:w w:val="110"/>
          <w:sz w:val="19"/>
        </w:rPr>
        <w:t>675</w:t>
      </w:r>
      <w:r>
        <w:rPr>
          <w:rFonts w:ascii="Arial" w:hAnsi="Arial"/>
          <w:spacing w:val="-25"/>
          <w:w w:val="110"/>
          <w:sz w:val="19"/>
        </w:rPr>
        <w:t xml:space="preserve"> </w:t>
      </w:r>
      <w:r>
        <w:rPr>
          <w:rFonts w:ascii="Arial" w:hAnsi="Arial"/>
          <w:w w:val="110"/>
          <w:sz w:val="19"/>
        </w:rPr>
        <w:t>x</w:t>
      </w:r>
      <w:r>
        <w:rPr>
          <w:rFonts w:ascii="Arial" w:hAnsi="Arial"/>
          <w:spacing w:val="-25"/>
          <w:w w:val="110"/>
          <w:sz w:val="19"/>
        </w:rPr>
        <w:t xml:space="preserve"> </w:t>
      </w:r>
      <w:r>
        <w:rPr>
          <w:rFonts w:ascii="Arial" w:hAnsi="Arial"/>
          <w:w w:val="110"/>
          <w:sz w:val="19"/>
        </w:rPr>
        <w:t>$84.84=</w:t>
      </w:r>
      <w:r>
        <w:rPr>
          <w:rFonts w:ascii="Arial" w:hAnsi="Arial"/>
          <w:spacing w:val="-25"/>
          <w:w w:val="110"/>
          <w:sz w:val="19"/>
        </w:rPr>
        <w:t xml:space="preserve"> </w:t>
      </w:r>
      <w:r>
        <w:rPr>
          <w:rFonts w:ascii="Arial" w:hAnsi="Arial"/>
          <w:w w:val="110"/>
          <w:sz w:val="19"/>
        </w:rPr>
        <w:t>$57,267</w:t>
      </w:r>
    </w:p>
    <w:p w:rsidR="007D76BB" w:rsidRDefault="00D70D28">
      <w:pPr>
        <w:pStyle w:val="ListParagraph"/>
        <w:numPr>
          <w:ilvl w:val="1"/>
          <w:numId w:val="5"/>
        </w:numPr>
        <w:tabs>
          <w:tab w:val="left" w:pos="766"/>
        </w:tabs>
        <w:spacing w:before="103"/>
        <w:rPr>
          <w:rFonts w:ascii="Arial" w:hAnsi="Arial"/>
          <w:sz w:val="19"/>
        </w:rPr>
      </w:pPr>
      <w:r>
        <w:rPr>
          <w:rFonts w:ascii="Arial" w:hAnsi="Arial"/>
          <w:w w:val="105"/>
          <w:sz w:val="19"/>
        </w:rPr>
        <w:t>Add</w:t>
      </w:r>
      <w:r>
        <w:rPr>
          <w:rFonts w:ascii="Arial" w:hAnsi="Arial"/>
          <w:spacing w:val="-15"/>
          <w:w w:val="105"/>
          <w:sz w:val="19"/>
        </w:rPr>
        <w:t xml:space="preserve"> </w:t>
      </w:r>
      <w:r>
        <w:rPr>
          <w:rFonts w:ascii="Arial" w:hAnsi="Arial"/>
          <w:w w:val="105"/>
          <w:sz w:val="19"/>
        </w:rPr>
        <w:t>the</w:t>
      </w:r>
      <w:r>
        <w:rPr>
          <w:rFonts w:ascii="Arial" w:hAnsi="Arial"/>
          <w:spacing w:val="-12"/>
          <w:w w:val="105"/>
          <w:sz w:val="19"/>
        </w:rPr>
        <w:t xml:space="preserve"> </w:t>
      </w:r>
      <w:r>
        <w:rPr>
          <w:rFonts w:ascii="Arial" w:hAnsi="Arial"/>
          <w:w w:val="105"/>
          <w:sz w:val="19"/>
        </w:rPr>
        <w:t>regulatory</w:t>
      </w:r>
      <w:r>
        <w:rPr>
          <w:rFonts w:ascii="Arial" w:hAnsi="Arial"/>
          <w:spacing w:val="-15"/>
          <w:w w:val="105"/>
          <w:sz w:val="19"/>
        </w:rPr>
        <w:t xml:space="preserve"> </w:t>
      </w:r>
      <w:r>
        <w:rPr>
          <w:rFonts w:ascii="Arial" w:hAnsi="Arial"/>
          <w:w w:val="105"/>
          <w:sz w:val="19"/>
        </w:rPr>
        <w:t>consultant</w:t>
      </w:r>
      <w:r>
        <w:rPr>
          <w:rFonts w:ascii="Arial" w:hAnsi="Arial"/>
          <w:spacing w:val="-14"/>
          <w:w w:val="105"/>
          <w:sz w:val="19"/>
        </w:rPr>
        <w:t xml:space="preserve"> </w:t>
      </w:r>
      <w:r>
        <w:rPr>
          <w:rFonts w:ascii="Arial" w:hAnsi="Arial"/>
          <w:w w:val="105"/>
          <w:sz w:val="19"/>
        </w:rPr>
        <w:t>charges:</w:t>
      </w:r>
      <w:r>
        <w:rPr>
          <w:rFonts w:ascii="Arial" w:hAnsi="Arial"/>
          <w:spacing w:val="-12"/>
          <w:w w:val="105"/>
          <w:sz w:val="19"/>
        </w:rPr>
        <w:t xml:space="preserve"> </w:t>
      </w:r>
      <w:r>
        <w:rPr>
          <w:rFonts w:ascii="Arial" w:hAnsi="Arial"/>
          <w:w w:val="105"/>
          <w:sz w:val="19"/>
        </w:rPr>
        <w:t>$57,267</w:t>
      </w:r>
      <w:r>
        <w:rPr>
          <w:rFonts w:ascii="Arial" w:hAnsi="Arial"/>
          <w:spacing w:val="-12"/>
          <w:w w:val="105"/>
          <w:sz w:val="19"/>
        </w:rPr>
        <w:t xml:space="preserve"> </w:t>
      </w:r>
      <w:r>
        <w:rPr>
          <w:rFonts w:ascii="Arial" w:hAnsi="Arial"/>
          <w:w w:val="105"/>
          <w:sz w:val="19"/>
        </w:rPr>
        <w:t>+</w:t>
      </w:r>
      <w:r>
        <w:rPr>
          <w:rFonts w:ascii="Arial" w:hAnsi="Arial"/>
          <w:spacing w:val="-12"/>
          <w:w w:val="105"/>
          <w:sz w:val="19"/>
        </w:rPr>
        <w:t xml:space="preserve"> </w:t>
      </w:r>
      <w:r>
        <w:rPr>
          <w:rFonts w:ascii="Arial" w:hAnsi="Arial"/>
          <w:w w:val="105"/>
          <w:sz w:val="19"/>
        </w:rPr>
        <w:t>$110,400</w:t>
      </w:r>
      <w:r>
        <w:rPr>
          <w:rFonts w:ascii="Arial" w:hAnsi="Arial"/>
          <w:spacing w:val="-12"/>
          <w:w w:val="105"/>
          <w:sz w:val="19"/>
        </w:rPr>
        <w:t xml:space="preserve"> </w:t>
      </w:r>
      <w:r>
        <w:rPr>
          <w:rFonts w:ascii="Arial" w:hAnsi="Arial"/>
          <w:w w:val="105"/>
          <w:sz w:val="19"/>
        </w:rPr>
        <w:t>=</w:t>
      </w:r>
      <w:r>
        <w:rPr>
          <w:rFonts w:ascii="Arial" w:hAnsi="Arial"/>
          <w:spacing w:val="-15"/>
          <w:w w:val="105"/>
          <w:sz w:val="19"/>
        </w:rPr>
        <w:t xml:space="preserve"> </w:t>
      </w:r>
      <w:r>
        <w:rPr>
          <w:rFonts w:ascii="Arial" w:hAnsi="Arial"/>
          <w:w w:val="105"/>
          <w:sz w:val="19"/>
        </w:rPr>
        <w:t>$167,667</w:t>
      </w:r>
    </w:p>
    <w:p w:rsidR="007D76BB" w:rsidRDefault="007D76BB">
      <w:pPr>
        <w:pStyle w:val="BodyText"/>
        <w:spacing w:before="2"/>
        <w:rPr>
          <w:rFonts w:ascii="Arial"/>
        </w:rPr>
      </w:pPr>
    </w:p>
    <w:p w:rsidR="007D76BB" w:rsidRDefault="00D70D28">
      <w:pPr>
        <w:pStyle w:val="BodyText"/>
        <w:ind w:left="482"/>
        <w:rPr>
          <w:rFonts w:ascii="Lucida Sans"/>
          <w:b/>
        </w:rPr>
      </w:pPr>
      <w:r>
        <w:rPr>
          <w:rFonts w:ascii="Lucida Sans"/>
          <w:b/>
          <w:color w:val="608FB5"/>
        </w:rPr>
        <w:t>Ingredients</w:t>
      </w:r>
    </w:p>
    <w:p w:rsidR="007D76BB" w:rsidRDefault="00D70D28">
      <w:pPr>
        <w:spacing w:before="197"/>
        <w:ind w:left="482"/>
        <w:rPr>
          <w:rFonts w:ascii="Arial"/>
          <w:i/>
          <w:sz w:val="20"/>
        </w:rPr>
      </w:pPr>
      <w:r>
        <w:rPr>
          <w:rFonts w:ascii="Arial"/>
          <w:i/>
          <w:sz w:val="20"/>
        </w:rPr>
        <w:t>Determination of current population</w:t>
      </w:r>
    </w:p>
    <w:p w:rsidR="007D76BB" w:rsidRDefault="00D70D28">
      <w:pPr>
        <w:spacing w:before="197" w:line="264" w:lineRule="auto"/>
        <w:ind w:left="482" w:right="884"/>
        <w:rPr>
          <w:rFonts w:ascii="Arial"/>
          <w:sz w:val="19"/>
        </w:rPr>
      </w:pPr>
      <w:r>
        <w:rPr>
          <w:rFonts w:ascii="Arial"/>
          <w:w w:val="105"/>
          <w:sz w:val="19"/>
        </w:rPr>
        <w:t>As</w:t>
      </w:r>
      <w:r>
        <w:rPr>
          <w:rFonts w:ascii="Arial"/>
          <w:spacing w:val="-20"/>
          <w:w w:val="105"/>
          <w:sz w:val="19"/>
        </w:rPr>
        <w:t xml:space="preserve"> </w:t>
      </w:r>
      <w:r>
        <w:rPr>
          <w:rFonts w:ascii="Arial"/>
          <w:w w:val="105"/>
          <w:sz w:val="19"/>
        </w:rPr>
        <w:t>noted</w:t>
      </w:r>
      <w:r>
        <w:rPr>
          <w:rFonts w:ascii="Arial"/>
          <w:spacing w:val="-21"/>
          <w:w w:val="105"/>
          <w:sz w:val="19"/>
        </w:rPr>
        <w:t xml:space="preserve"> </w:t>
      </w:r>
      <w:r>
        <w:rPr>
          <w:rFonts w:ascii="Arial"/>
          <w:w w:val="105"/>
          <w:sz w:val="19"/>
        </w:rPr>
        <w:t>previously,</w:t>
      </w:r>
      <w:r>
        <w:rPr>
          <w:rFonts w:ascii="Arial"/>
          <w:spacing w:val="-20"/>
          <w:w w:val="105"/>
          <w:sz w:val="19"/>
        </w:rPr>
        <w:t xml:space="preserve"> </w:t>
      </w:r>
      <w:r>
        <w:rPr>
          <w:rFonts w:ascii="Arial"/>
          <w:w w:val="105"/>
          <w:sz w:val="19"/>
        </w:rPr>
        <w:t>applications</w:t>
      </w:r>
      <w:r>
        <w:rPr>
          <w:rFonts w:ascii="Arial"/>
          <w:spacing w:val="-20"/>
          <w:w w:val="105"/>
          <w:sz w:val="19"/>
        </w:rPr>
        <w:t xml:space="preserve"> </w:t>
      </w:r>
      <w:r>
        <w:rPr>
          <w:rFonts w:ascii="Arial"/>
          <w:w w:val="105"/>
          <w:sz w:val="19"/>
        </w:rPr>
        <w:t>for</w:t>
      </w:r>
      <w:r>
        <w:rPr>
          <w:rFonts w:ascii="Arial"/>
          <w:spacing w:val="-19"/>
          <w:w w:val="105"/>
          <w:sz w:val="19"/>
        </w:rPr>
        <w:t xml:space="preserve"> </w:t>
      </w:r>
      <w:r>
        <w:rPr>
          <w:rFonts w:ascii="Arial"/>
          <w:w w:val="105"/>
          <w:sz w:val="19"/>
        </w:rPr>
        <w:t>new</w:t>
      </w:r>
      <w:r>
        <w:rPr>
          <w:rFonts w:ascii="Arial"/>
          <w:spacing w:val="-19"/>
          <w:w w:val="105"/>
          <w:sz w:val="19"/>
        </w:rPr>
        <w:t xml:space="preserve"> </w:t>
      </w:r>
      <w:r>
        <w:rPr>
          <w:rFonts w:ascii="Arial"/>
          <w:w w:val="105"/>
          <w:sz w:val="19"/>
        </w:rPr>
        <w:t>listed</w:t>
      </w:r>
      <w:r>
        <w:rPr>
          <w:rFonts w:ascii="Arial"/>
          <w:spacing w:val="-20"/>
          <w:w w:val="105"/>
          <w:sz w:val="19"/>
        </w:rPr>
        <w:t xml:space="preserve"> </w:t>
      </w:r>
      <w:r>
        <w:rPr>
          <w:rFonts w:ascii="Arial"/>
          <w:w w:val="105"/>
          <w:sz w:val="19"/>
        </w:rPr>
        <w:t>medicine</w:t>
      </w:r>
      <w:r>
        <w:rPr>
          <w:rFonts w:ascii="Arial"/>
          <w:spacing w:val="-19"/>
          <w:w w:val="105"/>
          <w:sz w:val="19"/>
        </w:rPr>
        <w:t xml:space="preserve"> </w:t>
      </w:r>
      <w:r>
        <w:rPr>
          <w:rFonts w:ascii="Arial"/>
          <w:w w:val="105"/>
          <w:sz w:val="19"/>
        </w:rPr>
        <w:t>ingredients</w:t>
      </w:r>
      <w:r>
        <w:rPr>
          <w:rFonts w:ascii="Arial"/>
          <w:spacing w:val="-22"/>
          <w:w w:val="105"/>
          <w:sz w:val="19"/>
        </w:rPr>
        <w:t xml:space="preserve"> </w:t>
      </w:r>
      <w:r>
        <w:rPr>
          <w:rFonts w:ascii="Arial"/>
          <w:w w:val="105"/>
          <w:sz w:val="19"/>
        </w:rPr>
        <w:t>are</w:t>
      </w:r>
      <w:r>
        <w:rPr>
          <w:rFonts w:ascii="Arial"/>
          <w:spacing w:val="-20"/>
          <w:w w:val="105"/>
          <w:sz w:val="19"/>
        </w:rPr>
        <w:t xml:space="preserve"> </w:t>
      </w:r>
      <w:r>
        <w:rPr>
          <w:rFonts w:ascii="Arial"/>
          <w:w w:val="105"/>
          <w:sz w:val="19"/>
        </w:rPr>
        <w:t>more</w:t>
      </w:r>
      <w:r>
        <w:rPr>
          <w:rFonts w:ascii="Arial"/>
          <w:spacing w:val="-21"/>
          <w:w w:val="105"/>
          <w:sz w:val="19"/>
        </w:rPr>
        <w:t xml:space="preserve"> </w:t>
      </w:r>
      <w:r>
        <w:rPr>
          <w:rFonts w:ascii="Arial"/>
          <w:w w:val="105"/>
          <w:sz w:val="19"/>
        </w:rPr>
        <w:t>likely</w:t>
      </w:r>
      <w:r>
        <w:rPr>
          <w:rFonts w:ascii="Arial"/>
          <w:spacing w:val="-21"/>
          <w:w w:val="105"/>
          <w:sz w:val="19"/>
        </w:rPr>
        <w:t xml:space="preserve"> </w:t>
      </w:r>
      <w:r>
        <w:rPr>
          <w:rFonts w:ascii="Arial"/>
          <w:w w:val="105"/>
          <w:sz w:val="19"/>
        </w:rPr>
        <w:t>to</w:t>
      </w:r>
      <w:r>
        <w:rPr>
          <w:rFonts w:ascii="Arial"/>
          <w:spacing w:val="-22"/>
          <w:w w:val="105"/>
          <w:sz w:val="19"/>
        </w:rPr>
        <w:t xml:space="preserve"> </w:t>
      </w:r>
      <w:r>
        <w:rPr>
          <w:rFonts w:ascii="Arial"/>
          <w:w w:val="105"/>
          <w:sz w:val="19"/>
        </w:rPr>
        <w:t>be</w:t>
      </w:r>
      <w:r>
        <w:rPr>
          <w:rFonts w:ascii="Arial"/>
          <w:spacing w:val="-19"/>
          <w:w w:val="105"/>
          <w:sz w:val="19"/>
        </w:rPr>
        <w:t xml:space="preserve"> </w:t>
      </w:r>
      <w:r>
        <w:rPr>
          <w:rFonts w:ascii="Arial"/>
          <w:w w:val="105"/>
          <w:sz w:val="19"/>
        </w:rPr>
        <w:t>linked</w:t>
      </w:r>
      <w:r>
        <w:rPr>
          <w:rFonts w:ascii="Arial"/>
          <w:spacing w:val="-20"/>
          <w:w w:val="105"/>
          <w:sz w:val="19"/>
        </w:rPr>
        <w:t xml:space="preserve"> </w:t>
      </w:r>
      <w:r>
        <w:rPr>
          <w:rFonts w:ascii="Arial"/>
          <w:w w:val="105"/>
          <w:sz w:val="19"/>
        </w:rPr>
        <w:t>to ARTG listings for capsulated fat burner sports supplements than powder products. As outlined earlier, a conservative factor was applied (10 applications for new listed ingredients per 100 new listed medicines) to estimate the number of applications for new listed medicine ingredients in relation</w:t>
      </w:r>
      <w:r>
        <w:rPr>
          <w:rFonts w:ascii="Arial"/>
          <w:spacing w:val="-28"/>
          <w:w w:val="105"/>
          <w:sz w:val="19"/>
        </w:rPr>
        <w:t xml:space="preserve"> </w:t>
      </w:r>
      <w:r>
        <w:rPr>
          <w:rFonts w:ascii="Arial"/>
          <w:w w:val="105"/>
          <w:sz w:val="19"/>
        </w:rPr>
        <w:t>to</w:t>
      </w:r>
      <w:r>
        <w:rPr>
          <w:rFonts w:ascii="Arial"/>
          <w:spacing w:val="-26"/>
          <w:w w:val="105"/>
          <w:sz w:val="19"/>
        </w:rPr>
        <w:t xml:space="preserve"> </w:t>
      </w:r>
      <w:r>
        <w:rPr>
          <w:rFonts w:ascii="Arial"/>
          <w:w w:val="105"/>
          <w:sz w:val="19"/>
        </w:rPr>
        <w:t>estimated</w:t>
      </w:r>
      <w:r>
        <w:rPr>
          <w:rFonts w:ascii="Arial"/>
          <w:spacing w:val="-29"/>
          <w:w w:val="105"/>
          <w:sz w:val="19"/>
        </w:rPr>
        <w:t xml:space="preserve"> </w:t>
      </w:r>
      <w:r>
        <w:rPr>
          <w:rFonts w:ascii="Arial"/>
          <w:w w:val="105"/>
          <w:sz w:val="19"/>
        </w:rPr>
        <w:t>new</w:t>
      </w:r>
      <w:r>
        <w:rPr>
          <w:rFonts w:ascii="Arial"/>
          <w:spacing w:val="-26"/>
          <w:w w:val="105"/>
          <w:sz w:val="19"/>
        </w:rPr>
        <w:t xml:space="preserve"> </w:t>
      </w:r>
      <w:r>
        <w:rPr>
          <w:rFonts w:ascii="Arial"/>
          <w:w w:val="105"/>
          <w:sz w:val="19"/>
        </w:rPr>
        <w:t>ARTG</w:t>
      </w:r>
      <w:r>
        <w:rPr>
          <w:rFonts w:ascii="Arial"/>
          <w:spacing w:val="-27"/>
          <w:w w:val="105"/>
          <w:sz w:val="19"/>
        </w:rPr>
        <w:t xml:space="preserve"> </w:t>
      </w:r>
      <w:r>
        <w:rPr>
          <w:rFonts w:ascii="Arial"/>
          <w:w w:val="105"/>
          <w:sz w:val="19"/>
        </w:rPr>
        <w:t>listings.</w:t>
      </w:r>
      <w:r>
        <w:rPr>
          <w:rFonts w:ascii="Arial"/>
          <w:spacing w:val="-28"/>
          <w:w w:val="105"/>
          <w:sz w:val="19"/>
        </w:rPr>
        <w:t xml:space="preserve"> </w:t>
      </w:r>
      <w:r>
        <w:rPr>
          <w:rFonts w:ascii="Arial"/>
          <w:w w:val="105"/>
          <w:sz w:val="19"/>
        </w:rPr>
        <w:t>Under</w:t>
      </w:r>
      <w:r>
        <w:rPr>
          <w:rFonts w:ascii="Arial"/>
          <w:spacing w:val="-25"/>
          <w:w w:val="105"/>
          <w:sz w:val="19"/>
        </w:rPr>
        <w:t xml:space="preserve"> </w:t>
      </w:r>
      <w:r>
        <w:rPr>
          <w:rFonts w:ascii="Arial"/>
          <w:w w:val="105"/>
          <w:sz w:val="19"/>
        </w:rPr>
        <w:t>Option</w:t>
      </w:r>
      <w:r>
        <w:rPr>
          <w:rFonts w:ascii="Arial"/>
          <w:spacing w:val="-27"/>
          <w:w w:val="105"/>
          <w:sz w:val="19"/>
        </w:rPr>
        <w:t xml:space="preserve"> </w:t>
      </w:r>
      <w:r>
        <w:rPr>
          <w:rFonts w:ascii="Arial"/>
          <w:w w:val="105"/>
          <w:sz w:val="19"/>
        </w:rPr>
        <w:t>3</w:t>
      </w:r>
      <w:r>
        <w:rPr>
          <w:rFonts w:ascii="Arial"/>
          <w:spacing w:val="-27"/>
          <w:w w:val="105"/>
          <w:sz w:val="19"/>
        </w:rPr>
        <w:t xml:space="preserve"> </w:t>
      </w:r>
      <w:r>
        <w:rPr>
          <w:rFonts w:ascii="Arial"/>
          <w:w w:val="105"/>
          <w:sz w:val="19"/>
        </w:rPr>
        <w:t>the</w:t>
      </w:r>
      <w:r>
        <w:rPr>
          <w:rFonts w:ascii="Arial"/>
          <w:spacing w:val="-25"/>
          <w:w w:val="105"/>
          <w:sz w:val="19"/>
        </w:rPr>
        <w:t xml:space="preserve"> </w:t>
      </w:r>
      <w:r>
        <w:rPr>
          <w:rFonts w:ascii="Arial"/>
          <w:w w:val="105"/>
          <w:sz w:val="19"/>
        </w:rPr>
        <w:t>estimated</w:t>
      </w:r>
      <w:r>
        <w:rPr>
          <w:rFonts w:ascii="Arial"/>
          <w:spacing w:val="-28"/>
          <w:w w:val="105"/>
          <w:sz w:val="19"/>
        </w:rPr>
        <w:t xml:space="preserve"> </w:t>
      </w:r>
      <w:r>
        <w:rPr>
          <w:rFonts w:ascii="Arial"/>
          <w:w w:val="105"/>
          <w:sz w:val="19"/>
        </w:rPr>
        <w:t>number</w:t>
      </w:r>
      <w:r>
        <w:rPr>
          <w:rFonts w:ascii="Arial"/>
          <w:spacing w:val="-25"/>
          <w:w w:val="105"/>
          <w:sz w:val="19"/>
        </w:rPr>
        <w:t xml:space="preserve"> </w:t>
      </w:r>
      <w:r>
        <w:rPr>
          <w:rFonts w:ascii="Arial"/>
          <w:w w:val="105"/>
          <w:sz w:val="19"/>
        </w:rPr>
        <w:t>of</w:t>
      </w:r>
      <w:r>
        <w:rPr>
          <w:rFonts w:ascii="Arial"/>
          <w:spacing w:val="-28"/>
          <w:w w:val="105"/>
          <w:sz w:val="19"/>
        </w:rPr>
        <w:t xml:space="preserve"> </w:t>
      </w:r>
      <w:r>
        <w:rPr>
          <w:rFonts w:ascii="Arial"/>
          <w:w w:val="105"/>
          <w:sz w:val="19"/>
        </w:rPr>
        <w:t>new</w:t>
      </w:r>
      <w:r>
        <w:rPr>
          <w:rFonts w:ascii="Arial"/>
          <w:spacing w:val="-25"/>
          <w:w w:val="105"/>
          <w:sz w:val="19"/>
        </w:rPr>
        <w:t xml:space="preserve"> </w:t>
      </w:r>
      <w:r>
        <w:rPr>
          <w:rFonts w:ascii="Arial"/>
          <w:w w:val="105"/>
          <w:sz w:val="19"/>
        </w:rPr>
        <w:t>ARTG</w:t>
      </w:r>
      <w:r>
        <w:rPr>
          <w:rFonts w:ascii="Arial"/>
          <w:spacing w:val="-28"/>
          <w:w w:val="105"/>
          <w:sz w:val="19"/>
        </w:rPr>
        <w:t xml:space="preserve"> </w:t>
      </w:r>
      <w:r>
        <w:rPr>
          <w:rFonts w:ascii="Arial"/>
          <w:w w:val="105"/>
          <w:sz w:val="19"/>
        </w:rPr>
        <w:t>listings (for</w:t>
      </w:r>
      <w:r>
        <w:rPr>
          <w:rFonts w:ascii="Arial"/>
          <w:spacing w:val="-20"/>
          <w:w w:val="105"/>
          <w:sz w:val="19"/>
        </w:rPr>
        <w:t xml:space="preserve"> </w:t>
      </w:r>
      <w:r>
        <w:rPr>
          <w:rFonts w:ascii="Arial"/>
          <w:w w:val="105"/>
          <w:sz w:val="19"/>
        </w:rPr>
        <w:t>the</w:t>
      </w:r>
      <w:r>
        <w:rPr>
          <w:rFonts w:ascii="Arial"/>
          <w:spacing w:val="-21"/>
          <w:w w:val="105"/>
          <w:sz w:val="19"/>
        </w:rPr>
        <w:t xml:space="preserve"> </w:t>
      </w:r>
      <w:r>
        <w:rPr>
          <w:rFonts w:ascii="Arial"/>
          <w:w w:val="105"/>
          <w:sz w:val="19"/>
        </w:rPr>
        <w:t>current</w:t>
      </w:r>
      <w:r>
        <w:rPr>
          <w:rFonts w:ascii="Arial"/>
          <w:spacing w:val="-21"/>
          <w:w w:val="105"/>
          <w:sz w:val="19"/>
        </w:rPr>
        <w:t xml:space="preserve"> </w:t>
      </w:r>
      <w:r>
        <w:rPr>
          <w:rFonts w:ascii="Arial"/>
          <w:w w:val="105"/>
          <w:sz w:val="19"/>
        </w:rPr>
        <w:t>population)</w:t>
      </w:r>
      <w:r>
        <w:rPr>
          <w:rFonts w:ascii="Arial"/>
          <w:spacing w:val="-22"/>
          <w:w w:val="105"/>
          <w:sz w:val="19"/>
        </w:rPr>
        <w:t xml:space="preserve"> </w:t>
      </w:r>
      <w:r>
        <w:rPr>
          <w:rFonts w:ascii="Arial"/>
          <w:w w:val="105"/>
          <w:sz w:val="19"/>
        </w:rPr>
        <w:t>is</w:t>
      </w:r>
      <w:r>
        <w:rPr>
          <w:rFonts w:ascii="Arial"/>
          <w:spacing w:val="-21"/>
          <w:w w:val="105"/>
          <w:sz w:val="19"/>
        </w:rPr>
        <w:t xml:space="preserve"> </w:t>
      </w:r>
      <w:r>
        <w:rPr>
          <w:rFonts w:ascii="Arial"/>
          <w:w w:val="105"/>
          <w:sz w:val="19"/>
        </w:rPr>
        <w:t>40,</w:t>
      </w:r>
      <w:r>
        <w:rPr>
          <w:rFonts w:ascii="Arial"/>
          <w:spacing w:val="-19"/>
          <w:w w:val="105"/>
          <w:sz w:val="19"/>
        </w:rPr>
        <w:t xml:space="preserve"> </w:t>
      </w:r>
      <w:r>
        <w:rPr>
          <w:rFonts w:ascii="Arial"/>
          <w:w w:val="105"/>
          <w:sz w:val="19"/>
        </w:rPr>
        <w:t>which</w:t>
      </w:r>
      <w:r>
        <w:rPr>
          <w:rFonts w:ascii="Arial"/>
          <w:spacing w:val="-17"/>
          <w:w w:val="105"/>
          <w:sz w:val="19"/>
        </w:rPr>
        <w:t xml:space="preserve"> </w:t>
      </w:r>
      <w:r>
        <w:rPr>
          <w:rFonts w:ascii="Arial"/>
          <w:w w:val="105"/>
          <w:sz w:val="19"/>
        </w:rPr>
        <w:t>will</w:t>
      </w:r>
      <w:r>
        <w:rPr>
          <w:rFonts w:ascii="Arial"/>
          <w:spacing w:val="-21"/>
          <w:w w:val="105"/>
          <w:sz w:val="19"/>
        </w:rPr>
        <w:t xml:space="preserve"> </w:t>
      </w:r>
      <w:r>
        <w:rPr>
          <w:rFonts w:ascii="Arial"/>
          <w:w w:val="105"/>
          <w:sz w:val="19"/>
        </w:rPr>
        <w:t>produce</w:t>
      </w:r>
      <w:r>
        <w:rPr>
          <w:rFonts w:ascii="Arial"/>
          <w:spacing w:val="-21"/>
          <w:w w:val="105"/>
          <w:sz w:val="19"/>
        </w:rPr>
        <w:t xml:space="preserve"> </w:t>
      </w:r>
      <w:r>
        <w:rPr>
          <w:rFonts w:ascii="Arial"/>
          <w:w w:val="105"/>
          <w:sz w:val="19"/>
        </w:rPr>
        <w:t>4</w:t>
      </w:r>
      <w:r>
        <w:rPr>
          <w:rFonts w:ascii="Arial"/>
          <w:spacing w:val="-19"/>
          <w:w w:val="105"/>
          <w:sz w:val="19"/>
        </w:rPr>
        <w:t xml:space="preserve"> </w:t>
      </w:r>
      <w:r>
        <w:rPr>
          <w:rFonts w:ascii="Arial"/>
          <w:w w:val="105"/>
          <w:sz w:val="19"/>
        </w:rPr>
        <w:t>new</w:t>
      </w:r>
      <w:r>
        <w:rPr>
          <w:rFonts w:ascii="Arial"/>
          <w:spacing w:val="-20"/>
          <w:w w:val="105"/>
          <w:sz w:val="19"/>
        </w:rPr>
        <w:t xml:space="preserve"> </w:t>
      </w:r>
      <w:r>
        <w:rPr>
          <w:rFonts w:ascii="Arial"/>
          <w:w w:val="105"/>
          <w:sz w:val="19"/>
        </w:rPr>
        <w:t>listed</w:t>
      </w:r>
      <w:r>
        <w:rPr>
          <w:rFonts w:ascii="Arial"/>
          <w:spacing w:val="-21"/>
          <w:w w:val="105"/>
          <w:sz w:val="19"/>
        </w:rPr>
        <w:t xml:space="preserve"> </w:t>
      </w:r>
      <w:r>
        <w:rPr>
          <w:rFonts w:ascii="Arial"/>
          <w:w w:val="105"/>
          <w:sz w:val="19"/>
        </w:rPr>
        <w:t>medicine</w:t>
      </w:r>
      <w:r>
        <w:rPr>
          <w:rFonts w:ascii="Arial"/>
          <w:spacing w:val="-21"/>
          <w:w w:val="105"/>
          <w:sz w:val="19"/>
        </w:rPr>
        <w:t xml:space="preserve"> </w:t>
      </w:r>
      <w:r>
        <w:rPr>
          <w:rFonts w:ascii="Arial"/>
          <w:w w:val="105"/>
          <w:sz w:val="19"/>
        </w:rPr>
        <w:t>ingredient</w:t>
      </w:r>
      <w:r>
        <w:rPr>
          <w:rFonts w:ascii="Arial"/>
          <w:spacing w:val="-21"/>
          <w:w w:val="105"/>
          <w:sz w:val="19"/>
        </w:rPr>
        <w:t xml:space="preserve"> </w:t>
      </w:r>
      <w:r>
        <w:rPr>
          <w:rFonts w:ascii="Arial"/>
          <w:w w:val="105"/>
          <w:sz w:val="19"/>
        </w:rPr>
        <w:t>applications.</w:t>
      </w:r>
      <w:r>
        <w:rPr>
          <w:rFonts w:ascii="Arial"/>
          <w:w w:val="105"/>
          <w:position w:val="7"/>
          <w:sz w:val="11"/>
        </w:rPr>
        <w:t xml:space="preserve">86 </w:t>
      </w:r>
      <w:r>
        <w:rPr>
          <w:rFonts w:ascii="Arial"/>
          <w:w w:val="105"/>
          <w:sz w:val="19"/>
        </w:rPr>
        <w:t>This</w:t>
      </w:r>
      <w:r>
        <w:rPr>
          <w:rFonts w:ascii="Arial"/>
          <w:spacing w:val="-23"/>
          <w:w w:val="105"/>
          <w:sz w:val="19"/>
        </w:rPr>
        <w:t xml:space="preserve"> </w:t>
      </w:r>
      <w:r>
        <w:rPr>
          <w:rFonts w:ascii="Arial"/>
          <w:w w:val="105"/>
          <w:sz w:val="19"/>
        </w:rPr>
        <w:t>equates</w:t>
      </w:r>
      <w:r>
        <w:rPr>
          <w:rFonts w:ascii="Arial"/>
          <w:spacing w:val="-23"/>
          <w:w w:val="105"/>
          <w:sz w:val="19"/>
        </w:rPr>
        <w:t xml:space="preserve"> </w:t>
      </w:r>
      <w:r>
        <w:rPr>
          <w:rFonts w:ascii="Arial"/>
          <w:w w:val="105"/>
          <w:sz w:val="19"/>
        </w:rPr>
        <w:t>to</w:t>
      </w:r>
      <w:r>
        <w:rPr>
          <w:rFonts w:ascii="Arial"/>
          <w:spacing w:val="-25"/>
          <w:w w:val="105"/>
          <w:sz w:val="19"/>
        </w:rPr>
        <w:t xml:space="preserve"> </w:t>
      </w:r>
      <w:r>
        <w:rPr>
          <w:rFonts w:ascii="Arial"/>
          <w:w w:val="105"/>
          <w:sz w:val="19"/>
        </w:rPr>
        <w:t>a</w:t>
      </w:r>
      <w:r>
        <w:rPr>
          <w:rFonts w:ascii="Arial"/>
          <w:spacing w:val="-20"/>
          <w:w w:val="105"/>
          <w:sz w:val="19"/>
        </w:rPr>
        <w:t xml:space="preserve"> </w:t>
      </w:r>
      <w:r>
        <w:rPr>
          <w:rFonts w:ascii="Arial"/>
          <w:w w:val="105"/>
          <w:sz w:val="19"/>
        </w:rPr>
        <w:t>22%</w:t>
      </w:r>
      <w:r>
        <w:rPr>
          <w:rFonts w:ascii="Arial"/>
          <w:spacing w:val="-23"/>
          <w:w w:val="105"/>
          <w:sz w:val="19"/>
        </w:rPr>
        <w:t xml:space="preserve"> </w:t>
      </w:r>
      <w:r>
        <w:rPr>
          <w:rFonts w:ascii="Arial"/>
          <w:w w:val="105"/>
          <w:sz w:val="19"/>
        </w:rPr>
        <w:t>uplift</w:t>
      </w:r>
      <w:r>
        <w:rPr>
          <w:rFonts w:ascii="Arial"/>
          <w:spacing w:val="-23"/>
          <w:w w:val="105"/>
          <w:sz w:val="19"/>
        </w:rPr>
        <w:t xml:space="preserve"> </w:t>
      </w:r>
      <w:r>
        <w:rPr>
          <w:rFonts w:ascii="Arial"/>
          <w:w w:val="105"/>
          <w:sz w:val="19"/>
        </w:rPr>
        <w:t>on</w:t>
      </w:r>
      <w:r>
        <w:rPr>
          <w:rFonts w:ascii="Arial"/>
          <w:spacing w:val="-22"/>
          <w:w w:val="105"/>
          <w:sz w:val="19"/>
        </w:rPr>
        <w:t xml:space="preserve"> </w:t>
      </w:r>
      <w:r>
        <w:rPr>
          <w:rFonts w:ascii="Arial"/>
          <w:w w:val="105"/>
          <w:sz w:val="19"/>
        </w:rPr>
        <w:t>the</w:t>
      </w:r>
      <w:r>
        <w:rPr>
          <w:rFonts w:ascii="Arial"/>
          <w:spacing w:val="-24"/>
          <w:w w:val="105"/>
          <w:sz w:val="19"/>
        </w:rPr>
        <w:t xml:space="preserve"> </w:t>
      </w:r>
      <w:r>
        <w:rPr>
          <w:rFonts w:ascii="Arial"/>
          <w:w w:val="105"/>
          <w:sz w:val="19"/>
        </w:rPr>
        <w:t>previous</w:t>
      </w:r>
      <w:r>
        <w:rPr>
          <w:rFonts w:ascii="Arial"/>
          <w:spacing w:val="-23"/>
          <w:w w:val="105"/>
          <w:sz w:val="19"/>
        </w:rPr>
        <w:t xml:space="preserve"> </w:t>
      </w:r>
      <w:r>
        <w:rPr>
          <w:rFonts w:ascii="Arial"/>
          <w:w w:val="105"/>
          <w:sz w:val="19"/>
        </w:rPr>
        <w:t>five-year</w:t>
      </w:r>
      <w:r>
        <w:rPr>
          <w:rFonts w:ascii="Arial"/>
          <w:spacing w:val="-24"/>
          <w:w w:val="105"/>
          <w:sz w:val="19"/>
        </w:rPr>
        <w:t xml:space="preserve"> </w:t>
      </w:r>
      <w:r>
        <w:rPr>
          <w:rFonts w:ascii="Arial"/>
          <w:w w:val="105"/>
          <w:sz w:val="19"/>
        </w:rPr>
        <w:t>average</w:t>
      </w:r>
      <w:r>
        <w:rPr>
          <w:rFonts w:ascii="Arial"/>
          <w:spacing w:val="-21"/>
          <w:w w:val="105"/>
          <w:sz w:val="19"/>
        </w:rPr>
        <w:t xml:space="preserve"> </w:t>
      </w:r>
      <w:r>
        <w:rPr>
          <w:rFonts w:ascii="Arial"/>
          <w:w w:val="105"/>
          <w:sz w:val="19"/>
        </w:rPr>
        <w:t>(n=18)</w:t>
      </w:r>
      <w:r>
        <w:rPr>
          <w:rFonts w:ascii="Arial"/>
          <w:spacing w:val="-23"/>
          <w:w w:val="105"/>
          <w:sz w:val="19"/>
        </w:rPr>
        <w:t xml:space="preserve"> </w:t>
      </w:r>
      <w:r>
        <w:rPr>
          <w:rFonts w:ascii="Arial"/>
          <w:w w:val="105"/>
          <w:sz w:val="19"/>
        </w:rPr>
        <w:t>and</w:t>
      </w:r>
      <w:r>
        <w:rPr>
          <w:rFonts w:ascii="Arial"/>
          <w:spacing w:val="-24"/>
          <w:w w:val="105"/>
          <w:sz w:val="19"/>
        </w:rPr>
        <w:t xml:space="preserve"> </w:t>
      </w:r>
      <w:r>
        <w:rPr>
          <w:rFonts w:ascii="Arial"/>
          <w:w w:val="105"/>
          <w:sz w:val="19"/>
        </w:rPr>
        <w:t>is</w:t>
      </w:r>
      <w:r>
        <w:rPr>
          <w:rFonts w:ascii="Arial"/>
          <w:spacing w:val="-23"/>
          <w:w w:val="105"/>
          <w:sz w:val="19"/>
        </w:rPr>
        <w:t xml:space="preserve"> </w:t>
      </w:r>
      <w:r>
        <w:rPr>
          <w:rFonts w:ascii="Arial"/>
          <w:w w:val="105"/>
          <w:sz w:val="19"/>
        </w:rPr>
        <w:t>a</w:t>
      </w:r>
      <w:r>
        <w:rPr>
          <w:rFonts w:ascii="Arial"/>
          <w:spacing w:val="-21"/>
          <w:w w:val="105"/>
          <w:sz w:val="19"/>
        </w:rPr>
        <w:t xml:space="preserve"> </w:t>
      </w:r>
      <w:r>
        <w:rPr>
          <w:rFonts w:ascii="Arial"/>
          <w:w w:val="105"/>
          <w:sz w:val="19"/>
        </w:rPr>
        <w:t>55%</w:t>
      </w:r>
      <w:r>
        <w:rPr>
          <w:rFonts w:ascii="Arial"/>
          <w:spacing w:val="-24"/>
          <w:w w:val="105"/>
          <w:sz w:val="19"/>
        </w:rPr>
        <w:t xml:space="preserve"> </w:t>
      </w:r>
      <w:r>
        <w:rPr>
          <w:rFonts w:ascii="Arial"/>
          <w:w w:val="105"/>
          <w:sz w:val="19"/>
        </w:rPr>
        <w:t>decrease</w:t>
      </w:r>
      <w:r>
        <w:rPr>
          <w:rFonts w:ascii="Arial"/>
          <w:spacing w:val="-20"/>
          <w:w w:val="105"/>
          <w:sz w:val="19"/>
        </w:rPr>
        <w:t xml:space="preserve"> </w:t>
      </w:r>
      <w:r>
        <w:rPr>
          <w:rFonts w:ascii="Arial"/>
          <w:w w:val="105"/>
          <w:sz w:val="19"/>
        </w:rPr>
        <w:t>for</w:t>
      </w:r>
      <w:r>
        <w:rPr>
          <w:rFonts w:ascii="Arial"/>
          <w:spacing w:val="-25"/>
          <w:w w:val="105"/>
          <w:sz w:val="19"/>
        </w:rPr>
        <w:t xml:space="preserve"> </w:t>
      </w:r>
      <w:r>
        <w:rPr>
          <w:rFonts w:ascii="Arial"/>
          <w:w w:val="105"/>
          <w:sz w:val="19"/>
        </w:rPr>
        <w:t>that identified</w:t>
      </w:r>
      <w:r>
        <w:rPr>
          <w:rFonts w:ascii="Arial"/>
          <w:spacing w:val="-11"/>
          <w:w w:val="105"/>
          <w:sz w:val="19"/>
        </w:rPr>
        <w:t xml:space="preserve"> </w:t>
      </w:r>
      <w:r>
        <w:rPr>
          <w:rFonts w:ascii="Arial"/>
          <w:w w:val="105"/>
          <w:sz w:val="19"/>
        </w:rPr>
        <w:t>for</w:t>
      </w:r>
      <w:r>
        <w:rPr>
          <w:rFonts w:ascii="Arial"/>
          <w:spacing w:val="-10"/>
          <w:w w:val="105"/>
          <w:sz w:val="19"/>
        </w:rPr>
        <w:t xml:space="preserve"> </w:t>
      </w:r>
      <w:r>
        <w:rPr>
          <w:rFonts w:ascii="Arial"/>
          <w:w w:val="105"/>
          <w:sz w:val="19"/>
        </w:rPr>
        <w:t>options</w:t>
      </w:r>
      <w:r>
        <w:rPr>
          <w:rFonts w:ascii="Arial"/>
          <w:spacing w:val="-10"/>
          <w:w w:val="105"/>
          <w:sz w:val="19"/>
        </w:rPr>
        <w:t xml:space="preserve"> </w:t>
      </w:r>
      <w:r>
        <w:rPr>
          <w:rFonts w:ascii="Arial"/>
          <w:w w:val="105"/>
          <w:sz w:val="19"/>
        </w:rPr>
        <w:t>2A</w:t>
      </w:r>
      <w:r>
        <w:rPr>
          <w:rFonts w:ascii="Arial"/>
          <w:spacing w:val="-12"/>
          <w:w w:val="105"/>
          <w:sz w:val="19"/>
        </w:rPr>
        <w:t xml:space="preserve"> </w:t>
      </w:r>
      <w:r>
        <w:rPr>
          <w:rFonts w:ascii="Arial"/>
          <w:w w:val="105"/>
          <w:sz w:val="19"/>
        </w:rPr>
        <w:t>and</w:t>
      </w:r>
      <w:r>
        <w:rPr>
          <w:rFonts w:ascii="Arial"/>
          <w:spacing w:val="-14"/>
          <w:w w:val="105"/>
          <w:sz w:val="19"/>
        </w:rPr>
        <w:t xml:space="preserve"> </w:t>
      </w:r>
      <w:r>
        <w:rPr>
          <w:rFonts w:ascii="Arial"/>
          <w:w w:val="105"/>
          <w:sz w:val="19"/>
        </w:rPr>
        <w:t>2B</w:t>
      </w:r>
      <w:r>
        <w:rPr>
          <w:rFonts w:ascii="Arial"/>
          <w:spacing w:val="-10"/>
          <w:w w:val="105"/>
          <w:sz w:val="19"/>
        </w:rPr>
        <w:t xml:space="preserve"> </w:t>
      </w:r>
      <w:r>
        <w:rPr>
          <w:rFonts w:ascii="Arial"/>
          <w:w w:val="105"/>
          <w:sz w:val="19"/>
        </w:rPr>
        <w:t>(n=9).</w:t>
      </w:r>
    </w:p>
    <w:p w:rsidR="007D76BB" w:rsidRDefault="00D70D28">
      <w:pPr>
        <w:spacing w:before="75"/>
        <w:ind w:left="482"/>
        <w:rPr>
          <w:rFonts w:ascii="Arial"/>
          <w:i/>
          <w:sz w:val="20"/>
        </w:rPr>
      </w:pPr>
      <w:r>
        <w:rPr>
          <w:rFonts w:ascii="Arial"/>
          <w:i/>
          <w:sz w:val="20"/>
        </w:rPr>
        <w:t>Future population considerations</w:t>
      </w:r>
    </w:p>
    <w:p w:rsidR="007D76BB" w:rsidRDefault="00D70D28">
      <w:pPr>
        <w:spacing w:before="199" w:line="264" w:lineRule="auto"/>
        <w:ind w:left="482" w:right="885"/>
        <w:rPr>
          <w:rFonts w:ascii="Arial"/>
          <w:sz w:val="19"/>
        </w:rPr>
      </w:pPr>
      <w:r>
        <w:rPr>
          <w:rFonts w:ascii="Arial"/>
          <w:w w:val="105"/>
          <w:sz w:val="19"/>
        </w:rPr>
        <w:t>Given</w:t>
      </w:r>
      <w:r>
        <w:rPr>
          <w:rFonts w:ascii="Arial"/>
          <w:spacing w:val="-23"/>
          <w:w w:val="105"/>
          <w:sz w:val="19"/>
        </w:rPr>
        <w:t xml:space="preserve"> </w:t>
      </w:r>
      <w:r>
        <w:rPr>
          <w:rFonts w:ascii="Arial"/>
          <w:w w:val="105"/>
          <w:sz w:val="19"/>
        </w:rPr>
        <w:t>the</w:t>
      </w:r>
      <w:r>
        <w:rPr>
          <w:rFonts w:ascii="Arial"/>
          <w:spacing w:val="-25"/>
          <w:w w:val="105"/>
          <w:sz w:val="19"/>
        </w:rPr>
        <w:t xml:space="preserve"> </w:t>
      </w:r>
      <w:r>
        <w:rPr>
          <w:rFonts w:ascii="Arial"/>
          <w:w w:val="105"/>
          <w:sz w:val="19"/>
        </w:rPr>
        <w:t>degree</w:t>
      </w:r>
      <w:r>
        <w:rPr>
          <w:rFonts w:ascii="Arial"/>
          <w:spacing w:val="-23"/>
          <w:w w:val="105"/>
          <w:sz w:val="19"/>
        </w:rPr>
        <w:t xml:space="preserve"> </w:t>
      </w:r>
      <w:r>
        <w:rPr>
          <w:rFonts w:ascii="Arial"/>
          <w:w w:val="105"/>
          <w:sz w:val="19"/>
        </w:rPr>
        <w:t>of</w:t>
      </w:r>
      <w:r>
        <w:rPr>
          <w:rFonts w:ascii="Arial"/>
          <w:spacing w:val="-24"/>
          <w:w w:val="105"/>
          <w:sz w:val="19"/>
        </w:rPr>
        <w:t xml:space="preserve"> </w:t>
      </w:r>
      <w:r>
        <w:rPr>
          <w:rFonts w:ascii="Arial"/>
          <w:w w:val="105"/>
          <w:sz w:val="19"/>
        </w:rPr>
        <w:t>product</w:t>
      </w:r>
      <w:r>
        <w:rPr>
          <w:rFonts w:ascii="Arial"/>
          <w:spacing w:val="-26"/>
          <w:w w:val="105"/>
          <w:sz w:val="19"/>
        </w:rPr>
        <w:t xml:space="preserve"> </w:t>
      </w:r>
      <w:r>
        <w:rPr>
          <w:rFonts w:ascii="Arial"/>
          <w:w w:val="105"/>
          <w:sz w:val="19"/>
        </w:rPr>
        <w:t>turnover</w:t>
      </w:r>
      <w:r>
        <w:rPr>
          <w:rFonts w:ascii="Arial"/>
          <w:spacing w:val="-24"/>
          <w:w w:val="105"/>
          <w:sz w:val="19"/>
        </w:rPr>
        <w:t xml:space="preserve"> </w:t>
      </w:r>
      <w:r>
        <w:rPr>
          <w:rFonts w:ascii="Arial"/>
          <w:w w:val="105"/>
          <w:sz w:val="19"/>
        </w:rPr>
        <w:t>in</w:t>
      </w:r>
      <w:r>
        <w:rPr>
          <w:rFonts w:ascii="Arial"/>
          <w:spacing w:val="-25"/>
          <w:w w:val="105"/>
          <w:sz w:val="19"/>
        </w:rPr>
        <w:t xml:space="preserve"> </w:t>
      </w:r>
      <w:r>
        <w:rPr>
          <w:rFonts w:ascii="Arial"/>
          <w:w w:val="105"/>
          <w:sz w:val="19"/>
        </w:rPr>
        <w:t>the</w:t>
      </w:r>
      <w:r>
        <w:rPr>
          <w:rFonts w:ascii="Arial"/>
          <w:spacing w:val="-23"/>
          <w:w w:val="105"/>
          <w:sz w:val="19"/>
        </w:rPr>
        <w:t xml:space="preserve"> </w:t>
      </w:r>
      <w:r>
        <w:rPr>
          <w:rFonts w:ascii="Arial"/>
          <w:w w:val="105"/>
          <w:sz w:val="19"/>
        </w:rPr>
        <w:t>sports</w:t>
      </w:r>
      <w:r>
        <w:rPr>
          <w:rFonts w:ascii="Arial"/>
          <w:spacing w:val="-23"/>
          <w:w w:val="105"/>
          <w:sz w:val="19"/>
        </w:rPr>
        <w:t xml:space="preserve"> </w:t>
      </w:r>
      <w:r>
        <w:rPr>
          <w:rFonts w:ascii="Arial"/>
          <w:w w:val="105"/>
          <w:sz w:val="19"/>
        </w:rPr>
        <w:t>supplements</w:t>
      </w:r>
      <w:r>
        <w:rPr>
          <w:rFonts w:ascii="Arial"/>
          <w:spacing w:val="-25"/>
          <w:w w:val="105"/>
          <w:sz w:val="19"/>
        </w:rPr>
        <w:t xml:space="preserve"> </w:t>
      </w:r>
      <w:r>
        <w:rPr>
          <w:rFonts w:ascii="Arial"/>
          <w:w w:val="105"/>
          <w:sz w:val="19"/>
        </w:rPr>
        <w:t>sector,</w:t>
      </w:r>
      <w:r>
        <w:rPr>
          <w:rFonts w:ascii="Arial"/>
          <w:spacing w:val="-25"/>
          <w:w w:val="105"/>
          <w:sz w:val="19"/>
        </w:rPr>
        <w:t xml:space="preserve"> </w:t>
      </w:r>
      <w:r>
        <w:rPr>
          <w:rFonts w:ascii="Arial"/>
          <w:w w:val="105"/>
          <w:sz w:val="19"/>
        </w:rPr>
        <w:t>as</w:t>
      </w:r>
      <w:r>
        <w:rPr>
          <w:rFonts w:ascii="Arial"/>
          <w:spacing w:val="-23"/>
          <w:w w:val="105"/>
          <w:sz w:val="19"/>
        </w:rPr>
        <w:t xml:space="preserve"> </w:t>
      </w:r>
      <w:r>
        <w:rPr>
          <w:rFonts w:ascii="Arial"/>
          <w:w w:val="105"/>
          <w:sz w:val="19"/>
        </w:rPr>
        <w:t>previously</w:t>
      </w:r>
      <w:r>
        <w:rPr>
          <w:rFonts w:ascii="Arial"/>
          <w:spacing w:val="-22"/>
          <w:w w:val="105"/>
          <w:sz w:val="19"/>
        </w:rPr>
        <w:t xml:space="preserve"> </w:t>
      </w:r>
      <w:r>
        <w:rPr>
          <w:rFonts w:ascii="Arial"/>
          <w:w w:val="105"/>
          <w:sz w:val="19"/>
        </w:rPr>
        <w:t>stated,</w:t>
      </w:r>
      <w:r>
        <w:rPr>
          <w:rFonts w:ascii="Arial"/>
          <w:spacing w:val="-23"/>
          <w:w w:val="105"/>
          <w:sz w:val="19"/>
        </w:rPr>
        <w:t xml:space="preserve"> </w:t>
      </w:r>
      <w:r>
        <w:rPr>
          <w:rFonts w:ascii="Arial"/>
          <w:w w:val="105"/>
          <w:sz w:val="19"/>
        </w:rPr>
        <w:t>there</w:t>
      </w:r>
      <w:r>
        <w:rPr>
          <w:rFonts w:ascii="Arial"/>
          <w:spacing w:val="-24"/>
          <w:w w:val="105"/>
          <w:sz w:val="19"/>
        </w:rPr>
        <w:t xml:space="preserve"> </w:t>
      </w:r>
      <w:r>
        <w:rPr>
          <w:rFonts w:ascii="Arial"/>
          <w:w w:val="105"/>
          <w:sz w:val="19"/>
        </w:rPr>
        <w:t>is assessed</w:t>
      </w:r>
      <w:r>
        <w:rPr>
          <w:rFonts w:ascii="Arial"/>
          <w:spacing w:val="-24"/>
          <w:w w:val="105"/>
          <w:sz w:val="19"/>
        </w:rPr>
        <w:t xml:space="preserve"> </w:t>
      </w:r>
      <w:r>
        <w:rPr>
          <w:rFonts w:ascii="Arial"/>
          <w:w w:val="105"/>
          <w:sz w:val="19"/>
        </w:rPr>
        <w:t>to</w:t>
      </w:r>
      <w:r>
        <w:rPr>
          <w:rFonts w:ascii="Arial"/>
          <w:spacing w:val="-23"/>
          <w:w w:val="105"/>
          <w:sz w:val="19"/>
        </w:rPr>
        <w:t xml:space="preserve"> </w:t>
      </w:r>
      <w:r>
        <w:rPr>
          <w:rFonts w:ascii="Arial"/>
          <w:w w:val="105"/>
          <w:sz w:val="19"/>
        </w:rPr>
        <w:t>be</w:t>
      </w:r>
      <w:r>
        <w:rPr>
          <w:rFonts w:ascii="Arial"/>
          <w:spacing w:val="-23"/>
          <w:w w:val="105"/>
          <w:sz w:val="19"/>
        </w:rPr>
        <w:t xml:space="preserve"> </w:t>
      </w:r>
      <w:r>
        <w:rPr>
          <w:rFonts w:ascii="Arial"/>
          <w:w w:val="105"/>
          <w:sz w:val="19"/>
        </w:rPr>
        <w:t>a</w:t>
      </w:r>
      <w:r>
        <w:rPr>
          <w:rFonts w:ascii="Arial"/>
          <w:spacing w:val="-23"/>
          <w:w w:val="105"/>
          <w:sz w:val="19"/>
        </w:rPr>
        <w:t xml:space="preserve"> </w:t>
      </w:r>
      <w:r>
        <w:rPr>
          <w:rFonts w:ascii="Arial"/>
          <w:w w:val="105"/>
          <w:sz w:val="19"/>
        </w:rPr>
        <w:t>10%</w:t>
      </w:r>
      <w:r>
        <w:rPr>
          <w:rFonts w:ascii="Arial"/>
          <w:spacing w:val="-24"/>
          <w:w w:val="105"/>
          <w:sz w:val="19"/>
        </w:rPr>
        <w:t xml:space="preserve"> </w:t>
      </w:r>
      <w:r>
        <w:rPr>
          <w:rFonts w:ascii="Arial"/>
          <w:w w:val="105"/>
          <w:sz w:val="19"/>
        </w:rPr>
        <w:t>year-on-year</w:t>
      </w:r>
      <w:r>
        <w:rPr>
          <w:rFonts w:ascii="Arial"/>
          <w:spacing w:val="-24"/>
          <w:w w:val="105"/>
          <w:sz w:val="19"/>
        </w:rPr>
        <w:t xml:space="preserve"> </w:t>
      </w:r>
      <w:r>
        <w:rPr>
          <w:rFonts w:ascii="Arial"/>
          <w:w w:val="105"/>
          <w:sz w:val="19"/>
        </w:rPr>
        <w:t>growth</w:t>
      </w:r>
      <w:r>
        <w:rPr>
          <w:rFonts w:ascii="Arial"/>
          <w:spacing w:val="-22"/>
          <w:w w:val="105"/>
          <w:sz w:val="19"/>
        </w:rPr>
        <w:t xml:space="preserve"> </w:t>
      </w:r>
      <w:r>
        <w:rPr>
          <w:rFonts w:ascii="Arial"/>
          <w:w w:val="105"/>
          <w:sz w:val="19"/>
        </w:rPr>
        <w:t>in</w:t>
      </w:r>
      <w:r>
        <w:rPr>
          <w:rFonts w:ascii="Arial"/>
          <w:spacing w:val="-22"/>
          <w:w w:val="105"/>
          <w:sz w:val="19"/>
        </w:rPr>
        <w:t xml:space="preserve"> </w:t>
      </w:r>
      <w:r>
        <w:rPr>
          <w:rFonts w:ascii="Arial"/>
          <w:w w:val="105"/>
          <w:sz w:val="19"/>
        </w:rPr>
        <w:t>the</w:t>
      </w:r>
      <w:r>
        <w:rPr>
          <w:rFonts w:ascii="Arial"/>
          <w:spacing w:val="-23"/>
          <w:w w:val="105"/>
          <w:sz w:val="19"/>
        </w:rPr>
        <w:t xml:space="preserve"> </w:t>
      </w:r>
      <w:r>
        <w:rPr>
          <w:rFonts w:ascii="Arial"/>
          <w:w w:val="105"/>
          <w:sz w:val="19"/>
        </w:rPr>
        <w:t>number</w:t>
      </w:r>
      <w:r>
        <w:rPr>
          <w:rFonts w:ascii="Arial"/>
          <w:spacing w:val="-24"/>
          <w:w w:val="105"/>
          <w:sz w:val="19"/>
        </w:rPr>
        <w:t xml:space="preserve"> </w:t>
      </w:r>
      <w:r>
        <w:rPr>
          <w:rFonts w:ascii="Arial"/>
          <w:w w:val="105"/>
          <w:sz w:val="19"/>
        </w:rPr>
        <w:t>of</w:t>
      </w:r>
      <w:r>
        <w:rPr>
          <w:rFonts w:ascii="Arial"/>
          <w:spacing w:val="-23"/>
          <w:w w:val="105"/>
          <w:sz w:val="19"/>
        </w:rPr>
        <w:t xml:space="preserve"> </w:t>
      </w:r>
      <w:r>
        <w:rPr>
          <w:rFonts w:ascii="Arial"/>
          <w:w w:val="105"/>
          <w:sz w:val="19"/>
        </w:rPr>
        <w:t>additional</w:t>
      </w:r>
      <w:r>
        <w:rPr>
          <w:rFonts w:ascii="Arial"/>
          <w:spacing w:val="-22"/>
          <w:w w:val="105"/>
          <w:sz w:val="19"/>
        </w:rPr>
        <w:t xml:space="preserve"> </w:t>
      </w:r>
      <w:r>
        <w:rPr>
          <w:rFonts w:ascii="Arial"/>
          <w:w w:val="105"/>
          <w:sz w:val="19"/>
        </w:rPr>
        <w:t>products</w:t>
      </w:r>
      <w:r>
        <w:rPr>
          <w:rFonts w:ascii="Arial"/>
          <w:spacing w:val="-24"/>
          <w:w w:val="105"/>
          <w:sz w:val="19"/>
        </w:rPr>
        <w:t xml:space="preserve"> </w:t>
      </w:r>
      <w:r>
        <w:rPr>
          <w:rFonts w:ascii="Arial"/>
          <w:w w:val="105"/>
          <w:sz w:val="19"/>
        </w:rPr>
        <w:t>listed</w:t>
      </w:r>
      <w:r>
        <w:rPr>
          <w:rFonts w:ascii="Arial"/>
          <w:spacing w:val="-25"/>
          <w:w w:val="105"/>
          <w:sz w:val="19"/>
        </w:rPr>
        <w:t xml:space="preserve"> </w:t>
      </w:r>
      <w:r>
        <w:rPr>
          <w:rFonts w:ascii="Arial"/>
          <w:w w:val="105"/>
          <w:sz w:val="19"/>
        </w:rPr>
        <w:t>in</w:t>
      </w:r>
      <w:r>
        <w:rPr>
          <w:rFonts w:ascii="Arial"/>
          <w:spacing w:val="-22"/>
          <w:w w:val="105"/>
          <w:sz w:val="19"/>
        </w:rPr>
        <w:t xml:space="preserve"> </w:t>
      </w:r>
      <w:r>
        <w:rPr>
          <w:rFonts w:ascii="Arial"/>
          <w:w w:val="105"/>
          <w:sz w:val="19"/>
        </w:rPr>
        <w:t>the</w:t>
      </w:r>
      <w:r>
        <w:rPr>
          <w:rFonts w:ascii="Arial"/>
          <w:spacing w:val="-24"/>
          <w:w w:val="105"/>
          <w:sz w:val="19"/>
        </w:rPr>
        <w:t xml:space="preserve"> </w:t>
      </w:r>
      <w:r>
        <w:rPr>
          <w:rFonts w:ascii="Arial"/>
          <w:w w:val="105"/>
          <w:sz w:val="19"/>
        </w:rPr>
        <w:t xml:space="preserve">ARTG arising from the proposed regulatory clarification (therefore 37 additional listings over the period </w:t>
      </w:r>
      <w:r>
        <w:rPr>
          <w:rFonts w:ascii="Arial"/>
          <w:spacing w:val="-1"/>
          <w:w w:val="109"/>
          <w:sz w:val="19"/>
        </w:rPr>
        <w:t>2</w:t>
      </w:r>
      <w:r>
        <w:rPr>
          <w:rFonts w:ascii="Arial"/>
          <w:spacing w:val="1"/>
          <w:w w:val="114"/>
          <w:sz w:val="19"/>
        </w:rPr>
        <w:t>0</w:t>
      </w:r>
      <w:r>
        <w:rPr>
          <w:rFonts w:ascii="Arial"/>
          <w:spacing w:val="-1"/>
          <w:w w:val="109"/>
          <w:sz w:val="19"/>
        </w:rPr>
        <w:t>2</w:t>
      </w:r>
      <w:r>
        <w:rPr>
          <w:rFonts w:ascii="Arial"/>
          <w:spacing w:val="1"/>
          <w:w w:val="108"/>
          <w:sz w:val="19"/>
        </w:rPr>
        <w:t>3</w:t>
      </w:r>
      <w:r>
        <w:rPr>
          <w:rFonts w:ascii="Arial"/>
          <w:w w:val="131"/>
          <w:sz w:val="19"/>
        </w:rPr>
        <w:t>/</w:t>
      </w:r>
      <w:r>
        <w:rPr>
          <w:rFonts w:ascii="Arial"/>
          <w:spacing w:val="-1"/>
          <w:w w:val="131"/>
          <w:sz w:val="19"/>
        </w:rPr>
        <w:t>2</w:t>
      </w:r>
      <w:r>
        <w:rPr>
          <w:rFonts w:ascii="Arial"/>
          <w:w w:val="111"/>
          <w:sz w:val="19"/>
        </w:rPr>
        <w:t>4</w:t>
      </w:r>
      <w:r>
        <w:rPr>
          <w:rFonts w:ascii="Arial"/>
          <w:spacing w:val="-8"/>
          <w:sz w:val="19"/>
        </w:rPr>
        <w:t xml:space="preserve"> </w:t>
      </w:r>
      <w:r>
        <w:rPr>
          <w:rFonts w:ascii="Arial"/>
          <w:w w:val="134"/>
          <w:sz w:val="19"/>
        </w:rPr>
        <w:t>t</w:t>
      </w:r>
      <w:r>
        <w:rPr>
          <w:rFonts w:ascii="Arial"/>
          <w:sz w:val="19"/>
        </w:rPr>
        <w:t>o</w:t>
      </w:r>
      <w:r>
        <w:rPr>
          <w:rFonts w:ascii="Arial"/>
          <w:spacing w:val="-8"/>
          <w:sz w:val="19"/>
        </w:rPr>
        <w:t xml:space="preserve"> </w:t>
      </w:r>
      <w:r>
        <w:rPr>
          <w:rFonts w:ascii="Arial"/>
          <w:spacing w:val="-1"/>
          <w:w w:val="109"/>
          <w:sz w:val="19"/>
        </w:rPr>
        <w:t>2</w:t>
      </w:r>
      <w:r>
        <w:rPr>
          <w:rFonts w:ascii="Arial"/>
          <w:spacing w:val="1"/>
          <w:w w:val="114"/>
          <w:sz w:val="19"/>
        </w:rPr>
        <w:t>0</w:t>
      </w:r>
      <w:r>
        <w:rPr>
          <w:rFonts w:ascii="Arial"/>
          <w:w w:val="108"/>
          <w:sz w:val="19"/>
        </w:rPr>
        <w:t>3</w:t>
      </w:r>
      <w:r>
        <w:rPr>
          <w:rFonts w:ascii="Arial"/>
          <w:spacing w:val="1"/>
          <w:w w:val="114"/>
          <w:sz w:val="19"/>
        </w:rPr>
        <w:t>0</w:t>
      </w:r>
      <w:r>
        <w:rPr>
          <w:rFonts w:ascii="Arial"/>
          <w:spacing w:val="-2"/>
          <w:w w:val="175"/>
          <w:sz w:val="19"/>
        </w:rPr>
        <w:t>/</w:t>
      </w:r>
      <w:r>
        <w:rPr>
          <w:rFonts w:ascii="Arial"/>
          <w:w w:val="108"/>
          <w:sz w:val="19"/>
        </w:rPr>
        <w:t>3</w:t>
      </w:r>
      <w:r>
        <w:rPr>
          <w:rFonts w:ascii="Arial"/>
          <w:spacing w:val="1"/>
          <w:w w:val="66"/>
          <w:sz w:val="19"/>
        </w:rPr>
        <w:t>1</w:t>
      </w:r>
      <w:r>
        <w:rPr>
          <w:rFonts w:ascii="Arial"/>
          <w:w w:val="92"/>
          <w:sz w:val="19"/>
        </w:rPr>
        <w:t>).</w:t>
      </w:r>
      <w:r>
        <w:rPr>
          <w:rFonts w:ascii="Arial"/>
          <w:spacing w:val="-10"/>
          <w:sz w:val="19"/>
        </w:rPr>
        <w:t xml:space="preserve"> </w:t>
      </w:r>
      <w:r>
        <w:rPr>
          <w:rFonts w:ascii="Arial"/>
          <w:w w:val="101"/>
          <w:sz w:val="19"/>
        </w:rPr>
        <w:t>A</w:t>
      </w:r>
      <w:r>
        <w:rPr>
          <w:rFonts w:ascii="Arial"/>
          <w:w w:val="96"/>
          <w:sz w:val="19"/>
        </w:rPr>
        <w:t>ss</w:t>
      </w:r>
      <w:r>
        <w:rPr>
          <w:rFonts w:ascii="Arial"/>
          <w:spacing w:val="-2"/>
          <w:w w:val="96"/>
          <w:sz w:val="19"/>
        </w:rPr>
        <w:t>u</w:t>
      </w:r>
      <w:r>
        <w:rPr>
          <w:rFonts w:ascii="Arial"/>
          <w:w w:val="102"/>
          <w:sz w:val="19"/>
        </w:rPr>
        <w:t>mi</w:t>
      </w:r>
      <w:r>
        <w:rPr>
          <w:rFonts w:ascii="Arial"/>
          <w:spacing w:val="1"/>
          <w:w w:val="102"/>
          <w:sz w:val="19"/>
        </w:rPr>
        <w:t>n</w:t>
      </w:r>
      <w:r>
        <w:rPr>
          <w:rFonts w:ascii="Arial"/>
          <w:w w:val="101"/>
          <w:sz w:val="19"/>
        </w:rPr>
        <w:t>g</w:t>
      </w:r>
      <w:r>
        <w:rPr>
          <w:rFonts w:ascii="Arial"/>
          <w:spacing w:val="-9"/>
          <w:sz w:val="19"/>
        </w:rPr>
        <w:t xml:space="preserve"> </w:t>
      </w:r>
      <w:r>
        <w:rPr>
          <w:rFonts w:ascii="Arial"/>
          <w:w w:val="134"/>
          <w:sz w:val="19"/>
        </w:rPr>
        <w:lastRenderedPageBreak/>
        <w:t>t</w:t>
      </w:r>
      <w:r>
        <w:rPr>
          <w:rFonts w:ascii="Arial"/>
          <w:spacing w:val="1"/>
          <w:w w:val="101"/>
          <w:sz w:val="19"/>
        </w:rPr>
        <w:t>h</w:t>
      </w:r>
      <w:r>
        <w:rPr>
          <w:rFonts w:ascii="Arial"/>
          <w:w w:val="96"/>
          <w:sz w:val="19"/>
        </w:rPr>
        <w:t>e</w:t>
      </w:r>
      <w:r>
        <w:rPr>
          <w:rFonts w:ascii="Arial"/>
          <w:spacing w:val="-9"/>
          <w:sz w:val="19"/>
        </w:rPr>
        <w:t xml:space="preserve"> </w:t>
      </w:r>
      <w:r>
        <w:rPr>
          <w:rFonts w:ascii="Arial"/>
          <w:w w:val="116"/>
          <w:sz w:val="19"/>
        </w:rPr>
        <w:t>r</w:t>
      </w:r>
      <w:r>
        <w:rPr>
          <w:rFonts w:ascii="Arial"/>
          <w:spacing w:val="-2"/>
          <w:w w:val="96"/>
          <w:sz w:val="19"/>
        </w:rPr>
        <w:t>e</w:t>
      </w:r>
      <w:r>
        <w:rPr>
          <w:rFonts w:ascii="Arial"/>
          <w:w w:val="117"/>
          <w:sz w:val="19"/>
        </w:rPr>
        <w:t>l</w:t>
      </w:r>
      <w:r>
        <w:rPr>
          <w:rFonts w:ascii="Arial"/>
          <w:w w:val="94"/>
          <w:sz w:val="19"/>
        </w:rPr>
        <w:t>a</w:t>
      </w:r>
      <w:r>
        <w:rPr>
          <w:rFonts w:ascii="Arial"/>
          <w:w w:val="134"/>
          <w:sz w:val="19"/>
        </w:rPr>
        <w:t>t</w:t>
      </w:r>
      <w:r>
        <w:rPr>
          <w:rFonts w:ascii="Arial"/>
          <w:spacing w:val="2"/>
          <w:w w:val="114"/>
          <w:sz w:val="19"/>
        </w:rPr>
        <w:t>i</w:t>
      </w:r>
      <w:r>
        <w:rPr>
          <w:rFonts w:ascii="Arial"/>
          <w:spacing w:val="-3"/>
          <w:sz w:val="19"/>
        </w:rPr>
        <w:t>o</w:t>
      </w:r>
      <w:r>
        <w:rPr>
          <w:rFonts w:ascii="Arial"/>
          <w:spacing w:val="1"/>
          <w:w w:val="101"/>
          <w:sz w:val="19"/>
        </w:rPr>
        <w:t>n</w:t>
      </w:r>
      <w:r>
        <w:rPr>
          <w:rFonts w:ascii="Arial"/>
          <w:w w:val="97"/>
          <w:sz w:val="19"/>
        </w:rPr>
        <w:t>sh</w:t>
      </w:r>
      <w:r>
        <w:rPr>
          <w:rFonts w:ascii="Arial"/>
          <w:w w:val="104"/>
          <w:sz w:val="19"/>
        </w:rPr>
        <w:t>ip</w:t>
      </w:r>
      <w:r>
        <w:rPr>
          <w:rFonts w:ascii="Arial"/>
          <w:spacing w:val="-7"/>
          <w:sz w:val="19"/>
        </w:rPr>
        <w:t xml:space="preserve"> </w:t>
      </w:r>
      <w:r>
        <w:rPr>
          <w:rFonts w:ascii="Arial"/>
          <w:spacing w:val="-1"/>
          <w:sz w:val="19"/>
        </w:rPr>
        <w:t>b</w:t>
      </w:r>
      <w:r>
        <w:rPr>
          <w:rFonts w:ascii="Arial"/>
          <w:spacing w:val="-2"/>
          <w:w w:val="96"/>
          <w:sz w:val="19"/>
        </w:rPr>
        <w:t>e</w:t>
      </w:r>
      <w:r>
        <w:rPr>
          <w:rFonts w:ascii="Arial"/>
          <w:w w:val="134"/>
          <w:sz w:val="19"/>
        </w:rPr>
        <w:t>t</w:t>
      </w:r>
      <w:r>
        <w:rPr>
          <w:rFonts w:ascii="Arial"/>
          <w:spacing w:val="-2"/>
          <w:w w:val="98"/>
          <w:sz w:val="19"/>
        </w:rPr>
        <w:t>w</w:t>
      </w:r>
      <w:r>
        <w:rPr>
          <w:rFonts w:ascii="Arial"/>
          <w:spacing w:val="-2"/>
          <w:w w:val="96"/>
          <w:sz w:val="19"/>
        </w:rPr>
        <w:t>e</w:t>
      </w:r>
      <w:r>
        <w:rPr>
          <w:rFonts w:ascii="Arial"/>
          <w:w w:val="96"/>
          <w:sz w:val="19"/>
        </w:rPr>
        <w:t>e</w:t>
      </w:r>
      <w:r>
        <w:rPr>
          <w:rFonts w:ascii="Arial"/>
          <w:w w:val="101"/>
          <w:sz w:val="19"/>
        </w:rPr>
        <w:t>n</w:t>
      </w:r>
      <w:r>
        <w:rPr>
          <w:rFonts w:ascii="Arial"/>
          <w:spacing w:val="-9"/>
          <w:sz w:val="19"/>
        </w:rPr>
        <w:t xml:space="preserve"> </w:t>
      </w:r>
      <w:r>
        <w:rPr>
          <w:rFonts w:ascii="Arial"/>
          <w:spacing w:val="1"/>
          <w:w w:val="101"/>
          <w:sz w:val="19"/>
        </w:rPr>
        <w:t>n</w:t>
      </w:r>
      <w:r>
        <w:rPr>
          <w:rFonts w:ascii="Arial"/>
          <w:w w:val="96"/>
          <w:sz w:val="19"/>
        </w:rPr>
        <w:t>e</w:t>
      </w:r>
      <w:r>
        <w:rPr>
          <w:rFonts w:ascii="Arial"/>
          <w:w w:val="98"/>
          <w:sz w:val="19"/>
        </w:rPr>
        <w:t>w</w:t>
      </w:r>
      <w:r>
        <w:rPr>
          <w:rFonts w:ascii="Arial"/>
          <w:spacing w:val="-9"/>
          <w:sz w:val="19"/>
        </w:rPr>
        <w:t xml:space="preserve"> </w:t>
      </w:r>
      <w:r>
        <w:rPr>
          <w:rFonts w:ascii="Arial"/>
          <w:w w:val="101"/>
          <w:sz w:val="19"/>
        </w:rPr>
        <w:t>p</w:t>
      </w:r>
      <w:r>
        <w:rPr>
          <w:rFonts w:ascii="Arial"/>
          <w:w w:val="116"/>
          <w:sz w:val="19"/>
        </w:rPr>
        <w:t>r</w:t>
      </w:r>
      <w:r>
        <w:rPr>
          <w:rFonts w:ascii="Arial"/>
          <w:sz w:val="19"/>
        </w:rPr>
        <w:t>o</w:t>
      </w:r>
      <w:r>
        <w:rPr>
          <w:rFonts w:ascii="Arial"/>
          <w:spacing w:val="-2"/>
          <w:sz w:val="19"/>
        </w:rPr>
        <w:t>d</w:t>
      </w:r>
      <w:r>
        <w:rPr>
          <w:rFonts w:ascii="Arial"/>
          <w:spacing w:val="-2"/>
          <w:w w:val="101"/>
          <w:sz w:val="19"/>
        </w:rPr>
        <w:t>u</w:t>
      </w:r>
      <w:r>
        <w:rPr>
          <w:rFonts w:ascii="Arial"/>
          <w:w w:val="99"/>
          <w:sz w:val="19"/>
        </w:rPr>
        <w:t>c</w:t>
      </w:r>
      <w:r>
        <w:rPr>
          <w:rFonts w:ascii="Arial"/>
          <w:w w:val="134"/>
          <w:sz w:val="19"/>
        </w:rPr>
        <w:t>t</w:t>
      </w:r>
      <w:r>
        <w:rPr>
          <w:rFonts w:ascii="Arial"/>
          <w:w w:val="93"/>
          <w:sz w:val="19"/>
        </w:rPr>
        <w:t>s</w:t>
      </w:r>
      <w:r>
        <w:rPr>
          <w:rFonts w:ascii="Arial"/>
          <w:spacing w:val="-8"/>
          <w:sz w:val="19"/>
        </w:rPr>
        <w:t xml:space="preserve"> </w:t>
      </w:r>
      <w:r>
        <w:rPr>
          <w:rFonts w:ascii="Arial"/>
          <w:w w:val="117"/>
          <w:sz w:val="19"/>
        </w:rPr>
        <w:t>l</w:t>
      </w:r>
      <w:r>
        <w:rPr>
          <w:rFonts w:ascii="Arial"/>
          <w:w w:val="99"/>
          <w:sz w:val="19"/>
        </w:rPr>
        <w:t>i</w:t>
      </w:r>
      <w:r>
        <w:rPr>
          <w:rFonts w:ascii="Arial"/>
          <w:spacing w:val="-3"/>
          <w:w w:val="99"/>
          <w:sz w:val="19"/>
        </w:rPr>
        <w:t>s</w:t>
      </w:r>
      <w:r>
        <w:rPr>
          <w:rFonts w:ascii="Arial"/>
          <w:w w:val="134"/>
          <w:sz w:val="19"/>
        </w:rPr>
        <w:t>t</w:t>
      </w:r>
      <w:r>
        <w:rPr>
          <w:rFonts w:ascii="Arial"/>
          <w:w w:val="96"/>
          <w:sz w:val="19"/>
        </w:rPr>
        <w:t>e</w:t>
      </w:r>
      <w:r>
        <w:rPr>
          <w:rFonts w:ascii="Arial"/>
          <w:sz w:val="19"/>
        </w:rPr>
        <w:t>d</w:t>
      </w:r>
      <w:r>
        <w:rPr>
          <w:rFonts w:ascii="Arial"/>
          <w:spacing w:val="-9"/>
          <w:sz w:val="19"/>
        </w:rPr>
        <w:t xml:space="preserve"> </w:t>
      </w:r>
      <w:r>
        <w:rPr>
          <w:rFonts w:ascii="Arial"/>
          <w:spacing w:val="-2"/>
          <w:w w:val="94"/>
          <w:sz w:val="19"/>
        </w:rPr>
        <w:t>a</w:t>
      </w:r>
      <w:r>
        <w:rPr>
          <w:rFonts w:ascii="Arial"/>
          <w:spacing w:val="1"/>
          <w:w w:val="101"/>
          <w:sz w:val="19"/>
        </w:rPr>
        <w:t>n</w:t>
      </w:r>
      <w:r>
        <w:rPr>
          <w:rFonts w:ascii="Arial"/>
          <w:sz w:val="19"/>
        </w:rPr>
        <w:t>d</w:t>
      </w:r>
      <w:r>
        <w:rPr>
          <w:rFonts w:ascii="Arial"/>
          <w:spacing w:val="-9"/>
          <w:sz w:val="19"/>
        </w:rPr>
        <w:t xml:space="preserve"> </w:t>
      </w:r>
      <w:r>
        <w:rPr>
          <w:rFonts w:ascii="Arial"/>
          <w:spacing w:val="-2"/>
          <w:w w:val="101"/>
          <w:sz w:val="19"/>
        </w:rPr>
        <w:t>n</w:t>
      </w:r>
      <w:r>
        <w:rPr>
          <w:rFonts w:ascii="Arial"/>
          <w:w w:val="96"/>
          <w:sz w:val="19"/>
        </w:rPr>
        <w:t>e</w:t>
      </w:r>
      <w:r>
        <w:rPr>
          <w:rFonts w:ascii="Arial"/>
          <w:w w:val="98"/>
          <w:sz w:val="19"/>
        </w:rPr>
        <w:t>w</w:t>
      </w:r>
      <w:r>
        <w:rPr>
          <w:rFonts w:ascii="Arial"/>
          <w:spacing w:val="-7"/>
          <w:sz w:val="19"/>
        </w:rPr>
        <w:t xml:space="preserve"> </w:t>
      </w:r>
      <w:r>
        <w:rPr>
          <w:rFonts w:ascii="Arial"/>
          <w:spacing w:val="-3"/>
          <w:w w:val="114"/>
          <w:sz w:val="19"/>
        </w:rPr>
        <w:t>i</w:t>
      </w:r>
      <w:r>
        <w:rPr>
          <w:rFonts w:ascii="Arial"/>
          <w:spacing w:val="1"/>
          <w:w w:val="101"/>
          <w:sz w:val="19"/>
        </w:rPr>
        <w:t>ng</w:t>
      </w:r>
      <w:r>
        <w:rPr>
          <w:rFonts w:ascii="Arial"/>
          <w:spacing w:val="-2"/>
          <w:w w:val="116"/>
          <w:sz w:val="19"/>
        </w:rPr>
        <w:t>r</w:t>
      </w:r>
      <w:r>
        <w:rPr>
          <w:rFonts w:ascii="Arial"/>
          <w:w w:val="96"/>
          <w:sz w:val="19"/>
        </w:rPr>
        <w:t>e</w:t>
      </w:r>
      <w:r>
        <w:rPr>
          <w:rFonts w:ascii="Arial"/>
          <w:spacing w:val="-1"/>
          <w:sz w:val="19"/>
        </w:rPr>
        <w:t>d</w:t>
      </w:r>
      <w:r>
        <w:rPr>
          <w:rFonts w:ascii="Arial"/>
          <w:w w:val="101"/>
          <w:sz w:val="19"/>
        </w:rPr>
        <w:t>ie</w:t>
      </w:r>
      <w:r>
        <w:rPr>
          <w:rFonts w:ascii="Arial"/>
          <w:spacing w:val="1"/>
          <w:w w:val="101"/>
          <w:sz w:val="19"/>
        </w:rPr>
        <w:t>n</w:t>
      </w:r>
      <w:r>
        <w:rPr>
          <w:rFonts w:ascii="Arial"/>
          <w:w w:val="134"/>
          <w:sz w:val="19"/>
        </w:rPr>
        <w:t>t</w:t>
      </w:r>
      <w:r>
        <w:rPr>
          <w:rFonts w:ascii="Arial"/>
          <w:w w:val="93"/>
          <w:sz w:val="19"/>
        </w:rPr>
        <w:t xml:space="preserve">s </w:t>
      </w:r>
      <w:r>
        <w:rPr>
          <w:rFonts w:ascii="Arial"/>
          <w:w w:val="105"/>
          <w:sz w:val="19"/>
        </w:rPr>
        <w:t>is</w:t>
      </w:r>
      <w:r>
        <w:rPr>
          <w:rFonts w:ascii="Arial"/>
          <w:spacing w:val="-22"/>
          <w:w w:val="105"/>
          <w:sz w:val="19"/>
        </w:rPr>
        <w:t xml:space="preserve"> </w:t>
      </w:r>
      <w:r>
        <w:rPr>
          <w:rFonts w:ascii="Arial"/>
          <w:w w:val="105"/>
          <w:sz w:val="19"/>
        </w:rPr>
        <w:t>consistent</w:t>
      </w:r>
      <w:r>
        <w:rPr>
          <w:rFonts w:ascii="Arial"/>
          <w:spacing w:val="-23"/>
          <w:w w:val="105"/>
          <w:sz w:val="19"/>
        </w:rPr>
        <w:t xml:space="preserve"> </w:t>
      </w:r>
      <w:r>
        <w:rPr>
          <w:rFonts w:ascii="Arial"/>
          <w:w w:val="105"/>
          <w:sz w:val="19"/>
        </w:rPr>
        <w:t>with</w:t>
      </w:r>
      <w:r>
        <w:rPr>
          <w:rFonts w:ascii="Arial"/>
          <w:spacing w:val="-21"/>
          <w:w w:val="105"/>
          <w:sz w:val="19"/>
        </w:rPr>
        <w:t xml:space="preserve"> </w:t>
      </w:r>
      <w:r>
        <w:rPr>
          <w:rFonts w:ascii="Arial"/>
          <w:w w:val="105"/>
          <w:sz w:val="19"/>
        </w:rPr>
        <w:t>historical</w:t>
      </w:r>
      <w:r>
        <w:rPr>
          <w:rFonts w:ascii="Arial"/>
          <w:spacing w:val="-23"/>
          <w:w w:val="105"/>
          <w:sz w:val="19"/>
        </w:rPr>
        <w:t xml:space="preserve"> </w:t>
      </w:r>
      <w:r>
        <w:rPr>
          <w:rFonts w:ascii="Arial"/>
          <w:w w:val="105"/>
          <w:sz w:val="19"/>
        </w:rPr>
        <w:t>averages</w:t>
      </w:r>
      <w:r>
        <w:rPr>
          <w:rFonts w:ascii="Arial"/>
          <w:spacing w:val="-23"/>
          <w:w w:val="105"/>
          <w:sz w:val="19"/>
        </w:rPr>
        <w:t xml:space="preserve"> </w:t>
      </w:r>
      <w:r>
        <w:rPr>
          <w:rFonts w:ascii="Arial"/>
          <w:w w:val="105"/>
          <w:sz w:val="19"/>
        </w:rPr>
        <w:t>for</w:t>
      </w:r>
      <w:r>
        <w:rPr>
          <w:rFonts w:ascii="Arial"/>
          <w:spacing w:val="-21"/>
          <w:w w:val="105"/>
          <w:sz w:val="19"/>
        </w:rPr>
        <w:t xml:space="preserve"> </w:t>
      </w:r>
      <w:r>
        <w:rPr>
          <w:rFonts w:ascii="Arial"/>
          <w:w w:val="105"/>
          <w:sz w:val="19"/>
        </w:rPr>
        <w:t>listed</w:t>
      </w:r>
      <w:r>
        <w:rPr>
          <w:rFonts w:ascii="Arial"/>
          <w:spacing w:val="-23"/>
          <w:w w:val="105"/>
          <w:sz w:val="19"/>
        </w:rPr>
        <w:t xml:space="preserve"> </w:t>
      </w:r>
      <w:r>
        <w:rPr>
          <w:rFonts w:ascii="Arial"/>
          <w:w w:val="105"/>
          <w:sz w:val="19"/>
        </w:rPr>
        <w:t>medicines,</w:t>
      </w:r>
      <w:r>
        <w:rPr>
          <w:rFonts w:ascii="Arial"/>
          <w:spacing w:val="-23"/>
          <w:w w:val="105"/>
          <w:sz w:val="19"/>
        </w:rPr>
        <w:t xml:space="preserve"> </w:t>
      </w:r>
      <w:r>
        <w:rPr>
          <w:rFonts w:ascii="Arial"/>
          <w:w w:val="105"/>
          <w:sz w:val="19"/>
        </w:rPr>
        <w:t>this</w:t>
      </w:r>
      <w:r>
        <w:rPr>
          <w:rFonts w:ascii="Arial"/>
          <w:spacing w:val="-24"/>
          <w:w w:val="105"/>
          <w:sz w:val="19"/>
        </w:rPr>
        <w:t xml:space="preserve"> </w:t>
      </w:r>
      <w:r>
        <w:rPr>
          <w:rFonts w:ascii="Arial"/>
          <w:w w:val="105"/>
          <w:sz w:val="19"/>
        </w:rPr>
        <w:t>equates</w:t>
      </w:r>
      <w:r>
        <w:rPr>
          <w:rFonts w:ascii="Arial"/>
          <w:spacing w:val="-22"/>
          <w:w w:val="105"/>
          <w:sz w:val="19"/>
        </w:rPr>
        <w:t xml:space="preserve"> </w:t>
      </w:r>
      <w:r>
        <w:rPr>
          <w:rFonts w:ascii="Arial"/>
          <w:w w:val="105"/>
          <w:sz w:val="19"/>
        </w:rPr>
        <w:t>to</w:t>
      </w:r>
      <w:r>
        <w:rPr>
          <w:rFonts w:ascii="Arial"/>
          <w:spacing w:val="-23"/>
          <w:w w:val="105"/>
          <w:sz w:val="19"/>
        </w:rPr>
        <w:t xml:space="preserve"> </w:t>
      </w:r>
      <w:r>
        <w:rPr>
          <w:rFonts w:ascii="Arial"/>
          <w:w w:val="105"/>
          <w:sz w:val="19"/>
        </w:rPr>
        <w:t>an</w:t>
      </w:r>
      <w:r>
        <w:rPr>
          <w:rFonts w:ascii="Arial"/>
          <w:spacing w:val="-23"/>
          <w:w w:val="105"/>
          <w:sz w:val="19"/>
        </w:rPr>
        <w:t xml:space="preserve"> </w:t>
      </w:r>
      <w:r>
        <w:rPr>
          <w:rFonts w:ascii="Arial"/>
          <w:w w:val="105"/>
          <w:sz w:val="19"/>
        </w:rPr>
        <w:t>additional</w:t>
      </w:r>
      <w:r>
        <w:rPr>
          <w:rFonts w:ascii="Arial"/>
          <w:spacing w:val="-22"/>
          <w:w w:val="105"/>
          <w:sz w:val="19"/>
        </w:rPr>
        <w:t xml:space="preserve"> </w:t>
      </w:r>
      <w:r>
        <w:rPr>
          <w:rFonts w:ascii="Arial"/>
          <w:sz w:val="19"/>
        </w:rPr>
        <w:t>1</w:t>
      </w:r>
      <w:r>
        <w:rPr>
          <w:rFonts w:ascii="Arial"/>
          <w:spacing w:val="-20"/>
          <w:sz w:val="19"/>
        </w:rPr>
        <w:t xml:space="preserve"> </w:t>
      </w:r>
      <w:r>
        <w:rPr>
          <w:rFonts w:ascii="Arial"/>
          <w:w w:val="105"/>
          <w:sz w:val="19"/>
        </w:rPr>
        <w:t>new</w:t>
      </w:r>
      <w:r>
        <w:rPr>
          <w:rFonts w:ascii="Arial"/>
          <w:spacing w:val="-23"/>
          <w:w w:val="105"/>
          <w:sz w:val="19"/>
        </w:rPr>
        <w:t xml:space="preserve"> </w:t>
      </w:r>
      <w:r>
        <w:rPr>
          <w:rFonts w:ascii="Arial"/>
          <w:w w:val="105"/>
          <w:sz w:val="19"/>
        </w:rPr>
        <w:t>listed medicines ingredient</w:t>
      </w:r>
      <w:r>
        <w:rPr>
          <w:rFonts w:ascii="Arial"/>
          <w:spacing w:val="-24"/>
          <w:w w:val="105"/>
          <w:sz w:val="19"/>
        </w:rPr>
        <w:t xml:space="preserve"> </w:t>
      </w:r>
      <w:r>
        <w:rPr>
          <w:rFonts w:ascii="Arial"/>
          <w:w w:val="105"/>
          <w:sz w:val="19"/>
        </w:rPr>
        <w:t>applications.</w:t>
      </w:r>
    </w:p>
    <w:p w:rsidR="007D76BB" w:rsidRDefault="007D76BB">
      <w:pPr>
        <w:pStyle w:val="BodyText"/>
        <w:spacing w:before="8"/>
        <w:rPr>
          <w:rFonts w:ascii="Arial"/>
          <w:sz w:val="27"/>
        </w:rPr>
      </w:pPr>
    </w:p>
    <w:p w:rsidR="007D76BB" w:rsidRDefault="00D70D28">
      <w:pPr>
        <w:ind w:left="482"/>
        <w:rPr>
          <w:rFonts w:ascii="Lucida Sans"/>
          <w:b/>
          <w:sz w:val="20"/>
        </w:rPr>
      </w:pPr>
      <w:r>
        <w:rPr>
          <w:rFonts w:ascii="Lucida Sans"/>
          <w:b/>
          <w:sz w:val="20"/>
        </w:rPr>
        <w:t>Regulatory impact</w:t>
      </w:r>
    </w:p>
    <w:p w:rsidR="007D76BB" w:rsidRDefault="00D70D28">
      <w:pPr>
        <w:spacing w:before="100" w:line="268" w:lineRule="auto"/>
        <w:ind w:left="482" w:right="1181"/>
        <w:rPr>
          <w:rFonts w:ascii="Arial"/>
          <w:sz w:val="19"/>
        </w:rPr>
      </w:pPr>
      <w:r>
        <w:rPr>
          <w:rFonts w:ascii="Arial"/>
          <w:w w:val="105"/>
          <w:sz w:val="19"/>
        </w:rPr>
        <w:t>As</w:t>
      </w:r>
      <w:r>
        <w:rPr>
          <w:rFonts w:ascii="Arial"/>
          <w:spacing w:val="-23"/>
          <w:w w:val="105"/>
          <w:sz w:val="19"/>
        </w:rPr>
        <w:t xml:space="preserve"> </w:t>
      </w:r>
      <w:r>
        <w:rPr>
          <w:rFonts w:ascii="Arial"/>
          <w:w w:val="105"/>
          <w:sz w:val="19"/>
        </w:rPr>
        <w:t>no</w:t>
      </w:r>
      <w:r>
        <w:rPr>
          <w:rFonts w:ascii="Arial"/>
          <w:spacing w:val="-24"/>
          <w:w w:val="105"/>
          <w:sz w:val="19"/>
        </w:rPr>
        <w:t xml:space="preserve"> </w:t>
      </w:r>
      <w:r>
        <w:rPr>
          <w:rFonts w:ascii="Arial"/>
          <w:w w:val="105"/>
          <w:sz w:val="19"/>
        </w:rPr>
        <w:t>timings</w:t>
      </w:r>
      <w:r>
        <w:rPr>
          <w:rFonts w:ascii="Arial"/>
          <w:spacing w:val="-24"/>
          <w:w w:val="105"/>
          <w:sz w:val="19"/>
        </w:rPr>
        <w:t xml:space="preserve"> </w:t>
      </w:r>
      <w:r>
        <w:rPr>
          <w:rFonts w:ascii="Arial"/>
          <w:w w:val="105"/>
          <w:sz w:val="19"/>
        </w:rPr>
        <w:t>and/or</w:t>
      </w:r>
      <w:r>
        <w:rPr>
          <w:rFonts w:ascii="Arial"/>
          <w:spacing w:val="-24"/>
          <w:w w:val="105"/>
          <w:sz w:val="19"/>
        </w:rPr>
        <w:t xml:space="preserve"> </w:t>
      </w:r>
      <w:r>
        <w:rPr>
          <w:rFonts w:ascii="Arial"/>
          <w:w w:val="105"/>
          <w:sz w:val="19"/>
        </w:rPr>
        <w:t>requirements</w:t>
      </w:r>
      <w:r>
        <w:rPr>
          <w:rFonts w:ascii="Arial"/>
          <w:spacing w:val="-23"/>
          <w:w w:val="105"/>
          <w:sz w:val="19"/>
        </w:rPr>
        <w:t xml:space="preserve"> </w:t>
      </w:r>
      <w:r>
        <w:rPr>
          <w:rFonts w:ascii="Arial"/>
          <w:w w:val="105"/>
          <w:sz w:val="19"/>
        </w:rPr>
        <w:t>for</w:t>
      </w:r>
      <w:r>
        <w:rPr>
          <w:rFonts w:ascii="Arial"/>
          <w:spacing w:val="-21"/>
          <w:w w:val="105"/>
          <w:sz w:val="19"/>
        </w:rPr>
        <w:t xml:space="preserve"> </w:t>
      </w:r>
      <w:r>
        <w:rPr>
          <w:rFonts w:ascii="Arial"/>
          <w:w w:val="105"/>
          <w:sz w:val="19"/>
        </w:rPr>
        <w:t>completing</w:t>
      </w:r>
      <w:r>
        <w:rPr>
          <w:rFonts w:ascii="Arial"/>
          <w:spacing w:val="-24"/>
          <w:w w:val="105"/>
          <w:sz w:val="19"/>
        </w:rPr>
        <w:t xml:space="preserve"> </w:t>
      </w:r>
      <w:r>
        <w:rPr>
          <w:rFonts w:ascii="Arial"/>
          <w:w w:val="105"/>
          <w:sz w:val="19"/>
        </w:rPr>
        <w:t>new</w:t>
      </w:r>
      <w:r>
        <w:rPr>
          <w:rFonts w:ascii="Arial"/>
          <w:spacing w:val="-21"/>
          <w:w w:val="105"/>
          <w:sz w:val="19"/>
        </w:rPr>
        <w:t xml:space="preserve"> </w:t>
      </w:r>
      <w:r>
        <w:rPr>
          <w:rFonts w:ascii="Arial"/>
          <w:w w:val="105"/>
          <w:sz w:val="19"/>
        </w:rPr>
        <w:t>listed</w:t>
      </w:r>
      <w:r>
        <w:rPr>
          <w:rFonts w:ascii="Arial"/>
          <w:spacing w:val="-23"/>
          <w:w w:val="105"/>
          <w:sz w:val="19"/>
        </w:rPr>
        <w:t xml:space="preserve"> </w:t>
      </w:r>
      <w:r>
        <w:rPr>
          <w:rFonts w:ascii="Arial"/>
          <w:w w:val="105"/>
          <w:sz w:val="19"/>
        </w:rPr>
        <w:t>medicines</w:t>
      </w:r>
      <w:r>
        <w:rPr>
          <w:rFonts w:ascii="Arial"/>
          <w:spacing w:val="-23"/>
          <w:w w:val="105"/>
          <w:sz w:val="19"/>
        </w:rPr>
        <w:t xml:space="preserve"> </w:t>
      </w:r>
      <w:r>
        <w:rPr>
          <w:rFonts w:ascii="Arial"/>
          <w:w w:val="105"/>
          <w:sz w:val="19"/>
        </w:rPr>
        <w:t>ingredient</w:t>
      </w:r>
      <w:r>
        <w:rPr>
          <w:rFonts w:ascii="Arial"/>
          <w:spacing w:val="-23"/>
          <w:w w:val="105"/>
          <w:sz w:val="19"/>
        </w:rPr>
        <w:t xml:space="preserve"> </w:t>
      </w:r>
      <w:r>
        <w:rPr>
          <w:rFonts w:ascii="Arial"/>
          <w:w w:val="105"/>
          <w:sz w:val="19"/>
        </w:rPr>
        <w:t>applications differ</w:t>
      </w:r>
      <w:r>
        <w:rPr>
          <w:rFonts w:ascii="Arial"/>
          <w:spacing w:val="-16"/>
          <w:w w:val="105"/>
          <w:sz w:val="19"/>
        </w:rPr>
        <w:t xml:space="preserve"> </w:t>
      </w:r>
      <w:r>
        <w:rPr>
          <w:rFonts w:ascii="Arial"/>
          <w:w w:val="105"/>
          <w:sz w:val="19"/>
        </w:rPr>
        <w:t>across</w:t>
      </w:r>
      <w:r>
        <w:rPr>
          <w:rFonts w:ascii="Arial"/>
          <w:spacing w:val="-15"/>
          <w:w w:val="105"/>
          <w:sz w:val="19"/>
        </w:rPr>
        <w:t xml:space="preserve"> </w:t>
      </w:r>
      <w:r>
        <w:rPr>
          <w:rFonts w:ascii="Arial"/>
          <w:w w:val="105"/>
          <w:sz w:val="19"/>
        </w:rPr>
        <w:t>options</w:t>
      </w:r>
      <w:r>
        <w:rPr>
          <w:rFonts w:ascii="Arial"/>
          <w:spacing w:val="-17"/>
          <w:w w:val="105"/>
          <w:sz w:val="19"/>
        </w:rPr>
        <w:t xml:space="preserve"> </w:t>
      </w:r>
      <w:r>
        <w:rPr>
          <w:rFonts w:ascii="Arial"/>
          <w:w w:val="105"/>
          <w:sz w:val="19"/>
        </w:rPr>
        <w:t>2A,</w:t>
      </w:r>
      <w:r>
        <w:rPr>
          <w:rFonts w:ascii="Arial"/>
          <w:spacing w:val="-16"/>
          <w:w w:val="105"/>
          <w:sz w:val="19"/>
        </w:rPr>
        <w:t xml:space="preserve"> </w:t>
      </w:r>
      <w:r>
        <w:rPr>
          <w:rFonts w:ascii="Arial"/>
          <w:w w:val="105"/>
          <w:sz w:val="19"/>
        </w:rPr>
        <w:t>2B</w:t>
      </w:r>
      <w:r>
        <w:rPr>
          <w:rFonts w:ascii="Arial"/>
          <w:spacing w:val="-17"/>
          <w:w w:val="105"/>
          <w:sz w:val="19"/>
        </w:rPr>
        <w:t xml:space="preserve"> </w:t>
      </w:r>
      <w:r>
        <w:rPr>
          <w:rFonts w:ascii="Arial"/>
          <w:w w:val="105"/>
          <w:sz w:val="19"/>
        </w:rPr>
        <w:t>and</w:t>
      </w:r>
      <w:r>
        <w:rPr>
          <w:rFonts w:ascii="Arial"/>
          <w:spacing w:val="-16"/>
          <w:w w:val="105"/>
          <w:sz w:val="19"/>
        </w:rPr>
        <w:t xml:space="preserve"> </w:t>
      </w:r>
      <w:r>
        <w:rPr>
          <w:rFonts w:ascii="Arial"/>
          <w:w w:val="105"/>
          <w:sz w:val="19"/>
        </w:rPr>
        <w:t>3,</w:t>
      </w:r>
      <w:r>
        <w:rPr>
          <w:rFonts w:ascii="Arial"/>
          <w:spacing w:val="-18"/>
          <w:w w:val="105"/>
          <w:sz w:val="19"/>
        </w:rPr>
        <w:t xml:space="preserve"> </w:t>
      </w:r>
      <w:r>
        <w:rPr>
          <w:rFonts w:ascii="Arial"/>
          <w:w w:val="105"/>
          <w:sz w:val="19"/>
        </w:rPr>
        <w:t>please</w:t>
      </w:r>
      <w:r>
        <w:rPr>
          <w:rFonts w:ascii="Arial"/>
          <w:spacing w:val="-17"/>
          <w:w w:val="105"/>
          <w:sz w:val="19"/>
        </w:rPr>
        <w:t xml:space="preserve"> </w:t>
      </w:r>
      <w:r>
        <w:rPr>
          <w:rFonts w:ascii="Arial"/>
          <w:w w:val="105"/>
          <w:sz w:val="19"/>
        </w:rPr>
        <w:t>refer</w:t>
      </w:r>
      <w:r>
        <w:rPr>
          <w:rFonts w:ascii="Arial"/>
          <w:spacing w:val="-17"/>
          <w:w w:val="105"/>
          <w:sz w:val="19"/>
        </w:rPr>
        <w:t xml:space="preserve"> </w:t>
      </w:r>
      <w:r>
        <w:rPr>
          <w:rFonts w:ascii="Arial"/>
          <w:w w:val="105"/>
          <w:sz w:val="19"/>
        </w:rPr>
        <w:t>to</w:t>
      </w:r>
      <w:r>
        <w:rPr>
          <w:rFonts w:ascii="Arial"/>
          <w:spacing w:val="-18"/>
          <w:w w:val="105"/>
          <w:sz w:val="19"/>
        </w:rPr>
        <w:t xml:space="preserve"> </w:t>
      </w:r>
      <w:r>
        <w:rPr>
          <w:rFonts w:ascii="Arial"/>
          <w:w w:val="105"/>
          <w:sz w:val="19"/>
        </w:rPr>
        <w:t>the</w:t>
      </w:r>
      <w:r>
        <w:rPr>
          <w:rFonts w:ascii="Arial"/>
          <w:spacing w:val="-15"/>
          <w:w w:val="105"/>
          <w:sz w:val="19"/>
        </w:rPr>
        <w:t xml:space="preserve"> </w:t>
      </w:r>
      <w:r>
        <w:rPr>
          <w:rFonts w:ascii="Arial"/>
          <w:w w:val="105"/>
          <w:sz w:val="19"/>
        </w:rPr>
        <w:t>information</w:t>
      </w:r>
      <w:r>
        <w:rPr>
          <w:rFonts w:ascii="Arial"/>
          <w:spacing w:val="-14"/>
          <w:w w:val="105"/>
          <w:sz w:val="19"/>
        </w:rPr>
        <w:t xml:space="preserve"> </w:t>
      </w:r>
      <w:r>
        <w:rPr>
          <w:rFonts w:ascii="Arial"/>
          <w:w w:val="105"/>
          <w:sz w:val="19"/>
        </w:rPr>
        <w:t>previously</w:t>
      </w:r>
      <w:r>
        <w:rPr>
          <w:rFonts w:ascii="Arial"/>
          <w:spacing w:val="-18"/>
          <w:w w:val="105"/>
          <w:sz w:val="19"/>
        </w:rPr>
        <w:t xml:space="preserve"> </w:t>
      </w:r>
      <w:r>
        <w:rPr>
          <w:rFonts w:ascii="Arial"/>
          <w:w w:val="105"/>
          <w:sz w:val="19"/>
        </w:rPr>
        <w:t>provided.</w:t>
      </w:r>
    </w:p>
    <w:p w:rsidR="007D76BB" w:rsidRDefault="007D76BB">
      <w:pPr>
        <w:pStyle w:val="BodyText"/>
        <w:rPr>
          <w:rFonts w:ascii="Arial"/>
          <w:sz w:val="20"/>
        </w:rPr>
      </w:pPr>
    </w:p>
    <w:p w:rsidR="007D76BB" w:rsidRDefault="007D76BB">
      <w:pPr>
        <w:pStyle w:val="BodyText"/>
        <w:rPr>
          <w:rFonts w:ascii="Arial"/>
          <w:sz w:val="20"/>
        </w:rPr>
      </w:pPr>
    </w:p>
    <w:p w:rsidR="007D76BB" w:rsidRDefault="00D70D28">
      <w:pPr>
        <w:pStyle w:val="BodyText"/>
        <w:spacing w:before="5"/>
        <w:rPr>
          <w:rFonts w:ascii="Arial"/>
          <w:sz w:val="29"/>
        </w:rPr>
      </w:pPr>
      <w:r>
        <w:rPr>
          <w:noProof/>
          <w:lang w:val="en-AU" w:eastAsia="en-AU"/>
        </w:rPr>
        <mc:AlternateContent>
          <mc:Choice Requires="wps">
            <w:drawing>
              <wp:anchor distT="0" distB="0" distL="0" distR="0" simplePos="0" relativeHeight="251753472" behindDoc="1" locked="0" layoutInCell="1" allowOverlap="1">
                <wp:simplePos x="0" y="0"/>
                <wp:positionH relativeFrom="page">
                  <wp:posOffset>1080770</wp:posOffset>
                </wp:positionH>
                <wp:positionV relativeFrom="paragraph">
                  <wp:posOffset>245745</wp:posOffset>
                </wp:positionV>
                <wp:extent cx="1829435" cy="1270"/>
                <wp:effectExtent l="0" t="0" r="0" b="0"/>
                <wp:wrapTopAndBottom/>
                <wp:docPr id="276"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63061" id="Freeform 132" o:spid="_x0000_s1026" style="position:absolute;margin-left:85.1pt;margin-top:19.35pt;width:144.05pt;height:.1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" path="m,l2880,e" filled="f" strokeweight=".84pt">
                <v:path arrowok="t" o:connecttype="custom" o:connectlocs="0,0;1828800,0" o:connectangles="0,0"/>
                <w10:wrap type="topAndBottom" anchorx="page"/>
              </v:shape>
            </w:pict>
          </mc:Fallback>
        </mc:AlternateContent>
      </w:r>
    </w:p>
    <w:p w:rsidR="007D76BB" w:rsidRDefault="00D70D28">
      <w:pPr>
        <w:spacing w:before="132" w:line="268" w:lineRule="auto"/>
        <w:ind w:left="594" w:right="879" w:hanging="113"/>
        <w:rPr>
          <w:rFonts w:ascii="Arial"/>
          <w:sz w:val="14"/>
        </w:rPr>
      </w:pPr>
      <w:r>
        <w:rPr>
          <w:rFonts w:ascii="Arial"/>
          <w:color w:val="5B6761"/>
          <w:w w:val="105"/>
          <w:position w:val="5"/>
          <w:sz w:val="8"/>
        </w:rPr>
        <w:t>86</w:t>
      </w:r>
      <w:r>
        <w:rPr>
          <w:rFonts w:ascii="Arial"/>
          <w:color w:val="5B6761"/>
          <w:spacing w:val="4"/>
          <w:w w:val="105"/>
          <w:position w:val="5"/>
          <w:sz w:val="8"/>
        </w:rPr>
        <w:t xml:space="preserve"> </w:t>
      </w:r>
      <w:proofErr w:type="gramStart"/>
      <w:r>
        <w:rPr>
          <w:rFonts w:ascii="Arial"/>
          <w:color w:val="5B6761"/>
          <w:w w:val="105"/>
          <w:sz w:val="14"/>
        </w:rPr>
        <w:t>Noting</w:t>
      </w:r>
      <w:proofErr w:type="gramEnd"/>
      <w:r>
        <w:rPr>
          <w:rFonts w:ascii="Arial"/>
          <w:color w:val="5B6761"/>
          <w:spacing w:val="-13"/>
          <w:w w:val="105"/>
          <w:sz w:val="14"/>
        </w:rPr>
        <w:t xml:space="preserve"> </w:t>
      </w:r>
      <w:r>
        <w:rPr>
          <w:rFonts w:ascii="Arial"/>
          <w:color w:val="5B6761"/>
          <w:w w:val="105"/>
          <w:sz w:val="14"/>
        </w:rPr>
        <w:t>that</w:t>
      </w:r>
      <w:r>
        <w:rPr>
          <w:rFonts w:ascii="Arial"/>
          <w:color w:val="5B6761"/>
          <w:spacing w:val="-16"/>
          <w:w w:val="105"/>
          <w:sz w:val="14"/>
        </w:rPr>
        <w:t xml:space="preserve"> </w:t>
      </w:r>
      <w:r>
        <w:rPr>
          <w:rFonts w:ascii="Arial"/>
          <w:color w:val="5B6761"/>
          <w:w w:val="105"/>
          <w:sz w:val="14"/>
        </w:rPr>
        <w:t>not</w:t>
      </w:r>
      <w:r>
        <w:rPr>
          <w:rFonts w:ascii="Arial"/>
          <w:color w:val="5B6761"/>
          <w:spacing w:val="-13"/>
          <w:w w:val="105"/>
          <w:sz w:val="14"/>
        </w:rPr>
        <w:t xml:space="preserve"> </w:t>
      </w:r>
      <w:r>
        <w:rPr>
          <w:rFonts w:ascii="Arial"/>
          <w:color w:val="5B6761"/>
          <w:w w:val="105"/>
          <w:sz w:val="14"/>
        </w:rPr>
        <w:t>all</w:t>
      </w:r>
      <w:r>
        <w:rPr>
          <w:rFonts w:ascii="Arial"/>
          <w:color w:val="5B6761"/>
          <w:spacing w:val="-13"/>
          <w:w w:val="105"/>
          <w:sz w:val="14"/>
        </w:rPr>
        <w:t xml:space="preserve"> </w:t>
      </w:r>
      <w:r>
        <w:rPr>
          <w:rFonts w:ascii="Arial"/>
          <w:color w:val="5B6761"/>
          <w:w w:val="105"/>
          <w:sz w:val="14"/>
        </w:rPr>
        <w:t>ingredients</w:t>
      </w:r>
      <w:r>
        <w:rPr>
          <w:rFonts w:ascii="Arial"/>
          <w:color w:val="5B6761"/>
          <w:spacing w:val="-17"/>
          <w:w w:val="105"/>
          <w:sz w:val="14"/>
        </w:rPr>
        <w:t xml:space="preserve"> </w:t>
      </w:r>
      <w:r>
        <w:rPr>
          <w:rFonts w:ascii="Arial"/>
          <w:color w:val="5B6761"/>
          <w:w w:val="105"/>
          <w:sz w:val="14"/>
        </w:rPr>
        <w:t>will</w:t>
      </w:r>
      <w:r>
        <w:rPr>
          <w:rFonts w:ascii="Arial"/>
          <w:color w:val="5B6761"/>
          <w:spacing w:val="-13"/>
          <w:w w:val="105"/>
          <w:sz w:val="14"/>
        </w:rPr>
        <w:t xml:space="preserve"> </w:t>
      </w:r>
      <w:r>
        <w:rPr>
          <w:rFonts w:ascii="Arial"/>
          <w:color w:val="5B6761"/>
          <w:w w:val="105"/>
          <w:sz w:val="14"/>
        </w:rPr>
        <w:t>be</w:t>
      </w:r>
      <w:r>
        <w:rPr>
          <w:rFonts w:ascii="Arial"/>
          <w:color w:val="5B6761"/>
          <w:spacing w:val="-15"/>
          <w:w w:val="105"/>
          <w:sz w:val="14"/>
        </w:rPr>
        <w:t xml:space="preserve"> </w:t>
      </w:r>
      <w:r>
        <w:rPr>
          <w:rFonts w:ascii="Arial"/>
          <w:color w:val="5B6761"/>
          <w:w w:val="105"/>
          <w:sz w:val="14"/>
        </w:rPr>
        <w:t>suitable</w:t>
      </w:r>
      <w:r>
        <w:rPr>
          <w:rFonts w:ascii="Arial"/>
          <w:color w:val="5B6761"/>
          <w:spacing w:val="-15"/>
          <w:w w:val="105"/>
          <w:sz w:val="14"/>
        </w:rPr>
        <w:t xml:space="preserve"> </w:t>
      </w:r>
      <w:r>
        <w:rPr>
          <w:rFonts w:ascii="Arial"/>
          <w:color w:val="5B6761"/>
          <w:w w:val="105"/>
          <w:sz w:val="14"/>
        </w:rPr>
        <w:t>for</w:t>
      </w:r>
      <w:r>
        <w:rPr>
          <w:rFonts w:ascii="Arial"/>
          <w:color w:val="5B6761"/>
          <w:spacing w:val="-13"/>
          <w:w w:val="105"/>
          <w:sz w:val="14"/>
        </w:rPr>
        <w:t xml:space="preserve"> </w:t>
      </w:r>
      <w:r>
        <w:rPr>
          <w:rFonts w:ascii="Arial"/>
          <w:color w:val="5B6761"/>
          <w:w w:val="105"/>
          <w:sz w:val="14"/>
        </w:rPr>
        <w:t>listing</w:t>
      </w:r>
      <w:r>
        <w:rPr>
          <w:rFonts w:ascii="Arial"/>
          <w:color w:val="5B6761"/>
          <w:spacing w:val="-12"/>
          <w:w w:val="105"/>
          <w:sz w:val="14"/>
        </w:rPr>
        <w:t xml:space="preserve"> </w:t>
      </w:r>
      <w:r>
        <w:rPr>
          <w:rFonts w:ascii="Arial"/>
          <w:color w:val="5B6761"/>
          <w:w w:val="105"/>
          <w:sz w:val="14"/>
        </w:rPr>
        <w:t>on</w:t>
      </w:r>
      <w:r>
        <w:rPr>
          <w:rFonts w:ascii="Arial"/>
          <w:color w:val="5B6761"/>
          <w:spacing w:val="-13"/>
          <w:w w:val="105"/>
          <w:sz w:val="14"/>
        </w:rPr>
        <w:t xml:space="preserve"> </w:t>
      </w:r>
      <w:r>
        <w:rPr>
          <w:rFonts w:ascii="Arial"/>
          <w:color w:val="5B6761"/>
          <w:w w:val="105"/>
          <w:sz w:val="14"/>
        </w:rPr>
        <w:t>the</w:t>
      </w:r>
      <w:r>
        <w:rPr>
          <w:rFonts w:ascii="Arial"/>
          <w:color w:val="5B6761"/>
          <w:spacing w:val="-15"/>
          <w:w w:val="105"/>
          <w:sz w:val="14"/>
        </w:rPr>
        <w:t xml:space="preserve"> </w:t>
      </w:r>
      <w:r>
        <w:rPr>
          <w:rFonts w:ascii="Arial"/>
          <w:color w:val="5B6761"/>
          <w:w w:val="105"/>
          <w:sz w:val="14"/>
        </w:rPr>
        <w:t>Permissible</w:t>
      </w:r>
      <w:r>
        <w:rPr>
          <w:rFonts w:ascii="Arial"/>
          <w:color w:val="5B6761"/>
          <w:spacing w:val="-15"/>
          <w:w w:val="105"/>
          <w:sz w:val="14"/>
        </w:rPr>
        <w:t xml:space="preserve"> </w:t>
      </w:r>
      <w:r>
        <w:rPr>
          <w:rFonts w:ascii="Arial"/>
          <w:color w:val="5B6761"/>
          <w:w w:val="105"/>
          <w:sz w:val="14"/>
        </w:rPr>
        <w:t>Ingredients</w:t>
      </w:r>
      <w:r>
        <w:rPr>
          <w:rFonts w:ascii="Arial"/>
          <w:color w:val="5B6761"/>
          <w:spacing w:val="-13"/>
          <w:w w:val="105"/>
          <w:sz w:val="14"/>
        </w:rPr>
        <w:t xml:space="preserve"> </w:t>
      </w:r>
      <w:r>
        <w:rPr>
          <w:rFonts w:ascii="Arial"/>
          <w:color w:val="5B6761"/>
          <w:w w:val="105"/>
          <w:sz w:val="14"/>
        </w:rPr>
        <w:t>Determination.</w:t>
      </w:r>
      <w:r>
        <w:rPr>
          <w:rFonts w:ascii="Arial"/>
          <w:color w:val="5B6761"/>
          <w:spacing w:val="-8"/>
          <w:w w:val="105"/>
          <w:sz w:val="14"/>
        </w:rPr>
        <w:t xml:space="preserve"> </w:t>
      </w:r>
      <w:r>
        <w:rPr>
          <w:rFonts w:ascii="Arial"/>
          <w:color w:val="5B6761"/>
          <w:w w:val="105"/>
          <w:sz w:val="14"/>
        </w:rPr>
        <w:t>For</w:t>
      </w:r>
      <w:r>
        <w:rPr>
          <w:rFonts w:ascii="Arial"/>
          <w:color w:val="5B6761"/>
          <w:spacing w:val="-13"/>
          <w:w w:val="105"/>
          <w:sz w:val="14"/>
        </w:rPr>
        <w:t xml:space="preserve"> </w:t>
      </w:r>
      <w:r>
        <w:rPr>
          <w:rFonts w:ascii="Arial"/>
          <w:color w:val="5B6761"/>
          <w:w w:val="105"/>
          <w:sz w:val="14"/>
        </w:rPr>
        <w:t>example,</w:t>
      </w:r>
      <w:r>
        <w:rPr>
          <w:rFonts w:ascii="Arial"/>
          <w:color w:val="5B6761"/>
          <w:spacing w:val="-14"/>
          <w:w w:val="105"/>
          <w:sz w:val="14"/>
        </w:rPr>
        <w:t xml:space="preserve"> </w:t>
      </w:r>
      <w:r>
        <w:rPr>
          <w:rFonts w:ascii="Arial"/>
          <w:color w:val="5B6761"/>
          <w:w w:val="105"/>
          <w:sz w:val="14"/>
        </w:rPr>
        <w:t>due</w:t>
      </w:r>
      <w:r>
        <w:rPr>
          <w:rFonts w:ascii="Arial"/>
          <w:color w:val="5B6761"/>
          <w:spacing w:val="-15"/>
          <w:w w:val="105"/>
          <w:sz w:val="14"/>
        </w:rPr>
        <w:t xml:space="preserve"> </w:t>
      </w:r>
      <w:r>
        <w:rPr>
          <w:rFonts w:ascii="Arial"/>
          <w:color w:val="5B6761"/>
          <w:w w:val="105"/>
          <w:sz w:val="14"/>
        </w:rPr>
        <w:t>to</w:t>
      </w:r>
      <w:r>
        <w:rPr>
          <w:rFonts w:ascii="Arial"/>
          <w:color w:val="5B6761"/>
          <w:spacing w:val="-14"/>
          <w:w w:val="105"/>
          <w:sz w:val="14"/>
        </w:rPr>
        <w:t xml:space="preserve"> </w:t>
      </w:r>
      <w:r>
        <w:rPr>
          <w:rFonts w:ascii="Arial"/>
          <w:color w:val="5B6761"/>
          <w:w w:val="105"/>
          <w:sz w:val="14"/>
        </w:rPr>
        <w:t>the</w:t>
      </w:r>
      <w:r>
        <w:rPr>
          <w:rFonts w:ascii="Arial"/>
          <w:color w:val="5B6761"/>
          <w:spacing w:val="-15"/>
          <w:w w:val="105"/>
          <w:sz w:val="14"/>
        </w:rPr>
        <w:t xml:space="preserve"> </w:t>
      </w:r>
      <w:r>
        <w:rPr>
          <w:rFonts w:ascii="Arial"/>
          <w:color w:val="5B6761"/>
          <w:w w:val="105"/>
          <w:sz w:val="14"/>
        </w:rPr>
        <w:t>risk they</w:t>
      </w:r>
      <w:r>
        <w:rPr>
          <w:rFonts w:ascii="Arial"/>
          <w:color w:val="5B6761"/>
          <w:spacing w:val="-23"/>
          <w:w w:val="105"/>
          <w:sz w:val="14"/>
        </w:rPr>
        <w:t xml:space="preserve"> </w:t>
      </w:r>
      <w:r>
        <w:rPr>
          <w:rFonts w:ascii="Arial"/>
          <w:color w:val="5B6761"/>
          <w:w w:val="105"/>
          <w:sz w:val="14"/>
        </w:rPr>
        <w:t>pose</w:t>
      </w:r>
      <w:r>
        <w:rPr>
          <w:rFonts w:ascii="Arial"/>
          <w:color w:val="5B6761"/>
          <w:spacing w:val="-22"/>
          <w:w w:val="105"/>
          <w:sz w:val="14"/>
        </w:rPr>
        <w:t xml:space="preserve"> </w:t>
      </w:r>
      <w:r>
        <w:rPr>
          <w:rFonts w:ascii="Arial"/>
          <w:color w:val="5B6761"/>
          <w:w w:val="105"/>
          <w:sz w:val="14"/>
        </w:rPr>
        <w:t>to</w:t>
      </w:r>
      <w:r>
        <w:rPr>
          <w:rFonts w:ascii="Arial"/>
          <w:color w:val="5B6761"/>
          <w:spacing w:val="-23"/>
          <w:w w:val="105"/>
          <w:sz w:val="14"/>
        </w:rPr>
        <w:t xml:space="preserve"> </w:t>
      </w:r>
      <w:r>
        <w:rPr>
          <w:rFonts w:ascii="Arial"/>
          <w:color w:val="5B6761"/>
          <w:w w:val="105"/>
          <w:sz w:val="14"/>
        </w:rPr>
        <w:t>consumers,</w:t>
      </w:r>
      <w:r>
        <w:rPr>
          <w:rFonts w:ascii="Arial"/>
          <w:color w:val="5B6761"/>
          <w:spacing w:val="-22"/>
          <w:w w:val="105"/>
          <w:sz w:val="14"/>
        </w:rPr>
        <w:t xml:space="preserve"> </w:t>
      </w:r>
      <w:r>
        <w:rPr>
          <w:rFonts w:ascii="Arial"/>
          <w:color w:val="5B6761"/>
          <w:w w:val="105"/>
          <w:sz w:val="14"/>
        </w:rPr>
        <w:t>some</w:t>
      </w:r>
      <w:r>
        <w:rPr>
          <w:rFonts w:ascii="Arial"/>
          <w:color w:val="5B6761"/>
          <w:spacing w:val="-23"/>
          <w:w w:val="105"/>
          <w:sz w:val="14"/>
        </w:rPr>
        <w:t xml:space="preserve"> </w:t>
      </w:r>
      <w:r>
        <w:rPr>
          <w:rFonts w:ascii="Arial"/>
          <w:color w:val="5B6761"/>
          <w:w w:val="105"/>
          <w:sz w:val="14"/>
        </w:rPr>
        <w:t>may</w:t>
      </w:r>
      <w:r>
        <w:rPr>
          <w:rFonts w:ascii="Arial"/>
          <w:color w:val="5B6761"/>
          <w:spacing w:val="-22"/>
          <w:w w:val="105"/>
          <w:sz w:val="14"/>
        </w:rPr>
        <w:t xml:space="preserve"> </w:t>
      </w:r>
      <w:r>
        <w:rPr>
          <w:rFonts w:ascii="Arial"/>
          <w:color w:val="5B6761"/>
          <w:w w:val="105"/>
          <w:sz w:val="14"/>
        </w:rPr>
        <w:t>need</w:t>
      </w:r>
      <w:r>
        <w:rPr>
          <w:rFonts w:ascii="Arial"/>
          <w:color w:val="5B6761"/>
          <w:spacing w:val="-21"/>
          <w:w w:val="105"/>
          <w:sz w:val="14"/>
        </w:rPr>
        <w:t xml:space="preserve"> </w:t>
      </w:r>
      <w:r>
        <w:rPr>
          <w:rFonts w:ascii="Arial"/>
          <w:color w:val="5B6761"/>
          <w:w w:val="105"/>
          <w:sz w:val="14"/>
        </w:rPr>
        <w:t>to</w:t>
      </w:r>
      <w:r>
        <w:rPr>
          <w:rFonts w:ascii="Arial"/>
          <w:color w:val="5B6761"/>
          <w:spacing w:val="-23"/>
          <w:w w:val="105"/>
          <w:sz w:val="14"/>
        </w:rPr>
        <w:t xml:space="preserve"> </w:t>
      </w:r>
      <w:r>
        <w:rPr>
          <w:rFonts w:ascii="Arial"/>
          <w:color w:val="5B6761"/>
          <w:w w:val="105"/>
          <w:sz w:val="14"/>
        </w:rPr>
        <w:t>be</w:t>
      </w:r>
      <w:r>
        <w:rPr>
          <w:rFonts w:ascii="Arial"/>
          <w:color w:val="5B6761"/>
          <w:spacing w:val="-23"/>
          <w:w w:val="105"/>
          <w:sz w:val="14"/>
        </w:rPr>
        <w:t xml:space="preserve"> </w:t>
      </w:r>
      <w:r>
        <w:rPr>
          <w:rFonts w:ascii="Arial"/>
          <w:color w:val="5B6761"/>
          <w:w w:val="105"/>
          <w:sz w:val="14"/>
        </w:rPr>
        <w:t>scheduled</w:t>
      </w:r>
      <w:r>
        <w:rPr>
          <w:rFonts w:ascii="Arial"/>
          <w:color w:val="5B6761"/>
          <w:spacing w:val="-21"/>
          <w:w w:val="105"/>
          <w:sz w:val="14"/>
        </w:rPr>
        <w:t xml:space="preserve"> </w:t>
      </w:r>
      <w:r>
        <w:rPr>
          <w:rFonts w:ascii="Arial"/>
          <w:color w:val="5B6761"/>
          <w:w w:val="105"/>
          <w:sz w:val="14"/>
        </w:rPr>
        <w:t>on</w:t>
      </w:r>
      <w:r>
        <w:rPr>
          <w:rFonts w:ascii="Arial"/>
          <w:color w:val="5B6761"/>
          <w:spacing w:val="-22"/>
          <w:w w:val="105"/>
          <w:sz w:val="14"/>
        </w:rPr>
        <w:t xml:space="preserve"> </w:t>
      </w:r>
      <w:r>
        <w:rPr>
          <w:rFonts w:ascii="Arial"/>
          <w:color w:val="5B6761"/>
          <w:w w:val="105"/>
          <w:sz w:val="14"/>
        </w:rPr>
        <w:t>the</w:t>
      </w:r>
      <w:r>
        <w:rPr>
          <w:rFonts w:ascii="Arial"/>
          <w:color w:val="5B6761"/>
          <w:spacing w:val="-22"/>
          <w:w w:val="105"/>
          <w:sz w:val="14"/>
        </w:rPr>
        <w:t xml:space="preserve"> </w:t>
      </w:r>
      <w:r>
        <w:rPr>
          <w:rFonts w:ascii="Arial"/>
          <w:color w:val="5B6761"/>
          <w:w w:val="105"/>
          <w:sz w:val="14"/>
        </w:rPr>
        <w:t>Poisons</w:t>
      </w:r>
      <w:r>
        <w:rPr>
          <w:rFonts w:ascii="Arial"/>
          <w:color w:val="5B6761"/>
          <w:spacing w:val="-22"/>
          <w:w w:val="105"/>
          <w:sz w:val="14"/>
        </w:rPr>
        <w:t xml:space="preserve"> </w:t>
      </w:r>
      <w:r>
        <w:rPr>
          <w:rFonts w:ascii="Arial"/>
          <w:color w:val="5B6761"/>
          <w:w w:val="105"/>
          <w:sz w:val="14"/>
        </w:rPr>
        <w:t>Standard.</w:t>
      </w:r>
      <w:r>
        <w:rPr>
          <w:rFonts w:ascii="Arial"/>
          <w:color w:val="5B6761"/>
          <w:spacing w:val="-23"/>
          <w:w w:val="105"/>
          <w:sz w:val="14"/>
        </w:rPr>
        <w:t xml:space="preserve"> </w:t>
      </w:r>
      <w:r>
        <w:rPr>
          <w:rFonts w:ascii="Arial"/>
          <w:color w:val="5B6761"/>
          <w:w w:val="105"/>
          <w:sz w:val="14"/>
        </w:rPr>
        <w:t>However,</w:t>
      </w:r>
      <w:r>
        <w:rPr>
          <w:rFonts w:ascii="Arial"/>
          <w:color w:val="5B6761"/>
          <w:spacing w:val="-22"/>
          <w:w w:val="105"/>
          <w:sz w:val="14"/>
        </w:rPr>
        <w:t xml:space="preserve"> </w:t>
      </w:r>
      <w:r>
        <w:rPr>
          <w:rFonts w:ascii="Arial"/>
          <w:color w:val="5B6761"/>
          <w:w w:val="105"/>
          <w:sz w:val="14"/>
        </w:rPr>
        <w:t>due</w:t>
      </w:r>
      <w:r>
        <w:rPr>
          <w:rFonts w:ascii="Arial"/>
          <w:color w:val="5B6761"/>
          <w:spacing w:val="-22"/>
          <w:w w:val="105"/>
          <w:sz w:val="14"/>
        </w:rPr>
        <w:t xml:space="preserve"> </w:t>
      </w:r>
      <w:r>
        <w:rPr>
          <w:rFonts w:ascii="Arial"/>
          <w:color w:val="5B6761"/>
          <w:w w:val="105"/>
          <w:sz w:val="14"/>
        </w:rPr>
        <w:t>to</w:t>
      </w:r>
      <w:r>
        <w:rPr>
          <w:rFonts w:ascii="Arial"/>
          <w:color w:val="5B6761"/>
          <w:spacing w:val="-23"/>
          <w:w w:val="105"/>
          <w:sz w:val="14"/>
        </w:rPr>
        <w:t xml:space="preserve"> </w:t>
      </w:r>
      <w:r>
        <w:rPr>
          <w:rFonts w:ascii="Arial"/>
          <w:color w:val="5B6761"/>
          <w:w w:val="105"/>
          <w:sz w:val="14"/>
        </w:rPr>
        <w:t>the</w:t>
      </w:r>
      <w:r>
        <w:rPr>
          <w:rFonts w:ascii="Arial"/>
          <w:color w:val="5B6761"/>
          <w:spacing w:val="-23"/>
          <w:w w:val="105"/>
          <w:sz w:val="14"/>
        </w:rPr>
        <w:t xml:space="preserve"> </w:t>
      </w:r>
      <w:r>
        <w:rPr>
          <w:rFonts w:ascii="Arial"/>
          <w:color w:val="5B6761"/>
          <w:w w:val="105"/>
          <w:sz w:val="14"/>
        </w:rPr>
        <w:t>low</w:t>
      </w:r>
      <w:r>
        <w:rPr>
          <w:rFonts w:ascii="Arial"/>
          <w:color w:val="5B6761"/>
          <w:spacing w:val="-21"/>
          <w:w w:val="105"/>
          <w:sz w:val="14"/>
        </w:rPr>
        <w:t xml:space="preserve"> </w:t>
      </w:r>
      <w:r>
        <w:rPr>
          <w:rFonts w:ascii="Arial"/>
          <w:color w:val="5B6761"/>
          <w:w w:val="105"/>
          <w:sz w:val="14"/>
        </w:rPr>
        <w:t>number</w:t>
      </w:r>
      <w:r>
        <w:rPr>
          <w:rFonts w:ascii="Arial"/>
          <w:color w:val="5B6761"/>
          <w:spacing w:val="-23"/>
          <w:w w:val="105"/>
          <w:sz w:val="14"/>
        </w:rPr>
        <w:t xml:space="preserve"> </w:t>
      </w:r>
      <w:r>
        <w:rPr>
          <w:rFonts w:ascii="Arial"/>
          <w:color w:val="5B6761"/>
          <w:w w:val="105"/>
          <w:sz w:val="14"/>
        </w:rPr>
        <w:t>of</w:t>
      </w:r>
      <w:r>
        <w:rPr>
          <w:rFonts w:ascii="Arial"/>
          <w:color w:val="5B6761"/>
          <w:spacing w:val="-23"/>
          <w:w w:val="105"/>
          <w:sz w:val="14"/>
        </w:rPr>
        <w:t xml:space="preserve"> </w:t>
      </w:r>
      <w:r>
        <w:rPr>
          <w:rFonts w:ascii="Arial"/>
          <w:color w:val="5B6761"/>
          <w:w w:val="105"/>
          <w:sz w:val="14"/>
        </w:rPr>
        <w:t>applications</w:t>
      </w:r>
      <w:r>
        <w:rPr>
          <w:rFonts w:ascii="Arial"/>
          <w:color w:val="5B6761"/>
          <w:spacing w:val="-14"/>
          <w:w w:val="105"/>
          <w:sz w:val="14"/>
        </w:rPr>
        <w:t xml:space="preserve"> </w:t>
      </w:r>
      <w:r>
        <w:rPr>
          <w:rFonts w:ascii="Arial"/>
          <w:color w:val="5B6761"/>
          <w:w w:val="105"/>
          <w:sz w:val="14"/>
        </w:rPr>
        <w:t>for new</w:t>
      </w:r>
      <w:r>
        <w:rPr>
          <w:rFonts w:ascii="Arial"/>
          <w:color w:val="5B6761"/>
          <w:spacing w:val="-16"/>
          <w:w w:val="105"/>
          <w:sz w:val="14"/>
        </w:rPr>
        <w:t xml:space="preserve"> </w:t>
      </w:r>
      <w:r>
        <w:rPr>
          <w:rFonts w:ascii="Arial"/>
          <w:color w:val="5B6761"/>
          <w:w w:val="105"/>
          <w:sz w:val="14"/>
        </w:rPr>
        <w:t>ingredients</w:t>
      </w:r>
      <w:r>
        <w:rPr>
          <w:rFonts w:ascii="Arial"/>
          <w:color w:val="5B6761"/>
          <w:spacing w:val="-17"/>
          <w:w w:val="105"/>
          <w:sz w:val="14"/>
        </w:rPr>
        <w:t xml:space="preserve"> </w:t>
      </w:r>
      <w:r>
        <w:rPr>
          <w:rFonts w:ascii="Arial"/>
          <w:color w:val="5B6761"/>
          <w:w w:val="105"/>
          <w:sz w:val="14"/>
        </w:rPr>
        <w:t>forecast,</w:t>
      </w:r>
      <w:r>
        <w:rPr>
          <w:rFonts w:ascii="Arial"/>
          <w:color w:val="5B6761"/>
          <w:spacing w:val="-16"/>
          <w:w w:val="105"/>
          <w:sz w:val="14"/>
        </w:rPr>
        <w:t xml:space="preserve"> </w:t>
      </w:r>
      <w:r>
        <w:rPr>
          <w:rFonts w:ascii="Arial"/>
          <w:color w:val="5B6761"/>
          <w:w w:val="105"/>
          <w:sz w:val="14"/>
        </w:rPr>
        <w:t>and</w:t>
      </w:r>
      <w:r>
        <w:rPr>
          <w:rFonts w:ascii="Arial"/>
          <w:color w:val="5B6761"/>
          <w:spacing w:val="-16"/>
          <w:w w:val="105"/>
          <w:sz w:val="14"/>
        </w:rPr>
        <w:t xml:space="preserve"> </w:t>
      </w:r>
      <w:r>
        <w:rPr>
          <w:rFonts w:ascii="Arial"/>
          <w:color w:val="5B6761"/>
          <w:w w:val="105"/>
          <w:sz w:val="14"/>
        </w:rPr>
        <w:t>industry</w:t>
      </w:r>
      <w:r>
        <w:rPr>
          <w:rFonts w:ascii="Arial"/>
          <w:color w:val="5B6761"/>
          <w:spacing w:val="-18"/>
          <w:w w:val="105"/>
          <w:sz w:val="14"/>
        </w:rPr>
        <w:t xml:space="preserve"> </w:t>
      </w:r>
      <w:r>
        <w:rPr>
          <w:rFonts w:ascii="Arial"/>
          <w:color w:val="5B6761"/>
          <w:w w:val="105"/>
          <w:sz w:val="14"/>
        </w:rPr>
        <w:t>advice</w:t>
      </w:r>
      <w:r>
        <w:rPr>
          <w:rFonts w:ascii="Arial"/>
          <w:color w:val="5B6761"/>
          <w:spacing w:val="-17"/>
          <w:w w:val="105"/>
          <w:sz w:val="14"/>
        </w:rPr>
        <w:t xml:space="preserve"> </w:t>
      </w:r>
      <w:r>
        <w:rPr>
          <w:rFonts w:ascii="Arial"/>
          <w:color w:val="5B6761"/>
          <w:w w:val="105"/>
          <w:sz w:val="14"/>
        </w:rPr>
        <w:t>that</w:t>
      </w:r>
      <w:r>
        <w:rPr>
          <w:rFonts w:ascii="Arial"/>
          <w:color w:val="5B6761"/>
          <w:spacing w:val="-18"/>
          <w:w w:val="105"/>
          <w:sz w:val="14"/>
        </w:rPr>
        <w:t xml:space="preserve"> </w:t>
      </w:r>
      <w:r>
        <w:rPr>
          <w:rFonts w:ascii="Arial"/>
          <w:color w:val="5B6761"/>
          <w:w w:val="105"/>
          <w:sz w:val="14"/>
        </w:rPr>
        <w:t>due</w:t>
      </w:r>
      <w:r>
        <w:rPr>
          <w:rFonts w:ascii="Arial"/>
          <w:color w:val="5B6761"/>
          <w:spacing w:val="-17"/>
          <w:w w:val="105"/>
          <w:sz w:val="14"/>
        </w:rPr>
        <w:t xml:space="preserve"> </w:t>
      </w:r>
      <w:r>
        <w:rPr>
          <w:rFonts w:ascii="Arial"/>
          <w:color w:val="5B6761"/>
          <w:w w:val="105"/>
          <w:sz w:val="14"/>
        </w:rPr>
        <w:t>to</w:t>
      </w:r>
      <w:r>
        <w:rPr>
          <w:rFonts w:ascii="Arial"/>
          <w:color w:val="5B6761"/>
          <w:spacing w:val="-17"/>
          <w:w w:val="105"/>
          <w:sz w:val="14"/>
        </w:rPr>
        <w:t xml:space="preserve"> </w:t>
      </w:r>
      <w:r>
        <w:rPr>
          <w:rFonts w:ascii="Arial"/>
          <w:color w:val="5B6761"/>
          <w:w w:val="105"/>
          <w:sz w:val="14"/>
        </w:rPr>
        <w:t>the</w:t>
      </w:r>
      <w:r>
        <w:rPr>
          <w:rFonts w:ascii="Arial"/>
          <w:color w:val="5B6761"/>
          <w:spacing w:val="-17"/>
          <w:w w:val="105"/>
          <w:sz w:val="14"/>
        </w:rPr>
        <w:t xml:space="preserve"> </w:t>
      </w:r>
      <w:r>
        <w:rPr>
          <w:rFonts w:ascii="Arial"/>
          <w:color w:val="5B6761"/>
          <w:w w:val="105"/>
          <w:sz w:val="14"/>
        </w:rPr>
        <w:t>additional</w:t>
      </w:r>
      <w:r>
        <w:rPr>
          <w:rFonts w:ascii="Arial"/>
          <w:color w:val="5B6761"/>
          <w:spacing w:val="-17"/>
          <w:w w:val="105"/>
          <w:sz w:val="14"/>
        </w:rPr>
        <w:t xml:space="preserve"> </w:t>
      </w:r>
      <w:r>
        <w:rPr>
          <w:rFonts w:ascii="Arial"/>
          <w:color w:val="5B6761"/>
          <w:w w:val="105"/>
          <w:sz w:val="14"/>
        </w:rPr>
        <w:t>cost</w:t>
      </w:r>
      <w:r>
        <w:rPr>
          <w:rFonts w:ascii="Arial"/>
          <w:color w:val="5B6761"/>
          <w:spacing w:val="-15"/>
          <w:w w:val="105"/>
          <w:sz w:val="14"/>
        </w:rPr>
        <w:t xml:space="preserve"> </w:t>
      </w:r>
      <w:r>
        <w:rPr>
          <w:rFonts w:ascii="Arial"/>
          <w:color w:val="5B6761"/>
          <w:w w:val="105"/>
          <w:sz w:val="14"/>
        </w:rPr>
        <w:t>they</w:t>
      </w:r>
      <w:r>
        <w:rPr>
          <w:rFonts w:ascii="Arial"/>
          <w:color w:val="5B6761"/>
          <w:spacing w:val="-17"/>
          <w:w w:val="105"/>
          <w:sz w:val="14"/>
        </w:rPr>
        <w:t xml:space="preserve"> </w:t>
      </w:r>
      <w:r>
        <w:rPr>
          <w:rFonts w:ascii="Arial"/>
          <w:color w:val="5B6761"/>
          <w:w w:val="105"/>
          <w:sz w:val="14"/>
        </w:rPr>
        <w:t>were</w:t>
      </w:r>
      <w:r>
        <w:rPr>
          <w:rFonts w:ascii="Arial"/>
          <w:color w:val="5B6761"/>
          <w:spacing w:val="-17"/>
          <w:w w:val="105"/>
          <w:sz w:val="14"/>
        </w:rPr>
        <w:t xml:space="preserve"> </w:t>
      </w:r>
      <w:r>
        <w:rPr>
          <w:rFonts w:ascii="Arial"/>
          <w:color w:val="5B6761"/>
          <w:w w:val="105"/>
          <w:sz w:val="14"/>
        </w:rPr>
        <w:t>unlikely</w:t>
      </w:r>
      <w:r>
        <w:rPr>
          <w:rFonts w:ascii="Arial"/>
          <w:color w:val="5B6761"/>
          <w:spacing w:val="-10"/>
          <w:w w:val="105"/>
          <w:sz w:val="14"/>
        </w:rPr>
        <w:t xml:space="preserve"> </w:t>
      </w:r>
      <w:r>
        <w:rPr>
          <w:rFonts w:ascii="Arial"/>
          <w:color w:val="5B6761"/>
          <w:w w:val="105"/>
          <w:sz w:val="14"/>
        </w:rPr>
        <w:t>to</w:t>
      </w:r>
      <w:r>
        <w:rPr>
          <w:rFonts w:ascii="Arial"/>
          <w:color w:val="5B6761"/>
          <w:spacing w:val="-17"/>
          <w:w w:val="105"/>
          <w:sz w:val="14"/>
        </w:rPr>
        <w:t xml:space="preserve"> </w:t>
      </w:r>
      <w:r>
        <w:rPr>
          <w:rFonts w:ascii="Arial"/>
          <w:color w:val="5B6761"/>
          <w:w w:val="105"/>
          <w:sz w:val="14"/>
        </w:rPr>
        <w:t>seek</w:t>
      </w:r>
      <w:r>
        <w:rPr>
          <w:rFonts w:ascii="Arial"/>
          <w:color w:val="5B6761"/>
          <w:spacing w:val="-16"/>
          <w:w w:val="105"/>
          <w:sz w:val="14"/>
        </w:rPr>
        <w:t xml:space="preserve"> </w:t>
      </w:r>
      <w:r>
        <w:rPr>
          <w:rFonts w:ascii="Arial"/>
          <w:color w:val="5B6761"/>
          <w:w w:val="105"/>
          <w:sz w:val="14"/>
        </w:rPr>
        <w:t>to</w:t>
      </w:r>
      <w:r>
        <w:rPr>
          <w:rFonts w:ascii="Arial"/>
          <w:color w:val="5B6761"/>
          <w:spacing w:val="-18"/>
          <w:w w:val="105"/>
          <w:sz w:val="14"/>
        </w:rPr>
        <w:t xml:space="preserve"> </w:t>
      </w:r>
      <w:r>
        <w:rPr>
          <w:rFonts w:ascii="Arial"/>
          <w:color w:val="5B6761"/>
          <w:w w:val="105"/>
          <w:sz w:val="14"/>
        </w:rPr>
        <w:t>register</w:t>
      </w:r>
      <w:r>
        <w:rPr>
          <w:rFonts w:ascii="Arial"/>
          <w:color w:val="5B6761"/>
          <w:spacing w:val="-15"/>
          <w:w w:val="105"/>
          <w:sz w:val="14"/>
        </w:rPr>
        <w:t xml:space="preserve"> </w:t>
      </w:r>
      <w:r>
        <w:rPr>
          <w:rFonts w:ascii="Arial"/>
          <w:color w:val="5B6761"/>
          <w:w w:val="105"/>
          <w:sz w:val="14"/>
        </w:rPr>
        <w:t>sports</w:t>
      </w:r>
      <w:r>
        <w:rPr>
          <w:rFonts w:ascii="Arial"/>
          <w:color w:val="5B6761"/>
          <w:spacing w:val="-17"/>
          <w:w w:val="105"/>
          <w:sz w:val="14"/>
        </w:rPr>
        <w:t xml:space="preserve"> </w:t>
      </w:r>
      <w:r>
        <w:rPr>
          <w:rFonts w:ascii="Arial"/>
          <w:color w:val="5B6761"/>
          <w:w w:val="105"/>
          <w:sz w:val="14"/>
        </w:rPr>
        <w:t>supplements in</w:t>
      </w:r>
      <w:r>
        <w:rPr>
          <w:rFonts w:ascii="Arial"/>
          <w:color w:val="5B6761"/>
          <w:spacing w:val="-11"/>
          <w:w w:val="105"/>
          <w:sz w:val="14"/>
        </w:rPr>
        <w:t xml:space="preserve"> </w:t>
      </w:r>
      <w:r>
        <w:rPr>
          <w:rFonts w:ascii="Arial"/>
          <w:color w:val="5B6761"/>
          <w:w w:val="105"/>
          <w:sz w:val="14"/>
        </w:rPr>
        <w:t>the</w:t>
      </w:r>
      <w:r>
        <w:rPr>
          <w:rFonts w:ascii="Arial"/>
          <w:color w:val="5B6761"/>
          <w:spacing w:val="-13"/>
          <w:w w:val="105"/>
          <w:sz w:val="14"/>
        </w:rPr>
        <w:t xml:space="preserve"> </w:t>
      </w:r>
      <w:r>
        <w:rPr>
          <w:rFonts w:ascii="Arial"/>
          <w:color w:val="5B6761"/>
          <w:w w:val="105"/>
          <w:sz w:val="14"/>
        </w:rPr>
        <w:t>ARTG,</w:t>
      </w:r>
      <w:r>
        <w:rPr>
          <w:rFonts w:ascii="Arial"/>
          <w:color w:val="5B6761"/>
          <w:spacing w:val="-12"/>
          <w:w w:val="105"/>
          <w:sz w:val="14"/>
        </w:rPr>
        <w:t xml:space="preserve"> </w:t>
      </w:r>
      <w:r>
        <w:rPr>
          <w:rFonts w:ascii="Arial"/>
          <w:color w:val="5B6761"/>
          <w:w w:val="105"/>
          <w:sz w:val="14"/>
        </w:rPr>
        <w:t>the</w:t>
      </w:r>
      <w:r>
        <w:rPr>
          <w:rFonts w:ascii="Arial"/>
          <w:color w:val="5B6761"/>
          <w:spacing w:val="-12"/>
          <w:w w:val="105"/>
          <w:sz w:val="14"/>
        </w:rPr>
        <w:t xml:space="preserve"> </w:t>
      </w:r>
      <w:r>
        <w:rPr>
          <w:rFonts w:ascii="Arial"/>
          <w:color w:val="5B6761"/>
          <w:w w:val="105"/>
          <w:sz w:val="14"/>
        </w:rPr>
        <w:t>regulatory</w:t>
      </w:r>
      <w:r>
        <w:rPr>
          <w:rFonts w:ascii="Arial"/>
          <w:color w:val="5B6761"/>
          <w:spacing w:val="-12"/>
          <w:w w:val="105"/>
          <w:sz w:val="14"/>
        </w:rPr>
        <w:t xml:space="preserve"> </w:t>
      </w:r>
      <w:r>
        <w:rPr>
          <w:rFonts w:ascii="Arial"/>
          <w:color w:val="5B6761"/>
          <w:w w:val="105"/>
          <w:sz w:val="14"/>
        </w:rPr>
        <w:t>cost</w:t>
      </w:r>
      <w:r>
        <w:rPr>
          <w:rFonts w:ascii="Arial"/>
          <w:color w:val="5B6761"/>
          <w:spacing w:val="-11"/>
          <w:w w:val="105"/>
          <w:sz w:val="14"/>
        </w:rPr>
        <w:t xml:space="preserve"> </w:t>
      </w:r>
      <w:r>
        <w:rPr>
          <w:rFonts w:ascii="Arial"/>
          <w:color w:val="5B6761"/>
          <w:w w:val="105"/>
          <w:sz w:val="14"/>
        </w:rPr>
        <w:t>of</w:t>
      </w:r>
      <w:r>
        <w:rPr>
          <w:rFonts w:ascii="Arial"/>
          <w:color w:val="5B6761"/>
          <w:spacing w:val="-12"/>
          <w:w w:val="105"/>
          <w:sz w:val="14"/>
        </w:rPr>
        <w:t xml:space="preserve"> </w:t>
      </w:r>
      <w:r>
        <w:rPr>
          <w:rFonts w:ascii="Arial"/>
          <w:color w:val="5B6761"/>
          <w:w w:val="105"/>
          <w:sz w:val="14"/>
        </w:rPr>
        <w:t>registering</w:t>
      </w:r>
      <w:r>
        <w:rPr>
          <w:rFonts w:ascii="Arial"/>
          <w:color w:val="5B6761"/>
          <w:spacing w:val="-11"/>
          <w:w w:val="105"/>
          <w:sz w:val="14"/>
        </w:rPr>
        <w:t xml:space="preserve"> </w:t>
      </w:r>
      <w:r>
        <w:rPr>
          <w:rFonts w:ascii="Arial"/>
          <w:color w:val="5B6761"/>
          <w:w w:val="105"/>
          <w:sz w:val="14"/>
        </w:rPr>
        <w:t>a</w:t>
      </w:r>
      <w:r>
        <w:rPr>
          <w:rFonts w:ascii="Arial"/>
          <w:color w:val="5B6761"/>
          <w:spacing w:val="-11"/>
          <w:w w:val="105"/>
          <w:sz w:val="14"/>
        </w:rPr>
        <w:t xml:space="preserve"> </w:t>
      </w:r>
      <w:r>
        <w:rPr>
          <w:rFonts w:ascii="Arial"/>
          <w:color w:val="5B6761"/>
          <w:w w:val="105"/>
          <w:sz w:val="14"/>
        </w:rPr>
        <w:t>new</w:t>
      </w:r>
      <w:r>
        <w:rPr>
          <w:rFonts w:ascii="Arial"/>
          <w:color w:val="5B6761"/>
          <w:spacing w:val="-12"/>
          <w:w w:val="105"/>
          <w:sz w:val="14"/>
        </w:rPr>
        <w:t xml:space="preserve"> </w:t>
      </w:r>
      <w:r>
        <w:rPr>
          <w:rFonts w:ascii="Arial"/>
          <w:color w:val="5B6761"/>
          <w:w w:val="105"/>
          <w:sz w:val="14"/>
        </w:rPr>
        <w:t>product</w:t>
      </w:r>
      <w:r>
        <w:rPr>
          <w:rFonts w:ascii="Arial"/>
          <w:color w:val="5B6761"/>
          <w:spacing w:val="-11"/>
          <w:w w:val="105"/>
          <w:sz w:val="14"/>
        </w:rPr>
        <w:t xml:space="preserve"> </w:t>
      </w:r>
      <w:r>
        <w:rPr>
          <w:rFonts w:ascii="Arial"/>
          <w:color w:val="5B6761"/>
          <w:w w:val="105"/>
          <w:sz w:val="14"/>
        </w:rPr>
        <w:t>on</w:t>
      </w:r>
      <w:r>
        <w:rPr>
          <w:rFonts w:ascii="Arial"/>
          <w:color w:val="5B6761"/>
          <w:spacing w:val="-11"/>
          <w:w w:val="105"/>
          <w:sz w:val="14"/>
        </w:rPr>
        <w:t xml:space="preserve"> </w:t>
      </w:r>
      <w:r>
        <w:rPr>
          <w:rFonts w:ascii="Arial"/>
          <w:color w:val="5B6761"/>
          <w:w w:val="105"/>
          <w:sz w:val="14"/>
        </w:rPr>
        <w:t>the</w:t>
      </w:r>
      <w:r>
        <w:rPr>
          <w:rFonts w:ascii="Arial"/>
          <w:color w:val="5B6761"/>
          <w:spacing w:val="-13"/>
          <w:w w:val="105"/>
          <w:sz w:val="14"/>
        </w:rPr>
        <w:t xml:space="preserve"> </w:t>
      </w:r>
      <w:r>
        <w:rPr>
          <w:rFonts w:ascii="Arial"/>
          <w:color w:val="5B6761"/>
          <w:w w:val="105"/>
          <w:sz w:val="14"/>
        </w:rPr>
        <w:t>ARTG</w:t>
      </w:r>
      <w:r>
        <w:rPr>
          <w:rFonts w:ascii="Arial"/>
          <w:color w:val="5B6761"/>
          <w:spacing w:val="-11"/>
          <w:w w:val="105"/>
          <w:sz w:val="14"/>
        </w:rPr>
        <w:t xml:space="preserve"> </w:t>
      </w:r>
      <w:r>
        <w:rPr>
          <w:rFonts w:ascii="Arial"/>
          <w:color w:val="5B6761"/>
          <w:w w:val="105"/>
          <w:sz w:val="14"/>
        </w:rPr>
        <w:t>has</w:t>
      </w:r>
      <w:r>
        <w:rPr>
          <w:rFonts w:ascii="Arial"/>
          <w:color w:val="5B6761"/>
          <w:spacing w:val="-15"/>
          <w:w w:val="105"/>
          <w:sz w:val="14"/>
        </w:rPr>
        <w:t xml:space="preserve"> </w:t>
      </w:r>
      <w:r>
        <w:rPr>
          <w:rFonts w:ascii="Arial"/>
          <w:color w:val="5B6761"/>
          <w:w w:val="105"/>
          <w:sz w:val="14"/>
        </w:rPr>
        <w:t>been</w:t>
      </w:r>
      <w:r>
        <w:rPr>
          <w:rFonts w:ascii="Arial"/>
          <w:color w:val="5B6761"/>
          <w:spacing w:val="-10"/>
          <w:w w:val="105"/>
          <w:sz w:val="14"/>
        </w:rPr>
        <w:t xml:space="preserve"> </w:t>
      </w:r>
      <w:r>
        <w:rPr>
          <w:rFonts w:ascii="Arial"/>
          <w:color w:val="5B6761"/>
          <w:w w:val="105"/>
          <w:sz w:val="14"/>
        </w:rPr>
        <w:t>excluded</w:t>
      </w:r>
      <w:r>
        <w:rPr>
          <w:rFonts w:ascii="Arial"/>
          <w:color w:val="5B6761"/>
          <w:spacing w:val="-11"/>
          <w:w w:val="105"/>
          <w:sz w:val="14"/>
        </w:rPr>
        <w:t xml:space="preserve"> </w:t>
      </w:r>
      <w:r>
        <w:rPr>
          <w:rFonts w:ascii="Arial"/>
          <w:color w:val="5B6761"/>
          <w:w w:val="105"/>
          <w:sz w:val="14"/>
        </w:rPr>
        <w:t>from</w:t>
      </w:r>
      <w:r>
        <w:rPr>
          <w:rFonts w:ascii="Arial"/>
          <w:color w:val="5B6761"/>
          <w:spacing w:val="-12"/>
          <w:w w:val="105"/>
          <w:sz w:val="14"/>
        </w:rPr>
        <w:t xml:space="preserve"> </w:t>
      </w:r>
      <w:r>
        <w:rPr>
          <w:rFonts w:ascii="Arial"/>
          <w:color w:val="5B6761"/>
          <w:w w:val="105"/>
          <w:sz w:val="14"/>
        </w:rPr>
        <w:t>the</w:t>
      </w:r>
      <w:r>
        <w:rPr>
          <w:rFonts w:ascii="Arial"/>
          <w:color w:val="5B6761"/>
          <w:spacing w:val="-12"/>
          <w:w w:val="105"/>
          <w:sz w:val="14"/>
        </w:rPr>
        <w:t xml:space="preserve"> </w:t>
      </w:r>
      <w:r>
        <w:rPr>
          <w:rFonts w:ascii="Arial"/>
          <w:color w:val="5B6761"/>
          <w:w w:val="105"/>
          <w:sz w:val="14"/>
        </w:rPr>
        <w:t>costing.</w:t>
      </w:r>
    </w:p>
    <w:p w:rsidR="007D76BB" w:rsidRDefault="007D76BB">
      <w:pPr>
        <w:spacing w:line="268" w:lineRule="auto"/>
        <w:rPr>
          <w:rFonts w:ascii="Arial"/>
          <w:sz w:val="14"/>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1"/>
        </w:rPr>
      </w:pPr>
    </w:p>
    <w:p w:rsidR="007D76BB" w:rsidRDefault="00D70D28">
      <w:pPr>
        <w:ind w:left="482"/>
        <w:rPr>
          <w:rFonts w:ascii="Lucida Sans"/>
          <w:b/>
          <w:sz w:val="20"/>
        </w:rPr>
      </w:pPr>
      <w:r>
        <w:rPr>
          <w:rFonts w:ascii="Lucida Sans"/>
          <w:b/>
          <w:sz w:val="20"/>
        </w:rPr>
        <w:t>Regulatory costing</w:t>
      </w:r>
    </w:p>
    <w:p w:rsidR="007D76BB" w:rsidRDefault="00D70D28">
      <w:pPr>
        <w:spacing w:before="196"/>
        <w:ind w:left="482"/>
        <w:rPr>
          <w:rFonts w:ascii="Arial"/>
          <w:i/>
          <w:sz w:val="20"/>
        </w:rPr>
      </w:pPr>
      <w:r>
        <w:rPr>
          <w:rFonts w:ascii="Arial"/>
          <w:i/>
          <w:sz w:val="20"/>
        </w:rPr>
        <w:t>Key assumptions</w:t>
      </w:r>
    </w:p>
    <w:p w:rsidR="007D76BB" w:rsidRDefault="00D70D28">
      <w:pPr>
        <w:pStyle w:val="ListParagraph"/>
        <w:numPr>
          <w:ilvl w:val="1"/>
          <w:numId w:val="5"/>
        </w:numPr>
        <w:tabs>
          <w:tab w:val="left" w:pos="766"/>
        </w:tabs>
        <w:spacing w:before="99"/>
        <w:rPr>
          <w:rFonts w:ascii="Arial" w:hAnsi="Arial"/>
          <w:sz w:val="19"/>
        </w:rPr>
      </w:pPr>
      <w:r>
        <w:rPr>
          <w:rFonts w:ascii="Arial" w:hAnsi="Arial"/>
          <w:w w:val="105"/>
          <w:sz w:val="19"/>
        </w:rPr>
        <w:t>Assumptions</w:t>
      </w:r>
      <w:r>
        <w:rPr>
          <w:rFonts w:ascii="Arial" w:hAnsi="Arial"/>
          <w:spacing w:val="-14"/>
          <w:w w:val="105"/>
          <w:sz w:val="19"/>
        </w:rPr>
        <w:t xml:space="preserve"> </w:t>
      </w:r>
      <w:r>
        <w:rPr>
          <w:rFonts w:ascii="Arial" w:hAnsi="Arial"/>
          <w:w w:val="105"/>
          <w:sz w:val="19"/>
        </w:rPr>
        <w:t>are</w:t>
      </w:r>
      <w:r>
        <w:rPr>
          <w:rFonts w:ascii="Arial" w:hAnsi="Arial"/>
          <w:spacing w:val="-11"/>
          <w:w w:val="105"/>
          <w:sz w:val="19"/>
        </w:rPr>
        <w:t xml:space="preserve"> </w:t>
      </w:r>
      <w:r>
        <w:rPr>
          <w:rFonts w:ascii="Arial" w:hAnsi="Arial"/>
          <w:w w:val="105"/>
          <w:sz w:val="19"/>
        </w:rPr>
        <w:t>consistent</w:t>
      </w:r>
      <w:r>
        <w:rPr>
          <w:rFonts w:ascii="Arial" w:hAnsi="Arial"/>
          <w:spacing w:val="-13"/>
          <w:w w:val="105"/>
          <w:sz w:val="19"/>
        </w:rPr>
        <w:t xml:space="preserve"> </w:t>
      </w:r>
      <w:r>
        <w:rPr>
          <w:rFonts w:ascii="Arial" w:hAnsi="Arial"/>
          <w:w w:val="105"/>
          <w:sz w:val="19"/>
        </w:rPr>
        <w:t>with</w:t>
      </w:r>
      <w:r>
        <w:rPr>
          <w:rFonts w:ascii="Arial" w:hAnsi="Arial"/>
          <w:spacing w:val="-13"/>
          <w:w w:val="105"/>
          <w:sz w:val="19"/>
        </w:rPr>
        <w:t xml:space="preserve"> </w:t>
      </w:r>
      <w:r>
        <w:rPr>
          <w:rFonts w:ascii="Arial" w:hAnsi="Arial"/>
          <w:w w:val="105"/>
          <w:sz w:val="19"/>
        </w:rPr>
        <w:t>those</w:t>
      </w:r>
      <w:r>
        <w:rPr>
          <w:rFonts w:ascii="Arial" w:hAnsi="Arial"/>
          <w:spacing w:val="-13"/>
          <w:w w:val="105"/>
          <w:sz w:val="19"/>
        </w:rPr>
        <w:t xml:space="preserve"> </w:t>
      </w:r>
      <w:r>
        <w:rPr>
          <w:rFonts w:ascii="Arial" w:hAnsi="Arial"/>
          <w:w w:val="105"/>
          <w:sz w:val="19"/>
        </w:rPr>
        <w:t>identified</w:t>
      </w:r>
      <w:r>
        <w:rPr>
          <w:rFonts w:ascii="Arial" w:hAnsi="Arial"/>
          <w:spacing w:val="-13"/>
          <w:w w:val="105"/>
          <w:sz w:val="19"/>
        </w:rPr>
        <w:t xml:space="preserve"> </w:t>
      </w:r>
      <w:r>
        <w:rPr>
          <w:rFonts w:ascii="Arial" w:hAnsi="Arial"/>
          <w:w w:val="105"/>
          <w:sz w:val="19"/>
        </w:rPr>
        <w:t>for</w:t>
      </w:r>
      <w:r>
        <w:rPr>
          <w:rFonts w:ascii="Arial" w:hAnsi="Arial"/>
          <w:spacing w:val="-7"/>
          <w:w w:val="105"/>
          <w:sz w:val="19"/>
        </w:rPr>
        <w:t xml:space="preserve"> </w:t>
      </w:r>
      <w:r>
        <w:rPr>
          <w:rFonts w:ascii="Arial" w:hAnsi="Arial"/>
          <w:w w:val="105"/>
          <w:sz w:val="19"/>
        </w:rPr>
        <w:t>options</w:t>
      </w:r>
      <w:r>
        <w:rPr>
          <w:rFonts w:ascii="Arial" w:hAnsi="Arial"/>
          <w:spacing w:val="-12"/>
          <w:w w:val="105"/>
          <w:sz w:val="19"/>
        </w:rPr>
        <w:t xml:space="preserve"> </w:t>
      </w:r>
      <w:r>
        <w:rPr>
          <w:rFonts w:ascii="Arial" w:hAnsi="Arial"/>
          <w:w w:val="105"/>
          <w:sz w:val="19"/>
        </w:rPr>
        <w:t>2A</w:t>
      </w:r>
      <w:r>
        <w:rPr>
          <w:rFonts w:ascii="Arial" w:hAnsi="Arial"/>
          <w:spacing w:val="-11"/>
          <w:w w:val="105"/>
          <w:sz w:val="19"/>
        </w:rPr>
        <w:t xml:space="preserve"> </w:t>
      </w:r>
      <w:r>
        <w:rPr>
          <w:rFonts w:ascii="Arial" w:hAnsi="Arial"/>
          <w:w w:val="105"/>
          <w:sz w:val="19"/>
        </w:rPr>
        <w:t>and</w:t>
      </w:r>
      <w:r>
        <w:rPr>
          <w:rFonts w:ascii="Arial" w:hAnsi="Arial"/>
          <w:spacing w:val="-12"/>
          <w:w w:val="105"/>
          <w:sz w:val="19"/>
        </w:rPr>
        <w:t xml:space="preserve"> </w:t>
      </w:r>
      <w:r>
        <w:rPr>
          <w:rFonts w:ascii="Arial" w:hAnsi="Arial"/>
          <w:w w:val="105"/>
          <w:sz w:val="19"/>
        </w:rPr>
        <w:t>2B</w:t>
      </w:r>
    </w:p>
    <w:p w:rsidR="007D76BB" w:rsidRDefault="00D70D28">
      <w:pPr>
        <w:spacing w:before="93"/>
        <w:ind w:left="482"/>
        <w:rPr>
          <w:rFonts w:ascii="Arial"/>
          <w:i/>
          <w:sz w:val="20"/>
        </w:rPr>
      </w:pPr>
      <w:r>
        <w:rPr>
          <w:rFonts w:ascii="Arial"/>
          <w:i/>
          <w:sz w:val="20"/>
        </w:rPr>
        <w:t>Inputs</w:t>
      </w:r>
    </w:p>
    <w:p w:rsidR="007D76BB" w:rsidRDefault="00D70D28">
      <w:pPr>
        <w:spacing w:before="89"/>
        <w:ind w:left="482"/>
        <w:rPr>
          <w:rFonts w:ascii="Arial"/>
          <w:i/>
          <w:sz w:val="20"/>
        </w:rPr>
      </w:pPr>
      <w:r>
        <w:rPr>
          <w:rFonts w:ascii="Arial"/>
          <w:i/>
          <w:sz w:val="20"/>
        </w:rPr>
        <w:t>(Note: All timing inputs for ingredients have been carried through from Options 2A and 2B)</w:t>
      </w:r>
    </w:p>
    <w:p w:rsidR="007D76BB" w:rsidRDefault="00D70D28">
      <w:pPr>
        <w:pStyle w:val="ListParagraph"/>
        <w:numPr>
          <w:ilvl w:val="1"/>
          <w:numId w:val="5"/>
        </w:numPr>
        <w:tabs>
          <w:tab w:val="left" w:pos="766"/>
        </w:tabs>
        <w:spacing w:before="92"/>
        <w:rPr>
          <w:rFonts w:ascii="Arial" w:hAnsi="Arial"/>
          <w:sz w:val="19"/>
        </w:rPr>
      </w:pPr>
      <w:r>
        <w:rPr>
          <w:rFonts w:ascii="Arial" w:hAnsi="Arial"/>
          <w:w w:val="105"/>
          <w:sz w:val="19"/>
        </w:rPr>
        <w:t>Number</w:t>
      </w:r>
      <w:r>
        <w:rPr>
          <w:rFonts w:ascii="Arial" w:hAnsi="Arial"/>
          <w:spacing w:val="-12"/>
          <w:w w:val="105"/>
          <w:sz w:val="19"/>
        </w:rPr>
        <w:t xml:space="preserve"> </w:t>
      </w:r>
      <w:r>
        <w:rPr>
          <w:rFonts w:ascii="Arial" w:hAnsi="Arial"/>
          <w:w w:val="105"/>
          <w:sz w:val="19"/>
        </w:rPr>
        <w:t>of</w:t>
      </w:r>
      <w:r>
        <w:rPr>
          <w:rFonts w:ascii="Arial" w:hAnsi="Arial"/>
          <w:spacing w:val="-13"/>
          <w:w w:val="105"/>
          <w:sz w:val="19"/>
        </w:rPr>
        <w:t xml:space="preserve"> </w:t>
      </w:r>
      <w:r>
        <w:rPr>
          <w:rFonts w:ascii="Arial" w:hAnsi="Arial"/>
          <w:w w:val="105"/>
          <w:sz w:val="19"/>
        </w:rPr>
        <w:t>new</w:t>
      </w:r>
      <w:r>
        <w:rPr>
          <w:rFonts w:ascii="Arial" w:hAnsi="Arial"/>
          <w:spacing w:val="-12"/>
          <w:w w:val="105"/>
          <w:sz w:val="19"/>
        </w:rPr>
        <w:t xml:space="preserve"> </w:t>
      </w:r>
      <w:r>
        <w:rPr>
          <w:rFonts w:ascii="Arial" w:hAnsi="Arial"/>
          <w:w w:val="105"/>
          <w:sz w:val="19"/>
        </w:rPr>
        <w:t>ingredient</w:t>
      </w:r>
      <w:r>
        <w:rPr>
          <w:rFonts w:ascii="Arial" w:hAnsi="Arial"/>
          <w:spacing w:val="-13"/>
          <w:w w:val="105"/>
          <w:sz w:val="19"/>
        </w:rPr>
        <w:t xml:space="preserve"> </w:t>
      </w:r>
      <w:r>
        <w:rPr>
          <w:rFonts w:ascii="Arial" w:hAnsi="Arial"/>
          <w:w w:val="105"/>
          <w:sz w:val="19"/>
        </w:rPr>
        <w:t>applications</w:t>
      </w:r>
      <w:r>
        <w:rPr>
          <w:rFonts w:ascii="Arial" w:hAnsi="Arial"/>
          <w:spacing w:val="-13"/>
          <w:w w:val="105"/>
          <w:sz w:val="19"/>
        </w:rPr>
        <w:t xml:space="preserve"> </w:t>
      </w:r>
      <w:r>
        <w:rPr>
          <w:rFonts w:ascii="Arial" w:hAnsi="Arial"/>
          <w:w w:val="105"/>
          <w:sz w:val="19"/>
        </w:rPr>
        <w:t>(</w:t>
      </w:r>
      <w:r>
        <w:rPr>
          <w:rFonts w:ascii="Arial" w:hAnsi="Arial"/>
          <w:i/>
          <w:w w:val="105"/>
          <w:sz w:val="20"/>
        </w:rPr>
        <w:t>current</w:t>
      </w:r>
      <w:r>
        <w:rPr>
          <w:rFonts w:ascii="Arial" w:hAnsi="Arial"/>
          <w:i/>
          <w:spacing w:val="-14"/>
          <w:w w:val="105"/>
          <w:sz w:val="20"/>
        </w:rPr>
        <w:t xml:space="preserve"> </w:t>
      </w:r>
      <w:r>
        <w:rPr>
          <w:rFonts w:ascii="Arial" w:hAnsi="Arial"/>
          <w:i/>
          <w:w w:val="105"/>
          <w:sz w:val="20"/>
        </w:rPr>
        <w:t>population</w:t>
      </w:r>
      <w:r>
        <w:rPr>
          <w:rFonts w:ascii="Arial" w:hAnsi="Arial"/>
          <w:w w:val="105"/>
          <w:sz w:val="19"/>
        </w:rPr>
        <w:t>)</w:t>
      </w:r>
      <w:r>
        <w:rPr>
          <w:rFonts w:ascii="Arial" w:hAnsi="Arial"/>
          <w:spacing w:val="-13"/>
          <w:w w:val="105"/>
          <w:sz w:val="19"/>
        </w:rPr>
        <w:t xml:space="preserve"> </w:t>
      </w:r>
      <w:r>
        <w:rPr>
          <w:rFonts w:ascii="Arial" w:hAnsi="Arial"/>
          <w:w w:val="105"/>
          <w:sz w:val="19"/>
        </w:rPr>
        <w:t>=</w:t>
      </w:r>
      <w:r>
        <w:rPr>
          <w:rFonts w:ascii="Arial" w:hAnsi="Arial"/>
          <w:spacing w:val="-11"/>
          <w:w w:val="105"/>
          <w:sz w:val="19"/>
        </w:rPr>
        <w:t xml:space="preserve"> </w:t>
      </w:r>
      <w:r>
        <w:rPr>
          <w:rFonts w:ascii="Arial" w:hAnsi="Arial"/>
          <w:w w:val="105"/>
          <w:sz w:val="19"/>
        </w:rPr>
        <w:t>4</w:t>
      </w:r>
    </w:p>
    <w:p w:rsidR="007D76BB" w:rsidRDefault="00D70D28">
      <w:pPr>
        <w:pStyle w:val="ListParagraph"/>
        <w:numPr>
          <w:ilvl w:val="1"/>
          <w:numId w:val="5"/>
        </w:numPr>
        <w:tabs>
          <w:tab w:val="left" w:pos="766"/>
        </w:tabs>
        <w:spacing w:before="92"/>
        <w:rPr>
          <w:rFonts w:ascii="Arial" w:hAnsi="Arial"/>
          <w:sz w:val="11"/>
        </w:rPr>
      </w:pPr>
      <w:r>
        <w:rPr>
          <w:rFonts w:ascii="Arial" w:hAnsi="Arial"/>
          <w:w w:val="105"/>
          <w:sz w:val="19"/>
        </w:rPr>
        <w:t>Number</w:t>
      </w:r>
      <w:r>
        <w:rPr>
          <w:rFonts w:ascii="Arial" w:hAnsi="Arial"/>
          <w:spacing w:val="-12"/>
          <w:w w:val="105"/>
          <w:sz w:val="19"/>
        </w:rPr>
        <w:t xml:space="preserve"> </w:t>
      </w:r>
      <w:r>
        <w:rPr>
          <w:rFonts w:ascii="Arial" w:hAnsi="Arial"/>
          <w:w w:val="105"/>
          <w:sz w:val="19"/>
        </w:rPr>
        <w:t>of</w:t>
      </w:r>
      <w:r>
        <w:rPr>
          <w:rFonts w:ascii="Arial" w:hAnsi="Arial"/>
          <w:spacing w:val="-14"/>
          <w:w w:val="105"/>
          <w:sz w:val="19"/>
        </w:rPr>
        <w:t xml:space="preserve"> </w:t>
      </w:r>
      <w:r>
        <w:rPr>
          <w:rFonts w:ascii="Arial" w:hAnsi="Arial"/>
          <w:w w:val="105"/>
          <w:sz w:val="19"/>
        </w:rPr>
        <w:t>new</w:t>
      </w:r>
      <w:r>
        <w:rPr>
          <w:rFonts w:ascii="Arial" w:hAnsi="Arial"/>
          <w:spacing w:val="-10"/>
          <w:w w:val="105"/>
          <w:sz w:val="19"/>
        </w:rPr>
        <w:t xml:space="preserve"> </w:t>
      </w:r>
      <w:r>
        <w:rPr>
          <w:rFonts w:ascii="Arial" w:hAnsi="Arial"/>
          <w:w w:val="105"/>
          <w:sz w:val="19"/>
        </w:rPr>
        <w:t>ingredient</w:t>
      </w:r>
      <w:r>
        <w:rPr>
          <w:rFonts w:ascii="Arial" w:hAnsi="Arial"/>
          <w:spacing w:val="-14"/>
          <w:w w:val="105"/>
          <w:sz w:val="19"/>
        </w:rPr>
        <w:t xml:space="preserve"> </w:t>
      </w:r>
      <w:r>
        <w:rPr>
          <w:rFonts w:ascii="Arial" w:hAnsi="Arial"/>
          <w:w w:val="105"/>
          <w:sz w:val="19"/>
        </w:rPr>
        <w:t>applications</w:t>
      </w:r>
      <w:r>
        <w:rPr>
          <w:rFonts w:ascii="Arial" w:hAnsi="Arial"/>
          <w:spacing w:val="-13"/>
          <w:w w:val="105"/>
          <w:sz w:val="19"/>
        </w:rPr>
        <w:t xml:space="preserve"> </w:t>
      </w:r>
      <w:r>
        <w:rPr>
          <w:rFonts w:ascii="Arial" w:hAnsi="Arial"/>
          <w:w w:val="105"/>
          <w:sz w:val="19"/>
        </w:rPr>
        <w:t>(</w:t>
      </w:r>
      <w:r>
        <w:rPr>
          <w:rFonts w:ascii="Arial" w:hAnsi="Arial"/>
          <w:i/>
          <w:w w:val="105"/>
          <w:sz w:val="20"/>
        </w:rPr>
        <w:t>future</w:t>
      </w:r>
      <w:r>
        <w:rPr>
          <w:rFonts w:ascii="Arial" w:hAnsi="Arial"/>
          <w:i/>
          <w:spacing w:val="-15"/>
          <w:w w:val="105"/>
          <w:sz w:val="20"/>
        </w:rPr>
        <w:t xml:space="preserve"> </w:t>
      </w:r>
      <w:r>
        <w:rPr>
          <w:rFonts w:ascii="Arial" w:hAnsi="Arial"/>
          <w:i/>
          <w:w w:val="105"/>
          <w:sz w:val="20"/>
        </w:rPr>
        <w:t>population</w:t>
      </w:r>
      <w:r>
        <w:rPr>
          <w:rFonts w:ascii="Arial" w:hAnsi="Arial"/>
          <w:w w:val="105"/>
          <w:sz w:val="19"/>
        </w:rPr>
        <w:t>)</w:t>
      </w:r>
      <w:r>
        <w:rPr>
          <w:rFonts w:ascii="Arial" w:hAnsi="Arial"/>
          <w:spacing w:val="-13"/>
          <w:w w:val="105"/>
          <w:sz w:val="19"/>
        </w:rPr>
        <w:t xml:space="preserve"> </w:t>
      </w:r>
      <w:r>
        <w:rPr>
          <w:rFonts w:ascii="Arial" w:hAnsi="Arial"/>
          <w:w w:val="105"/>
          <w:sz w:val="19"/>
        </w:rPr>
        <w:t>=1</w:t>
      </w:r>
      <w:r>
        <w:rPr>
          <w:rFonts w:ascii="Arial" w:hAnsi="Arial"/>
          <w:w w:val="105"/>
          <w:position w:val="7"/>
          <w:sz w:val="11"/>
        </w:rPr>
        <w:t>87</w:t>
      </w:r>
    </w:p>
    <w:p w:rsidR="007D76BB" w:rsidRDefault="00D70D28">
      <w:pPr>
        <w:pStyle w:val="ListParagraph"/>
        <w:numPr>
          <w:ilvl w:val="1"/>
          <w:numId w:val="5"/>
        </w:numPr>
        <w:tabs>
          <w:tab w:val="left" w:pos="766"/>
        </w:tabs>
        <w:spacing w:before="96" w:line="264" w:lineRule="auto"/>
        <w:ind w:right="946"/>
        <w:rPr>
          <w:rFonts w:ascii="Arial" w:hAnsi="Arial"/>
          <w:sz w:val="19"/>
        </w:rPr>
      </w:pPr>
      <w:r>
        <w:rPr>
          <w:rFonts w:ascii="Arial" w:hAnsi="Arial"/>
          <w:w w:val="105"/>
          <w:sz w:val="19"/>
        </w:rPr>
        <w:t>Approximate</w:t>
      </w:r>
      <w:r>
        <w:rPr>
          <w:rFonts w:ascii="Arial" w:hAnsi="Arial"/>
          <w:spacing w:val="-20"/>
          <w:w w:val="105"/>
          <w:sz w:val="19"/>
        </w:rPr>
        <w:t xml:space="preserve"> </w:t>
      </w:r>
      <w:r>
        <w:rPr>
          <w:rFonts w:ascii="Arial" w:hAnsi="Arial"/>
          <w:w w:val="105"/>
          <w:sz w:val="19"/>
        </w:rPr>
        <w:t>cost</w:t>
      </w:r>
      <w:r>
        <w:rPr>
          <w:rFonts w:ascii="Arial" w:hAnsi="Arial"/>
          <w:spacing w:val="-19"/>
          <w:w w:val="105"/>
          <w:sz w:val="19"/>
        </w:rPr>
        <w:t xml:space="preserve"> </w:t>
      </w:r>
      <w:r>
        <w:rPr>
          <w:rFonts w:ascii="Arial" w:hAnsi="Arial"/>
          <w:w w:val="105"/>
          <w:sz w:val="19"/>
        </w:rPr>
        <w:t>of</w:t>
      </w:r>
      <w:r>
        <w:rPr>
          <w:rFonts w:ascii="Arial" w:hAnsi="Arial"/>
          <w:spacing w:val="-21"/>
          <w:w w:val="105"/>
          <w:sz w:val="19"/>
        </w:rPr>
        <w:t xml:space="preserve"> </w:t>
      </w:r>
      <w:r>
        <w:rPr>
          <w:rFonts w:ascii="Arial" w:hAnsi="Arial"/>
          <w:w w:val="105"/>
          <w:sz w:val="19"/>
        </w:rPr>
        <w:t>a</w:t>
      </w:r>
      <w:r>
        <w:rPr>
          <w:rFonts w:ascii="Arial" w:hAnsi="Arial"/>
          <w:spacing w:val="-19"/>
          <w:w w:val="105"/>
          <w:sz w:val="19"/>
        </w:rPr>
        <w:t xml:space="preserve"> </w:t>
      </w:r>
      <w:r>
        <w:rPr>
          <w:rFonts w:ascii="Arial" w:hAnsi="Arial"/>
          <w:w w:val="105"/>
          <w:sz w:val="19"/>
        </w:rPr>
        <w:t>regulatory</w:t>
      </w:r>
      <w:r>
        <w:rPr>
          <w:rFonts w:ascii="Arial" w:hAnsi="Arial"/>
          <w:spacing w:val="-18"/>
          <w:w w:val="105"/>
          <w:sz w:val="19"/>
        </w:rPr>
        <w:t xml:space="preserve"> </w:t>
      </w:r>
      <w:r>
        <w:rPr>
          <w:rFonts w:ascii="Arial" w:hAnsi="Arial"/>
          <w:w w:val="105"/>
          <w:sz w:val="19"/>
        </w:rPr>
        <w:t>affairs</w:t>
      </w:r>
      <w:r>
        <w:rPr>
          <w:rFonts w:ascii="Arial" w:hAnsi="Arial"/>
          <w:spacing w:val="-21"/>
          <w:w w:val="105"/>
          <w:sz w:val="19"/>
        </w:rPr>
        <w:t xml:space="preserve"> </w:t>
      </w:r>
      <w:r>
        <w:rPr>
          <w:rFonts w:ascii="Arial" w:hAnsi="Arial"/>
          <w:w w:val="105"/>
          <w:sz w:val="19"/>
        </w:rPr>
        <w:t>consultant</w:t>
      </w:r>
      <w:r>
        <w:rPr>
          <w:rFonts w:ascii="Arial" w:hAnsi="Arial"/>
          <w:spacing w:val="-20"/>
          <w:w w:val="105"/>
          <w:sz w:val="19"/>
        </w:rPr>
        <w:t xml:space="preserve"> </w:t>
      </w:r>
      <w:r>
        <w:rPr>
          <w:rFonts w:ascii="Arial" w:hAnsi="Arial"/>
          <w:w w:val="105"/>
          <w:sz w:val="19"/>
        </w:rPr>
        <w:t>to</w:t>
      </w:r>
      <w:r>
        <w:rPr>
          <w:rFonts w:ascii="Arial" w:hAnsi="Arial"/>
          <w:spacing w:val="-19"/>
          <w:w w:val="105"/>
          <w:sz w:val="19"/>
        </w:rPr>
        <w:t xml:space="preserve"> </w:t>
      </w:r>
      <w:r>
        <w:rPr>
          <w:rFonts w:ascii="Arial" w:hAnsi="Arial"/>
          <w:w w:val="105"/>
          <w:sz w:val="19"/>
        </w:rPr>
        <w:t>prepare</w:t>
      </w:r>
      <w:r>
        <w:rPr>
          <w:rFonts w:ascii="Arial" w:hAnsi="Arial"/>
          <w:spacing w:val="-20"/>
          <w:w w:val="105"/>
          <w:sz w:val="19"/>
        </w:rPr>
        <w:t xml:space="preserve"> </w:t>
      </w:r>
      <w:r>
        <w:rPr>
          <w:rFonts w:ascii="Arial" w:hAnsi="Arial"/>
          <w:w w:val="105"/>
          <w:sz w:val="19"/>
        </w:rPr>
        <w:t>an</w:t>
      </w:r>
      <w:r>
        <w:rPr>
          <w:rFonts w:ascii="Arial" w:hAnsi="Arial"/>
          <w:spacing w:val="-20"/>
          <w:w w:val="105"/>
          <w:sz w:val="19"/>
        </w:rPr>
        <w:t xml:space="preserve"> </w:t>
      </w:r>
      <w:r>
        <w:rPr>
          <w:rFonts w:ascii="Arial" w:hAnsi="Arial"/>
          <w:w w:val="105"/>
          <w:sz w:val="19"/>
        </w:rPr>
        <w:t>‘Application</w:t>
      </w:r>
      <w:r>
        <w:rPr>
          <w:rFonts w:ascii="Arial" w:hAnsi="Arial"/>
          <w:spacing w:val="-20"/>
          <w:w w:val="105"/>
          <w:sz w:val="19"/>
        </w:rPr>
        <w:t xml:space="preserve"> </w:t>
      </w:r>
      <w:r>
        <w:rPr>
          <w:rFonts w:ascii="Arial" w:hAnsi="Arial"/>
          <w:w w:val="105"/>
          <w:sz w:val="19"/>
        </w:rPr>
        <w:t>for</w:t>
      </w:r>
      <w:r>
        <w:rPr>
          <w:rFonts w:ascii="Arial" w:hAnsi="Arial"/>
          <w:spacing w:val="-18"/>
          <w:w w:val="105"/>
          <w:sz w:val="19"/>
        </w:rPr>
        <w:t xml:space="preserve"> </w:t>
      </w:r>
      <w:r>
        <w:rPr>
          <w:rFonts w:ascii="Arial" w:hAnsi="Arial"/>
          <w:w w:val="105"/>
          <w:sz w:val="19"/>
        </w:rPr>
        <w:t>evaluation</w:t>
      </w:r>
      <w:r>
        <w:rPr>
          <w:rFonts w:ascii="Arial" w:hAnsi="Arial"/>
          <w:spacing w:val="-20"/>
          <w:w w:val="105"/>
          <w:sz w:val="19"/>
        </w:rPr>
        <w:t xml:space="preserve"> </w:t>
      </w:r>
      <w:r>
        <w:rPr>
          <w:rFonts w:ascii="Arial" w:hAnsi="Arial"/>
          <w:w w:val="105"/>
          <w:sz w:val="19"/>
        </w:rPr>
        <w:t>of</w:t>
      </w:r>
      <w:r>
        <w:rPr>
          <w:rFonts w:ascii="Arial" w:hAnsi="Arial"/>
          <w:spacing w:val="-20"/>
          <w:w w:val="105"/>
          <w:sz w:val="19"/>
        </w:rPr>
        <w:t xml:space="preserve"> </w:t>
      </w:r>
      <w:r>
        <w:rPr>
          <w:rFonts w:ascii="Arial" w:hAnsi="Arial"/>
          <w:w w:val="105"/>
          <w:sz w:val="19"/>
        </w:rPr>
        <w:t>a substance</w:t>
      </w:r>
      <w:r>
        <w:rPr>
          <w:rFonts w:ascii="Arial" w:hAnsi="Arial"/>
          <w:spacing w:val="-15"/>
          <w:w w:val="105"/>
          <w:sz w:val="19"/>
        </w:rPr>
        <w:t xml:space="preserve"> </w:t>
      </w:r>
      <w:r>
        <w:rPr>
          <w:rFonts w:ascii="Arial" w:hAnsi="Arial"/>
          <w:w w:val="105"/>
          <w:sz w:val="19"/>
        </w:rPr>
        <w:t>for</w:t>
      </w:r>
      <w:r>
        <w:rPr>
          <w:rFonts w:ascii="Arial" w:hAnsi="Arial"/>
          <w:spacing w:val="-17"/>
          <w:w w:val="105"/>
          <w:sz w:val="19"/>
        </w:rPr>
        <w:t xml:space="preserve"> </w:t>
      </w:r>
      <w:r>
        <w:rPr>
          <w:rFonts w:ascii="Arial" w:hAnsi="Arial"/>
          <w:w w:val="105"/>
          <w:sz w:val="19"/>
        </w:rPr>
        <w:t>use</w:t>
      </w:r>
      <w:r>
        <w:rPr>
          <w:rFonts w:ascii="Arial" w:hAnsi="Arial"/>
          <w:spacing w:val="-14"/>
          <w:w w:val="105"/>
          <w:sz w:val="19"/>
        </w:rPr>
        <w:t xml:space="preserve"> </w:t>
      </w:r>
      <w:r>
        <w:rPr>
          <w:rFonts w:ascii="Arial" w:hAnsi="Arial"/>
          <w:w w:val="105"/>
          <w:sz w:val="19"/>
        </w:rPr>
        <w:t>in</w:t>
      </w:r>
      <w:r>
        <w:rPr>
          <w:rFonts w:ascii="Arial" w:hAnsi="Arial"/>
          <w:spacing w:val="-15"/>
          <w:w w:val="105"/>
          <w:sz w:val="19"/>
        </w:rPr>
        <w:t xml:space="preserve"> </w:t>
      </w:r>
      <w:r>
        <w:rPr>
          <w:rFonts w:ascii="Arial" w:hAnsi="Arial"/>
          <w:w w:val="105"/>
          <w:sz w:val="19"/>
        </w:rPr>
        <w:t>listed</w:t>
      </w:r>
      <w:r>
        <w:rPr>
          <w:rFonts w:ascii="Arial" w:hAnsi="Arial"/>
          <w:spacing w:val="-16"/>
          <w:w w:val="105"/>
          <w:sz w:val="19"/>
        </w:rPr>
        <w:t xml:space="preserve"> </w:t>
      </w:r>
      <w:r>
        <w:rPr>
          <w:rFonts w:ascii="Arial" w:hAnsi="Arial"/>
          <w:w w:val="105"/>
          <w:sz w:val="19"/>
        </w:rPr>
        <w:t>complementary</w:t>
      </w:r>
      <w:r>
        <w:rPr>
          <w:rFonts w:ascii="Arial" w:hAnsi="Arial"/>
          <w:spacing w:val="-15"/>
          <w:w w:val="105"/>
          <w:sz w:val="19"/>
        </w:rPr>
        <w:t xml:space="preserve"> </w:t>
      </w:r>
      <w:r>
        <w:rPr>
          <w:rFonts w:ascii="Arial" w:hAnsi="Arial"/>
          <w:w w:val="105"/>
          <w:sz w:val="19"/>
        </w:rPr>
        <w:t>medicines’</w:t>
      </w:r>
      <w:r>
        <w:rPr>
          <w:rFonts w:ascii="Arial" w:hAnsi="Arial"/>
          <w:spacing w:val="23"/>
          <w:w w:val="105"/>
          <w:sz w:val="19"/>
        </w:rPr>
        <w:t xml:space="preserve"> </w:t>
      </w:r>
      <w:r>
        <w:rPr>
          <w:rFonts w:ascii="Arial" w:hAnsi="Arial"/>
          <w:w w:val="105"/>
          <w:sz w:val="19"/>
        </w:rPr>
        <w:t>=</w:t>
      </w:r>
      <w:r>
        <w:rPr>
          <w:rFonts w:ascii="Arial" w:hAnsi="Arial"/>
          <w:spacing w:val="-15"/>
          <w:w w:val="105"/>
          <w:sz w:val="19"/>
        </w:rPr>
        <w:t xml:space="preserve"> </w:t>
      </w:r>
      <w:r>
        <w:rPr>
          <w:rFonts w:ascii="Arial" w:hAnsi="Arial"/>
          <w:w w:val="105"/>
          <w:sz w:val="19"/>
        </w:rPr>
        <w:t>$300</w:t>
      </w:r>
      <w:r>
        <w:rPr>
          <w:rFonts w:ascii="Arial" w:hAnsi="Arial"/>
          <w:w w:val="105"/>
          <w:position w:val="7"/>
          <w:sz w:val="11"/>
        </w:rPr>
        <w:t>88</w:t>
      </w:r>
      <w:r>
        <w:rPr>
          <w:rFonts w:ascii="Arial" w:hAnsi="Arial"/>
          <w:spacing w:val="8"/>
          <w:w w:val="105"/>
          <w:position w:val="7"/>
          <w:sz w:val="11"/>
        </w:rPr>
        <w:t xml:space="preserve"> </w:t>
      </w:r>
      <w:r>
        <w:rPr>
          <w:rFonts w:ascii="Arial" w:hAnsi="Arial"/>
          <w:w w:val="105"/>
          <w:sz w:val="19"/>
        </w:rPr>
        <w:t>per</w:t>
      </w:r>
      <w:r>
        <w:rPr>
          <w:rFonts w:ascii="Arial" w:hAnsi="Arial"/>
          <w:spacing w:val="-14"/>
          <w:w w:val="105"/>
          <w:sz w:val="19"/>
        </w:rPr>
        <w:t xml:space="preserve"> </w:t>
      </w:r>
      <w:r>
        <w:rPr>
          <w:rFonts w:ascii="Arial" w:hAnsi="Arial"/>
          <w:w w:val="105"/>
          <w:sz w:val="19"/>
        </w:rPr>
        <w:t>hour</w:t>
      </w:r>
      <w:r>
        <w:rPr>
          <w:rFonts w:ascii="Arial" w:hAnsi="Arial"/>
          <w:spacing w:val="-15"/>
          <w:w w:val="105"/>
          <w:sz w:val="19"/>
        </w:rPr>
        <w:t xml:space="preserve"> </w:t>
      </w:r>
      <w:r>
        <w:rPr>
          <w:rFonts w:ascii="Arial" w:hAnsi="Arial"/>
          <w:w w:val="105"/>
          <w:sz w:val="19"/>
        </w:rPr>
        <w:t>x</w:t>
      </w:r>
      <w:r>
        <w:rPr>
          <w:rFonts w:ascii="Arial" w:hAnsi="Arial"/>
          <w:spacing w:val="-17"/>
          <w:w w:val="105"/>
          <w:sz w:val="19"/>
        </w:rPr>
        <w:t xml:space="preserve"> </w:t>
      </w:r>
      <w:r>
        <w:rPr>
          <w:rFonts w:ascii="Arial" w:hAnsi="Arial"/>
          <w:w w:val="105"/>
          <w:sz w:val="19"/>
        </w:rPr>
        <w:t>100</w:t>
      </w:r>
      <w:r>
        <w:rPr>
          <w:rFonts w:ascii="Arial" w:hAnsi="Arial"/>
          <w:spacing w:val="-16"/>
          <w:w w:val="105"/>
          <w:sz w:val="19"/>
        </w:rPr>
        <w:t xml:space="preserve"> </w:t>
      </w:r>
      <w:r>
        <w:rPr>
          <w:rFonts w:ascii="Arial" w:hAnsi="Arial"/>
          <w:w w:val="105"/>
          <w:sz w:val="19"/>
        </w:rPr>
        <w:t>hours</w:t>
      </w:r>
      <w:r>
        <w:rPr>
          <w:rFonts w:ascii="Arial" w:hAnsi="Arial"/>
          <w:spacing w:val="-17"/>
          <w:w w:val="105"/>
          <w:sz w:val="19"/>
        </w:rPr>
        <w:t xml:space="preserve"> </w:t>
      </w:r>
      <w:r>
        <w:rPr>
          <w:rFonts w:ascii="Arial" w:hAnsi="Arial"/>
          <w:w w:val="105"/>
          <w:sz w:val="19"/>
        </w:rPr>
        <w:t>=</w:t>
      </w:r>
    </w:p>
    <w:p w:rsidR="007D76BB" w:rsidRDefault="00D70D28">
      <w:pPr>
        <w:spacing w:before="2" w:line="266" w:lineRule="auto"/>
        <w:ind w:left="765" w:right="778"/>
        <w:rPr>
          <w:rFonts w:ascii="Arial"/>
          <w:sz w:val="19"/>
        </w:rPr>
      </w:pPr>
      <w:r>
        <w:rPr>
          <w:rFonts w:ascii="Arial"/>
          <w:w w:val="105"/>
          <w:sz w:val="19"/>
        </w:rPr>
        <w:t>$30</w:t>
      </w:r>
      <w:proofErr w:type="gramStart"/>
      <w:r>
        <w:rPr>
          <w:rFonts w:ascii="Arial"/>
          <w:w w:val="105"/>
          <w:sz w:val="19"/>
        </w:rPr>
        <w:t>,000</w:t>
      </w:r>
      <w:r>
        <w:rPr>
          <w:rFonts w:ascii="Arial"/>
          <w:w w:val="105"/>
          <w:position w:val="7"/>
          <w:sz w:val="11"/>
        </w:rPr>
        <w:t>89</w:t>
      </w:r>
      <w:proofErr w:type="gramEnd"/>
      <w:r>
        <w:rPr>
          <w:rFonts w:ascii="Arial"/>
          <w:spacing w:val="8"/>
          <w:w w:val="105"/>
          <w:position w:val="7"/>
          <w:sz w:val="11"/>
        </w:rPr>
        <w:t xml:space="preserve"> </w:t>
      </w:r>
      <w:r>
        <w:rPr>
          <w:rFonts w:ascii="Arial"/>
          <w:w w:val="105"/>
          <w:sz w:val="19"/>
        </w:rPr>
        <w:t>x</w:t>
      </w:r>
      <w:r>
        <w:rPr>
          <w:rFonts w:ascii="Arial"/>
          <w:spacing w:val="-15"/>
          <w:w w:val="105"/>
          <w:sz w:val="19"/>
        </w:rPr>
        <w:t xml:space="preserve"> </w:t>
      </w:r>
      <w:r>
        <w:rPr>
          <w:rFonts w:ascii="Arial"/>
          <w:w w:val="105"/>
          <w:sz w:val="19"/>
        </w:rPr>
        <w:t>4</w:t>
      </w:r>
      <w:r>
        <w:rPr>
          <w:rFonts w:ascii="Arial"/>
          <w:spacing w:val="-16"/>
          <w:w w:val="105"/>
          <w:sz w:val="19"/>
        </w:rPr>
        <w:t xml:space="preserve"> </w:t>
      </w:r>
      <w:r>
        <w:rPr>
          <w:rFonts w:ascii="Arial"/>
          <w:w w:val="105"/>
          <w:sz w:val="19"/>
        </w:rPr>
        <w:t>applications</w:t>
      </w:r>
      <w:r>
        <w:rPr>
          <w:rFonts w:ascii="Arial"/>
          <w:spacing w:val="-18"/>
          <w:w w:val="105"/>
          <w:sz w:val="19"/>
        </w:rPr>
        <w:t xml:space="preserve"> </w:t>
      </w:r>
      <w:r>
        <w:rPr>
          <w:rFonts w:ascii="Arial"/>
          <w:w w:val="105"/>
          <w:sz w:val="19"/>
        </w:rPr>
        <w:t>(current</w:t>
      </w:r>
      <w:r>
        <w:rPr>
          <w:rFonts w:ascii="Arial"/>
          <w:spacing w:val="-15"/>
          <w:w w:val="105"/>
          <w:sz w:val="19"/>
        </w:rPr>
        <w:t xml:space="preserve"> </w:t>
      </w:r>
      <w:r>
        <w:rPr>
          <w:rFonts w:ascii="Arial"/>
          <w:w w:val="105"/>
          <w:sz w:val="19"/>
        </w:rPr>
        <w:t>population)</w:t>
      </w:r>
      <w:r>
        <w:rPr>
          <w:rFonts w:ascii="Arial"/>
          <w:spacing w:val="-16"/>
          <w:w w:val="105"/>
          <w:sz w:val="19"/>
        </w:rPr>
        <w:t xml:space="preserve"> </w:t>
      </w:r>
      <w:r>
        <w:rPr>
          <w:rFonts w:ascii="Arial"/>
          <w:w w:val="105"/>
          <w:sz w:val="19"/>
        </w:rPr>
        <w:t>=</w:t>
      </w:r>
      <w:r>
        <w:rPr>
          <w:rFonts w:ascii="Arial"/>
          <w:spacing w:val="-17"/>
          <w:w w:val="105"/>
          <w:sz w:val="19"/>
        </w:rPr>
        <w:t xml:space="preserve"> </w:t>
      </w:r>
      <w:r>
        <w:rPr>
          <w:rFonts w:ascii="Arial"/>
          <w:w w:val="105"/>
          <w:sz w:val="19"/>
        </w:rPr>
        <w:t>$120,000</w:t>
      </w:r>
      <w:r>
        <w:rPr>
          <w:rFonts w:ascii="Arial"/>
          <w:spacing w:val="-15"/>
          <w:w w:val="105"/>
          <w:sz w:val="19"/>
        </w:rPr>
        <w:t xml:space="preserve"> </w:t>
      </w:r>
      <w:r>
        <w:rPr>
          <w:rFonts w:ascii="Arial"/>
          <w:w w:val="105"/>
          <w:sz w:val="19"/>
        </w:rPr>
        <w:t>and</w:t>
      </w:r>
      <w:r>
        <w:rPr>
          <w:rFonts w:ascii="Arial"/>
          <w:spacing w:val="-16"/>
          <w:w w:val="105"/>
          <w:sz w:val="19"/>
        </w:rPr>
        <w:t xml:space="preserve"> </w:t>
      </w:r>
      <w:r>
        <w:rPr>
          <w:rFonts w:ascii="Arial"/>
          <w:w w:val="105"/>
          <w:sz w:val="19"/>
        </w:rPr>
        <w:t>for</w:t>
      </w:r>
      <w:r>
        <w:rPr>
          <w:rFonts w:ascii="Arial"/>
          <w:spacing w:val="-16"/>
          <w:w w:val="105"/>
          <w:sz w:val="19"/>
        </w:rPr>
        <w:t xml:space="preserve"> </w:t>
      </w:r>
      <w:r>
        <w:rPr>
          <w:rFonts w:ascii="Arial"/>
          <w:sz w:val="19"/>
        </w:rPr>
        <w:t>1</w:t>
      </w:r>
      <w:r>
        <w:rPr>
          <w:rFonts w:ascii="Arial"/>
          <w:spacing w:val="-14"/>
          <w:sz w:val="19"/>
        </w:rPr>
        <w:t xml:space="preserve"> </w:t>
      </w:r>
      <w:r>
        <w:rPr>
          <w:rFonts w:ascii="Arial"/>
          <w:w w:val="105"/>
          <w:sz w:val="19"/>
        </w:rPr>
        <w:t>application</w:t>
      </w:r>
      <w:r>
        <w:rPr>
          <w:rFonts w:ascii="Arial"/>
          <w:spacing w:val="-15"/>
          <w:w w:val="105"/>
          <w:sz w:val="19"/>
        </w:rPr>
        <w:t xml:space="preserve"> </w:t>
      </w:r>
      <w:r>
        <w:rPr>
          <w:rFonts w:ascii="Arial"/>
          <w:w w:val="105"/>
          <w:sz w:val="19"/>
        </w:rPr>
        <w:t>(future population) =</w:t>
      </w:r>
      <w:r>
        <w:rPr>
          <w:rFonts w:ascii="Arial"/>
          <w:spacing w:val="-23"/>
          <w:w w:val="105"/>
          <w:sz w:val="19"/>
        </w:rPr>
        <w:t xml:space="preserve"> </w:t>
      </w:r>
      <w:r>
        <w:rPr>
          <w:rFonts w:ascii="Arial"/>
          <w:w w:val="105"/>
          <w:sz w:val="19"/>
        </w:rPr>
        <w:t>$30,000</w:t>
      </w:r>
    </w:p>
    <w:p w:rsidR="007D76BB" w:rsidRDefault="00D70D28">
      <w:pPr>
        <w:spacing w:before="67"/>
        <w:ind w:left="482"/>
        <w:rPr>
          <w:rFonts w:ascii="Arial"/>
          <w:i/>
          <w:sz w:val="20"/>
        </w:rPr>
      </w:pPr>
      <w:r>
        <w:rPr>
          <w:rFonts w:ascii="Arial"/>
          <w:i/>
          <w:sz w:val="20"/>
        </w:rPr>
        <w:t>Current population</w:t>
      </w:r>
    </w:p>
    <w:p w:rsidR="007D76BB" w:rsidRDefault="00D70D28">
      <w:pPr>
        <w:spacing w:before="92"/>
        <w:ind w:left="482"/>
        <w:rPr>
          <w:rFonts w:ascii="Arial"/>
          <w:sz w:val="19"/>
        </w:rPr>
      </w:pPr>
      <w:r>
        <w:rPr>
          <w:rFonts w:ascii="Arial"/>
          <w:i/>
          <w:sz w:val="20"/>
        </w:rPr>
        <w:t>Step 1</w:t>
      </w:r>
      <w:r>
        <w:rPr>
          <w:rFonts w:ascii="Arial"/>
          <w:sz w:val="19"/>
        </w:rPr>
        <w:t>. Calculate total time in minutes to fulfil regulatory requirement:</w:t>
      </w:r>
    </w:p>
    <w:p w:rsidR="007D76BB" w:rsidRDefault="00D70D28">
      <w:pPr>
        <w:pStyle w:val="ListParagraph"/>
        <w:numPr>
          <w:ilvl w:val="1"/>
          <w:numId w:val="5"/>
        </w:numPr>
        <w:tabs>
          <w:tab w:val="left" w:pos="766"/>
        </w:tabs>
        <w:spacing w:before="156" w:line="266" w:lineRule="auto"/>
        <w:ind w:right="1072"/>
        <w:jc w:val="both"/>
        <w:rPr>
          <w:rFonts w:ascii="Arial" w:hAnsi="Arial"/>
          <w:sz w:val="19"/>
        </w:rPr>
      </w:pPr>
      <w:r>
        <w:rPr>
          <w:rFonts w:ascii="Arial" w:hAnsi="Arial"/>
          <w:w w:val="105"/>
          <w:sz w:val="19"/>
        </w:rPr>
        <w:t>Prepare</w:t>
      </w:r>
      <w:r>
        <w:rPr>
          <w:rFonts w:ascii="Arial" w:hAnsi="Arial"/>
          <w:spacing w:val="-26"/>
          <w:w w:val="105"/>
          <w:sz w:val="19"/>
        </w:rPr>
        <w:t xml:space="preserve"> </w:t>
      </w:r>
      <w:r>
        <w:rPr>
          <w:rFonts w:ascii="Arial" w:hAnsi="Arial"/>
          <w:w w:val="105"/>
          <w:sz w:val="19"/>
        </w:rPr>
        <w:t>and</w:t>
      </w:r>
      <w:r>
        <w:rPr>
          <w:rFonts w:ascii="Arial" w:hAnsi="Arial"/>
          <w:spacing w:val="-26"/>
          <w:w w:val="105"/>
          <w:sz w:val="19"/>
        </w:rPr>
        <w:t xml:space="preserve"> </w:t>
      </w:r>
      <w:r>
        <w:rPr>
          <w:rFonts w:ascii="Arial" w:hAnsi="Arial"/>
          <w:w w:val="105"/>
          <w:sz w:val="19"/>
        </w:rPr>
        <w:t>submit</w:t>
      </w:r>
      <w:r>
        <w:rPr>
          <w:rFonts w:ascii="Arial" w:hAnsi="Arial"/>
          <w:spacing w:val="-26"/>
          <w:w w:val="105"/>
          <w:sz w:val="19"/>
        </w:rPr>
        <w:t xml:space="preserve"> </w:t>
      </w:r>
      <w:r>
        <w:rPr>
          <w:rFonts w:ascii="Arial" w:hAnsi="Arial"/>
          <w:w w:val="105"/>
          <w:sz w:val="19"/>
        </w:rPr>
        <w:t>application</w:t>
      </w:r>
      <w:r>
        <w:rPr>
          <w:rFonts w:ascii="Arial" w:hAnsi="Arial"/>
          <w:spacing w:val="-24"/>
          <w:w w:val="105"/>
          <w:sz w:val="19"/>
        </w:rPr>
        <w:t xml:space="preserve"> </w:t>
      </w:r>
      <w:r>
        <w:rPr>
          <w:rFonts w:ascii="Arial" w:hAnsi="Arial"/>
          <w:w w:val="105"/>
          <w:sz w:val="19"/>
        </w:rPr>
        <w:t>for</w:t>
      </w:r>
      <w:r>
        <w:rPr>
          <w:rFonts w:ascii="Arial" w:hAnsi="Arial"/>
          <w:spacing w:val="-24"/>
          <w:w w:val="105"/>
          <w:sz w:val="19"/>
        </w:rPr>
        <w:t xml:space="preserve"> </w:t>
      </w:r>
      <w:r>
        <w:rPr>
          <w:rFonts w:ascii="Arial" w:hAnsi="Arial"/>
          <w:w w:val="105"/>
          <w:sz w:val="19"/>
        </w:rPr>
        <w:t>a</w:t>
      </w:r>
      <w:r>
        <w:rPr>
          <w:rFonts w:ascii="Arial" w:hAnsi="Arial"/>
          <w:spacing w:val="-26"/>
          <w:w w:val="105"/>
          <w:sz w:val="19"/>
        </w:rPr>
        <w:t xml:space="preserve"> </w:t>
      </w:r>
      <w:r>
        <w:rPr>
          <w:rFonts w:ascii="Arial" w:hAnsi="Arial"/>
          <w:w w:val="105"/>
          <w:sz w:val="19"/>
        </w:rPr>
        <w:t>new</w:t>
      </w:r>
      <w:r>
        <w:rPr>
          <w:rFonts w:ascii="Arial" w:hAnsi="Arial"/>
          <w:spacing w:val="-24"/>
          <w:w w:val="105"/>
          <w:sz w:val="19"/>
        </w:rPr>
        <w:t xml:space="preserve"> </w:t>
      </w:r>
      <w:r>
        <w:rPr>
          <w:rFonts w:ascii="Arial" w:hAnsi="Arial"/>
          <w:w w:val="105"/>
          <w:sz w:val="19"/>
        </w:rPr>
        <w:t>ingredient</w:t>
      </w:r>
      <w:r>
        <w:rPr>
          <w:rFonts w:ascii="Arial" w:hAnsi="Arial"/>
          <w:spacing w:val="-26"/>
          <w:w w:val="105"/>
          <w:sz w:val="19"/>
        </w:rPr>
        <w:t xml:space="preserve"> </w:t>
      </w:r>
      <w:r>
        <w:rPr>
          <w:rFonts w:ascii="Arial" w:hAnsi="Arial"/>
          <w:w w:val="105"/>
          <w:sz w:val="19"/>
        </w:rPr>
        <w:t>to</w:t>
      </w:r>
      <w:r>
        <w:rPr>
          <w:rFonts w:ascii="Arial" w:hAnsi="Arial"/>
          <w:spacing w:val="-25"/>
          <w:w w:val="105"/>
          <w:sz w:val="19"/>
        </w:rPr>
        <w:t xml:space="preserve"> </w:t>
      </w:r>
      <w:r>
        <w:rPr>
          <w:rFonts w:ascii="Arial" w:hAnsi="Arial"/>
          <w:w w:val="105"/>
          <w:sz w:val="19"/>
        </w:rPr>
        <w:t>be</w:t>
      </w:r>
      <w:r>
        <w:rPr>
          <w:rFonts w:ascii="Arial" w:hAnsi="Arial"/>
          <w:spacing w:val="-26"/>
          <w:w w:val="105"/>
          <w:sz w:val="19"/>
        </w:rPr>
        <w:t xml:space="preserve"> </w:t>
      </w:r>
      <w:r>
        <w:rPr>
          <w:rFonts w:ascii="Arial" w:hAnsi="Arial"/>
          <w:w w:val="105"/>
          <w:sz w:val="19"/>
        </w:rPr>
        <w:t>added</w:t>
      </w:r>
      <w:r>
        <w:rPr>
          <w:rFonts w:ascii="Arial" w:hAnsi="Arial"/>
          <w:spacing w:val="-21"/>
          <w:w w:val="105"/>
          <w:sz w:val="19"/>
        </w:rPr>
        <w:t xml:space="preserve"> </w:t>
      </w:r>
      <w:r>
        <w:rPr>
          <w:rFonts w:ascii="Arial" w:hAnsi="Arial"/>
          <w:w w:val="105"/>
          <w:sz w:val="19"/>
        </w:rPr>
        <w:t>to</w:t>
      </w:r>
      <w:r>
        <w:rPr>
          <w:rFonts w:ascii="Arial" w:hAnsi="Arial"/>
          <w:spacing w:val="-25"/>
          <w:w w:val="105"/>
          <w:sz w:val="19"/>
        </w:rPr>
        <w:t xml:space="preserve"> </w:t>
      </w:r>
      <w:r>
        <w:rPr>
          <w:rFonts w:ascii="Arial" w:hAnsi="Arial"/>
          <w:w w:val="105"/>
          <w:sz w:val="19"/>
        </w:rPr>
        <w:t>the</w:t>
      </w:r>
      <w:r>
        <w:rPr>
          <w:rFonts w:ascii="Arial" w:hAnsi="Arial"/>
          <w:spacing w:val="-25"/>
          <w:w w:val="105"/>
          <w:sz w:val="19"/>
        </w:rPr>
        <w:t xml:space="preserve"> </w:t>
      </w:r>
      <w:r>
        <w:rPr>
          <w:rFonts w:ascii="Arial" w:hAnsi="Arial"/>
          <w:w w:val="105"/>
          <w:sz w:val="19"/>
        </w:rPr>
        <w:t>Permissible</w:t>
      </w:r>
      <w:r>
        <w:rPr>
          <w:rFonts w:ascii="Arial" w:hAnsi="Arial"/>
          <w:spacing w:val="-24"/>
          <w:w w:val="105"/>
          <w:sz w:val="19"/>
        </w:rPr>
        <w:t xml:space="preserve"> </w:t>
      </w:r>
      <w:r>
        <w:rPr>
          <w:rFonts w:ascii="Arial" w:hAnsi="Arial"/>
          <w:w w:val="105"/>
          <w:sz w:val="19"/>
        </w:rPr>
        <w:t>Ingredients Determination:</w:t>
      </w:r>
      <w:r>
        <w:rPr>
          <w:rFonts w:ascii="Arial" w:hAnsi="Arial"/>
          <w:spacing w:val="-17"/>
          <w:w w:val="105"/>
          <w:sz w:val="19"/>
        </w:rPr>
        <w:t xml:space="preserve"> </w:t>
      </w:r>
      <w:r>
        <w:rPr>
          <w:rFonts w:ascii="Arial" w:hAnsi="Arial"/>
          <w:w w:val="105"/>
          <w:sz w:val="19"/>
        </w:rPr>
        <w:t>4</w:t>
      </w:r>
      <w:r>
        <w:rPr>
          <w:rFonts w:ascii="Arial" w:hAnsi="Arial"/>
          <w:spacing w:val="-20"/>
          <w:w w:val="105"/>
          <w:sz w:val="19"/>
        </w:rPr>
        <w:t xml:space="preserve"> </w:t>
      </w:r>
      <w:r>
        <w:rPr>
          <w:rFonts w:ascii="Arial" w:hAnsi="Arial"/>
          <w:w w:val="105"/>
          <w:sz w:val="19"/>
        </w:rPr>
        <w:t>x</w:t>
      </w:r>
      <w:r>
        <w:rPr>
          <w:rFonts w:ascii="Arial" w:hAnsi="Arial"/>
          <w:spacing w:val="-17"/>
          <w:w w:val="105"/>
          <w:sz w:val="19"/>
        </w:rPr>
        <w:t xml:space="preserve"> </w:t>
      </w:r>
      <w:r>
        <w:rPr>
          <w:rFonts w:ascii="Arial" w:hAnsi="Arial"/>
          <w:w w:val="105"/>
          <w:sz w:val="19"/>
        </w:rPr>
        <w:t>960</w:t>
      </w:r>
      <w:r>
        <w:rPr>
          <w:rFonts w:ascii="Arial" w:hAnsi="Arial"/>
          <w:spacing w:val="-17"/>
          <w:w w:val="105"/>
          <w:sz w:val="19"/>
        </w:rPr>
        <w:t xml:space="preserve"> </w:t>
      </w:r>
      <w:r>
        <w:rPr>
          <w:rFonts w:ascii="Arial" w:hAnsi="Arial"/>
          <w:w w:val="105"/>
          <w:sz w:val="19"/>
        </w:rPr>
        <w:t>(time</w:t>
      </w:r>
      <w:r>
        <w:rPr>
          <w:rFonts w:ascii="Arial" w:hAnsi="Arial"/>
          <w:spacing w:val="-17"/>
          <w:w w:val="105"/>
          <w:sz w:val="19"/>
        </w:rPr>
        <w:t xml:space="preserve"> </w:t>
      </w:r>
      <w:r>
        <w:rPr>
          <w:rFonts w:ascii="Arial" w:hAnsi="Arial"/>
          <w:w w:val="105"/>
          <w:sz w:val="19"/>
        </w:rPr>
        <w:t>taken</w:t>
      </w:r>
      <w:r>
        <w:rPr>
          <w:rFonts w:ascii="Arial" w:hAnsi="Arial"/>
          <w:spacing w:val="-19"/>
          <w:w w:val="105"/>
          <w:sz w:val="19"/>
        </w:rPr>
        <w:t xml:space="preserve"> </w:t>
      </w:r>
      <w:r>
        <w:rPr>
          <w:rFonts w:ascii="Arial" w:hAnsi="Arial"/>
          <w:w w:val="105"/>
          <w:sz w:val="19"/>
        </w:rPr>
        <w:t>to</w:t>
      </w:r>
      <w:r>
        <w:rPr>
          <w:rFonts w:ascii="Arial" w:hAnsi="Arial"/>
          <w:spacing w:val="-19"/>
          <w:w w:val="105"/>
          <w:sz w:val="19"/>
        </w:rPr>
        <w:t xml:space="preserve"> </w:t>
      </w:r>
      <w:r>
        <w:rPr>
          <w:rFonts w:ascii="Arial" w:hAnsi="Arial"/>
          <w:w w:val="105"/>
          <w:sz w:val="19"/>
        </w:rPr>
        <w:t>engage</w:t>
      </w:r>
      <w:r>
        <w:rPr>
          <w:rFonts w:ascii="Arial" w:hAnsi="Arial"/>
          <w:spacing w:val="-18"/>
          <w:w w:val="105"/>
          <w:sz w:val="19"/>
        </w:rPr>
        <w:t xml:space="preserve"> </w:t>
      </w:r>
      <w:r>
        <w:rPr>
          <w:rFonts w:ascii="Arial" w:hAnsi="Arial"/>
          <w:w w:val="105"/>
          <w:sz w:val="19"/>
        </w:rPr>
        <w:t>with</w:t>
      </w:r>
      <w:r>
        <w:rPr>
          <w:rFonts w:ascii="Arial" w:hAnsi="Arial"/>
          <w:spacing w:val="-19"/>
          <w:w w:val="105"/>
          <w:sz w:val="19"/>
        </w:rPr>
        <w:t xml:space="preserve"> </w:t>
      </w:r>
      <w:r>
        <w:rPr>
          <w:rFonts w:ascii="Arial" w:hAnsi="Arial"/>
          <w:w w:val="105"/>
          <w:sz w:val="19"/>
        </w:rPr>
        <w:t>TGA)</w:t>
      </w:r>
      <w:r>
        <w:rPr>
          <w:rFonts w:ascii="Arial" w:hAnsi="Arial"/>
          <w:spacing w:val="-20"/>
          <w:w w:val="105"/>
          <w:sz w:val="19"/>
        </w:rPr>
        <w:t xml:space="preserve"> </w:t>
      </w:r>
      <w:r>
        <w:rPr>
          <w:rFonts w:ascii="Arial" w:hAnsi="Arial"/>
          <w:w w:val="105"/>
          <w:sz w:val="19"/>
        </w:rPr>
        <w:t>+</w:t>
      </w:r>
      <w:r>
        <w:rPr>
          <w:rFonts w:ascii="Arial" w:hAnsi="Arial"/>
          <w:spacing w:val="-17"/>
          <w:w w:val="105"/>
          <w:sz w:val="19"/>
        </w:rPr>
        <w:t xml:space="preserve"> </w:t>
      </w:r>
      <w:r>
        <w:rPr>
          <w:rFonts w:ascii="Arial" w:hAnsi="Arial"/>
          <w:w w:val="105"/>
          <w:sz w:val="19"/>
        </w:rPr>
        <w:t>4</w:t>
      </w:r>
      <w:r>
        <w:rPr>
          <w:rFonts w:ascii="Arial" w:hAnsi="Arial"/>
          <w:spacing w:val="-18"/>
          <w:w w:val="105"/>
          <w:sz w:val="19"/>
        </w:rPr>
        <w:t xml:space="preserve"> </w:t>
      </w:r>
      <w:r>
        <w:rPr>
          <w:rFonts w:ascii="Arial" w:hAnsi="Arial"/>
          <w:w w:val="105"/>
          <w:sz w:val="19"/>
        </w:rPr>
        <w:t>x</w:t>
      </w:r>
      <w:r>
        <w:rPr>
          <w:rFonts w:ascii="Arial" w:hAnsi="Arial"/>
          <w:spacing w:val="-17"/>
          <w:w w:val="105"/>
          <w:sz w:val="19"/>
        </w:rPr>
        <w:t xml:space="preserve"> </w:t>
      </w:r>
      <w:r>
        <w:rPr>
          <w:rFonts w:ascii="Arial" w:hAnsi="Arial"/>
          <w:w w:val="105"/>
          <w:sz w:val="19"/>
        </w:rPr>
        <w:t>2160</w:t>
      </w:r>
      <w:r>
        <w:rPr>
          <w:rFonts w:ascii="Arial" w:hAnsi="Arial"/>
          <w:spacing w:val="-19"/>
          <w:w w:val="105"/>
          <w:sz w:val="19"/>
        </w:rPr>
        <w:t xml:space="preserve"> </w:t>
      </w:r>
      <w:r>
        <w:rPr>
          <w:rFonts w:ascii="Arial" w:hAnsi="Arial"/>
          <w:w w:val="105"/>
          <w:sz w:val="19"/>
        </w:rPr>
        <w:t>(time</w:t>
      </w:r>
      <w:r>
        <w:rPr>
          <w:rFonts w:ascii="Arial" w:hAnsi="Arial"/>
          <w:spacing w:val="-19"/>
          <w:w w:val="105"/>
          <w:sz w:val="19"/>
        </w:rPr>
        <w:t xml:space="preserve"> </w:t>
      </w:r>
      <w:r>
        <w:rPr>
          <w:rFonts w:ascii="Arial" w:hAnsi="Arial"/>
          <w:w w:val="105"/>
          <w:sz w:val="19"/>
        </w:rPr>
        <w:t>taken</w:t>
      </w:r>
      <w:r>
        <w:rPr>
          <w:rFonts w:ascii="Arial" w:hAnsi="Arial"/>
          <w:spacing w:val="-19"/>
          <w:w w:val="105"/>
          <w:sz w:val="19"/>
        </w:rPr>
        <w:t xml:space="preserve"> </w:t>
      </w:r>
      <w:r>
        <w:rPr>
          <w:rFonts w:ascii="Arial" w:hAnsi="Arial"/>
          <w:w w:val="105"/>
          <w:sz w:val="19"/>
        </w:rPr>
        <w:t>to</w:t>
      </w:r>
      <w:r>
        <w:rPr>
          <w:rFonts w:ascii="Arial" w:hAnsi="Arial"/>
          <w:spacing w:val="-19"/>
          <w:w w:val="105"/>
          <w:sz w:val="19"/>
        </w:rPr>
        <w:t xml:space="preserve"> </w:t>
      </w:r>
      <w:r>
        <w:rPr>
          <w:rFonts w:ascii="Arial" w:hAnsi="Arial"/>
          <w:w w:val="105"/>
          <w:sz w:val="19"/>
        </w:rPr>
        <w:t>engage</w:t>
      </w:r>
      <w:r>
        <w:rPr>
          <w:rFonts w:ascii="Arial" w:hAnsi="Arial"/>
          <w:spacing w:val="-17"/>
          <w:w w:val="105"/>
          <w:sz w:val="19"/>
        </w:rPr>
        <w:t xml:space="preserve"> </w:t>
      </w:r>
      <w:r>
        <w:rPr>
          <w:rFonts w:ascii="Arial" w:hAnsi="Arial"/>
          <w:w w:val="105"/>
          <w:sz w:val="19"/>
        </w:rPr>
        <w:t>with regulatory</w:t>
      </w:r>
      <w:r>
        <w:rPr>
          <w:rFonts w:ascii="Arial" w:hAnsi="Arial"/>
          <w:spacing w:val="-12"/>
          <w:w w:val="105"/>
          <w:sz w:val="19"/>
        </w:rPr>
        <w:t xml:space="preserve"> </w:t>
      </w:r>
      <w:r>
        <w:rPr>
          <w:rFonts w:ascii="Arial" w:hAnsi="Arial"/>
          <w:w w:val="105"/>
          <w:sz w:val="19"/>
        </w:rPr>
        <w:t>affairs</w:t>
      </w:r>
      <w:r>
        <w:rPr>
          <w:rFonts w:ascii="Arial" w:hAnsi="Arial"/>
          <w:spacing w:val="-14"/>
          <w:w w:val="105"/>
          <w:sz w:val="19"/>
        </w:rPr>
        <w:t xml:space="preserve"> </w:t>
      </w:r>
      <w:r>
        <w:rPr>
          <w:rFonts w:ascii="Arial" w:hAnsi="Arial"/>
          <w:w w:val="105"/>
          <w:sz w:val="19"/>
        </w:rPr>
        <w:t>consultant)</w:t>
      </w:r>
      <w:r>
        <w:rPr>
          <w:rFonts w:ascii="Arial" w:hAnsi="Arial"/>
          <w:spacing w:val="-12"/>
          <w:w w:val="105"/>
          <w:sz w:val="19"/>
        </w:rPr>
        <w:t xml:space="preserve"> </w:t>
      </w:r>
      <w:r>
        <w:rPr>
          <w:rFonts w:ascii="Arial" w:hAnsi="Arial"/>
          <w:w w:val="105"/>
          <w:sz w:val="19"/>
        </w:rPr>
        <w:t>=</w:t>
      </w:r>
      <w:r>
        <w:rPr>
          <w:rFonts w:ascii="Arial" w:hAnsi="Arial"/>
          <w:spacing w:val="-9"/>
          <w:w w:val="105"/>
          <w:sz w:val="19"/>
        </w:rPr>
        <w:t xml:space="preserve"> </w:t>
      </w:r>
      <w:r>
        <w:rPr>
          <w:rFonts w:ascii="Arial" w:hAnsi="Arial"/>
          <w:w w:val="105"/>
          <w:sz w:val="19"/>
        </w:rPr>
        <w:t>4</w:t>
      </w:r>
      <w:r>
        <w:rPr>
          <w:rFonts w:ascii="Arial" w:hAnsi="Arial"/>
          <w:spacing w:val="-11"/>
          <w:w w:val="105"/>
          <w:sz w:val="19"/>
        </w:rPr>
        <w:t xml:space="preserve"> </w:t>
      </w:r>
      <w:r>
        <w:rPr>
          <w:rFonts w:ascii="Arial" w:hAnsi="Arial"/>
          <w:w w:val="105"/>
          <w:sz w:val="19"/>
        </w:rPr>
        <w:t>x</w:t>
      </w:r>
      <w:r>
        <w:rPr>
          <w:rFonts w:ascii="Arial" w:hAnsi="Arial"/>
          <w:spacing w:val="-13"/>
          <w:w w:val="105"/>
          <w:sz w:val="19"/>
        </w:rPr>
        <w:t xml:space="preserve"> </w:t>
      </w:r>
      <w:r>
        <w:rPr>
          <w:rFonts w:ascii="Arial" w:hAnsi="Arial"/>
          <w:w w:val="105"/>
          <w:sz w:val="19"/>
        </w:rPr>
        <w:t>3,120</w:t>
      </w:r>
      <w:r>
        <w:rPr>
          <w:rFonts w:ascii="Arial" w:hAnsi="Arial"/>
          <w:spacing w:val="-13"/>
          <w:w w:val="105"/>
          <w:sz w:val="19"/>
        </w:rPr>
        <w:t xml:space="preserve"> </w:t>
      </w:r>
      <w:r>
        <w:rPr>
          <w:rFonts w:ascii="Arial" w:hAnsi="Arial"/>
          <w:w w:val="105"/>
          <w:sz w:val="19"/>
        </w:rPr>
        <w:t>=</w:t>
      </w:r>
      <w:r>
        <w:rPr>
          <w:rFonts w:ascii="Arial" w:hAnsi="Arial"/>
          <w:spacing w:val="-10"/>
          <w:w w:val="105"/>
          <w:sz w:val="19"/>
        </w:rPr>
        <w:t xml:space="preserve"> </w:t>
      </w:r>
      <w:r>
        <w:rPr>
          <w:rFonts w:ascii="Arial" w:hAnsi="Arial"/>
          <w:w w:val="105"/>
          <w:sz w:val="19"/>
        </w:rPr>
        <w:t>12,480</w:t>
      </w:r>
      <w:r>
        <w:rPr>
          <w:rFonts w:ascii="Arial" w:hAnsi="Arial"/>
          <w:spacing w:val="-13"/>
          <w:w w:val="105"/>
          <w:sz w:val="19"/>
        </w:rPr>
        <w:t xml:space="preserve"> </w:t>
      </w:r>
      <w:r>
        <w:rPr>
          <w:rFonts w:ascii="Arial" w:hAnsi="Arial"/>
          <w:w w:val="105"/>
          <w:sz w:val="19"/>
        </w:rPr>
        <w:t>minutes</w:t>
      </w:r>
    </w:p>
    <w:p w:rsidR="007D76BB" w:rsidRDefault="00D70D28">
      <w:pPr>
        <w:spacing w:before="67"/>
        <w:ind w:left="482"/>
        <w:jc w:val="both"/>
        <w:rPr>
          <w:rFonts w:ascii="Arial"/>
          <w:sz w:val="19"/>
        </w:rPr>
      </w:pPr>
      <w:r>
        <w:rPr>
          <w:rFonts w:ascii="Arial"/>
          <w:i/>
          <w:w w:val="105"/>
          <w:sz w:val="20"/>
        </w:rPr>
        <w:t xml:space="preserve">Step 2. </w:t>
      </w:r>
      <w:r>
        <w:rPr>
          <w:rFonts w:ascii="Arial"/>
          <w:w w:val="105"/>
          <w:sz w:val="19"/>
        </w:rPr>
        <w:t>Calculate total time in hours to fulfil regulatory requirement: 12,480/60 = 208 hours</w:t>
      </w:r>
    </w:p>
    <w:p w:rsidR="007D76BB" w:rsidRDefault="00D70D28">
      <w:pPr>
        <w:spacing w:before="152"/>
        <w:ind w:left="482"/>
        <w:jc w:val="both"/>
        <w:rPr>
          <w:rFonts w:ascii="Arial"/>
          <w:sz w:val="19"/>
        </w:rPr>
      </w:pPr>
      <w:r>
        <w:rPr>
          <w:rFonts w:ascii="Arial"/>
          <w:i/>
          <w:sz w:val="20"/>
        </w:rPr>
        <w:t>Step 3</w:t>
      </w:r>
      <w:r>
        <w:rPr>
          <w:rFonts w:ascii="Arial"/>
          <w:sz w:val="19"/>
        </w:rPr>
        <w:t>.</w:t>
      </w:r>
    </w:p>
    <w:p w:rsidR="007D76BB" w:rsidRDefault="00D70D28">
      <w:pPr>
        <w:pStyle w:val="ListParagraph"/>
        <w:numPr>
          <w:ilvl w:val="1"/>
          <w:numId w:val="5"/>
        </w:numPr>
        <w:tabs>
          <w:tab w:val="left" w:pos="766"/>
        </w:tabs>
        <w:spacing w:before="161"/>
        <w:rPr>
          <w:rFonts w:ascii="Arial" w:hAnsi="Arial"/>
          <w:sz w:val="19"/>
        </w:rPr>
      </w:pPr>
      <w:r>
        <w:rPr>
          <w:rFonts w:ascii="Arial" w:hAnsi="Arial"/>
          <w:w w:val="110"/>
          <w:sz w:val="19"/>
        </w:rPr>
        <w:t>Apply</w:t>
      </w:r>
      <w:r>
        <w:rPr>
          <w:rFonts w:ascii="Arial" w:hAnsi="Arial"/>
          <w:spacing w:val="-28"/>
          <w:w w:val="110"/>
          <w:sz w:val="19"/>
        </w:rPr>
        <w:t xml:space="preserve"> </w:t>
      </w:r>
      <w:r>
        <w:rPr>
          <w:rFonts w:ascii="Arial" w:hAnsi="Arial"/>
          <w:w w:val="110"/>
          <w:sz w:val="19"/>
        </w:rPr>
        <w:t>the</w:t>
      </w:r>
      <w:r>
        <w:rPr>
          <w:rFonts w:ascii="Arial" w:hAnsi="Arial"/>
          <w:spacing w:val="-27"/>
          <w:w w:val="110"/>
          <w:sz w:val="19"/>
        </w:rPr>
        <w:t xml:space="preserve"> </w:t>
      </w:r>
      <w:r>
        <w:rPr>
          <w:rFonts w:ascii="Arial" w:hAnsi="Arial"/>
          <w:w w:val="110"/>
          <w:sz w:val="19"/>
        </w:rPr>
        <w:t>hourly</w:t>
      </w:r>
      <w:r>
        <w:rPr>
          <w:rFonts w:ascii="Arial" w:hAnsi="Arial"/>
          <w:spacing w:val="-28"/>
          <w:w w:val="110"/>
          <w:sz w:val="19"/>
        </w:rPr>
        <w:t xml:space="preserve"> </w:t>
      </w:r>
      <w:r>
        <w:rPr>
          <w:rFonts w:ascii="Arial" w:hAnsi="Arial"/>
          <w:w w:val="110"/>
          <w:sz w:val="19"/>
        </w:rPr>
        <w:t>rate</w:t>
      </w:r>
      <w:r>
        <w:rPr>
          <w:rFonts w:ascii="Arial" w:hAnsi="Arial"/>
          <w:spacing w:val="-27"/>
          <w:w w:val="110"/>
          <w:sz w:val="19"/>
        </w:rPr>
        <w:t xml:space="preserve"> </w:t>
      </w:r>
      <w:r>
        <w:rPr>
          <w:rFonts w:ascii="Arial" w:hAnsi="Arial"/>
          <w:w w:val="110"/>
          <w:sz w:val="19"/>
        </w:rPr>
        <w:t>to</w:t>
      </w:r>
      <w:r>
        <w:rPr>
          <w:rFonts w:ascii="Arial" w:hAnsi="Arial"/>
          <w:spacing w:val="-26"/>
          <w:w w:val="110"/>
          <w:sz w:val="19"/>
        </w:rPr>
        <w:t xml:space="preserve"> </w:t>
      </w:r>
      <w:r>
        <w:rPr>
          <w:rFonts w:ascii="Arial" w:hAnsi="Arial"/>
          <w:w w:val="110"/>
          <w:sz w:val="19"/>
        </w:rPr>
        <w:t>determine</w:t>
      </w:r>
      <w:r>
        <w:rPr>
          <w:rFonts w:ascii="Arial" w:hAnsi="Arial"/>
          <w:spacing w:val="-26"/>
          <w:w w:val="110"/>
          <w:sz w:val="19"/>
        </w:rPr>
        <w:t xml:space="preserve"> </w:t>
      </w:r>
      <w:r>
        <w:rPr>
          <w:rFonts w:ascii="Arial" w:hAnsi="Arial"/>
          <w:w w:val="110"/>
          <w:sz w:val="19"/>
        </w:rPr>
        <w:t>overall</w:t>
      </w:r>
      <w:r>
        <w:rPr>
          <w:rFonts w:ascii="Arial" w:hAnsi="Arial"/>
          <w:spacing w:val="-27"/>
          <w:w w:val="110"/>
          <w:sz w:val="19"/>
        </w:rPr>
        <w:t xml:space="preserve"> </w:t>
      </w:r>
      <w:r>
        <w:rPr>
          <w:rFonts w:ascii="Arial" w:hAnsi="Arial"/>
          <w:w w:val="110"/>
          <w:sz w:val="19"/>
        </w:rPr>
        <w:t>regulatory</w:t>
      </w:r>
      <w:r>
        <w:rPr>
          <w:rFonts w:ascii="Arial" w:hAnsi="Arial"/>
          <w:spacing w:val="-27"/>
          <w:w w:val="110"/>
          <w:sz w:val="19"/>
        </w:rPr>
        <w:t xml:space="preserve"> </w:t>
      </w:r>
      <w:r>
        <w:rPr>
          <w:rFonts w:ascii="Arial" w:hAnsi="Arial"/>
          <w:w w:val="110"/>
          <w:sz w:val="19"/>
        </w:rPr>
        <w:t>compliance</w:t>
      </w:r>
      <w:r>
        <w:rPr>
          <w:rFonts w:ascii="Arial" w:hAnsi="Arial"/>
          <w:spacing w:val="-26"/>
          <w:w w:val="110"/>
          <w:sz w:val="19"/>
        </w:rPr>
        <w:t xml:space="preserve"> </w:t>
      </w:r>
      <w:r>
        <w:rPr>
          <w:rFonts w:ascii="Arial" w:hAnsi="Arial"/>
          <w:w w:val="110"/>
          <w:sz w:val="19"/>
        </w:rPr>
        <w:t>cost):</w:t>
      </w:r>
      <w:r>
        <w:rPr>
          <w:rFonts w:ascii="Arial" w:hAnsi="Arial"/>
          <w:spacing w:val="-26"/>
          <w:w w:val="110"/>
          <w:sz w:val="19"/>
        </w:rPr>
        <w:t xml:space="preserve"> </w:t>
      </w:r>
      <w:r>
        <w:rPr>
          <w:rFonts w:ascii="Arial" w:hAnsi="Arial"/>
          <w:w w:val="110"/>
          <w:sz w:val="19"/>
        </w:rPr>
        <w:t>208</w:t>
      </w:r>
      <w:r>
        <w:rPr>
          <w:rFonts w:ascii="Arial" w:hAnsi="Arial"/>
          <w:spacing w:val="-28"/>
          <w:w w:val="110"/>
          <w:sz w:val="19"/>
        </w:rPr>
        <w:t xml:space="preserve"> </w:t>
      </w:r>
      <w:r>
        <w:rPr>
          <w:rFonts w:ascii="Arial" w:hAnsi="Arial"/>
          <w:w w:val="110"/>
          <w:sz w:val="19"/>
        </w:rPr>
        <w:t>x</w:t>
      </w:r>
      <w:r>
        <w:rPr>
          <w:rFonts w:ascii="Arial" w:hAnsi="Arial"/>
          <w:spacing w:val="-26"/>
          <w:w w:val="110"/>
          <w:sz w:val="19"/>
        </w:rPr>
        <w:t xml:space="preserve"> </w:t>
      </w:r>
      <w:r>
        <w:rPr>
          <w:rFonts w:ascii="Arial" w:hAnsi="Arial"/>
          <w:w w:val="110"/>
          <w:sz w:val="19"/>
        </w:rPr>
        <w:t>$84.84=</w:t>
      </w:r>
      <w:r>
        <w:rPr>
          <w:rFonts w:ascii="Arial" w:hAnsi="Arial"/>
          <w:spacing w:val="-26"/>
          <w:w w:val="110"/>
          <w:sz w:val="19"/>
        </w:rPr>
        <w:t xml:space="preserve"> </w:t>
      </w:r>
      <w:r>
        <w:rPr>
          <w:rFonts w:ascii="Arial" w:hAnsi="Arial"/>
          <w:w w:val="110"/>
          <w:sz w:val="19"/>
        </w:rPr>
        <w:t>$17,647</w:t>
      </w:r>
    </w:p>
    <w:p w:rsidR="007D76BB" w:rsidRDefault="00D70D28">
      <w:pPr>
        <w:pStyle w:val="ListParagraph"/>
        <w:numPr>
          <w:ilvl w:val="1"/>
          <w:numId w:val="5"/>
        </w:numPr>
        <w:tabs>
          <w:tab w:val="left" w:pos="766"/>
        </w:tabs>
        <w:spacing w:before="101"/>
        <w:rPr>
          <w:rFonts w:ascii="Arial" w:hAnsi="Arial"/>
          <w:sz w:val="19"/>
        </w:rPr>
      </w:pPr>
      <w:r>
        <w:rPr>
          <w:rFonts w:ascii="Arial" w:hAnsi="Arial"/>
          <w:w w:val="105"/>
          <w:sz w:val="19"/>
        </w:rPr>
        <w:t>Add</w:t>
      </w:r>
      <w:r>
        <w:rPr>
          <w:rFonts w:ascii="Arial" w:hAnsi="Arial"/>
          <w:spacing w:val="-15"/>
          <w:w w:val="105"/>
          <w:sz w:val="19"/>
        </w:rPr>
        <w:t xml:space="preserve"> </w:t>
      </w:r>
      <w:r>
        <w:rPr>
          <w:rFonts w:ascii="Arial" w:hAnsi="Arial"/>
          <w:w w:val="105"/>
          <w:sz w:val="19"/>
        </w:rPr>
        <w:t>the</w:t>
      </w:r>
      <w:r>
        <w:rPr>
          <w:rFonts w:ascii="Arial" w:hAnsi="Arial"/>
          <w:spacing w:val="-12"/>
          <w:w w:val="105"/>
          <w:sz w:val="19"/>
        </w:rPr>
        <w:t xml:space="preserve"> </w:t>
      </w:r>
      <w:r>
        <w:rPr>
          <w:rFonts w:ascii="Arial" w:hAnsi="Arial"/>
          <w:w w:val="105"/>
          <w:sz w:val="19"/>
        </w:rPr>
        <w:t>regulatory</w:t>
      </w:r>
      <w:r>
        <w:rPr>
          <w:rFonts w:ascii="Arial" w:hAnsi="Arial"/>
          <w:spacing w:val="-14"/>
          <w:w w:val="105"/>
          <w:sz w:val="19"/>
        </w:rPr>
        <w:t xml:space="preserve"> </w:t>
      </w:r>
      <w:r>
        <w:rPr>
          <w:rFonts w:ascii="Arial" w:hAnsi="Arial"/>
          <w:w w:val="105"/>
          <w:sz w:val="19"/>
        </w:rPr>
        <w:t>consultant</w:t>
      </w:r>
      <w:r>
        <w:rPr>
          <w:rFonts w:ascii="Arial" w:hAnsi="Arial"/>
          <w:spacing w:val="-14"/>
          <w:w w:val="105"/>
          <w:sz w:val="19"/>
        </w:rPr>
        <w:t xml:space="preserve"> </w:t>
      </w:r>
      <w:r>
        <w:rPr>
          <w:rFonts w:ascii="Arial" w:hAnsi="Arial"/>
          <w:w w:val="105"/>
          <w:sz w:val="19"/>
        </w:rPr>
        <w:t>charges:</w:t>
      </w:r>
      <w:r>
        <w:rPr>
          <w:rFonts w:ascii="Arial" w:hAnsi="Arial"/>
          <w:spacing w:val="-13"/>
          <w:w w:val="105"/>
          <w:sz w:val="19"/>
        </w:rPr>
        <w:t xml:space="preserve"> </w:t>
      </w:r>
      <w:r>
        <w:rPr>
          <w:rFonts w:ascii="Arial" w:hAnsi="Arial"/>
          <w:w w:val="105"/>
          <w:sz w:val="19"/>
        </w:rPr>
        <w:t>$17,647</w:t>
      </w:r>
      <w:r>
        <w:rPr>
          <w:rFonts w:ascii="Arial" w:hAnsi="Arial"/>
          <w:spacing w:val="-13"/>
          <w:w w:val="105"/>
          <w:sz w:val="19"/>
        </w:rPr>
        <w:t xml:space="preserve"> </w:t>
      </w:r>
      <w:r>
        <w:rPr>
          <w:rFonts w:ascii="Arial" w:hAnsi="Arial"/>
          <w:w w:val="105"/>
          <w:sz w:val="19"/>
        </w:rPr>
        <w:t>+</w:t>
      </w:r>
      <w:r>
        <w:rPr>
          <w:rFonts w:ascii="Arial" w:hAnsi="Arial"/>
          <w:spacing w:val="-13"/>
          <w:w w:val="105"/>
          <w:sz w:val="19"/>
        </w:rPr>
        <w:t xml:space="preserve"> </w:t>
      </w:r>
      <w:r>
        <w:rPr>
          <w:rFonts w:ascii="Arial" w:hAnsi="Arial"/>
          <w:w w:val="105"/>
          <w:sz w:val="19"/>
        </w:rPr>
        <w:t>$120,000</w:t>
      </w:r>
      <w:r>
        <w:rPr>
          <w:rFonts w:ascii="Arial" w:hAnsi="Arial"/>
          <w:spacing w:val="-12"/>
          <w:w w:val="105"/>
          <w:sz w:val="19"/>
        </w:rPr>
        <w:t xml:space="preserve"> </w:t>
      </w:r>
      <w:r>
        <w:rPr>
          <w:rFonts w:ascii="Arial" w:hAnsi="Arial"/>
          <w:w w:val="105"/>
          <w:sz w:val="19"/>
        </w:rPr>
        <w:t>=</w:t>
      </w:r>
      <w:r>
        <w:rPr>
          <w:rFonts w:ascii="Arial" w:hAnsi="Arial"/>
          <w:spacing w:val="-16"/>
          <w:w w:val="105"/>
          <w:sz w:val="19"/>
        </w:rPr>
        <w:t xml:space="preserve"> </w:t>
      </w:r>
      <w:r>
        <w:rPr>
          <w:rFonts w:ascii="Arial" w:hAnsi="Arial"/>
          <w:w w:val="105"/>
          <w:sz w:val="19"/>
        </w:rPr>
        <w:t>$137,647</w:t>
      </w:r>
    </w:p>
    <w:p w:rsidR="007D76BB" w:rsidRDefault="00D70D28">
      <w:pPr>
        <w:spacing w:before="93"/>
        <w:ind w:left="482"/>
        <w:rPr>
          <w:rFonts w:ascii="Arial"/>
          <w:i/>
          <w:sz w:val="20"/>
        </w:rPr>
      </w:pPr>
      <w:r>
        <w:rPr>
          <w:rFonts w:ascii="Arial"/>
          <w:i/>
          <w:sz w:val="20"/>
        </w:rPr>
        <w:t>Future population</w:t>
      </w:r>
    </w:p>
    <w:p w:rsidR="007D76BB" w:rsidRDefault="00D70D28">
      <w:pPr>
        <w:spacing w:before="90"/>
        <w:ind w:left="482"/>
        <w:rPr>
          <w:rFonts w:ascii="Arial"/>
          <w:sz w:val="19"/>
        </w:rPr>
      </w:pPr>
      <w:r>
        <w:rPr>
          <w:rFonts w:ascii="Arial"/>
          <w:i/>
          <w:sz w:val="20"/>
        </w:rPr>
        <w:t>Step 1</w:t>
      </w:r>
      <w:r>
        <w:rPr>
          <w:rFonts w:ascii="Arial"/>
          <w:sz w:val="19"/>
        </w:rPr>
        <w:t>. Calculate total time in minutes to fulfil regulatory requirement:</w:t>
      </w:r>
    </w:p>
    <w:p w:rsidR="007D76BB" w:rsidRDefault="00D70D28">
      <w:pPr>
        <w:pStyle w:val="ListParagraph"/>
        <w:numPr>
          <w:ilvl w:val="1"/>
          <w:numId w:val="5"/>
        </w:numPr>
        <w:tabs>
          <w:tab w:val="left" w:pos="766"/>
        </w:tabs>
        <w:spacing w:before="159" w:line="264" w:lineRule="auto"/>
        <w:ind w:right="1072"/>
        <w:rPr>
          <w:rFonts w:ascii="Arial" w:hAnsi="Arial"/>
          <w:sz w:val="19"/>
        </w:rPr>
      </w:pPr>
      <w:r>
        <w:rPr>
          <w:rFonts w:ascii="Arial" w:hAnsi="Arial"/>
          <w:sz w:val="19"/>
        </w:rPr>
        <w:t>Prepare and submit application for a new ingredient to be added to the Permissible Ingredients Determination: 1 x 960 (time taken to engage with TGA) + 1 x 2160 (time taken to engage with regulatory</w:t>
      </w:r>
      <w:r>
        <w:rPr>
          <w:rFonts w:ascii="Arial" w:hAnsi="Arial"/>
          <w:spacing w:val="-8"/>
          <w:sz w:val="19"/>
        </w:rPr>
        <w:t xml:space="preserve"> </w:t>
      </w:r>
      <w:r>
        <w:rPr>
          <w:rFonts w:ascii="Arial" w:hAnsi="Arial"/>
          <w:sz w:val="19"/>
        </w:rPr>
        <w:t>affairs</w:t>
      </w:r>
      <w:r>
        <w:rPr>
          <w:rFonts w:ascii="Arial" w:hAnsi="Arial"/>
          <w:spacing w:val="-9"/>
          <w:sz w:val="19"/>
        </w:rPr>
        <w:t xml:space="preserve"> </w:t>
      </w:r>
      <w:r>
        <w:rPr>
          <w:rFonts w:ascii="Arial" w:hAnsi="Arial"/>
          <w:sz w:val="19"/>
        </w:rPr>
        <w:t>consultant)</w:t>
      </w:r>
      <w:r>
        <w:rPr>
          <w:rFonts w:ascii="Arial" w:hAnsi="Arial"/>
          <w:spacing w:val="-7"/>
          <w:sz w:val="19"/>
        </w:rPr>
        <w:t xml:space="preserve"> </w:t>
      </w:r>
      <w:r>
        <w:rPr>
          <w:rFonts w:ascii="Arial" w:hAnsi="Arial"/>
          <w:sz w:val="19"/>
        </w:rPr>
        <w:t>=</w:t>
      </w:r>
      <w:r>
        <w:rPr>
          <w:rFonts w:ascii="Arial" w:hAnsi="Arial"/>
          <w:spacing w:val="-7"/>
          <w:sz w:val="19"/>
        </w:rPr>
        <w:t xml:space="preserve"> </w:t>
      </w:r>
      <w:r>
        <w:rPr>
          <w:rFonts w:ascii="Arial" w:hAnsi="Arial"/>
          <w:sz w:val="19"/>
        </w:rPr>
        <w:t>1</w:t>
      </w:r>
      <w:r>
        <w:rPr>
          <w:rFonts w:ascii="Arial" w:hAnsi="Arial"/>
          <w:spacing w:val="-5"/>
          <w:sz w:val="19"/>
        </w:rPr>
        <w:t xml:space="preserve"> </w:t>
      </w:r>
      <w:r>
        <w:rPr>
          <w:rFonts w:ascii="Arial" w:hAnsi="Arial"/>
          <w:sz w:val="19"/>
        </w:rPr>
        <w:t>x</w:t>
      </w:r>
      <w:r>
        <w:rPr>
          <w:rFonts w:ascii="Arial" w:hAnsi="Arial"/>
          <w:spacing w:val="-6"/>
          <w:sz w:val="19"/>
        </w:rPr>
        <w:t xml:space="preserve"> </w:t>
      </w:r>
      <w:r>
        <w:rPr>
          <w:rFonts w:ascii="Arial" w:hAnsi="Arial"/>
          <w:sz w:val="19"/>
        </w:rPr>
        <w:t>3,120</w:t>
      </w:r>
      <w:r>
        <w:rPr>
          <w:rFonts w:ascii="Arial" w:hAnsi="Arial"/>
          <w:spacing w:val="-6"/>
          <w:sz w:val="19"/>
        </w:rPr>
        <w:t xml:space="preserve"> </w:t>
      </w:r>
      <w:r>
        <w:rPr>
          <w:rFonts w:ascii="Arial" w:hAnsi="Arial"/>
          <w:sz w:val="19"/>
        </w:rPr>
        <w:t>=</w:t>
      </w:r>
      <w:r>
        <w:rPr>
          <w:rFonts w:ascii="Arial" w:hAnsi="Arial"/>
          <w:spacing w:val="-9"/>
          <w:sz w:val="19"/>
        </w:rPr>
        <w:t xml:space="preserve"> </w:t>
      </w:r>
      <w:r>
        <w:rPr>
          <w:rFonts w:ascii="Arial" w:hAnsi="Arial"/>
          <w:sz w:val="19"/>
        </w:rPr>
        <w:t>3,120</w:t>
      </w:r>
      <w:r>
        <w:rPr>
          <w:rFonts w:ascii="Arial" w:hAnsi="Arial"/>
          <w:spacing w:val="-6"/>
          <w:sz w:val="19"/>
        </w:rPr>
        <w:t xml:space="preserve"> </w:t>
      </w:r>
      <w:r>
        <w:rPr>
          <w:rFonts w:ascii="Arial" w:hAnsi="Arial"/>
          <w:sz w:val="19"/>
        </w:rPr>
        <w:t>minutes</w:t>
      </w:r>
    </w:p>
    <w:p w:rsidR="007D76BB" w:rsidRDefault="00D70D28">
      <w:pPr>
        <w:spacing w:before="73"/>
        <w:ind w:left="482"/>
        <w:rPr>
          <w:rFonts w:ascii="Arial"/>
          <w:sz w:val="19"/>
        </w:rPr>
      </w:pPr>
      <w:r>
        <w:rPr>
          <w:rFonts w:ascii="Arial"/>
          <w:i/>
          <w:spacing w:val="-1"/>
          <w:w w:val="85"/>
          <w:sz w:val="20"/>
        </w:rPr>
        <w:t>S</w:t>
      </w:r>
      <w:r>
        <w:rPr>
          <w:rFonts w:ascii="Arial"/>
          <w:i/>
          <w:w w:val="127"/>
          <w:sz w:val="20"/>
        </w:rPr>
        <w:t>t</w:t>
      </w:r>
      <w:r>
        <w:rPr>
          <w:rFonts w:ascii="Arial"/>
          <w:i/>
          <w:w w:val="91"/>
          <w:sz w:val="20"/>
        </w:rPr>
        <w:t>e</w:t>
      </w:r>
      <w:r>
        <w:rPr>
          <w:rFonts w:ascii="Arial"/>
          <w:i/>
          <w:w w:val="96"/>
          <w:sz w:val="20"/>
        </w:rPr>
        <w:t>p</w:t>
      </w:r>
      <w:r>
        <w:rPr>
          <w:rFonts w:ascii="Arial"/>
          <w:i/>
          <w:spacing w:val="-10"/>
          <w:sz w:val="20"/>
        </w:rPr>
        <w:t xml:space="preserve"> </w:t>
      </w:r>
      <w:r>
        <w:rPr>
          <w:rFonts w:ascii="Arial"/>
          <w:i/>
          <w:spacing w:val="-1"/>
          <w:w w:val="104"/>
          <w:sz w:val="20"/>
        </w:rPr>
        <w:t>2</w:t>
      </w:r>
      <w:r>
        <w:rPr>
          <w:rFonts w:ascii="Arial"/>
          <w:i/>
          <w:w w:val="76"/>
          <w:sz w:val="20"/>
        </w:rPr>
        <w:t>.</w:t>
      </w:r>
      <w:r>
        <w:rPr>
          <w:rFonts w:ascii="Arial"/>
          <w:i/>
          <w:spacing w:val="-9"/>
          <w:sz w:val="20"/>
        </w:rPr>
        <w:t xml:space="preserve"> </w:t>
      </w:r>
      <w:r>
        <w:rPr>
          <w:rFonts w:ascii="Arial"/>
          <w:w w:val="91"/>
          <w:sz w:val="19"/>
        </w:rPr>
        <w:t>C</w:t>
      </w:r>
      <w:r>
        <w:rPr>
          <w:rFonts w:ascii="Arial"/>
          <w:spacing w:val="-2"/>
          <w:w w:val="91"/>
          <w:sz w:val="19"/>
        </w:rPr>
        <w:t>a</w:t>
      </w:r>
      <w:r>
        <w:rPr>
          <w:rFonts w:ascii="Arial"/>
          <w:w w:val="117"/>
          <w:sz w:val="19"/>
        </w:rPr>
        <w:t>l</w:t>
      </w:r>
      <w:r>
        <w:rPr>
          <w:rFonts w:ascii="Arial"/>
          <w:w w:val="99"/>
          <w:sz w:val="19"/>
        </w:rPr>
        <w:t>c</w:t>
      </w:r>
      <w:r>
        <w:rPr>
          <w:rFonts w:ascii="Arial"/>
          <w:spacing w:val="-2"/>
          <w:w w:val="101"/>
          <w:sz w:val="19"/>
        </w:rPr>
        <w:t>u</w:t>
      </w:r>
      <w:r>
        <w:rPr>
          <w:rFonts w:ascii="Arial"/>
          <w:w w:val="117"/>
          <w:sz w:val="19"/>
        </w:rPr>
        <w:t>l</w:t>
      </w:r>
      <w:r>
        <w:rPr>
          <w:rFonts w:ascii="Arial"/>
          <w:w w:val="94"/>
          <w:sz w:val="19"/>
        </w:rPr>
        <w:t>a</w:t>
      </w:r>
      <w:r>
        <w:rPr>
          <w:rFonts w:ascii="Arial"/>
          <w:spacing w:val="-2"/>
          <w:w w:val="134"/>
          <w:sz w:val="19"/>
        </w:rPr>
        <w:t>t</w:t>
      </w:r>
      <w:r>
        <w:rPr>
          <w:rFonts w:ascii="Arial"/>
          <w:w w:val="96"/>
          <w:sz w:val="19"/>
        </w:rPr>
        <w:t>e</w:t>
      </w:r>
      <w:r>
        <w:rPr>
          <w:rFonts w:ascii="Arial"/>
          <w:spacing w:val="-9"/>
          <w:sz w:val="19"/>
        </w:rPr>
        <w:t xml:space="preserve"> </w:t>
      </w:r>
      <w:r>
        <w:rPr>
          <w:rFonts w:ascii="Arial"/>
          <w:w w:val="134"/>
          <w:sz w:val="19"/>
        </w:rPr>
        <w:t>t</w:t>
      </w:r>
      <w:r>
        <w:rPr>
          <w:rFonts w:ascii="Arial"/>
          <w:w w:val="111"/>
          <w:sz w:val="19"/>
        </w:rPr>
        <w:t>ot</w:t>
      </w:r>
      <w:r>
        <w:rPr>
          <w:rFonts w:ascii="Arial"/>
          <w:w w:val="94"/>
          <w:sz w:val="19"/>
        </w:rPr>
        <w:t>a</w:t>
      </w:r>
      <w:r>
        <w:rPr>
          <w:rFonts w:ascii="Arial"/>
          <w:w w:val="117"/>
          <w:sz w:val="19"/>
        </w:rPr>
        <w:t>l</w:t>
      </w:r>
      <w:r>
        <w:rPr>
          <w:rFonts w:ascii="Arial"/>
          <w:spacing w:val="-9"/>
          <w:sz w:val="19"/>
        </w:rPr>
        <w:t xml:space="preserve"> </w:t>
      </w:r>
      <w:r>
        <w:rPr>
          <w:rFonts w:ascii="Arial"/>
          <w:w w:val="134"/>
          <w:sz w:val="19"/>
        </w:rPr>
        <w:t>t</w:t>
      </w:r>
      <w:r>
        <w:rPr>
          <w:rFonts w:ascii="Arial"/>
          <w:w w:val="104"/>
          <w:sz w:val="19"/>
        </w:rPr>
        <w:t>i</w:t>
      </w:r>
      <w:r>
        <w:rPr>
          <w:rFonts w:ascii="Arial"/>
          <w:spacing w:val="-3"/>
          <w:w w:val="104"/>
          <w:sz w:val="19"/>
        </w:rPr>
        <w:t>m</w:t>
      </w:r>
      <w:r>
        <w:rPr>
          <w:rFonts w:ascii="Arial"/>
          <w:w w:val="96"/>
          <w:sz w:val="19"/>
        </w:rPr>
        <w:t>e</w:t>
      </w:r>
      <w:r>
        <w:rPr>
          <w:rFonts w:ascii="Arial"/>
          <w:spacing w:val="-7"/>
          <w:sz w:val="19"/>
        </w:rPr>
        <w:t xml:space="preserve"> </w:t>
      </w:r>
      <w:r>
        <w:rPr>
          <w:rFonts w:ascii="Arial"/>
          <w:spacing w:val="-3"/>
          <w:w w:val="114"/>
          <w:sz w:val="19"/>
        </w:rPr>
        <w:t>i</w:t>
      </w:r>
      <w:r>
        <w:rPr>
          <w:rFonts w:ascii="Arial"/>
          <w:w w:val="101"/>
          <w:sz w:val="19"/>
        </w:rPr>
        <w:t>n</w:t>
      </w:r>
      <w:r>
        <w:rPr>
          <w:rFonts w:ascii="Arial"/>
          <w:spacing w:val="-7"/>
          <w:sz w:val="19"/>
        </w:rPr>
        <w:t xml:space="preserve"> </w:t>
      </w:r>
      <w:r>
        <w:rPr>
          <w:rFonts w:ascii="Arial"/>
          <w:spacing w:val="1"/>
          <w:w w:val="101"/>
          <w:sz w:val="19"/>
        </w:rPr>
        <w:t>h</w:t>
      </w:r>
      <w:r>
        <w:rPr>
          <w:rFonts w:ascii="Arial"/>
          <w:sz w:val="19"/>
        </w:rPr>
        <w:t>o</w:t>
      </w:r>
      <w:r>
        <w:rPr>
          <w:rFonts w:ascii="Arial"/>
          <w:spacing w:val="-2"/>
          <w:sz w:val="19"/>
        </w:rPr>
        <w:t>u</w:t>
      </w:r>
      <w:r>
        <w:rPr>
          <w:rFonts w:ascii="Arial"/>
          <w:w w:val="116"/>
          <w:sz w:val="19"/>
        </w:rPr>
        <w:t>r</w:t>
      </w:r>
      <w:r>
        <w:rPr>
          <w:rFonts w:ascii="Arial"/>
          <w:w w:val="93"/>
          <w:sz w:val="19"/>
        </w:rPr>
        <w:t>s</w:t>
      </w:r>
      <w:r>
        <w:rPr>
          <w:rFonts w:ascii="Arial"/>
          <w:spacing w:val="-8"/>
          <w:sz w:val="19"/>
        </w:rPr>
        <w:t xml:space="preserve"> </w:t>
      </w:r>
      <w:r>
        <w:rPr>
          <w:rFonts w:ascii="Arial"/>
          <w:w w:val="134"/>
          <w:sz w:val="19"/>
        </w:rPr>
        <w:t>t</w:t>
      </w:r>
      <w:r>
        <w:rPr>
          <w:rFonts w:ascii="Arial"/>
          <w:sz w:val="19"/>
        </w:rPr>
        <w:t>o</w:t>
      </w:r>
      <w:r>
        <w:rPr>
          <w:rFonts w:ascii="Arial"/>
          <w:spacing w:val="-10"/>
          <w:sz w:val="19"/>
        </w:rPr>
        <w:t xml:space="preserve"> </w:t>
      </w:r>
      <w:r>
        <w:rPr>
          <w:rFonts w:ascii="Arial"/>
          <w:spacing w:val="-1"/>
          <w:w w:val="119"/>
          <w:sz w:val="19"/>
        </w:rPr>
        <w:t>f</w:t>
      </w:r>
      <w:r>
        <w:rPr>
          <w:rFonts w:ascii="Arial"/>
          <w:spacing w:val="1"/>
          <w:w w:val="101"/>
          <w:sz w:val="19"/>
        </w:rPr>
        <w:t>u</w:t>
      </w:r>
      <w:r>
        <w:rPr>
          <w:rFonts w:ascii="Arial"/>
          <w:w w:val="117"/>
          <w:sz w:val="19"/>
        </w:rPr>
        <w:t>l</w:t>
      </w:r>
      <w:r>
        <w:rPr>
          <w:rFonts w:ascii="Arial"/>
          <w:spacing w:val="-1"/>
          <w:w w:val="119"/>
          <w:sz w:val="19"/>
        </w:rPr>
        <w:t>f</w:t>
      </w:r>
      <w:r>
        <w:rPr>
          <w:rFonts w:ascii="Arial"/>
          <w:w w:val="115"/>
          <w:sz w:val="19"/>
        </w:rPr>
        <w:t>il</w:t>
      </w:r>
      <w:r>
        <w:rPr>
          <w:rFonts w:ascii="Arial"/>
          <w:spacing w:val="-7"/>
          <w:sz w:val="19"/>
        </w:rPr>
        <w:t xml:space="preserve"> </w:t>
      </w:r>
      <w:r>
        <w:rPr>
          <w:rFonts w:ascii="Arial"/>
          <w:spacing w:val="-2"/>
          <w:w w:val="116"/>
          <w:sz w:val="19"/>
        </w:rPr>
        <w:t>r</w:t>
      </w:r>
      <w:r>
        <w:rPr>
          <w:rFonts w:ascii="Arial"/>
          <w:w w:val="96"/>
          <w:sz w:val="19"/>
        </w:rPr>
        <w:t>e</w:t>
      </w:r>
      <w:r>
        <w:rPr>
          <w:rFonts w:ascii="Arial"/>
          <w:spacing w:val="-2"/>
          <w:w w:val="101"/>
          <w:sz w:val="19"/>
        </w:rPr>
        <w:t>g</w:t>
      </w:r>
      <w:r>
        <w:rPr>
          <w:rFonts w:ascii="Arial"/>
          <w:spacing w:val="1"/>
          <w:w w:val="101"/>
          <w:sz w:val="19"/>
        </w:rPr>
        <w:t>u</w:t>
      </w:r>
      <w:r>
        <w:rPr>
          <w:rFonts w:ascii="Arial"/>
          <w:w w:val="117"/>
          <w:sz w:val="19"/>
        </w:rPr>
        <w:t>l</w:t>
      </w:r>
      <w:r>
        <w:rPr>
          <w:rFonts w:ascii="Arial"/>
          <w:spacing w:val="-2"/>
          <w:w w:val="94"/>
          <w:sz w:val="19"/>
        </w:rPr>
        <w:t>a</w:t>
      </w:r>
      <w:r>
        <w:rPr>
          <w:rFonts w:ascii="Arial"/>
          <w:w w:val="134"/>
          <w:sz w:val="19"/>
        </w:rPr>
        <w:t>t</w:t>
      </w:r>
      <w:r>
        <w:rPr>
          <w:rFonts w:ascii="Arial"/>
          <w:w w:val="106"/>
          <w:sz w:val="19"/>
        </w:rPr>
        <w:t>ory</w:t>
      </w:r>
      <w:r>
        <w:rPr>
          <w:rFonts w:ascii="Arial"/>
          <w:spacing w:val="-7"/>
          <w:sz w:val="19"/>
        </w:rPr>
        <w:t xml:space="preserve"> </w:t>
      </w:r>
      <w:r>
        <w:rPr>
          <w:rFonts w:ascii="Arial"/>
          <w:spacing w:val="-2"/>
          <w:w w:val="116"/>
          <w:sz w:val="19"/>
        </w:rPr>
        <w:t>r</w:t>
      </w:r>
      <w:r>
        <w:rPr>
          <w:rFonts w:ascii="Arial"/>
          <w:spacing w:val="-2"/>
          <w:w w:val="96"/>
          <w:sz w:val="19"/>
        </w:rPr>
        <w:t>e</w:t>
      </w:r>
      <w:r>
        <w:rPr>
          <w:rFonts w:ascii="Arial"/>
          <w:spacing w:val="1"/>
          <w:w w:val="101"/>
          <w:sz w:val="19"/>
        </w:rPr>
        <w:t>qu</w:t>
      </w:r>
      <w:r>
        <w:rPr>
          <w:rFonts w:ascii="Arial"/>
          <w:w w:val="106"/>
          <w:sz w:val="19"/>
        </w:rPr>
        <w:t>ir</w:t>
      </w:r>
      <w:r>
        <w:rPr>
          <w:rFonts w:ascii="Arial"/>
          <w:spacing w:val="1"/>
          <w:w w:val="106"/>
          <w:sz w:val="19"/>
        </w:rPr>
        <w:t>e</w:t>
      </w:r>
      <w:r>
        <w:rPr>
          <w:rFonts w:ascii="Arial"/>
          <w:spacing w:val="-3"/>
          <w:w w:val="101"/>
          <w:sz w:val="19"/>
        </w:rPr>
        <w:t>m</w:t>
      </w:r>
      <w:r>
        <w:rPr>
          <w:rFonts w:ascii="Arial"/>
          <w:w w:val="96"/>
          <w:sz w:val="19"/>
        </w:rPr>
        <w:t>e</w:t>
      </w:r>
      <w:r>
        <w:rPr>
          <w:rFonts w:ascii="Arial"/>
          <w:spacing w:val="-2"/>
          <w:w w:val="101"/>
          <w:sz w:val="19"/>
        </w:rPr>
        <w:t>n</w:t>
      </w:r>
      <w:r>
        <w:rPr>
          <w:rFonts w:ascii="Arial"/>
          <w:w w:val="134"/>
          <w:sz w:val="19"/>
        </w:rPr>
        <w:t>t</w:t>
      </w:r>
      <w:r>
        <w:rPr>
          <w:rFonts w:ascii="Arial"/>
          <w:w w:val="80"/>
          <w:sz w:val="19"/>
        </w:rPr>
        <w:t>:</w:t>
      </w:r>
      <w:r>
        <w:rPr>
          <w:rFonts w:ascii="Arial"/>
          <w:spacing w:val="-4"/>
          <w:sz w:val="19"/>
        </w:rPr>
        <w:t xml:space="preserve"> </w:t>
      </w:r>
      <w:r>
        <w:rPr>
          <w:rFonts w:ascii="Arial"/>
          <w:w w:val="108"/>
          <w:sz w:val="19"/>
        </w:rPr>
        <w:t>3</w:t>
      </w:r>
      <w:r>
        <w:rPr>
          <w:rFonts w:ascii="Arial"/>
          <w:w w:val="71"/>
          <w:sz w:val="19"/>
        </w:rPr>
        <w:t>,</w:t>
      </w:r>
      <w:r>
        <w:rPr>
          <w:rFonts w:ascii="Arial"/>
          <w:spacing w:val="1"/>
          <w:w w:val="71"/>
          <w:sz w:val="19"/>
        </w:rPr>
        <w:t>1</w:t>
      </w:r>
      <w:r>
        <w:rPr>
          <w:rFonts w:ascii="Arial"/>
          <w:spacing w:val="-1"/>
          <w:w w:val="109"/>
          <w:sz w:val="19"/>
        </w:rPr>
        <w:t>2</w:t>
      </w:r>
      <w:r>
        <w:rPr>
          <w:rFonts w:ascii="Arial"/>
          <w:spacing w:val="1"/>
          <w:w w:val="114"/>
          <w:sz w:val="19"/>
        </w:rPr>
        <w:t>0</w:t>
      </w:r>
      <w:r>
        <w:rPr>
          <w:rFonts w:ascii="Arial"/>
          <w:w w:val="175"/>
          <w:sz w:val="19"/>
        </w:rPr>
        <w:t>/</w:t>
      </w:r>
      <w:r>
        <w:rPr>
          <w:rFonts w:ascii="Arial"/>
          <w:w w:val="110"/>
          <w:sz w:val="19"/>
        </w:rPr>
        <w:t>60</w:t>
      </w:r>
      <w:r>
        <w:rPr>
          <w:rFonts w:ascii="Arial"/>
          <w:spacing w:val="-9"/>
          <w:sz w:val="19"/>
        </w:rPr>
        <w:t xml:space="preserve"> </w:t>
      </w:r>
      <w:r>
        <w:rPr>
          <w:rFonts w:ascii="Arial"/>
          <w:w w:val="110"/>
          <w:sz w:val="19"/>
        </w:rPr>
        <w:t>=</w:t>
      </w:r>
      <w:r>
        <w:rPr>
          <w:rFonts w:ascii="Arial"/>
          <w:spacing w:val="-8"/>
          <w:sz w:val="19"/>
        </w:rPr>
        <w:t xml:space="preserve"> </w:t>
      </w:r>
      <w:r>
        <w:rPr>
          <w:rFonts w:ascii="Arial"/>
          <w:w w:val="110"/>
          <w:sz w:val="19"/>
        </w:rPr>
        <w:t>52</w:t>
      </w:r>
      <w:r>
        <w:rPr>
          <w:rFonts w:ascii="Arial"/>
          <w:spacing w:val="-9"/>
          <w:sz w:val="19"/>
        </w:rPr>
        <w:t xml:space="preserve"> </w:t>
      </w:r>
      <w:r>
        <w:rPr>
          <w:rFonts w:ascii="Arial"/>
          <w:spacing w:val="-2"/>
          <w:w w:val="101"/>
          <w:sz w:val="19"/>
        </w:rPr>
        <w:t>h</w:t>
      </w:r>
      <w:r>
        <w:rPr>
          <w:rFonts w:ascii="Arial"/>
          <w:sz w:val="19"/>
        </w:rPr>
        <w:t>ou</w:t>
      </w:r>
      <w:r>
        <w:rPr>
          <w:rFonts w:ascii="Arial"/>
          <w:w w:val="116"/>
          <w:sz w:val="19"/>
        </w:rPr>
        <w:t>r</w:t>
      </w:r>
      <w:r>
        <w:rPr>
          <w:rFonts w:ascii="Arial"/>
          <w:w w:val="93"/>
          <w:sz w:val="19"/>
        </w:rPr>
        <w:t>s</w:t>
      </w:r>
    </w:p>
    <w:p w:rsidR="007D76BB" w:rsidRDefault="00D70D28">
      <w:pPr>
        <w:spacing w:before="150"/>
        <w:ind w:left="482"/>
        <w:jc w:val="both"/>
        <w:rPr>
          <w:rFonts w:ascii="Arial"/>
          <w:sz w:val="19"/>
        </w:rPr>
      </w:pPr>
      <w:r>
        <w:rPr>
          <w:rFonts w:ascii="Arial"/>
          <w:i/>
          <w:sz w:val="20"/>
        </w:rPr>
        <w:t>Step 3</w:t>
      </w:r>
      <w:r>
        <w:rPr>
          <w:rFonts w:ascii="Arial"/>
          <w:sz w:val="19"/>
        </w:rPr>
        <w:t>.</w:t>
      </w:r>
    </w:p>
    <w:p w:rsidR="007D76BB" w:rsidRDefault="00D70D28">
      <w:pPr>
        <w:pStyle w:val="ListParagraph"/>
        <w:numPr>
          <w:ilvl w:val="1"/>
          <w:numId w:val="5"/>
        </w:numPr>
        <w:tabs>
          <w:tab w:val="left" w:pos="766"/>
        </w:tabs>
        <w:spacing w:before="161"/>
        <w:rPr>
          <w:rFonts w:ascii="Arial" w:hAnsi="Arial"/>
          <w:sz w:val="19"/>
        </w:rPr>
      </w:pPr>
      <w:r>
        <w:rPr>
          <w:rFonts w:ascii="Arial" w:hAnsi="Arial"/>
          <w:w w:val="110"/>
          <w:sz w:val="19"/>
        </w:rPr>
        <w:t>Apply</w:t>
      </w:r>
      <w:r>
        <w:rPr>
          <w:rFonts w:ascii="Arial" w:hAnsi="Arial"/>
          <w:spacing w:val="-26"/>
          <w:w w:val="110"/>
          <w:sz w:val="19"/>
        </w:rPr>
        <w:t xml:space="preserve"> </w:t>
      </w:r>
      <w:r>
        <w:rPr>
          <w:rFonts w:ascii="Arial" w:hAnsi="Arial"/>
          <w:w w:val="110"/>
          <w:sz w:val="19"/>
        </w:rPr>
        <w:t>the</w:t>
      </w:r>
      <w:r>
        <w:rPr>
          <w:rFonts w:ascii="Arial" w:hAnsi="Arial"/>
          <w:spacing w:val="-25"/>
          <w:w w:val="110"/>
          <w:sz w:val="19"/>
        </w:rPr>
        <w:t xml:space="preserve"> </w:t>
      </w:r>
      <w:r>
        <w:rPr>
          <w:rFonts w:ascii="Arial" w:hAnsi="Arial"/>
          <w:w w:val="110"/>
          <w:sz w:val="19"/>
        </w:rPr>
        <w:t>hourly</w:t>
      </w:r>
      <w:r>
        <w:rPr>
          <w:rFonts w:ascii="Arial" w:hAnsi="Arial"/>
          <w:spacing w:val="-26"/>
          <w:w w:val="110"/>
          <w:sz w:val="19"/>
        </w:rPr>
        <w:t xml:space="preserve"> </w:t>
      </w:r>
      <w:r>
        <w:rPr>
          <w:rFonts w:ascii="Arial" w:hAnsi="Arial"/>
          <w:w w:val="110"/>
          <w:sz w:val="19"/>
        </w:rPr>
        <w:t>rate</w:t>
      </w:r>
      <w:r>
        <w:rPr>
          <w:rFonts w:ascii="Arial" w:hAnsi="Arial"/>
          <w:spacing w:val="-25"/>
          <w:w w:val="110"/>
          <w:sz w:val="19"/>
        </w:rPr>
        <w:t xml:space="preserve"> </w:t>
      </w:r>
      <w:r>
        <w:rPr>
          <w:rFonts w:ascii="Arial" w:hAnsi="Arial"/>
          <w:w w:val="110"/>
          <w:sz w:val="19"/>
        </w:rPr>
        <w:t>to</w:t>
      </w:r>
      <w:r>
        <w:rPr>
          <w:rFonts w:ascii="Arial" w:hAnsi="Arial"/>
          <w:spacing w:val="-24"/>
          <w:w w:val="110"/>
          <w:sz w:val="19"/>
        </w:rPr>
        <w:t xml:space="preserve"> </w:t>
      </w:r>
      <w:r>
        <w:rPr>
          <w:rFonts w:ascii="Arial" w:hAnsi="Arial"/>
          <w:w w:val="110"/>
          <w:sz w:val="19"/>
        </w:rPr>
        <w:t>determine</w:t>
      </w:r>
      <w:r>
        <w:rPr>
          <w:rFonts w:ascii="Arial" w:hAnsi="Arial"/>
          <w:spacing w:val="-23"/>
          <w:w w:val="110"/>
          <w:sz w:val="19"/>
        </w:rPr>
        <w:t xml:space="preserve"> </w:t>
      </w:r>
      <w:r>
        <w:rPr>
          <w:rFonts w:ascii="Arial" w:hAnsi="Arial"/>
          <w:w w:val="110"/>
          <w:sz w:val="19"/>
        </w:rPr>
        <w:t>overall</w:t>
      </w:r>
      <w:r>
        <w:rPr>
          <w:rFonts w:ascii="Arial" w:hAnsi="Arial"/>
          <w:spacing w:val="-25"/>
          <w:w w:val="110"/>
          <w:sz w:val="19"/>
        </w:rPr>
        <w:t xml:space="preserve"> </w:t>
      </w:r>
      <w:r>
        <w:rPr>
          <w:rFonts w:ascii="Arial" w:hAnsi="Arial"/>
          <w:w w:val="110"/>
          <w:sz w:val="19"/>
        </w:rPr>
        <w:t>regulatory</w:t>
      </w:r>
      <w:r>
        <w:rPr>
          <w:rFonts w:ascii="Arial" w:hAnsi="Arial"/>
          <w:spacing w:val="-25"/>
          <w:w w:val="110"/>
          <w:sz w:val="19"/>
        </w:rPr>
        <w:t xml:space="preserve"> </w:t>
      </w:r>
      <w:r>
        <w:rPr>
          <w:rFonts w:ascii="Arial" w:hAnsi="Arial"/>
          <w:w w:val="110"/>
          <w:sz w:val="19"/>
        </w:rPr>
        <w:t>compliance</w:t>
      </w:r>
      <w:r>
        <w:rPr>
          <w:rFonts w:ascii="Arial" w:hAnsi="Arial"/>
          <w:spacing w:val="-25"/>
          <w:w w:val="110"/>
          <w:sz w:val="19"/>
        </w:rPr>
        <w:t xml:space="preserve"> </w:t>
      </w:r>
      <w:r>
        <w:rPr>
          <w:rFonts w:ascii="Arial" w:hAnsi="Arial"/>
          <w:w w:val="110"/>
          <w:sz w:val="19"/>
        </w:rPr>
        <w:t>cost):</w:t>
      </w:r>
      <w:r>
        <w:rPr>
          <w:rFonts w:ascii="Arial" w:hAnsi="Arial"/>
          <w:spacing w:val="-24"/>
          <w:w w:val="110"/>
          <w:sz w:val="19"/>
        </w:rPr>
        <w:t xml:space="preserve"> </w:t>
      </w:r>
      <w:r>
        <w:rPr>
          <w:rFonts w:ascii="Arial" w:hAnsi="Arial"/>
          <w:w w:val="110"/>
          <w:sz w:val="19"/>
        </w:rPr>
        <w:t>52</w:t>
      </w:r>
      <w:r>
        <w:rPr>
          <w:rFonts w:ascii="Arial" w:hAnsi="Arial"/>
          <w:spacing w:val="-25"/>
          <w:w w:val="110"/>
          <w:sz w:val="19"/>
        </w:rPr>
        <w:t xml:space="preserve"> </w:t>
      </w:r>
      <w:r>
        <w:rPr>
          <w:rFonts w:ascii="Arial" w:hAnsi="Arial"/>
          <w:w w:val="110"/>
          <w:sz w:val="19"/>
        </w:rPr>
        <w:t>x</w:t>
      </w:r>
      <w:r>
        <w:rPr>
          <w:rFonts w:ascii="Arial" w:hAnsi="Arial"/>
          <w:spacing w:val="-25"/>
          <w:w w:val="110"/>
          <w:sz w:val="19"/>
        </w:rPr>
        <w:t xml:space="preserve"> </w:t>
      </w:r>
      <w:r>
        <w:rPr>
          <w:rFonts w:ascii="Arial" w:hAnsi="Arial"/>
          <w:w w:val="110"/>
          <w:sz w:val="19"/>
        </w:rPr>
        <w:t>$84.84=</w:t>
      </w:r>
      <w:r>
        <w:rPr>
          <w:rFonts w:ascii="Arial" w:hAnsi="Arial"/>
          <w:spacing w:val="-24"/>
          <w:w w:val="110"/>
          <w:sz w:val="19"/>
        </w:rPr>
        <w:t xml:space="preserve"> </w:t>
      </w:r>
      <w:r>
        <w:rPr>
          <w:rFonts w:ascii="Arial" w:hAnsi="Arial"/>
          <w:w w:val="110"/>
          <w:sz w:val="19"/>
        </w:rPr>
        <w:t>$4,412</w:t>
      </w:r>
    </w:p>
    <w:p w:rsidR="007D76BB" w:rsidRDefault="00D70D28">
      <w:pPr>
        <w:pStyle w:val="ListParagraph"/>
        <w:numPr>
          <w:ilvl w:val="1"/>
          <w:numId w:val="5"/>
        </w:numPr>
        <w:tabs>
          <w:tab w:val="left" w:pos="766"/>
        </w:tabs>
        <w:spacing w:before="103"/>
        <w:rPr>
          <w:rFonts w:ascii="Arial" w:hAnsi="Arial"/>
          <w:sz w:val="19"/>
        </w:rPr>
      </w:pPr>
      <w:r>
        <w:rPr>
          <w:rFonts w:ascii="Arial" w:hAnsi="Arial"/>
          <w:w w:val="105"/>
          <w:sz w:val="19"/>
        </w:rPr>
        <w:t>Add</w:t>
      </w:r>
      <w:r>
        <w:rPr>
          <w:rFonts w:ascii="Arial" w:hAnsi="Arial"/>
          <w:spacing w:val="-13"/>
          <w:w w:val="105"/>
          <w:sz w:val="19"/>
        </w:rPr>
        <w:t xml:space="preserve"> </w:t>
      </w:r>
      <w:r>
        <w:rPr>
          <w:rFonts w:ascii="Arial" w:hAnsi="Arial"/>
          <w:w w:val="105"/>
          <w:sz w:val="19"/>
        </w:rPr>
        <w:t>the</w:t>
      </w:r>
      <w:r>
        <w:rPr>
          <w:rFonts w:ascii="Arial" w:hAnsi="Arial"/>
          <w:spacing w:val="-11"/>
          <w:w w:val="105"/>
          <w:sz w:val="19"/>
        </w:rPr>
        <w:t xml:space="preserve"> </w:t>
      </w:r>
      <w:r>
        <w:rPr>
          <w:rFonts w:ascii="Arial" w:hAnsi="Arial"/>
          <w:w w:val="105"/>
          <w:sz w:val="19"/>
        </w:rPr>
        <w:t>regulatory</w:t>
      </w:r>
      <w:r>
        <w:rPr>
          <w:rFonts w:ascii="Arial" w:hAnsi="Arial"/>
          <w:spacing w:val="-13"/>
          <w:w w:val="105"/>
          <w:sz w:val="19"/>
        </w:rPr>
        <w:t xml:space="preserve"> </w:t>
      </w:r>
      <w:r>
        <w:rPr>
          <w:rFonts w:ascii="Arial" w:hAnsi="Arial"/>
          <w:w w:val="105"/>
          <w:sz w:val="19"/>
        </w:rPr>
        <w:t>consultant</w:t>
      </w:r>
      <w:r>
        <w:rPr>
          <w:rFonts w:ascii="Arial" w:hAnsi="Arial"/>
          <w:spacing w:val="-13"/>
          <w:w w:val="105"/>
          <w:sz w:val="19"/>
        </w:rPr>
        <w:t xml:space="preserve"> </w:t>
      </w:r>
      <w:r>
        <w:rPr>
          <w:rFonts w:ascii="Arial" w:hAnsi="Arial"/>
          <w:w w:val="105"/>
          <w:sz w:val="19"/>
        </w:rPr>
        <w:t>charges:</w:t>
      </w:r>
      <w:r>
        <w:rPr>
          <w:rFonts w:ascii="Arial" w:hAnsi="Arial"/>
          <w:spacing w:val="-7"/>
          <w:w w:val="105"/>
          <w:sz w:val="19"/>
        </w:rPr>
        <w:t xml:space="preserve"> </w:t>
      </w:r>
      <w:r>
        <w:rPr>
          <w:rFonts w:ascii="Arial" w:hAnsi="Arial"/>
          <w:w w:val="105"/>
          <w:sz w:val="19"/>
        </w:rPr>
        <w:t>$4,412</w:t>
      </w:r>
      <w:r>
        <w:rPr>
          <w:rFonts w:ascii="Arial" w:hAnsi="Arial"/>
          <w:spacing w:val="-13"/>
          <w:w w:val="105"/>
          <w:sz w:val="19"/>
        </w:rPr>
        <w:t xml:space="preserve"> </w:t>
      </w:r>
      <w:r>
        <w:rPr>
          <w:rFonts w:ascii="Arial" w:hAnsi="Arial"/>
          <w:w w:val="105"/>
          <w:sz w:val="19"/>
        </w:rPr>
        <w:t>+</w:t>
      </w:r>
      <w:r>
        <w:rPr>
          <w:rFonts w:ascii="Arial" w:hAnsi="Arial"/>
          <w:spacing w:val="-12"/>
          <w:w w:val="105"/>
          <w:sz w:val="19"/>
        </w:rPr>
        <w:t xml:space="preserve"> </w:t>
      </w:r>
      <w:r>
        <w:rPr>
          <w:rFonts w:ascii="Arial" w:hAnsi="Arial"/>
          <w:w w:val="105"/>
          <w:sz w:val="19"/>
        </w:rPr>
        <w:t>$30,000</w:t>
      </w:r>
      <w:r>
        <w:rPr>
          <w:rFonts w:ascii="Arial" w:hAnsi="Arial"/>
          <w:spacing w:val="-11"/>
          <w:w w:val="105"/>
          <w:sz w:val="19"/>
        </w:rPr>
        <w:t xml:space="preserve"> </w:t>
      </w:r>
      <w:r>
        <w:rPr>
          <w:rFonts w:ascii="Arial" w:hAnsi="Arial"/>
          <w:w w:val="105"/>
          <w:sz w:val="19"/>
        </w:rPr>
        <w:t>=</w:t>
      </w:r>
      <w:r>
        <w:rPr>
          <w:rFonts w:ascii="Arial" w:hAnsi="Arial"/>
          <w:spacing w:val="-10"/>
          <w:w w:val="105"/>
          <w:sz w:val="19"/>
        </w:rPr>
        <w:t xml:space="preserve"> </w:t>
      </w:r>
      <w:r>
        <w:rPr>
          <w:rFonts w:ascii="Arial" w:hAnsi="Arial"/>
          <w:w w:val="105"/>
          <w:sz w:val="19"/>
        </w:rPr>
        <w:t>$34,412</w:t>
      </w: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D70D28">
      <w:pPr>
        <w:pStyle w:val="BodyText"/>
        <w:spacing w:before="10"/>
        <w:rPr>
          <w:rFonts w:ascii="Arial"/>
          <w:sz w:val="15"/>
        </w:rPr>
      </w:pPr>
      <w:r>
        <w:rPr>
          <w:noProof/>
          <w:lang w:val="en-AU" w:eastAsia="en-AU"/>
        </w:rPr>
        <mc:AlternateContent>
          <mc:Choice Requires="wps">
            <w:drawing>
              <wp:anchor distT="0" distB="0" distL="0" distR="0" simplePos="0" relativeHeight="251754496" behindDoc="1" locked="0" layoutInCell="1" allowOverlap="1">
                <wp:simplePos x="0" y="0"/>
                <wp:positionH relativeFrom="page">
                  <wp:posOffset>1080770</wp:posOffset>
                </wp:positionH>
                <wp:positionV relativeFrom="paragraph">
                  <wp:posOffset>146685</wp:posOffset>
                </wp:positionV>
                <wp:extent cx="1829435" cy="1270"/>
                <wp:effectExtent l="0" t="0" r="0" b="0"/>
                <wp:wrapTopAndBottom/>
                <wp:docPr id="275"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C60AE" id="Freeform 131" o:spid="_x0000_s1026" style="position:absolute;margin-left:85.1pt;margin-top:11.55pt;width:144.05pt;height:.1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" path="m,l2880,e" filled="f" strokeweight=".84pt">
                <v:path arrowok="t" o:connecttype="custom" o:connectlocs="0,0;1828800,0" o:connectangles="0,0"/>
                <w10:wrap type="topAndBottom" anchorx="page"/>
              </v:shape>
            </w:pict>
          </mc:Fallback>
        </mc:AlternateContent>
      </w:r>
    </w:p>
    <w:p w:rsidR="007D76BB" w:rsidRDefault="00D70D28">
      <w:pPr>
        <w:spacing w:before="132"/>
        <w:ind w:left="482"/>
        <w:rPr>
          <w:rFonts w:ascii="Arial"/>
          <w:sz w:val="14"/>
        </w:rPr>
      </w:pPr>
      <w:r>
        <w:rPr>
          <w:rFonts w:ascii="Arial"/>
          <w:color w:val="5B6761"/>
          <w:w w:val="105"/>
          <w:position w:val="5"/>
          <w:sz w:val="8"/>
        </w:rPr>
        <w:t xml:space="preserve">87 </w:t>
      </w:r>
      <w:r>
        <w:rPr>
          <w:rFonts w:ascii="Arial"/>
          <w:color w:val="5B6761"/>
          <w:w w:val="105"/>
          <w:sz w:val="14"/>
        </w:rPr>
        <w:t>Noting that this number has been rounded up to the closest whole number.</w:t>
      </w:r>
    </w:p>
    <w:p w:rsidR="007D76BB" w:rsidRDefault="00D70D28">
      <w:pPr>
        <w:spacing w:before="79"/>
        <w:ind w:left="482"/>
        <w:rPr>
          <w:rFonts w:ascii="Arial"/>
          <w:sz w:val="14"/>
        </w:rPr>
      </w:pPr>
      <w:r>
        <w:rPr>
          <w:rFonts w:ascii="Arial"/>
          <w:color w:val="5B6761"/>
          <w:w w:val="105"/>
          <w:position w:val="5"/>
          <w:sz w:val="8"/>
        </w:rPr>
        <w:t xml:space="preserve">88 </w:t>
      </w:r>
      <w:r>
        <w:rPr>
          <w:rFonts w:ascii="Arial"/>
          <w:color w:val="5B6761"/>
          <w:w w:val="105"/>
          <w:sz w:val="14"/>
        </w:rPr>
        <w:t>As advised by industry stakeholders.</w:t>
      </w:r>
    </w:p>
    <w:p w:rsidR="007D76BB" w:rsidRDefault="00D70D28">
      <w:pPr>
        <w:spacing w:before="79"/>
        <w:ind w:left="482"/>
        <w:rPr>
          <w:rFonts w:ascii="Arial"/>
          <w:sz w:val="14"/>
        </w:rPr>
      </w:pPr>
      <w:r>
        <w:rPr>
          <w:rFonts w:ascii="Arial"/>
          <w:color w:val="5B6761"/>
          <w:w w:val="105"/>
          <w:position w:val="5"/>
          <w:sz w:val="8"/>
        </w:rPr>
        <w:t xml:space="preserve">89 </w:t>
      </w:r>
      <w:r>
        <w:rPr>
          <w:rFonts w:ascii="Arial"/>
          <w:color w:val="5B6761"/>
          <w:w w:val="105"/>
          <w:sz w:val="14"/>
        </w:rPr>
        <w:t>As advised by a regulatory affairs consultant.</w:t>
      </w:r>
    </w:p>
    <w:p w:rsidR="007D76BB" w:rsidRDefault="007D76BB">
      <w:pPr>
        <w:rPr>
          <w:rFonts w:ascii="Arial"/>
          <w:sz w:val="14"/>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spacing w:before="10"/>
        <w:rPr>
          <w:rFonts w:ascii="Arial"/>
        </w:rPr>
      </w:pPr>
    </w:p>
    <w:p w:rsidR="007D76BB" w:rsidRDefault="00D70D28">
      <w:pPr>
        <w:pStyle w:val="Heading4"/>
        <w:rPr>
          <w:b/>
        </w:rPr>
      </w:pPr>
      <w:bookmarkStart w:id="158" w:name="_bookmark84"/>
      <w:bookmarkEnd w:id="158"/>
      <w:r>
        <w:rPr>
          <w:b/>
          <w:color w:val="FFA200"/>
        </w:rPr>
        <w:t>CONCLUSION</w:t>
      </w:r>
    </w:p>
    <w:p w:rsidR="007D76BB" w:rsidRDefault="00D70D28">
      <w:pPr>
        <w:spacing w:before="192" w:line="266" w:lineRule="auto"/>
        <w:ind w:left="482" w:right="688"/>
        <w:rPr>
          <w:rFonts w:ascii="Arial"/>
          <w:sz w:val="19"/>
        </w:rPr>
      </w:pPr>
      <w:r>
        <w:rPr>
          <w:rFonts w:ascii="Arial"/>
          <w:w w:val="105"/>
          <w:sz w:val="19"/>
        </w:rPr>
        <w:t>The</w:t>
      </w:r>
      <w:r>
        <w:rPr>
          <w:rFonts w:ascii="Arial"/>
          <w:spacing w:val="-23"/>
          <w:w w:val="105"/>
          <w:sz w:val="19"/>
        </w:rPr>
        <w:t xml:space="preserve"> </w:t>
      </w:r>
      <w:r>
        <w:rPr>
          <w:rFonts w:ascii="Arial"/>
          <w:w w:val="105"/>
          <w:sz w:val="19"/>
        </w:rPr>
        <w:t>tables</w:t>
      </w:r>
      <w:r>
        <w:rPr>
          <w:rFonts w:ascii="Arial"/>
          <w:spacing w:val="-22"/>
          <w:w w:val="105"/>
          <w:sz w:val="19"/>
        </w:rPr>
        <w:t xml:space="preserve"> </w:t>
      </w:r>
      <w:r>
        <w:rPr>
          <w:rFonts w:ascii="Arial"/>
          <w:w w:val="105"/>
          <w:sz w:val="19"/>
        </w:rPr>
        <w:t>below</w:t>
      </w:r>
      <w:r>
        <w:rPr>
          <w:rFonts w:ascii="Arial"/>
          <w:spacing w:val="-22"/>
          <w:w w:val="105"/>
          <w:sz w:val="19"/>
        </w:rPr>
        <w:t xml:space="preserve"> </w:t>
      </w:r>
      <w:r>
        <w:rPr>
          <w:rFonts w:ascii="Arial"/>
          <w:w w:val="105"/>
          <w:sz w:val="19"/>
        </w:rPr>
        <w:t>consolidate</w:t>
      </w:r>
      <w:r>
        <w:rPr>
          <w:rFonts w:ascii="Arial"/>
          <w:spacing w:val="-24"/>
          <w:w w:val="105"/>
          <w:sz w:val="19"/>
        </w:rPr>
        <w:t xml:space="preserve"> </w:t>
      </w:r>
      <w:r>
        <w:rPr>
          <w:rFonts w:ascii="Arial"/>
          <w:w w:val="105"/>
          <w:sz w:val="19"/>
        </w:rPr>
        <w:t>the</w:t>
      </w:r>
      <w:r>
        <w:rPr>
          <w:rFonts w:ascii="Arial"/>
          <w:spacing w:val="-20"/>
          <w:w w:val="105"/>
          <w:sz w:val="19"/>
        </w:rPr>
        <w:t xml:space="preserve"> </w:t>
      </w:r>
      <w:r>
        <w:rPr>
          <w:rFonts w:ascii="Arial"/>
          <w:w w:val="105"/>
          <w:sz w:val="19"/>
        </w:rPr>
        <w:t>estimated</w:t>
      </w:r>
      <w:r>
        <w:rPr>
          <w:rFonts w:ascii="Arial"/>
          <w:spacing w:val="-22"/>
          <w:w w:val="105"/>
          <w:sz w:val="19"/>
        </w:rPr>
        <w:t xml:space="preserve"> </w:t>
      </w:r>
      <w:r>
        <w:rPr>
          <w:rFonts w:ascii="Arial"/>
          <w:w w:val="105"/>
          <w:sz w:val="19"/>
        </w:rPr>
        <w:t>regulatory</w:t>
      </w:r>
      <w:r>
        <w:rPr>
          <w:rFonts w:ascii="Arial"/>
          <w:spacing w:val="-24"/>
          <w:w w:val="105"/>
          <w:sz w:val="19"/>
        </w:rPr>
        <w:t xml:space="preserve"> </w:t>
      </w:r>
      <w:r>
        <w:rPr>
          <w:rFonts w:ascii="Arial"/>
          <w:w w:val="105"/>
          <w:sz w:val="19"/>
        </w:rPr>
        <w:t>costing</w:t>
      </w:r>
      <w:r>
        <w:rPr>
          <w:rFonts w:ascii="Arial"/>
          <w:spacing w:val="-22"/>
          <w:w w:val="105"/>
          <w:sz w:val="19"/>
        </w:rPr>
        <w:t xml:space="preserve"> </w:t>
      </w:r>
      <w:r>
        <w:rPr>
          <w:rFonts w:ascii="Arial"/>
          <w:w w:val="105"/>
          <w:sz w:val="19"/>
        </w:rPr>
        <w:t>for</w:t>
      </w:r>
      <w:r>
        <w:rPr>
          <w:rFonts w:ascii="Arial"/>
          <w:spacing w:val="-24"/>
          <w:w w:val="105"/>
          <w:sz w:val="19"/>
        </w:rPr>
        <w:t xml:space="preserve"> </w:t>
      </w:r>
      <w:r>
        <w:rPr>
          <w:rFonts w:ascii="Arial"/>
          <w:w w:val="105"/>
          <w:sz w:val="19"/>
        </w:rPr>
        <w:t>each</w:t>
      </w:r>
      <w:r>
        <w:rPr>
          <w:rFonts w:ascii="Arial"/>
          <w:spacing w:val="-22"/>
          <w:w w:val="105"/>
          <w:sz w:val="19"/>
        </w:rPr>
        <w:t xml:space="preserve"> </w:t>
      </w:r>
      <w:r>
        <w:rPr>
          <w:rFonts w:ascii="Arial"/>
          <w:w w:val="105"/>
          <w:sz w:val="19"/>
        </w:rPr>
        <w:t>of</w:t>
      </w:r>
      <w:r>
        <w:rPr>
          <w:rFonts w:ascii="Arial"/>
          <w:spacing w:val="-25"/>
          <w:w w:val="105"/>
          <w:sz w:val="19"/>
        </w:rPr>
        <w:t xml:space="preserve"> </w:t>
      </w:r>
      <w:r>
        <w:rPr>
          <w:rFonts w:ascii="Arial"/>
          <w:w w:val="105"/>
          <w:sz w:val="19"/>
        </w:rPr>
        <w:t>the</w:t>
      </w:r>
      <w:r>
        <w:rPr>
          <w:rFonts w:ascii="Arial"/>
          <w:spacing w:val="-22"/>
          <w:w w:val="105"/>
          <w:sz w:val="19"/>
        </w:rPr>
        <w:t xml:space="preserve"> </w:t>
      </w:r>
      <w:r>
        <w:rPr>
          <w:rFonts w:ascii="Arial"/>
          <w:w w:val="105"/>
          <w:sz w:val="19"/>
        </w:rPr>
        <w:t>specific</w:t>
      </w:r>
      <w:r>
        <w:rPr>
          <w:rFonts w:ascii="Arial"/>
          <w:spacing w:val="-24"/>
          <w:w w:val="105"/>
          <w:sz w:val="19"/>
        </w:rPr>
        <w:t xml:space="preserve"> </w:t>
      </w:r>
      <w:r>
        <w:rPr>
          <w:rFonts w:ascii="Arial"/>
          <w:w w:val="105"/>
          <w:sz w:val="19"/>
        </w:rPr>
        <w:t>regulatory changes.</w:t>
      </w:r>
      <w:r>
        <w:rPr>
          <w:rFonts w:ascii="Arial"/>
          <w:spacing w:val="-28"/>
          <w:w w:val="105"/>
          <w:sz w:val="19"/>
        </w:rPr>
        <w:t xml:space="preserve"> </w:t>
      </w:r>
      <w:r>
        <w:rPr>
          <w:rFonts w:ascii="Arial"/>
          <w:w w:val="105"/>
          <w:sz w:val="19"/>
        </w:rPr>
        <w:t>As</w:t>
      </w:r>
      <w:r>
        <w:rPr>
          <w:rFonts w:ascii="Arial"/>
          <w:spacing w:val="-29"/>
          <w:w w:val="105"/>
          <w:sz w:val="19"/>
        </w:rPr>
        <w:t xml:space="preserve"> </w:t>
      </w:r>
      <w:r>
        <w:rPr>
          <w:rFonts w:ascii="Arial"/>
          <w:w w:val="105"/>
          <w:sz w:val="19"/>
        </w:rPr>
        <w:t>per</w:t>
      </w:r>
      <w:r>
        <w:rPr>
          <w:rFonts w:ascii="Arial"/>
          <w:spacing w:val="-29"/>
          <w:w w:val="105"/>
          <w:sz w:val="19"/>
        </w:rPr>
        <w:t xml:space="preserve"> </w:t>
      </w:r>
      <w:r>
        <w:rPr>
          <w:rFonts w:ascii="Arial"/>
          <w:w w:val="105"/>
          <w:sz w:val="19"/>
        </w:rPr>
        <w:t>OBPR</w:t>
      </w:r>
      <w:r>
        <w:rPr>
          <w:rFonts w:ascii="Arial"/>
          <w:spacing w:val="-28"/>
          <w:w w:val="105"/>
          <w:sz w:val="19"/>
        </w:rPr>
        <w:t xml:space="preserve"> </w:t>
      </w:r>
      <w:r>
        <w:rPr>
          <w:rFonts w:ascii="Arial"/>
          <w:w w:val="105"/>
          <w:sz w:val="19"/>
        </w:rPr>
        <w:t>guidance,</w:t>
      </w:r>
      <w:r>
        <w:rPr>
          <w:rFonts w:ascii="Arial"/>
          <w:spacing w:val="-29"/>
          <w:w w:val="105"/>
          <w:sz w:val="19"/>
        </w:rPr>
        <w:t xml:space="preserve"> </w:t>
      </w:r>
      <w:r>
        <w:rPr>
          <w:rFonts w:ascii="Arial"/>
          <w:w w:val="105"/>
          <w:sz w:val="19"/>
        </w:rPr>
        <w:t>regulatory</w:t>
      </w:r>
      <w:r>
        <w:rPr>
          <w:rFonts w:ascii="Arial"/>
          <w:spacing w:val="-29"/>
          <w:w w:val="105"/>
          <w:sz w:val="19"/>
        </w:rPr>
        <w:t xml:space="preserve"> </w:t>
      </w:r>
      <w:r>
        <w:rPr>
          <w:rFonts w:ascii="Arial"/>
          <w:w w:val="105"/>
          <w:sz w:val="19"/>
        </w:rPr>
        <w:t>costs</w:t>
      </w:r>
      <w:r>
        <w:rPr>
          <w:rFonts w:ascii="Arial"/>
          <w:spacing w:val="-29"/>
          <w:w w:val="105"/>
          <w:sz w:val="19"/>
        </w:rPr>
        <w:t xml:space="preserve"> </w:t>
      </w:r>
      <w:r>
        <w:rPr>
          <w:rFonts w:ascii="Arial"/>
          <w:w w:val="105"/>
          <w:sz w:val="19"/>
        </w:rPr>
        <w:t>are</w:t>
      </w:r>
      <w:r>
        <w:rPr>
          <w:rFonts w:ascii="Arial"/>
          <w:spacing w:val="-29"/>
          <w:w w:val="105"/>
          <w:sz w:val="19"/>
        </w:rPr>
        <w:t xml:space="preserve"> </w:t>
      </w:r>
      <w:r>
        <w:rPr>
          <w:rFonts w:ascii="Arial"/>
          <w:w w:val="105"/>
          <w:sz w:val="19"/>
        </w:rPr>
        <w:t>projected</w:t>
      </w:r>
      <w:r>
        <w:rPr>
          <w:rFonts w:ascii="Arial"/>
          <w:spacing w:val="-29"/>
          <w:w w:val="105"/>
          <w:sz w:val="19"/>
        </w:rPr>
        <w:t xml:space="preserve"> </w:t>
      </w:r>
      <w:r>
        <w:rPr>
          <w:rFonts w:ascii="Arial"/>
          <w:w w:val="105"/>
          <w:sz w:val="19"/>
        </w:rPr>
        <w:t>over</w:t>
      </w:r>
      <w:r>
        <w:rPr>
          <w:rFonts w:ascii="Arial"/>
          <w:spacing w:val="-28"/>
          <w:w w:val="105"/>
          <w:sz w:val="19"/>
        </w:rPr>
        <w:t xml:space="preserve"> </w:t>
      </w:r>
      <w:r>
        <w:rPr>
          <w:rFonts w:ascii="Arial"/>
          <w:w w:val="105"/>
          <w:sz w:val="19"/>
        </w:rPr>
        <w:t>a</w:t>
      </w:r>
      <w:r>
        <w:rPr>
          <w:rFonts w:ascii="Arial"/>
          <w:spacing w:val="-24"/>
          <w:w w:val="105"/>
          <w:sz w:val="19"/>
        </w:rPr>
        <w:t xml:space="preserve"> </w:t>
      </w:r>
      <w:r>
        <w:rPr>
          <w:rFonts w:ascii="Arial"/>
          <w:w w:val="105"/>
          <w:sz w:val="19"/>
        </w:rPr>
        <w:t>10-year</w:t>
      </w:r>
      <w:r>
        <w:rPr>
          <w:rFonts w:ascii="Arial"/>
          <w:spacing w:val="-28"/>
          <w:w w:val="105"/>
          <w:sz w:val="19"/>
        </w:rPr>
        <w:t xml:space="preserve"> </w:t>
      </w:r>
      <w:r>
        <w:rPr>
          <w:rFonts w:ascii="Arial"/>
          <w:w w:val="105"/>
          <w:sz w:val="19"/>
        </w:rPr>
        <w:t>period</w:t>
      </w:r>
      <w:r>
        <w:rPr>
          <w:rFonts w:ascii="Arial"/>
          <w:spacing w:val="-30"/>
          <w:w w:val="105"/>
          <w:sz w:val="19"/>
        </w:rPr>
        <w:t xml:space="preserve"> </w:t>
      </w:r>
      <w:r>
        <w:rPr>
          <w:rFonts w:ascii="Arial"/>
          <w:w w:val="105"/>
          <w:sz w:val="19"/>
        </w:rPr>
        <w:t>and</w:t>
      </w:r>
      <w:r>
        <w:rPr>
          <w:rFonts w:ascii="Arial"/>
          <w:spacing w:val="-29"/>
          <w:w w:val="105"/>
          <w:sz w:val="19"/>
        </w:rPr>
        <w:t xml:space="preserve"> </w:t>
      </w:r>
      <w:r>
        <w:rPr>
          <w:rFonts w:ascii="Arial"/>
          <w:w w:val="105"/>
          <w:sz w:val="19"/>
        </w:rPr>
        <w:t>then averaged</w:t>
      </w:r>
      <w:r>
        <w:rPr>
          <w:rFonts w:ascii="Arial"/>
          <w:spacing w:val="-14"/>
          <w:w w:val="105"/>
          <w:sz w:val="19"/>
        </w:rPr>
        <w:t xml:space="preserve"> </w:t>
      </w:r>
      <w:r>
        <w:rPr>
          <w:rFonts w:ascii="Arial"/>
          <w:w w:val="105"/>
          <w:sz w:val="19"/>
        </w:rPr>
        <w:t>to</w:t>
      </w:r>
      <w:r>
        <w:rPr>
          <w:rFonts w:ascii="Arial"/>
          <w:spacing w:val="-12"/>
          <w:w w:val="105"/>
          <w:sz w:val="19"/>
        </w:rPr>
        <w:t xml:space="preserve"> </w:t>
      </w:r>
      <w:r>
        <w:rPr>
          <w:rFonts w:ascii="Arial"/>
          <w:w w:val="105"/>
          <w:sz w:val="19"/>
        </w:rPr>
        <w:t>arrive</w:t>
      </w:r>
      <w:r>
        <w:rPr>
          <w:rFonts w:ascii="Arial"/>
          <w:spacing w:val="-12"/>
          <w:w w:val="105"/>
          <w:sz w:val="19"/>
        </w:rPr>
        <w:t xml:space="preserve"> </w:t>
      </w:r>
      <w:r>
        <w:rPr>
          <w:rFonts w:ascii="Arial"/>
          <w:w w:val="105"/>
          <w:sz w:val="19"/>
        </w:rPr>
        <w:t>at</w:t>
      </w:r>
      <w:r>
        <w:rPr>
          <w:rFonts w:ascii="Arial"/>
          <w:spacing w:val="-13"/>
          <w:w w:val="105"/>
          <w:sz w:val="19"/>
        </w:rPr>
        <w:t xml:space="preserve"> </w:t>
      </w:r>
      <w:r>
        <w:rPr>
          <w:rFonts w:ascii="Arial"/>
          <w:w w:val="105"/>
          <w:sz w:val="19"/>
        </w:rPr>
        <w:t>an</w:t>
      </w:r>
      <w:r>
        <w:rPr>
          <w:rFonts w:ascii="Arial"/>
          <w:spacing w:val="-11"/>
          <w:w w:val="105"/>
          <w:sz w:val="19"/>
        </w:rPr>
        <w:t xml:space="preserve"> </w:t>
      </w:r>
      <w:r>
        <w:rPr>
          <w:rFonts w:ascii="Arial"/>
          <w:w w:val="105"/>
          <w:sz w:val="19"/>
        </w:rPr>
        <w:t>average</w:t>
      </w:r>
      <w:r>
        <w:rPr>
          <w:rFonts w:ascii="Arial"/>
          <w:spacing w:val="-13"/>
          <w:w w:val="105"/>
          <w:sz w:val="19"/>
        </w:rPr>
        <w:t xml:space="preserve"> </w:t>
      </w:r>
      <w:r>
        <w:rPr>
          <w:rFonts w:ascii="Arial"/>
          <w:w w:val="105"/>
          <w:sz w:val="19"/>
        </w:rPr>
        <w:t>annual</w:t>
      </w:r>
      <w:r>
        <w:rPr>
          <w:rFonts w:ascii="Arial"/>
          <w:spacing w:val="-12"/>
          <w:w w:val="105"/>
          <w:sz w:val="19"/>
        </w:rPr>
        <w:t xml:space="preserve"> </w:t>
      </w:r>
      <w:r>
        <w:rPr>
          <w:rFonts w:ascii="Arial"/>
          <w:w w:val="105"/>
          <w:sz w:val="19"/>
        </w:rPr>
        <w:t>regulatory</w:t>
      </w:r>
      <w:r>
        <w:rPr>
          <w:rFonts w:ascii="Arial"/>
          <w:spacing w:val="-13"/>
          <w:w w:val="105"/>
          <w:sz w:val="19"/>
        </w:rPr>
        <w:t xml:space="preserve"> </w:t>
      </w:r>
      <w:r>
        <w:rPr>
          <w:rFonts w:ascii="Arial"/>
          <w:w w:val="105"/>
          <w:sz w:val="19"/>
        </w:rPr>
        <w:t>cost.</w:t>
      </w:r>
    </w:p>
    <w:p w:rsidR="007D76BB" w:rsidRDefault="007D76BB">
      <w:pPr>
        <w:pStyle w:val="BodyText"/>
        <w:spacing w:before="4"/>
        <w:rPr>
          <w:rFonts w:ascii="Arial"/>
          <w:sz w:val="20"/>
        </w:rPr>
      </w:pPr>
    </w:p>
    <w:p w:rsidR="007D76BB" w:rsidRDefault="00D70D28">
      <w:pPr>
        <w:ind w:left="482"/>
        <w:rPr>
          <w:rFonts w:ascii="Arial"/>
          <w:sz w:val="19"/>
        </w:rPr>
      </w:pPr>
      <w:r>
        <w:rPr>
          <w:rFonts w:ascii="Arial"/>
          <w:color w:val="005386"/>
          <w:w w:val="105"/>
          <w:sz w:val="19"/>
        </w:rPr>
        <w:t>Table 15. Summary of regulatory costing for options 2A and 2B</w:t>
      </w:r>
    </w:p>
    <w:p w:rsidR="007D76BB" w:rsidRDefault="007D76BB">
      <w:pPr>
        <w:pStyle w:val="BodyText"/>
        <w:spacing w:before="4"/>
        <w:rPr>
          <w:rFonts w:ascii="Arial"/>
          <w:sz w:val="16"/>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2835"/>
        <w:gridCol w:w="2552"/>
        <w:gridCol w:w="1703"/>
      </w:tblGrid>
      <w:tr w:rsidR="007D76BB">
        <w:trPr>
          <w:trHeight w:val="722"/>
        </w:trPr>
        <w:tc>
          <w:tcPr>
            <w:tcW w:w="1555" w:type="dxa"/>
            <w:shd w:val="clear" w:color="auto" w:fill="005386"/>
          </w:tcPr>
          <w:p w:rsidR="007D76BB" w:rsidRDefault="007D76BB">
            <w:pPr>
              <w:pStyle w:val="TableParagraph"/>
              <w:spacing w:before="4"/>
              <w:rPr>
                <w:rFonts w:ascii="Arial"/>
                <w:sz w:val="20"/>
              </w:rPr>
            </w:pPr>
          </w:p>
          <w:p w:rsidR="007D76BB" w:rsidRDefault="00D70D28">
            <w:pPr>
              <w:pStyle w:val="TableParagraph"/>
              <w:spacing w:line="240" w:lineRule="atLeast"/>
              <w:ind w:left="107" w:right="605"/>
              <w:rPr>
                <w:rFonts w:ascii="Arial"/>
                <w:sz w:val="19"/>
              </w:rPr>
            </w:pPr>
            <w:r>
              <w:rPr>
                <w:rFonts w:ascii="Arial"/>
                <w:color w:val="FFFFFF"/>
                <w:sz w:val="19"/>
              </w:rPr>
              <w:t xml:space="preserve">Summary </w:t>
            </w:r>
            <w:r>
              <w:rPr>
                <w:rFonts w:ascii="Arial"/>
                <w:color w:val="FFFFFF"/>
                <w:w w:val="105"/>
                <w:sz w:val="19"/>
              </w:rPr>
              <w:t>Sheet</w:t>
            </w:r>
          </w:p>
        </w:tc>
        <w:tc>
          <w:tcPr>
            <w:tcW w:w="2835" w:type="dxa"/>
            <w:shd w:val="clear" w:color="auto" w:fill="005386"/>
          </w:tcPr>
          <w:p w:rsidR="007D76BB" w:rsidRDefault="007D76BB">
            <w:pPr>
              <w:pStyle w:val="TableParagraph"/>
              <w:spacing w:before="3"/>
              <w:rPr>
                <w:rFonts w:ascii="Arial"/>
              </w:rPr>
            </w:pPr>
          </w:p>
          <w:p w:rsidR="007D76BB" w:rsidRDefault="00D70D28">
            <w:pPr>
              <w:pStyle w:val="TableParagraph"/>
              <w:ind w:left="107"/>
              <w:rPr>
                <w:rFonts w:ascii="Arial"/>
                <w:sz w:val="19"/>
              </w:rPr>
            </w:pPr>
            <w:r>
              <w:rPr>
                <w:rFonts w:ascii="Arial"/>
                <w:color w:val="FFFFFF"/>
                <w:w w:val="105"/>
                <w:sz w:val="19"/>
              </w:rPr>
              <w:t>Cost for Current Population</w:t>
            </w:r>
          </w:p>
        </w:tc>
        <w:tc>
          <w:tcPr>
            <w:tcW w:w="2552" w:type="dxa"/>
            <w:shd w:val="clear" w:color="auto" w:fill="005386"/>
          </w:tcPr>
          <w:p w:rsidR="007D76BB" w:rsidRDefault="007D76BB">
            <w:pPr>
              <w:pStyle w:val="TableParagraph"/>
              <w:spacing w:before="3"/>
              <w:rPr>
                <w:rFonts w:ascii="Arial"/>
              </w:rPr>
            </w:pPr>
          </w:p>
          <w:p w:rsidR="007D76BB" w:rsidRDefault="00D70D28">
            <w:pPr>
              <w:pStyle w:val="TableParagraph"/>
              <w:ind w:left="108"/>
              <w:rPr>
                <w:rFonts w:ascii="Arial"/>
                <w:sz w:val="19"/>
              </w:rPr>
            </w:pPr>
            <w:r>
              <w:rPr>
                <w:rFonts w:ascii="Arial"/>
                <w:color w:val="FFFFFF"/>
                <w:w w:val="105"/>
                <w:sz w:val="19"/>
              </w:rPr>
              <w:t>Cost for Future Population</w:t>
            </w:r>
          </w:p>
        </w:tc>
        <w:tc>
          <w:tcPr>
            <w:tcW w:w="1703" w:type="dxa"/>
            <w:shd w:val="clear" w:color="auto" w:fill="005386"/>
          </w:tcPr>
          <w:p w:rsidR="007D76BB" w:rsidRDefault="00D70D28">
            <w:pPr>
              <w:pStyle w:val="TableParagraph"/>
              <w:spacing w:before="13"/>
              <w:ind w:left="108"/>
              <w:rPr>
                <w:rFonts w:ascii="Arial"/>
                <w:sz w:val="19"/>
              </w:rPr>
            </w:pPr>
            <w:r>
              <w:rPr>
                <w:rFonts w:ascii="Arial"/>
                <w:color w:val="FFFFFF"/>
                <w:sz w:val="19"/>
              </w:rPr>
              <w:t>Average cost</w:t>
            </w:r>
          </w:p>
          <w:p w:rsidR="007D76BB" w:rsidRDefault="00D70D28">
            <w:pPr>
              <w:pStyle w:val="TableParagraph"/>
              <w:spacing w:before="3" w:line="240" w:lineRule="atLeast"/>
              <w:ind w:left="108" w:right="445"/>
              <w:rPr>
                <w:rFonts w:ascii="Arial"/>
                <w:sz w:val="19"/>
              </w:rPr>
            </w:pPr>
            <w:r>
              <w:rPr>
                <w:rFonts w:ascii="Arial"/>
                <w:color w:val="FFFFFF"/>
                <w:w w:val="105"/>
                <w:sz w:val="19"/>
              </w:rPr>
              <w:t>over 10-year period</w:t>
            </w:r>
          </w:p>
        </w:tc>
      </w:tr>
      <w:tr w:rsidR="007D76BB">
        <w:trPr>
          <w:trHeight w:val="287"/>
        </w:trPr>
        <w:tc>
          <w:tcPr>
            <w:tcW w:w="1555" w:type="dxa"/>
          </w:tcPr>
          <w:p w:rsidR="007D76BB" w:rsidRDefault="00D70D28">
            <w:pPr>
              <w:pStyle w:val="TableParagraph"/>
              <w:spacing w:before="61" w:line="206" w:lineRule="exact"/>
              <w:ind w:left="107"/>
              <w:rPr>
                <w:rFonts w:ascii="Arial"/>
                <w:sz w:val="19"/>
              </w:rPr>
            </w:pPr>
            <w:r>
              <w:rPr>
                <w:rFonts w:ascii="Arial"/>
                <w:w w:val="105"/>
                <w:sz w:val="19"/>
              </w:rPr>
              <w:t>Products</w:t>
            </w:r>
          </w:p>
        </w:tc>
        <w:tc>
          <w:tcPr>
            <w:tcW w:w="2835" w:type="dxa"/>
          </w:tcPr>
          <w:p w:rsidR="007D76BB" w:rsidRDefault="00D70D28">
            <w:pPr>
              <w:pStyle w:val="TableParagraph"/>
              <w:spacing w:before="13"/>
              <w:ind w:right="97"/>
              <w:jc w:val="right"/>
              <w:rPr>
                <w:rFonts w:ascii="Arial"/>
                <w:sz w:val="19"/>
              </w:rPr>
            </w:pPr>
            <w:r>
              <w:rPr>
                <w:rFonts w:ascii="Arial"/>
                <w:sz w:val="19"/>
              </w:rPr>
              <w:t>$801,950</w:t>
            </w:r>
          </w:p>
        </w:tc>
        <w:tc>
          <w:tcPr>
            <w:tcW w:w="2552" w:type="dxa"/>
          </w:tcPr>
          <w:p w:rsidR="007D76BB" w:rsidRDefault="00D70D28">
            <w:pPr>
              <w:pStyle w:val="TableParagraph"/>
              <w:spacing w:before="13"/>
              <w:ind w:right="98"/>
              <w:jc w:val="right"/>
              <w:rPr>
                <w:rFonts w:ascii="Arial"/>
                <w:sz w:val="19"/>
              </w:rPr>
            </w:pPr>
            <w:r>
              <w:rPr>
                <w:rFonts w:ascii="Arial"/>
                <w:sz w:val="19"/>
              </w:rPr>
              <w:t>$843,451</w:t>
            </w:r>
          </w:p>
        </w:tc>
        <w:tc>
          <w:tcPr>
            <w:tcW w:w="1703" w:type="dxa"/>
          </w:tcPr>
          <w:p w:rsidR="007D76BB" w:rsidRDefault="00D70D28">
            <w:pPr>
              <w:pStyle w:val="TableParagraph"/>
              <w:spacing w:before="13"/>
              <w:ind w:right="98"/>
              <w:jc w:val="right"/>
              <w:rPr>
                <w:rFonts w:ascii="Arial"/>
                <w:sz w:val="19"/>
              </w:rPr>
            </w:pPr>
            <w:r>
              <w:rPr>
                <w:rFonts w:ascii="Arial"/>
                <w:sz w:val="19"/>
              </w:rPr>
              <w:t>$164,540</w:t>
            </w:r>
          </w:p>
        </w:tc>
      </w:tr>
      <w:tr w:rsidR="007D76BB">
        <w:trPr>
          <w:trHeight w:val="722"/>
        </w:trPr>
        <w:tc>
          <w:tcPr>
            <w:tcW w:w="1555" w:type="dxa"/>
          </w:tcPr>
          <w:p w:rsidR="007D76BB" w:rsidRDefault="00D70D28">
            <w:pPr>
              <w:pStyle w:val="TableParagraph"/>
              <w:spacing w:before="13"/>
              <w:ind w:left="107"/>
              <w:rPr>
                <w:rFonts w:ascii="Arial"/>
                <w:sz w:val="19"/>
              </w:rPr>
            </w:pPr>
            <w:r>
              <w:rPr>
                <w:rFonts w:ascii="Arial"/>
                <w:sz w:val="19"/>
              </w:rPr>
              <w:t>Good</w:t>
            </w:r>
          </w:p>
          <w:p w:rsidR="007D76BB" w:rsidRDefault="00D70D28">
            <w:pPr>
              <w:pStyle w:val="TableParagraph"/>
              <w:spacing w:before="3" w:line="240" w:lineRule="atLeast"/>
              <w:ind w:left="107"/>
              <w:rPr>
                <w:rFonts w:ascii="Arial"/>
                <w:sz w:val="19"/>
              </w:rPr>
            </w:pPr>
            <w:r>
              <w:rPr>
                <w:rFonts w:ascii="Arial"/>
                <w:w w:val="105"/>
                <w:sz w:val="19"/>
              </w:rPr>
              <w:t>Manufacturing Practice</w:t>
            </w:r>
          </w:p>
        </w:tc>
        <w:tc>
          <w:tcPr>
            <w:tcW w:w="7090" w:type="dxa"/>
            <w:gridSpan w:val="3"/>
          </w:tcPr>
          <w:p w:rsidR="007D76BB" w:rsidRDefault="007D76BB">
            <w:pPr>
              <w:pStyle w:val="TableParagraph"/>
              <w:rPr>
                <w:rFonts w:ascii="Arial"/>
                <w:sz w:val="24"/>
              </w:rPr>
            </w:pPr>
          </w:p>
          <w:p w:rsidR="007D76BB" w:rsidRDefault="007D76BB">
            <w:pPr>
              <w:pStyle w:val="TableParagraph"/>
              <w:spacing w:before="2"/>
              <w:rPr>
                <w:rFonts w:ascii="Arial"/>
                <w:sz w:val="19"/>
              </w:rPr>
            </w:pPr>
          </w:p>
          <w:p w:rsidR="007D76BB" w:rsidRDefault="00D70D28">
            <w:pPr>
              <w:pStyle w:val="TableParagraph"/>
              <w:spacing w:line="206" w:lineRule="exact"/>
              <w:ind w:left="1334"/>
              <w:rPr>
                <w:rFonts w:ascii="Arial"/>
                <w:sz w:val="19"/>
              </w:rPr>
            </w:pPr>
            <w:r>
              <w:rPr>
                <w:rFonts w:ascii="Arial"/>
                <w:w w:val="105"/>
                <w:sz w:val="19"/>
              </w:rPr>
              <w:t>No additional regulatory burden</w:t>
            </w:r>
          </w:p>
        </w:tc>
      </w:tr>
      <w:tr w:rsidR="007D76BB">
        <w:trPr>
          <w:trHeight w:val="575"/>
        </w:trPr>
        <w:tc>
          <w:tcPr>
            <w:tcW w:w="1555" w:type="dxa"/>
          </w:tcPr>
          <w:p w:rsidR="007D76BB" w:rsidRDefault="007D76BB">
            <w:pPr>
              <w:pStyle w:val="TableParagraph"/>
              <w:spacing w:before="4"/>
              <w:rPr>
                <w:rFonts w:ascii="Arial"/>
                <w:sz w:val="30"/>
              </w:rPr>
            </w:pPr>
          </w:p>
          <w:p w:rsidR="007D76BB" w:rsidRDefault="00D70D28">
            <w:pPr>
              <w:pStyle w:val="TableParagraph"/>
              <w:spacing w:line="206" w:lineRule="exact"/>
              <w:ind w:left="107"/>
              <w:rPr>
                <w:rFonts w:ascii="Arial"/>
                <w:sz w:val="19"/>
              </w:rPr>
            </w:pPr>
            <w:r>
              <w:rPr>
                <w:rFonts w:ascii="Arial"/>
                <w:sz w:val="19"/>
              </w:rPr>
              <w:t>Sponsors</w:t>
            </w:r>
          </w:p>
        </w:tc>
        <w:tc>
          <w:tcPr>
            <w:tcW w:w="2835" w:type="dxa"/>
          </w:tcPr>
          <w:p w:rsidR="007D76BB" w:rsidRDefault="007D76BB">
            <w:pPr>
              <w:pStyle w:val="TableParagraph"/>
              <w:spacing w:before="4"/>
              <w:rPr>
                <w:rFonts w:ascii="Arial"/>
                <w:sz w:val="30"/>
              </w:rPr>
            </w:pPr>
          </w:p>
          <w:p w:rsidR="007D76BB" w:rsidRDefault="00D70D28">
            <w:pPr>
              <w:pStyle w:val="TableParagraph"/>
              <w:spacing w:line="206" w:lineRule="exact"/>
              <w:ind w:right="97"/>
              <w:jc w:val="right"/>
              <w:rPr>
                <w:rFonts w:ascii="Arial"/>
                <w:sz w:val="19"/>
              </w:rPr>
            </w:pPr>
            <w:r>
              <w:rPr>
                <w:rFonts w:ascii="Arial"/>
                <w:w w:val="95"/>
                <w:sz w:val="19"/>
              </w:rPr>
              <w:t>$168,812</w:t>
            </w:r>
          </w:p>
        </w:tc>
        <w:tc>
          <w:tcPr>
            <w:tcW w:w="2552" w:type="dxa"/>
          </w:tcPr>
          <w:p w:rsidR="007D76BB" w:rsidRDefault="00D70D28">
            <w:pPr>
              <w:pStyle w:val="TableParagraph"/>
              <w:spacing w:before="88" w:line="240" w:lineRule="atLeast"/>
              <w:ind w:left="972" w:hanging="730"/>
              <w:rPr>
                <w:rFonts w:ascii="Arial"/>
                <w:sz w:val="19"/>
              </w:rPr>
            </w:pPr>
            <w:r>
              <w:rPr>
                <w:rFonts w:ascii="Arial"/>
                <w:w w:val="105"/>
                <w:sz w:val="19"/>
              </w:rPr>
              <w:t>No additional regulatory burden</w:t>
            </w:r>
          </w:p>
        </w:tc>
        <w:tc>
          <w:tcPr>
            <w:tcW w:w="1703" w:type="dxa"/>
          </w:tcPr>
          <w:p w:rsidR="007D76BB" w:rsidRDefault="007D76BB">
            <w:pPr>
              <w:pStyle w:val="TableParagraph"/>
              <w:spacing w:before="4"/>
              <w:rPr>
                <w:rFonts w:ascii="Arial"/>
                <w:sz w:val="30"/>
              </w:rPr>
            </w:pPr>
          </w:p>
          <w:p w:rsidR="007D76BB" w:rsidRDefault="00D70D28">
            <w:pPr>
              <w:pStyle w:val="TableParagraph"/>
              <w:spacing w:line="206" w:lineRule="exact"/>
              <w:ind w:right="98"/>
              <w:jc w:val="right"/>
              <w:rPr>
                <w:rFonts w:ascii="Arial"/>
                <w:sz w:val="19"/>
              </w:rPr>
            </w:pPr>
            <w:r>
              <w:rPr>
                <w:rFonts w:ascii="Arial"/>
                <w:w w:val="90"/>
                <w:sz w:val="19"/>
              </w:rPr>
              <w:t>$16,881</w:t>
            </w:r>
          </w:p>
        </w:tc>
      </w:tr>
      <w:tr w:rsidR="007D76BB">
        <w:trPr>
          <w:trHeight w:val="290"/>
        </w:trPr>
        <w:tc>
          <w:tcPr>
            <w:tcW w:w="1555" w:type="dxa"/>
          </w:tcPr>
          <w:p w:rsidR="007D76BB" w:rsidRDefault="00D70D28">
            <w:pPr>
              <w:pStyle w:val="TableParagraph"/>
              <w:spacing w:before="61" w:line="208" w:lineRule="exact"/>
              <w:ind w:left="107"/>
              <w:rPr>
                <w:rFonts w:ascii="Arial"/>
                <w:sz w:val="19"/>
              </w:rPr>
            </w:pPr>
            <w:r>
              <w:rPr>
                <w:rFonts w:ascii="Arial"/>
                <w:w w:val="105"/>
                <w:sz w:val="19"/>
              </w:rPr>
              <w:t>Ingredients</w:t>
            </w:r>
          </w:p>
        </w:tc>
        <w:tc>
          <w:tcPr>
            <w:tcW w:w="2835" w:type="dxa"/>
          </w:tcPr>
          <w:p w:rsidR="007D76BB" w:rsidRDefault="00D70D28">
            <w:pPr>
              <w:pStyle w:val="TableParagraph"/>
              <w:spacing w:before="16"/>
              <w:ind w:right="96"/>
              <w:jc w:val="right"/>
              <w:rPr>
                <w:rFonts w:ascii="Arial"/>
                <w:sz w:val="19"/>
              </w:rPr>
            </w:pPr>
            <w:r>
              <w:rPr>
                <w:rFonts w:ascii="Arial"/>
                <w:w w:val="105"/>
                <w:sz w:val="19"/>
              </w:rPr>
              <w:t>$309,705</w:t>
            </w:r>
          </w:p>
        </w:tc>
        <w:tc>
          <w:tcPr>
            <w:tcW w:w="2552" w:type="dxa"/>
          </w:tcPr>
          <w:p w:rsidR="007D76BB" w:rsidRDefault="00D70D28">
            <w:pPr>
              <w:pStyle w:val="TableParagraph"/>
              <w:spacing w:before="16"/>
              <w:ind w:right="96"/>
              <w:jc w:val="right"/>
              <w:rPr>
                <w:rFonts w:ascii="Arial"/>
                <w:sz w:val="19"/>
              </w:rPr>
            </w:pPr>
            <w:r>
              <w:rPr>
                <w:rFonts w:ascii="Arial"/>
                <w:sz w:val="19"/>
              </w:rPr>
              <w:t>$34,412</w:t>
            </w:r>
          </w:p>
        </w:tc>
        <w:tc>
          <w:tcPr>
            <w:tcW w:w="1703" w:type="dxa"/>
          </w:tcPr>
          <w:p w:rsidR="007D76BB" w:rsidRDefault="00D70D28">
            <w:pPr>
              <w:pStyle w:val="TableParagraph"/>
              <w:spacing w:before="16"/>
              <w:ind w:right="96"/>
              <w:jc w:val="right"/>
              <w:rPr>
                <w:rFonts w:ascii="Arial"/>
                <w:sz w:val="19"/>
              </w:rPr>
            </w:pPr>
            <w:r>
              <w:rPr>
                <w:rFonts w:ascii="Arial"/>
                <w:sz w:val="19"/>
              </w:rPr>
              <w:t>$34,412</w:t>
            </w:r>
          </w:p>
        </w:tc>
      </w:tr>
      <w:tr w:rsidR="007D76BB">
        <w:trPr>
          <w:trHeight w:val="961"/>
        </w:trPr>
        <w:tc>
          <w:tcPr>
            <w:tcW w:w="1555" w:type="dxa"/>
          </w:tcPr>
          <w:p w:rsidR="007D76BB" w:rsidRDefault="00D70D28">
            <w:pPr>
              <w:pStyle w:val="TableParagraph"/>
              <w:spacing w:before="4" w:line="249" w:lineRule="auto"/>
              <w:ind w:left="107" w:right="204"/>
              <w:rPr>
                <w:rFonts w:ascii="Arial"/>
                <w:i/>
                <w:sz w:val="20"/>
              </w:rPr>
            </w:pPr>
            <w:r>
              <w:rPr>
                <w:rFonts w:ascii="Arial"/>
                <w:i/>
                <w:w w:val="105"/>
                <w:sz w:val="20"/>
              </w:rPr>
              <w:t>Total cost for current and future</w:t>
            </w:r>
          </w:p>
          <w:p w:rsidR="007D76BB" w:rsidRDefault="00D70D28">
            <w:pPr>
              <w:pStyle w:val="TableParagraph"/>
              <w:spacing w:before="2" w:line="218" w:lineRule="exact"/>
              <w:ind w:left="107"/>
              <w:rPr>
                <w:rFonts w:ascii="Arial"/>
                <w:i/>
                <w:sz w:val="20"/>
              </w:rPr>
            </w:pPr>
            <w:r>
              <w:rPr>
                <w:rFonts w:ascii="Arial"/>
                <w:i/>
                <w:sz w:val="20"/>
              </w:rPr>
              <w:t>populations</w:t>
            </w:r>
          </w:p>
        </w:tc>
        <w:tc>
          <w:tcPr>
            <w:tcW w:w="2835" w:type="dxa"/>
          </w:tcPr>
          <w:p w:rsidR="007D76BB" w:rsidRDefault="00D70D28">
            <w:pPr>
              <w:pStyle w:val="TableParagraph"/>
              <w:spacing w:before="13"/>
              <w:ind w:right="98"/>
              <w:jc w:val="right"/>
              <w:rPr>
                <w:rFonts w:ascii="Arial"/>
                <w:sz w:val="19"/>
              </w:rPr>
            </w:pPr>
            <w:r>
              <w:rPr>
                <w:rFonts w:ascii="Arial"/>
                <w:sz w:val="19"/>
              </w:rPr>
              <w:t>$1,280,467</w:t>
            </w:r>
          </w:p>
        </w:tc>
        <w:tc>
          <w:tcPr>
            <w:tcW w:w="2552" w:type="dxa"/>
          </w:tcPr>
          <w:p w:rsidR="007D76BB" w:rsidRDefault="00D70D28">
            <w:pPr>
              <w:pStyle w:val="TableParagraph"/>
              <w:spacing w:before="13"/>
              <w:ind w:right="99"/>
              <w:jc w:val="right"/>
              <w:rPr>
                <w:rFonts w:ascii="Arial"/>
                <w:sz w:val="19"/>
              </w:rPr>
            </w:pPr>
            <w:r>
              <w:rPr>
                <w:rFonts w:ascii="Arial"/>
                <w:sz w:val="19"/>
              </w:rPr>
              <w:t>$877,863</w:t>
            </w:r>
          </w:p>
        </w:tc>
        <w:tc>
          <w:tcPr>
            <w:tcW w:w="1703" w:type="dxa"/>
            <w:shd w:val="clear" w:color="auto" w:fill="BEBEBE"/>
          </w:tcPr>
          <w:p w:rsidR="007D76BB" w:rsidRDefault="00D70D28">
            <w:pPr>
              <w:pStyle w:val="TableParagraph"/>
              <w:spacing w:before="13"/>
              <w:ind w:right="98"/>
              <w:jc w:val="right"/>
              <w:rPr>
                <w:rFonts w:ascii="Arial"/>
                <w:sz w:val="19"/>
              </w:rPr>
            </w:pPr>
            <w:r>
              <w:rPr>
                <w:rFonts w:ascii="Arial"/>
                <w:sz w:val="19"/>
              </w:rPr>
              <w:t>$215,833</w:t>
            </w:r>
          </w:p>
        </w:tc>
      </w:tr>
      <w:tr w:rsidR="007D76BB">
        <w:trPr>
          <w:trHeight w:val="287"/>
        </w:trPr>
        <w:tc>
          <w:tcPr>
            <w:tcW w:w="6942" w:type="dxa"/>
            <w:gridSpan w:val="3"/>
          </w:tcPr>
          <w:p w:rsidR="007D76BB" w:rsidRDefault="00D70D28">
            <w:pPr>
              <w:pStyle w:val="TableParagraph"/>
              <w:spacing w:before="52" w:line="215" w:lineRule="exact"/>
              <w:ind w:right="94"/>
              <w:jc w:val="right"/>
              <w:rPr>
                <w:rFonts w:ascii="Arial"/>
                <w:i/>
                <w:sz w:val="20"/>
              </w:rPr>
            </w:pPr>
            <w:r>
              <w:rPr>
                <w:rFonts w:ascii="Arial"/>
                <w:i/>
                <w:sz w:val="20"/>
              </w:rPr>
              <w:t>Total in millions</w:t>
            </w:r>
          </w:p>
        </w:tc>
        <w:tc>
          <w:tcPr>
            <w:tcW w:w="1703" w:type="dxa"/>
            <w:shd w:val="clear" w:color="auto" w:fill="BEBEBE"/>
          </w:tcPr>
          <w:p w:rsidR="007D76BB" w:rsidRDefault="00D70D28">
            <w:pPr>
              <w:pStyle w:val="TableParagraph"/>
              <w:spacing w:before="61" w:line="206" w:lineRule="exact"/>
              <w:ind w:right="97"/>
              <w:jc w:val="right"/>
              <w:rPr>
                <w:rFonts w:ascii="Arial"/>
                <w:sz w:val="19"/>
              </w:rPr>
            </w:pPr>
            <w:r>
              <w:rPr>
                <w:rFonts w:ascii="Arial"/>
                <w:w w:val="105"/>
                <w:sz w:val="19"/>
              </w:rPr>
              <w:t>$0.22m</w:t>
            </w:r>
          </w:p>
        </w:tc>
      </w:tr>
    </w:tbl>
    <w:p w:rsidR="007D76BB" w:rsidRDefault="007D76BB">
      <w:pPr>
        <w:pStyle w:val="BodyText"/>
        <w:rPr>
          <w:rFonts w:ascii="Arial"/>
        </w:rPr>
      </w:pPr>
    </w:p>
    <w:p w:rsidR="007D76BB" w:rsidRDefault="00D70D28">
      <w:pPr>
        <w:spacing w:before="1"/>
        <w:ind w:left="482"/>
        <w:rPr>
          <w:rFonts w:ascii="Arial"/>
          <w:sz w:val="19"/>
        </w:rPr>
      </w:pPr>
      <w:r>
        <w:rPr>
          <w:rFonts w:ascii="Arial"/>
          <w:color w:val="005386"/>
          <w:w w:val="105"/>
          <w:sz w:val="19"/>
        </w:rPr>
        <w:t>Table 16. Summary of regulatory costing for Option 3</w:t>
      </w:r>
    </w:p>
    <w:p w:rsidR="007D76BB" w:rsidRDefault="007D76BB">
      <w:pPr>
        <w:pStyle w:val="BodyText"/>
        <w:spacing w:before="3"/>
        <w:rPr>
          <w:rFonts w:ascii="Arial"/>
          <w:sz w:val="16"/>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2835"/>
        <w:gridCol w:w="2552"/>
        <w:gridCol w:w="1703"/>
      </w:tblGrid>
      <w:tr w:rsidR="007D76BB">
        <w:trPr>
          <w:trHeight w:val="722"/>
        </w:trPr>
        <w:tc>
          <w:tcPr>
            <w:tcW w:w="1555" w:type="dxa"/>
            <w:shd w:val="clear" w:color="auto" w:fill="005386"/>
          </w:tcPr>
          <w:p w:rsidR="007D76BB" w:rsidRDefault="007D76BB">
            <w:pPr>
              <w:pStyle w:val="TableParagraph"/>
              <w:spacing w:before="4"/>
              <w:rPr>
                <w:rFonts w:ascii="Arial"/>
                <w:sz w:val="20"/>
              </w:rPr>
            </w:pPr>
          </w:p>
          <w:p w:rsidR="007D76BB" w:rsidRDefault="00D70D28">
            <w:pPr>
              <w:pStyle w:val="TableParagraph"/>
              <w:spacing w:line="240" w:lineRule="atLeast"/>
              <w:ind w:left="107" w:right="605"/>
              <w:rPr>
                <w:rFonts w:ascii="Arial"/>
                <w:sz w:val="19"/>
              </w:rPr>
            </w:pPr>
            <w:r>
              <w:rPr>
                <w:rFonts w:ascii="Arial"/>
                <w:color w:val="FFFFFF"/>
                <w:sz w:val="19"/>
              </w:rPr>
              <w:t>Summary Sheet</w:t>
            </w:r>
          </w:p>
        </w:tc>
        <w:tc>
          <w:tcPr>
            <w:tcW w:w="2835" w:type="dxa"/>
            <w:shd w:val="clear" w:color="auto" w:fill="005386"/>
          </w:tcPr>
          <w:p w:rsidR="007D76BB" w:rsidRDefault="007D76BB">
            <w:pPr>
              <w:pStyle w:val="TableParagraph"/>
              <w:spacing w:before="3"/>
              <w:rPr>
                <w:rFonts w:ascii="Arial"/>
              </w:rPr>
            </w:pPr>
          </w:p>
          <w:p w:rsidR="007D76BB" w:rsidRDefault="00D70D28">
            <w:pPr>
              <w:pStyle w:val="TableParagraph"/>
              <w:ind w:left="107"/>
              <w:rPr>
                <w:rFonts w:ascii="Arial"/>
                <w:sz w:val="19"/>
              </w:rPr>
            </w:pPr>
            <w:r>
              <w:rPr>
                <w:rFonts w:ascii="Arial"/>
                <w:color w:val="FFFFFF"/>
                <w:w w:val="105"/>
                <w:sz w:val="19"/>
              </w:rPr>
              <w:t>Cost for Current Population</w:t>
            </w:r>
          </w:p>
        </w:tc>
        <w:tc>
          <w:tcPr>
            <w:tcW w:w="2552" w:type="dxa"/>
            <w:shd w:val="clear" w:color="auto" w:fill="005386"/>
          </w:tcPr>
          <w:p w:rsidR="007D76BB" w:rsidRDefault="007D76BB">
            <w:pPr>
              <w:pStyle w:val="TableParagraph"/>
              <w:spacing w:before="3"/>
              <w:rPr>
                <w:rFonts w:ascii="Arial"/>
              </w:rPr>
            </w:pPr>
          </w:p>
          <w:p w:rsidR="007D76BB" w:rsidRDefault="00D70D28">
            <w:pPr>
              <w:pStyle w:val="TableParagraph"/>
              <w:ind w:left="108"/>
              <w:rPr>
                <w:rFonts w:ascii="Arial"/>
                <w:sz w:val="19"/>
              </w:rPr>
            </w:pPr>
            <w:r>
              <w:rPr>
                <w:rFonts w:ascii="Arial"/>
                <w:color w:val="FFFFFF"/>
                <w:w w:val="105"/>
                <w:sz w:val="19"/>
              </w:rPr>
              <w:t>Cost for Future Population</w:t>
            </w:r>
          </w:p>
        </w:tc>
        <w:tc>
          <w:tcPr>
            <w:tcW w:w="1703" w:type="dxa"/>
            <w:shd w:val="clear" w:color="auto" w:fill="005386"/>
          </w:tcPr>
          <w:p w:rsidR="007D76BB" w:rsidRDefault="00D70D28">
            <w:pPr>
              <w:pStyle w:val="TableParagraph"/>
              <w:spacing w:before="13"/>
              <w:ind w:left="108"/>
              <w:rPr>
                <w:rFonts w:ascii="Arial"/>
                <w:sz w:val="19"/>
              </w:rPr>
            </w:pPr>
            <w:r>
              <w:rPr>
                <w:rFonts w:ascii="Arial"/>
                <w:color w:val="FFFFFF"/>
                <w:sz w:val="19"/>
              </w:rPr>
              <w:t>Average cost</w:t>
            </w:r>
          </w:p>
          <w:p w:rsidR="007D76BB" w:rsidRDefault="00D70D28">
            <w:pPr>
              <w:pStyle w:val="TableParagraph"/>
              <w:spacing w:before="3" w:line="240" w:lineRule="atLeast"/>
              <w:ind w:left="108" w:right="498"/>
              <w:rPr>
                <w:rFonts w:ascii="Arial"/>
                <w:sz w:val="19"/>
              </w:rPr>
            </w:pPr>
            <w:r>
              <w:rPr>
                <w:rFonts w:ascii="Arial"/>
                <w:color w:val="FFFFFF"/>
                <w:sz w:val="19"/>
              </w:rPr>
              <w:t xml:space="preserve">over 10-year </w:t>
            </w:r>
            <w:r>
              <w:rPr>
                <w:rFonts w:ascii="Arial"/>
                <w:color w:val="FFFFFF"/>
                <w:w w:val="105"/>
                <w:sz w:val="19"/>
              </w:rPr>
              <w:t>period</w:t>
            </w:r>
          </w:p>
        </w:tc>
      </w:tr>
      <w:tr w:rsidR="007D76BB">
        <w:trPr>
          <w:trHeight w:val="287"/>
        </w:trPr>
        <w:tc>
          <w:tcPr>
            <w:tcW w:w="1555" w:type="dxa"/>
          </w:tcPr>
          <w:p w:rsidR="007D76BB" w:rsidRDefault="00D70D28">
            <w:pPr>
              <w:pStyle w:val="TableParagraph"/>
              <w:spacing w:before="61" w:line="206" w:lineRule="exact"/>
              <w:ind w:left="107"/>
              <w:rPr>
                <w:rFonts w:ascii="Arial"/>
                <w:sz w:val="19"/>
              </w:rPr>
            </w:pPr>
            <w:r>
              <w:rPr>
                <w:rFonts w:ascii="Arial"/>
                <w:w w:val="105"/>
                <w:sz w:val="19"/>
              </w:rPr>
              <w:t>Products</w:t>
            </w:r>
          </w:p>
        </w:tc>
        <w:tc>
          <w:tcPr>
            <w:tcW w:w="2835" w:type="dxa"/>
          </w:tcPr>
          <w:p w:rsidR="007D76BB" w:rsidRDefault="00D70D28">
            <w:pPr>
              <w:pStyle w:val="TableParagraph"/>
              <w:spacing w:before="13"/>
              <w:ind w:right="98"/>
              <w:jc w:val="right"/>
              <w:rPr>
                <w:rFonts w:ascii="Arial"/>
                <w:sz w:val="19"/>
              </w:rPr>
            </w:pPr>
            <w:r>
              <w:rPr>
                <w:rFonts w:ascii="Arial"/>
                <w:sz w:val="19"/>
              </w:rPr>
              <w:t>$497,728</w:t>
            </w:r>
          </w:p>
        </w:tc>
        <w:tc>
          <w:tcPr>
            <w:tcW w:w="2552" w:type="dxa"/>
          </w:tcPr>
          <w:p w:rsidR="007D76BB" w:rsidRDefault="00D70D28">
            <w:pPr>
              <w:pStyle w:val="TableParagraph"/>
              <w:spacing w:before="61" w:line="206" w:lineRule="exact"/>
              <w:ind w:right="98"/>
              <w:jc w:val="right"/>
              <w:rPr>
                <w:rFonts w:ascii="Arial"/>
                <w:sz w:val="19"/>
              </w:rPr>
            </w:pPr>
            <w:r>
              <w:rPr>
                <w:rFonts w:ascii="Arial"/>
                <w:sz w:val="19"/>
              </w:rPr>
              <w:t>$372,759</w:t>
            </w:r>
          </w:p>
        </w:tc>
        <w:tc>
          <w:tcPr>
            <w:tcW w:w="1703" w:type="dxa"/>
          </w:tcPr>
          <w:p w:rsidR="007D76BB" w:rsidRDefault="00D70D28">
            <w:pPr>
              <w:pStyle w:val="TableParagraph"/>
              <w:spacing w:before="61" w:line="206" w:lineRule="exact"/>
              <w:ind w:right="99"/>
              <w:jc w:val="right"/>
              <w:rPr>
                <w:rFonts w:ascii="Arial"/>
                <w:sz w:val="19"/>
              </w:rPr>
            </w:pPr>
            <w:r>
              <w:rPr>
                <w:rFonts w:ascii="Arial"/>
                <w:w w:val="105"/>
                <w:sz w:val="19"/>
              </w:rPr>
              <w:t>$87,049</w:t>
            </w:r>
          </w:p>
        </w:tc>
      </w:tr>
      <w:tr w:rsidR="007D76BB">
        <w:trPr>
          <w:trHeight w:val="722"/>
        </w:trPr>
        <w:tc>
          <w:tcPr>
            <w:tcW w:w="1555" w:type="dxa"/>
          </w:tcPr>
          <w:p w:rsidR="007D76BB" w:rsidRDefault="00D70D28">
            <w:pPr>
              <w:pStyle w:val="TableParagraph"/>
              <w:spacing w:before="13"/>
              <w:ind w:left="107"/>
              <w:rPr>
                <w:rFonts w:ascii="Arial"/>
                <w:sz w:val="19"/>
              </w:rPr>
            </w:pPr>
            <w:r>
              <w:rPr>
                <w:rFonts w:ascii="Arial"/>
                <w:sz w:val="19"/>
              </w:rPr>
              <w:t>Good</w:t>
            </w:r>
          </w:p>
          <w:p w:rsidR="007D76BB" w:rsidRDefault="00D70D28">
            <w:pPr>
              <w:pStyle w:val="TableParagraph"/>
              <w:spacing w:before="3" w:line="240" w:lineRule="atLeast"/>
              <w:ind w:left="107"/>
              <w:rPr>
                <w:rFonts w:ascii="Arial"/>
                <w:sz w:val="19"/>
              </w:rPr>
            </w:pPr>
            <w:r>
              <w:rPr>
                <w:rFonts w:ascii="Arial"/>
                <w:w w:val="105"/>
                <w:sz w:val="19"/>
              </w:rPr>
              <w:t>Manufacturing Practice</w:t>
            </w:r>
          </w:p>
        </w:tc>
        <w:tc>
          <w:tcPr>
            <w:tcW w:w="7090" w:type="dxa"/>
            <w:gridSpan w:val="3"/>
          </w:tcPr>
          <w:p w:rsidR="007D76BB" w:rsidRDefault="007D76BB">
            <w:pPr>
              <w:pStyle w:val="TableParagraph"/>
              <w:rPr>
                <w:rFonts w:ascii="Arial"/>
                <w:sz w:val="24"/>
              </w:rPr>
            </w:pPr>
          </w:p>
          <w:p w:rsidR="007D76BB" w:rsidRDefault="007D76BB">
            <w:pPr>
              <w:pStyle w:val="TableParagraph"/>
              <w:spacing w:before="1"/>
              <w:rPr>
                <w:rFonts w:ascii="Arial"/>
                <w:sz w:val="19"/>
              </w:rPr>
            </w:pPr>
          </w:p>
          <w:p w:rsidR="007D76BB" w:rsidRDefault="00D70D28">
            <w:pPr>
              <w:pStyle w:val="TableParagraph"/>
              <w:spacing w:line="206" w:lineRule="exact"/>
              <w:ind w:left="1334"/>
              <w:rPr>
                <w:rFonts w:ascii="Arial"/>
                <w:sz w:val="19"/>
              </w:rPr>
            </w:pPr>
            <w:r>
              <w:rPr>
                <w:rFonts w:ascii="Arial"/>
                <w:w w:val="105"/>
                <w:sz w:val="19"/>
              </w:rPr>
              <w:t>No additional regulatory burden</w:t>
            </w:r>
          </w:p>
        </w:tc>
      </w:tr>
      <w:tr w:rsidR="007D76BB">
        <w:trPr>
          <w:trHeight w:val="575"/>
        </w:trPr>
        <w:tc>
          <w:tcPr>
            <w:tcW w:w="1555" w:type="dxa"/>
          </w:tcPr>
          <w:p w:rsidR="007D76BB" w:rsidRDefault="007D76BB">
            <w:pPr>
              <w:pStyle w:val="TableParagraph"/>
              <w:spacing w:before="4"/>
              <w:rPr>
                <w:rFonts w:ascii="Arial"/>
                <w:sz w:val="30"/>
              </w:rPr>
            </w:pPr>
          </w:p>
          <w:p w:rsidR="007D76BB" w:rsidRDefault="00D70D28">
            <w:pPr>
              <w:pStyle w:val="TableParagraph"/>
              <w:spacing w:line="206" w:lineRule="exact"/>
              <w:ind w:left="107"/>
              <w:rPr>
                <w:rFonts w:ascii="Arial"/>
                <w:sz w:val="19"/>
              </w:rPr>
            </w:pPr>
            <w:r>
              <w:rPr>
                <w:rFonts w:ascii="Arial"/>
                <w:sz w:val="19"/>
              </w:rPr>
              <w:t>Sponsors</w:t>
            </w:r>
          </w:p>
        </w:tc>
        <w:tc>
          <w:tcPr>
            <w:tcW w:w="2835" w:type="dxa"/>
          </w:tcPr>
          <w:p w:rsidR="007D76BB" w:rsidRDefault="007D76BB">
            <w:pPr>
              <w:pStyle w:val="TableParagraph"/>
              <w:spacing w:before="4"/>
              <w:rPr>
                <w:rFonts w:ascii="Arial"/>
                <w:sz w:val="30"/>
              </w:rPr>
            </w:pPr>
          </w:p>
          <w:p w:rsidR="007D76BB" w:rsidRDefault="00D70D28">
            <w:pPr>
              <w:pStyle w:val="TableParagraph"/>
              <w:spacing w:line="206" w:lineRule="exact"/>
              <w:ind w:right="97"/>
              <w:jc w:val="right"/>
              <w:rPr>
                <w:rFonts w:ascii="Arial"/>
                <w:sz w:val="19"/>
              </w:rPr>
            </w:pPr>
            <w:r>
              <w:rPr>
                <w:rFonts w:ascii="Arial"/>
                <w:w w:val="95"/>
                <w:sz w:val="19"/>
              </w:rPr>
              <w:t>$167,667</w:t>
            </w:r>
          </w:p>
        </w:tc>
        <w:tc>
          <w:tcPr>
            <w:tcW w:w="2552" w:type="dxa"/>
          </w:tcPr>
          <w:p w:rsidR="007D76BB" w:rsidRDefault="00D70D28">
            <w:pPr>
              <w:pStyle w:val="TableParagraph"/>
              <w:spacing w:before="88" w:line="240" w:lineRule="atLeast"/>
              <w:ind w:left="972" w:hanging="730"/>
              <w:rPr>
                <w:rFonts w:ascii="Arial"/>
                <w:sz w:val="19"/>
              </w:rPr>
            </w:pPr>
            <w:r>
              <w:rPr>
                <w:rFonts w:ascii="Arial"/>
                <w:w w:val="105"/>
                <w:sz w:val="19"/>
              </w:rPr>
              <w:t>No additional regulatory burden</w:t>
            </w:r>
          </w:p>
        </w:tc>
        <w:tc>
          <w:tcPr>
            <w:tcW w:w="1703" w:type="dxa"/>
          </w:tcPr>
          <w:p w:rsidR="007D76BB" w:rsidRDefault="007D76BB">
            <w:pPr>
              <w:pStyle w:val="TableParagraph"/>
              <w:spacing w:before="4"/>
              <w:rPr>
                <w:rFonts w:ascii="Arial"/>
                <w:sz w:val="30"/>
              </w:rPr>
            </w:pPr>
          </w:p>
          <w:p w:rsidR="007D76BB" w:rsidRDefault="00D70D28">
            <w:pPr>
              <w:pStyle w:val="TableParagraph"/>
              <w:spacing w:line="206" w:lineRule="exact"/>
              <w:ind w:right="99"/>
              <w:jc w:val="right"/>
              <w:rPr>
                <w:rFonts w:ascii="Arial"/>
                <w:sz w:val="19"/>
              </w:rPr>
            </w:pPr>
            <w:r>
              <w:rPr>
                <w:rFonts w:ascii="Arial"/>
                <w:w w:val="90"/>
                <w:sz w:val="19"/>
              </w:rPr>
              <w:t>$16,767</w:t>
            </w:r>
          </w:p>
        </w:tc>
      </w:tr>
      <w:tr w:rsidR="007D76BB">
        <w:trPr>
          <w:trHeight w:val="287"/>
        </w:trPr>
        <w:tc>
          <w:tcPr>
            <w:tcW w:w="1555" w:type="dxa"/>
          </w:tcPr>
          <w:p w:rsidR="007D76BB" w:rsidRDefault="00D70D28">
            <w:pPr>
              <w:pStyle w:val="TableParagraph"/>
              <w:spacing w:before="61" w:line="206" w:lineRule="exact"/>
              <w:ind w:left="107"/>
              <w:rPr>
                <w:rFonts w:ascii="Arial"/>
                <w:sz w:val="19"/>
              </w:rPr>
            </w:pPr>
            <w:r>
              <w:rPr>
                <w:rFonts w:ascii="Arial"/>
                <w:w w:val="105"/>
                <w:sz w:val="19"/>
              </w:rPr>
              <w:t>Ingredients</w:t>
            </w:r>
          </w:p>
        </w:tc>
        <w:tc>
          <w:tcPr>
            <w:tcW w:w="2835" w:type="dxa"/>
          </w:tcPr>
          <w:p w:rsidR="007D76BB" w:rsidRDefault="00D70D28">
            <w:pPr>
              <w:pStyle w:val="TableParagraph"/>
              <w:spacing w:before="61" w:line="206" w:lineRule="exact"/>
              <w:ind w:right="98"/>
              <w:jc w:val="right"/>
              <w:rPr>
                <w:rFonts w:ascii="Arial"/>
                <w:sz w:val="19"/>
              </w:rPr>
            </w:pPr>
            <w:r>
              <w:rPr>
                <w:rFonts w:ascii="Arial"/>
                <w:w w:val="95"/>
                <w:sz w:val="19"/>
              </w:rPr>
              <w:t>$137,647</w:t>
            </w:r>
          </w:p>
        </w:tc>
        <w:tc>
          <w:tcPr>
            <w:tcW w:w="2552" w:type="dxa"/>
          </w:tcPr>
          <w:p w:rsidR="007D76BB" w:rsidRDefault="00D70D28">
            <w:pPr>
              <w:pStyle w:val="TableParagraph"/>
              <w:spacing w:before="61" w:line="206" w:lineRule="exact"/>
              <w:ind w:right="96"/>
              <w:jc w:val="right"/>
              <w:rPr>
                <w:rFonts w:ascii="Arial"/>
                <w:sz w:val="19"/>
              </w:rPr>
            </w:pPr>
            <w:r>
              <w:rPr>
                <w:rFonts w:ascii="Arial"/>
                <w:sz w:val="19"/>
              </w:rPr>
              <w:t>$34,412</w:t>
            </w:r>
          </w:p>
        </w:tc>
        <w:tc>
          <w:tcPr>
            <w:tcW w:w="1703" w:type="dxa"/>
          </w:tcPr>
          <w:p w:rsidR="007D76BB" w:rsidRDefault="00D70D28">
            <w:pPr>
              <w:pStyle w:val="TableParagraph"/>
              <w:spacing w:before="61" w:line="206" w:lineRule="exact"/>
              <w:ind w:right="99"/>
              <w:jc w:val="right"/>
              <w:rPr>
                <w:rFonts w:ascii="Arial"/>
                <w:sz w:val="19"/>
              </w:rPr>
            </w:pPr>
            <w:r>
              <w:rPr>
                <w:rFonts w:ascii="Arial"/>
                <w:w w:val="95"/>
                <w:sz w:val="19"/>
              </w:rPr>
              <w:t>$17,206</w:t>
            </w:r>
          </w:p>
        </w:tc>
      </w:tr>
      <w:tr w:rsidR="007D76BB">
        <w:trPr>
          <w:trHeight w:val="961"/>
        </w:trPr>
        <w:tc>
          <w:tcPr>
            <w:tcW w:w="1555" w:type="dxa"/>
          </w:tcPr>
          <w:p w:rsidR="007D76BB" w:rsidRDefault="00D70D28">
            <w:pPr>
              <w:pStyle w:val="TableParagraph"/>
              <w:spacing w:before="4" w:line="252" w:lineRule="auto"/>
              <w:ind w:left="107" w:right="204"/>
              <w:rPr>
                <w:rFonts w:ascii="Arial"/>
                <w:i/>
                <w:sz w:val="20"/>
              </w:rPr>
            </w:pPr>
            <w:r>
              <w:rPr>
                <w:rFonts w:ascii="Arial"/>
                <w:i/>
                <w:w w:val="105"/>
                <w:sz w:val="20"/>
              </w:rPr>
              <w:t>Total cost for current and future</w:t>
            </w:r>
          </w:p>
          <w:p w:rsidR="007D76BB" w:rsidRDefault="00D70D28">
            <w:pPr>
              <w:pStyle w:val="TableParagraph"/>
              <w:spacing w:line="213" w:lineRule="exact"/>
              <w:ind w:left="107"/>
              <w:rPr>
                <w:rFonts w:ascii="Arial"/>
                <w:i/>
                <w:sz w:val="20"/>
              </w:rPr>
            </w:pPr>
            <w:r>
              <w:rPr>
                <w:rFonts w:ascii="Arial"/>
                <w:i/>
                <w:sz w:val="20"/>
              </w:rPr>
              <w:t>populations</w:t>
            </w:r>
          </w:p>
        </w:tc>
        <w:tc>
          <w:tcPr>
            <w:tcW w:w="2835" w:type="dxa"/>
          </w:tcPr>
          <w:p w:rsidR="007D76BB" w:rsidRDefault="007D76BB">
            <w:pPr>
              <w:pStyle w:val="TableParagraph"/>
              <w:rPr>
                <w:rFonts w:ascii="Arial"/>
                <w:sz w:val="24"/>
              </w:rPr>
            </w:pPr>
          </w:p>
          <w:p w:rsidR="007D76BB" w:rsidRDefault="007D76BB">
            <w:pPr>
              <w:pStyle w:val="TableParagraph"/>
              <w:rPr>
                <w:rFonts w:ascii="Arial"/>
                <w:sz w:val="24"/>
              </w:rPr>
            </w:pPr>
          </w:p>
          <w:p w:rsidR="007D76BB" w:rsidRDefault="00D70D28">
            <w:pPr>
              <w:pStyle w:val="TableParagraph"/>
              <w:spacing w:before="184" w:line="206" w:lineRule="exact"/>
              <w:ind w:right="95"/>
              <w:jc w:val="right"/>
              <w:rPr>
                <w:rFonts w:ascii="Arial"/>
                <w:sz w:val="19"/>
              </w:rPr>
            </w:pPr>
            <w:r>
              <w:rPr>
                <w:rFonts w:ascii="Arial"/>
                <w:w w:val="105"/>
                <w:sz w:val="19"/>
              </w:rPr>
              <w:t>$803,042</w:t>
            </w:r>
          </w:p>
        </w:tc>
        <w:tc>
          <w:tcPr>
            <w:tcW w:w="2552" w:type="dxa"/>
          </w:tcPr>
          <w:p w:rsidR="007D76BB" w:rsidRDefault="007D76BB">
            <w:pPr>
              <w:pStyle w:val="TableParagraph"/>
              <w:rPr>
                <w:rFonts w:ascii="Arial"/>
                <w:sz w:val="24"/>
              </w:rPr>
            </w:pPr>
          </w:p>
          <w:p w:rsidR="007D76BB" w:rsidRDefault="007D76BB">
            <w:pPr>
              <w:pStyle w:val="TableParagraph"/>
              <w:rPr>
                <w:rFonts w:ascii="Arial"/>
                <w:sz w:val="24"/>
              </w:rPr>
            </w:pPr>
          </w:p>
          <w:p w:rsidR="007D76BB" w:rsidRDefault="00D70D28">
            <w:pPr>
              <w:pStyle w:val="TableParagraph"/>
              <w:spacing w:before="184" w:line="206" w:lineRule="exact"/>
              <w:ind w:right="98"/>
              <w:jc w:val="right"/>
              <w:rPr>
                <w:rFonts w:ascii="Arial"/>
                <w:sz w:val="19"/>
              </w:rPr>
            </w:pPr>
            <w:r>
              <w:rPr>
                <w:rFonts w:ascii="Arial"/>
                <w:w w:val="90"/>
                <w:sz w:val="19"/>
              </w:rPr>
              <w:t>$407,171</w:t>
            </w:r>
          </w:p>
        </w:tc>
        <w:tc>
          <w:tcPr>
            <w:tcW w:w="1703" w:type="dxa"/>
            <w:shd w:val="clear" w:color="auto" w:fill="BEBEBE"/>
          </w:tcPr>
          <w:p w:rsidR="007D76BB" w:rsidRDefault="007D76BB">
            <w:pPr>
              <w:pStyle w:val="TableParagraph"/>
              <w:rPr>
                <w:rFonts w:ascii="Arial"/>
                <w:sz w:val="24"/>
              </w:rPr>
            </w:pPr>
          </w:p>
          <w:p w:rsidR="007D76BB" w:rsidRDefault="007D76BB">
            <w:pPr>
              <w:pStyle w:val="TableParagraph"/>
              <w:rPr>
                <w:rFonts w:ascii="Arial"/>
                <w:sz w:val="24"/>
              </w:rPr>
            </w:pPr>
          </w:p>
          <w:p w:rsidR="007D76BB" w:rsidRDefault="00D70D28">
            <w:pPr>
              <w:pStyle w:val="TableParagraph"/>
              <w:spacing w:before="184" w:line="206" w:lineRule="exact"/>
              <w:ind w:right="97"/>
              <w:jc w:val="right"/>
              <w:rPr>
                <w:rFonts w:ascii="Arial"/>
                <w:sz w:val="19"/>
              </w:rPr>
            </w:pPr>
            <w:r>
              <w:rPr>
                <w:rFonts w:ascii="Arial"/>
                <w:w w:val="95"/>
                <w:sz w:val="19"/>
              </w:rPr>
              <w:t>$121,022</w:t>
            </w:r>
          </w:p>
        </w:tc>
      </w:tr>
      <w:tr w:rsidR="007D76BB">
        <w:trPr>
          <w:trHeight w:val="290"/>
        </w:trPr>
        <w:tc>
          <w:tcPr>
            <w:tcW w:w="6942" w:type="dxa"/>
            <w:gridSpan w:val="3"/>
          </w:tcPr>
          <w:p w:rsidR="007D76BB" w:rsidRDefault="00D70D28">
            <w:pPr>
              <w:pStyle w:val="TableParagraph"/>
              <w:spacing w:before="52" w:line="218" w:lineRule="exact"/>
              <w:ind w:right="95"/>
              <w:jc w:val="right"/>
              <w:rPr>
                <w:rFonts w:ascii="Arial"/>
                <w:i/>
                <w:sz w:val="20"/>
              </w:rPr>
            </w:pPr>
            <w:r>
              <w:rPr>
                <w:rFonts w:ascii="Arial"/>
                <w:i/>
                <w:sz w:val="20"/>
              </w:rPr>
              <w:t>Total in millions</w:t>
            </w:r>
          </w:p>
        </w:tc>
        <w:tc>
          <w:tcPr>
            <w:tcW w:w="1703" w:type="dxa"/>
            <w:shd w:val="clear" w:color="auto" w:fill="BEBEBE"/>
          </w:tcPr>
          <w:p w:rsidR="007D76BB" w:rsidRDefault="00D70D28">
            <w:pPr>
              <w:pStyle w:val="TableParagraph"/>
              <w:spacing w:before="61" w:line="208" w:lineRule="exact"/>
              <w:ind w:right="97"/>
              <w:jc w:val="right"/>
              <w:rPr>
                <w:rFonts w:ascii="Arial"/>
                <w:sz w:val="19"/>
              </w:rPr>
            </w:pPr>
            <w:r>
              <w:rPr>
                <w:rFonts w:ascii="Arial"/>
                <w:w w:val="95"/>
                <w:sz w:val="19"/>
              </w:rPr>
              <w:t>$0.12m</w:t>
            </w:r>
          </w:p>
        </w:tc>
      </w:tr>
    </w:tbl>
    <w:p w:rsidR="007D76BB" w:rsidRDefault="00D70D28">
      <w:pPr>
        <w:spacing w:before="194" w:line="266" w:lineRule="auto"/>
        <w:ind w:left="482" w:right="688"/>
        <w:rPr>
          <w:rFonts w:ascii="Arial"/>
          <w:sz w:val="19"/>
        </w:rPr>
      </w:pPr>
      <w:r>
        <w:rPr>
          <w:rFonts w:ascii="Arial"/>
          <w:w w:val="105"/>
          <w:sz w:val="19"/>
        </w:rPr>
        <w:t>The</w:t>
      </w:r>
      <w:r>
        <w:rPr>
          <w:rFonts w:ascii="Arial"/>
          <w:spacing w:val="-24"/>
          <w:w w:val="105"/>
          <w:sz w:val="19"/>
        </w:rPr>
        <w:t xml:space="preserve"> </w:t>
      </w:r>
      <w:r>
        <w:rPr>
          <w:rFonts w:ascii="Arial"/>
          <w:w w:val="105"/>
          <w:sz w:val="19"/>
        </w:rPr>
        <w:t>table</w:t>
      </w:r>
      <w:r>
        <w:rPr>
          <w:rFonts w:ascii="Arial"/>
          <w:spacing w:val="-23"/>
          <w:w w:val="105"/>
          <w:sz w:val="19"/>
        </w:rPr>
        <w:t xml:space="preserve"> </w:t>
      </w:r>
      <w:r>
        <w:rPr>
          <w:rFonts w:ascii="Arial"/>
          <w:w w:val="105"/>
          <w:sz w:val="19"/>
        </w:rPr>
        <w:t>below</w:t>
      </w:r>
      <w:r>
        <w:rPr>
          <w:rFonts w:ascii="Arial"/>
          <w:spacing w:val="-24"/>
          <w:w w:val="105"/>
          <w:sz w:val="19"/>
        </w:rPr>
        <w:t xml:space="preserve"> </w:t>
      </w:r>
      <w:r>
        <w:rPr>
          <w:rFonts w:ascii="Arial"/>
          <w:w w:val="105"/>
          <w:sz w:val="19"/>
        </w:rPr>
        <w:t>provides</w:t>
      </w:r>
      <w:r>
        <w:rPr>
          <w:rFonts w:ascii="Arial"/>
          <w:spacing w:val="-24"/>
          <w:w w:val="105"/>
          <w:sz w:val="19"/>
        </w:rPr>
        <w:t xml:space="preserve"> </w:t>
      </w:r>
      <w:r>
        <w:rPr>
          <w:rFonts w:ascii="Arial"/>
          <w:w w:val="105"/>
          <w:sz w:val="19"/>
        </w:rPr>
        <w:t>the</w:t>
      </w:r>
      <w:r>
        <w:rPr>
          <w:rFonts w:ascii="Arial"/>
          <w:spacing w:val="-24"/>
          <w:w w:val="105"/>
          <w:sz w:val="19"/>
        </w:rPr>
        <w:t xml:space="preserve"> </w:t>
      </w:r>
      <w:r>
        <w:rPr>
          <w:rFonts w:ascii="Arial"/>
          <w:w w:val="105"/>
          <w:sz w:val="19"/>
        </w:rPr>
        <w:t>average</w:t>
      </w:r>
      <w:r>
        <w:rPr>
          <w:rFonts w:ascii="Arial"/>
          <w:spacing w:val="-21"/>
          <w:w w:val="105"/>
          <w:sz w:val="19"/>
        </w:rPr>
        <w:t xml:space="preserve"> </w:t>
      </w:r>
      <w:r>
        <w:rPr>
          <w:rFonts w:ascii="Arial"/>
          <w:w w:val="105"/>
          <w:sz w:val="19"/>
        </w:rPr>
        <w:t>(over</w:t>
      </w:r>
      <w:r>
        <w:rPr>
          <w:rFonts w:ascii="Arial"/>
          <w:spacing w:val="-25"/>
          <w:w w:val="105"/>
          <w:sz w:val="19"/>
        </w:rPr>
        <w:t xml:space="preserve"> </w:t>
      </w:r>
      <w:r>
        <w:rPr>
          <w:rFonts w:ascii="Arial"/>
          <w:w w:val="105"/>
          <w:sz w:val="19"/>
        </w:rPr>
        <w:t>the</w:t>
      </w:r>
      <w:r>
        <w:rPr>
          <w:rFonts w:ascii="Arial"/>
          <w:spacing w:val="-23"/>
          <w:w w:val="105"/>
          <w:sz w:val="19"/>
        </w:rPr>
        <w:t xml:space="preserve"> </w:t>
      </w:r>
      <w:r>
        <w:rPr>
          <w:rFonts w:ascii="Arial"/>
          <w:w w:val="105"/>
          <w:sz w:val="19"/>
        </w:rPr>
        <w:t>default</w:t>
      </w:r>
      <w:r>
        <w:rPr>
          <w:rFonts w:ascii="Arial"/>
          <w:spacing w:val="-25"/>
          <w:w w:val="105"/>
          <w:sz w:val="19"/>
        </w:rPr>
        <w:t xml:space="preserve"> </w:t>
      </w:r>
      <w:r>
        <w:rPr>
          <w:rFonts w:ascii="Arial"/>
          <w:w w:val="105"/>
          <w:sz w:val="19"/>
        </w:rPr>
        <w:t>ten-year</w:t>
      </w:r>
      <w:r>
        <w:rPr>
          <w:rFonts w:ascii="Arial"/>
          <w:spacing w:val="-25"/>
          <w:w w:val="105"/>
          <w:sz w:val="19"/>
        </w:rPr>
        <w:t xml:space="preserve"> </w:t>
      </w:r>
      <w:r>
        <w:rPr>
          <w:rFonts w:ascii="Arial"/>
          <w:w w:val="105"/>
          <w:sz w:val="19"/>
        </w:rPr>
        <w:t>period)</w:t>
      </w:r>
      <w:r>
        <w:rPr>
          <w:rFonts w:ascii="Arial"/>
          <w:spacing w:val="-23"/>
          <w:w w:val="105"/>
          <w:sz w:val="19"/>
        </w:rPr>
        <w:t xml:space="preserve"> </w:t>
      </w:r>
      <w:r>
        <w:rPr>
          <w:rFonts w:ascii="Arial"/>
          <w:w w:val="105"/>
          <w:sz w:val="19"/>
        </w:rPr>
        <w:t>estimated</w:t>
      </w:r>
      <w:r>
        <w:rPr>
          <w:rFonts w:ascii="Arial"/>
          <w:spacing w:val="-25"/>
          <w:w w:val="105"/>
          <w:sz w:val="19"/>
        </w:rPr>
        <w:t xml:space="preserve"> </w:t>
      </w:r>
      <w:r>
        <w:rPr>
          <w:rFonts w:ascii="Arial"/>
          <w:w w:val="105"/>
          <w:sz w:val="19"/>
        </w:rPr>
        <w:t>regulatory compliance</w:t>
      </w:r>
      <w:r>
        <w:rPr>
          <w:rFonts w:ascii="Arial"/>
          <w:spacing w:val="-13"/>
          <w:w w:val="105"/>
          <w:sz w:val="19"/>
        </w:rPr>
        <w:t xml:space="preserve"> </w:t>
      </w:r>
      <w:r>
        <w:rPr>
          <w:rFonts w:ascii="Arial"/>
          <w:w w:val="105"/>
          <w:sz w:val="19"/>
        </w:rPr>
        <w:t>costs.</w:t>
      </w:r>
    </w:p>
    <w:p w:rsidR="007D76BB" w:rsidRDefault="007D76BB">
      <w:pPr>
        <w:spacing w:line="266" w:lineRule="auto"/>
        <w:rPr>
          <w:rFonts w:ascii="Arial"/>
          <w:sz w:val="19"/>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8"/>
        </w:rPr>
      </w:pPr>
    </w:p>
    <w:p w:rsidR="007D76BB" w:rsidRDefault="00D70D28">
      <w:pPr>
        <w:spacing w:before="108"/>
        <w:ind w:left="482"/>
        <w:rPr>
          <w:rFonts w:ascii="Arial"/>
          <w:sz w:val="19"/>
        </w:rPr>
      </w:pPr>
      <w:r>
        <w:rPr>
          <w:rFonts w:ascii="Arial"/>
          <w:color w:val="005386"/>
          <w:sz w:val="19"/>
        </w:rPr>
        <w:t>Table 17: Summary of estimated regulatory compliance costs</w:t>
      </w:r>
    </w:p>
    <w:p w:rsidR="007D76BB" w:rsidRDefault="007D76BB">
      <w:pPr>
        <w:pStyle w:val="BodyText"/>
        <w:spacing w:before="4"/>
        <w:rPr>
          <w:rFonts w:ascii="Arial"/>
          <w:sz w:val="16"/>
        </w:rPr>
      </w:pPr>
    </w:p>
    <w:tbl>
      <w:tblPr>
        <w:tblW w:w="0" w:type="auto"/>
        <w:tblInd w:w="4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824"/>
        <w:gridCol w:w="1136"/>
        <w:gridCol w:w="1424"/>
        <w:gridCol w:w="1115"/>
        <w:gridCol w:w="1292"/>
      </w:tblGrid>
      <w:tr w:rsidR="007D76BB">
        <w:trPr>
          <w:trHeight w:val="501"/>
        </w:trPr>
        <w:tc>
          <w:tcPr>
            <w:tcW w:w="8791" w:type="dxa"/>
            <w:gridSpan w:val="5"/>
            <w:tcBorders>
              <w:bottom w:val="single" w:sz="4" w:space="0" w:color="000000"/>
            </w:tcBorders>
            <w:shd w:val="clear" w:color="auto" w:fill="005386"/>
          </w:tcPr>
          <w:p w:rsidR="007D76BB" w:rsidRDefault="00D70D28">
            <w:pPr>
              <w:pStyle w:val="TableParagraph"/>
              <w:spacing w:before="196"/>
              <w:ind w:left="1534" w:right="1535"/>
              <w:jc w:val="center"/>
              <w:rPr>
                <w:rFonts w:ascii="Arial"/>
                <w:sz w:val="19"/>
              </w:rPr>
            </w:pPr>
            <w:r>
              <w:rPr>
                <w:rFonts w:ascii="Arial"/>
                <w:color w:val="FFFFFF"/>
                <w:sz w:val="19"/>
              </w:rPr>
              <w:t>Average annual regulatory costs (from business as usual) ($million)</w:t>
            </w:r>
          </w:p>
        </w:tc>
      </w:tr>
      <w:tr w:rsidR="007D76BB">
        <w:trPr>
          <w:trHeight w:val="722"/>
        </w:trPr>
        <w:tc>
          <w:tcPr>
            <w:tcW w:w="3824" w:type="dxa"/>
            <w:tcBorders>
              <w:top w:val="single" w:sz="4" w:space="0" w:color="000000"/>
              <w:left w:val="single" w:sz="4" w:space="0" w:color="000000"/>
              <w:bottom w:val="single" w:sz="4" w:space="0" w:color="000000"/>
              <w:right w:val="single" w:sz="4" w:space="0" w:color="000000"/>
            </w:tcBorders>
            <w:shd w:val="clear" w:color="auto" w:fill="FFD16C"/>
          </w:tcPr>
          <w:p w:rsidR="007D76BB" w:rsidRDefault="007D76BB">
            <w:pPr>
              <w:pStyle w:val="TableParagraph"/>
              <w:rPr>
                <w:rFonts w:ascii="Arial"/>
              </w:rPr>
            </w:pPr>
          </w:p>
          <w:p w:rsidR="007D76BB" w:rsidRDefault="00D70D28">
            <w:pPr>
              <w:pStyle w:val="TableParagraph"/>
              <w:ind w:left="107"/>
              <w:rPr>
                <w:rFonts w:ascii="Arial"/>
                <w:sz w:val="19"/>
              </w:rPr>
            </w:pPr>
            <w:r>
              <w:rPr>
                <w:rFonts w:ascii="Arial"/>
                <w:sz w:val="19"/>
              </w:rPr>
              <w:t>Change in costs</w:t>
            </w:r>
          </w:p>
        </w:tc>
        <w:tc>
          <w:tcPr>
            <w:tcW w:w="1136" w:type="dxa"/>
            <w:tcBorders>
              <w:top w:val="single" w:sz="4" w:space="0" w:color="000000"/>
              <w:left w:val="single" w:sz="4" w:space="0" w:color="000000"/>
              <w:bottom w:val="single" w:sz="4" w:space="0" w:color="000000"/>
              <w:right w:val="single" w:sz="4" w:space="0" w:color="000000"/>
            </w:tcBorders>
            <w:shd w:val="clear" w:color="auto" w:fill="FFD16C"/>
          </w:tcPr>
          <w:p w:rsidR="007D76BB" w:rsidRDefault="00D70D28">
            <w:pPr>
              <w:pStyle w:val="TableParagraph"/>
              <w:spacing w:before="133"/>
              <w:ind w:left="82" w:right="232"/>
              <w:jc w:val="center"/>
              <w:rPr>
                <w:rFonts w:ascii="Arial"/>
                <w:sz w:val="19"/>
              </w:rPr>
            </w:pPr>
            <w:r>
              <w:rPr>
                <w:rFonts w:ascii="Arial"/>
                <w:sz w:val="19"/>
              </w:rPr>
              <w:t>Business</w:t>
            </w:r>
          </w:p>
          <w:p w:rsidR="007D76BB" w:rsidRDefault="00D70D28">
            <w:pPr>
              <w:pStyle w:val="TableParagraph"/>
              <w:spacing w:before="22"/>
              <w:ind w:left="6"/>
              <w:jc w:val="center"/>
              <w:rPr>
                <w:rFonts w:ascii="Arial"/>
                <w:sz w:val="19"/>
              </w:rPr>
            </w:pPr>
            <w:r>
              <w:rPr>
                <w:rFonts w:ascii="Arial"/>
                <w:w w:val="105"/>
                <w:sz w:val="19"/>
              </w:rPr>
              <w:t>$</w:t>
            </w:r>
          </w:p>
        </w:tc>
        <w:tc>
          <w:tcPr>
            <w:tcW w:w="1424" w:type="dxa"/>
            <w:tcBorders>
              <w:top w:val="single" w:sz="4" w:space="0" w:color="000000"/>
              <w:left w:val="single" w:sz="4" w:space="0" w:color="000000"/>
              <w:bottom w:val="single" w:sz="4" w:space="0" w:color="000000"/>
              <w:right w:val="single" w:sz="4" w:space="0" w:color="000000"/>
            </w:tcBorders>
            <w:shd w:val="clear" w:color="auto" w:fill="FFD16C"/>
          </w:tcPr>
          <w:p w:rsidR="007D76BB" w:rsidRDefault="00D70D28">
            <w:pPr>
              <w:pStyle w:val="TableParagraph"/>
              <w:spacing w:before="13" w:line="264" w:lineRule="auto"/>
              <w:ind w:left="162" w:right="152" w:hanging="2"/>
              <w:jc w:val="center"/>
              <w:rPr>
                <w:rFonts w:ascii="Arial"/>
                <w:sz w:val="19"/>
              </w:rPr>
            </w:pPr>
            <w:r>
              <w:rPr>
                <w:rFonts w:ascii="Arial"/>
                <w:w w:val="105"/>
                <w:sz w:val="19"/>
              </w:rPr>
              <w:t xml:space="preserve">Community </w:t>
            </w:r>
            <w:proofErr w:type="spellStart"/>
            <w:r>
              <w:rPr>
                <w:rFonts w:ascii="Arial"/>
                <w:sz w:val="19"/>
              </w:rPr>
              <w:t>Organisation</w:t>
            </w:r>
            <w:proofErr w:type="spellEnd"/>
          </w:p>
          <w:p w:rsidR="007D76BB" w:rsidRDefault="00D70D28">
            <w:pPr>
              <w:pStyle w:val="TableParagraph"/>
              <w:spacing w:line="208" w:lineRule="exact"/>
              <w:ind w:left="6"/>
              <w:jc w:val="center"/>
              <w:rPr>
                <w:rFonts w:ascii="Arial"/>
                <w:sz w:val="19"/>
              </w:rPr>
            </w:pPr>
            <w:r>
              <w:rPr>
                <w:rFonts w:ascii="Arial"/>
                <w:w w:val="105"/>
                <w:sz w:val="19"/>
              </w:rPr>
              <w:t>$</w:t>
            </w:r>
          </w:p>
        </w:tc>
        <w:tc>
          <w:tcPr>
            <w:tcW w:w="1115" w:type="dxa"/>
            <w:tcBorders>
              <w:top w:val="single" w:sz="4" w:space="0" w:color="000000"/>
              <w:left w:val="single" w:sz="4" w:space="0" w:color="000000"/>
              <w:bottom w:val="single" w:sz="4" w:space="0" w:color="000000"/>
              <w:right w:val="single" w:sz="4" w:space="0" w:color="000000"/>
            </w:tcBorders>
            <w:shd w:val="clear" w:color="auto" w:fill="FFD16C"/>
          </w:tcPr>
          <w:p w:rsidR="007D76BB" w:rsidRDefault="00D70D28">
            <w:pPr>
              <w:pStyle w:val="TableParagraph"/>
              <w:spacing w:before="133"/>
              <w:ind w:left="112" w:right="109"/>
              <w:jc w:val="center"/>
              <w:rPr>
                <w:rFonts w:ascii="Arial"/>
                <w:sz w:val="19"/>
              </w:rPr>
            </w:pPr>
            <w:r>
              <w:rPr>
                <w:rFonts w:ascii="Arial"/>
                <w:w w:val="105"/>
                <w:sz w:val="19"/>
              </w:rPr>
              <w:t>Individual</w:t>
            </w:r>
          </w:p>
          <w:p w:rsidR="007D76BB" w:rsidRDefault="00D70D28">
            <w:pPr>
              <w:pStyle w:val="TableParagraph"/>
              <w:spacing w:before="22"/>
              <w:ind w:left="1"/>
              <w:jc w:val="center"/>
              <w:rPr>
                <w:rFonts w:ascii="Arial"/>
                <w:sz w:val="19"/>
              </w:rPr>
            </w:pPr>
            <w:r>
              <w:rPr>
                <w:rFonts w:ascii="Arial"/>
                <w:w w:val="105"/>
                <w:sz w:val="19"/>
              </w:rPr>
              <w:t>$</w:t>
            </w:r>
          </w:p>
        </w:tc>
        <w:tc>
          <w:tcPr>
            <w:tcW w:w="1292" w:type="dxa"/>
            <w:tcBorders>
              <w:top w:val="single" w:sz="4" w:space="0" w:color="000000"/>
              <w:left w:val="single" w:sz="4" w:space="0" w:color="000000"/>
              <w:bottom w:val="single" w:sz="4" w:space="0" w:color="000000"/>
              <w:right w:val="single" w:sz="4" w:space="0" w:color="000000"/>
            </w:tcBorders>
            <w:shd w:val="clear" w:color="auto" w:fill="FFD16C"/>
          </w:tcPr>
          <w:p w:rsidR="007D76BB" w:rsidRDefault="00D70D28">
            <w:pPr>
              <w:pStyle w:val="TableParagraph"/>
              <w:spacing w:line="240" w:lineRule="exact"/>
              <w:ind w:left="105" w:right="151"/>
              <w:rPr>
                <w:rFonts w:ascii="Arial"/>
                <w:sz w:val="19"/>
              </w:rPr>
            </w:pPr>
            <w:r>
              <w:rPr>
                <w:rFonts w:ascii="Arial"/>
                <w:sz w:val="19"/>
              </w:rPr>
              <w:t>Total change in costs</w:t>
            </w:r>
          </w:p>
        </w:tc>
      </w:tr>
      <w:tr w:rsidR="007D76BB">
        <w:trPr>
          <w:trHeight w:val="263"/>
        </w:trPr>
        <w:tc>
          <w:tcPr>
            <w:tcW w:w="3824" w:type="dxa"/>
            <w:tcBorders>
              <w:top w:val="single" w:sz="4" w:space="0" w:color="000000"/>
              <w:left w:val="single" w:sz="4" w:space="0" w:color="000000"/>
              <w:bottom w:val="single" w:sz="4" w:space="0" w:color="000000"/>
              <w:right w:val="single" w:sz="4" w:space="0" w:color="000000"/>
            </w:tcBorders>
            <w:shd w:val="clear" w:color="auto" w:fill="005386"/>
          </w:tcPr>
          <w:p w:rsidR="007D76BB" w:rsidRDefault="00D70D28">
            <w:pPr>
              <w:pStyle w:val="TableParagraph"/>
              <w:spacing w:before="25" w:line="218" w:lineRule="exact"/>
              <w:ind w:left="7"/>
              <w:jc w:val="center"/>
              <w:rPr>
                <w:rFonts w:ascii="Arial"/>
                <w:sz w:val="19"/>
              </w:rPr>
            </w:pPr>
            <w:r>
              <w:rPr>
                <w:rFonts w:ascii="Arial"/>
                <w:color w:val="FFFFFF"/>
                <w:sz w:val="19"/>
              </w:rPr>
              <w:t>Option 1</w:t>
            </w:r>
          </w:p>
        </w:tc>
        <w:tc>
          <w:tcPr>
            <w:tcW w:w="1136" w:type="dxa"/>
            <w:vMerge w:val="restart"/>
            <w:tcBorders>
              <w:top w:val="single" w:sz="4" w:space="0" w:color="000000"/>
              <w:left w:val="single" w:sz="4" w:space="0" w:color="000000"/>
              <w:bottom w:val="single" w:sz="4" w:space="0" w:color="000000"/>
              <w:right w:val="single" w:sz="4" w:space="0" w:color="000000"/>
            </w:tcBorders>
          </w:tcPr>
          <w:p w:rsidR="007D76BB" w:rsidRDefault="007D76BB">
            <w:pPr>
              <w:pStyle w:val="TableParagraph"/>
              <w:rPr>
                <w:rFonts w:ascii="Times New Roman"/>
                <w:sz w:val="18"/>
              </w:rPr>
            </w:pPr>
          </w:p>
        </w:tc>
        <w:tc>
          <w:tcPr>
            <w:tcW w:w="1424" w:type="dxa"/>
            <w:vMerge w:val="restart"/>
            <w:tcBorders>
              <w:top w:val="single" w:sz="4" w:space="0" w:color="000000"/>
              <w:left w:val="single" w:sz="4" w:space="0" w:color="000000"/>
              <w:bottom w:val="single" w:sz="4" w:space="0" w:color="000000"/>
              <w:right w:val="single" w:sz="4" w:space="0" w:color="000000"/>
            </w:tcBorders>
          </w:tcPr>
          <w:p w:rsidR="007D76BB" w:rsidRDefault="007D76BB">
            <w:pPr>
              <w:pStyle w:val="TableParagraph"/>
              <w:rPr>
                <w:rFonts w:ascii="Times New Roman"/>
                <w:sz w:val="18"/>
              </w:rPr>
            </w:pPr>
          </w:p>
        </w:tc>
        <w:tc>
          <w:tcPr>
            <w:tcW w:w="1115" w:type="dxa"/>
            <w:vMerge w:val="restart"/>
            <w:tcBorders>
              <w:top w:val="single" w:sz="4" w:space="0" w:color="000000"/>
              <w:left w:val="single" w:sz="4" w:space="0" w:color="000000"/>
              <w:bottom w:val="single" w:sz="4" w:space="0" w:color="000000"/>
              <w:right w:val="single" w:sz="4" w:space="0" w:color="000000"/>
            </w:tcBorders>
          </w:tcPr>
          <w:p w:rsidR="007D76BB" w:rsidRDefault="007D76BB">
            <w:pPr>
              <w:pStyle w:val="TableParagraph"/>
              <w:rPr>
                <w:rFonts w:ascii="Times New Roman"/>
                <w:sz w:val="18"/>
              </w:rPr>
            </w:pPr>
          </w:p>
        </w:tc>
        <w:tc>
          <w:tcPr>
            <w:tcW w:w="1292" w:type="dxa"/>
            <w:vMerge w:val="restart"/>
            <w:tcBorders>
              <w:top w:val="single" w:sz="4" w:space="0" w:color="000000"/>
              <w:left w:val="single" w:sz="4" w:space="0" w:color="000000"/>
              <w:bottom w:val="single" w:sz="4" w:space="0" w:color="000000"/>
              <w:right w:val="single" w:sz="4" w:space="0" w:color="000000"/>
            </w:tcBorders>
          </w:tcPr>
          <w:p w:rsidR="007D76BB" w:rsidRDefault="007D76BB">
            <w:pPr>
              <w:pStyle w:val="TableParagraph"/>
              <w:rPr>
                <w:rFonts w:ascii="Times New Roman"/>
                <w:sz w:val="18"/>
              </w:rPr>
            </w:pPr>
          </w:p>
        </w:tc>
      </w:tr>
      <w:tr w:rsidR="007D76BB">
        <w:trPr>
          <w:trHeight w:val="722"/>
        </w:trPr>
        <w:tc>
          <w:tcPr>
            <w:tcW w:w="3824" w:type="dxa"/>
            <w:tcBorders>
              <w:top w:val="single" w:sz="4" w:space="0" w:color="000000"/>
              <w:left w:val="single" w:sz="4" w:space="0" w:color="000000"/>
              <w:bottom w:val="single" w:sz="4" w:space="0" w:color="000000"/>
              <w:right w:val="single" w:sz="4" w:space="0" w:color="000000"/>
            </w:tcBorders>
            <w:shd w:val="clear" w:color="auto" w:fill="FFD16C"/>
          </w:tcPr>
          <w:p w:rsidR="007D76BB" w:rsidRDefault="00D70D28">
            <w:pPr>
              <w:pStyle w:val="TableParagraph"/>
              <w:spacing w:before="13"/>
              <w:ind w:left="107"/>
              <w:rPr>
                <w:rFonts w:ascii="Arial"/>
                <w:sz w:val="19"/>
              </w:rPr>
            </w:pPr>
            <w:r>
              <w:rPr>
                <w:rFonts w:ascii="Arial"/>
                <w:w w:val="105"/>
                <w:sz w:val="19"/>
              </w:rPr>
              <w:t>Status quo: Current food and therapeutic</w:t>
            </w:r>
          </w:p>
          <w:p w:rsidR="007D76BB" w:rsidRDefault="00D70D28">
            <w:pPr>
              <w:pStyle w:val="TableParagraph"/>
              <w:spacing w:before="3" w:line="240" w:lineRule="atLeast"/>
              <w:ind w:left="107" w:right="238"/>
              <w:rPr>
                <w:rFonts w:ascii="Arial"/>
                <w:sz w:val="19"/>
              </w:rPr>
            </w:pPr>
            <w:r>
              <w:rPr>
                <w:rFonts w:ascii="Arial"/>
                <w:w w:val="105"/>
                <w:sz w:val="19"/>
              </w:rPr>
              <w:t>goods regulatory frameworks are appropriate - no clarification is required</w:t>
            </w:r>
          </w:p>
        </w:tc>
        <w:tc>
          <w:tcPr>
            <w:tcW w:w="1136" w:type="dxa"/>
            <w:vMerge/>
            <w:tcBorders>
              <w:top w:val="nil"/>
              <w:left w:val="single" w:sz="4" w:space="0" w:color="000000"/>
              <w:bottom w:val="single" w:sz="4" w:space="0" w:color="000000"/>
              <w:right w:val="single" w:sz="4" w:space="0" w:color="000000"/>
            </w:tcBorders>
          </w:tcPr>
          <w:p w:rsidR="007D76BB" w:rsidRDefault="007D76BB">
            <w:pPr>
              <w:rPr>
                <w:sz w:val="2"/>
                <w:szCs w:val="2"/>
              </w:rPr>
            </w:pPr>
          </w:p>
        </w:tc>
        <w:tc>
          <w:tcPr>
            <w:tcW w:w="1424" w:type="dxa"/>
            <w:vMerge/>
            <w:tcBorders>
              <w:top w:val="nil"/>
              <w:left w:val="single" w:sz="4" w:space="0" w:color="000000"/>
              <w:bottom w:val="single" w:sz="4" w:space="0" w:color="000000"/>
              <w:right w:val="single" w:sz="4" w:space="0" w:color="000000"/>
            </w:tcBorders>
          </w:tcPr>
          <w:p w:rsidR="007D76BB" w:rsidRDefault="007D76BB">
            <w:pPr>
              <w:rPr>
                <w:sz w:val="2"/>
                <w:szCs w:val="2"/>
              </w:rPr>
            </w:pPr>
          </w:p>
        </w:tc>
        <w:tc>
          <w:tcPr>
            <w:tcW w:w="1115" w:type="dxa"/>
            <w:vMerge/>
            <w:tcBorders>
              <w:top w:val="nil"/>
              <w:left w:val="single" w:sz="4" w:space="0" w:color="000000"/>
              <w:bottom w:val="single" w:sz="4" w:space="0" w:color="000000"/>
              <w:right w:val="single" w:sz="4" w:space="0" w:color="000000"/>
            </w:tcBorders>
          </w:tcPr>
          <w:p w:rsidR="007D76BB" w:rsidRDefault="007D76BB">
            <w:pPr>
              <w:rPr>
                <w:sz w:val="2"/>
                <w:szCs w:val="2"/>
              </w:rPr>
            </w:pPr>
          </w:p>
        </w:tc>
        <w:tc>
          <w:tcPr>
            <w:tcW w:w="1292" w:type="dxa"/>
            <w:vMerge/>
            <w:tcBorders>
              <w:top w:val="nil"/>
              <w:left w:val="single" w:sz="4" w:space="0" w:color="000000"/>
              <w:bottom w:val="single" w:sz="4" w:space="0" w:color="000000"/>
              <w:right w:val="single" w:sz="4" w:space="0" w:color="000000"/>
            </w:tcBorders>
          </w:tcPr>
          <w:p w:rsidR="007D76BB" w:rsidRDefault="007D76BB">
            <w:pPr>
              <w:rPr>
                <w:sz w:val="2"/>
                <w:szCs w:val="2"/>
              </w:rPr>
            </w:pPr>
          </w:p>
        </w:tc>
      </w:tr>
      <w:tr w:rsidR="007D76BB">
        <w:trPr>
          <w:trHeight w:val="263"/>
        </w:trPr>
        <w:tc>
          <w:tcPr>
            <w:tcW w:w="3824" w:type="dxa"/>
            <w:tcBorders>
              <w:top w:val="single" w:sz="4" w:space="0" w:color="000000"/>
              <w:left w:val="single" w:sz="4" w:space="0" w:color="000000"/>
              <w:bottom w:val="single" w:sz="4" w:space="0" w:color="000000"/>
              <w:right w:val="single" w:sz="4" w:space="0" w:color="000000"/>
            </w:tcBorders>
            <w:shd w:val="clear" w:color="auto" w:fill="005386"/>
          </w:tcPr>
          <w:p w:rsidR="007D76BB" w:rsidRDefault="00D70D28">
            <w:pPr>
              <w:pStyle w:val="TableParagraph"/>
              <w:spacing w:before="25" w:line="218" w:lineRule="exact"/>
              <w:ind w:right="1466"/>
              <w:jc w:val="right"/>
              <w:rPr>
                <w:rFonts w:ascii="Arial"/>
                <w:sz w:val="19"/>
              </w:rPr>
            </w:pPr>
            <w:r>
              <w:rPr>
                <w:rFonts w:ascii="Arial"/>
                <w:color w:val="FFFFFF"/>
                <w:w w:val="105"/>
                <w:sz w:val="19"/>
              </w:rPr>
              <w:t>Option 2A</w:t>
            </w:r>
          </w:p>
        </w:tc>
        <w:tc>
          <w:tcPr>
            <w:tcW w:w="1136" w:type="dxa"/>
            <w:vMerge w:val="restart"/>
            <w:tcBorders>
              <w:top w:val="single" w:sz="4" w:space="0" w:color="000000"/>
              <w:left w:val="single" w:sz="4" w:space="0" w:color="000000"/>
              <w:bottom w:val="single" w:sz="4" w:space="0" w:color="000000"/>
              <w:right w:val="single" w:sz="4" w:space="0" w:color="000000"/>
            </w:tcBorders>
          </w:tcPr>
          <w:p w:rsidR="007D76BB" w:rsidRDefault="007D76BB">
            <w:pPr>
              <w:pStyle w:val="TableParagraph"/>
              <w:rPr>
                <w:rFonts w:ascii="Arial"/>
                <w:sz w:val="24"/>
              </w:rPr>
            </w:pPr>
          </w:p>
          <w:p w:rsidR="007D76BB" w:rsidRDefault="007D76BB">
            <w:pPr>
              <w:pStyle w:val="TableParagraph"/>
              <w:spacing w:before="4"/>
              <w:rPr>
                <w:rFonts w:ascii="Arial"/>
                <w:sz w:val="20"/>
              </w:rPr>
            </w:pPr>
          </w:p>
          <w:p w:rsidR="007D76BB" w:rsidRDefault="00D70D28">
            <w:pPr>
              <w:pStyle w:val="TableParagraph"/>
              <w:ind w:left="357"/>
              <w:rPr>
                <w:rFonts w:ascii="Arial"/>
                <w:sz w:val="19"/>
              </w:rPr>
            </w:pPr>
            <w:r>
              <w:rPr>
                <w:rFonts w:ascii="Arial"/>
                <w:w w:val="105"/>
                <w:sz w:val="19"/>
              </w:rPr>
              <w:t>$0.22m</w:t>
            </w:r>
          </w:p>
        </w:tc>
        <w:tc>
          <w:tcPr>
            <w:tcW w:w="1424" w:type="dxa"/>
            <w:vMerge w:val="restart"/>
            <w:tcBorders>
              <w:top w:val="single" w:sz="4" w:space="0" w:color="000000"/>
              <w:left w:val="single" w:sz="4" w:space="0" w:color="000000"/>
              <w:bottom w:val="single" w:sz="4" w:space="0" w:color="000000"/>
              <w:right w:val="single" w:sz="4" w:space="0" w:color="000000"/>
            </w:tcBorders>
          </w:tcPr>
          <w:p w:rsidR="007D76BB" w:rsidRDefault="007D76BB">
            <w:pPr>
              <w:pStyle w:val="TableParagraph"/>
              <w:rPr>
                <w:rFonts w:ascii="Times New Roman"/>
                <w:sz w:val="18"/>
              </w:rPr>
            </w:pPr>
          </w:p>
        </w:tc>
        <w:tc>
          <w:tcPr>
            <w:tcW w:w="1115" w:type="dxa"/>
            <w:vMerge w:val="restart"/>
            <w:tcBorders>
              <w:top w:val="single" w:sz="4" w:space="0" w:color="000000"/>
              <w:left w:val="single" w:sz="4" w:space="0" w:color="000000"/>
              <w:bottom w:val="single" w:sz="4" w:space="0" w:color="000000"/>
              <w:right w:val="single" w:sz="4" w:space="0" w:color="000000"/>
            </w:tcBorders>
          </w:tcPr>
          <w:p w:rsidR="007D76BB" w:rsidRDefault="007D76BB">
            <w:pPr>
              <w:pStyle w:val="TableParagraph"/>
              <w:rPr>
                <w:rFonts w:ascii="Times New Roman"/>
                <w:sz w:val="18"/>
              </w:rPr>
            </w:pPr>
          </w:p>
        </w:tc>
        <w:tc>
          <w:tcPr>
            <w:tcW w:w="1292" w:type="dxa"/>
            <w:vMerge w:val="restart"/>
            <w:tcBorders>
              <w:top w:val="single" w:sz="4" w:space="0" w:color="000000"/>
              <w:left w:val="single" w:sz="4" w:space="0" w:color="000000"/>
              <w:bottom w:val="single" w:sz="4" w:space="0" w:color="000000"/>
              <w:right w:val="single" w:sz="4" w:space="0" w:color="000000"/>
            </w:tcBorders>
          </w:tcPr>
          <w:p w:rsidR="007D76BB" w:rsidRDefault="007D76BB">
            <w:pPr>
              <w:pStyle w:val="TableParagraph"/>
              <w:rPr>
                <w:rFonts w:ascii="Arial"/>
                <w:sz w:val="24"/>
              </w:rPr>
            </w:pPr>
          </w:p>
          <w:p w:rsidR="007D76BB" w:rsidRDefault="007D76BB">
            <w:pPr>
              <w:pStyle w:val="TableParagraph"/>
              <w:spacing w:before="4"/>
              <w:rPr>
                <w:rFonts w:ascii="Arial"/>
                <w:sz w:val="20"/>
              </w:rPr>
            </w:pPr>
          </w:p>
          <w:p w:rsidR="007D76BB" w:rsidRDefault="00D70D28">
            <w:pPr>
              <w:pStyle w:val="TableParagraph"/>
              <w:ind w:left="511"/>
              <w:rPr>
                <w:rFonts w:ascii="Arial"/>
                <w:sz w:val="19"/>
              </w:rPr>
            </w:pPr>
            <w:r>
              <w:rPr>
                <w:rFonts w:ascii="Arial"/>
                <w:w w:val="105"/>
                <w:sz w:val="19"/>
              </w:rPr>
              <w:t>$0.22m</w:t>
            </w:r>
          </w:p>
        </w:tc>
      </w:tr>
      <w:tr w:rsidR="007D76BB">
        <w:trPr>
          <w:trHeight w:val="962"/>
        </w:trPr>
        <w:tc>
          <w:tcPr>
            <w:tcW w:w="3824" w:type="dxa"/>
            <w:tcBorders>
              <w:top w:val="single" w:sz="4" w:space="0" w:color="000000"/>
              <w:left w:val="single" w:sz="4" w:space="0" w:color="000000"/>
              <w:bottom w:val="single" w:sz="4" w:space="0" w:color="000000"/>
              <w:right w:val="single" w:sz="4" w:space="0" w:color="000000"/>
            </w:tcBorders>
            <w:shd w:val="clear" w:color="auto" w:fill="FFD16C"/>
          </w:tcPr>
          <w:p w:rsidR="007D76BB" w:rsidRDefault="00D70D28">
            <w:pPr>
              <w:pStyle w:val="TableParagraph"/>
              <w:spacing w:before="13" w:line="264" w:lineRule="auto"/>
              <w:ind w:left="107" w:right="110"/>
              <w:rPr>
                <w:rFonts w:ascii="Arial"/>
                <w:sz w:val="19"/>
              </w:rPr>
            </w:pPr>
            <w:r>
              <w:rPr>
                <w:rFonts w:ascii="Arial"/>
                <w:w w:val="105"/>
                <w:sz w:val="19"/>
              </w:rPr>
              <w:t>Clarify the therapeutic goods regulatory framework to make clear that certain sports</w:t>
            </w:r>
            <w:r>
              <w:rPr>
                <w:rFonts w:ascii="Arial"/>
                <w:spacing w:val="-35"/>
                <w:w w:val="105"/>
                <w:sz w:val="19"/>
              </w:rPr>
              <w:t xml:space="preserve"> </w:t>
            </w:r>
            <w:r>
              <w:rPr>
                <w:rFonts w:ascii="Arial"/>
                <w:w w:val="105"/>
                <w:sz w:val="19"/>
              </w:rPr>
              <w:t>supplements</w:t>
            </w:r>
            <w:r>
              <w:rPr>
                <w:rFonts w:ascii="Arial"/>
                <w:spacing w:val="-34"/>
                <w:w w:val="105"/>
                <w:sz w:val="19"/>
              </w:rPr>
              <w:t xml:space="preserve"> </w:t>
            </w:r>
            <w:r>
              <w:rPr>
                <w:rFonts w:ascii="Arial"/>
                <w:w w:val="105"/>
                <w:sz w:val="19"/>
              </w:rPr>
              <w:t>are</w:t>
            </w:r>
            <w:r>
              <w:rPr>
                <w:rFonts w:ascii="Arial"/>
                <w:spacing w:val="-35"/>
                <w:w w:val="105"/>
                <w:sz w:val="19"/>
              </w:rPr>
              <w:t xml:space="preserve"> </w:t>
            </w:r>
            <w:r>
              <w:rPr>
                <w:rFonts w:ascii="Arial"/>
                <w:w w:val="105"/>
                <w:sz w:val="19"/>
              </w:rPr>
              <w:t>therapeutic</w:t>
            </w:r>
            <w:r>
              <w:rPr>
                <w:rFonts w:ascii="Arial"/>
                <w:spacing w:val="-35"/>
                <w:w w:val="105"/>
                <w:sz w:val="19"/>
              </w:rPr>
              <w:t xml:space="preserve"> </w:t>
            </w:r>
            <w:r>
              <w:rPr>
                <w:rFonts w:ascii="Arial"/>
                <w:w w:val="105"/>
                <w:sz w:val="19"/>
              </w:rPr>
              <w:t>goods</w:t>
            </w:r>
          </w:p>
          <w:p w:rsidR="007D76BB" w:rsidRDefault="00D70D28">
            <w:pPr>
              <w:pStyle w:val="TableParagraph"/>
              <w:spacing w:before="2" w:line="206" w:lineRule="exact"/>
              <w:ind w:left="107"/>
              <w:rPr>
                <w:rFonts w:ascii="Arial"/>
                <w:sz w:val="19"/>
              </w:rPr>
            </w:pPr>
            <w:r>
              <w:rPr>
                <w:rFonts w:ascii="Arial"/>
                <w:sz w:val="19"/>
              </w:rPr>
              <w:t>(includes WADC Prohibited List)</w:t>
            </w:r>
          </w:p>
        </w:tc>
        <w:tc>
          <w:tcPr>
            <w:tcW w:w="1136" w:type="dxa"/>
            <w:vMerge/>
            <w:tcBorders>
              <w:top w:val="nil"/>
              <w:left w:val="single" w:sz="4" w:space="0" w:color="000000"/>
              <w:bottom w:val="single" w:sz="4" w:space="0" w:color="000000"/>
              <w:right w:val="single" w:sz="4" w:space="0" w:color="000000"/>
            </w:tcBorders>
          </w:tcPr>
          <w:p w:rsidR="007D76BB" w:rsidRDefault="007D76BB">
            <w:pPr>
              <w:rPr>
                <w:sz w:val="2"/>
                <w:szCs w:val="2"/>
              </w:rPr>
            </w:pPr>
          </w:p>
        </w:tc>
        <w:tc>
          <w:tcPr>
            <w:tcW w:w="1424" w:type="dxa"/>
            <w:vMerge/>
            <w:tcBorders>
              <w:top w:val="nil"/>
              <w:left w:val="single" w:sz="4" w:space="0" w:color="000000"/>
              <w:bottom w:val="single" w:sz="4" w:space="0" w:color="000000"/>
              <w:right w:val="single" w:sz="4" w:space="0" w:color="000000"/>
            </w:tcBorders>
          </w:tcPr>
          <w:p w:rsidR="007D76BB" w:rsidRDefault="007D76BB">
            <w:pPr>
              <w:rPr>
                <w:sz w:val="2"/>
                <w:szCs w:val="2"/>
              </w:rPr>
            </w:pPr>
          </w:p>
        </w:tc>
        <w:tc>
          <w:tcPr>
            <w:tcW w:w="1115" w:type="dxa"/>
            <w:vMerge/>
            <w:tcBorders>
              <w:top w:val="nil"/>
              <w:left w:val="single" w:sz="4" w:space="0" w:color="000000"/>
              <w:bottom w:val="single" w:sz="4" w:space="0" w:color="000000"/>
              <w:right w:val="single" w:sz="4" w:space="0" w:color="000000"/>
            </w:tcBorders>
          </w:tcPr>
          <w:p w:rsidR="007D76BB" w:rsidRDefault="007D76BB">
            <w:pPr>
              <w:rPr>
                <w:sz w:val="2"/>
                <w:szCs w:val="2"/>
              </w:rPr>
            </w:pPr>
          </w:p>
        </w:tc>
        <w:tc>
          <w:tcPr>
            <w:tcW w:w="1292" w:type="dxa"/>
            <w:vMerge/>
            <w:tcBorders>
              <w:top w:val="nil"/>
              <w:left w:val="single" w:sz="4" w:space="0" w:color="000000"/>
              <w:bottom w:val="single" w:sz="4" w:space="0" w:color="000000"/>
              <w:right w:val="single" w:sz="4" w:space="0" w:color="000000"/>
            </w:tcBorders>
          </w:tcPr>
          <w:p w:rsidR="007D76BB" w:rsidRDefault="007D76BB">
            <w:pPr>
              <w:rPr>
                <w:sz w:val="2"/>
                <w:szCs w:val="2"/>
              </w:rPr>
            </w:pPr>
          </w:p>
        </w:tc>
      </w:tr>
      <w:tr w:rsidR="007D76BB">
        <w:trPr>
          <w:trHeight w:val="239"/>
        </w:trPr>
        <w:tc>
          <w:tcPr>
            <w:tcW w:w="3824" w:type="dxa"/>
            <w:tcBorders>
              <w:top w:val="single" w:sz="4" w:space="0" w:color="000000"/>
              <w:left w:val="single" w:sz="4" w:space="0" w:color="000000"/>
              <w:bottom w:val="single" w:sz="4" w:space="0" w:color="000000"/>
              <w:right w:val="single" w:sz="4" w:space="0" w:color="000000"/>
            </w:tcBorders>
            <w:shd w:val="clear" w:color="auto" w:fill="005386"/>
          </w:tcPr>
          <w:p w:rsidR="007D76BB" w:rsidRDefault="00D70D28">
            <w:pPr>
              <w:pStyle w:val="TableParagraph"/>
              <w:spacing w:before="13" w:line="206" w:lineRule="exact"/>
              <w:ind w:right="1468"/>
              <w:jc w:val="right"/>
              <w:rPr>
                <w:rFonts w:ascii="Arial"/>
                <w:sz w:val="19"/>
              </w:rPr>
            </w:pPr>
            <w:r>
              <w:rPr>
                <w:rFonts w:ascii="Arial"/>
                <w:color w:val="FFFFFF"/>
                <w:w w:val="105"/>
                <w:sz w:val="19"/>
              </w:rPr>
              <w:t>Option 2B</w:t>
            </w:r>
          </w:p>
        </w:tc>
        <w:tc>
          <w:tcPr>
            <w:tcW w:w="1136" w:type="dxa"/>
            <w:vMerge w:val="restart"/>
            <w:tcBorders>
              <w:top w:val="single" w:sz="4" w:space="0" w:color="000000"/>
              <w:left w:val="single" w:sz="4" w:space="0" w:color="000000"/>
              <w:bottom w:val="single" w:sz="4" w:space="0" w:color="000000"/>
              <w:right w:val="single" w:sz="4" w:space="0" w:color="000000"/>
            </w:tcBorders>
          </w:tcPr>
          <w:p w:rsidR="007D76BB" w:rsidRDefault="007D76BB">
            <w:pPr>
              <w:pStyle w:val="TableParagraph"/>
              <w:rPr>
                <w:rFonts w:ascii="Arial"/>
                <w:sz w:val="24"/>
              </w:rPr>
            </w:pPr>
          </w:p>
          <w:p w:rsidR="007D76BB" w:rsidRDefault="007D76BB">
            <w:pPr>
              <w:pStyle w:val="TableParagraph"/>
              <w:spacing w:before="3"/>
              <w:rPr>
                <w:rFonts w:ascii="Arial"/>
                <w:sz w:val="19"/>
              </w:rPr>
            </w:pPr>
          </w:p>
          <w:p w:rsidR="007D76BB" w:rsidRDefault="00D70D28">
            <w:pPr>
              <w:pStyle w:val="TableParagraph"/>
              <w:spacing w:before="1"/>
              <w:ind w:left="357"/>
              <w:rPr>
                <w:rFonts w:ascii="Arial"/>
                <w:sz w:val="19"/>
              </w:rPr>
            </w:pPr>
            <w:r>
              <w:rPr>
                <w:rFonts w:ascii="Arial"/>
                <w:w w:val="105"/>
                <w:sz w:val="19"/>
              </w:rPr>
              <w:t>$0.22m</w:t>
            </w:r>
          </w:p>
        </w:tc>
        <w:tc>
          <w:tcPr>
            <w:tcW w:w="1424" w:type="dxa"/>
            <w:vMerge w:val="restart"/>
            <w:tcBorders>
              <w:top w:val="single" w:sz="4" w:space="0" w:color="000000"/>
              <w:left w:val="single" w:sz="4" w:space="0" w:color="000000"/>
              <w:bottom w:val="single" w:sz="4" w:space="0" w:color="000000"/>
              <w:right w:val="single" w:sz="4" w:space="0" w:color="000000"/>
            </w:tcBorders>
          </w:tcPr>
          <w:p w:rsidR="007D76BB" w:rsidRDefault="007D76BB">
            <w:pPr>
              <w:pStyle w:val="TableParagraph"/>
              <w:rPr>
                <w:rFonts w:ascii="Times New Roman"/>
                <w:sz w:val="18"/>
              </w:rPr>
            </w:pPr>
          </w:p>
        </w:tc>
        <w:tc>
          <w:tcPr>
            <w:tcW w:w="1115" w:type="dxa"/>
            <w:vMerge w:val="restart"/>
            <w:tcBorders>
              <w:top w:val="single" w:sz="4" w:space="0" w:color="000000"/>
              <w:left w:val="single" w:sz="4" w:space="0" w:color="000000"/>
              <w:bottom w:val="single" w:sz="4" w:space="0" w:color="000000"/>
              <w:right w:val="single" w:sz="4" w:space="0" w:color="000000"/>
            </w:tcBorders>
          </w:tcPr>
          <w:p w:rsidR="007D76BB" w:rsidRDefault="007D76BB">
            <w:pPr>
              <w:pStyle w:val="TableParagraph"/>
              <w:rPr>
                <w:rFonts w:ascii="Times New Roman"/>
                <w:sz w:val="18"/>
              </w:rPr>
            </w:pPr>
          </w:p>
        </w:tc>
        <w:tc>
          <w:tcPr>
            <w:tcW w:w="1292" w:type="dxa"/>
            <w:vMerge w:val="restart"/>
            <w:tcBorders>
              <w:top w:val="single" w:sz="4" w:space="0" w:color="000000"/>
              <w:left w:val="single" w:sz="4" w:space="0" w:color="000000"/>
              <w:bottom w:val="single" w:sz="4" w:space="0" w:color="000000"/>
              <w:right w:val="single" w:sz="4" w:space="0" w:color="000000"/>
            </w:tcBorders>
          </w:tcPr>
          <w:p w:rsidR="007D76BB" w:rsidRDefault="007D76BB">
            <w:pPr>
              <w:pStyle w:val="TableParagraph"/>
              <w:rPr>
                <w:rFonts w:ascii="Arial"/>
                <w:sz w:val="24"/>
              </w:rPr>
            </w:pPr>
          </w:p>
          <w:p w:rsidR="007D76BB" w:rsidRDefault="007D76BB">
            <w:pPr>
              <w:pStyle w:val="TableParagraph"/>
              <w:spacing w:before="3"/>
              <w:rPr>
                <w:rFonts w:ascii="Arial"/>
                <w:sz w:val="19"/>
              </w:rPr>
            </w:pPr>
          </w:p>
          <w:p w:rsidR="007D76BB" w:rsidRDefault="00D70D28">
            <w:pPr>
              <w:pStyle w:val="TableParagraph"/>
              <w:spacing w:before="1"/>
              <w:ind w:left="511"/>
              <w:rPr>
                <w:rFonts w:ascii="Arial"/>
                <w:sz w:val="19"/>
              </w:rPr>
            </w:pPr>
            <w:r>
              <w:rPr>
                <w:rFonts w:ascii="Arial"/>
                <w:w w:val="105"/>
                <w:sz w:val="19"/>
              </w:rPr>
              <w:t>$0.22m</w:t>
            </w:r>
          </w:p>
        </w:tc>
      </w:tr>
      <w:tr w:rsidR="007D76BB">
        <w:trPr>
          <w:trHeight w:val="962"/>
        </w:trPr>
        <w:tc>
          <w:tcPr>
            <w:tcW w:w="3824" w:type="dxa"/>
            <w:tcBorders>
              <w:top w:val="single" w:sz="4" w:space="0" w:color="000000"/>
              <w:left w:val="single" w:sz="4" w:space="0" w:color="000000"/>
              <w:bottom w:val="single" w:sz="4" w:space="0" w:color="000000"/>
              <w:right w:val="single" w:sz="4" w:space="0" w:color="000000"/>
            </w:tcBorders>
            <w:shd w:val="clear" w:color="auto" w:fill="FFD16C"/>
          </w:tcPr>
          <w:p w:rsidR="007D76BB" w:rsidRDefault="00D70D28">
            <w:pPr>
              <w:pStyle w:val="TableParagraph"/>
              <w:spacing w:before="13" w:line="264" w:lineRule="auto"/>
              <w:ind w:left="107" w:right="112"/>
              <w:rPr>
                <w:rFonts w:ascii="Arial"/>
                <w:sz w:val="19"/>
              </w:rPr>
            </w:pPr>
            <w:r>
              <w:rPr>
                <w:rFonts w:ascii="Arial"/>
                <w:w w:val="105"/>
                <w:sz w:val="19"/>
              </w:rPr>
              <w:t>Clarify the therapeutic goods regulatory framework to make clear that certain sports</w:t>
            </w:r>
            <w:r>
              <w:rPr>
                <w:rFonts w:ascii="Arial"/>
                <w:spacing w:val="-35"/>
                <w:w w:val="105"/>
                <w:sz w:val="19"/>
              </w:rPr>
              <w:t xml:space="preserve"> </w:t>
            </w:r>
            <w:r>
              <w:rPr>
                <w:rFonts w:ascii="Arial"/>
                <w:w w:val="105"/>
                <w:sz w:val="19"/>
              </w:rPr>
              <w:t>supplements</w:t>
            </w:r>
            <w:r>
              <w:rPr>
                <w:rFonts w:ascii="Arial"/>
                <w:spacing w:val="-35"/>
                <w:w w:val="105"/>
                <w:sz w:val="19"/>
              </w:rPr>
              <w:t xml:space="preserve"> </w:t>
            </w:r>
            <w:r>
              <w:rPr>
                <w:rFonts w:ascii="Arial"/>
                <w:w w:val="105"/>
                <w:sz w:val="19"/>
              </w:rPr>
              <w:t>are</w:t>
            </w:r>
            <w:r>
              <w:rPr>
                <w:rFonts w:ascii="Arial"/>
                <w:spacing w:val="-35"/>
                <w:w w:val="105"/>
                <w:sz w:val="19"/>
              </w:rPr>
              <w:t xml:space="preserve"> </w:t>
            </w:r>
            <w:r>
              <w:rPr>
                <w:rFonts w:ascii="Arial"/>
                <w:w w:val="105"/>
                <w:sz w:val="19"/>
              </w:rPr>
              <w:t>therapeutic</w:t>
            </w:r>
            <w:r>
              <w:rPr>
                <w:rFonts w:ascii="Arial"/>
                <w:spacing w:val="-36"/>
                <w:w w:val="105"/>
                <w:sz w:val="19"/>
              </w:rPr>
              <w:t xml:space="preserve"> </w:t>
            </w:r>
            <w:r>
              <w:rPr>
                <w:rFonts w:ascii="Arial"/>
                <w:w w:val="105"/>
                <w:sz w:val="19"/>
              </w:rPr>
              <w:t>goods</w:t>
            </w:r>
          </w:p>
          <w:p w:rsidR="007D76BB" w:rsidRDefault="00D70D28">
            <w:pPr>
              <w:pStyle w:val="TableParagraph"/>
              <w:spacing w:before="2" w:line="206" w:lineRule="exact"/>
              <w:ind w:left="107"/>
              <w:rPr>
                <w:rFonts w:ascii="Arial"/>
                <w:sz w:val="19"/>
              </w:rPr>
            </w:pPr>
            <w:r>
              <w:rPr>
                <w:rFonts w:ascii="Arial"/>
                <w:sz w:val="19"/>
              </w:rPr>
              <w:t>(excludes WADC Prohibited List)</w:t>
            </w:r>
          </w:p>
        </w:tc>
        <w:tc>
          <w:tcPr>
            <w:tcW w:w="1136" w:type="dxa"/>
            <w:vMerge/>
            <w:tcBorders>
              <w:top w:val="nil"/>
              <w:left w:val="single" w:sz="4" w:space="0" w:color="000000"/>
              <w:bottom w:val="single" w:sz="4" w:space="0" w:color="000000"/>
              <w:right w:val="single" w:sz="4" w:space="0" w:color="000000"/>
            </w:tcBorders>
          </w:tcPr>
          <w:p w:rsidR="007D76BB" w:rsidRDefault="007D76BB">
            <w:pPr>
              <w:rPr>
                <w:sz w:val="2"/>
                <w:szCs w:val="2"/>
              </w:rPr>
            </w:pPr>
          </w:p>
        </w:tc>
        <w:tc>
          <w:tcPr>
            <w:tcW w:w="1424" w:type="dxa"/>
            <w:vMerge/>
            <w:tcBorders>
              <w:top w:val="nil"/>
              <w:left w:val="single" w:sz="4" w:space="0" w:color="000000"/>
              <w:bottom w:val="single" w:sz="4" w:space="0" w:color="000000"/>
              <w:right w:val="single" w:sz="4" w:space="0" w:color="000000"/>
            </w:tcBorders>
          </w:tcPr>
          <w:p w:rsidR="007D76BB" w:rsidRDefault="007D76BB">
            <w:pPr>
              <w:rPr>
                <w:sz w:val="2"/>
                <w:szCs w:val="2"/>
              </w:rPr>
            </w:pPr>
          </w:p>
        </w:tc>
        <w:tc>
          <w:tcPr>
            <w:tcW w:w="1115" w:type="dxa"/>
            <w:vMerge/>
            <w:tcBorders>
              <w:top w:val="nil"/>
              <w:left w:val="single" w:sz="4" w:space="0" w:color="000000"/>
              <w:bottom w:val="single" w:sz="4" w:space="0" w:color="000000"/>
              <w:right w:val="single" w:sz="4" w:space="0" w:color="000000"/>
            </w:tcBorders>
          </w:tcPr>
          <w:p w:rsidR="007D76BB" w:rsidRDefault="007D76BB">
            <w:pPr>
              <w:rPr>
                <w:sz w:val="2"/>
                <w:szCs w:val="2"/>
              </w:rPr>
            </w:pPr>
          </w:p>
        </w:tc>
        <w:tc>
          <w:tcPr>
            <w:tcW w:w="1292" w:type="dxa"/>
            <w:vMerge/>
            <w:tcBorders>
              <w:top w:val="nil"/>
              <w:left w:val="single" w:sz="4" w:space="0" w:color="000000"/>
              <w:bottom w:val="single" w:sz="4" w:space="0" w:color="000000"/>
              <w:right w:val="single" w:sz="4" w:space="0" w:color="000000"/>
            </w:tcBorders>
          </w:tcPr>
          <w:p w:rsidR="007D76BB" w:rsidRDefault="007D76BB">
            <w:pPr>
              <w:rPr>
                <w:sz w:val="2"/>
                <w:szCs w:val="2"/>
              </w:rPr>
            </w:pPr>
          </w:p>
        </w:tc>
      </w:tr>
      <w:tr w:rsidR="007D76BB">
        <w:trPr>
          <w:trHeight w:val="242"/>
        </w:trPr>
        <w:tc>
          <w:tcPr>
            <w:tcW w:w="3824" w:type="dxa"/>
            <w:tcBorders>
              <w:top w:val="single" w:sz="4" w:space="0" w:color="000000"/>
              <w:left w:val="single" w:sz="4" w:space="0" w:color="000000"/>
              <w:bottom w:val="single" w:sz="4" w:space="0" w:color="000000"/>
              <w:right w:val="single" w:sz="4" w:space="0" w:color="000000"/>
            </w:tcBorders>
            <w:shd w:val="clear" w:color="auto" w:fill="005386"/>
          </w:tcPr>
          <w:p w:rsidR="007D76BB" w:rsidRDefault="00D70D28">
            <w:pPr>
              <w:pStyle w:val="TableParagraph"/>
              <w:spacing w:before="13" w:line="208" w:lineRule="exact"/>
              <w:ind w:left="8"/>
              <w:jc w:val="center"/>
              <w:rPr>
                <w:rFonts w:ascii="Arial"/>
                <w:sz w:val="19"/>
              </w:rPr>
            </w:pPr>
            <w:r>
              <w:rPr>
                <w:rFonts w:ascii="Arial"/>
                <w:color w:val="FFFFFF"/>
                <w:w w:val="105"/>
                <w:sz w:val="19"/>
              </w:rPr>
              <w:t>Option 3</w:t>
            </w:r>
          </w:p>
        </w:tc>
        <w:tc>
          <w:tcPr>
            <w:tcW w:w="1136" w:type="dxa"/>
            <w:vMerge w:val="restart"/>
            <w:tcBorders>
              <w:top w:val="single" w:sz="4" w:space="0" w:color="000000"/>
              <w:left w:val="single" w:sz="4" w:space="0" w:color="000000"/>
              <w:bottom w:val="single" w:sz="4" w:space="0" w:color="000000"/>
              <w:right w:val="single" w:sz="4" w:space="0" w:color="000000"/>
            </w:tcBorders>
          </w:tcPr>
          <w:p w:rsidR="007D76BB" w:rsidRDefault="007D76BB">
            <w:pPr>
              <w:pStyle w:val="TableParagraph"/>
              <w:rPr>
                <w:rFonts w:ascii="Arial"/>
                <w:sz w:val="24"/>
              </w:rPr>
            </w:pPr>
          </w:p>
          <w:p w:rsidR="007D76BB" w:rsidRDefault="007D76BB">
            <w:pPr>
              <w:pStyle w:val="TableParagraph"/>
              <w:spacing w:before="11"/>
              <w:rPr>
                <w:rFonts w:ascii="Arial"/>
                <w:sz w:val="29"/>
              </w:rPr>
            </w:pPr>
          </w:p>
          <w:p w:rsidR="007D76BB" w:rsidRDefault="00D70D28">
            <w:pPr>
              <w:pStyle w:val="TableParagraph"/>
              <w:ind w:left="402"/>
              <w:rPr>
                <w:rFonts w:ascii="Arial"/>
                <w:sz w:val="19"/>
              </w:rPr>
            </w:pPr>
            <w:r>
              <w:rPr>
                <w:rFonts w:ascii="Arial"/>
                <w:sz w:val="19"/>
              </w:rPr>
              <w:t>$0.12m</w:t>
            </w:r>
          </w:p>
        </w:tc>
        <w:tc>
          <w:tcPr>
            <w:tcW w:w="1424" w:type="dxa"/>
            <w:vMerge w:val="restart"/>
            <w:tcBorders>
              <w:top w:val="single" w:sz="4" w:space="0" w:color="000000"/>
              <w:left w:val="single" w:sz="4" w:space="0" w:color="000000"/>
              <w:bottom w:val="single" w:sz="4" w:space="0" w:color="000000"/>
              <w:right w:val="single" w:sz="4" w:space="0" w:color="000000"/>
            </w:tcBorders>
          </w:tcPr>
          <w:p w:rsidR="007D76BB" w:rsidRDefault="007D76BB">
            <w:pPr>
              <w:pStyle w:val="TableParagraph"/>
              <w:rPr>
                <w:rFonts w:ascii="Times New Roman"/>
                <w:sz w:val="18"/>
              </w:rPr>
            </w:pPr>
          </w:p>
        </w:tc>
        <w:tc>
          <w:tcPr>
            <w:tcW w:w="1115" w:type="dxa"/>
            <w:vMerge w:val="restart"/>
            <w:tcBorders>
              <w:top w:val="single" w:sz="4" w:space="0" w:color="000000"/>
              <w:left w:val="single" w:sz="4" w:space="0" w:color="000000"/>
              <w:bottom w:val="single" w:sz="4" w:space="0" w:color="000000"/>
              <w:right w:val="single" w:sz="4" w:space="0" w:color="000000"/>
            </w:tcBorders>
          </w:tcPr>
          <w:p w:rsidR="007D76BB" w:rsidRDefault="007D76BB">
            <w:pPr>
              <w:pStyle w:val="TableParagraph"/>
              <w:rPr>
                <w:rFonts w:ascii="Times New Roman"/>
                <w:sz w:val="18"/>
              </w:rPr>
            </w:pPr>
          </w:p>
        </w:tc>
        <w:tc>
          <w:tcPr>
            <w:tcW w:w="1292" w:type="dxa"/>
            <w:vMerge w:val="restart"/>
            <w:tcBorders>
              <w:top w:val="single" w:sz="4" w:space="0" w:color="000000"/>
              <w:left w:val="single" w:sz="4" w:space="0" w:color="000000"/>
              <w:bottom w:val="single" w:sz="4" w:space="0" w:color="000000"/>
              <w:right w:val="single" w:sz="4" w:space="0" w:color="000000"/>
            </w:tcBorders>
          </w:tcPr>
          <w:p w:rsidR="007D76BB" w:rsidRDefault="007D76BB">
            <w:pPr>
              <w:pStyle w:val="TableParagraph"/>
              <w:rPr>
                <w:rFonts w:ascii="Arial"/>
                <w:sz w:val="24"/>
              </w:rPr>
            </w:pPr>
          </w:p>
          <w:p w:rsidR="007D76BB" w:rsidRDefault="007D76BB">
            <w:pPr>
              <w:pStyle w:val="TableParagraph"/>
              <w:spacing w:before="11"/>
              <w:rPr>
                <w:rFonts w:ascii="Arial"/>
                <w:sz w:val="29"/>
              </w:rPr>
            </w:pPr>
          </w:p>
          <w:p w:rsidR="007D76BB" w:rsidRDefault="00D70D28">
            <w:pPr>
              <w:pStyle w:val="TableParagraph"/>
              <w:ind w:left="556"/>
              <w:rPr>
                <w:rFonts w:ascii="Arial"/>
                <w:sz w:val="19"/>
              </w:rPr>
            </w:pPr>
            <w:r>
              <w:rPr>
                <w:rFonts w:ascii="Arial"/>
                <w:sz w:val="19"/>
              </w:rPr>
              <w:t>$0.12m</w:t>
            </w:r>
          </w:p>
        </w:tc>
      </w:tr>
      <w:tr w:rsidR="007D76BB">
        <w:trPr>
          <w:trHeight w:val="1201"/>
        </w:trPr>
        <w:tc>
          <w:tcPr>
            <w:tcW w:w="3824" w:type="dxa"/>
            <w:tcBorders>
              <w:top w:val="single" w:sz="4" w:space="0" w:color="000000"/>
              <w:left w:val="single" w:sz="4" w:space="0" w:color="000000"/>
              <w:bottom w:val="single" w:sz="4" w:space="0" w:color="000000"/>
              <w:right w:val="single" w:sz="4" w:space="0" w:color="000000"/>
            </w:tcBorders>
            <w:shd w:val="clear" w:color="auto" w:fill="FFD16C"/>
          </w:tcPr>
          <w:p w:rsidR="007D76BB" w:rsidRDefault="00D70D28">
            <w:pPr>
              <w:pStyle w:val="TableParagraph"/>
              <w:spacing w:before="13" w:line="264" w:lineRule="auto"/>
              <w:ind w:left="119" w:right="111" w:hanging="2"/>
              <w:jc w:val="center"/>
              <w:rPr>
                <w:rFonts w:ascii="Arial"/>
                <w:sz w:val="19"/>
              </w:rPr>
            </w:pPr>
            <w:r>
              <w:rPr>
                <w:rFonts w:ascii="Arial"/>
                <w:w w:val="105"/>
                <w:sz w:val="19"/>
              </w:rPr>
              <w:t>Clarify the therapeutic goods regulatory framework to make clear that certain sports</w:t>
            </w:r>
            <w:r>
              <w:rPr>
                <w:rFonts w:ascii="Arial"/>
                <w:spacing w:val="-37"/>
                <w:w w:val="105"/>
                <w:sz w:val="19"/>
              </w:rPr>
              <w:t xml:space="preserve"> </w:t>
            </w:r>
            <w:r>
              <w:rPr>
                <w:rFonts w:ascii="Arial"/>
                <w:w w:val="105"/>
                <w:sz w:val="19"/>
              </w:rPr>
              <w:t>supplements</w:t>
            </w:r>
            <w:r>
              <w:rPr>
                <w:rFonts w:ascii="Arial"/>
                <w:spacing w:val="-36"/>
                <w:w w:val="105"/>
                <w:sz w:val="19"/>
              </w:rPr>
              <w:t xml:space="preserve"> </w:t>
            </w:r>
            <w:r>
              <w:rPr>
                <w:rFonts w:ascii="Arial"/>
                <w:w w:val="105"/>
                <w:sz w:val="19"/>
              </w:rPr>
              <w:t>are</w:t>
            </w:r>
            <w:r>
              <w:rPr>
                <w:rFonts w:ascii="Arial"/>
                <w:spacing w:val="-37"/>
                <w:w w:val="105"/>
                <w:sz w:val="19"/>
              </w:rPr>
              <w:t xml:space="preserve"> </w:t>
            </w:r>
            <w:r>
              <w:rPr>
                <w:rFonts w:ascii="Arial"/>
                <w:w w:val="105"/>
                <w:sz w:val="19"/>
              </w:rPr>
              <w:t>therapeutic</w:t>
            </w:r>
            <w:r>
              <w:rPr>
                <w:rFonts w:ascii="Arial"/>
                <w:spacing w:val="-37"/>
                <w:w w:val="105"/>
                <w:sz w:val="19"/>
              </w:rPr>
              <w:t xml:space="preserve"> </w:t>
            </w:r>
            <w:r>
              <w:rPr>
                <w:rFonts w:ascii="Arial"/>
                <w:w w:val="105"/>
                <w:sz w:val="19"/>
              </w:rPr>
              <w:t>goods (excludes</w:t>
            </w:r>
            <w:r>
              <w:rPr>
                <w:rFonts w:ascii="Arial"/>
                <w:spacing w:val="-18"/>
                <w:w w:val="105"/>
                <w:sz w:val="19"/>
              </w:rPr>
              <w:t xml:space="preserve"> </w:t>
            </w:r>
            <w:r>
              <w:rPr>
                <w:rFonts w:ascii="Arial"/>
                <w:w w:val="105"/>
                <w:sz w:val="19"/>
              </w:rPr>
              <w:t>presentation</w:t>
            </w:r>
            <w:r>
              <w:rPr>
                <w:rFonts w:ascii="Arial"/>
                <w:spacing w:val="-16"/>
                <w:w w:val="105"/>
                <w:sz w:val="19"/>
              </w:rPr>
              <w:t xml:space="preserve"> </w:t>
            </w:r>
            <w:r>
              <w:rPr>
                <w:rFonts w:ascii="Arial"/>
                <w:w w:val="105"/>
                <w:sz w:val="19"/>
              </w:rPr>
              <w:t>of</w:t>
            </w:r>
            <w:r>
              <w:rPr>
                <w:rFonts w:ascii="Arial"/>
                <w:spacing w:val="-16"/>
                <w:w w:val="105"/>
                <w:sz w:val="19"/>
              </w:rPr>
              <w:t xml:space="preserve"> </w:t>
            </w:r>
            <w:r>
              <w:rPr>
                <w:rFonts w:ascii="Arial"/>
                <w:w w:val="105"/>
                <w:sz w:val="19"/>
              </w:rPr>
              <w:t>sports</w:t>
            </w:r>
          </w:p>
          <w:p w:rsidR="007D76BB" w:rsidRDefault="00D70D28">
            <w:pPr>
              <w:pStyle w:val="TableParagraph"/>
              <w:spacing w:before="1" w:line="206" w:lineRule="exact"/>
              <w:ind w:left="4"/>
              <w:jc w:val="center"/>
              <w:rPr>
                <w:rFonts w:ascii="Arial"/>
                <w:sz w:val="19"/>
              </w:rPr>
            </w:pPr>
            <w:r>
              <w:rPr>
                <w:rFonts w:ascii="Arial"/>
                <w:w w:val="105"/>
                <w:sz w:val="19"/>
              </w:rPr>
              <w:t>supplements as pills, tablets and capsules)</w:t>
            </w:r>
          </w:p>
        </w:tc>
        <w:tc>
          <w:tcPr>
            <w:tcW w:w="1136" w:type="dxa"/>
            <w:vMerge/>
            <w:tcBorders>
              <w:top w:val="nil"/>
              <w:left w:val="single" w:sz="4" w:space="0" w:color="000000"/>
              <w:bottom w:val="single" w:sz="4" w:space="0" w:color="000000"/>
              <w:right w:val="single" w:sz="4" w:space="0" w:color="000000"/>
            </w:tcBorders>
          </w:tcPr>
          <w:p w:rsidR="007D76BB" w:rsidRDefault="007D76BB">
            <w:pPr>
              <w:rPr>
                <w:sz w:val="2"/>
                <w:szCs w:val="2"/>
              </w:rPr>
            </w:pPr>
          </w:p>
        </w:tc>
        <w:tc>
          <w:tcPr>
            <w:tcW w:w="1424" w:type="dxa"/>
            <w:vMerge/>
            <w:tcBorders>
              <w:top w:val="nil"/>
              <w:left w:val="single" w:sz="4" w:space="0" w:color="000000"/>
              <w:bottom w:val="single" w:sz="4" w:space="0" w:color="000000"/>
              <w:right w:val="single" w:sz="4" w:space="0" w:color="000000"/>
            </w:tcBorders>
          </w:tcPr>
          <w:p w:rsidR="007D76BB" w:rsidRDefault="007D76BB">
            <w:pPr>
              <w:rPr>
                <w:sz w:val="2"/>
                <w:szCs w:val="2"/>
              </w:rPr>
            </w:pPr>
          </w:p>
        </w:tc>
        <w:tc>
          <w:tcPr>
            <w:tcW w:w="1115" w:type="dxa"/>
            <w:vMerge/>
            <w:tcBorders>
              <w:top w:val="nil"/>
              <w:left w:val="single" w:sz="4" w:space="0" w:color="000000"/>
              <w:bottom w:val="single" w:sz="4" w:space="0" w:color="000000"/>
              <w:right w:val="single" w:sz="4" w:space="0" w:color="000000"/>
            </w:tcBorders>
          </w:tcPr>
          <w:p w:rsidR="007D76BB" w:rsidRDefault="007D76BB">
            <w:pPr>
              <w:rPr>
                <w:sz w:val="2"/>
                <w:szCs w:val="2"/>
              </w:rPr>
            </w:pPr>
          </w:p>
        </w:tc>
        <w:tc>
          <w:tcPr>
            <w:tcW w:w="1292" w:type="dxa"/>
            <w:vMerge/>
            <w:tcBorders>
              <w:top w:val="nil"/>
              <w:left w:val="single" w:sz="4" w:space="0" w:color="000000"/>
              <w:bottom w:val="single" w:sz="4" w:space="0" w:color="000000"/>
              <w:right w:val="single" w:sz="4" w:space="0" w:color="000000"/>
            </w:tcBorders>
          </w:tcPr>
          <w:p w:rsidR="007D76BB" w:rsidRDefault="007D76BB">
            <w:pPr>
              <w:rPr>
                <w:sz w:val="2"/>
                <w:szCs w:val="2"/>
              </w:rPr>
            </w:pPr>
          </w:p>
        </w:tc>
      </w:tr>
    </w:tbl>
    <w:p w:rsidR="007D76BB" w:rsidRDefault="007D76BB">
      <w:pPr>
        <w:rPr>
          <w:sz w:val="2"/>
          <w:szCs w:val="2"/>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spacing w:before="10"/>
        <w:rPr>
          <w:rFonts w:ascii="Arial"/>
        </w:rPr>
      </w:pPr>
    </w:p>
    <w:p w:rsidR="007D76BB" w:rsidRDefault="00D70D28">
      <w:pPr>
        <w:pStyle w:val="Heading4"/>
        <w:rPr>
          <w:b/>
        </w:rPr>
      </w:pPr>
      <w:r>
        <w:rPr>
          <w:noProof/>
          <w:lang w:val="en-AU" w:eastAsia="en-AU"/>
        </w:rPr>
        <mc:AlternateContent>
          <mc:Choice Requires="wpg">
            <w:drawing>
              <wp:anchor distT="0" distB="0" distL="114300" distR="114300" simplePos="0" relativeHeight="251772928" behindDoc="0" locked="0" layoutInCell="1" allowOverlap="1">
                <wp:simplePos x="0" y="0"/>
                <wp:positionH relativeFrom="page">
                  <wp:posOffset>1149350</wp:posOffset>
                </wp:positionH>
                <wp:positionV relativeFrom="paragraph">
                  <wp:posOffset>388620</wp:posOffset>
                </wp:positionV>
                <wp:extent cx="4149090" cy="6350"/>
                <wp:effectExtent l="0" t="0" r="0" b="0"/>
                <wp:wrapNone/>
                <wp:docPr id="271"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9090" cy="6350"/>
                          <a:chOff x="1810" y="612"/>
                          <a:chExt cx="6534" cy="10"/>
                        </a:xfrm>
                      </wpg:grpSpPr>
                      <wps:wsp>
                        <wps:cNvPr id="272" name="Line 130"/>
                        <wps:cNvCnPr>
                          <a:cxnSpLocks noChangeShapeType="1"/>
                        </wps:cNvCnPr>
                        <wps:spPr bwMode="auto">
                          <a:xfrm>
                            <a:off x="1810" y="616"/>
                            <a:ext cx="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Rectangle 129"/>
                        <wps:cNvSpPr>
                          <a:spLocks noChangeArrowheads="1"/>
                        </wps:cNvSpPr>
                        <wps:spPr bwMode="auto">
                          <a:xfrm>
                            <a:off x="3125" y="61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128"/>
                        <wps:cNvCnPr>
                          <a:cxnSpLocks noChangeShapeType="1"/>
                        </wps:cNvCnPr>
                        <wps:spPr bwMode="auto">
                          <a:xfrm>
                            <a:off x="3135" y="616"/>
                            <a:ext cx="52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85F518" id="Group 127" o:spid="_x0000_s1026" style="position:absolute;margin-left:90.5pt;margin-top:30.6pt;width:326.7pt;height:.5pt;z-index:251772928;mso-position-horizontal-relative:page" coordorigin="1810,612" coordsize="65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">
                <v:line id="Line 130" o:spid="_x0000_s1027" style="position:absolute;visibility:visible;mso-wrap-style:square" from="1810,616" to="312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" strokeweight=".48pt"/>
                <v:rect id="Rectangle 129" o:spid="_x0000_s1028" style="position:absolute;left:3125;top:61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" fillcolor="black" stroked="f"/>
                <v:line id="Line 128" o:spid="_x0000_s1029" style="position:absolute;visibility:visible;mso-wrap-style:square" from="3135,616" to="834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" strokeweight=".48pt"/>
                <w10:wrap anchorx="page"/>
              </v:group>
            </w:pict>
          </mc:Fallback>
        </mc:AlternateContent>
      </w:r>
      <w:bookmarkStart w:id="159" w:name="_bookmark85"/>
      <w:bookmarkEnd w:id="159"/>
      <w:r>
        <w:rPr>
          <w:b/>
          <w:color w:val="FFA200"/>
        </w:rPr>
        <w:t>ANNEX A – ACRONYMS AND ABBREVIATIONS</w:t>
      </w:r>
    </w:p>
    <w:p w:rsidR="007D76BB" w:rsidRDefault="00D70D28">
      <w:pPr>
        <w:pStyle w:val="BodyText"/>
        <w:spacing w:before="10"/>
        <w:rPr>
          <w:rFonts w:ascii="Lucida Sans"/>
          <w:b/>
          <w:sz w:val="13"/>
        </w:rPr>
      </w:pPr>
      <w:r>
        <w:rPr>
          <w:noProof/>
          <w:lang w:val="en-AU" w:eastAsia="en-AU"/>
        </w:rPr>
        <mc:AlternateContent>
          <mc:Choice Requires="wps">
            <w:drawing>
              <wp:anchor distT="0" distB="0" distL="0" distR="0" simplePos="0" relativeHeight="251755520" behindDoc="1" locked="0" layoutInCell="1" allowOverlap="1">
                <wp:simplePos x="0" y="0"/>
                <wp:positionH relativeFrom="page">
                  <wp:posOffset>1149350</wp:posOffset>
                </wp:positionH>
                <wp:positionV relativeFrom="paragraph">
                  <wp:posOffset>119380</wp:posOffset>
                </wp:positionV>
                <wp:extent cx="4149090" cy="306705"/>
                <wp:effectExtent l="0" t="0" r="0" b="0"/>
                <wp:wrapTopAndBottom/>
                <wp:docPr id="27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090" cy="306705"/>
                        </a:xfrm>
                        <a:prstGeom prst="rect">
                          <a:avLst/>
                        </a:prstGeom>
                        <a:solidFill>
                          <a:srgbClr val="0053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tabs>
                                <w:tab w:val="left" w:pos="1423"/>
                              </w:tabs>
                              <w:spacing w:before="16" w:line="264" w:lineRule="auto"/>
                              <w:ind w:left="107" w:right="4383"/>
                              <w:rPr>
                                <w:rFonts w:ascii="Arial"/>
                                <w:sz w:val="19"/>
                              </w:rPr>
                            </w:pPr>
                            <w:r>
                              <w:rPr>
                                <w:rFonts w:ascii="Arial"/>
                                <w:color w:val="FFFFFF"/>
                                <w:w w:val="105"/>
                                <w:sz w:val="19"/>
                              </w:rPr>
                              <w:t>Acronym/</w:t>
                            </w:r>
                            <w:r>
                              <w:rPr>
                                <w:rFonts w:ascii="Arial"/>
                                <w:color w:val="FFFFFF"/>
                                <w:w w:val="105"/>
                                <w:sz w:val="19"/>
                              </w:rPr>
                              <w:tab/>
                            </w:r>
                            <w:r>
                              <w:rPr>
                                <w:rFonts w:ascii="Arial"/>
                                <w:color w:val="FFFFFF"/>
                                <w:spacing w:val="-3"/>
                                <w:sz w:val="19"/>
                              </w:rPr>
                              <w:t xml:space="preserve">Meaning </w:t>
                            </w:r>
                            <w:r>
                              <w:rPr>
                                <w:rFonts w:ascii="Arial"/>
                                <w:color w:val="FFFFFF"/>
                                <w:w w:val="105"/>
                                <w:sz w:val="19"/>
                              </w:rPr>
                              <w:t>Abbreviation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0" type="#_x0000_t202" style="position:absolute;margin-left:90.5pt;margin-top:9.4pt;width:326.7pt;height:24.15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" fillcolor="#005386" stroked="f">
                <v:textbox inset="0,0,0,0">
                  <w:txbxContent>
                    <w:p w:rsidR="00A51832" w:rsidRDefault="00A51832">
                      <w:pPr>
                        <w:tabs>
                          <w:tab w:val="left" w:pos="1423"/>
                        </w:tabs>
                        <w:spacing w:before="16" w:line="264" w:lineRule="auto"/>
                        <w:ind w:left="107" w:right="4383"/>
                        <w:rPr>
                          <w:rFonts w:ascii="Arial"/>
                          <w:sz w:val="19"/>
                        </w:rPr>
                      </w:pPr>
                      <w:r>
                        <w:rPr>
                          <w:rFonts w:ascii="Arial"/>
                          <w:color w:val="FFFFFF"/>
                          <w:w w:val="105"/>
                          <w:sz w:val="19"/>
                        </w:rPr>
                        <w:t>Acronym/</w:t>
                      </w:r>
                      <w:r>
                        <w:rPr>
                          <w:rFonts w:ascii="Arial"/>
                          <w:color w:val="FFFFFF"/>
                          <w:w w:val="105"/>
                          <w:sz w:val="19"/>
                        </w:rPr>
                        <w:tab/>
                      </w:r>
                      <w:r>
                        <w:rPr>
                          <w:rFonts w:ascii="Arial"/>
                          <w:color w:val="FFFFFF"/>
                          <w:spacing w:val="-3"/>
                          <w:sz w:val="19"/>
                        </w:rPr>
                        <w:t xml:space="preserve">Meaning </w:t>
                      </w:r>
                      <w:r>
                        <w:rPr>
                          <w:rFonts w:ascii="Arial"/>
                          <w:color w:val="FFFFFF"/>
                          <w:w w:val="105"/>
                          <w:sz w:val="19"/>
                        </w:rPr>
                        <w:t>Abbreviation</w:t>
                      </w:r>
                    </w:p>
                  </w:txbxContent>
                </v:textbox>
                <w10:wrap type="topAndBottom" anchorx="page"/>
              </v:shape>
            </w:pict>
          </mc:Fallback>
        </mc:AlternateContent>
      </w:r>
    </w:p>
    <w:p w:rsidR="007D76BB" w:rsidRDefault="00D70D28">
      <w:pPr>
        <w:pStyle w:val="BodyText"/>
        <w:spacing w:line="20" w:lineRule="exact"/>
        <w:ind w:left="585"/>
        <w:rPr>
          <w:rFonts w:ascii="Lucida Sans"/>
          <w:sz w:val="2"/>
        </w:rPr>
      </w:pPr>
      <w:r>
        <w:rPr>
          <w:rFonts w:ascii="Lucida Sans"/>
          <w:noProof/>
          <w:sz w:val="2"/>
          <w:lang w:val="en-AU" w:eastAsia="en-AU"/>
        </w:rPr>
        <mc:AlternateContent>
          <mc:Choice Requires="wpg">
            <w:drawing>
              <wp:inline distT="0" distB="0" distL="0" distR="0">
                <wp:extent cx="4149090" cy="6350"/>
                <wp:effectExtent l="12700" t="6985" r="10160" b="5715"/>
                <wp:docPr id="26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9090" cy="6350"/>
                          <a:chOff x="0" y="0"/>
                          <a:chExt cx="6534" cy="10"/>
                        </a:xfrm>
                      </wpg:grpSpPr>
                      <wps:wsp>
                        <wps:cNvPr id="267" name="Line 125"/>
                        <wps:cNvCnPr>
                          <a:cxnSpLocks noChangeShapeType="1"/>
                        </wps:cNvCnPr>
                        <wps:spPr bwMode="auto">
                          <a:xfrm>
                            <a:off x="0" y="5"/>
                            <a:ext cx="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Rectangle 124"/>
                        <wps:cNvSpPr>
                          <a:spLocks noChangeArrowheads="1"/>
                        </wps:cNvSpPr>
                        <wps:spPr bwMode="auto">
                          <a:xfrm>
                            <a:off x="1315"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Line 123"/>
                        <wps:cNvCnPr>
                          <a:cxnSpLocks noChangeShapeType="1"/>
                        </wps:cNvCnPr>
                        <wps:spPr bwMode="auto">
                          <a:xfrm>
                            <a:off x="1325" y="5"/>
                            <a:ext cx="52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3F0EB1" id="Group 122" o:spid="_x0000_s1026" style="width:326.7pt;height:.5pt;mso-position-horizontal-relative:char;mso-position-vertical-relative:line" coordsize="65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">
                <v:line id="Line 125" o:spid="_x0000_s1027" style="position:absolute;visibility:visible;mso-wrap-style:square" from="0,5" to="1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" strokeweight=".48pt"/>
                <v:rect id="Rectangle 124" o:spid="_x0000_s1028" style="position:absolute;left:13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" fillcolor="black" stroked="f"/>
                <v:line id="Line 123" o:spid="_x0000_s1029" style="position:absolute;visibility:visible;mso-wrap-style:square" from="1325,5" to="6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" strokeweight=".48pt"/>
                <w10:anchorlock/>
              </v:group>
            </w:pict>
          </mc:Fallback>
        </mc:AlternateContent>
      </w:r>
    </w:p>
    <w:p w:rsidR="007D76BB" w:rsidRDefault="00D70D28">
      <w:pPr>
        <w:tabs>
          <w:tab w:val="left" w:pos="2013"/>
        </w:tabs>
        <w:spacing w:after="8"/>
        <w:ind w:left="698"/>
        <w:rPr>
          <w:rFonts w:ascii="Arial"/>
          <w:sz w:val="19"/>
        </w:rPr>
      </w:pPr>
      <w:r>
        <w:rPr>
          <w:rFonts w:ascii="Arial"/>
          <w:w w:val="105"/>
          <w:sz w:val="19"/>
        </w:rPr>
        <w:t>ABS</w:t>
      </w:r>
      <w:r>
        <w:rPr>
          <w:rFonts w:ascii="Arial"/>
          <w:w w:val="105"/>
          <w:sz w:val="19"/>
        </w:rPr>
        <w:tab/>
        <w:t>Australian Bureau of</w:t>
      </w:r>
      <w:r>
        <w:rPr>
          <w:rFonts w:ascii="Arial"/>
          <w:spacing w:val="-35"/>
          <w:w w:val="105"/>
          <w:sz w:val="19"/>
        </w:rPr>
        <w:t xml:space="preserve"> </w:t>
      </w:r>
      <w:r>
        <w:rPr>
          <w:rFonts w:ascii="Arial"/>
          <w:w w:val="105"/>
          <w:sz w:val="19"/>
        </w:rPr>
        <w:t>Statistics</w:t>
      </w:r>
    </w:p>
    <w:p w:rsidR="007D76BB" w:rsidRDefault="00D70D28">
      <w:pPr>
        <w:pStyle w:val="BodyText"/>
        <w:spacing w:line="20" w:lineRule="exact"/>
        <w:ind w:left="585"/>
        <w:rPr>
          <w:rFonts w:ascii="Arial"/>
          <w:sz w:val="2"/>
        </w:rPr>
      </w:pPr>
      <w:r>
        <w:rPr>
          <w:rFonts w:ascii="Arial"/>
          <w:noProof/>
          <w:sz w:val="2"/>
          <w:lang w:val="en-AU" w:eastAsia="en-AU"/>
        </w:rPr>
        <mc:AlternateContent>
          <mc:Choice Requires="wpg">
            <w:drawing>
              <wp:inline distT="0" distB="0" distL="0" distR="0">
                <wp:extent cx="4149090" cy="6350"/>
                <wp:effectExtent l="12700" t="6350" r="10160" b="6350"/>
                <wp:docPr id="262"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9090" cy="6350"/>
                          <a:chOff x="0" y="0"/>
                          <a:chExt cx="6534" cy="10"/>
                        </a:xfrm>
                      </wpg:grpSpPr>
                      <wps:wsp>
                        <wps:cNvPr id="263" name="Line 121"/>
                        <wps:cNvCnPr>
                          <a:cxnSpLocks noChangeShapeType="1"/>
                        </wps:cNvCnPr>
                        <wps:spPr bwMode="auto">
                          <a:xfrm>
                            <a:off x="0" y="5"/>
                            <a:ext cx="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Rectangle 120"/>
                        <wps:cNvSpPr>
                          <a:spLocks noChangeArrowheads="1"/>
                        </wps:cNvSpPr>
                        <wps:spPr bwMode="auto">
                          <a:xfrm>
                            <a:off x="1315"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Line 119"/>
                        <wps:cNvCnPr>
                          <a:cxnSpLocks noChangeShapeType="1"/>
                        </wps:cNvCnPr>
                        <wps:spPr bwMode="auto">
                          <a:xfrm>
                            <a:off x="1325" y="5"/>
                            <a:ext cx="52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2BCC8F" id="Group 118" o:spid="_x0000_s1026" style="width:326.7pt;height:.5pt;mso-position-horizontal-relative:char;mso-position-vertical-relative:line" coordsize="65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">
                <v:line id="Line 121" o:spid="_x0000_s1027" style="position:absolute;visibility:visible;mso-wrap-style:square" from="0,5" to="1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CWxQAAANwAAAAPAAAAZHJzL2Rvd25yZXYueG1sRI9PawIx&#10;FMTvhX6H8Aq91awKKlujqOAf2FO10B4fyetm6eZl2cTd7bc3gtDjMDO/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AcupCWxQAAANwAAAAP&#10;AAAAAAAAAAAAAAAAAAcCAABkcnMvZG93bnJldi54bWxQSwUGAAAAAAMAAwC3AAAA+QIAAAAA&#10;" strokeweight=".48pt"/>
                <v:rect id="Rectangle 120" o:spid="_x0000_s1028" style="position:absolute;left:13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line id="Line 119" o:spid="_x0000_s1029" style="position:absolute;visibility:visible;mso-wrap-style:square" from="1325,5" to="6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615xQAAANwAAAAPAAAAZHJzL2Rvd25yZXYueG1sRI9La8Mw&#10;EITvhf4HsYXeGjmBPHCjhCSQB/jUpNAeF2lrmVorYym2+++jQKDHYWa+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D8H615xQAAANwAAAAP&#10;AAAAAAAAAAAAAAAAAAcCAABkcnMvZG93bnJldi54bWxQSwUGAAAAAAMAAwC3AAAA+QIAAAAA&#10;" strokeweight=".48pt"/>
                <w10:anchorlock/>
              </v:group>
            </w:pict>
          </mc:Fallback>
        </mc:AlternateContent>
      </w:r>
    </w:p>
    <w:p w:rsidR="007D76BB" w:rsidRDefault="00D70D28">
      <w:pPr>
        <w:tabs>
          <w:tab w:val="left" w:pos="2013"/>
        </w:tabs>
        <w:spacing w:before="6" w:line="273" w:lineRule="auto"/>
        <w:ind w:left="698" w:right="2972"/>
        <w:rPr>
          <w:rFonts w:ascii="Arial"/>
          <w:sz w:val="19"/>
        </w:rPr>
      </w:pPr>
      <w:r>
        <w:rPr>
          <w:noProof/>
          <w:lang w:val="en-AU" w:eastAsia="en-AU"/>
        </w:rPr>
        <mc:AlternateContent>
          <mc:Choice Requires="wpg">
            <w:drawing>
              <wp:anchor distT="0" distB="0" distL="114300" distR="114300" simplePos="0" relativeHeight="242187264" behindDoc="1" locked="0" layoutInCell="1" allowOverlap="1">
                <wp:simplePos x="0" y="0"/>
                <wp:positionH relativeFrom="page">
                  <wp:posOffset>1149350</wp:posOffset>
                </wp:positionH>
                <wp:positionV relativeFrom="paragraph">
                  <wp:posOffset>147320</wp:posOffset>
                </wp:positionV>
                <wp:extent cx="4149090" cy="6350"/>
                <wp:effectExtent l="0" t="0" r="0" b="0"/>
                <wp:wrapNone/>
                <wp:docPr id="258"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9090" cy="6350"/>
                          <a:chOff x="1810" y="232"/>
                          <a:chExt cx="6534" cy="10"/>
                        </a:xfrm>
                      </wpg:grpSpPr>
                      <wps:wsp>
                        <wps:cNvPr id="261" name="Line 117"/>
                        <wps:cNvCnPr>
                          <a:cxnSpLocks noChangeShapeType="1"/>
                        </wps:cNvCnPr>
                        <wps:spPr bwMode="auto">
                          <a:xfrm>
                            <a:off x="1810" y="237"/>
                            <a:ext cx="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Rectangle 116"/>
                        <wps:cNvSpPr>
                          <a:spLocks noChangeArrowheads="1"/>
                        </wps:cNvSpPr>
                        <wps:spPr bwMode="auto">
                          <a:xfrm>
                            <a:off x="3125" y="2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Line 115"/>
                        <wps:cNvCnPr>
                          <a:cxnSpLocks noChangeShapeType="1"/>
                        </wps:cNvCnPr>
                        <wps:spPr bwMode="auto">
                          <a:xfrm>
                            <a:off x="3135" y="237"/>
                            <a:ext cx="52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F5AFFE" id="Group 114" o:spid="_x0000_s1026" style="position:absolute;margin-left:90.5pt;margin-top:11.6pt;width:326.7pt;height:.5pt;z-index:-261129216;mso-position-horizontal-relative:page" coordorigin="1810,232" coordsize="65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">
                <v:line id="Line 117" o:spid="_x0000_s1027" style="position:absolute;visibility:visible;mso-wrap-style:square" from="1810,237" to="312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" strokeweight=".48pt"/>
                <v:rect id="Rectangle 116" o:spid="_x0000_s1028" style="position:absolute;left:3125;top:23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" fillcolor="black" stroked="f"/>
                <v:line id="Line 115" o:spid="_x0000_s1029" style="position:absolute;visibility:visible;mso-wrap-style:square" from="3135,237" to="834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" strokeweight=".48pt"/>
                <w10:wrap anchorx="page"/>
              </v:group>
            </w:pict>
          </mc:Fallback>
        </mc:AlternateContent>
      </w:r>
      <w:r>
        <w:rPr>
          <w:noProof/>
          <w:lang w:val="en-AU" w:eastAsia="en-AU"/>
        </w:rPr>
        <mc:AlternateContent>
          <mc:Choice Requires="wpg">
            <w:drawing>
              <wp:anchor distT="0" distB="0" distL="114300" distR="114300" simplePos="0" relativeHeight="251774976" behindDoc="0" locked="0" layoutInCell="1" allowOverlap="1">
                <wp:simplePos x="0" y="0"/>
                <wp:positionH relativeFrom="page">
                  <wp:posOffset>1149350</wp:posOffset>
                </wp:positionH>
                <wp:positionV relativeFrom="paragraph">
                  <wp:posOffset>306070</wp:posOffset>
                </wp:positionV>
                <wp:extent cx="4149090" cy="6350"/>
                <wp:effectExtent l="0" t="0" r="0" b="0"/>
                <wp:wrapNone/>
                <wp:docPr id="25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9090" cy="6350"/>
                          <a:chOff x="1810" y="482"/>
                          <a:chExt cx="6534" cy="10"/>
                        </a:xfrm>
                      </wpg:grpSpPr>
                      <wps:wsp>
                        <wps:cNvPr id="255" name="Line 113"/>
                        <wps:cNvCnPr>
                          <a:cxnSpLocks noChangeShapeType="1"/>
                        </wps:cNvCnPr>
                        <wps:spPr bwMode="auto">
                          <a:xfrm>
                            <a:off x="1810" y="487"/>
                            <a:ext cx="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Rectangle 112"/>
                        <wps:cNvSpPr>
                          <a:spLocks noChangeArrowheads="1"/>
                        </wps:cNvSpPr>
                        <wps:spPr bwMode="auto">
                          <a:xfrm>
                            <a:off x="3125" y="4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111"/>
                        <wps:cNvCnPr>
                          <a:cxnSpLocks noChangeShapeType="1"/>
                        </wps:cNvCnPr>
                        <wps:spPr bwMode="auto">
                          <a:xfrm>
                            <a:off x="3135" y="487"/>
                            <a:ext cx="52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DDE39F" id="Group 110" o:spid="_x0000_s1026" style="position:absolute;margin-left:90.5pt;margin-top:24.1pt;width:326.7pt;height:.5pt;z-index:251774976;mso-position-horizontal-relative:page" coordorigin="1810,482" coordsize="65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">
                <v:line id="Line 113" o:spid="_x0000_s1027" style="position:absolute;visibility:visible;mso-wrap-style:square" from="1810,487" to="3125,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2fExQAAANwAAAAPAAAAZHJzL2Rvd25yZXYueG1sRI9PawIx&#10;FMTvgt8hPKE3zVZQ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Ayc2fExQAAANwAAAAP&#10;AAAAAAAAAAAAAAAAAAcCAABkcnMvZG93bnJldi54bWxQSwUGAAAAAAMAAwC3AAAA+QIAAAAA&#10;" strokeweight=".48pt"/>
                <v:rect id="Rectangle 112" o:spid="_x0000_s1028" style="position:absolute;left:3125;top:4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" fillcolor="black" stroked="f"/>
                <v:line id="Line 111" o:spid="_x0000_s1029" style="position:absolute;visibility:visible;mso-wrap-style:square" from="3135,487" to="834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" strokeweight=".48pt"/>
                <w10:wrap anchorx="page"/>
              </v:group>
            </w:pict>
          </mc:Fallback>
        </mc:AlternateContent>
      </w:r>
      <w:r>
        <w:rPr>
          <w:rFonts w:ascii="Arial"/>
          <w:w w:val="105"/>
          <w:sz w:val="19"/>
        </w:rPr>
        <w:t>ANZSIC</w:t>
      </w:r>
      <w:r>
        <w:rPr>
          <w:rFonts w:ascii="Arial"/>
          <w:w w:val="105"/>
          <w:sz w:val="19"/>
        </w:rPr>
        <w:tab/>
      </w:r>
      <w:r>
        <w:rPr>
          <w:rFonts w:ascii="Arial"/>
          <w:sz w:val="19"/>
        </w:rPr>
        <w:t xml:space="preserve">Australian New Zealand Standard Industrial Classification </w:t>
      </w:r>
      <w:r>
        <w:rPr>
          <w:rFonts w:ascii="Arial"/>
          <w:w w:val="105"/>
          <w:sz w:val="19"/>
        </w:rPr>
        <w:t>ARTG</w:t>
      </w:r>
      <w:r>
        <w:rPr>
          <w:rFonts w:ascii="Arial"/>
          <w:w w:val="105"/>
          <w:sz w:val="19"/>
        </w:rPr>
        <w:tab/>
        <w:t>Australian</w:t>
      </w:r>
      <w:r>
        <w:rPr>
          <w:rFonts w:ascii="Arial"/>
          <w:spacing w:val="-16"/>
          <w:w w:val="105"/>
          <w:sz w:val="19"/>
        </w:rPr>
        <w:t xml:space="preserve"> </w:t>
      </w:r>
      <w:r>
        <w:rPr>
          <w:rFonts w:ascii="Arial"/>
          <w:w w:val="105"/>
          <w:sz w:val="19"/>
        </w:rPr>
        <w:t>Register</w:t>
      </w:r>
      <w:r>
        <w:rPr>
          <w:rFonts w:ascii="Arial"/>
          <w:spacing w:val="-13"/>
          <w:w w:val="105"/>
          <w:sz w:val="19"/>
        </w:rPr>
        <w:t xml:space="preserve"> </w:t>
      </w:r>
      <w:r>
        <w:rPr>
          <w:rFonts w:ascii="Arial"/>
          <w:w w:val="105"/>
          <w:sz w:val="19"/>
        </w:rPr>
        <w:t>of</w:t>
      </w:r>
      <w:r>
        <w:rPr>
          <w:rFonts w:ascii="Arial"/>
          <w:spacing w:val="-15"/>
          <w:w w:val="105"/>
          <w:sz w:val="19"/>
        </w:rPr>
        <w:t xml:space="preserve"> </w:t>
      </w:r>
      <w:r>
        <w:rPr>
          <w:rFonts w:ascii="Arial"/>
          <w:w w:val="105"/>
          <w:sz w:val="19"/>
        </w:rPr>
        <w:t>Therapeutic</w:t>
      </w:r>
      <w:r>
        <w:rPr>
          <w:rFonts w:ascii="Arial"/>
          <w:spacing w:val="-9"/>
          <w:w w:val="105"/>
          <w:sz w:val="19"/>
        </w:rPr>
        <w:t xml:space="preserve"> </w:t>
      </w:r>
      <w:r>
        <w:rPr>
          <w:rFonts w:ascii="Arial"/>
          <w:w w:val="105"/>
          <w:sz w:val="19"/>
        </w:rPr>
        <w:t>Goods</w:t>
      </w:r>
    </w:p>
    <w:p w:rsidR="007D76BB" w:rsidRDefault="00D70D28">
      <w:pPr>
        <w:tabs>
          <w:tab w:val="left" w:pos="2013"/>
        </w:tabs>
        <w:spacing w:before="1" w:line="276" w:lineRule="auto"/>
        <w:ind w:left="698" w:right="4428"/>
        <w:rPr>
          <w:rFonts w:ascii="Arial"/>
          <w:sz w:val="19"/>
        </w:rPr>
      </w:pPr>
      <w:r>
        <w:rPr>
          <w:noProof/>
          <w:lang w:val="en-AU" w:eastAsia="en-AU"/>
        </w:rPr>
        <mc:AlternateContent>
          <mc:Choice Requires="wpg">
            <w:drawing>
              <wp:anchor distT="0" distB="0" distL="114300" distR="114300" simplePos="0" relativeHeight="242189312" behindDoc="1" locked="0" layoutInCell="1" allowOverlap="1">
                <wp:simplePos x="0" y="0"/>
                <wp:positionH relativeFrom="page">
                  <wp:posOffset>1149350</wp:posOffset>
                </wp:positionH>
                <wp:positionV relativeFrom="paragraph">
                  <wp:posOffset>146050</wp:posOffset>
                </wp:positionV>
                <wp:extent cx="4149090" cy="6350"/>
                <wp:effectExtent l="0" t="0" r="0" b="0"/>
                <wp:wrapNone/>
                <wp:docPr id="25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9090" cy="6350"/>
                          <a:chOff x="1810" y="230"/>
                          <a:chExt cx="6534" cy="10"/>
                        </a:xfrm>
                      </wpg:grpSpPr>
                      <wps:wsp>
                        <wps:cNvPr id="251" name="Line 109"/>
                        <wps:cNvCnPr>
                          <a:cxnSpLocks noChangeShapeType="1"/>
                        </wps:cNvCnPr>
                        <wps:spPr bwMode="auto">
                          <a:xfrm>
                            <a:off x="1810" y="234"/>
                            <a:ext cx="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Rectangle 108"/>
                        <wps:cNvSpPr>
                          <a:spLocks noChangeArrowheads="1"/>
                        </wps:cNvSpPr>
                        <wps:spPr bwMode="auto">
                          <a:xfrm>
                            <a:off x="3125" y="2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Line 107"/>
                        <wps:cNvCnPr>
                          <a:cxnSpLocks noChangeShapeType="1"/>
                        </wps:cNvCnPr>
                        <wps:spPr bwMode="auto">
                          <a:xfrm>
                            <a:off x="3135" y="234"/>
                            <a:ext cx="52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EB7D7B" id="Group 106" o:spid="_x0000_s1026" style="position:absolute;margin-left:90.5pt;margin-top:11.5pt;width:326.7pt;height:.5pt;z-index:-261127168;mso-position-horizontal-relative:page" coordorigin="1810,230" coordsize="65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">
                <v:line id="Line 109" o:spid="_x0000_s1027" style="position:absolute;visibility:visible;mso-wrap-style:square" from="1810,234" to="3125,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" strokeweight=".48pt"/>
                <v:rect id="Rectangle 108" o:spid="_x0000_s1028" style="position:absolute;left:3125;top:22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" fillcolor="black" stroked="f"/>
                <v:line id="Line 107" o:spid="_x0000_s1029" style="position:absolute;visibility:visible;mso-wrap-style:square" from="3135,234" to="834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" strokeweight=".48pt"/>
                <w10:wrap anchorx="page"/>
              </v:group>
            </w:pict>
          </mc:Fallback>
        </mc:AlternateContent>
      </w:r>
      <w:r>
        <w:rPr>
          <w:noProof/>
          <w:lang w:val="en-AU" w:eastAsia="en-AU"/>
        </w:rPr>
        <mc:AlternateContent>
          <mc:Choice Requires="wpg">
            <w:drawing>
              <wp:anchor distT="0" distB="0" distL="114300" distR="114300" simplePos="0" relativeHeight="251777024" behindDoc="0" locked="0" layoutInCell="1" allowOverlap="1">
                <wp:simplePos x="0" y="0"/>
                <wp:positionH relativeFrom="page">
                  <wp:posOffset>1149350</wp:posOffset>
                </wp:positionH>
                <wp:positionV relativeFrom="paragraph">
                  <wp:posOffset>304165</wp:posOffset>
                </wp:positionV>
                <wp:extent cx="4149090" cy="6350"/>
                <wp:effectExtent l="0" t="0" r="0" b="0"/>
                <wp:wrapNone/>
                <wp:docPr id="246"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9090" cy="6350"/>
                          <a:chOff x="1810" y="479"/>
                          <a:chExt cx="6534" cy="10"/>
                        </a:xfrm>
                      </wpg:grpSpPr>
                      <wps:wsp>
                        <wps:cNvPr id="247" name="Line 105"/>
                        <wps:cNvCnPr>
                          <a:cxnSpLocks noChangeShapeType="1"/>
                        </wps:cNvCnPr>
                        <wps:spPr bwMode="auto">
                          <a:xfrm>
                            <a:off x="1810" y="484"/>
                            <a:ext cx="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Rectangle 104"/>
                        <wps:cNvSpPr>
                          <a:spLocks noChangeArrowheads="1"/>
                        </wps:cNvSpPr>
                        <wps:spPr bwMode="auto">
                          <a:xfrm>
                            <a:off x="3125" y="47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Line 103"/>
                        <wps:cNvCnPr>
                          <a:cxnSpLocks noChangeShapeType="1"/>
                        </wps:cNvCnPr>
                        <wps:spPr bwMode="auto">
                          <a:xfrm>
                            <a:off x="3135" y="484"/>
                            <a:ext cx="52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DF0BDC" id="Group 102" o:spid="_x0000_s1026" style="position:absolute;margin-left:90.5pt;margin-top:23.95pt;width:326.7pt;height:.5pt;z-index:251777024;mso-position-horizontal-relative:page" coordorigin="1810,479" coordsize="65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">
                <v:line id="Line 105" o:spid="_x0000_s1027" style="position:absolute;visibility:visible;mso-wrap-style:square" from="1810,484" to="3125,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" strokeweight=".48pt"/>
                <v:rect id="Rectangle 104" o:spid="_x0000_s1028" style="position:absolute;left:3125;top:47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line id="Line 103" o:spid="_x0000_s1029" style="position:absolute;visibility:visible;mso-wrap-style:square" from="3135,484" to="834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" strokeweight=".48pt"/>
                <w10:wrap anchorx="page"/>
              </v:group>
            </w:pict>
          </mc:Fallback>
        </mc:AlternateContent>
      </w:r>
      <w:r>
        <w:rPr>
          <w:rFonts w:ascii="Arial"/>
          <w:w w:val="105"/>
          <w:sz w:val="19"/>
        </w:rPr>
        <w:t>ASADA</w:t>
      </w:r>
      <w:r>
        <w:rPr>
          <w:rFonts w:ascii="Arial"/>
          <w:w w:val="105"/>
          <w:sz w:val="19"/>
        </w:rPr>
        <w:tab/>
        <w:t>Australian</w:t>
      </w:r>
      <w:r>
        <w:rPr>
          <w:rFonts w:ascii="Arial"/>
          <w:spacing w:val="-18"/>
          <w:w w:val="105"/>
          <w:sz w:val="19"/>
        </w:rPr>
        <w:t xml:space="preserve"> </w:t>
      </w:r>
      <w:r>
        <w:rPr>
          <w:rFonts w:ascii="Arial"/>
          <w:w w:val="105"/>
          <w:sz w:val="19"/>
        </w:rPr>
        <w:t>Sports</w:t>
      </w:r>
      <w:r>
        <w:rPr>
          <w:rFonts w:ascii="Arial"/>
          <w:spacing w:val="-18"/>
          <w:w w:val="105"/>
          <w:sz w:val="19"/>
        </w:rPr>
        <w:t xml:space="preserve"> </w:t>
      </w:r>
      <w:r>
        <w:rPr>
          <w:rFonts w:ascii="Arial"/>
          <w:w w:val="105"/>
          <w:sz w:val="19"/>
        </w:rPr>
        <w:t>Anti-Doping</w:t>
      </w:r>
      <w:r>
        <w:rPr>
          <w:rFonts w:ascii="Arial"/>
          <w:spacing w:val="-15"/>
          <w:w w:val="105"/>
          <w:sz w:val="19"/>
        </w:rPr>
        <w:t xml:space="preserve"> </w:t>
      </w:r>
      <w:r>
        <w:rPr>
          <w:rFonts w:ascii="Arial"/>
          <w:w w:val="105"/>
          <w:sz w:val="19"/>
        </w:rPr>
        <w:t>Authority ASN</w:t>
      </w:r>
      <w:r>
        <w:rPr>
          <w:rFonts w:ascii="Arial"/>
          <w:w w:val="105"/>
          <w:sz w:val="19"/>
        </w:rPr>
        <w:tab/>
        <w:t>Australian Sports</w:t>
      </w:r>
      <w:r>
        <w:rPr>
          <w:rFonts w:ascii="Arial"/>
          <w:spacing w:val="-24"/>
          <w:w w:val="105"/>
          <w:sz w:val="19"/>
        </w:rPr>
        <w:t xml:space="preserve"> </w:t>
      </w:r>
      <w:r>
        <w:rPr>
          <w:rFonts w:ascii="Arial"/>
          <w:w w:val="105"/>
          <w:sz w:val="19"/>
        </w:rPr>
        <w:t>Nutrition</w:t>
      </w:r>
    </w:p>
    <w:p w:rsidR="007D76BB" w:rsidRDefault="00D70D28">
      <w:pPr>
        <w:tabs>
          <w:tab w:val="left" w:pos="2013"/>
        </w:tabs>
        <w:spacing w:line="276" w:lineRule="auto"/>
        <w:ind w:left="698" w:right="4666"/>
        <w:rPr>
          <w:rFonts w:ascii="Arial"/>
          <w:sz w:val="19"/>
        </w:rPr>
      </w:pPr>
      <w:r>
        <w:rPr>
          <w:noProof/>
          <w:lang w:val="en-AU" w:eastAsia="en-AU"/>
        </w:rPr>
        <mc:AlternateContent>
          <mc:Choice Requires="wpg">
            <w:drawing>
              <wp:anchor distT="0" distB="0" distL="114300" distR="114300" simplePos="0" relativeHeight="242191360" behindDoc="1" locked="0" layoutInCell="1" allowOverlap="1">
                <wp:simplePos x="0" y="0"/>
                <wp:positionH relativeFrom="page">
                  <wp:posOffset>1149350</wp:posOffset>
                </wp:positionH>
                <wp:positionV relativeFrom="paragraph">
                  <wp:posOffset>143510</wp:posOffset>
                </wp:positionV>
                <wp:extent cx="4149090" cy="6350"/>
                <wp:effectExtent l="0" t="0" r="0" b="0"/>
                <wp:wrapNone/>
                <wp:docPr id="242"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9090" cy="6350"/>
                          <a:chOff x="1810" y="226"/>
                          <a:chExt cx="6534" cy="10"/>
                        </a:xfrm>
                      </wpg:grpSpPr>
                      <wps:wsp>
                        <wps:cNvPr id="243" name="Line 101"/>
                        <wps:cNvCnPr>
                          <a:cxnSpLocks noChangeShapeType="1"/>
                        </wps:cNvCnPr>
                        <wps:spPr bwMode="auto">
                          <a:xfrm>
                            <a:off x="1810" y="231"/>
                            <a:ext cx="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Rectangle 100"/>
                        <wps:cNvSpPr>
                          <a:spLocks noChangeArrowheads="1"/>
                        </wps:cNvSpPr>
                        <wps:spPr bwMode="auto">
                          <a:xfrm>
                            <a:off x="3125" y="2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Line 99"/>
                        <wps:cNvCnPr>
                          <a:cxnSpLocks noChangeShapeType="1"/>
                        </wps:cNvCnPr>
                        <wps:spPr bwMode="auto">
                          <a:xfrm>
                            <a:off x="3135" y="231"/>
                            <a:ext cx="52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570A1F" id="Group 98" o:spid="_x0000_s1026" style="position:absolute;margin-left:90.5pt;margin-top:11.3pt;width:326.7pt;height:.5pt;z-index:-261125120;mso-position-horizontal-relative:page" coordorigin="1810,226" coordsize="65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">
                <v:line id="Line 101" o:spid="_x0000_s1027" style="position:absolute;visibility:visible;mso-wrap-style:square" from="1810,231" to="3125,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" strokeweight=".48pt"/>
                <v:rect id="Rectangle 100" o:spid="_x0000_s1028" style="position:absolute;left:3125;top:22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" fillcolor="black" stroked="f"/>
                <v:line id="Line 99" o:spid="_x0000_s1029" style="position:absolute;visibility:visible;mso-wrap-style:square" from="3135,231" to="834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" strokeweight=".48pt"/>
                <w10:wrap anchorx="page"/>
              </v:group>
            </w:pict>
          </mc:Fallback>
        </mc:AlternateContent>
      </w:r>
      <w:r>
        <w:rPr>
          <w:noProof/>
          <w:lang w:val="en-AU" w:eastAsia="en-AU"/>
        </w:rPr>
        <mc:AlternateContent>
          <mc:Choice Requires="wpg">
            <w:drawing>
              <wp:anchor distT="0" distB="0" distL="114300" distR="114300" simplePos="0" relativeHeight="251779072" behindDoc="0" locked="0" layoutInCell="1" allowOverlap="1">
                <wp:simplePos x="0" y="0"/>
                <wp:positionH relativeFrom="page">
                  <wp:posOffset>1149350</wp:posOffset>
                </wp:positionH>
                <wp:positionV relativeFrom="paragraph">
                  <wp:posOffset>303530</wp:posOffset>
                </wp:positionV>
                <wp:extent cx="4149090" cy="6350"/>
                <wp:effectExtent l="0" t="0" r="0" b="0"/>
                <wp:wrapNone/>
                <wp:docPr id="23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9090" cy="6350"/>
                          <a:chOff x="1810" y="478"/>
                          <a:chExt cx="6534" cy="10"/>
                        </a:xfrm>
                      </wpg:grpSpPr>
                      <wps:wsp>
                        <wps:cNvPr id="239" name="Line 97"/>
                        <wps:cNvCnPr>
                          <a:cxnSpLocks noChangeShapeType="1"/>
                        </wps:cNvCnPr>
                        <wps:spPr bwMode="auto">
                          <a:xfrm>
                            <a:off x="1810" y="483"/>
                            <a:ext cx="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Rectangle 96"/>
                        <wps:cNvSpPr>
                          <a:spLocks noChangeArrowheads="1"/>
                        </wps:cNvSpPr>
                        <wps:spPr bwMode="auto">
                          <a:xfrm>
                            <a:off x="3125" y="47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Line 95"/>
                        <wps:cNvCnPr>
                          <a:cxnSpLocks noChangeShapeType="1"/>
                        </wps:cNvCnPr>
                        <wps:spPr bwMode="auto">
                          <a:xfrm>
                            <a:off x="3135" y="483"/>
                            <a:ext cx="52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511499" id="Group 94" o:spid="_x0000_s1026" style="position:absolute;margin-left:90.5pt;margin-top:23.9pt;width:326.7pt;height:.5pt;z-index:251779072;mso-position-horizontal-relative:page" coordorigin="1810,478" coordsize="65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">
                <v:line id="Line 97" o:spid="_x0000_s1027" style="position:absolute;visibility:visible;mso-wrap-style:square" from="1810,483" to="312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" strokeweight=".48pt"/>
                <v:rect id="Rectangle 96" o:spid="_x0000_s1028" style="position:absolute;left:3125;top:47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" fillcolor="black" stroked="f"/>
                <v:line id="Line 95" o:spid="_x0000_s1029" style="position:absolute;visibility:visible;mso-wrap-style:square" from="3135,483" to="834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" strokeweight=".48pt"/>
                <w10:wrap anchorx="page"/>
              </v:group>
            </w:pict>
          </mc:Fallback>
        </mc:AlternateContent>
      </w:r>
      <w:r>
        <w:rPr>
          <w:rFonts w:ascii="Arial"/>
          <w:sz w:val="19"/>
        </w:rPr>
        <w:t>CGMP</w:t>
      </w:r>
      <w:r>
        <w:rPr>
          <w:rFonts w:ascii="Arial"/>
          <w:sz w:val="19"/>
        </w:rPr>
        <w:tab/>
      </w:r>
      <w:r>
        <w:rPr>
          <w:rFonts w:ascii="Arial"/>
          <w:w w:val="105"/>
          <w:sz w:val="19"/>
        </w:rPr>
        <w:t>Current</w:t>
      </w:r>
      <w:r>
        <w:rPr>
          <w:rFonts w:ascii="Arial"/>
          <w:spacing w:val="-40"/>
          <w:w w:val="105"/>
          <w:sz w:val="19"/>
        </w:rPr>
        <w:t xml:space="preserve"> </w:t>
      </w:r>
      <w:r>
        <w:rPr>
          <w:rFonts w:ascii="Arial"/>
          <w:w w:val="105"/>
          <w:sz w:val="19"/>
        </w:rPr>
        <w:t>Good</w:t>
      </w:r>
      <w:r>
        <w:rPr>
          <w:rFonts w:ascii="Arial"/>
          <w:spacing w:val="-41"/>
          <w:w w:val="105"/>
          <w:sz w:val="19"/>
        </w:rPr>
        <w:t xml:space="preserve"> </w:t>
      </w:r>
      <w:r>
        <w:rPr>
          <w:rFonts w:ascii="Arial"/>
          <w:w w:val="105"/>
          <w:sz w:val="19"/>
        </w:rPr>
        <w:t>Manufacturing</w:t>
      </w:r>
      <w:r>
        <w:rPr>
          <w:rFonts w:ascii="Arial"/>
          <w:spacing w:val="-40"/>
          <w:w w:val="105"/>
          <w:sz w:val="19"/>
        </w:rPr>
        <w:t xml:space="preserve"> </w:t>
      </w:r>
      <w:r>
        <w:rPr>
          <w:rFonts w:ascii="Arial"/>
          <w:w w:val="105"/>
          <w:sz w:val="19"/>
        </w:rPr>
        <w:t xml:space="preserve">Practice </w:t>
      </w:r>
      <w:r>
        <w:rPr>
          <w:rFonts w:ascii="Arial"/>
          <w:sz w:val="19"/>
        </w:rPr>
        <w:t>COGS</w:t>
      </w:r>
      <w:r>
        <w:rPr>
          <w:rFonts w:ascii="Arial"/>
          <w:sz w:val="19"/>
        </w:rPr>
        <w:tab/>
      </w:r>
      <w:r>
        <w:rPr>
          <w:rFonts w:ascii="Arial"/>
          <w:w w:val="105"/>
          <w:sz w:val="19"/>
        </w:rPr>
        <w:t>Cost of Goods</w:t>
      </w:r>
      <w:r>
        <w:rPr>
          <w:rFonts w:ascii="Arial"/>
          <w:spacing w:val="-39"/>
          <w:w w:val="105"/>
          <w:sz w:val="19"/>
        </w:rPr>
        <w:t xml:space="preserve"> </w:t>
      </w:r>
      <w:r>
        <w:rPr>
          <w:rFonts w:ascii="Arial"/>
          <w:w w:val="105"/>
          <w:sz w:val="19"/>
        </w:rPr>
        <w:t>Sold</w:t>
      </w:r>
    </w:p>
    <w:p w:rsidR="007D76BB" w:rsidRDefault="00D70D28">
      <w:pPr>
        <w:tabs>
          <w:tab w:val="left" w:pos="2013"/>
        </w:tabs>
        <w:spacing w:after="7" w:line="218" w:lineRule="exact"/>
        <w:ind w:left="698"/>
        <w:rPr>
          <w:rFonts w:ascii="Arial"/>
          <w:sz w:val="19"/>
        </w:rPr>
      </w:pPr>
      <w:r>
        <w:rPr>
          <w:rFonts w:ascii="Arial"/>
          <w:sz w:val="19"/>
        </w:rPr>
        <w:t>COR</w:t>
      </w:r>
      <w:r>
        <w:rPr>
          <w:rFonts w:ascii="Arial"/>
          <w:sz w:val="19"/>
        </w:rPr>
        <w:tab/>
        <w:t>Comparable Overseas</w:t>
      </w:r>
      <w:r>
        <w:rPr>
          <w:rFonts w:ascii="Arial"/>
          <w:spacing w:val="-20"/>
          <w:sz w:val="19"/>
        </w:rPr>
        <w:t xml:space="preserve"> </w:t>
      </w:r>
      <w:r>
        <w:rPr>
          <w:rFonts w:ascii="Arial"/>
          <w:sz w:val="19"/>
        </w:rPr>
        <w:t>Regulator</w:t>
      </w:r>
    </w:p>
    <w:p w:rsidR="007D76BB" w:rsidRDefault="00D70D28">
      <w:pPr>
        <w:pStyle w:val="BodyText"/>
        <w:spacing w:line="20" w:lineRule="exact"/>
        <w:ind w:left="585"/>
        <w:rPr>
          <w:rFonts w:ascii="Arial"/>
          <w:sz w:val="2"/>
        </w:rPr>
      </w:pPr>
      <w:r>
        <w:rPr>
          <w:rFonts w:ascii="Arial"/>
          <w:noProof/>
          <w:sz w:val="2"/>
          <w:lang w:val="en-AU" w:eastAsia="en-AU"/>
        </w:rPr>
        <mc:AlternateContent>
          <mc:Choice Requires="wpg">
            <w:drawing>
              <wp:inline distT="0" distB="0" distL="0" distR="0">
                <wp:extent cx="4149090" cy="6350"/>
                <wp:effectExtent l="12700" t="6350" r="10160" b="6350"/>
                <wp:docPr id="23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9090" cy="6350"/>
                          <a:chOff x="0" y="0"/>
                          <a:chExt cx="6534" cy="10"/>
                        </a:xfrm>
                      </wpg:grpSpPr>
                      <wps:wsp>
                        <wps:cNvPr id="235" name="Line 93"/>
                        <wps:cNvCnPr>
                          <a:cxnSpLocks noChangeShapeType="1"/>
                        </wps:cNvCnPr>
                        <wps:spPr bwMode="auto">
                          <a:xfrm>
                            <a:off x="0" y="5"/>
                            <a:ext cx="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Rectangle 92"/>
                        <wps:cNvSpPr>
                          <a:spLocks noChangeArrowheads="1"/>
                        </wps:cNvSpPr>
                        <wps:spPr bwMode="auto">
                          <a:xfrm>
                            <a:off x="1315"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Line 91"/>
                        <wps:cNvCnPr>
                          <a:cxnSpLocks noChangeShapeType="1"/>
                        </wps:cNvCnPr>
                        <wps:spPr bwMode="auto">
                          <a:xfrm>
                            <a:off x="1325" y="5"/>
                            <a:ext cx="52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73BA8E" id="Group 90" o:spid="_x0000_s1026" style="width:326.7pt;height:.5pt;mso-position-horizontal-relative:char;mso-position-vertical-relative:line" coordsize="65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">
                <v:line id="Line 93" o:spid="_x0000_s1027" style="position:absolute;visibility:visible;mso-wrap-style:square" from="0,5" to="1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" strokeweight=".48pt"/>
                <v:rect id="Rectangle 92" o:spid="_x0000_s1028" style="position:absolute;left:13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UD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MPtTDwCcn4FAAD//wMAUEsBAi0AFAAGAAgAAAAhANvh9svuAAAAhQEAABMAAAAAAAAA&#10;AAAAAAAAAAAAAFtDb250ZW50X1R5cGVzXS54bWxQSwECLQAUAAYACAAAACEAWvQsW78AAAAVAQAA&#10;CwAAAAAAAAAAAAAAAAAfAQAAX3JlbHMvLnJlbHNQSwECLQAUAAYACAAAACEApUHFA8YAAADcAAAA&#10;DwAAAAAAAAAAAAAAAAAHAgAAZHJzL2Rvd25yZXYueG1sUEsFBgAAAAADAAMAtwAAAPoCAAAAAA==&#10;" fillcolor="black" stroked="f"/>
                <v:line id="Line 91" o:spid="_x0000_s1029" style="position:absolute;visibility:visible;mso-wrap-style:square" from="1325,5" to="6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" strokeweight=".48pt"/>
                <w10:anchorlock/>
              </v:group>
            </w:pict>
          </mc:Fallback>
        </mc:AlternateContent>
      </w:r>
    </w:p>
    <w:p w:rsidR="007D76BB" w:rsidRDefault="00D70D28">
      <w:pPr>
        <w:tabs>
          <w:tab w:val="left" w:pos="2013"/>
        </w:tabs>
        <w:spacing w:before="3" w:after="11"/>
        <w:ind w:left="698"/>
        <w:rPr>
          <w:rFonts w:ascii="Arial"/>
          <w:sz w:val="19"/>
        </w:rPr>
      </w:pPr>
      <w:r>
        <w:rPr>
          <w:rFonts w:ascii="Arial"/>
          <w:sz w:val="19"/>
        </w:rPr>
        <w:t>CTD</w:t>
      </w:r>
      <w:r>
        <w:rPr>
          <w:rFonts w:ascii="Arial"/>
          <w:sz w:val="19"/>
        </w:rPr>
        <w:tab/>
        <w:t>Common Technical</w:t>
      </w:r>
      <w:r>
        <w:rPr>
          <w:rFonts w:ascii="Arial"/>
          <w:spacing w:val="-15"/>
          <w:sz w:val="19"/>
        </w:rPr>
        <w:t xml:space="preserve"> </w:t>
      </w:r>
      <w:r>
        <w:rPr>
          <w:rFonts w:ascii="Arial"/>
          <w:sz w:val="19"/>
        </w:rPr>
        <w:t>Document</w:t>
      </w:r>
    </w:p>
    <w:p w:rsidR="007D76BB" w:rsidRDefault="00D70D28">
      <w:pPr>
        <w:pStyle w:val="BodyText"/>
        <w:spacing w:line="20" w:lineRule="exact"/>
        <w:ind w:left="585"/>
        <w:rPr>
          <w:rFonts w:ascii="Arial"/>
          <w:sz w:val="2"/>
        </w:rPr>
      </w:pPr>
      <w:r>
        <w:rPr>
          <w:rFonts w:ascii="Arial"/>
          <w:noProof/>
          <w:sz w:val="2"/>
          <w:lang w:val="en-AU" w:eastAsia="en-AU"/>
        </w:rPr>
        <mc:AlternateContent>
          <mc:Choice Requires="wpg">
            <w:drawing>
              <wp:inline distT="0" distB="0" distL="0" distR="0">
                <wp:extent cx="4149090" cy="6350"/>
                <wp:effectExtent l="12700" t="4445" r="10160" b="8255"/>
                <wp:docPr id="23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9090" cy="6350"/>
                          <a:chOff x="0" y="0"/>
                          <a:chExt cx="6534" cy="10"/>
                        </a:xfrm>
                      </wpg:grpSpPr>
                      <wps:wsp>
                        <wps:cNvPr id="231" name="Line 89"/>
                        <wps:cNvCnPr>
                          <a:cxnSpLocks noChangeShapeType="1"/>
                        </wps:cNvCnPr>
                        <wps:spPr bwMode="auto">
                          <a:xfrm>
                            <a:off x="0" y="5"/>
                            <a:ext cx="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Rectangle 88"/>
                        <wps:cNvSpPr>
                          <a:spLocks noChangeArrowheads="1"/>
                        </wps:cNvSpPr>
                        <wps:spPr bwMode="auto">
                          <a:xfrm>
                            <a:off x="1315"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87"/>
                        <wps:cNvCnPr>
                          <a:cxnSpLocks noChangeShapeType="1"/>
                        </wps:cNvCnPr>
                        <wps:spPr bwMode="auto">
                          <a:xfrm>
                            <a:off x="1325" y="5"/>
                            <a:ext cx="52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A505FD" id="Group 86" o:spid="_x0000_s1026" style="width:326.7pt;height:.5pt;mso-position-horizontal-relative:char;mso-position-vertical-relative:line" coordsize="65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">
                <v:line id="Line 89" o:spid="_x0000_s1027" style="position:absolute;visibility:visible;mso-wrap-style:square" from="0,5" to="1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" strokeweight=".48pt"/>
                <v:rect id="Rectangle 88" o:spid="_x0000_s1028" style="position:absolute;left:13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MA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QQa3M/EIyOkVAAD//wMAUEsBAi0AFAAGAAgAAAAhANvh9svuAAAAhQEAABMAAAAAAAAA&#10;AAAAAAAAAAAAAFtDb250ZW50X1R5cGVzXS54bWxQSwECLQAUAAYACAAAACEAWvQsW78AAAAVAQAA&#10;CwAAAAAAAAAAAAAAAAAfAQAAX3JlbHMvLnJlbHNQSwECLQAUAAYACAAAACEA2nrDAMYAAADcAAAA&#10;DwAAAAAAAAAAAAAAAAAHAgAAZHJzL2Rvd25yZXYueG1sUEsFBgAAAAADAAMAtwAAAPoCAAAAAA==&#10;" fillcolor="black" stroked="f"/>
                <v:line id="Line 87" o:spid="_x0000_s1029" style="position:absolute;visibility:visible;mso-wrap-style:square" from="1325,5" to="6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LxQAAANwAAAAPAAAAZHJzL2Rvd25yZXYueG1sRI9PawIx&#10;FMTvgt8hPKE3zVZB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APCb+LxQAAANwAAAAP&#10;AAAAAAAAAAAAAAAAAAcCAABkcnMvZG93bnJldi54bWxQSwUGAAAAAAMAAwC3AAAA+QIAAAAA&#10;" strokeweight=".48pt"/>
                <w10:anchorlock/>
              </v:group>
            </w:pict>
          </mc:Fallback>
        </mc:AlternateContent>
      </w:r>
    </w:p>
    <w:p w:rsidR="007D76BB" w:rsidRDefault="00D70D28">
      <w:pPr>
        <w:tabs>
          <w:tab w:val="left" w:pos="2013"/>
        </w:tabs>
        <w:spacing w:before="3" w:after="8"/>
        <w:ind w:left="698"/>
        <w:rPr>
          <w:rFonts w:ascii="Arial"/>
          <w:sz w:val="19"/>
        </w:rPr>
      </w:pPr>
      <w:r>
        <w:rPr>
          <w:rFonts w:ascii="Arial"/>
          <w:sz w:val="19"/>
        </w:rPr>
        <w:t>CV</w:t>
      </w:r>
      <w:r>
        <w:rPr>
          <w:rFonts w:ascii="Arial"/>
          <w:sz w:val="19"/>
        </w:rPr>
        <w:tab/>
        <w:t>Compliance</w:t>
      </w:r>
      <w:r>
        <w:rPr>
          <w:rFonts w:ascii="Arial"/>
          <w:spacing w:val="-7"/>
          <w:sz w:val="19"/>
        </w:rPr>
        <w:t xml:space="preserve"> </w:t>
      </w:r>
      <w:r>
        <w:rPr>
          <w:rFonts w:ascii="Arial"/>
          <w:sz w:val="19"/>
        </w:rPr>
        <w:t>Verification</w:t>
      </w:r>
    </w:p>
    <w:p w:rsidR="007D76BB" w:rsidRDefault="00D70D28">
      <w:pPr>
        <w:pStyle w:val="BodyText"/>
        <w:spacing w:line="20" w:lineRule="exact"/>
        <w:ind w:left="585"/>
        <w:rPr>
          <w:rFonts w:ascii="Arial"/>
          <w:sz w:val="2"/>
        </w:rPr>
      </w:pPr>
      <w:r>
        <w:rPr>
          <w:rFonts w:ascii="Arial"/>
          <w:noProof/>
          <w:sz w:val="2"/>
          <w:lang w:val="en-AU" w:eastAsia="en-AU"/>
        </w:rPr>
        <mc:AlternateContent>
          <mc:Choice Requires="wpg">
            <w:drawing>
              <wp:inline distT="0" distB="0" distL="0" distR="0">
                <wp:extent cx="4149090" cy="6350"/>
                <wp:effectExtent l="12700" t="10160" r="10160" b="2540"/>
                <wp:docPr id="22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9090" cy="6350"/>
                          <a:chOff x="0" y="0"/>
                          <a:chExt cx="6534" cy="10"/>
                        </a:xfrm>
                      </wpg:grpSpPr>
                      <wps:wsp>
                        <wps:cNvPr id="227" name="Line 85"/>
                        <wps:cNvCnPr>
                          <a:cxnSpLocks noChangeShapeType="1"/>
                        </wps:cNvCnPr>
                        <wps:spPr bwMode="auto">
                          <a:xfrm>
                            <a:off x="0" y="5"/>
                            <a:ext cx="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Rectangle 84"/>
                        <wps:cNvSpPr>
                          <a:spLocks noChangeArrowheads="1"/>
                        </wps:cNvSpPr>
                        <wps:spPr bwMode="auto">
                          <a:xfrm>
                            <a:off x="1315"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Line 83"/>
                        <wps:cNvCnPr>
                          <a:cxnSpLocks noChangeShapeType="1"/>
                        </wps:cNvCnPr>
                        <wps:spPr bwMode="auto">
                          <a:xfrm>
                            <a:off x="1325" y="5"/>
                            <a:ext cx="52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50E266" id="Group 82" o:spid="_x0000_s1026" style="width:326.7pt;height:.5pt;mso-position-horizontal-relative:char;mso-position-vertical-relative:line" coordsize="65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">
                <v:line id="Line 85" o:spid="_x0000_s1027" style="position:absolute;visibility:visible;mso-wrap-style:square" from="0,5" to="1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" strokeweight=".48pt"/>
                <v:rect id="Rectangle 84" o:spid="_x0000_s1028" style="position:absolute;left:13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" fillcolor="black" stroked="f"/>
                <v:line id="Line 83" o:spid="_x0000_s1029" style="position:absolute;visibility:visible;mso-wrap-style:square" from="1325,5" to="6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" strokeweight=".48pt"/>
                <w10:anchorlock/>
              </v:group>
            </w:pict>
          </mc:Fallback>
        </mc:AlternateContent>
      </w:r>
    </w:p>
    <w:p w:rsidR="007D76BB" w:rsidRDefault="00D70D28">
      <w:pPr>
        <w:tabs>
          <w:tab w:val="left" w:pos="2013"/>
        </w:tabs>
        <w:spacing w:before="4" w:after="8"/>
        <w:ind w:left="698"/>
        <w:rPr>
          <w:rFonts w:ascii="Arial"/>
          <w:sz w:val="19"/>
        </w:rPr>
      </w:pPr>
      <w:proofErr w:type="spellStart"/>
      <w:proofErr w:type="gramStart"/>
      <w:r>
        <w:rPr>
          <w:rFonts w:ascii="Arial"/>
          <w:sz w:val="19"/>
        </w:rPr>
        <w:t>eBS</w:t>
      </w:r>
      <w:proofErr w:type="spellEnd"/>
      <w:proofErr w:type="gramEnd"/>
      <w:r>
        <w:rPr>
          <w:rFonts w:ascii="Arial"/>
          <w:sz w:val="19"/>
        </w:rPr>
        <w:tab/>
        <w:t>TGA Electronic Business</w:t>
      </w:r>
      <w:r>
        <w:rPr>
          <w:rFonts w:ascii="Arial"/>
          <w:spacing w:val="-23"/>
          <w:sz w:val="19"/>
        </w:rPr>
        <w:t xml:space="preserve"> </w:t>
      </w:r>
      <w:r>
        <w:rPr>
          <w:rFonts w:ascii="Arial"/>
          <w:sz w:val="19"/>
        </w:rPr>
        <w:t>Services</w:t>
      </w:r>
    </w:p>
    <w:p w:rsidR="007D76BB" w:rsidRDefault="00D70D28">
      <w:pPr>
        <w:pStyle w:val="BodyText"/>
        <w:spacing w:line="20" w:lineRule="exact"/>
        <w:ind w:left="585"/>
        <w:rPr>
          <w:rFonts w:ascii="Arial"/>
          <w:sz w:val="2"/>
        </w:rPr>
      </w:pPr>
      <w:r>
        <w:rPr>
          <w:rFonts w:ascii="Arial"/>
          <w:noProof/>
          <w:sz w:val="2"/>
          <w:lang w:val="en-AU" w:eastAsia="en-AU"/>
        </w:rPr>
        <mc:AlternateContent>
          <mc:Choice Requires="wpg">
            <w:drawing>
              <wp:inline distT="0" distB="0" distL="0" distR="0">
                <wp:extent cx="4149090" cy="6350"/>
                <wp:effectExtent l="12700" t="7620" r="10160" b="5080"/>
                <wp:docPr id="22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9090" cy="6350"/>
                          <a:chOff x="0" y="0"/>
                          <a:chExt cx="6534" cy="10"/>
                        </a:xfrm>
                      </wpg:grpSpPr>
                      <wps:wsp>
                        <wps:cNvPr id="223" name="Line 81"/>
                        <wps:cNvCnPr>
                          <a:cxnSpLocks noChangeShapeType="1"/>
                        </wps:cNvCnPr>
                        <wps:spPr bwMode="auto">
                          <a:xfrm>
                            <a:off x="0" y="5"/>
                            <a:ext cx="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Rectangle 80"/>
                        <wps:cNvSpPr>
                          <a:spLocks noChangeArrowheads="1"/>
                        </wps:cNvSpPr>
                        <wps:spPr bwMode="auto">
                          <a:xfrm>
                            <a:off x="1315"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Line 79"/>
                        <wps:cNvCnPr>
                          <a:cxnSpLocks noChangeShapeType="1"/>
                        </wps:cNvCnPr>
                        <wps:spPr bwMode="auto">
                          <a:xfrm>
                            <a:off x="1325" y="5"/>
                            <a:ext cx="52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967CE4" id="Group 78" o:spid="_x0000_s1026" style="width:326.7pt;height:.5pt;mso-position-horizontal-relative:char;mso-position-vertical-relative:line" coordsize="65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">
                <v:line id="Line 81" o:spid="_x0000_s1027" style="position:absolute;visibility:visible;mso-wrap-style:square" from="0,5" to="1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" strokeweight=".48pt"/>
                <v:rect id="Rectangle 80" o:spid="_x0000_s1028" style="position:absolute;left:13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" fillcolor="black" stroked="f"/>
                <v:line id="Line 79" o:spid="_x0000_s1029" style="position:absolute;visibility:visible;mso-wrap-style:square" from="1325,5" to="6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" strokeweight=".48pt"/>
                <w10:anchorlock/>
              </v:group>
            </w:pict>
          </mc:Fallback>
        </mc:AlternateContent>
      </w:r>
    </w:p>
    <w:p w:rsidR="007D76BB" w:rsidRDefault="00D70D28">
      <w:pPr>
        <w:tabs>
          <w:tab w:val="left" w:pos="2013"/>
        </w:tabs>
        <w:spacing w:before="6" w:after="8"/>
        <w:ind w:left="698"/>
        <w:rPr>
          <w:rFonts w:ascii="Arial"/>
          <w:sz w:val="19"/>
        </w:rPr>
      </w:pPr>
      <w:r>
        <w:rPr>
          <w:rFonts w:ascii="Arial"/>
          <w:w w:val="105"/>
          <w:sz w:val="19"/>
        </w:rPr>
        <w:t>ES</w:t>
      </w:r>
      <w:r>
        <w:rPr>
          <w:rFonts w:ascii="Arial"/>
          <w:w w:val="105"/>
          <w:sz w:val="19"/>
        </w:rPr>
        <w:tab/>
        <w:t>Elite</w:t>
      </w:r>
      <w:r>
        <w:rPr>
          <w:rFonts w:ascii="Arial"/>
          <w:spacing w:val="-11"/>
          <w:w w:val="105"/>
          <w:sz w:val="19"/>
        </w:rPr>
        <w:t xml:space="preserve"> </w:t>
      </w:r>
      <w:r>
        <w:rPr>
          <w:rFonts w:ascii="Arial"/>
          <w:w w:val="105"/>
          <w:sz w:val="19"/>
        </w:rPr>
        <w:t>Supplements</w:t>
      </w:r>
    </w:p>
    <w:p w:rsidR="007D76BB" w:rsidRDefault="00D70D28">
      <w:pPr>
        <w:pStyle w:val="BodyText"/>
        <w:spacing w:line="20" w:lineRule="exact"/>
        <w:ind w:left="585"/>
        <w:rPr>
          <w:rFonts w:ascii="Arial"/>
          <w:sz w:val="2"/>
        </w:rPr>
      </w:pPr>
      <w:r>
        <w:rPr>
          <w:rFonts w:ascii="Arial"/>
          <w:noProof/>
          <w:sz w:val="2"/>
          <w:lang w:val="en-AU" w:eastAsia="en-AU"/>
        </w:rPr>
        <mc:AlternateContent>
          <mc:Choice Requires="wpg">
            <w:drawing>
              <wp:inline distT="0" distB="0" distL="0" distR="0">
                <wp:extent cx="4149090" cy="6350"/>
                <wp:effectExtent l="12700" t="5715" r="10160" b="6985"/>
                <wp:docPr id="21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9090" cy="6350"/>
                          <a:chOff x="0" y="0"/>
                          <a:chExt cx="6534" cy="10"/>
                        </a:xfrm>
                      </wpg:grpSpPr>
                      <wps:wsp>
                        <wps:cNvPr id="219" name="Line 77"/>
                        <wps:cNvCnPr>
                          <a:cxnSpLocks noChangeShapeType="1"/>
                        </wps:cNvCnPr>
                        <wps:spPr bwMode="auto">
                          <a:xfrm>
                            <a:off x="0" y="5"/>
                            <a:ext cx="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Rectangle 76"/>
                        <wps:cNvSpPr>
                          <a:spLocks noChangeArrowheads="1"/>
                        </wps:cNvSpPr>
                        <wps:spPr bwMode="auto">
                          <a:xfrm>
                            <a:off x="1315"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Line 75"/>
                        <wps:cNvCnPr>
                          <a:cxnSpLocks noChangeShapeType="1"/>
                        </wps:cNvCnPr>
                        <wps:spPr bwMode="auto">
                          <a:xfrm>
                            <a:off x="1325" y="5"/>
                            <a:ext cx="52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71BDFE" id="Group 74" o:spid="_x0000_s1026" style="width:326.7pt;height:.5pt;mso-position-horizontal-relative:char;mso-position-vertical-relative:line" coordsize="65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">
                <v:line id="Line 77" o:spid="_x0000_s1027" style="position:absolute;visibility:visible;mso-wrap-style:square" from="0,5" to="1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" strokeweight=".48pt"/>
                <v:rect id="Rectangle 76" o:spid="_x0000_s1028" style="position:absolute;left:13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" fillcolor="black" stroked="f"/>
                <v:line id="Line 75" o:spid="_x0000_s1029" style="position:absolute;visibility:visible;mso-wrap-style:square" from="1325,5" to="6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" strokeweight=".48pt"/>
                <w10:anchorlock/>
              </v:group>
            </w:pict>
          </mc:Fallback>
        </mc:AlternateContent>
      </w:r>
    </w:p>
    <w:p w:rsidR="007D76BB" w:rsidRDefault="00D70D28">
      <w:pPr>
        <w:tabs>
          <w:tab w:val="left" w:pos="2013"/>
        </w:tabs>
        <w:spacing w:before="3" w:after="8"/>
        <w:ind w:left="698"/>
        <w:rPr>
          <w:rFonts w:ascii="Arial"/>
          <w:sz w:val="19"/>
        </w:rPr>
      </w:pPr>
      <w:r>
        <w:rPr>
          <w:rFonts w:ascii="Arial"/>
          <w:w w:val="105"/>
          <w:sz w:val="19"/>
        </w:rPr>
        <w:t>FDA</w:t>
      </w:r>
      <w:r>
        <w:rPr>
          <w:rFonts w:ascii="Arial"/>
          <w:w w:val="105"/>
          <w:sz w:val="19"/>
        </w:rPr>
        <w:tab/>
        <w:t>Food and Drug</w:t>
      </w:r>
      <w:r>
        <w:rPr>
          <w:rFonts w:ascii="Arial"/>
          <w:spacing w:val="-35"/>
          <w:w w:val="105"/>
          <w:sz w:val="19"/>
        </w:rPr>
        <w:t xml:space="preserve"> </w:t>
      </w:r>
      <w:r>
        <w:rPr>
          <w:rFonts w:ascii="Arial"/>
          <w:w w:val="105"/>
          <w:sz w:val="19"/>
        </w:rPr>
        <w:t>Administration</w:t>
      </w:r>
    </w:p>
    <w:p w:rsidR="007D76BB" w:rsidRDefault="00D70D28">
      <w:pPr>
        <w:pStyle w:val="BodyText"/>
        <w:spacing w:line="20" w:lineRule="exact"/>
        <w:ind w:left="585"/>
        <w:rPr>
          <w:rFonts w:ascii="Arial"/>
          <w:sz w:val="2"/>
        </w:rPr>
      </w:pPr>
      <w:r>
        <w:rPr>
          <w:rFonts w:ascii="Arial"/>
          <w:noProof/>
          <w:sz w:val="2"/>
          <w:lang w:val="en-AU" w:eastAsia="en-AU"/>
        </w:rPr>
        <mc:AlternateContent>
          <mc:Choice Requires="wpg">
            <w:drawing>
              <wp:inline distT="0" distB="0" distL="0" distR="0">
                <wp:extent cx="4149090" cy="6350"/>
                <wp:effectExtent l="12700" t="2540" r="10160" b="10160"/>
                <wp:docPr id="21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9090" cy="6350"/>
                          <a:chOff x="0" y="0"/>
                          <a:chExt cx="6534" cy="10"/>
                        </a:xfrm>
                      </wpg:grpSpPr>
                      <wps:wsp>
                        <wps:cNvPr id="215" name="Line 73"/>
                        <wps:cNvCnPr>
                          <a:cxnSpLocks noChangeShapeType="1"/>
                        </wps:cNvCnPr>
                        <wps:spPr bwMode="auto">
                          <a:xfrm>
                            <a:off x="0" y="5"/>
                            <a:ext cx="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Rectangle 72"/>
                        <wps:cNvSpPr>
                          <a:spLocks noChangeArrowheads="1"/>
                        </wps:cNvSpPr>
                        <wps:spPr bwMode="auto">
                          <a:xfrm>
                            <a:off x="1315"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Line 71"/>
                        <wps:cNvCnPr>
                          <a:cxnSpLocks noChangeShapeType="1"/>
                        </wps:cNvCnPr>
                        <wps:spPr bwMode="auto">
                          <a:xfrm>
                            <a:off x="1325" y="5"/>
                            <a:ext cx="52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2BB246" id="Group 70" o:spid="_x0000_s1026" style="width:326.7pt;height:.5pt;mso-position-horizontal-relative:char;mso-position-vertical-relative:line" coordsize="65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">
                <v:line id="Line 73" o:spid="_x0000_s1027" style="position:absolute;visibility:visible;mso-wrap-style:square" from="0,5" to="1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4ExAAAANwAAAAPAAAAZHJzL2Rvd25yZXYueG1sRI9BawIx&#10;FITvBf9DeEJvNavQ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KQZ3gTEAAAA3AAAAA8A&#10;AAAAAAAAAAAAAAAABwIAAGRycy9kb3ducmV2LnhtbFBLBQYAAAAAAwADALcAAAD4AgAAAAA=&#10;" strokeweight=".48pt"/>
                <v:rect id="Rectangle 72" o:spid="_x0000_s1028" style="position:absolute;left:13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" fillcolor="black" stroked="f"/>
                <v:line id="Line 71" o:spid="_x0000_s1029" style="position:absolute;visibility:visible;mso-wrap-style:square" from="1325,5" to="6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" strokeweight=".48pt"/>
                <w10:anchorlock/>
              </v:group>
            </w:pict>
          </mc:Fallback>
        </mc:AlternateContent>
      </w:r>
    </w:p>
    <w:p w:rsidR="007D76BB" w:rsidRDefault="00D70D28">
      <w:pPr>
        <w:tabs>
          <w:tab w:val="left" w:pos="2013"/>
        </w:tabs>
        <w:spacing w:before="3" w:after="11"/>
        <w:ind w:left="698"/>
        <w:rPr>
          <w:rFonts w:ascii="Arial"/>
          <w:sz w:val="19"/>
        </w:rPr>
      </w:pPr>
      <w:r>
        <w:rPr>
          <w:rFonts w:ascii="Arial"/>
          <w:sz w:val="19"/>
        </w:rPr>
        <w:t>FMI</w:t>
      </w:r>
      <w:r>
        <w:rPr>
          <w:rFonts w:ascii="Arial"/>
          <w:sz w:val="19"/>
        </w:rPr>
        <w:tab/>
        <w:t>Food-Medicine</w:t>
      </w:r>
      <w:r>
        <w:rPr>
          <w:rFonts w:ascii="Arial"/>
          <w:spacing w:val="-7"/>
          <w:sz w:val="19"/>
        </w:rPr>
        <w:t xml:space="preserve"> </w:t>
      </w:r>
      <w:r>
        <w:rPr>
          <w:rFonts w:ascii="Arial"/>
          <w:sz w:val="19"/>
        </w:rPr>
        <w:t>Interface</w:t>
      </w:r>
    </w:p>
    <w:p w:rsidR="007D76BB" w:rsidRDefault="00D70D28">
      <w:pPr>
        <w:pStyle w:val="BodyText"/>
        <w:spacing w:line="20" w:lineRule="exact"/>
        <w:ind w:left="585"/>
        <w:rPr>
          <w:rFonts w:ascii="Arial"/>
          <w:sz w:val="2"/>
        </w:rPr>
      </w:pPr>
      <w:r>
        <w:rPr>
          <w:rFonts w:ascii="Arial"/>
          <w:noProof/>
          <w:sz w:val="2"/>
          <w:lang w:val="en-AU" w:eastAsia="en-AU"/>
        </w:rPr>
        <mc:AlternateContent>
          <mc:Choice Requires="wpg">
            <w:drawing>
              <wp:inline distT="0" distB="0" distL="0" distR="0">
                <wp:extent cx="4149090" cy="6350"/>
                <wp:effectExtent l="12700" t="10160" r="10160" b="2540"/>
                <wp:docPr id="21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9090" cy="6350"/>
                          <a:chOff x="0" y="0"/>
                          <a:chExt cx="6534" cy="10"/>
                        </a:xfrm>
                      </wpg:grpSpPr>
                      <wps:wsp>
                        <wps:cNvPr id="211" name="Line 69"/>
                        <wps:cNvCnPr>
                          <a:cxnSpLocks noChangeShapeType="1"/>
                        </wps:cNvCnPr>
                        <wps:spPr bwMode="auto">
                          <a:xfrm>
                            <a:off x="0" y="5"/>
                            <a:ext cx="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Rectangle 68"/>
                        <wps:cNvSpPr>
                          <a:spLocks noChangeArrowheads="1"/>
                        </wps:cNvSpPr>
                        <wps:spPr bwMode="auto">
                          <a:xfrm>
                            <a:off x="1315"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Line 67"/>
                        <wps:cNvCnPr>
                          <a:cxnSpLocks noChangeShapeType="1"/>
                        </wps:cNvCnPr>
                        <wps:spPr bwMode="auto">
                          <a:xfrm>
                            <a:off x="1325" y="5"/>
                            <a:ext cx="52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9AE909" id="Group 66" o:spid="_x0000_s1026" style="width:326.7pt;height:.5pt;mso-position-horizontal-relative:char;mso-position-vertical-relative:line" coordsize="65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">
                <v:line id="Line 69" o:spid="_x0000_s1027" style="position:absolute;visibility:visible;mso-wrap-style:square" from="0,5" to="1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" strokeweight=".48pt"/>
                <v:rect id="Rectangle 68" o:spid="_x0000_s1028" style="position:absolute;left:13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" fillcolor="black" stroked="f"/>
                <v:line id="Line 67" o:spid="_x0000_s1029" style="position:absolute;visibility:visible;mso-wrap-style:square" from="1325,5" to="6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PrxAAAANwAAAAPAAAAZHJzL2Rvd25yZXYueG1sRI9BawIx&#10;FITvBf9DeEJvNauF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ES84+vEAAAA3AAAAA8A&#10;AAAAAAAAAAAAAAAABwIAAGRycy9kb3ducmV2LnhtbFBLBQYAAAAAAwADALcAAAD4AgAAAAA=&#10;" strokeweight=".48pt"/>
                <w10:anchorlock/>
              </v:group>
            </w:pict>
          </mc:Fallback>
        </mc:AlternateContent>
      </w:r>
    </w:p>
    <w:p w:rsidR="007D76BB" w:rsidRDefault="00D70D28">
      <w:pPr>
        <w:tabs>
          <w:tab w:val="left" w:pos="2013"/>
        </w:tabs>
        <w:spacing w:before="3" w:line="273" w:lineRule="auto"/>
        <w:ind w:left="698" w:right="4189"/>
        <w:rPr>
          <w:rFonts w:ascii="Arial"/>
          <w:sz w:val="19"/>
        </w:rPr>
      </w:pPr>
      <w:r>
        <w:rPr>
          <w:noProof/>
          <w:lang w:val="en-AU" w:eastAsia="en-AU"/>
        </w:rPr>
        <mc:AlternateContent>
          <mc:Choice Requires="wpg">
            <w:drawing>
              <wp:anchor distT="0" distB="0" distL="114300" distR="114300" simplePos="0" relativeHeight="242193408" behindDoc="1" locked="0" layoutInCell="1" allowOverlap="1">
                <wp:simplePos x="0" y="0"/>
                <wp:positionH relativeFrom="page">
                  <wp:posOffset>1149350</wp:posOffset>
                </wp:positionH>
                <wp:positionV relativeFrom="paragraph">
                  <wp:posOffset>145415</wp:posOffset>
                </wp:positionV>
                <wp:extent cx="4149090" cy="6350"/>
                <wp:effectExtent l="0" t="0" r="0" b="0"/>
                <wp:wrapNone/>
                <wp:docPr id="20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9090" cy="6350"/>
                          <a:chOff x="1810" y="229"/>
                          <a:chExt cx="6534" cy="10"/>
                        </a:xfrm>
                      </wpg:grpSpPr>
                      <wps:wsp>
                        <wps:cNvPr id="207" name="Line 65"/>
                        <wps:cNvCnPr>
                          <a:cxnSpLocks noChangeShapeType="1"/>
                        </wps:cNvCnPr>
                        <wps:spPr bwMode="auto">
                          <a:xfrm>
                            <a:off x="1810" y="234"/>
                            <a:ext cx="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Rectangle 64"/>
                        <wps:cNvSpPr>
                          <a:spLocks noChangeArrowheads="1"/>
                        </wps:cNvSpPr>
                        <wps:spPr bwMode="auto">
                          <a:xfrm>
                            <a:off x="3125" y="2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Line 63"/>
                        <wps:cNvCnPr>
                          <a:cxnSpLocks noChangeShapeType="1"/>
                        </wps:cNvCnPr>
                        <wps:spPr bwMode="auto">
                          <a:xfrm>
                            <a:off x="3135" y="234"/>
                            <a:ext cx="52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583D36" id="Group 62" o:spid="_x0000_s1026" style="position:absolute;margin-left:90.5pt;margin-top:11.45pt;width:326.7pt;height:.5pt;z-index:-261123072;mso-position-horizontal-relative:page" coordorigin="1810,229" coordsize="65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">
                <v:line id="Line 65" o:spid="_x0000_s1027" style="position:absolute;visibility:visible;mso-wrap-style:square" from="1810,234" to="3125,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" strokeweight=".48pt"/>
                <v:rect id="Rectangle 64" o:spid="_x0000_s1028" style="position:absolute;left:3125;top:22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" fillcolor="black" stroked="f"/>
                <v:line id="Line 63" o:spid="_x0000_s1029" style="position:absolute;visibility:visible;mso-wrap-style:square" from="3135,234" to="834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" strokeweight=".48pt"/>
                <w10:wrap anchorx="page"/>
              </v:group>
            </w:pict>
          </mc:Fallback>
        </mc:AlternateContent>
      </w:r>
      <w:r>
        <w:rPr>
          <w:noProof/>
          <w:lang w:val="en-AU" w:eastAsia="en-AU"/>
        </w:rPr>
        <mc:AlternateContent>
          <mc:Choice Requires="wpg">
            <w:drawing>
              <wp:anchor distT="0" distB="0" distL="114300" distR="114300" simplePos="0" relativeHeight="251781120" behindDoc="0" locked="0" layoutInCell="1" allowOverlap="1">
                <wp:simplePos x="0" y="0"/>
                <wp:positionH relativeFrom="page">
                  <wp:posOffset>1149350</wp:posOffset>
                </wp:positionH>
                <wp:positionV relativeFrom="paragraph">
                  <wp:posOffset>304165</wp:posOffset>
                </wp:positionV>
                <wp:extent cx="4149090" cy="6350"/>
                <wp:effectExtent l="0" t="0" r="0" b="0"/>
                <wp:wrapNone/>
                <wp:docPr id="20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9090" cy="6350"/>
                          <a:chOff x="1810" y="479"/>
                          <a:chExt cx="6534" cy="10"/>
                        </a:xfrm>
                      </wpg:grpSpPr>
                      <wps:wsp>
                        <wps:cNvPr id="203" name="Line 61"/>
                        <wps:cNvCnPr>
                          <a:cxnSpLocks noChangeShapeType="1"/>
                        </wps:cNvCnPr>
                        <wps:spPr bwMode="auto">
                          <a:xfrm>
                            <a:off x="1810" y="484"/>
                            <a:ext cx="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Rectangle 60"/>
                        <wps:cNvSpPr>
                          <a:spLocks noChangeArrowheads="1"/>
                        </wps:cNvSpPr>
                        <wps:spPr bwMode="auto">
                          <a:xfrm>
                            <a:off x="3125" y="47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Line 59"/>
                        <wps:cNvCnPr>
                          <a:cxnSpLocks noChangeShapeType="1"/>
                        </wps:cNvCnPr>
                        <wps:spPr bwMode="auto">
                          <a:xfrm>
                            <a:off x="3135" y="484"/>
                            <a:ext cx="52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AE4714" id="Group 58" o:spid="_x0000_s1026" style="position:absolute;margin-left:90.5pt;margin-top:23.95pt;width:326.7pt;height:.5pt;z-index:251781120;mso-position-horizontal-relative:page" coordorigin="1810,479" coordsize="65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">
                <v:line id="Line 61" o:spid="_x0000_s1027" style="position:absolute;visibility:visible;mso-wrap-style:square" from="1810,484" to="3125,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U2xQAAANwAAAAPAAAAZHJzL2Rvd25yZXYueG1sRI/NasMw&#10;EITvgbyD2EJvidwUku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DBZXU2xQAAANwAAAAP&#10;AAAAAAAAAAAAAAAAAAcCAABkcnMvZG93bnJldi54bWxQSwUGAAAAAAMAAwC3AAAA+QIAAAAA&#10;" strokeweight=".48pt"/>
                <v:rect id="Rectangle 60" o:spid="_x0000_s1028" style="position:absolute;left:3125;top:47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" fillcolor="black" stroked="f"/>
                <v:line id="Line 59" o:spid="_x0000_s1029" style="position:absolute;visibility:visible;mso-wrap-style:square" from="3135,484" to="834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jZxQAAANwAAAAPAAAAZHJzL2Rvd25yZXYueG1sRI/NasMw&#10;EITvgbyD2EJvidxAk+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AhwEjZxQAAANwAAAAP&#10;AAAAAAAAAAAAAAAAAAcCAABkcnMvZG93bnJldi54bWxQSwUGAAAAAAMAAwC3AAAA+QIAAAAA&#10;" strokeweight=".48pt"/>
                <w10:wrap anchorx="page"/>
              </v:group>
            </w:pict>
          </mc:Fallback>
        </mc:AlternateContent>
      </w:r>
      <w:r>
        <w:rPr>
          <w:rFonts w:ascii="Arial"/>
          <w:w w:val="105"/>
          <w:sz w:val="19"/>
        </w:rPr>
        <w:t>FSANZ</w:t>
      </w:r>
      <w:r>
        <w:rPr>
          <w:rFonts w:ascii="Arial"/>
          <w:w w:val="105"/>
          <w:sz w:val="19"/>
        </w:rPr>
        <w:tab/>
      </w:r>
      <w:r>
        <w:rPr>
          <w:rFonts w:ascii="Arial"/>
          <w:sz w:val="19"/>
        </w:rPr>
        <w:t>Food</w:t>
      </w:r>
      <w:r>
        <w:rPr>
          <w:rFonts w:ascii="Arial"/>
          <w:spacing w:val="-10"/>
          <w:sz w:val="19"/>
        </w:rPr>
        <w:t xml:space="preserve"> </w:t>
      </w:r>
      <w:r>
        <w:rPr>
          <w:rFonts w:ascii="Arial"/>
          <w:sz w:val="19"/>
        </w:rPr>
        <w:t>Standards</w:t>
      </w:r>
      <w:r>
        <w:rPr>
          <w:rFonts w:ascii="Arial"/>
          <w:spacing w:val="-6"/>
          <w:sz w:val="19"/>
        </w:rPr>
        <w:t xml:space="preserve"> </w:t>
      </w:r>
      <w:r>
        <w:rPr>
          <w:rFonts w:ascii="Arial"/>
          <w:sz w:val="19"/>
        </w:rPr>
        <w:t>Australia</w:t>
      </w:r>
      <w:r>
        <w:rPr>
          <w:rFonts w:ascii="Arial"/>
          <w:spacing w:val="-8"/>
          <w:sz w:val="19"/>
        </w:rPr>
        <w:t xml:space="preserve"> </w:t>
      </w:r>
      <w:r>
        <w:rPr>
          <w:rFonts w:ascii="Arial"/>
          <w:sz w:val="19"/>
        </w:rPr>
        <w:t>and</w:t>
      </w:r>
      <w:r>
        <w:rPr>
          <w:rFonts w:ascii="Arial"/>
          <w:spacing w:val="-9"/>
          <w:sz w:val="19"/>
        </w:rPr>
        <w:t xml:space="preserve"> </w:t>
      </w:r>
      <w:r>
        <w:rPr>
          <w:rFonts w:ascii="Arial"/>
          <w:sz w:val="19"/>
        </w:rPr>
        <w:t>New</w:t>
      </w:r>
      <w:r>
        <w:rPr>
          <w:rFonts w:ascii="Arial"/>
          <w:spacing w:val="-7"/>
          <w:sz w:val="19"/>
        </w:rPr>
        <w:t xml:space="preserve"> </w:t>
      </w:r>
      <w:r>
        <w:rPr>
          <w:rFonts w:ascii="Arial"/>
          <w:sz w:val="19"/>
        </w:rPr>
        <w:t xml:space="preserve">Zealand </w:t>
      </w:r>
      <w:r>
        <w:rPr>
          <w:rFonts w:ascii="Arial"/>
          <w:w w:val="105"/>
          <w:sz w:val="19"/>
        </w:rPr>
        <w:t>GMP</w:t>
      </w:r>
      <w:r>
        <w:rPr>
          <w:rFonts w:ascii="Arial"/>
          <w:w w:val="105"/>
          <w:sz w:val="19"/>
        </w:rPr>
        <w:tab/>
        <w:t>Good Manufacturing</w:t>
      </w:r>
      <w:r>
        <w:rPr>
          <w:rFonts w:ascii="Arial"/>
          <w:spacing w:val="-28"/>
          <w:w w:val="105"/>
          <w:sz w:val="19"/>
        </w:rPr>
        <w:t xml:space="preserve"> </w:t>
      </w:r>
      <w:r>
        <w:rPr>
          <w:rFonts w:ascii="Arial"/>
          <w:w w:val="105"/>
          <w:sz w:val="19"/>
        </w:rPr>
        <w:t>Practice</w:t>
      </w:r>
    </w:p>
    <w:p w:rsidR="007D76BB" w:rsidRDefault="00D70D28">
      <w:pPr>
        <w:tabs>
          <w:tab w:val="left" w:pos="2013"/>
        </w:tabs>
        <w:spacing w:before="1" w:line="276" w:lineRule="auto"/>
        <w:ind w:left="698" w:right="4378"/>
        <w:rPr>
          <w:rFonts w:ascii="Arial"/>
          <w:sz w:val="19"/>
        </w:rPr>
      </w:pPr>
      <w:r>
        <w:rPr>
          <w:noProof/>
          <w:lang w:val="en-AU" w:eastAsia="en-AU"/>
        </w:rPr>
        <mc:AlternateContent>
          <mc:Choice Requires="wpg">
            <w:drawing>
              <wp:anchor distT="0" distB="0" distL="114300" distR="114300" simplePos="0" relativeHeight="242195456" behindDoc="1" locked="0" layoutInCell="1" allowOverlap="1">
                <wp:simplePos x="0" y="0"/>
                <wp:positionH relativeFrom="page">
                  <wp:posOffset>1149350</wp:posOffset>
                </wp:positionH>
                <wp:positionV relativeFrom="paragraph">
                  <wp:posOffset>146050</wp:posOffset>
                </wp:positionV>
                <wp:extent cx="4149090" cy="6350"/>
                <wp:effectExtent l="0" t="0" r="0" b="0"/>
                <wp:wrapNone/>
                <wp:docPr id="19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9090" cy="6350"/>
                          <a:chOff x="1810" y="230"/>
                          <a:chExt cx="6534" cy="10"/>
                        </a:xfrm>
                      </wpg:grpSpPr>
                      <wps:wsp>
                        <wps:cNvPr id="199" name="Line 57"/>
                        <wps:cNvCnPr>
                          <a:cxnSpLocks noChangeShapeType="1"/>
                        </wps:cNvCnPr>
                        <wps:spPr bwMode="auto">
                          <a:xfrm>
                            <a:off x="1810" y="234"/>
                            <a:ext cx="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Rectangle 56"/>
                        <wps:cNvSpPr>
                          <a:spLocks noChangeArrowheads="1"/>
                        </wps:cNvSpPr>
                        <wps:spPr bwMode="auto">
                          <a:xfrm>
                            <a:off x="3125" y="2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Line 55"/>
                        <wps:cNvCnPr>
                          <a:cxnSpLocks noChangeShapeType="1"/>
                        </wps:cNvCnPr>
                        <wps:spPr bwMode="auto">
                          <a:xfrm>
                            <a:off x="3135" y="234"/>
                            <a:ext cx="52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90E4BD" id="Group 54" o:spid="_x0000_s1026" style="position:absolute;margin-left:90.5pt;margin-top:11.5pt;width:326.7pt;height:.5pt;z-index:-261121024;mso-position-horizontal-relative:page" coordorigin="1810,230" coordsize="65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">
                <v:line id="Line 57" o:spid="_x0000_s1027" style="position:absolute;visibility:visible;mso-wrap-style:square" from="1810,234" to="3125,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" strokeweight=".48pt"/>
                <v:rect id="Rectangle 56" o:spid="_x0000_s1028" style="position:absolute;left:3125;top:22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" fillcolor="black" stroked="f"/>
                <v:line id="Line 55" o:spid="_x0000_s1029" style="position:absolute;visibility:visible;mso-wrap-style:square" from="3135,234" to="834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" strokeweight=".48pt"/>
                <w10:wrap anchorx="page"/>
              </v:group>
            </w:pict>
          </mc:Fallback>
        </mc:AlternateContent>
      </w:r>
      <w:r>
        <w:rPr>
          <w:noProof/>
          <w:lang w:val="en-AU" w:eastAsia="en-AU"/>
        </w:rPr>
        <mc:AlternateContent>
          <mc:Choice Requires="wpg">
            <w:drawing>
              <wp:anchor distT="0" distB="0" distL="114300" distR="114300" simplePos="0" relativeHeight="242196480" behindDoc="1" locked="0" layoutInCell="1" allowOverlap="1">
                <wp:simplePos x="0" y="0"/>
                <wp:positionH relativeFrom="page">
                  <wp:posOffset>1149350</wp:posOffset>
                </wp:positionH>
                <wp:positionV relativeFrom="paragraph">
                  <wp:posOffset>304165</wp:posOffset>
                </wp:positionV>
                <wp:extent cx="4149090" cy="6350"/>
                <wp:effectExtent l="0" t="0" r="0" b="0"/>
                <wp:wrapNone/>
                <wp:docPr id="19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9090" cy="6350"/>
                          <a:chOff x="1810" y="479"/>
                          <a:chExt cx="6534" cy="10"/>
                        </a:xfrm>
                      </wpg:grpSpPr>
                      <wps:wsp>
                        <wps:cNvPr id="195" name="Line 53"/>
                        <wps:cNvCnPr>
                          <a:cxnSpLocks noChangeShapeType="1"/>
                        </wps:cNvCnPr>
                        <wps:spPr bwMode="auto">
                          <a:xfrm>
                            <a:off x="1810" y="484"/>
                            <a:ext cx="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Rectangle 52"/>
                        <wps:cNvSpPr>
                          <a:spLocks noChangeArrowheads="1"/>
                        </wps:cNvSpPr>
                        <wps:spPr bwMode="auto">
                          <a:xfrm>
                            <a:off x="3125" y="47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Line 51"/>
                        <wps:cNvCnPr>
                          <a:cxnSpLocks noChangeShapeType="1"/>
                        </wps:cNvCnPr>
                        <wps:spPr bwMode="auto">
                          <a:xfrm>
                            <a:off x="3135" y="484"/>
                            <a:ext cx="52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A74BA7" id="Group 50" o:spid="_x0000_s1026" style="position:absolute;margin-left:90.5pt;margin-top:23.95pt;width:326.7pt;height:.5pt;z-index:-261120000;mso-position-horizontal-relative:page" coordorigin="1810,479" coordsize="65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">
                <v:line id="Line 53" o:spid="_x0000_s1027" style="position:absolute;visibility:visible;mso-wrap-style:square" from="1810,484" to="3125,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7wiwgAAANwAAAAPAAAAZHJzL2Rvd25yZXYueG1sRE/fa8Iw&#10;EH4X/B/CCb5puoG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AS77wiwgAAANwAAAAPAAAA&#10;AAAAAAAAAAAAAAcCAABkcnMvZG93bnJldi54bWxQSwUGAAAAAAMAAwC3AAAA9gIAAAAA&#10;" strokeweight=".48pt"/>
                <v:rect id="Rectangle 52" o:spid="_x0000_s1028" style="position:absolute;left:3125;top:47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" fillcolor="black" stroked="f"/>
                <v:line id="Line 51" o:spid="_x0000_s1029" style="position:absolute;visibility:visible;mso-wrap-style:square" from="3135,484" to="834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" strokeweight=".48pt"/>
                <w10:wrap anchorx="page"/>
              </v:group>
            </w:pict>
          </mc:Fallback>
        </mc:AlternateContent>
      </w:r>
      <w:r>
        <w:rPr>
          <w:noProof/>
          <w:lang w:val="en-AU" w:eastAsia="en-AU"/>
        </w:rPr>
        <mc:AlternateContent>
          <mc:Choice Requires="wpg">
            <w:drawing>
              <wp:anchor distT="0" distB="0" distL="114300" distR="114300" simplePos="0" relativeHeight="251784192" behindDoc="0" locked="0" layoutInCell="1" allowOverlap="1">
                <wp:simplePos x="0" y="0"/>
                <wp:positionH relativeFrom="page">
                  <wp:posOffset>1149350</wp:posOffset>
                </wp:positionH>
                <wp:positionV relativeFrom="paragraph">
                  <wp:posOffset>462915</wp:posOffset>
                </wp:positionV>
                <wp:extent cx="4149090" cy="6350"/>
                <wp:effectExtent l="0" t="0" r="0" b="0"/>
                <wp:wrapNone/>
                <wp:docPr id="19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9090" cy="6350"/>
                          <a:chOff x="1810" y="729"/>
                          <a:chExt cx="6534" cy="10"/>
                        </a:xfrm>
                      </wpg:grpSpPr>
                      <wps:wsp>
                        <wps:cNvPr id="191" name="Line 49"/>
                        <wps:cNvCnPr>
                          <a:cxnSpLocks noChangeShapeType="1"/>
                        </wps:cNvCnPr>
                        <wps:spPr bwMode="auto">
                          <a:xfrm>
                            <a:off x="1810" y="734"/>
                            <a:ext cx="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Rectangle 48"/>
                        <wps:cNvSpPr>
                          <a:spLocks noChangeArrowheads="1"/>
                        </wps:cNvSpPr>
                        <wps:spPr bwMode="auto">
                          <a:xfrm>
                            <a:off x="3125" y="7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47"/>
                        <wps:cNvCnPr>
                          <a:cxnSpLocks noChangeShapeType="1"/>
                        </wps:cNvCnPr>
                        <wps:spPr bwMode="auto">
                          <a:xfrm>
                            <a:off x="3135" y="734"/>
                            <a:ext cx="52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B2147A" id="Group 46" o:spid="_x0000_s1026" style="position:absolute;margin-left:90.5pt;margin-top:36.45pt;width:326.7pt;height:.5pt;z-index:251784192;mso-position-horizontal-relative:page" coordorigin="1810,729" coordsize="65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">
                <v:line id="Line 49" o:spid="_x0000_s1027" style="position:absolute;visibility:visible;mso-wrap-style:square" from="1810,734" to="3125,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" strokeweight=".48pt"/>
                <v:rect id="Rectangle 48" o:spid="_x0000_s1028" style="position:absolute;left:3125;top:72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" fillcolor="black" stroked="f"/>
                <v:line id="Line 47" o:spid="_x0000_s1029" style="position:absolute;visibility:visible;mso-wrap-style:square" from="3135,734" to="834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HNwgAAANwAAAAPAAAAZHJzL2Rvd25yZXYueG1sRE/fa8Iw&#10;EH4X/B/CCb5pugm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DySoHNwgAAANwAAAAPAAAA&#10;AAAAAAAAAAAAAAcCAABkcnMvZG93bnJldi54bWxQSwUGAAAAAAMAAwC3AAAA9gIAAAAA&#10;" strokeweight=".48pt"/>
                <w10:wrap anchorx="page"/>
              </v:group>
            </w:pict>
          </mc:Fallback>
        </mc:AlternateContent>
      </w:r>
      <w:r>
        <w:rPr>
          <w:rFonts w:ascii="Arial"/>
          <w:sz w:val="19"/>
        </w:rPr>
        <w:t>HACCP</w:t>
      </w:r>
      <w:r>
        <w:rPr>
          <w:rFonts w:ascii="Arial"/>
          <w:sz w:val="19"/>
        </w:rPr>
        <w:tab/>
      </w:r>
      <w:r>
        <w:rPr>
          <w:rFonts w:ascii="Arial"/>
          <w:w w:val="105"/>
          <w:sz w:val="19"/>
        </w:rPr>
        <w:t>Hazard Analysis Critical Control Point HVAC</w:t>
      </w:r>
      <w:r>
        <w:rPr>
          <w:rFonts w:ascii="Arial"/>
          <w:w w:val="105"/>
          <w:sz w:val="19"/>
        </w:rPr>
        <w:tab/>
        <w:t>Heating,</w:t>
      </w:r>
      <w:r>
        <w:rPr>
          <w:rFonts w:ascii="Arial"/>
          <w:spacing w:val="-28"/>
          <w:w w:val="105"/>
          <w:sz w:val="19"/>
        </w:rPr>
        <w:t xml:space="preserve"> </w:t>
      </w:r>
      <w:r>
        <w:rPr>
          <w:rFonts w:ascii="Arial"/>
          <w:w w:val="105"/>
          <w:sz w:val="19"/>
        </w:rPr>
        <w:t>Ventilation</w:t>
      </w:r>
      <w:r>
        <w:rPr>
          <w:rFonts w:ascii="Arial"/>
          <w:spacing w:val="-29"/>
          <w:w w:val="105"/>
          <w:sz w:val="19"/>
        </w:rPr>
        <w:t xml:space="preserve"> </w:t>
      </w:r>
      <w:r>
        <w:rPr>
          <w:rFonts w:ascii="Arial"/>
          <w:w w:val="105"/>
          <w:sz w:val="19"/>
        </w:rPr>
        <w:t>and</w:t>
      </w:r>
      <w:r>
        <w:rPr>
          <w:rFonts w:ascii="Arial"/>
          <w:spacing w:val="-29"/>
          <w:w w:val="105"/>
          <w:sz w:val="19"/>
        </w:rPr>
        <w:t xml:space="preserve"> </w:t>
      </w:r>
      <w:r>
        <w:rPr>
          <w:rFonts w:ascii="Arial"/>
          <w:w w:val="105"/>
          <w:sz w:val="19"/>
        </w:rPr>
        <w:t>Air</w:t>
      </w:r>
      <w:r>
        <w:rPr>
          <w:rFonts w:ascii="Arial"/>
          <w:spacing w:val="-31"/>
          <w:w w:val="105"/>
          <w:sz w:val="19"/>
        </w:rPr>
        <w:t xml:space="preserve"> </w:t>
      </w:r>
      <w:r>
        <w:rPr>
          <w:rFonts w:ascii="Arial"/>
          <w:w w:val="105"/>
          <w:sz w:val="19"/>
        </w:rPr>
        <w:t>Conditioning MRA</w:t>
      </w:r>
      <w:r>
        <w:rPr>
          <w:rFonts w:ascii="Arial"/>
          <w:w w:val="105"/>
          <w:sz w:val="19"/>
        </w:rPr>
        <w:tab/>
        <w:t>Mutual Recognition</w:t>
      </w:r>
      <w:r>
        <w:rPr>
          <w:rFonts w:ascii="Arial"/>
          <w:spacing w:val="-31"/>
          <w:w w:val="105"/>
          <w:sz w:val="19"/>
        </w:rPr>
        <w:t xml:space="preserve"> </w:t>
      </w:r>
      <w:r>
        <w:rPr>
          <w:rFonts w:ascii="Arial"/>
          <w:w w:val="105"/>
          <w:sz w:val="19"/>
        </w:rPr>
        <w:t>Agreement</w:t>
      </w:r>
    </w:p>
    <w:p w:rsidR="007D76BB" w:rsidRDefault="00D70D28">
      <w:pPr>
        <w:tabs>
          <w:tab w:val="left" w:pos="2013"/>
        </w:tabs>
        <w:spacing w:after="8"/>
        <w:ind w:left="698"/>
        <w:rPr>
          <w:rFonts w:ascii="Arial"/>
          <w:sz w:val="19"/>
        </w:rPr>
      </w:pPr>
      <w:r>
        <w:rPr>
          <w:rFonts w:ascii="Arial"/>
          <w:w w:val="105"/>
          <w:sz w:val="19"/>
        </w:rPr>
        <w:t>NW</w:t>
      </w:r>
      <w:r>
        <w:rPr>
          <w:rFonts w:ascii="Arial"/>
          <w:w w:val="105"/>
          <w:sz w:val="19"/>
        </w:rPr>
        <w:tab/>
        <w:t>Nutrition</w:t>
      </w:r>
      <w:r>
        <w:rPr>
          <w:rFonts w:ascii="Arial"/>
          <w:spacing w:val="-13"/>
          <w:w w:val="105"/>
          <w:sz w:val="19"/>
        </w:rPr>
        <w:t xml:space="preserve"> </w:t>
      </w:r>
      <w:r>
        <w:rPr>
          <w:rFonts w:ascii="Arial"/>
          <w:w w:val="105"/>
          <w:sz w:val="19"/>
        </w:rPr>
        <w:t>Warehouse</w:t>
      </w:r>
    </w:p>
    <w:p w:rsidR="007D76BB" w:rsidRDefault="00D70D28">
      <w:pPr>
        <w:pStyle w:val="BodyText"/>
        <w:spacing w:line="20" w:lineRule="exact"/>
        <w:ind w:left="585"/>
        <w:rPr>
          <w:rFonts w:ascii="Arial"/>
          <w:sz w:val="2"/>
        </w:rPr>
      </w:pPr>
      <w:r>
        <w:rPr>
          <w:rFonts w:ascii="Arial"/>
          <w:noProof/>
          <w:sz w:val="2"/>
          <w:lang w:val="en-AU" w:eastAsia="en-AU"/>
        </w:rPr>
        <mc:AlternateContent>
          <mc:Choice Requires="wpg">
            <w:drawing>
              <wp:inline distT="0" distB="0" distL="0" distR="0">
                <wp:extent cx="4149090" cy="6350"/>
                <wp:effectExtent l="12700" t="1905" r="10160" b="10795"/>
                <wp:docPr id="18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9090" cy="6350"/>
                          <a:chOff x="0" y="0"/>
                          <a:chExt cx="6534" cy="10"/>
                        </a:xfrm>
                      </wpg:grpSpPr>
                      <wps:wsp>
                        <wps:cNvPr id="187" name="Line 45"/>
                        <wps:cNvCnPr>
                          <a:cxnSpLocks noChangeShapeType="1"/>
                        </wps:cNvCnPr>
                        <wps:spPr bwMode="auto">
                          <a:xfrm>
                            <a:off x="0" y="5"/>
                            <a:ext cx="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Rectangle 44"/>
                        <wps:cNvSpPr>
                          <a:spLocks noChangeArrowheads="1"/>
                        </wps:cNvSpPr>
                        <wps:spPr bwMode="auto">
                          <a:xfrm>
                            <a:off x="1315"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Line 43"/>
                        <wps:cNvCnPr>
                          <a:cxnSpLocks noChangeShapeType="1"/>
                        </wps:cNvCnPr>
                        <wps:spPr bwMode="auto">
                          <a:xfrm>
                            <a:off x="1325" y="5"/>
                            <a:ext cx="52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4AFEC3" id="Group 42" o:spid="_x0000_s1026" style="width:326.7pt;height:.5pt;mso-position-horizontal-relative:char;mso-position-vertical-relative:line" coordsize="65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">
                <v:line id="Line 45" o:spid="_x0000_s1027" style="position:absolute;visibility:visible;mso-wrap-style:square" from="0,5" to="1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" strokeweight=".48pt"/>
                <v:rect id="Rectangle 44" o:spid="_x0000_s1028" style="position:absolute;left:13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xx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dCK8/IBHrxBwAA//8DAFBLAQItABQABgAIAAAAIQDb4fbL7gAAAIUBAAATAAAAAAAA&#10;AAAAAAAAAAAAAABbQ29udGVudF9UeXBlc10ueG1sUEsBAi0AFAAGAAgAAAAhAFr0LFu/AAAAFQEA&#10;AAsAAAAAAAAAAAAAAAAAHwEAAF9yZWxzLy5yZWxzUEsBAi0AFAAGAAgAAAAhAMMIXHHHAAAA3AAA&#10;AA8AAAAAAAAAAAAAAAAABwIAAGRycy9kb3ducmV2LnhtbFBLBQYAAAAAAwADALcAAAD7AgAAAAA=&#10;" fillcolor="black" stroked="f"/>
                <v:line id="Line 43" o:spid="_x0000_s1029" style="position:absolute;visibility:visible;mso-wrap-style:square" from="1325,5" to="6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" strokeweight=".48pt"/>
                <w10:anchorlock/>
              </v:group>
            </w:pict>
          </mc:Fallback>
        </mc:AlternateContent>
      </w:r>
    </w:p>
    <w:p w:rsidR="007D76BB" w:rsidRDefault="00D70D28">
      <w:pPr>
        <w:tabs>
          <w:tab w:val="left" w:pos="2013"/>
        </w:tabs>
        <w:spacing w:before="3" w:after="8"/>
        <w:ind w:left="698"/>
        <w:rPr>
          <w:rFonts w:ascii="Arial"/>
          <w:sz w:val="19"/>
        </w:rPr>
      </w:pPr>
      <w:r>
        <w:rPr>
          <w:rFonts w:ascii="Arial"/>
          <w:w w:val="105"/>
          <w:sz w:val="19"/>
        </w:rPr>
        <w:t>OBPR</w:t>
      </w:r>
      <w:r>
        <w:rPr>
          <w:rFonts w:ascii="Arial"/>
          <w:w w:val="105"/>
          <w:sz w:val="19"/>
        </w:rPr>
        <w:tab/>
        <w:t>Office</w:t>
      </w:r>
      <w:r>
        <w:rPr>
          <w:rFonts w:ascii="Arial"/>
          <w:spacing w:val="-11"/>
          <w:w w:val="105"/>
          <w:sz w:val="19"/>
        </w:rPr>
        <w:t xml:space="preserve"> </w:t>
      </w:r>
      <w:r>
        <w:rPr>
          <w:rFonts w:ascii="Arial"/>
          <w:w w:val="105"/>
          <w:sz w:val="19"/>
        </w:rPr>
        <w:t>of</w:t>
      </w:r>
      <w:r>
        <w:rPr>
          <w:rFonts w:ascii="Arial"/>
          <w:spacing w:val="-12"/>
          <w:w w:val="105"/>
          <w:sz w:val="19"/>
        </w:rPr>
        <w:t xml:space="preserve"> </w:t>
      </w:r>
      <w:r>
        <w:rPr>
          <w:rFonts w:ascii="Arial"/>
          <w:w w:val="105"/>
          <w:sz w:val="19"/>
        </w:rPr>
        <w:t>Best</w:t>
      </w:r>
      <w:r>
        <w:rPr>
          <w:rFonts w:ascii="Arial"/>
          <w:spacing w:val="-12"/>
          <w:w w:val="105"/>
          <w:sz w:val="19"/>
        </w:rPr>
        <w:t xml:space="preserve"> </w:t>
      </w:r>
      <w:r>
        <w:rPr>
          <w:rFonts w:ascii="Arial"/>
          <w:w w:val="105"/>
          <w:sz w:val="19"/>
        </w:rPr>
        <w:t>Practice</w:t>
      </w:r>
      <w:r>
        <w:rPr>
          <w:rFonts w:ascii="Arial"/>
          <w:spacing w:val="-11"/>
          <w:w w:val="105"/>
          <w:sz w:val="19"/>
        </w:rPr>
        <w:t xml:space="preserve"> </w:t>
      </w:r>
      <w:r>
        <w:rPr>
          <w:rFonts w:ascii="Arial"/>
          <w:w w:val="105"/>
          <w:sz w:val="19"/>
        </w:rPr>
        <w:t>Regulation</w:t>
      </w:r>
    </w:p>
    <w:p w:rsidR="007D76BB" w:rsidRDefault="00D70D28">
      <w:pPr>
        <w:pStyle w:val="BodyText"/>
        <w:spacing w:line="20" w:lineRule="exact"/>
        <w:ind w:left="585"/>
        <w:rPr>
          <w:rFonts w:ascii="Arial"/>
          <w:sz w:val="2"/>
        </w:rPr>
      </w:pPr>
      <w:r>
        <w:rPr>
          <w:rFonts w:ascii="Arial"/>
          <w:noProof/>
          <w:sz w:val="2"/>
          <w:lang w:val="en-AU" w:eastAsia="en-AU"/>
        </w:rPr>
        <mc:AlternateContent>
          <mc:Choice Requires="wpg">
            <w:drawing>
              <wp:inline distT="0" distB="0" distL="0" distR="0">
                <wp:extent cx="4149090" cy="6350"/>
                <wp:effectExtent l="12700" t="7620" r="10160" b="5080"/>
                <wp:docPr id="18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9090" cy="6350"/>
                          <a:chOff x="0" y="0"/>
                          <a:chExt cx="6534" cy="10"/>
                        </a:xfrm>
                      </wpg:grpSpPr>
                      <wps:wsp>
                        <wps:cNvPr id="183" name="Line 41"/>
                        <wps:cNvCnPr>
                          <a:cxnSpLocks noChangeShapeType="1"/>
                        </wps:cNvCnPr>
                        <wps:spPr bwMode="auto">
                          <a:xfrm>
                            <a:off x="0" y="5"/>
                            <a:ext cx="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Rectangle 40"/>
                        <wps:cNvSpPr>
                          <a:spLocks noChangeArrowheads="1"/>
                        </wps:cNvSpPr>
                        <wps:spPr bwMode="auto">
                          <a:xfrm>
                            <a:off x="1315"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39"/>
                        <wps:cNvCnPr>
                          <a:cxnSpLocks noChangeShapeType="1"/>
                        </wps:cNvCnPr>
                        <wps:spPr bwMode="auto">
                          <a:xfrm>
                            <a:off x="1325" y="5"/>
                            <a:ext cx="52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71559D" id="Group 38" o:spid="_x0000_s1026" style="width:326.7pt;height:.5pt;mso-position-horizontal-relative:char;mso-position-vertical-relative:line" coordsize="65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">
                <v:line id="Line 41" o:spid="_x0000_s1027" style="position:absolute;visibility:visible;mso-wrap-style:square" from="0,5" to="1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xcQwgAAANwAAAAPAAAAZHJzL2Rvd25yZXYueG1sRE9LawIx&#10;EL4X/A9hBG81a4U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B3kxcQwgAAANwAAAAPAAAA&#10;AAAAAAAAAAAAAAcCAABkcnMvZG93bnJldi54bWxQSwUGAAAAAAMAAwC3AAAA9gIAAAAA&#10;" strokeweight=".48pt"/>
                <v:rect id="Rectangle 40" o:spid="_x0000_s1028" style="position:absolute;left:13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" fillcolor="black" stroked="f"/>
                <v:line id="Line 39" o:spid="_x0000_s1029" style="position:absolute;visibility:visible;mso-wrap-style:square" from="1325,5" to="6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r/wgAAANwAAAAPAAAAZHJzL2Rvd25yZXYueG1sRE9LawIx&#10;EL4X/A9hBG81a8E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CXNir/wgAAANwAAAAPAAAA&#10;AAAAAAAAAAAAAAcCAABkcnMvZG93bnJldi54bWxQSwUGAAAAAAMAAwC3AAAA9gIAAAAA&#10;" strokeweight=".48pt"/>
                <w10:anchorlock/>
              </v:group>
            </w:pict>
          </mc:Fallback>
        </mc:AlternateContent>
      </w:r>
    </w:p>
    <w:p w:rsidR="007D76BB" w:rsidRDefault="00D70D28">
      <w:pPr>
        <w:tabs>
          <w:tab w:val="left" w:pos="2013"/>
        </w:tabs>
        <w:spacing w:before="3" w:line="266" w:lineRule="auto"/>
        <w:ind w:left="2013" w:right="3660" w:hanging="1316"/>
        <w:rPr>
          <w:rFonts w:ascii="Arial"/>
          <w:sz w:val="19"/>
        </w:rPr>
      </w:pPr>
      <w:r>
        <w:rPr>
          <w:rFonts w:ascii="Arial"/>
          <w:sz w:val="19"/>
        </w:rPr>
        <w:t>PIC/S</w:t>
      </w:r>
      <w:r>
        <w:rPr>
          <w:rFonts w:ascii="Arial"/>
          <w:sz w:val="19"/>
        </w:rPr>
        <w:tab/>
        <w:t>The Pharmaceutical Inspection Convention and Pharmaceutical Inspection Co-Operation</w:t>
      </w:r>
      <w:r>
        <w:rPr>
          <w:rFonts w:ascii="Arial"/>
          <w:spacing w:val="-6"/>
          <w:sz w:val="19"/>
        </w:rPr>
        <w:t xml:space="preserve"> </w:t>
      </w:r>
      <w:r>
        <w:rPr>
          <w:rFonts w:ascii="Arial"/>
          <w:sz w:val="19"/>
        </w:rPr>
        <w:t>Scheme</w:t>
      </w:r>
    </w:p>
    <w:p w:rsidR="007D76BB" w:rsidRDefault="00D70D28">
      <w:pPr>
        <w:pStyle w:val="BodyText"/>
        <w:spacing w:line="20" w:lineRule="exact"/>
        <w:ind w:left="585"/>
        <w:rPr>
          <w:rFonts w:ascii="Arial"/>
          <w:sz w:val="2"/>
        </w:rPr>
      </w:pPr>
      <w:r>
        <w:rPr>
          <w:rFonts w:ascii="Arial"/>
          <w:noProof/>
          <w:sz w:val="2"/>
          <w:lang w:val="en-AU" w:eastAsia="en-AU"/>
        </w:rPr>
        <mc:AlternateContent>
          <mc:Choice Requires="wpg">
            <w:drawing>
              <wp:inline distT="0" distB="0" distL="0" distR="0">
                <wp:extent cx="4149090" cy="6350"/>
                <wp:effectExtent l="12700" t="5715" r="10160" b="6985"/>
                <wp:docPr id="17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9090" cy="6350"/>
                          <a:chOff x="0" y="0"/>
                          <a:chExt cx="6534" cy="10"/>
                        </a:xfrm>
                      </wpg:grpSpPr>
                      <wps:wsp>
                        <wps:cNvPr id="179" name="Line 37"/>
                        <wps:cNvCnPr>
                          <a:cxnSpLocks noChangeShapeType="1"/>
                        </wps:cNvCnPr>
                        <wps:spPr bwMode="auto">
                          <a:xfrm>
                            <a:off x="0" y="5"/>
                            <a:ext cx="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Rectangle 36"/>
                        <wps:cNvSpPr>
                          <a:spLocks noChangeArrowheads="1"/>
                        </wps:cNvSpPr>
                        <wps:spPr bwMode="auto">
                          <a:xfrm>
                            <a:off x="1315"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Line 35"/>
                        <wps:cNvCnPr>
                          <a:cxnSpLocks noChangeShapeType="1"/>
                        </wps:cNvCnPr>
                        <wps:spPr bwMode="auto">
                          <a:xfrm>
                            <a:off x="1325" y="5"/>
                            <a:ext cx="52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00E188" id="Group 34" o:spid="_x0000_s1026" style="width:326.7pt;height:.5pt;mso-position-horizontal-relative:char;mso-position-vertical-relative:line" coordsize="65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">
                <v:line id="Line 37" o:spid="_x0000_s1027" style="position:absolute;visibility:visible;mso-wrap-style:square" from="0,5" to="1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" strokeweight=".48pt"/>
                <v:rect id="Rectangle 36" o:spid="_x0000_s1028" style="position:absolute;left:13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B3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eCL8/IBHrxBwAA//8DAFBLAQItABQABgAIAAAAIQDb4fbL7gAAAIUBAAATAAAAAAAA&#10;AAAAAAAAAAAAAABbQ29udGVudF9UeXBlc10ueG1sUEsBAi0AFAAGAAgAAAAhAFr0LFu/AAAAFQEA&#10;AAsAAAAAAAAAAAAAAAAAHwEAAF9yZWxzLy5yZWxzUEsBAi0AFAAGAAgAAAAhAD1+UHfHAAAA3AAA&#10;AA8AAAAAAAAAAAAAAAAABwIAAGRycy9kb3ducmV2LnhtbFBLBQYAAAAAAwADALcAAAD7AgAAAAA=&#10;" fillcolor="black" stroked="f"/>
                <v:line id="Line 35" o:spid="_x0000_s1029" style="position:absolute;visibility:visible;mso-wrap-style:square" from="1325,5" to="6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" strokeweight=".48pt"/>
                <w10:anchorlock/>
              </v:group>
            </w:pict>
          </mc:Fallback>
        </mc:AlternateContent>
      </w:r>
    </w:p>
    <w:p w:rsidR="007D76BB" w:rsidRDefault="00D70D28">
      <w:pPr>
        <w:tabs>
          <w:tab w:val="left" w:pos="2013"/>
        </w:tabs>
        <w:spacing w:line="273" w:lineRule="auto"/>
        <w:ind w:left="698" w:right="5349"/>
        <w:rPr>
          <w:rFonts w:ascii="Arial"/>
          <w:sz w:val="19"/>
        </w:rPr>
      </w:pPr>
      <w:r>
        <w:rPr>
          <w:noProof/>
          <w:lang w:val="en-AU" w:eastAsia="en-AU"/>
        </w:rPr>
        <mc:AlternateContent>
          <mc:Choice Requires="wpg">
            <w:drawing>
              <wp:anchor distT="0" distB="0" distL="114300" distR="114300" simplePos="0" relativeHeight="242198528" behindDoc="1" locked="0" layoutInCell="1" allowOverlap="1">
                <wp:simplePos x="0" y="0"/>
                <wp:positionH relativeFrom="page">
                  <wp:posOffset>1149350</wp:posOffset>
                </wp:positionH>
                <wp:positionV relativeFrom="paragraph">
                  <wp:posOffset>143510</wp:posOffset>
                </wp:positionV>
                <wp:extent cx="4149090" cy="6350"/>
                <wp:effectExtent l="0" t="0" r="0" b="0"/>
                <wp:wrapNone/>
                <wp:docPr id="17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9090" cy="6350"/>
                          <a:chOff x="1810" y="226"/>
                          <a:chExt cx="6534" cy="10"/>
                        </a:xfrm>
                      </wpg:grpSpPr>
                      <wps:wsp>
                        <wps:cNvPr id="175" name="Line 33"/>
                        <wps:cNvCnPr>
                          <a:cxnSpLocks noChangeShapeType="1"/>
                        </wps:cNvCnPr>
                        <wps:spPr bwMode="auto">
                          <a:xfrm>
                            <a:off x="1810" y="231"/>
                            <a:ext cx="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Rectangle 32"/>
                        <wps:cNvSpPr>
                          <a:spLocks noChangeArrowheads="1"/>
                        </wps:cNvSpPr>
                        <wps:spPr bwMode="auto">
                          <a:xfrm>
                            <a:off x="3125" y="2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Line 31"/>
                        <wps:cNvCnPr>
                          <a:cxnSpLocks noChangeShapeType="1"/>
                        </wps:cNvCnPr>
                        <wps:spPr bwMode="auto">
                          <a:xfrm>
                            <a:off x="3135" y="231"/>
                            <a:ext cx="52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DD027E" id="Group 30" o:spid="_x0000_s1026" style="position:absolute;margin-left:90.5pt;margin-top:11.3pt;width:326.7pt;height:.5pt;z-index:-261117952;mso-position-horizontal-relative:page" coordorigin="1810,226" coordsize="65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">
                <v:line id="Line 33" o:spid="_x0000_s1027" style="position:absolute;visibility:visible;mso-wrap-style:square" from="1810,231" to="3125,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" strokeweight=".48pt"/>
                <v:rect id="Rectangle 32" o:spid="_x0000_s1028" style="position:absolute;left:3125;top:22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" fillcolor="black" stroked="f"/>
                <v:line id="Line 31" o:spid="_x0000_s1029" style="position:absolute;visibility:visible;mso-wrap-style:square" from="3135,231" to="834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" strokeweight=".48pt"/>
                <w10:wrap anchorx="page"/>
              </v:group>
            </w:pict>
          </mc:Fallback>
        </mc:AlternateContent>
      </w:r>
      <w:r>
        <w:rPr>
          <w:rFonts w:ascii="Arial"/>
          <w:w w:val="105"/>
          <w:sz w:val="19"/>
        </w:rPr>
        <w:t>RIS</w:t>
      </w:r>
      <w:r>
        <w:rPr>
          <w:rFonts w:ascii="Arial"/>
          <w:w w:val="105"/>
          <w:sz w:val="19"/>
        </w:rPr>
        <w:tab/>
      </w:r>
      <w:r>
        <w:rPr>
          <w:rFonts w:ascii="Arial"/>
          <w:spacing w:val="-2"/>
          <w:w w:val="105"/>
          <w:sz w:val="19"/>
        </w:rPr>
        <w:t xml:space="preserve">Regulation </w:t>
      </w:r>
      <w:r>
        <w:rPr>
          <w:rFonts w:ascii="Arial"/>
          <w:spacing w:val="-1"/>
          <w:w w:val="105"/>
          <w:sz w:val="19"/>
        </w:rPr>
        <w:t>Impact</w:t>
      </w:r>
      <w:r>
        <w:rPr>
          <w:rFonts w:ascii="Arial"/>
          <w:spacing w:val="-44"/>
          <w:w w:val="105"/>
          <w:sz w:val="19"/>
        </w:rPr>
        <w:t xml:space="preserve"> </w:t>
      </w:r>
      <w:r>
        <w:rPr>
          <w:rFonts w:ascii="Arial"/>
          <w:spacing w:val="-1"/>
          <w:w w:val="105"/>
          <w:sz w:val="19"/>
        </w:rPr>
        <w:t xml:space="preserve">Statement </w:t>
      </w:r>
      <w:r>
        <w:rPr>
          <w:rFonts w:ascii="Arial"/>
          <w:w w:val="105"/>
          <w:sz w:val="19"/>
        </w:rPr>
        <w:t>TG</w:t>
      </w:r>
      <w:r>
        <w:rPr>
          <w:rFonts w:ascii="Arial"/>
          <w:spacing w:val="-21"/>
          <w:w w:val="105"/>
          <w:sz w:val="19"/>
        </w:rPr>
        <w:t xml:space="preserve"> </w:t>
      </w:r>
      <w:r>
        <w:rPr>
          <w:rFonts w:ascii="Arial"/>
          <w:w w:val="105"/>
          <w:sz w:val="19"/>
        </w:rPr>
        <w:t>Act</w:t>
      </w:r>
      <w:r>
        <w:rPr>
          <w:rFonts w:ascii="Arial"/>
          <w:w w:val="105"/>
          <w:sz w:val="19"/>
        </w:rPr>
        <w:tab/>
        <w:t>Therapeutic</w:t>
      </w:r>
      <w:r>
        <w:rPr>
          <w:rFonts w:ascii="Arial"/>
          <w:spacing w:val="-31"/>
          <w:w w:val="105"/>
          <w:sz w:val="19"/>
        </w:rPr>
        <w:t xml:space="preserve"> </w:t>
      </w:r>
      <w:r>
        <w:rPr>
          <w:rFonts w:ascii="Arial"/>
          <w:w w:val="105"/>
          <w:sz w:val="19"/>
        </w:rPr>
        <w:t>Goods</w:t>
      </w:r>
      <w:r>
        <w:rPr>
          <w:rFonts w:ascii="Arial"/>
          <w:spacing w:val="-31"/>
          <w:w w:val="105"/>
          <w:sz w:val="19"/>
        </w:rPr>
        <w:t xml:space="preserve"> </w:t>
      </w:r>
      <w:r>
        <w:rPr>
          <w:rFonts w:ascii="Arial"/>
          <w:w w:val="105"/>
          <w:sz w:val="19"/>
        </w:rPr>
        <w:t>Act</w:t>
      </w:r>
      <w:r>
        <w:rPr>
          <w:rFonts w:ascii="Arial"/>
          <w:spacing w:val="-31"/>
          <w:w w:val="105"/>
          <w:sz w:val="19"/>
        </w:rPr>
        <w:t xml:space="preserve"> </w:t>
      </w:r>
      <w:r>
        <w:rPr>
          <w:rFonts w:ascii="Arial"/>
          <w:w w:val="105"/>
          <w:sz w:val="19"/>
        </w:rPr>
        <w:t>1989</w:t>
      </w:r>
    </w:p>
    <w:p w:rsidR="007D76BB" w:rsidRDefault="00D70D28">
      <w:pPr>
        <w:pStyle w:val="BodyText"/>
        <w:spacing w:line="20" w:lineRule="exact"/>
        <w:ind w:left="585"/>
        <w:rPr>
          <w:rFonts w:ascii="Arial"/>
          <w:sz w:val="2"/>
        </w:rPr>
      </w:pPr>
      <w:r>
        <w:rPr>
          <w:rFonts w:ascii="Arial"/>
          <w:noProof/>
          <w:sz w:val="2"/>
          <w:lang w:val="en-AU" w:eastAsia="en-AU"/>
        </w:rPr>
        <mc:AlternateContent>
          <mc:Choice Requires="wpg">
            <w:drawing>
              <wp:inline distT="0" distB="0" distL="0" distR="0">
                <wp:extent cx="4149090" cy="6350"/>
                <wp:effectExtent l="12700" t="10795" r="10160" b="1905"/>
                <wp:docPr id="17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9090" cy="6350"/>
                          <a:chOff x="0" y="0"/>
                          <a:chExt cx="6534" cy="10"/>
                        </a:xfrm>
                      </wpg:grpSpPr>
                      <wps:wsp>
                        <wps:cNvPr id="171" name="Line 29"/>
                        <wps:cNvCnPr>
                          <a:cxnSpLocks noChangeShapeType="1"/>
                        </wps:cNvCnPr>
                        <wps:spPr bwMode="auto">
                          <a:xfrm>
                            <a:off x="0" y="5"/>
                            <a:ext cx="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Rectangle 28"/>
                        <wps:cNvSpPr>
                          <a:spLocks noChangeArrowheads="1"/>
                        </wps:cNvSpPr>
                        <wps:spPr bwMode="auto">
                          <a:xfrm>
                            <a:off x="1315"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Line 27"/>
                        <wps:cNvCnPr>
                          <a:cxnSpLocks noChangeShapeType="1"/>
                        </wps:cNvCnPr>
                        <wps:spPr bwMode="auto">
                          <a:xfrm>
                            <a:off x="1325" y="5"/>
                            <a:ext cx="52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28A567" id="Group 26" o:spid="_x0000_s1026" style="width:326.7pt;height:.5pt;mso-position-horizontal-relative:char;mso-position-vertical-relative:line" coordsize="65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">
                <v:line id="Line 29" o:spid="_x0000_s1027" style="position:absolute;visibility:visible;mso-wrap-style:square" from="0,5" to="1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" strokeweight=".48pt"/>
                <v:rect id="Rectangle 28" o:spid="_x0000_s1028" style="position:absolute;left:13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" fillcolor="black" stroked="f"/>
                <v:line id="Line 27" o:spid="_x0000_s1029" style="position:absolute;visibility:visible;mso-wrap-style:square" from="1325,5" to="6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" strokeweight=".48pt"/>
                <w10:anchorlock/>
              </v:group>
            </w:pict>
          </mc:Fallback>
        </mc:AlternateContent>
      </w:r>
    </w:p>
    <w:p w:rsidR="007D76BB" w:rsidRDefault="00D70D28">
      <w:pPr>
        <w:tabs>
          <w:tab w:val="left" w:pos="2013"/>
        </w:tabs>
        <w:spacing w:after="8"/>
        <w:ind w:left="698"/>
        <w:rPr>
          <w:rFonts w:ascii="Arial"/>
          <w:sz w:val="19"/>
        </w:rPr>
      </w:pPr>
      <w:r>
        <w:rPr>
          <w:rFonts w:ascii="Arial"/>
          <w:w w:val="105"/>
          <w:sz w:val="19"/>
        </w:rPr>
        <w:t>TGA</w:t>
      </w:r>
      <w:r>
        <w:rPr>
          <w:rFonts w:ascii="Arial"/>
          <w:w w:val="105"/>
          <w:sz w:val="19"/>
        </w:rPr>
        <w:tab/>
        <w:t>Therapeutic Goods</w:t>
      </w:r>
      <w:r>
        <w:rPr>
          <w:rFonts w:ascii="Arial"/>
          <w:spacing w:val="-24"/>
          <w:w w:val="105"/>
          <w:sz w:val="19"/>
        </w:rPr>
        <w:t xml:space="preserve"> </w:t>
      </w:r>
      <w:r>
        <w:rPr>
          <w:rFonts w:ascii="Arial"/>
          <w:w w:val="105"/>
          <w:sz w:val="19"/>
        </w:rPr>
        <w:t>Administration</w:t>
      </w:r>
    </w:p>
    <w:p w:rsidR="007D76BB" w:rsidRDefault="00D70D28">
      <w:pPr>
        <w:pStyle w:val="BodyText"/>
        <w:spacing w:line="20" w:lineRule="exact"/>
        <w:ind w:left="585"/>
        <w:rPr>
          <w:rFonts w:ascii="Arial"/>
          <w:sz w:val="2"/>
        </w:rPr>
      </w:pPr>
      <w:r>
        <w:rPr>
          <w:rFonts w:ascii="Arial"/>
          <w:noProof/>
          <w:sz w:val="2"/>
          <w:lang w:val="en-AU" w:eastAsia="en-AU"/>
        </w:rPr>
        <mc:AlternateContent>
          <mc:Choice Requires="wpg">
            <w:drawing>
              <wp:inline distT="0" distB="0" distL="0" distR="0">
                <wp:extent cx="4149090" cy="6350"/>
                <wp:effectExtent l="12700" t="5080" r="10160" b="7620"/>
                <wp:docPr id="16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9090" cy="6350"/>
                          <a:chOff x="0" y="0"/>
                          <a:chExt cx="6534" cy="10"/>
                        </a:xfrm>
                      </wpg:grpSpPr>
                      <wps:wsp>
                        <wps:cNvPr id="167" name="Line 25"/>
                        <wps:cNvCnPr>
                          <a:cxnSpLocks noChangeShapeType="1"/>
                        </wps:cNvCnPr>
                        <wps:spPr bwMode="auto">
                          <a:xfrm>
                            <a:off x="0" y="5"/>
                            <a:ext cx="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Rectangle 24"/>
                        <wps:cNvSpPr>
                          <a:spLocks noChangeArrowheads="1"/>
                        </wps:cNvSpPr>
                        <wps:spPr bwMode="auto">
                          <a:xfrm>
                            <a:off x="1315"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Line 23"/>
                        <wps:cNvCnPr>
                          <a:cxnSpLocks noChangeShapeType="1"/>
                        </wps:cNvCnPr>
                        <wps:spPr bwMode="auto">
                          <a:xfrm>
                            <a:off x="1325" y="5"/>
                            <a:ext cx="52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0D80F7" id="Group 22" o:spid="_x0000_s1026" style="width:326.7pt;height:.5pt;mso-position-horizontal-relative:char;mso-position-vertical-relative:line" coordsize="65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">
                <v:line id="Line 25" o:spid="_x0000_s1027" style="position:absolute;visibility:visible;mso-wrap-style:square" from="0,5" to="1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" strokeweight=".48pt"/>
                <v:rect id="Rectangle 24" o:spid="_x0000_s1028" style="position:absolute;left:13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qL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tPCMT6OUfAAAA//8DAFBLAQItABQABgAIAAAAIQDb4fbL7gAAAIUBAAATAAAAAAAA&#10;AAAAAAAAAAAAAABbQ29udGVudF9UeXBlc10ueG1sUEsBAi0AFAAGAAgAAAAhAFr0LFu/AAAAFQEA&#10;AAsAAAAAAAAAAAAAAAAAHwEAAF9yZWxzLy5yZWxzUEsBAi0AFAAGAAgAAAAhAHMEuovHAAAA3AAA&#10;AA8AAAAAAAAAAAAAAAAABwIAAGRycy9kb3ducmV2LnhtbFBLBQYAAAAAAwADALcAAAD7AgAAAAA=&#10;" fillcolor="black" stroked="f"/>
                <v:line id="Line 23" o:spid="_x0000_s1029" style="position:absolute;visibility:visible;mso-wrap-style:square" from="1325,5" to="6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" strokeweight=".48pt"/>
                <w10:anchorlock/>
              </v:group>
            </w:pict>
          </mc:Fallback>
        </mc:AlternateContent>
      </w:r>
    </w:p>
    <w:p w:rsidR="007D76BB" w:rsidRDefault="00D70D28">
      <w:pPr>
        <w:tabs>
          <w:tab w:val="left" w:pos="2013"/>
        </w:tabs>
        <w:spacing w:before="3" w:after="8"/>
        <w:ind w:left="698"/>
        <w:rPr>
          <w:rFonts w:ascii="Arial"/>
          <w:sz w:val="19"/>
        </w:rPr>
      </w:pPr>
      <w:r>
        <w:rPr>
          <w:rFonts w:ascii="Arial"/>
          <w:w w:val="105"/>
          <w:sz w:val="19"/>
        </w:rPr>
        <w:t>WADA</w:t>
      </w:r>
      <w:r>
        <w:rPr>
          <w:rFonts w:ascii="Arial"/>
          <w:w w:val="105"/>
          <w:sz w:val="19"/>
        </w:rPr>
        <w:tab/>
        <w:t>World Anti-Doping</w:t>
      </w:r>
      <w:r>
        <w:rPr>
          <w:rFonts w:ascii="Arial"/>
          <w:spacing w:val="-25"/>
          <w:w w:val="105"/>
          <w:sz w:val="19"/>
        </w:rPr>
        <w:t xml:space="preserve"> </w:t>
      </w:r>
      <w:r>
        <w:rPr>
          <w:rFonts w:ascii="Arial"/>
          <w:w w:val="105"/>
          <w:sz w:val="19"/>
        </w:rPr>
        <w:t>Agency</w:t>
      </w:r>
    </w:p>
    <w:p w:rsidR="007D76BB" w:rsidRDefault="00D70D28">
      <w:pPr>
        <w:pStyle w:val="BodyText"/>
        <w:spacing w:line="20" w:lineRule="exact"/>
        <w:ind w:left="585"/>
        <w:rPr>
          <w:rFonts w:ascii="Arial"/>
          <w:sz w:val="2"/>
        </w:rPr>
      </w:pPr>
      <w:r>
        <w:rPr>
          <w:rFonts w:ascii="Arial"/>
          <w:noProof/>
          <w:sz w:val="2"/>
          <w:lang w:val="en-AU" w:eastAsia="en-AU"/>
        </w:rPr>
        <mc:AlternateContent>
          <mc:Choice Requires="wpg">
            <w:drawing>
              <wp:inline distT="0" distB="0" distL="0" distR="0">
                <wp:extent cx="4149090" cy="6350"/>
                <wp:effectExtent l="12700" t="10795" r="10160" b="1905"/>
                <wp:docPr id="16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9090" cy="6350"/>
                          <a:chOff x="0" y="0"/>
                          <a:chExt cx="6534" cy="10"/>
                        </a:xfrm>
                      </wpg:grpSpPr>
                      <wps:wsp>
                        <wps:cNvPr id="163" name="Line 21"/>
                        <wps:cNvCnPr>
                          <a:cxnSpLocks noChangeShapeType="1"/>
                        </wps:cNvCnPr>
                        <wps:spPr bwMode="auto">
                          <a:xfrm>
                            <a:off x="0" y="5"/>
                            <a:ext cx="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Rectangle 20"/>
                        <wps:cNvSpPr>
                          <a:spLocks noChangeArrowheads="1"/>
                        </wps:cNvSpPr>
                        <wps:spPr bwMode="auto">
                          <a:xfrm>
                            <a:off x="1315"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Line 19"/>
                        <wps:cNvCnPr>
                          <a:cxnSpLocks noChangeShapeType="1"/>
                        </wps:cNvCnPr>
                        <wps:spPr bwMode="auto">
                          <a:xfrm>
                            <a:off x="1325" y="5"/>
                            <a:ext cx="52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101E54" id="Group 18" o:spid="_x0000_s1026" style="width:326.7pt;height:.5pt;mso-position-horizontal-relative:char;mso-position-vertical-relative:line" coordsize="65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">
                <v:line id="Line 21" o:spid="_x0000_s1027" style="position:absolute;visibility:visible;mso-wrap-style:square" from="0,5" to="1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qwgAAANwAAAAPAAAAZHJzL2Rvd25yZXYueG1sRE/fa8Iw&#10;EH4f+D+EG+xtpnOg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DHn/HqwgAAANwAAAAPAAAA&#10;AAAAAAAAAAAAAAcCAABkcnMvZG93bnJldi54bWxQSwUGAAAAAAMAAwC3AAAA9gIAAAAA&#10;" strokeweight=".48pt"/>
                <v:rect id="Rectangle 20" o:spid="_x0000_s1028" style="position:absolute;left:13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" fillcolor="black" stroked="f"/>
                <v:line id="Line 19" o:spid="_x0000_s1029" style="position:absolute;visibility:visible;mso-wrap-style:square" from="1325,5" to="6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wFwgAAANwAAAAPAAAAZHJzL2Rvd25yZXYueG1sRE/fa8Iw&#10;EH4f+D+EG+xtphOm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AnOswFwgAAANwAAAAPAAAA&#10;AAAAAAAAAAAAAAcCAABkcnMvZG93bnJldi54bWxQSwUGAAAAAAMAAwC3AAAA9gIAAAAA&#10;" strokeweight=".48pt"/>
                <w10:anchorlock/>
              </v:group>
            </w:pict>
          </mc:Fallback>
        </mc:AlternateContent>
      </w:r>
    </w:p>
    <w:p w:rsidR="007D76BB" w:rsidRDefault="00D70D28">
      <w:pPr>
        <w:tabs>
          <w:tab w:val="left" w:pos="2013"/>
        </w:tabs>
        <w:spacing w:before="6" w:after="8"/>
        <w:ind w:left="698"/>
        <w:rPr>
          <w:rFonts w:ascii="Arial"/>
          <w:sz w:val="19"/>
        </w:rPr>
      </w:pPr>
      <w:r>
        <w:rPr>
          <w:rFonts w:ascii="Arial"/>
          <w:w w:val="105"/>
          <w:sz w:val="19"/>
        </w:rPr>
        <w:t>WADC</w:t>
      </w:r>
      <w:r>
        <w:rPr>
          <w:rFonts w:ascii="Arial"/>
          <w:w w:val="105"/>
          <w:sz w:val="19"/>
        </w:rPr>
        <w:tab/>
        <w:t>World Anti-Doping</w:t>
      </w:r>
      <w:r>
        <w:rPr>
          <w:rFonts w:ascii="Arial"/>
          <w:spacing w:val="-23"/>
          <w:w w:val="105"/>
          <w:sz w:val="19"/>
        </w:rPr>
        <w:t xml:space="preserve"> </w:t>
      </w:r>
      <w:r>
        <w:rPr>
          <w:rFonts w:ascii="Arial"/>
          <w:w w:val="105"/>
          <w:sz w:val="19"/>
        </w:rPr>
        <w:t>Code</w:t>
      </w:r>
    </w:p>
    <w:p w:rsidR="007D76BB" w:rsidRDefault="00D70D28">
      <w:pPr>
        <w:pStyle w:val="BodyText"/>
        <w:spacing w:line="20" w:lineRule="exact"/>
        <w:ind w:left="570"/>
        <w:rPr>
          <w:rFonts w:ascii="Arial"/>
          <w:sz w:val="2"/>
        </w:rPr>
      </w:pPr>
      <w:r>
        <w:rPr>
          <w:rFonts w:ascii="Arial"/>
          <w:noProof/>
          <w:sz w:val="2"/>
          <w:lang w:val="en-AU" w:eastAsia="en-AU"/>
        </w:rPr>
        <mc:AlternateContent>
          <mc:Choice Requires="wpg">
            <w:drawing>
              <wp:inline distT="0" distB="0" distL="0" distR="0">
                <wp:extent cx="4158615" cy="6350"/>
                <wp:effectExtent l="12700" t="9525" r="10160" b="3175"/>
                <wp:docPr id="15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8615" cy="6350"/>
                          <a:chOff x="0" y="0"/>
                          <a:chExt cx="6549" cy="10"/>
                        </a:xfrm>
                      </wpg:grpSpPr>
                      <wps:wsp>
                        <wps:cNvPr id="159" name="Line 17"/>
                        <wps:cNvCnPr>
                          <a:cxnSpLocks noChangeShapeType="1"/>
                        </wps:cNvCnPr>
                        <wps:spPr bwMode="auto">
                          <a:xfrm>
                            <a:off x="0" y="5"/>
                            <a:ext cx="13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Rectangle 16"/>
                        <wps:cNvSpPr>
                          <a:spLocks noChangeArrowheads="1"/>
                        </wps:cNvSpPr>
                        <wps:spPr bwMode="auto">
                          <a:xfrm>
                            <a:off x="1315"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15"/>
                        <wps:cNvCnPr>
                          <a:cxnSpLocks noChangeShapeType="1"/>
                        </wps:cNvCnPr>
                        <wps:spPr bwMode="auto">
                          <a:xfrm>
                            <a:off x="1325" y="5"/>
                            <a:ext cx="52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457DEB" id="Group 14" o:spid="_x0000_s1026" style="width:327.45pt;height:.5pt;mso-position-horizontal-relative:char;mso-position-vertical-relative:line" coordsize="65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">
                <v:line id="Line 17" o:spid="_x0000_s1027" style="position:absolute;visibility:visible;mso-wrap-style:square" from="0,5" to="1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y9wgAAANwAAAAPAAAAZHJzL2Rvd25yZXYueG1sRE/fa8Iw&#10;EH4X/B/CCb5puoG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BoGwy9wgAAANwAAAAPAAAA&#10;AAAAAAAAAAAAAAcCAABkcnMvZG93bnJldi54bWxQSwUGAAAAAAMAAwC3AAAA9gIAAAAA&#10;" strokeweight=".48pt"/>
                <v:rect id="Rectangle 16" o:spid="_x0000_s1028" style="position:absolute;left:13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aN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PCMT6OUfAAAA//8DAFBLAQItABQABgAIAAAAIQDb4fbL7gAAAIUBAAATAAAAAAAA&#10;AAAAAAAAAAAAAABbQ29udGVudF9UeXBlc10ueG1sUEsBAi0AFAAGAAgAAAAhAFr0LFu/AAAAFQEA&#10;AAsAAAAAAAAAAAAAAAAAHwEAAF9yZWxzLy5yZWxzUEsBAi0AFAAGAAgAAAAhAI1yto3HAAAA3AAA&#10;AA8AAAAAAAAAAAAAAAAABwIAAGRycy9kb3ducmV2LnhtbFBLBQYAAAAAAwADALcAAAD7AgAAAAA=&#10;" fillcolor="black" stroked="f"/>
                <v:line id="Line 15" o:spid="_x0000_s1029" style="position:absolute;visibility:visible;mso-wrap-style:square" from="1325,5" to="65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" strokeweight=".48pt"/>
                <w10:anchorlock/>
              </v:group>
            </w:pict>
          </mc:Fallback>
        </mc:AlternateContent>
      </w:r>
    </w:p>
    <w:p w:rsidR="007D76BB" w:rsidRDefault="007D76BB">
      <w:pPr>
        <w:spacing w:line="20" w:lineRule="exact"/>
        <w:rPr>
          <w:rFonts w:ascii="Arial"/>
          <w:sz w:val="2"/>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spacing w:before="10"/>
        <w:rPr>
          <w:rFonts w:ascii="Arial"/>
        </w:rPr>
      </w:pPr>
    </w:p>
    <w:p w:rsidR="007D76BB" w:rsidRDefault="00D70D28">
      <w:pPr>
        <w:pStyle w:val="Heading4"/>
        <w:rPr>
          <w:b/>
        </w:rPr>
      </w:pPr>
      <w:bookmarkStart w:id="160" w:name="_bookmark86"/>
      <w:bookmarkEnd w:id="160"/>
      <w:r>
        <w:rPr>
          <w:b/>
          <w:color w:val="FFA200"/>
        </w:rPr>
        <w:t>ANNEX B – BIBLIOGRAPHY</w:t>
      </w:r>
    </w:p>
    <w:p w:rsidR="007D76BB" w:rsidRDefault="00A51832">
      <w:pPr>
        <w:pStyle w:val="ListParagraph"/>
        <w:numPr>
          <w:ilvl w:val="1"/>
          <w:numId w:val="5"/>
        </w:numPr>
        <w:tabs>
          <w:tab w:val="left" w:pos="766"/>
        </w:tabs>
        <w:spacing w:before="192" w:line="268" w:lineRule="auto"/>
        <w:ind w:right="884"/>
        <w:rPr>
          <w:rFonts w:ascii="Arial" w:hAnsi="Arial"/>
          <w:sz w:val="19"/>
        </w:rPr>
      </w:pPr>
      <w:hyperlink r:id="rId223">
        <w:r w:rsidR="00D70D28">
          <w:rPr>
            <w:rFonts w:ascii="Arial" w:hAnsi="Arial"/>
            <w:spacing w:val="1"/>
            <w:w w:val="101"/>
            <w:sz w:val="19"/>
            <w:u w:val="single" w:color="006FC0"/>
          </w:rPr>
          <w:t>h</w:t>
        </w:r>
        <w:r w:rsidR="00D70D28">
          <w:rPr>
            <w:rFonts w:ascii="Arial" w:hAnsi="Arial"/>
            <w:w w:val="134"/>
            <w:sz w:val="19"/>
            <w:u w:val="single" w:color="006FC0"/>
          </w:rPr>
          <w:t>t</w:t>
        </w:r>
        <w:r w:rsidR="00D70D28">
          <w:rPr>
            <w:rFonts w:ascii="Arial" w:hAnsi="Arial"/>
            <w:spacing w:val="-2"/>
            <w:w w:val="134"/>
            <w:sz w:val="19"/>
            <w:u w:val="single" w:color="006FC0"/>
          </w:rPr>
          <w:t>t</w:t>
        </w:r>
        <w:r w:rsidR="00D70D28">
          <w:rPr>
            <w:rFonts w:ascii="Arial" w:hAnsi="Arial"/>
            <w:w w:val="101"/>
            <w:sz w:val="19"/>
            <w:u w:val="single" w:color="006FC0"/>
          </w:rPr>
          <w:t>p</w:t>
        </w:r>
        <w:r w:rsidR="00D70D28">
          <w:rPr>
            <w:rFonts w:ascii="Arial" w:hAnsi="Arial"/>
            <w:w w:val="111"/>
            <w:sz w:val="19"/>
            <w:u w:val="single" w:color="006FC0"/>
          </w:rPr>
          <w:t>s:/</w:t>
        </w:r>
        <w:r w:rsidR="00D70D28">
          <w:rPr>
            <w:rFonts w:ascii="Arial" w:hAnsi="Arial"/>
            <w:w w:val="175"/>
            <w:sz w:val="19"/>
            <w:u w:val="single" w:color="006FC0"/>
          </w:rPr>
          <w:t>/</w:t>
        </w:r>
        <w:r w:rsidR="00D70D28">
          <w:rPr>
            <w:rFonts w:ascii="Arial" w:hAnsi="Arial"/>
            <w:spacing w:val="-2"/>
            <w:w w:val="98"/>
            <w:sz w:val="19"/>
            <w:u w:val="single" w:color="006FC0"/>
          </w:rPr>
          <w:t>w</w:t>
        </w:r>
        <w:r w:rsidR="00D70D28">
          <w:rPr>
            <w:rFonts w:ascii="Arial" w:hAnsi="Arial"/>
            <w:spacing w:val="1"/>
            <w:w w:val="98"/>
            <w:sz w:val="19"/>
            <w:u w:val="single" w:color="006FC0"/>
          </w:rPr>
          <w:t>ww</w:t>
        </w:r>
        <w:r w:rsidR="00D70D28">
          <w:rPr>
            <w:rFonts w:ascii="Arial" w:hAnsi="Arial"/>
            <w:spacing w:val="-2"/>
            <w:w w:val="80"/>
            <w:sz w:val="19"/>
            <w:u w:val="single" w:color="006FC0"/>
          </w:rPr>
          <w:t>.</w:t>
        </w:r>
        <w:r w:rsidR="00D70D28">
          <w:rPr>
            <w:rFonts w:ascii="Arial" w:hAnsi="Arial"/>
            <w:w w:val="94"/>
            <w:sz w:val="19"/>
            <w:u w:val="single" w:color="006FC0"/>
          </w:rPr>
          <w:t>a</w:t>
        </w:r>
        <w:r w:rsidR="00D70D28">
          <w:rPr>
            <w:rFonts w:ascii="Arial" w:hAnsi="Arial"/>
            <w:spacing w:val="-1"/>
            <w:sz w:val="19"/>
            <w:u w:val="single" w:color="006FC0"/>
          </w:rPr>
          <w:t>b</w:t>
        </w:r>
        <w:r w:rsidR="00D70D28">
          <w:rPr>
            <w:rFonts w:ascii="Arial" w:hAnsi="Arial"/>
            <w:w w:val="94"/>
            <w:sz w:val="19"/>
            <w:u w:val="single" w:color="006FC0"/>
          </w:rPr>
          <w:t>s.</w:t>
        </w:r>
        <w:r w:rsidR="00D70D28">
          <w:rPr>
            <w:rFonts w:ascii="Arial" w:hAnsi="Arial"/>
            <w:spacing w:val="1"/>
            <w:w w:val="94"/>
            <w:sz w:val="19"/>
            <w:u w:val="single" w:color="006FC0"/>
          </w:rPr>
          <w:t>g</w:t>
        </w:r>
        <w:r w:rsidR="00D70D28">
          <w:rPr>
            <w:rFonts w:ascii="Arial" w:hAnsi="Arial"/>
            <w:w w:val="101"/>
            <w:sz w:val="19"/>
            <w:u w:val="single" w:color="006FC0"/>
          </w:rPr>
          <w:t>o</w:t>
        </w:r>
        <w:r w:rsidR="00D70D28">
          <w:rPr>
            <w:rFonts w:ascii="Arial" w:hAnsi="Arial"/>
            <w:spacing w:val="-2"/>
            <w:w w:val="101"/>
            <w:sz w:val="19"/>
            <w:u w:val="single" w:color="006FC0"/>
          </w:rPr>
          <w:t>v</w:t>
        </w:r>
        <w:r w:rsidR="00D70D28">
          <w:rPr>
            <w:rFonts w:ascii="Arial" w:hAnsi="Arial"/>
            <w:w w:val="89"/>
            <w:sz w:val="19"/>
            <w:u w:val="single" w:color="006FC0"/>
          </w:rPr>
          <w:t>.</w:t>
        </w:r>
        <w:r w:rsidR="00D70D28">
          <w:rPr>
            <w:rFonts w:ascii="Arial" w:hAnsi="Arial"/>
            <w:spacing w:val="1"/>
            <w:w w:val="89"/>
            <w:sz w:val="19"/>
            <w:u w:val="single" w:color="006FC0"/>
          </w:rPr>
          <w:t>a</w:t>
        </w:r>
        <w:r w:rsidR="00D70D28">
          <w:rPr>
            <w:rFonts w:ascii="Arial" w:hAnsi="Arial"/>
            <w:spacing w:val="1"/>
            <w:w w:val="101"/>
            <w:sz w:val="19"/>
            <w:u w:val="single" w:color="006FC0"/>
          </w:rPr>
          <w:t>u</w:t>
        </w:r>
        <w:r w:rsidR="00D70D28">
          <w:rPr>
            <w:rFonts w:ascii="Arial" w:hAnsi="Arial"/>
            <w:spacing w:val="-2"/>
            <w:w w:val="175"/>
            <w:sz w:val="19"/>
            <w:u w:val="single" w:color="006FC0"/>
          </w:rPr>
          <w:t>/</w:t>
        </w:r>
        <w:r w:rsidR="00D70D28">
          <w:rPr>
            <w:rFonts w:ascii="Arial" w:hAnsi="Arial"/>
            <w:w w:val="94"/>
            <w:sz w:val="19"/>
            <w:u w:val="single" w:color="006FC0"/>
          </w:rPr>
          <w:t>a</w:t>
        </w:r>
        <w:r w:rsidR="00D70D28">
          <w:rPr>
            <w:rFonts w:ascii="Arial" w:hAnsi="Arial"/>
            <w:spacing w:val="1"/>
            <w:w w:val="101"/>
            <w:sz w:val="19"/>
            <w:u w:val="single" w:color="006FC0"/>
          </w:rPr>
          <w:t>u</w:t>
        </w:r>
        <w:r w:rsidR="00D70D28">
          <w:rPr>
            <w:rFonts w:ascii="Arial" w:hAnsi="Arial"/>
            <w:spacing w:val="-3"/>
            <w:w w:val="93"/>
            <w:sz w:val="19"/>
            <w:u w:val="single" w:color="006FC0"/>
          </w:rPr>
          <w:t>s</w:t>
        </w:r>
        <w:r w:rsidR="00D70D28">
          <w:rPr>
            <w:rFonts w:ascii="Arial" w:hAnsi="Arial"/>
            <w:w w:val="108"/>
            <w:sz w:val="19"/>
            <w:u w:val="single" w:color="006FC0"/>
          </w:rPr>
          <w:t>st</w:t>
        </w:r>
        <w:r w:rsidR="00D70D28">
          <w:rPr>
            <w:rFonts w:ascii="Arial" w:hAnsi="Arial"/>
            <w:w w:val="94"/>
            <w:sz w:val="19"/>
            <w:u w:val="single" w:color="006FC0"/>
          </w:rPr>
          <w:t>a</w:t>
        </w:r>
        <w:r w:rsidR="00D70D28">
          <w:rPr>
            <w:rFonts w:ascii="Arial" w:hAnsi="Arial"/>
            <w:w w:val="134"/>
            <w:sz w:val="19"/>
            <w:u w:val="single" w:color="006FC0"/>
          </w:rPr>
          <w:t>t</w:t>
        </w:r>
        <w:r w:rsidR="00D70D28">
          <w:rPr>
            <w:rFonts w:ascii="Arial" w:hAnsi="Arial"/>
            <w:w w:val="123"/>
            <w:sz w:val="19"/>
            <w:u w:val="single" w:color="006FC0"/>
          </w:rPr>
          <w:t>s/</w:t>
        </w:r>
        <w:r w:rsidR="00D70D28">
          <w:rPr>
            <w:rFonts w:ascii="Arial" w:hAnsi="Arial"/>
            <w:w w:val="94"/>
            <w:sz w:val="19"/>
            <w:u w:val="single" w:color="006FC0"/>
          </w:rPr>
          <w:t>a</w:t>
        </w:r>
        <w:r w:rsidR="00D70D28">
          <w:rPr>
            <w:rFonts w:ascii="Arial" w:hAnsi="Arial"/>
            <w:spacing w:val="-1"/>
            <w:sz w:val="19"/>
            <w:u w:val="single" w:color="006FC0"/>
          </w:rPr>
          <w:t>b</w:t>
        </w:r>
        <w:r w:rsidR="00D70D28">
          <w:rPr>
            <w:rFonts w:ascii="Arial" w:hAnsi="Arial"/>
            <w:w w:val="83"/>
            <w:sz w:val="19"/>
            <w:u w:val="single" w:color="006FC0"/>
          </w:rPr>
          <w:t>s@.</w:t>
        </w:r>
        <w:r w:rsidR="00D70D28">
          <w:rPr>
            <w:rFonts w:ascii="Arial" w:hAnsi="Arial"/>
            <w:spacing w:val="1"/>
            <w:w w:val="101"/>
            <w:sz w:val="19"/>
            <w:u w:val="single" w:color="006FC0"/>
          </w:rPr>
          <w:t>n</w:t>
        </w:r>
        <w:r w:rsidR="00D70D28">
          <w:rPr>
            <w:rFonts w:ascii="Arial" w:hAnsi="Arial"/>
            <w:w w:val="102"/>
            <w:sz w:val="19"/>
            <w:u w:val="single" w:color="006FC0"/>
          </w:rPr>
          <w:t>s</w:t>
        </w:r>
        <w:r w:rsidR="00D70D28">
          <w:rPr>
            <w:rFonts w:ascii="Arial" w:hAnsi="Arial"/>
            <w:spacing w:val="-1"/>
            <w:w w:val="102"/>
            <w:sz w:val="19"/>
            <w:u w:val="single" w:color="006FC0"/>
          </w:rPr>
          <w:t>f</w:t>
        </w:r>
        <w:r w:rsidR="00D70D28">
          <w:rPr>
            <w:rFonts w:ascii="Arial" w:hAnsi="Arial"/>
            <w:spacing w:val="-2"/>
            <w:w w:val="175"/>
            <w:sz w:val="19"/>
            <w:u w:val="single" w:color="006FC0"/>
          </w:rPr>
          <w:t>/</w:t>
        </w:r>
        <w:r w:rsidR="00D70D28">
          <w:rPr>
            <w:rFonts w:ascii="Arial" w:hAnsi="Arial"/>
            <w:spacing w:val="1"/>
            <w:w w:val="114"/>
            <w:sz w:val="19"/>
            <w:u w:val="single" w:color="006FC0"/>
          </w:rPr>
          <w:t>0</w:t>
        </w:r>
        <w:r w:rsidR="00D70D28">
          <w:rPr>
            <w:rFonts w:ascii="Arial" w:hAnsi="Arial"/>
            <w:w w:val="175"/>
            <w:sz w:val="19"/>
            <w:u w:val="single" w:color="006FC0"/>
          </w:rPr>
          <w:t>/</w:t>
        </w:r>
        <w:r w:rsidR="00D70D28">
          <w:rPr>
            <w:rFonts w:ascii="Arial" w:hAnsi="Arial"/>
            <w:spacing w:val="-1"/>
            <w:w w:val="93"/>
            <w:sz w:val="19"/>
            <w:u w:val="single" w:color="006FC0"/>
          </w:rPr>
          <w:t>7</w:t>
        </w:r>
        <w:r w:rsidR="00D70D28">
          <w:rPr>
            <w:rFonts w:ascii="Arial" w:hAnsi="Arial"/>
            <w:spacing w:val="-1"/>
            <w:w w:val="91"/>
            <w:sz w:val="19"/>
            <w:u w:val="single" w:color="006FC0"/>
          </w:rPr>
          <w:t>F</w:t>
        </w:r>
        <w:r w:rsidR="00D70D28">
          <w:rPr>
            <w:rFonts w:ascii="Arial" w:hAnsi="Arial"/>
            <w:spacing w:val="-1"/>
            <w:w w:val="93"/>
            <w:sz w:val="19"/>
            <w:u w:val="single" w:color="006FC0"/>
          </w:rPr>
          <w:t>7</w:t>
        </w:r>
        <w:r w:rsidR="00D70D28">
          <w:rPr>
            <w:rFonts w:ascii="Arial" w:hAnsi="Arial"/>
            <w:w w:val="89"/>
            <w:sz w:val="19"/>
            <w:u w:val="single" w:color="006FC0"/>
          </w:rPr>
          <w:t>6D1</w:t>
        </w:r>
        <w:r w:rsidR="00D70D28">
          <w:rPr>
            <w:rFonts w:ascii="Arial" w:hAnsi="Arial"/>
            <w:w w:val="109"/>
            <w:sz w:val="19"/>
            <w:u w:val="single" w:color="006FC0"/>
          </w:rPr>
          <w:t>53</w:t>
        </w:r>
        <w:r w:rsidR="00D70D28">
          <w:rPr>
            <w:rFonts w:ascii="Arial" w:hAnsi="Arial"/>
            <w:w w:val="103"/>
            <w:sz w:val="19"/>
            <w:u w:val="single" w:color="006FC0"/>
          </w:rPr>
          <w:t>54BB25D5CA</w:t>
        </w:r>
        <w:r w:rsidR="00D70D28">
          <w:rPr>
            <w:rFonts w:ascii="Arial" w:hAnsi="Arial"/>
            <w:spacing w:val="1"/>
            <w:w w:val="103"/>
            <w:sz w:val="19"/>
            <w:u w:val="single" w:color="006FC0"/>
          </w:rPr>
          <w:t>2</w:t>
        </w:r>
        <w:r w:rsidR="00D70D28">
          <w:rPr>
            <w:rFonts w:ascii="Arial" w:hAnsi="Arial"/>
            <w:w w:val="102"/>
            <w:sz w:val="19"/>
            <w:u w:val="single" w:color="006FC0"/>
          </w:rPr>
          <w:t>5</w:t>
        </w:r>
        <w:r w:rsidR="00D70D28">
          <w:rPr>
            <w:rFonts w:ascii="Arial" w:hAnsi="Arial"/>
            <w:spacing w:val="-1"/>
            <w:w w:val="102"/>
            <w:sz w:val="19"/>
            <w:u w:val="single" w:color="006FC0"/>
          </w:rPr>
          <w:t>7</w:t>
        </w:r>
        <w:r w:rsidR="00D70D28">
          <w:rPr>
            <w:rFonts w:ascii="Arial" w:hAnsi="Arial"/>
            <w:w w:val="102"/>
            <w:sz w:val="19"/>
            <w:u w:val="single" w:color="006FC0"/>
          </w:rPr>
          <w:t>5BC</w:t>
        </w:r>
        <w:r w:rsidR="00D70D28">
          <w:rPr>
            <w:rFonts w:ascii="Arial" w:hAnsi="Arial"/>
            <w:spacing w:val="1"/>
            <w:w w:val="102"/>
            <w:sz w:val="19"/>
            <w:u w:val="single" w:color="006FC0"/>
          </w:rPr>
          <w:t>0</w:t>
        </w:r>
        <w:r w:rsidR="00D70D28">
          <w:rPr>
            <w:rFonts w:ascii="Arial" w:hAnsi="Arial"/>
            <w:spacing w:val="1"/>
            <w:w w:val="114"/>
            <w:sz w:val="19"/>
            <w:u w:val="single" w:color="006FC0"/>
          </w:rPr>
          <w:t>0</w:t>
        </w:r>
        <w:r w:rsidR="00D70D28">
          <w:rPr>
            <w:rFonts w:ascii="Arial" w:hAnsi="Arial"/>
            <w:spacing w:val="1"/>
            <w:w w:val="66"/>
            <w:sz w:val="19"/>
            <w:u w:val="single" w:color="006FC0"/>
          </w:rPr>
          <w:t>1</w:t>
        </w:r>
        <w:r w:rsidR="00D70D28">
          <w:rPr>
            <w:rFonts w:ascii="Arial" w:hAnsi="Arial"/>
            <w:w w:val="104"/>
            <w:sz w:val="19"/>
            <w:u w:val="single" w:color="006FC0"/>
          </w:rPr>
          <w:t>D58</w:t>
        </w:r>
        <w:r w:rsidR="00D70D28">
          <w:rPr>
            <w:rFonts w:ascii="Arial" w:hAnsi="Arial"/>
            <w:spacing w:val="-1"/>
            <w:w w:val="104"/>
            <w:sz w:val="19"/>
            <w:u w:val="single" w:color="006FC0"/>
          </w:rPr>
          <w:t>6</w:t>
        </w:r>
        <w:r w:rsidR="00D70D28">
          <w:rPr>
            <w:rFonts w:ascii="Arial" w:hAnsi="Arial"/>
            <w:w w:val="97"/>
            <w:sz w:val="19"/>
            <w:u w:val="single" w:color="006FC0"/>
          </w:rPr>
          <w:t>6?</w:t>
        </w:r>
        <w:r w:rsidR="00D70D28">
          <w:rPr>
            <w:rFonts w:ascii="Arial" w:hAnsi="Arial"/>
            <w:spacing w:val="1"/>
            <w:w w:val="97"/>
            <w:sz w:val="19"/>
            <w:u w:val="single" w:color="006FC0"/>
          </w:rPr>
          <w:t>O</w:t>
        </w:r>
        <w:r w:rsidR="00D70D28">
          <w:rPr>
            <w:rFonts w:ascii="Arial" w:hAnsi="Arial"/>
            <w:spacing w:val="7"/>
            <w:w w:val="101"/>
            <w:sz w:val="19"/>
            <w:u w:val="single" w:color="006FC0"/>
          </w:rPr>
          <w:t>p</w:t>
        </w:r>
        <w:r w:rsidR="00D70D28">
          <w:rPr>
            <w:rFonts w:ascii="Arial" w:hAnsi="Arial"/>
            <w:spacing w:val="1"/>
            <w:w w:val="98"/>
            <w:sz w:val="19"/>
            <w:u w:val="single" w:color="006FC0"/>
          </w:rPr>
          <w:t>en</w:t>
        </w:r>
      </w:hyperlink>
      <w:r w:rsidR="00D70D28">
        <w:rPr>
          <w:rFonts w:ascii="Arial" w:hAnsi="Arial"/>
          <w:spacing w:val="1"/>
          <w:w w:val="98"/>
          <w:sz w:val="19"/>
        </w:rPr>
        <w:t xml:space="preserve"> </w:t>
      </w:r>
      <w:hyperlink r:id="rId224">
        <w:r w:rsidR="00D70D28">
          <w:rPr>
            <w:rFonts w:ascii="Arial" w:hAnsi="Arial"/>
            <w:w w:val="105"/>
            <w:sz w:val="19"/>
            <w:u w:val="single" w:color="006FC0"/>
          </w:rPr>
          <w:t>document</w:t>
        </w:r>
      </w:hyperlink>
    </w:p>
    <w:p w:rsidR="007D76BB" w:rsidRDefault="00A51832">
      <w:pPr>
        <w:pStyle w:val="ListParagraph"/>
        <w:numPr>
          <w:ilvl w:val="1"/>
          <w:numId w:val="5"/>
        </w:numPr>
        <w:tabs>
          <w:tab w:val="left" w:pos="766"/>
        </w:tabs>
        <w:spacing w:before="72" w:line="266" w:lineRule="auto"/>
        <w:ind w:right="922"/>
        <w:rPr>
          <w:rFonts w:ascii="Arial" w:hAnsi="Arial"/>
          <w:sz w:val="19"/>
        </w:rPr>
      </w:pPr>
      <w:hyperlink r:id="rId225">
        <w:r w:rsidR="00D70D28">
          <w:rPr>
            <w:rFonts w:ascii="Arial" w:hAnsi="Arial"/>
            <w:spacing w:val="1"/>
            <w:w w:val="101"/>
            <w:sz w:val="19"/>
            <w:u w:val="single" w:color="006FC0"/>
          </w:rPr>
          <w:t>h</w:t>
        </w:r>
        <w:r w:rsidR="00D70D28">
          <w:rPr>
            <w:rFonts w:ascii="Arial" w:hAnsi="Arial"/>
            <w:w w:val="134"/>
            <w:sz w:val="19"/>
            <w:u w:val="single" w:color="006FC0"/>
          </w:rPr>
          <w:t>t</w:t>
        </w:r>
        <w:r w:rsidR="00D70D28">
          <w:rPr>
            <w:rFonts w:ascii="Arial" w:hAnsi="Arial"/>
            <w:spacing w:val="-2"/>
            <w:w w:val="134"/>
            <w:sz w:val="19"/>
            <w:u w:val="single" w:color="006FC0"/>
          </w:rPr>
          <w:t>t</w:t>
        </w:r>
        <w:r w:rsidR="00D70D28">
          <w:rPr>
            <w:rFonts w:ascii="Arial" w:hAnsi="Arial"/>
            <w:w w:val="101"/>
            <w:sz w:val="19"/>
            <w:u w:val="single" w:color="006FC0"/>
          </w:rPr>
          <w:t>p</w:t>
        </w:r>
        <w:r w:rsidR="00D70D28">
          <w:rPr>
            <w:rFonts w:ascii="Arial" w:hAnsi="Arial"/>
            <w:w w:val="111"/>
            <w:sz w:val="19"/>
            <w:u w:val="single" w:color="006FC0"/>
          </w:rPr>
          <w:t>s:/</w:t>
        </w:r>
        <w:r w:rsidR="00D70D28">
          <w:rPr>
            <w:rFonts w:ascii="Arial" w:hAnsi="Arial"/>
            <w:w w:val="175"/>
            <w:sz w:val="19"/>
            <w:u w:val="single" w:color="006FC0"/>
          </w:rPr>
          <w:t>/</w:t>
        </w:r>
        <w:r w:rsidR="00D70D28">
          <w:rPr>
            <w:rFonts w:ascii="Arial" w:hAnsi="Arial"/>
            <w:spacing w:val="-2"/>
            <w:w w:val="98"/>
            <w:sz w:val="19"/>
            <w:u w:val="single" w:color="006FC0"/>
          </w:rPr>
          <w:t>w</w:t>
        </w:r>
        <w:r w:rsidR="00D70D28">
          <w:rPr>
            <w:rFonts w:ascii="Arial" w:hAnsi="Arial"/>
            <w:spacing w:val="1"/>
            <w:w w:val="98"/>
            <w:sz w:val="19"/>
            <w:u w:val="single" w:color="006FC0"/>
          </w:rPr>
          <w:t>ww</w:t>
        </w:r>
        <w:r w:rsidR="00D70D28">
          <w:rPr>
            <w:rFonts w:ascii="Arial" w:hAnsi="Arial"/>
            <w:spacing w:val="-2"/>
            <w:w w:val="80"/>
            <w:sz w:val="19"/>
            <w:u w:val="single" w:color="006FC0"/>
          </w:rPr>
          <w:t>.</w:t>
        </w:r>
        <w:r w:rsidR="00D70D28">
          <w:rPr>
            <w:rFonts w:ascii="Arial" w:hAnsi="Arial"/>
            <w:w w:val="94"/>
            <w:sz w:val="19"/>
            <w:u w:val="single" w:color="006FC0"/>
          </w:rPr>
          <w:t>a</w:t>
        </w:r>
        <w:r w:rsidR="00D70D28">
          <w:rPr>
            <w:rFonts w:ascii="Arial" w:hAnsi="Arial"/>
            <w:spacing w:val="-1"/>
            <w:sz w:val="19"/>
            <w:u w:val="single" w:color="006FC0"/>
          </w:rPr>
          <w:t>b</w:t>
        </w:r>
        <w:r w:rsidR="00D70D28">
          <w:rPr>
            <w:rFonts w:ascii="Arial" w:hAnsi="Arial"/>
            <w:w w:val="94"/>
            <w:sz w:val="19"/>
            <w:u w:val="single" w:color="006FC0"/>
          </w:rPr>
          <w:t>s.</w:t>
        </w:r>
        <w:r w:rsidR="00D70D28">
          <w:rPr>
            <w:rFonts w:ascii="Arial" w:hAnsi="Arial"/>
            <w:spacing w:val="1"/>
            <w:w w:val="94"/>
            <w:sz w:val="19"/>
            <w:u w:val="single" w:color="006FC0"/>
          </w:rPr>
          <w:t>g</w:t>
        </w:r>
        <w:r w:rsidR="00D70D28">
          <w:rPr>
            <w:rFonts w:ascii="Arial" w:hAnsi="Arial"/>
            <w:w w:val="101"/>
            <w:sz w:val="19"/>
            <w:u w:val="single" w:color="006FC0"/>
          </w:rPr>
          <w:t>o</w:t>
        </w:r>
        <w:r w:rsidR="00D70D28">
          <w:rPr>
            <w:rFonts w:ascii="Arial" w:hAnsi="Arial"/>
            <w:spacing w:val="-2"/>
            <w:w w:val="101"/>
            <w:sz w:val="19"/>
            <w:u w:val="single" w:color="006FC0"/>
          </w:rPr>
          <w:t>v</w:t>
        </w:r>
        <w:r w:rsidR="00D70D28">
          <w:rPr>
            <w:rFonts w:ascii="Arial" w:hAnsi="Arial"/>
            <w:w w:val="89"/>
            <w:sz w:val="19"/>
            <w:u w:val="single" w:color="006FC0"/>
          </w:rPr>
          <w:t>.</w:t>
        </w:r>
        <w:r w:rsidR="00D70D28">
          <w:rPr>
            <w:rFonts w:ascii="Arial" w:hAnsi="Arial"/>
            <w:spacing w:val="1"/>
            <w:w w:val="89"/>
            <w:sz w:val="19"/>
            <w:u w:val="single" w:color="006FC0"/>
          </w:rPr>
          <w:t>a</w:t>
        </w:r>
        <w:r w:rsidR="00D70D28">
          <w:rPr>
            <w:rFonts w:ascii="Arial" w:hAnsi="Arial"/>
            <w:spacing w:val="1"/>
            <w:w w:val="101"/>
            <w:sz w:val="19"/>
            <w:u w:val="single" w:color="006FC0"/>
          </w:rPr>
          <w:t>u</w:t>
        </w:r>
        <w:r w:rsidR="00D70D28">
          <w:rPr>
            <w:rFonts w:ascii="Arial" w:hAnsi="Arial"/>
            <w:w w:val="175"/>
            <w:sz w:val="19"/>
            <w:u w:val="single" w:color="006FC0"/>
          </w:rPr>
          <w:t>/</w:t>
        </w:r>
        <w:r w:rsidR="00D70D28">
          <w:rPr>
            <w:rFonts w:ascii="Arial" w:hAnsi="Arial"/>
            <w:w w:val="101"/>
            <w:sz w:val="19"/>
            <w:u w:val="single" w:color="006FC0"/>
          </w:rPr>
          <w:t>A</w:t>
        </w:r>
        <w:r w:rsidR="00D70D28">
          <w:rPr>
            <w:rFonts w:ascii="Arial" w:hAnsi="Arial"/>
            <w:spacing w:val="-4"/>
            <w:w w:val="95"/>
            <w:sz w:val="19"/>
            <w:u w:val="single" w:color="006FC0"/>
          </w:rPr>
          <w:t>U</w:t>
        </w:r>
        <w:r w:rsidR="00D70D28">
          <w:rPr>
            <w:rFonts w:ascii="Arial" w:hAnsi="Arial"/>
            <w:spacing w:val="-1"/>
            <w:w w:val="89"/>
            <w:sz w:val="19"/>
            <w:u w:val="single" w:color="006FC0"/>
          </w:rPr>
          <w:t>SS</w:t>
        </w:r>
        <w:r w:rsidR="00D70D28">
          <w:rPr>
            <w:rFonts w:ascii="Arial" w:hAnsi="Arial"/>
            <w:w w:val="98"/>
            <w:sz w:val="19"/>
            <w:u w:val="single" w:color="006FC0"/>
          </w:rPr>
          <w:t>TA</w:t>
        </w:r>
        <w:r w:rsidR="00D70D28">
          <w:rPr>
            <w:rFonts w:ascii="Arial" w:hAnsi="Arial"/>
            <w:w w:val="92"/>
            <w:sz w:val="19"/>
            <w:u w:val="single" w:color="006FC0"/>
          </w:rPr>
          <w:t>T</w:t>
        </w:r>
        <w:r w:rsidR="00D70D28">
          <w:rPr>
            <w:rFonts w:ascii="Arial" w:hAnsi="Arial"/>
            <w:spacing w:val="-1"/>
            <w:w w:val="92"/>
            <w:sz w:val="19"/>
            <w:u w:val="single" w:color="006FC0"/>
          </w:rPr>
          <w:t>S</w:t>
        </w:r>
        <w:r w:rsidR="00D70D28">
          <w:rPr>
            <w:rFonts w:ascii="Arial" w:hAnsi="Arial"/>
            <w:w w:val="175"/>
            <w:sz w:val="19"/>
            <w:u w:val="single" w:color="006FC0"/>
          </w:rPr>
          <w:t>/</w:t>
        </w:r>
        <w:r w:rsidR="00D70D28">
          <w:rPr>
            <w:rFonts w:ascii="Arial" w:hAnsi="Arial"/>
            <w:w w:val="94"/>
            <w:sz w:val="19"/>
            <w:u w:val="single" w:color="006FC0"/>
          </w:rPr>
          <w:t>a</w:t>
        </w:r>
        <w:r w:rsidR="00D70D28">
          <w:rPr>
            <w:rFonts w:ascii="Arial" w:hAnsi="Arial"/>
            <w:spacing w:val="-1"/>
            <w:sz w:val="19"/>
            <w:u w:val="single" w:color="006FC0"/>
          </w:rPr>
          <w:t>b</w:t>
        </w:r>
        <w:r w:rsidR="00D70D28">
          <w:rPr>
            <w:rFonts w:ascii="Arial" w:hAnsi="Arial"/>
            <w:w w:val="83"/>
            <w:sz w:val="19"/>
            <w:u w:val="single" w:color="006FC0"/>
          </w:rPr>
          <w:t>s@.</w:t>
        </w:r>
        <w:r w:rsidR="00D70D28">
          <w:rPr>
            <w:rFonts w:ascii="Arial" w:hAnsi="Arial"/>
            <w:spacing w:val="1"/>
            <w:w w:val="101"/>
            <w:sz w:val="19"/>
            <w:u w:val="single" w:color="006FC0"/>
          </w:rPr>
          <w:t>n</w:t>
        </w:r>
        <w:r w:rsidR="00D70D28">
          <w:rPr>
            <w:rFonts w:ascii="Arial" w:hAnsi="Arial"/>
            <w:w w:val="102"/>
            <w:sz w:val="19"/>
            <w:u w:val="single" w:color="006FC0"/>
          </w:rPr>
          <w:t>s</w:t>
        </w:r>
        <w:r w:rsidR="00D70D28">
          <w:rPr>
            <w:rFonts w:ascii="Arial" w:hAnsi="Arial"/>
            <w:spacing w:val="-1"/>
            <w:w w:val="102"/>
            <w:sz w:val="19"/>
            <w:u w:val="single" w:color="006FC0"/>
          </w:rPr>
          <w:t>f</w:t>
        </w:r>
        <w:r w:rsidR="00D70D28">
          <w:rPr>
            <w:rFonts w:ascii="Arial" w:hAnsi="Arial"/>
            <w:w w:val="175"/>
            <w:sz w:val="19"/>
            <w:u w:val="single" w:color="006FC0"/>
          </w:rPr>
          <w:t>/</w:t>
        </w:r>
        <w:r w:rsidR="00D70D28">
          <w:rPr>
            <w:rFonts w:ascii="Arial" w:hAnsi="Arial"/>
            <w:w w:val="95"/>
            <w:sz w:val="19"/>
            <w:u w:val="single" w:color="006FC0"/>
          </w:rPr>
          <w:t>D</w:t>
        </w:r>
        <w:r w:rsidR="00D70D28">
          <w:rPr>
            <w:rFonts w:ascii="Arial" w:hAnsi="Arial"/>
            <w:spacing w:val="1"/>
            <w:w w:val="95"/>
            <w:sz w:val="19"/>
            <w:u w:val="single" w:color="006FC0"/>
          </w:rPr>
          <w:t>e</w:t>
        </w:r>
        <w:r w:rsidR="00D70D28">
          <w:rPr>
            <w:rFonts w:ascii="Arial" w:hAnsi="Arial"/>
            <w:w w:val="134"/>
            <w:sz w:val="19"/>
            <w:u w:val="single" w:color="006FC0"/>
          </w:rPr>
          <w:t>t</w:t>
        </w:r>
        <w:r w:rsidR="00D70D28">
          <w:rPr>
            <w:rFonts w:ascii="Arial" w:hAnsi="Arial"/>
            <w:w w:val="94"/>
            <w:sz w:val="19"/>
            <w:u w:val="single" w:color="006FC0"/>
          </w:rPr>
          <w:t>a</w:t>
        </w:r>
        <w:r w:rsidR="00D70D28">
          <w:rPr>
            <w:rFonts w:ascii="Arial" w:hAnsi="Arial"/>
            <w:spacing w:val="4"/>
            <w:w w:val="114"/>
            <w:sz w:val="19"/>
            <w:u w:val="single" w:color="006FC0"/>
          </w:rPr>
          <w:t>i</w:t>
        </w:r>
        <w:r w:rsidR="00D70D28">
          <w:rPr>
            <w:rFonts w:ascii="Arial" w:hAnsi="Arial"/>
            <w:w w:val="117"/>
            <w:sz w:val="19"/>
            <w:u w:val="single" w:color="006FC0"/>
          </w:rPr>
          <w:t>l</w:t>
        </w:r>
        <w:r w:rsidR="00D70D28">
          <w:rPr>
            <w:rFonts w:ascii="Arial" w:hAnsi="Arial"/>
            <w:w w:val="94"/>
            <w:sz w:val="19"/>
            <w:u w:val="single" w:color="006FC0"/>
          </w:rPr>
          <w:t>sP</w:t>
        </w:r>
        <w:r w:rsidR="00D70D28">
          <w:rPr>
            <w:rFonts w:ascii="Arial" w:hAnsi="Arial"/>
            <w:spacing w:val="-1"/>
            <w:w w:val="94"/>
            <w:sz w:val="19"/>
            <w:u w:val="single" w:color="006FC0"/>
          </w:rPr>
          <w:t>a</w:t>
        </w:r>
        <w:r w:rsidR="00D70D28">
          <w:rPr>
            <w:rFonts w:ascii="Arial" w:hAnsi="Arial"/>
            <w:spacing w:val="1"/>
            <w:w w:val="101"/>
            <w:sz w:val="19"/>
            <w:u w:val="single" w:color="006FC0"/>
          </w:rPr>
          <w:t>g</w:t>
        </w:r>
        <w:r w:rsidR="00D70D28">
          <w:rPr>
            <w:rFonts w:ascii="Arial" w:hAnsi="Arial"/>
            <w:w w:val="96"/>
            <w:sz w:val="19"/>
            <w:u w:val="single" w:color="006FC0"/>
          </w:rPr>
          <w:t>e</w:t>
        </w:r>
        <w:r w:rsidR="00D70D28">
          <w:rPr>
            <w:rFonts w:ascii="Arial" w:hAnsi="Arial"/>
            <w:w w:val="175"/>
            <w:sz w:val="19"/>
            <w:u w:val="single" w:color="006FC0"/>
          </w:rPr>
          <w:t>/</w:t>
        </w:r>
        <w:r w:rsidR="00D70D28">
          <w:rPr>
            <w:rFonts w:ascii="Arial" w:hAnsi="Arial"/>
            <w:w w:val="107"/>
            <w:sz w:val="19"/>
            <w:u w:val="single" w:color="006FC0"/>
          </w:rPr>
          <w:t>6</w:t>
        </w:r>
        <w:r w:rsidR="00D70D28">
          <w:rPr>
            <w:rFonts w:ascii="Arial" w:hAnsi="Arial"/>
            <w:spacing w:val="-2"/>
            <w:w w:val="107"/>
            <w:sz w:val="19"/>
            <w:u w:val="single" w:color="006FC0"/>
          </w:rPr>
          <w:t>3</w:t>
        </w:r>
        <w:r w:rsidR="00D70D28">
          <w:rPr>
            <w:rFonts w:ascii="Arial" w:hAnsi="Arial"/>
            <w:spacing w:val="1"/>
            <w:w w:val="114"/>
            <w:sz w:val="19"/>
            <w:u w:val="single" w:color="006FC0"/>
          </w:rPr>
          <w:t>0</w:t>
        </w:r>
        <w:r w:rsidR="00D70D28">
          <w:rPr>
            <w:rFonts w:ascii="Arial" w:hAnsi="Arial"/>
            <w:w w:val="104"/>
            <w:sz w:val="19"/>
            <w:u w:val="single" w:color="006FC0"/>
          </w:rPr>
          <w:t>6.</w:t>
        </w:r>
        <w:r w:rsidR="00D70D28">
          <w:rPr>
            <w:rFonts w:ascii="Arial" w:hAnsi="Arial"/>
            <w:spacing w:val="1"/>
            <w:w w:val="104"/>
            <w:sz w:val="19"/>
            <w:u w:val="single" w:color="006FC0"/>
          </w:rPr>
          <w:t>0</w:t>
        </w:r>
        <w:r w:rsidR="00D70D28">
          <w:rPr>
            <w:rFonts w:ascii="Arial" w:hAnsi="Arial"/>
            <w:spacing w:val="-2"/>
            <w:w w:val="96"/>
            <w:sz w:val="19"/>
            <w:u w:val="single" w:color="006FC0"/>
          </w:rPr>
          <w:t>M</w:t>
        </w:r>
        <w:r w:rsidR="00D70D28">
          <w:rPr>
            <w:rFonts w:ascii="Arial" w:hAnsi="Arial"/>
            <w:w w:val="94"/>
            <w:sz w:val="19"/>
            <w:u w:val="single" w:color="006FC0"/>
          </w:rPr>
          <w:t>a</w:t>
        </w:r>
        <w:r w:rsidR="00D70D28">
          <w:rPr>
            <w:rFonts w:ascii="Arial" w:hAnsi="Arial"/>
            <w:sz w:val="19"/>
            <w:u w:val="single" w:color="006FC0"/>
          </w:rPr>
          <w:t>y%</w:t>
        </w:r>
        <w:r w:rsidR="00D70D28">
          <w:rPr>
            <w:rFonts w:ascii="Arial" w:hAnsi="Arial"/>
            <w:spacing w:val="-1"/>
            <w:w w:val="109"/>
            <w:sz w:val="19"/>
            <w:u w:val="single" w:color="006FC0"/>
          </w:rPr>
          <w:t>2</w:t>
        </w:r>
        <w:r w:rsidR="00D70D28">
          <w:rPr>
            <w:rFonts w:ascii="Arial" w:hAnsi="Arial"/>
            <w:spacing w:val="1"/>
            <w:w w:val="114"/>
            <w:sz w:val="19"/>
            <w:u w:val="single" w:color="006FC0"/>
          </w:rPr>
          <w:t>0</w:t>
        </w:r>
        <w:r w:rsidR="00D70D28">
          <w:rPr>
            <w:rFonts w:ascii="Arial" w:hAnsi="Arial"/>
            <w:spacing w:val="-1"/>
            <w:w w:val="109"/>
            <w:sz w:val="19"/>
            <w:u w:val="single" w:color="006FC0"/>
          </w:rPr>
          <w:t>2</w:t>
        </w:r>
        <w:r w:rsidR="00D70D28">
          <w:rPr>
            <w:rFonts w:ascii="Arial" w:hAnsi="Arial"/>
            <w:spacing w:val="1"/>
            <w:w w:val="114"/>
            <w:sz w:val="19"/>
            <w:u w:val="single" w:color="006FC0"/>
          </w:rPr>
          <w:t>0</w:t>
        </w:r>
        <w:r w:rsidR="00D70D28">
          <w:rPr>
            <w:rFonts w:ascii="Arial" w:hAnsi="Arial"/>
            <w:spacing w:val="1"/>
            <w:w w:val="66"/>
            <w:sz w:val="19"/>
            <w:u w:val="single" w:color="006FC0"/>
          </w:rPr>
          <w:t>1</w:t>
        </w:r>
        <w:r w:rsidR="00D70D28">
          <w:rPr>
            <w:rFonts w:ascii="Arial" w:hAnsi="Arial"/>
            <w:spacing w:val="-1"/>
            <w:w w:val="109"/>
            <w:sz w:val="19"/>
            <w:u w:val="single" w:color="006FC0"/>
          </w:rPr>
          <w:t>8</w:t>
        </w:r>
        <w:r w:rsidR="00D70D28">
          <w:rPr>
            <w:rFonts w:ascii="Arial" w:hAnsi="Arial"/>
            <w:w w:val="92"/>
            <w:sz w:val="19"/>
            <w:u w:val="single" w:color="006FC0"/>
          </w:rPr>
          <w:t>?</w:t>
        </w:r>
        <w:r w:rsidR="00D70D28">
          <w:rPr>
            <w:rFonts w:ascii="Arial" w:hAnsi="Arial"/>
            <w:spacing w:val="-2"/>
            <w:w w:val="93"/>
            <w:sz w:val="19"/>
            <w:u w:val="single" w:color="006FC0"/>
          </w:rPr>
          <w:t>O</w:t>
        </w:r>
        <w:r w:rsidR="00D70D28">
          <w:rPr>
            <w:rFonts w:ascii="Arial" w:hAnsi="Arial"/>
            <w:spacing w:val="-2"/>
            <w:w w:val="101"/>
            <w:sz w:val="19"/>
            <w:u w:val="single" w:color="006FC0"/>
          </w:rPr>
          <w:t>p</w:t>
        </w:r>
        <w:r w:rsidR="00D70D28">
          <w:rPr>
            <w:rFonts w:ascii="Arial" w:hAnsi="Arial"/>
            <w:w w:val="96"/>
            <w:sz w:val="19"/>
            <w:u w:val="single" w:color="006FC0"/>
          </w:rPr>
          <w:t>e</w:t>
        </w:r>
        <w:r w:rsidR="00D70D28">
          <w:rPr>
            <w:rFonts w:ascii="Arial" w:hAnsi="Arial"/>
            <w:spacing w:val="1"/>
            <w:w w:val="101"/>
            <w:sz w:val="19"/>
            <w:u w:val="single" w:color="006FC0"/>
          </w:rPr>
          <w:t>n</w:t>
        </w:r>
        <w:r w:rsidR="00D70D28">
          <w:rPr>
            <w:rFonts w:ascii="Arial" w:hAnsi="Arial"/>
            <w:w w:val="97"/>
            <w:sz w:val="19"/>
            <w:u w:val="single" w:color="006FC0"/>
          </w:rPr>
          <w:t>Do</w:t>
        </w:r>
        <w:r w:rsidR="00D70D28">
          <w:rPr>
            <w:rFonts w:ascii="Arial" w:hAnsi="Arial"/>
            <w:spacing w:val="-2"/>
            <w:w w:val="97"/>
            <w:sz w:val="19"/>
            <w:u w:val="single" w:color="006FC0"/>
          </w:rPr>
          <w:t>c</w:t>
        </w:r>
        <w:r w:rsidR="00D70D28">
          <w:rPr>
            <w:rFonts w:ascii="Arial" w:hAnsi="Arial"/>
            <w:spacing w:val="1"/>
            <w:w w:val="101"/>
            <w:sz w:val="19"/>
            <w:u w:val="single" w:color="006FC0"/>
          </w:rPr>
          <w:t>u</w:t>
        </w:r>
        <w:r w:rsidR="00D70D28">
          <w:rPr>
            <w:rFonts w:ascii="Arial" w:hAnsi="Arial"/>
            <w:w w:val="99"/>
            <w:sz w:val="19"/>
            <w:u w:val="single" w:color="006FC0"/>
          </w:rPr>
          <w:t>me</w:t>
        </w:r>
      </w:hyperlink>
      <w:r w:rsidR="00D70D28">
        <w:rPr>
          <w:rFonts w:ascii="Arial" w:hAnsi="Arial"/>
          <w:w w:val="99"/>
          <w:sz w:val="19"/>
        </w:rPr>
        <w:t xml:space="preserve"> </w:t>
      </w:r>
      <w:hyperlink r:id="rId226">
        <w:proofErr w:type="spellStart"/>
        <w:r w:rsidR="00D70D28">
          <w:rPr>
            <w:rFonts w:ascii="Arial" w:hAnsi="Arial"/>
            <w:w w:val="110"/>
            <w:sz w:val="19"/>
            <w:u w:val="single" w:color="006FC0"/>
          </w:rPr>
          <w:t>nt</w:t>
        </w:r>
        <w:proofErr w:type="spellEnd"/>
      </w:hyperlink>
    </w:p>
    <w:p w:rsidR="007D76BB" w:rsidRDefault="00A51832">
      <w:pPr>
        <w:pStyle w:val="ListParagraph"/>
        <w:numPr>
          <w:ilvl w:val="1"/>
          <w:numId w:val="5"/>
        </w:numPr>
        <w:tabs>
          <w:tab w:val="left" w:pos="766"/>
        </w:tabs>
        <w:spacing w:before="76" w:line="266" w:lineRule="auto"/>
        <w:ind w:right="1231"/>
        <w:rPr>
          <w:rFonts w:ascii="Arial" w:hAnsi="Arial"/>
          <w:sz w:val="19"/>
        </w:rPr>
      </w:pPr>
      <w:hyperlink r:id="rId227">
        <w:r w:rsidR="00D70D28">
          <w:rPr>
            <w:rFonts w:ascii="Arial" w:hAnsi="Arial"/>
            <w:spacing w:val="-4"/>
            <w:w w:val="105"/>
            <w:sz w:val="19"/>
            <w:u w:val="single" w:color="006FC0"/>
          </w:rPr>
          <w:t>https://ais.gov.au/data/assets/pdf_file/0004/698557/AIS-Sports-SupplementFramework-</w:t>
        </w:r>
      </w:hyperlink>
      <w:hyperlink r:id="rId228">
        <w:r w:rsidR="00D70D28">
          <w:rPr>
            <w:rFonts w:ascii="Arial" w:hAnsi="Arial"/>
            <w:spacing w:val="-4"/>
            <w:w w:val="105"/>
            <w:sz w:val="19"/>
            <w:u w:val="single" w:color="006FC0"/>
          </w:rPr>
          <w:t xml:space="preserve"> </w:t>
        </w:r>
        <w:r w:rsidR="00D70D28">
          <w:rPr>
            <w:rFonts w:ascii="Arial" w:hAnsi="Arial"/>
            <w:w w:val="105"/>
            <w:sz w:val="19"/>
            <w:u w:val="single" w:color="006FC0"/>
          </w:rPr>
          <w:t>2019.pdf</w:t>
        </w:r>
      </w:hyperlink>
    </w:p>
    <w:p w:rsidR="007D76BB" w:rsidRDefault="00A51832">
      <w:pPr>
        <w:pStyle w:val="ListParagraph"/>
        <w:numPr>
          <w:ilvl w:val="1"/>
          <w:numId w:val="5"/>
        </w:numPr>
        <w:tabs>
          <w:tab w:val="left" w:pos="766"/>
        </w:tabs>
        <w:spacing w:before="79"/>
        <w:rPr>
          <w:rFonts w:ascii="Arial" w:hAnsi="Arial"/>
          <w:sz w:val="19"/>
        </w:rPr>
      </w:pPr>
      <w:hyperlink r:id="rId229">
        <w:r w:rsidR="00D70D28">
          <w:rPr>
            <w:rFonts w:ascii="Arial" w:hAnsi="Arial"/>
            <w:spacing w:val="1"/>
            <w:w w:val="101"/>
            <w:sz w:val="19"/>
            <w:u w:val="single" w:color="006FC0"/>
          </w:rPr>
          <w:t>h</w:t>
        </w:r>
        <w:r w:rsidR="00D70D28">
          <w:rPr>
            <w:rFonts w:ascii="Arial" w:hAnsi="Arial"/>
            <w:w w:val="134"/>
            <w:sz w:val="19"/>
            <w:u w:val="single" w:color="006FC0"/>
          </w:rPr>
          <w:t>t</w:t>
        </w:r>
        <w:r w:rsidR="00D70D28">
          <w:rPr>
            <w:rFonts w:ascii="Arial" w:hAnsi="Arial"/>
            <w:spacing w:val="-2"/>
            <w:w w:val="134"/>
            <w:sz w:val="19"/>
            <w:u w:val="single" w:color="006FC0"/>
          </w:rPr>
          <w:t>t</w:t>
        </w:r>
        <w:r w:rsidR="00D70D28">
          <w:rPr>
            <w:rFonts w:ascii="Arial" w:hAnsi="Arial"/>
            <w:w w:val="101"/>
            <w:sz w:val="19"/>
            <w:u w:val="single" w:color="006FC0"/>
          </w:rPr>
          <w:t>p</w:t>
        </w:r>
        <w:r w:rsidR="00D70D28">
          <w:rPr>
            <w:rFonts w:ascii="Arial" w:hAnsi="Arial"/>
            <w:w w:val="111"/>
            <w:sz w:val="19"/>
            <w:u w:val="single" w:color="006FC0"/>
          </w:rPr>
          <w:t>s:/</w:t>
        </w:r>
        <w:r w:rsidR="00D70D28">
          <w:rPr>
            <w:rFonts w:ascii="Arial" w:hAnsi="Arial"/>
            <w:w w:val="175"/>
            <w:sz w:val="19"/>
            <w:u w:val="single" w:color="006FC0"/>
          </w:rPr>
          <w:t>/</w:t>
        </w:r>
        <w:r w:rsidR="00D70D28">
          <w:rPr>
            <w:rFonts w:ascii="Arial" w:hAnsi="Arial"/>
            <w:spacing w:val="-2"/>
            <w:w w:val="98"/>
            <w:sz w:val="19"/>
            <w:u w:val="single" w:color="006FC0"/>
          </w:rPr>
          <w:t>w</w:t>
        </w:r>
        <w:r w:rsidR="00D70D28">
          <w:rPr>
            <w:rFonts w:ascii="Arial" w:hAnsi="Arial"/>
            <w:spacing w:val="1"/>
            <w:w w:val="98"/>
            <w:sz w:val="19"/>
            <w:u w:val="single" w:color="006FC0"/>
          </w:rPr>
          <w:t>ww</w:t>
        </w:r>
        <w:r w:rsidR="00D70D28">
          <w:rPr>
            <w:rFonts w:ascii="Arial" w:hAnsi="Arial"/>
            <w:spacing w:val="-2"/>
            <w:w w:val="80"/>
            <w:sz w:val="19"/>
            <w:u w:val="single" w:color="006FC0"/>
          </w:rPr>
          <w:t>.</w:t>
        </w:r>
        <w:r w:rsidR="00D70D28">
          <w:rPr>
            <w:rFonts w:ascii="Arial" w:hAnsi="Arial"/>
            <w:w w:val="94"/>
            <w:sz w:val="19"/>
            <w:u w:val="single" w:color="006FC0"/>
          </w:rPr>
          <w:t>asa</w:t>
        </w:r>
        <w:r w:rsidR="00D70D28">
          <w:rPr>
            <w:rFonts w:ascii="Arial" w:hAnsi="Arial"/>
            <w:spacing w:val="-1"/>
            <w:sz w:val="19"/>
            <w:u w:val="single" w:color="006FC0"/>
          </w:rPr>
          <w:t>d</w:t>
        </w:r>
        <w:r w:rsidR="00D70D28">
          <w:rPr>
            <w:rFonts w:ascii="Arial" w:hAnsi="Arial"/>
            <w:w w:val="94"/>
            <w:sz w:val="19"/>
            <w:u w:val="single" w:color="006FC0"/>
          </w:rPr>
          <w:t>a.</w:t>
        </w:r>
        <w:r w:rsidR="00D70D28">
          <w:rPr>
            <w:rFonts w:ascii="Arial" w:hAnsi="Arial"/>
            <w:spacing w:val="1"/>
            <w:w w:val="94"/>
            <w:sz w:val="19"/>
            <w:u w:val="single" w:color="006FC0"/>
          </w:rPr>
          <w:t>g</w:t>
        </w:r>
        <w:r w:rsidR="00D70D28">
          <w:rPr>
            <w:rFonts w:ascii="Arial" w:hAnsi="Arial"/>
            <w:w w:val="101"/>
            <w:sz w:val="19"/>
            <w:u w:val="single" w:color="006FC0"/>
          </w:rPr>
          <w:t>o</w:t>
        </w:r>
        <w:r w:rsidR="00D70D28">
          <w:rPr>
            <w:rFonts w:ascii="Arial" w:hAnsi="Arial"/>
            <w:spacing w:val="-2"/>
            <w:w w:val="101"/>
            <w:sz w:val="19"/>
            <w:u w:val="single" w:color="006FC0"/>
          </w:rPr>
          <w:t>v</w:t>
        </w:r>
        <w:r w:rsidR="00D70D28">
          <w:rPr>
            <w:rFonts w:ascii="Arial" w:hAnsi="Arial"/>
            <w:w w:val="89"/>
            <w:sz w:val="19"/>
            <w:u w:val="single" w:color="006FC0"/>
          </w:rPr>
          <w:t>.</w:t>
        </w:r>
        <w:r w:rsidR="00D70D28">
          <w:rPr>
            <w:rFonts w:ascii="Arial" w:hAnsi="Arial"/>
            <w:spacing w:val="-1"/>
            <w:w w:val="89"/>
            <w:sz w:val="19"/>
            <w:u w:val="single" w:color="006FC0"/>
          </w:rPr>
          <w:t>a</w:t>
        </w:r>
        <w:r w:rsidR="00D70D28">
          <w:rPr>
            <w:rFonts w:ascii="Arial" w:hAnsi="Arial"/>
            <w:spacing w:val="1"/>
            <w:w w:val="101"/>
            <w:sz w:val="19"/>
            <w:u w:val="single" w:color="006FC0"/>
          </w:rPr>
          <w:t>u</w:t>
        </w:r>
        <w:r w:rsidR="00D70D28">
          <w:rPr>
            <w:rFonts w:ascii="Arial" w:hAnsi="Arial"/>
            <w:w w:val="175"/>
            <w:sz w:val="19"/>
            <w:u w:val="single" w:color="006FC0"/>
          </w:rPr>
          <w:t>/</w:t>
        </w:r>
        <w:r w:rsidR="00D70D28">
          <w:rPr>
            <w:rFonts w:ascii="Arial" w:hAnsi="Arial"/>
            <w:spacing w:val="-3"/>
            <w:w w:val="93"/>
            <w:sz w:val="19"/>
            <w:u w:val="single" w:color="006FC0"/>
          </w:rPr>
          <w:t>s</w:t>
        </w:r>
        <w:r w:rsidR="00D70D28">
          <w:rPr>
            <w:rFonts w:ascii="Arial" w:hAnsi="Arial"/>
            <w:spacing w:val="1"/>
            <w:w w:val="101"/>
            <w:sz w:val="19"/>
            <w:u w:val="single" w:color="006FC0"/>
          </w:rPr>
          <w:t>u</w:t>
        </w:r>
        <w:r w:rsidR="00D70D28">
          <w:rPr>
            <w:rFonts w:ascii="Arial" w:hAnsi="Arial"/>
            <w:spacing w:val="-1"/>
            <w:sz w:val="19"/>
            <w:u w:val="single" w:color="006FC0"/>
          </w:rPr>
          <w:t>b</w:t>
        </w:r>
        <w:r w:rsidR="00D70D28">
          <w:rPr>
            <w:rFonts w:ascii="Arial" w:hAnsi="Arial"/>
            <w:w w:val="108"/>
            <w:sz w:val="19"/>
            <w:u w:val="single" w:color="006FC0"/>
          </w:rPr>
          <w:t>st</w:t>
        </w:r>
        <w:r w:rsidR="00D70D28">
          <w:rPr>
            <w:rFonts w:ascii="Arial" w:hAnsi="Arial"/>
            <w:w w:val="94"/>
            <w:sz w:val="19"/>
            <w:u w:val="single" w:color="006FC0"/>
          </w:rPr>
          <w:t>a</w:t>
        </w:r>
        <w:r w:rsidR="00D70D28">
          <w:rPr>
            <w:rFonts w:ascii="Arial" w:hAnsi="Arial"/>
            <w:spacing w:val="1"/>
            <w:w w:val="101"/>
            <w:sz w:val="19"/>
            <w:u w:val="single" w:color="006FC0"/>
          </w:rPr>
          <w:t>n</w:t>
        </w:r>
        <w:r w:rsidR="00D70D28">
          <w:rPr>
            <w:rFonts w:ascii="Arial" w:hAnsi="Arial"/>
            <w:spacing w:val="-2"/>
            <w:w w:val="99"/>
            <w:sz w:val="19"/>
            <w:u w:val="single" w:color="006FC0"/>
          </w:rPr>
          <w:t>c</w:t>
        </w:r>
        <w:r w:rsidR="00D70D28">
          <w:rPr>
            <w:rFonts w:ascii="Arial" w:hAnsi="Arial"/>
            <w:w w:val="96"/>
            <w:sz w:val="19"/>
            <w:u w:val="single" w:color="006FC0"/>
          </w:rPr>
          <w:t>e</w:t>
        </w:r>
        <w:r w:rsidR="00D70D28">
          <w:rPr>
            <w:rFonts w:ascii="Arial" w:hAnsi="Arial"/>
            <w:w w:val="123"/>
            <w:sz w:val="19"/>
            <w:u w:val="single" w:color="006FC0"/>
          </w:rPr>
          <w:t>s/</w:t>
        </w:r>
        <w:r w:rsidR="00D70D28">
          <w:rPr>
            <w:rFonts w:ascii="Arial" w:hAnsi="Arial"/>
            <w:w w:val="97"/>
            <w:sz w:val="19"/>
            <w:u w:val="single" w:color="006FC0"/>
          </w:rPr>
          <w:t>s</w:t>
        </w:r>
        <w:r w:rsidR="00D70D28">
          <w:rPr>
            <w:rFonts w:ascii="Arial" w:hAnsi="Arial"/>
            <w:spacing w:val="-2"/>
            <w:w w:val="97"/>
            <w:sz w:val="19"/>
            <w:u w:val="single" w:color="006FC0"/>
          </w:rPr>
          <w:t>u</w:t>
        </w:r>
        <w:r w:rsidR="00D70D28">
          <w:rPr>
            <w:rFonts w:ascii="Arial" w:hAnsi="Arial"/>
            <w:w w:val="101"/>
            <w:sz w:val="19"/>
            <w:u w:val="single" w:color="006FC0"/>
          </w:rPr>
          <w:t>pp</w:t>
        </w:r>
        <w:r w:rsidR="00D70D28">
          <w:rPr>
            <w:rFonts w:ascii="Arial" w:hAnsi="Arial"/>
            <w:spacing w:val="-2"/>
            <w:w w:val="117"/>
            <w:sz w:val="19"/>
            <w:u w:val="single" w:color="006FC0"/>
          </w:rPr>
          <w:t>l</w:t>
        </w:r>
        <w:r w:rsidR="00D70D28">
          <w:rPr>
            <w:rFonts w:ascii="Arial" w:hAnsi="Arial"/>
            <w:w w:val="96"/>
            <w:sz w:val="19"/>
            <w:u w:val="single" w:color="006FC0"/>
          </w:rPr>
          <w:t>e</w:t>
        </w:r>
        <w:r w:rsidR="00D70D28">
          <w:rPr>
            <w:rFonts w:ascii="Arial" w:hAnsi="Arial"/>
            <w:w w:val="99"/>
            <w:sz w:val="19"/>
            <w:u w:val="single" w:color="006FC0"/>
          </w:rPr>
          <w:t>m</w:t>
        </w:r>
        <w:r w:rsidR="00D70D28">
          <w:rPr>
            <w:rFonts w:ascii="Arial" w:hAnsi="Arial"/>
            <w:spacing w:val="1"/>
            <w:w w:val="99"/>
            <w:sz w:val="19"/>
            <w:u w:val="single" w:color="006FC0"/>
          </w:rPr>
          <w:t>e</w:t>
        </w:r>
        <w:r w:rsidR="00D70D28">
          <w:rPr>
            <w:rFonts w:ascii="Arial" w:hAnsi="Arial"/>
            <w:spacing w:val="-2"/>
            <w:w w:val="101"/>
            <w:sz w:val="19"/>
            <w:u w:val="single" w:color="006FC0"/>
          </w:rPr>
          <w:t>n</w:t>
        </w:r>
        <w:r w:rsidR="00D70D28">
          <w:rPr>
            <w:rFonts w:ascii="Arial" w:hAnsi="Arial"/>
            <w:spacing w:val="5"/>
            <w:w w:val="134"/>
            <w:sz w:val="19"/>
            <w:u w:val="single" w:color="006FC0"/>
          </w:rPr>
          <w:t>t</w:t>
        </w:r>
        <w:r w:rsidR="00D70D28">
          <w:rPr>
            <w:rFonts w:ascii="Arial" w:hAnsi="Arial"/>
            <w:spacing w:val="-1"/>
            <w:w w:val="93"/>
            <w:sz w:val="19"/>
            <w:u w:val="single" w:color="006FC0"/>
          </w:rPr>
          <w:t>s</w:t>
        </w:r>
        <w:r w:rsidR="00D70D28">
          <w:rPr>
            <w:rFonts w:ascii="Arial" w:hAnsi="Arial"/>
            <w:spacing w:val="1"/>
            <w:w w:val="119"/>
            <w:sz w:val="19"/>
            <w:u w:val="single" w:color="006FC0"/>
          </w:rPr>
          <w:t>-</w:t>
        </w:r>
        <w:r w:rsidR="00D70D28">
          <w:rPr>
            <w:rFonts w:ascii="Arial" w:hAnsi="Arial"/>
            <w:w w:val="97"/>
            <w:sz w:val="19"/>
            <w:u w:val="single" w:color="006FC0"/>
          </w:rPr>
          <w:t>sp</w:t>
        </w:r>
        <w:r w:rsidR="00D70D28">
          <w:rPr>
            <w:rFonts w:ascii="Arial" w:hAnsi="Arial"/>
            <w:spacing w:val="-3"/>
            <w:sz w:val="19"/>
            <w:u w:val="single" w:color="006FC0"/>
          </w:rPr>
          <w:t>o</w:t>
        </w:r>
        <w:r w:rsidR="00D70D28">
          <w:rPr>
            <w:rFonts w:ascii="Arial" w:hAnsi="Arial"/>
            <w:w w:val="116"/>
            <w:sz w:val="19"/>
            <w:u w:val="single" w:color="006FC0"/>
          </w:rPr>
          <w:t>r</w:t>
        </w:r>
        <w:r w:rsidR="00D70D28">
          <w:rPr>
            <w:rFonts w:ascii="Arial" w:hAnsi="Arial"/>
            <w:w w:val="134"/>
            <w:sz w:val="19"/>
            <w:u w:val="single" w:color="006FC0"/>
          </w:rPr>
          <w:t>t</w:t>
        </w:r>
      </w:hyperlink>
    </w:p>
    <w:p w:rsidR="007D76BB" w:rsidRDefault="00D70D28">
      <w:pPr>
        <w:pStyle w:val="ListParagraph"/>
        <w:numPr>
          <w:ilvl w:val="1"/>
          <w:numId w:val="5"/>
        </w:numPr>
        <w:tabs>
          <w:tab w:val="left" w:pos="766"/>
        </w:tabs>
        <w:spacing w:before="99" w:line="268" w:lineRule="auto"/>
        <w:ind w:right="947"/>
        <w:rPr>
          <w:rFonts w:ascii="Arial" w:hAnsi="Arial"/>
          <w:sz w:val="19"/>
        </w:rPr>
      </w:pPr>
      <w:r>
        <w:rPr>
          <w:rFonts w:ascii="Arial" w:hAnsi="Arial"/>
          <w:w w:val="105"/>
          <w:sz w:val="19"/>
        </w:rPr>
        <w:t>Department</w:t>
      </w:r>
      <w:r>
        <w:rPr>
          <w:rFonts w:ascii="Arial" w:hAnsi="Arial"/>
          <w:spacing w:val="-23"/>
          <w:w w:val="105"/>
          <w:sz w:val="19"/>
        </w:rPr>
        <w:t xml:space="preserve"> </w:t>
      </w:r>
      <w:r>
        <w:rPr>
          <w:rFonts w:ascii="Arial" w:hAnsi="Arial"/>
          <w:w w:val="105"/>
          <w:sz w:val="19"/>
        </w:rPr>
        <w:t>of</w:t>
      </w:r>
      <w:r>
        <w:rPr>
          <w:rFonts w:ascii="Arial" w:hAnsi="Arial"/>
          <w:spacing w:val="-23"/>
          <w:w w:val="105"/>
          <w:sz w:val="19"/>
        </w:rPr>
        <w:t xml:space="preserve"> </w:t>
      </w:r>
      <w:r>
        <w:rPr>
          <w:rFonts w:ascii="Arial" w:hAnsi="Arial"/>
          <w:w w:val="105"/>
          <w:sz w:val="19"/>
        </w:rPr>
        <w:t>Health.</w:t>
      </w:r>
      <w:r>
        <w:rPr>
          <w:rFonts w:ascii="Arial" w:hAnsi="Arial"/>
          <w:spacing w:val="-23"/>
          <w:w w:val="105"/>
          <w:sz w:val="19"/>
        </w:rPr>
        <w:t xml:space="preserve"> </w:t>
      </w:r>
      <w:r>
        <w:rPr>
          <w:rFonts w:ascii="Arial" w:hAnsi="Arial"/>
          <w:w w:val="105"/>
          <w:sz w:val="19"/>
        </w:rPr>
        <w:t>(2020),</w:t>
      </w:r>
      <w:r>
        <w:rPr>
          <w:rFonts w:ascii="Arial" w:hAnsi="Arial"/>
          <w:spacing w:val="-23"/>
          <w:w w:val="105"/>
          <w:sz w:val="19"/>
        </w:rPr>
        <w:t xml:space="preserve"> </w:t>
      </w:r>
      <w:r>
        <w:rPr>
          <w:rFonts w:ascii="Arial" w:hAnsi="Arial"/>
          <w:w w:val="105"/>
          <w:sz w:val="19"/>
        </w:rPr>
        <w:t>Update</w:t>
      </w:r>
      <w:r>
        <w:rPr>
          <w:rFonts w:ascii="Arial" w:hAnsi="Arial"/>
          <w:spacing w:val="-23"/>
          <w:w w:val="105"/>
          <w:sz w:val="19"/>
        </w:rPr>
        <w:t xml:space="preserve"> </w:t>
      </w:r>
      <w:r>
        <w:rPr>
          <w:rFonts w:ascii="Arial" w:hAnsi="Arial"/>
          <w:w w:val="105"/>
          <w:sz w:val="19"/>
        </w:rPr>
        <w:t>on</w:t>
      </w:r>
      <w:r>
        <w:rPr>
          <w:rFonts w:ascii="Arial" w:hAnsi="Arial"/>
          <w:spacing w:val="-24"/>
          <w:w w:val="105"/>
          <w:sz w:val="19"/>
        </w:rPr>
        <w:t xml:space="preserve"> </w:t>
      </w:r>
      <w:r>
        <w:rPr>
          <w:rFonts w:ascii="Arial" w:hAnsi="Arial"/>
          <w:w w:val="105"/>
          <w:sz w:val="19"/>
        </w:rPr>
        <w:t>proposed</w:t>
      </w:r>
      <w:r>
        <w:rPr>
          <w:rFonts w:ascii="Arial" w:hAnsi="Arial"/>
          <w:spacing w:val="-24"/>
          <w:w w:val="105"/>
          <w:sz w:val="19"/>
        </w:rPr>
        <w:t xml:space="preserve"> </w:t>
      </w:r>
      <w:r>
        <w:rPr>
          <w:rFonts w:ascii="Arial" w:hAnsi="Arial"/>
          <w:w w:val="105"/>
          <w:sz w:val="19"/>
        </w:rPr>
        <w:t>clarification</w:t>
      </w:r>
      <w:r>
        <w:rPr>
          <w:rFonts w:ascii="Arial" w:hAnsi="Arial"/>
          <w:spacing w:val="-24"/>
          <w:w w:val="105"/>
          <w:sz w:val="19"/>
        </w:rPr>
        <w:t xml:space="preserve"> </w:t>
      </w:r>
      <w:r>
        <w:rPr>
          <w:rFonts w:ascii="Arial" w:hAnsi="Arial"/>
          <w:w w:val="105"/>
          <w:sz w:val="19"/>
        </w:rPr>
        <w:t>that</w:t>
      </w:r>
      <w:r>
        <w:rPr>
          <w:rFonts w:ascii="Arial" w:hAnsi="Arial"/>
          <w:spacing w:val="-23"/>
          <w:w w:val="105"/>
          <w:sz w:val="19"/>
        </w:rPr>
        <w:t xml:space="preserve"> </w:t>
      </w:r>
      <w:r>
        <w:rPr>
          <w:rFonts w:ascii="Arial" w:hAnsi="Arial"/>
          <w:w w:val="105"/>
          <w:sz w:val="19"/>
        </w:rPr>
        <w:t>certain</w:t>
      </w:r>
      <w:r>
        <w:rPr>
          <w:rFonts w:ascii="Arial" w:hAnsi="Arial"/>
          <w:spacing w:val="-24"/>
          <w:w w:val="105"/>
          <w:sz w:val="19"/>
        </w:rPr>
        <w:t xml:space="preserve"> </w:t>
      </w:r>
      <w:r>
        <w:rPr>
          <w:rFonts w:ascii="Arial" w:hAnsi="Arial"/>
          <w:w w:val="105"/>
          <w:sz w:val="19"/>
        </w:rPr>
        <w:t>sports</w:t>
      </w:r>
      <w:r>
        <w:rPr>
          <w:rFonts w:ascii="Arial" w:hAnsi="Arial"/>
          <w:spacing w:val="-24"/>
          <w:w w:val="105"/>
          <w:sz w:val="19"/>
        </w:rPr>
        <w:t xml:space="preserve"> </w:t>
      </w:r>
      <w:r>
        <w:rPr>
          <w:rFonts w:ascii="Arial" w:hAnsi="Arial"/>
          <w:w w:val="105"/>
          <w:sz w:val="19"/>
        </w:rPr>
        <w:t>supplements are therapeutic</w:t>
      </w:r>
      <w:r>
        <w:rPr>
          <w:rFonts w:ascii="Arial" w:hAnsi="Arial"/>
          <w:spacing w:val="-25"/>
          <w:w w:val="105"/>
          <w:sz w:val="19"/>
        </w:rPr>
        <w:t xml:space="preserve"> </w:t>
      </w:r>
      <w:r>
        <w:rPr>
          <w:rFonts w:ascii="Arial" w:hAnsi="Arial"/>
          <w:w w:val="105"/>
          <w:sz w:val="19"/>
        </w:rPr>
        <w:t>goods</w:t>
      </w:r>
    </w:p>
    <w:p w:rsidR="007D76BB" w:rsidRDefault="00A51832">
      <w:pPr>
        <w:pStyle w:val="ListParagraph"/>
        <w:numPr>
          <w:ilvl w:val="1"/>
          <w:numId w:val="5"/>
        </w:numPr>
        <w:tabs>
          <w:tab w:val="left" w:pos="766"/>
        </w:tabs>
        <w:spacing w:before="74"/>
        <w:rPr>
          <w:rFonts w:ascii="Arial" w:hAnsi="Arial"/>
          <w:sz w:val="19"/>
        </w:rPr>
      </w:pPr>
      <w:hyperlink r:id="rId230">
        <w:r w:rsidR="00D70D28">
          <w:rPr>
            <w:rFonts w:ascii="Arial" w:hAnsi="Arial"/>
            <w:w w:val="105"/>
            <w:sz w:val="19"/>
            <w:u w:val="single" w:color="006FC0"/>
          </w:rPr>
          <w:t>http://www.foodstandards.gov.au/about/safefoodsystem/pages/default.aspx</w:t>
        </w:r>
      </w:hyperlink>
    </w:p>
    <w:p w:rsidR="007D76BB" w:rsidRDefault="00A51832">
      <w:pPr>
        <w:pStyle w:val="ListParagraph"/>
        <w:numPr>
          <w:ilvl w:val="1"/>
          <w:numId w:val="5"/>
        </w:numPr>
        <w:tabs>
          <w:tab w:val="left" w:pos="766"/>
        </w:tabs>
        <w:spacing w:before="103"/>
        <w:rPr>
          <w:rFonts w:ascii="Arial" w:hAnsi="Arial"/>
          <w:sz w:val="19"/>
        </w:rPr>
      </w:pPr>
      <w:hyperlink r:id="rId231">
        <w:r w:rsidR="00D70D28">
          <w:rPr>
            <w:rFonts w:ascii="Arial" w:hAnsi="Arial"/>
            <w:spacing w:val="1"/>
            <w:w w:val="101"/>
            <w:sz w:val="19"/>
            <w:u w:val="single" w:color="006FC0"/>
          </w:rPr>
          <w:t>h</w:t>
        </w:r>
        <w:r w:rsidR="00D70D28">
          <w:rPr>
            <w:rFonts w:ascii="Arial" w:hAnsi="Arial"/>
            <w:w w:val="134"/>
            <w:sz w:val="19"/>
            <w:u w:val="single" w:color="006FC0"/>
          </w:rPr>
          <w:t>t</w:t>
        </w:r>
        <w:r w:rsidR="00D70D28">
          <w:rPr>
            <w:rFonts w:ascii="Arial" w:hAnsi="Arial"/>
            <w:spacing w:val="-2"/>
            <w:w w:val="134"/>
            <w:sz w:val="19"/>
            <w:u w:val="single" w:color="006FC0"/>
          </w:rPr>
          <w:t>t</w:t>
        </w:r>
        <w:r w:rsidR="00D70D28">
          <w:rPr>
            <w:rFonts w:ascii="Arial" w:hAnsi="Arial"/>
            <w:w w:val="101"/>
            <w:sz w:val="19"/>
            <w:u w:val="single" w:color="006FC0"/>
          </w:rPr>
          <w:t>p</w:t>
        </w:r>
        <w:r w:rsidR="00D70D28">
          <w:rPr>
            <w:rFonts w:ascii="Arial" w:hAnsi="Arial"/>
            <w:w w:val="111"/>
            <w:sz w:val="19"/>
            <w:u w:val="single" w:color="006FC0"/>
          </w:rPr>
          <w:t>s:/</w:t>
        </w:r>
        <w:r w:rsidR="00D70D28">
          <w:rPr>
            <w:rFonts w:ascii="Arial" w:hAnsi="Arial"/>
            <w:w w:val="175"/>
            <w:sz w:val="19"/>
            <w:u w:val="single" w:color="006FC0"/>
          </w:rPr>
          <w:t>/</w:t>
        </w:r>
        <w:r w:rsidR="00D70D28">
          <w:rPr>
            <w:rFonts w:ascii="Arial" w:hAnsi="Arial"/>
            <w:spacing w:val="-2"/>
            <w:w w:val="98"/>
            <w:sz w:val="19"/>
            <w:u w:val="single" w:color="006FC0"/>
          </w:rPr>
          <w:t>w</w:t>
        </w:r>
        <w:r w:rsidR="00D70D28">
          <w:rPr>
            <w:rFonts w:ascii="Arial" w:hAnsi="Arial"/>
            <w:spacing w:val="1"/>
            <w:w w:val="98"/>
            <w:sz w:val="19"/>
            <w:u w:val="single" w:color="006FC0"/>
          </w:rPr>
          <w:t>ww</w:t>
        </w:r>
        <w:r w:rsidR="00D70D28">
          <w:rPr>
            <w:rFonts w:ascii="Arial" w:hAnsi="Arial"/>
            <w:sz w:val="19"/>
            <w:u w:val="single" w:color="006FC0"/>
          </w:rPr>
          <w:t>.fo</w:t>
        </w:r>
        <w:r w:rsidR="00D70D28">
          <w:rPr>
            <w:rFonts w:ascii="Arial" w:hAnsi="Arial"/>
            <w:spacing w:val="-1"/>
            <w:sz w:val="19"/>
            <w:u w:val="single" w:color="006FC0"/>
          </w:rPr>
          <w:t>od</w:t>
        </w:r>
        <w:r w:rsidR="00D70D28">
          <w:rPr>
            <w:rFonts w:ascii="Arial" w:hAnsi="Arial"/>
            <w:w w:val="108"/>
            <w:sz w:val="19"/>
            <w:u w:val="single" w:color="006FC0"/>
          </w:rPr>
          <w:t>st</w:t>
        </w:r>
        <w:r w:rsidR="00D70D28">
          <w:rPr>
            <w:rFonts w:ascii="Arial" w:hAnsi="Arial"/>
            <w:w w:val="94"/>
            <w:sz w:val="19"/>
            <w:u w:val="single" w:color="006FC0"/>
          </w:rPr>
          <w:t>a</w:t>
        </w:r>
        <w:r w:rsidR="00D70D28">
          <w:rPr>
            <w:rFonts w:ascii="Arial" w:hAnsi="Arial"/>
            <w:spacing w:val="1"/>
            <w:w w:val="101"/>
            <w:sz w:val="19"/>
            <w:u w:val="single" w:color="006FC0"/>
          </w:rPr>
          <w:t>n</w:t>
        </w:r>
        <w:r w:rsidR="00D70D28">
          <w:rPr>
            <w:rFonts w:ascii="Arial" w:hAnsi="Arial"/>
            <w:spacing w:val="-1"/>
            <w:sz w:val="19"/>
            <w:u w:val="single" w:color="006FC0"/>
          </w:rPr>
          <w:t>d</w:t>
        </w:r>
        <w:r w:rsidR="00D70D28">
          <w:rPr>
            <w:rFonts w:ascii="Arial" w:hAnsi="Arial"/>
            <w:w w:val="94"/>
            <w:sz w:val="19"/>
            <w:u w:val="single" w:color="006FC0"/>
          </w:rPr>
          <w:t>a</w:t>
        </w:r>
        <w:r w:rsidR="00D70D28">
          <w:rPr>
            <w:rFonts w:ascii="Arial" w:hAnsi="Arial"/>
            <w:w w:val="116"/>
            <w:sz w:val="19"/>
            <w:u w:val="single" w:color="006FC0"/>
          </w:rPr>
          <w:t>r</w:t>
        </w:r>
        <w:r w:rsidR="00D70D28">
          <w:rPr>
            <w:rFonts w:ascii="Arial" w:hAnsi="Arial"/>
            <w:spacing w:val="-1"/>
            <w:sz w:val="19"/>
            <w:u w:val="single" w:color="006FC0"/>
          </w:rPr>
          <w:t>d</w:t>
        </w:r>
        <w:r w:rsidR="00D70D28">
          <w:rPr>
            <w:rFonts w:ascii="Arial" w:hAnsi="Arial"/>
            <w:w w:val="89"/>
            <w:sz w:val="19"/>
            <w:u w:val="single" w:color="006FC0"/>
          </w:rPr>
          <w:t>s</w:t>
        </w:r>
        <w:r w:rsidR="00D70D28">
          <w:rPr>
            <w:rFonts w:ascii="Arial" w:hAnsi="Arial"/>
            <w:spacing w:val="-2"/>
            <w:w w:val="89"/>
            <w:sz w:val="19"/>
            <w:u w:val="single" w:color="006FC0"/>
          </w:rPr>
          <w:t>.</w:t>
        </w:r>
        <w:r w:rsidR="00D70D28">
          <w:rPr>
            <w:rFonts w:ascii="Arial" w:hAnsi="Arial"/>
            <w:spacing w:val="1"/>
            <w:w w:val="101"/>
            <w:sz w:val="19"/>
            <w:u w:val="single" w:color="006FC0"/>
          </w:rPr>
          <w:t>g</w:t>
        </w:r>
        <w:r w:rsidR="00D70D28">
          <w:rPr>
            <w:rFonts w:ascii="Arial" w:hAnsi="Arial"/>
            <w:spacing w:val="2"/>
            <w:sz w:val="19"/>
            <w:u w:val="single" w:color="006FC0"/>
          </w:rPr>
          <w:t>o</w:t>
        </w:r>
        <w:r w:rsidR="00D70D28">
          <w:rPr>
            <w:rFonts w:ascii="Arial" w:hAnsi="Arial"/>
            <w:spacing w:val="-2"/>
            <w:w w:val="102"/>
            <w:sz w:val="19"/>
            <w:u w:val="single" w:color="006FC0"/>
          </w:rPr>
          <w:t>v</w:t>
        </w:r>
        <w:r w:rsidR="00D70D28">
          <w:rPr>
            <w:rFonts w:ascii="Arial" w:hAnsi="Arial"/>
            <w:w w:val="89"/>
            <w:sz w:val="19"/>
            <w:u w:val="single" w:color="006FC0"/>
          </w:rPr>
          <w:t>.</w:t>
        </w:r>
        <w:r w:rsidR="00D70D28">
          <w:rPr>
            <w:rFonts w:ascii="Arial" w:hAnsi="Arial"/>
            <w:spacing w:val="1"/>
            <w:w w:val="89"/>
            <w:sz w:val="19"/>
            <w:u w:val="single" w:color="006FC0"/>
          </w:rPr>
          <w:t>a</w:t>
        </w:r>
        <w:r w:rsidR="00D70D28">
          <w:rPr>
            <w:rFonts w:ascii="Arial" w:hAnsi="Arial"/>
            <w:spacing w:val="1"/>
            <w:w w:val="101"/>
            <w:sz w:val="19"/>
            <w:u w:val="single" w:color="006FC0"/>
          </w:rPr>
          <w:t>u</w:t>
        </w:r>
        <w:r w:rsidR="00D70D28">
          <w:rPr>
            <w:rFonts w:ascii="Arial" w:hAnsi="Arial"/>
            <w:w w:val="175"/>
            <w:sz w:val="19"/>
            <w:u w:val="single" w:color="006FC0"/>
          </w:rPr>
          <w:t>/</w:t>
        </w:r>
        <w:r w:rsidR="00D70D28">
          <w:rPr>
            <w:rFonts w:ascii="Arial" w:hAnsi="Arial"/>
            <w:w w:val="99"/>
            <w:sz w:val="19"/>
            <w:u w:val="single" w:color="006FC0"/>
          </w:rPr>
          <w:t>c</w:t>
        </w:r>
        <w:r w:rsidR="00D70D28">
          <w:rPr>
            <w:rFonts w:ascii="Arial" w:hAnsi="Arial"/>
            <w:sz w:val="19"/>
            <w:u w:val="single" w:color="006FC0"/>
          </w:rPr>
          <w:t>o</w:t>
        </w:r>
        <w:r w:rsidR="00D70D28">
          <w:rPr>
            <w:rFonts w:ascii="Arial" w:hAnsi="Arial"/>
            <w:spacing w:val="-2"/>
            <w:sz w:val="19"/>
            <w:u w:val="single" w:color="006FC0"/>
          </w:rPr>
          <w:t>d</w:t>
        </w:r>
        <w:r w:rsidR="00D70D28">
          <w:rPr>
            <w:rFonts w:ascii="Arial" w:hAnsi="Arial"/>
            <w:w w:val="96"/>
            <w:sz w:val="19"/>
            <w:u w:val="single" w:color="006FC0"/>
          </w:rPr>
          <w:t>e</w:t>
        </w:r>
        <w:r w:rsidR="00D70D28">
          <w:rPr>
            <w:rFonts w:ascii="Arial" w:hAnsi="Arial"/>
            <w:w w:val="175"/>
            <w:sz w:val="19"/>
            <w:u w:val="single" w:color="006FC0"/>
          </w:rPr>
          <w:t>/</w:t>
        </w:r>
        <w:r w:rsidR="00D70D28">
          <w:rPr>
            <w:rFonts w:ascii="Arial" w:hAnsi="Arial"/>
            <w:w w:val="97"/>
            <w:sz w:val="19"/>
            <w:u w:val="single" w:color="006FC0"/>
          </w:rPr>
          <w:t>Do</w:t>
        </w:r>
        <w:r w:rsidR="00D70D28">
          <w:rPr>
            <w:rFonts w:ascii="Arial" w:hAnsi="Arial"/>
            <w:spacing w:val="-2"/>
            <w:w w:val="97"/>
            <w:sz w:val="19"/>
            <w:u w:val="single" w:color="006FC0"/>
          </w:rPr>
          <w:t>c</w:t>
        </w:r>
        <w:r w:rsidR="00D70D28">
          <w:rPr>
            <w:rFonts w:ascii="Arial" w:hAnsi="Arial"/>
            <w:spacing w:val="1"/>
            <w:w w:val="101"/>
            <w:sz w:val="19"/>
            <w:u w:val="single" w:color="006FC0"/>
          </w:rPr>
          <w:t>u</w:t>
        </w:r>
        <w:r w:rsidR="00D70D28">
          <w:rPr>
            <w:rFonts w:ascii="Arial" w:hAnsi="Arial"/>
            <w:w w:val="99"/>
            <w:sz w:val="19"/>
            <w:u w:val="single" w:color="006FC0"/>
          </w:rPr>
          <w:t>m</w:t>
        </w:r>
        <w:r w:rsidR="00D70D28">
          <w:rPr>
            <w:rFonts w:ascii="Arial" w:hAnsi="Arial"/>
            <w:spacing w:val="-1"/>
            <w:w w:val="99"/>
            <w:sz w:val="19"/>
            <w:u w:val="single" w:color="006FC0"/>
          </w:rPr>
          <w:t>e</w:t>
        </w:r>
        <w:r w:rsidR="00D70D28">
          <w:rPr>
            <w:rFonts w:ascii="Arial" w:hAnsi="Arial"/>
            <w:spacing w:val="1"/>
            <w:w w:val="101"/>
            <w:sz w:val="19"/>
            <w:u w:val="single" w:color="006FC0"/>
          </w:rPr>
          <w:t>n</w:t>
        </w:r>
        <w:r w:rsidR="00D70D28">
          <w:rPr>
            <w:rFonts w:ascii="Arial" w:hAnsi="Arial"/>
            <w:w w:val="134"/>
            <w:sz w:val="19"/>
            <w:u w:val="single" w:color="006FC0"/>
          </w:rPr>
          <w:t>t</w:t>
        </w:r>
        <w:r w:rsidR="00D70D28">
          <w:rPr>
            <w:rFonts w:ascii="Arial" w:hAnsi="Arial"/>
            <w:w w:val="123"/>
            <w:sz w:val="19"/>
            <w:u w:val="single" w:color="006FC0"/>
          </w:rPr>
          <w:t>s/</w:t>
        </w:r>
        <w:r w:rsidR="00D70D28">
          <w:rPr>
            <w:rFonts w:ascii="Arial" w:hAnsi="Arial"/>
            <w:spacing w:val="-1"/>
            <w:w w:val="109"/>
            <w:sz w:val="19"/>
            <w:u w:val="single" w:color="006FC0"/>
          </w:rPr>
          <w:t>2</w:t>
        </w:r>
        <w:r w:rsidR="00D70D28">
          <w:rPr>
            <w:rFonts w:ascii="Arial" w:hAnsi="Arial"/>
            <w:spacing w:val="-2"/>
            <w:w w:val="80"/>
            <w:sz w:val="19"/>
            <w:u w:val="single" w:color="006FC0"/>
          </w:rPr>
          <w:t>.</w:t>
        </w:r>
        <w:r w:rsidR="00D70D28">
          <w:rPr>
            <w:rFonts w:ascii="Arial" w:hAnsi="Arial"/>
            <w:w w:val="101"/>
            <w:sz w:val="19"/>
            <w:u w:val="single" w:color="006FC0"/>
          </w:rPr>
          <w:t>9.4%</w:t>
        </w:r>
        <w:r w:rsidR="00D70D28">
          <w:rPr>
            <w:rFonts w:ascii="Arial" w:hAnsi="Arial"/>
            <w:spacing w:val="-1"/>
            <w:w w:val="109"/>
            <w:sz w:val="19"/>
            <w:u w:val="single" w:color="006FC0"/>
          </w:rPr>
          <w:t>2</w:t>
        </w:r>
        <w:r w:rsidR="00D70D28">
          <w:rPr>
            <w:rFonts w:ascii="Arial" w:hAnsi="Arial"/>
            <w:spacing w:val="1"/>
            <w:w w:val="114"/>
            <w:sz w:val="19"/>
            <w:u w:val="single" w:color="006FC0"/>
          </w:rPr>
          <w:t>0</w:t>
        </w:r>
        <w:r w:rsidR="00D70D28">
          <w:rPr>
            <w:rFonts w:ascii="Arial" w:hAnsi="Arial"/>
            <w:spacing w:val="-1"/>
            <w:w w:val="89"/>
            <w:sz w:val="19"/>
            <w:u w:val="single" w:color="006FC0"/>
          </w:rPr>
          <w:t>S</w:t>
        </w:r>
        <w:r w:rsidR="00D70D28">
          <w:rPr>
            <w:rFonts w:ascii="Arial" w:hAnsi="Arial"/>
            <w:w w:val="101"/>
            <w:sz w:val="19"/>
            <w:u w:val="single" w:color="006FC0"/>
          </w:rPr>
          <w:t>p</w:t>
        </w:r>
        <w:r w:rsidR="00D70D28">
          <w:rPr>
            <w:rFonts w:ascii="Arial" w:hAnsi="Arial"/>
            <w:w w:val="112"/>
            <w:sz w:val="19"/>
            <w:u w:val="single" w:color="006FC0"/>
          </w:rPr>
          <w:t>or</w:t>
        </w:r>
        <w:r w:rsidR="00D70D28">
          <w:rPr>
            <w:rFonts w:ascii="Arial" w:hAnsi="Arial"/>
            <w:spacing w:val="1"/>
            <w:w w:val="112"/>
            <w:sz w:val="19"/>
            <w:u w:val="single" w:color="006FC0"/>
          </w:rPr>
          <w:t>t</w:t>
        </w:r>
        <w:r w:rsidR="00D70D28">
          <w:rPr>
            <w:rFonts w:ascii="Arial" w:hAnsi="Arial"/>
            <w:w w:val="103"/>
            <w:sz w:val="19"/>
            <w:u w:val="single" w:color="006FC0"/>
          </w:rPr>
          <w:t>s%20</w:t>
        </w:r>
        <w:r w:rsidR="00D70D28">
          <w:rPr>
            <w:rFonts w:ascii="Arial" w:hAnsi="Arial"/>
            <w:spacing w:val="-1"/>
            <w:w w:val="119"/>
            <w:sz w:val="19"/>
            <w:u w:val="single" w:color="006FC0"/>
          </w:rPr>
          <w:t>f</w:t>
        </w:r>
        <w:r w:rsidR="00D70D28">
          <w:rPr>
            <w:rFonts w:ascii="Arial" w:hAnsi="Arial"/>
            <w:sz w:val="19"/>
            <w:u w:val="single" w:color="006FC0"/>
          </w:rPr>
          <w:t>oo</w:t>
        </w:r>
        <w:r w:rsidR="00D70D28">
          <w:rPr>
            <w:rFonts w:ascii="Arial" w:hAnsi="Arial"/>
            <w:spacing w:val="-2"/>
            <w:sz w:val="19"/>
            <w:u w:val="single" w:color="006FC0"/>
          </w:rPr>
          <w:t>d</w:t>
        </w:r>
        <w:r w:rsidR="00D70D28">
          <w:rPr>
            <w:rFonts w:ascii="Arial" w:hAnsi="Arial"/>
            <w:w w:val="96"/>
            <w:sz w:val="19"/>
            <w:u w:val="single" w:color="006FC0"/>
          </w:rPr>
          <w:t>s</w:t>
        </w:r>
        <w:r w:rsidR="00D70D28">
          <w:rPr>
            <w:rFonts w:ascii="Arial" w:hAnsi="Arial"/>
            <w:spacing w:val="2"/>
            <w:w w:val="96"/>
            <w:sz w:val="19"/>
            <w:u w:val="single" w:color="006FC0"/>
          </w:rPr>
          <w:t>%</w:t>
        </w:r>
        <w:r w:rsidR="00D70D28">
          <w:rPr>
            <w:rFonts w:ascii="Arial" w:hAnsi="Arial"/>
            <w:spacing w:val="1"/>
            <w:w w:val="109"/>
            <w:sz w:val="19"/>
            <w:u w:val="single" w:color="006FC0"/>
          </w:rPr>
          <w:t>2</w:t>
        </w:r>
        <w:r w:rsidR="00D70D28">
          <w:rPr>
            <w:rFonts w:ascii="Arial" w:hAnsi="Arial"/>
            <w:spacing w:val="1"/>
            <w:w w:val="114"/>
            <w:sz w:val="19"/>
            <w:u w:val="single" w:color="006FC0"/>
          </w:rPr>
          <w:t>0</w:t>
        </w:r>
        <w:r w:rsidR="00D70D28">
          <w:rPr>
            <w:rFonts w:ascii="Arial" w:hAnsi="Arial"/>
            <w:spacing w:val="-2"/>
            <w:w w:val="102"/>
            <w:sz w:val="19"/>
            <w:u w:val="single" w:color="006FC0"/>
          </w:rPr>
          <w:t>v</w:t>
        </w:r>
        <w:r w:rsidR="00D70D28">
          <w:rPr>
            <w:rFonts w:ascii="Arial" w:hAnsi="Arial"/>
            <w:spacing w:val="1"/>
            <w:w w:val="66"/>
            <w:sz w:val="19"/>
            <w:u w:val="single" w:color="006FC0"/>
          </w:rPr>
          <w:t>1</w:t>
        </w:r>
        <w:r w:rsidR="00D70D28">
          <w:rPr>
            <w:rFonts w:ascii="Arial" w:hAnsi="Arial"/>
            <w:w w:val="102"/>
            <w:sz w:val="19"/>
            <w:u w:val="single" w:color="006FC0"/>
          </w:rPr>
          <w:t>5</w:t>
        </w:r>
        <w:r w:rsidR="00D70D28">
          <w:rPr>
            <w:rFonts w:ascii="Arial" w:hAnsi="Arial"/>
            <w:spacing w:val="-1"/>
            <w:w w:val="102"/>
            <w:sz w:val="19"/>
            <w:u w:val="single" w:color="006FC0"/>
          </w:rPr>
          <w:t>7</w:t>
        </w:r>
        <w:r w:rsidR="00D70D28">
          <w:rPr>
            <w:rFonts w:ascii="Arial" w:hAnsi="Arial"/>
            <w:w w:val="94"/>
            <w:sz w:val="19"/>
            <w:u w:val="single" w:color="006FC0"/>
          </w:rPr>
          <w:t>.</w:t>
        </w:r>
        <w:r w:rsidR="00D70D28">
          <w:rPr>
            <w:rFonts w:ascii="Arial" w:hAnsi="Arial"/>
            <w:spacing w:val="1"/>
            <w:w w:val="94"/>
            <w:sz w:val="19"/>
            <w:u w:val="single" w:color="006FC0"/>
          </w:rPr>
          <w:t>p</w:t>
        </w:r>
        <w:r w:rsidR="00D70D28">
          <w:rPr>
            <w:rFonts w:ascii="Arial" w:hAnsi="Arial"/>
            <w:spacing w:val="-1"/>
            <w:sz w:val="19"/>
            <w:u w:val="single" w:color="006FC0"/>
          </w:rPr>
          <w:t>d</w:t>
        </w:r>
        <w:r w:rsidR="00D70D28">
          <w:rPr>
            <w:rFonts w:ascii="Arial" w:hAnsi="Arial"/>
            <w:w w:val="119"/>
            <w:sz w:val="19"/>
            <w:u w:val="single" w:color="006FC0"/>
          </w:rPr>
          <w:t>f</w:t>
        </w:r>
      </w:hyperlink>
    </w:p>
    <w:p w:rsidR="007D76BB" w:rsidRDefault="00A51832">
      <w:pPr>
        <w:pStyle w:val="ListParagraph"/>
        <w:numPr>
          <w:ilvl w:val="1"/>
          <w:numId w:val="5"/>
        </w:numPr>
        <w:tabs>
          <w:tab w:val="left" w:pos="766"/>
        </w:tabs>
        <w:spacing w:before="102"/>
        <w:rPr>
          <w:rFonts w:ascii="Arial" w:hAnsi="Arial"/>
          <w:sz w:val="19"/>
        </w:rPr>
      </w:pPr>
      <w:hyperlink r:id="rId232">
        <w:r w:rsidR="00D70D28">
          <w:rPr>
            <w:rFonts w:ascii="Arial" w:hAnsi="Arial"/>
            <w:spacing w:val="1"/>
            <w:w w:val="101"/>
            <w:sz w:val="19"/>
            <w:u w:val="single" w:color="006FC0"/>
          </w:rPr>
          <w:t>h</w:t>
        </w:r>
        <w:r w:rsidR="00D70D28">
          <w:rPr>
            <w:rFonts w:ascii="Arial" w:hAnsi="Arial"/>
            <w:w w:val="134"/>
            <w:sz w:val="19"/>
            <w:u w:val="single" w:color="006FC0"/>
          </w:rPr>
          <w:t>t</w:t>
        </w:r>
        <w:r w:rsidR="00D70D28">
          <w:rPr>
            <w:rFonts w:ascii="Arial" w:hAnsi="Arial"/>
            <w:spacing w:val="-2"/>
            <w:w w:val="134"/>
            <w:sz w:val="19"/>
            <w:u w:val="single" w:color="006FC0"/>
          </w:rPr>
          <w:t>t</w:t>
        </w:r>
        <w:r w:rsidR="00D70D28">
          <w:rPr>
            <w:rFonts w:ascii="Arial" w:hAnsi="Arial"/>
            <w:w w:val="101"/>
            <w:sz w:val="19"/>
            <w:u w:val="single" w:color="006FC0"/>
          </w:rPr>
          <w:t>p</w:t>
        </w:r>
        <w:r w:rsidR="00D70D28">
          <w:rPr>
            <w:rFonts w:ascii="Arial" w:hAnsi="Arial"/>
            <w:w w:val="128"/>
            <w:sz w:val="19"/>
            <w:u w:val="single" w:color="006FC0"/>
          </w:rPr>
          <w:t>:</w:t>
        </w:r>
        <w:r w:rsidR="00D70D28">
          <w:rPr>
            <w:rFonts w:ascii="Arial" w:hAnsi="Arial"/>
            <w:spacing w:val="1"/>
            <w:w w:val="128"/>
            <w:sz w:val="19"/>
            <w:u w:val="single" w:color="006FC0"/>
          </w:rPr>
          <w:t>/</w:t>
        </w:r>
        <w:r w:rsidR="00D70D28">
          <w:rPr>
            <w:rFonts w:ascii="Arial" w:hAnsi="Arial"/>
            <w:spacing w:val="-2"/>
            <w:w w:val="175"/>
            <w:sz w:val="19"/>
            <w:u w:val="single" w:color="006FC0"/>
          </w:rPr>
          <w:t>/</w:t>
        </w:r>
        <w:r w:rsidR="00D70D28">
          <w:rPr>
            <w:rFonts w:ascii="Arial" w:hAnsi="Arial"/>
            <w:spacing w:val="1"/>
            <w:w w:val="98"/>
            <w:sz w:val="19"/>
            <w:u w:val="single" w:color="006FC0"/>
          </w:rPr>
          <w:t>ww</w:t>
        </w:r>
        <w:r w:rsidR="00D70D28">
          <w:rPr>
            <w:rFonts w:ascii="Arial" w:hAnsi="Arial"/>
            <w:spacing w:val="-2"/>
            <w:w w:val="98"/>
            <w:sz w:val="19"/>
            <w:u w:val="single" w:color="006FC0"/>
          </w:rPr>
          <w:t>w</w:t>
        </w:r>
        <w:r w:rsidR="00D70D28">
          <w:rPr>
            <w:rFonts w:ascii="Arial" w:hAnsi="Arial"/>
            <w:sz w:val="19"/>
            <w:u w:val="single" w:color="006FC0"/>
          </w:rPr>
          <w:t>.fo</w:t>
        </w:r>
        <w:r w:rsidR="00D70D28">
          <w:rPr>
            <w:rFonts w:ascii="Arial" w:hAnsi="Arial"/>
            <w:spacing w:val="-1"/>
            <w:sz w:val="19"/>
            <w:u w:val="single" w:color="006FC0"/>
          </w:rPr>
          <w:t>od</w:t>
        </w:r>
        <w:r w:rsidR="00D70D28">
          <w:rPr>
            <w:rFonts w:ascii="Arial" w:hAnsi="Arial"/>
            <w:w w:val="108"/>
            <w:sz w:val="19"/>
            <w:u w:val="single" w:color="006FC0"/>
          </w:rPr>
          <w:t>st</w:t>
        </w:r>
        <w:r w:rsidR="00D70D28">
          <w:rPr>
            <w:rFonts w:ascii="Arial" w:hAnsi="Arial"/>
            <w:w w:val="94"/>
            <w:sz w:val="19"/>
            <w:u w:val="single" w:color="006FC0"/>
          </w:rPr>
          <w:t>a</w:t>
        </w:r>
        <w:r w:rsidR="00D70D28">
          <w:rPr>
            <w:rFonts w:ascii="Arial" w:hAnsi="Arial"/>
            <w:spacing w:val="1"/>
            <w:w w:val="101"/>
            <w:sz w:val="19"/>
            <w:u w:val="single" w:color="006FC0"/>
          </w:rPr>
          <w:t>n</w:t>
        </w:r>
        <w:r w:rsidR="00D70D28">
          <w:rPr>
            <w:rFonts w:ascii="Arial" w:hAnsi="Arial"/>
            <w:spacing w:val="-1"/>
            <w:sz w:val="19"/>
            <w:u w:val="single" w:color="006FC0"/>
          </w:rPr>
          <w:t>d</w:t>
        </w:r>
        <w:r w:rsidR="00D70D28">
          <w:rPr>
            <w:rFonts w:ascii="Arial" w:hAnsi="Arial"/>
            <w:w w:val="94"/>
            <w:sz w:val="19"/>
            <w:u w:val="single" w:color="006FC0"/>
          </w:rPr>
          <w:t>a</w:t>
        </w:r>
        <w:r w:rsidR="00D70D28">
          <w:rPr>
            <w:rFonts w:ascii="Arial" w:hAnsi="Arial"/>
            <w:w w:val="116"/>
            <w:sz w:val="19"/>
            <w:u w:val="single" w:color="006FC0"/>
          </w:rPr>
          <w:t>r</w:t>
        </w:r>
        <w:r w:rsidR="00D70D28">
          <w:rPr>
            <w:rFonts w:ascii="Arial" w:hAnsi="Arial"/>
            <w:spacing w:val="-1"/>
            <w:sz w:val="19"/>
            <w:u w:val="single" w:color="006FC0"/>
          </w:rPr>
          <w:t>d</w:t>
        </w:r>
        <w:r w:rsidR="00D70D28">
          <w:rPr>
            <w:rFonts w:ascii="Arial" w:hAnsi="Arial"/>
            <w:spacing w:val="1"/>
            <w:w w:val="93"/>
            <w:sz w:val="19"/>
            <w:u w:val="single" w:color="006FC0"/>
          </w:rPr>
          <w:t>s</w:t>
        </w:r>
        <w:r w:rsidR="00D70D28">
          <w:rPr>
            <w:rFonts w:ascii="Arial" w:hAnsi="Arial"/>
            <w:w w:val="94"/>
            <w:sz w:val="19"/>
            <w:u w:val="single" w:color="006FC0"/>
          </w:rPr>
          <w:t>.</w:t>
        </w:r>
        <w:r w:rsidR="00D70D28">
          <w:rPr>
            <w:rFonts w:ascii="Arial" w:hAnsi="Arial"/>
            <w:spacing w:val="1"/>
            <w:w w:val="94"/>
            <w:sz w:val="19"/>
            <w:u w:val="single" w:color="006FC0"/>
          </w:rPr>
          <w:t>g</w:t>
        </w:r>
        <w:r w:rsidR="00D70D28">
          <w:rPr>
            <w:rFonts w:ascii="Arial" w:hAnsi="Arial"/>
            <w:w w:val="101"/>
            <w:sz w:val="19"/>
            <w:u w:val="single" w:color="006FC0"/>
          </w:rPr>
          <w:t>o</w:t>
        </w:r>
        <w:r w:rsidR="00D70D28">
          <w:rPr>
            <w:rFonts w:ascii="Arial" w:hAnsi="Arial"/>
            <w:spacing w:val="-2"/>
            <w:w w:val="101"/>
            <w:sz w:val="19"/>
            <w:u w:val="single" w:color="006FC0"/>
          </w:rPr>
          <w:t>v</w:t>
        </w:r>
        <w:r w:rsidR="00D70D28">
          <w:rPr>
            <w:rFonts w:ascii="Arial" w:hAnsi="Arial"/>
            <w:w w:val="89"/>
            <w:sz w:val="19"/>
            <w:u w:val="single" w:color="006FC0"/>
          </w:rPr>
          <w:t>.</w:t>
        </w:r>
        <w:r w:rsidR="00D70D28">
          <w:rPr>
            <w:rFonts w:ascii="Arial" w:hAnsi="Arial"/>
            <w:spacing w:val="1"/>
            <w:w w:val="89"/>
            <w:sz w:val="19"/>
            <w:u w:val="single" w:color="006FC0"/>
          </w:rPr>
          <w:t>a</w:t>
        </w:r>
        <w:r w:rsidR="00D70D28">
          <w:rPr>
            <w:rFonts w:ascii="Arial" w:hAnsi="Arial"/>
            <w:spacing w:val="1"/>
            <w:w w:val="101"/>
            <w:sz w:val="19"/>
            <w:u w:val="single" w:color="006FC0"/>
          </w:rPr>
          <w:t>u</w:t>
        </w:r>
        <w:r w:rsidR="00D70D28">
          <w:rPr>
            <w:rFonts w:ascii="Arial" w:hAnsi="Arial"/>
            <w:w w:val="175"/>
            <w:sz w:val="19"/>
            <w:u w:val="single" w:color="006FC0"/>
          </w:rPr>
          <w:t>/</w:t>
        </w:r>
        <w:r w:rsidR="00D70D28">
          <w:rPr>
            <w:rFonts w:ascii="Arial" w:hAnsi="Arial"/>
            <w:w w:val="99"/>
            <w:sz w:val="19"/>
            <w:u w:val="single" w:color="006FC0"/>
          </w:rPr>
          <w:t>c</w:t>
        </w:r>
        <w:r w:rsidR="00D70D28">
          <w:rPr>
            <w:rFonts w:ascii="Arial" w:hAnsi="Arial"/>
            <w:sz w:val="19"/>
            <w:u w:val="single" w:color="006FC0"/>
          </w:rPr>
          <w:t>on</w:t>
        </w:r>
        <w:r w:rsidR="00D70D28">
          <w:rPr>
            <w:rFonts w:ascii="Arial" w:hAnsi="Arial"/>
            <w:w w:val="97"/>
            <w:sz w:val="19"/>
            <w:u w:val="single" w:color="006FC0"/>
          </w:rPr>
          <w:t>su</w:t>
        </w:r>
        <w:r w:rsidR="00D70D28">
          <w:rPr>
            <w:rFonts w:ascii="Arial" w:hAnsi="Arial"/>
            <w:spacing w:val="-3"/>
            <w:w w:val="101"/>
            <w:sz w:val="19"/>
            <w:u w:val="single" w:color="006FC0"/>
          </w:rPr>
          <w:t>m</w:t>
        </w:r>
        <w:r w:rsidR="00D70D28">
          <w:rPr>
            <w:rFonts w:ascii="Arial" w:hAnsi="Arial"/>
            <w:w w:val="96"/>
            <w:sz w:val="19"/>
            <w:u w:val="single" w:color="006FC0"/>
          </w:rPr>
          <w:t>e</w:t>
        </w:r>
        <w:r w:rsidR="00D70D28">
          <w:rPr>
            <w:rFonts w:ascii="Arial" w:hAnsi="Arial"/>
            <w:w w:val="116"/>
            <w:sz w:val="19"/>
            <w:u w:val="single" w:color="006FC0"/>
          </w:rPr>
          <w:t>r</w:t>
        </w:r>
        <w:r w:rsidR="00D70D28">
          <w:rPr>
            <w:rFonts w:ascii="Arial" w:hAnsi="Arial"/>
            <w:spacing w:val="-2"/>
            <w:w w:val="175"/>
            <w:sz w:val="19"/>
            <w:u w:val="single" w:color="006FC0"/>
          </w:rPr>
          <w:t>/</w:t>
        </w:r>
        <w:r w:rsidR="00D70D28">
          <w:rPr>
            <w:rFonts w:ascii="Arial" w:hAnsi="Arial"/>
            <w:spacing w:val="1"/>
            <w:w w:val="101"/>
            <w:sz w:val="19"/>
            <w:u w:val="single" w:color="006FC0"/>
          </w:rPr>
          <w:t>n</w:t>
        </w:r>
        <w:r w:rsidR="00D70D28">
          <w:rPr>
            <w:rFonts w:ascii="Arial" w:hAnsi="Arial"/>
            <w:spacing w:val="-2"/>
            <w:w w:val="101"/>
            <w:sz w:val="19"/>
            <w:u w:val="single" w:color="006FC0"/>
          </w:rPr>
          <w:t>u</w:t>
        </w:r>
        <w:r w:rsidR="00D70D28">
          <w:rPr>
            <w:rFonts w:ascii="Arial" w:hAnsi="Arial"/>
            <w:w w:val="134"/>
            <w:sz w:val="19"/>
            <w:u w:val="single" w:color="006FC0"/>
          </w:rPr>
          <w:t>t</w:t>
        </w:r>
        <w:r w:rsidR="00D70D28">
          <w:rPr>
            <w:rFonts w:ascii="Arial" w:hAnsi="Arial"/>
            <w:w w:val="116"/>
            <w:sz w:val="19"/>
            <w:u w:val="single" w:color="006FC0"/>
          </w:rPr>
          <w:t>r</w:t>
        </w:r>
        <w:r w:rsidR="00D70D28">
          <w:rPr>
            <w:rFonts w:ascii="Arial" w:hAnsi="Arial"/>
            <w:w w:val="125"/>
            <w:sz w:val="19"/>
            <w:u w:val="single" w:color="006FC0"/>
          </w:rPr>
          <w:t>it</w:t>
        </w:r>
        <w:r w:rsidR="00D70D28">
          <w:rPr>
            <w:rFonts w:ascii="Arial" w:hAnsi="Arial"/>
            <w:w w:val="102"/>
            <w:sz w:val="19"/>
            <w:u w:val="single" w:color="006FC0"/>
          </w:rPr>
          <w:t>ion</w:t>
        </w:r>
        <w:r w:rsidR="00D70D28">
          <w:rPr>
            <w:rFonts w:ascii="Arial" w:hAnsi="Arial"/>
            <w:w w:val="175"/>
            <w:sz w:val="19"/>
            <w:u w:val="single" w:color="006FC0"/>
          </w:rPr>
          <w:t>/</w:t>
        </w:r>
        <w:r w:rsidR="00D70D28">
          <w:rPr>
            <w:rFonts w:ascii="Arial" w:hAnsi="Arial"/>
            <w:spacing w:val="-3"/>
            <w:w w:val="93"/>
            <w:sz w:val="19"/>
            <w:u w:val="single" w:color="006FC0"/>
          </w:rPr>
          <w:t>s</w:t>
        </w:r>
        <w:r w:rsidR="00D70D28">
          <w:rPr>
            <w:rFonts w:ascii="Arial" w:hAnsi="Arial"/>
            <w:w w:val="101"/>
            <w:sz w:val="19"/>
            <w:u w:val="single" w:color="006FC0"/>
          </w:rPr>
          <w:t>p</w:t>
        </w:r>
        <w:r w:rsidR="00D70D28">
          <w:rPr>
            <w:rFonts w:ascii="Arial" w:hAnsi="Arial"/>
            <w:w w:val="112"/>
            <w:sz w:val="19"/>
            <w:u w:val="single" w:color="006FC0"/>
          </w:rPr>
          <w:t>or</w:t>
        </w:r>
        <w:r w:rsidR="00D70D28">
          <w:rPr>
            <w:rFonts w:ascii="Arial" w:hAnsi="Arial"/>
            <w:spacing w:val="1"/>
            <w:w w:val="112"/>
            <w:sz w:val="19"/>
            <w:u w:val="single" w:color="006FC0"/>
          </w:rPr>
          <w:t>t</w:t>
        </w:r>
        <w:r w:rsidR="00D70D28">
          <w:rPr>
            <w:rFonts w:ascii="Arial" w:hAnsi="Arial"/>
            <w:spacing w:val="-1"/>
            <w:w w:val="119"/>
            <w:sz w:val="19"/>
            <w:u w:val="single" w:color="006FC0"/>
          </w:rPr>
          <w:t>f</w:t>
        </w:r>
        <w:r w:rsidR="00D70D28">
          <w:rPr>
            <w:rFonts w:ascii="Arial" w:hAnsi="Arial"/>
            <w:sz w:val="19"/>
            <w:u w:val="single" w:color="006FC0"/>
          </w:rPr>
          <w:t>oo</w:t>
        </w:r>
        <w:r w:rsidR="00D70D28">
          <w:rPr>
            <w:rFonts w:ascii="Arial" w:hAnsi="Arial"/>
            <w:spacing w:val="-2"/>
            <w:sz w:val="19"/>
            <w:u w:val="single" w:color="006FC0"/>
          </w:rPr>
          <w:t>d</w:t>
        </w:r>
        <w:r w:rsidR="00D70D28">
          <w:rPr>
            <w:rFonts w:ascii="Arial" w:hAnsi="Arial"/>
            <w:w w:val="175"/>
            <w:sz w:val="19"/>
            <w:u w:val="single" w:color="006FC0"/>
          </w:rPr>
          <w:t>/</w:t>
        </w:r>
        <w:r w:rsidR="00D70D28">
          <w:rPr>
            <w:rFonts w:ascii="Arial" w:hAnsi="Arial"/>
            <w:w w:val="94"/>
            <w:sz w:val="19"/>
            <w:u w:val="single" w:color="006FC0"/>
          </w:rPr>
          <w:t>P</w:t>
        </w:r>
        <w:r w:rsidR="00D70D28">
          <w:rPr>
            <w:rFonts w:ascii="Arial" w:hAnsi="Arial"/>
            <w:spacing w:val="1"/>
            <w:w w:val="94"/>
            <w:sz w:val="19"/>
            <w:u w:val="single" w:color="006FC0"/>
          </w:rPr>
          <w:t>a</w:t>
        </w:r>
        <w:r w:rsidR="00D70D28">
          <w:rPr>
            <w:rFonts w:ascii="Arial" w:hAnsi="Arial"/>
            <w:spacing w:val="1"/>
            <w:w w:val="101"/>
            <w:sz w:val="19"/>
            <w:u w:val="single" w:color="006FC0"/>
          </w:rPr>
          <w:t>g</w:t>
        </w:r>
        <w:r w:rsidR="00D70D28">
          <w:rPr>
            <w:rFonts w:ascii="Arial" w:hAnsi="Arial"/>
            <w:w w:val="96"/>
            <w:sz w:val="19"/>
            <w:u w:val="single" w:color="006FC0"/>
          </w:rPr>
          <w:t>e</w:t>
        </w:r>
        <w:r w:rsidR="00D70D28">
          <w:rPr>
            <w:rFonts w:ascii="Arial" w:hAnsi="Arial"/>
            <w:w w:val="123"/>
            <w:sz w:val="19"/>
            <w:u w:val="single" w:color="006FC0"/>
          </w:rPr>
          <w:t>s/</w:t>
        </w:r>
        <w:r w:rsidR="00D70D28">
          <w:rPr>
            <w:rFonts w:ascii="Arial" w:hAnsi="Arial"/>
            <w:spacing w:val="-1"/>
            <w:sz w:val="19"/>
            <w:u w:val="single" w:color="006FC0"/>
          </w:rPr>
          <w:t>d</w:t>
        </w:r>
        <w:r w:rsidR="00D70D28">
          <w:rPr>
            <w:rFonts w:ascii="Arial" w:hAnsi="Arial"/>
            <w:w w:val="96"/>
            <w:sz w:val="19"/>
            <w:u w:val="single" w:color="006FC0"/>
          </w:rPr>
          <w:t>e</w:t>
        </w:r>
        <w:r w:rsidR="00D70D28">
          <w:rPr>
            <w:rFonts w:ascii="Arial" w:hAnsi="Arial"/>
            <w:spacing w:val="-1"/>
            <w:w w:val="119"/>
            <w:sz w:val="19"/>
            <w:u w:val="single" w:color="006FC0"/>
          </w:rPr>
          <w:t>f</w:t>
        </w:r>
        <w:r w:rsidR="00D70D28">
          <w:rPr>
            <w:rFonts w:ascii="Arial" w:hAnsi="Arial"/>
            <w:w w:val="94"/>
            <w:sz w:val="19"/>
            <w:u w:val="single" w:color="006FC0"/>
          </w:rPr>
          <w:t>a</w:t>
        </w:r>
        <w:r w:rsidR="00D70D28">
          <w:rPr>
            <w:rFonts w:ascii="Arial" w:hAnsi="Arial"/>
            <w:spacing w:val="-2"/>
            <w:w w:val="101"/>
            <w:sz w:val="19"/>
            <w:u w:val="single" w:color="006FC0"/>
          </w:rPr>
          <w:t>u</w:t>
        </w:r>
        <w:r w:rsidR="00D70D28">
          <w:rPr>
            <w:rFonts w:ascii="Arial" w:hAnsi="Arial"/>
            <w:w w:val="117"/>
            <w:sz w:val="19"/>
            <w:u w:val="single" w:color="006FC0"/>
          </w:rPr>
          <w:t>l</w:t>
        </w:r>
        <w:r w:rsidR="00D70D28">
          <w:rPr>
            <w:rFonts w:ascii="Arial" w:hAnsi="Arial"/>
            <w:w w:val="134"/>
            <w:sz w:val="19"/>
            <w:u w:val="single" w:color="006FC0"/>
          </w:rPr>
          <w:t>t</w:t>
        </w:r>
        <w:r w:rsidR="00D70D28">
          <w:rPr>
            <w:rFonts w:ascii="Arial" w:hAnsi="Arial"/>
            <w:spacing w:val="-2"/>
            <w:w w:val="80"/>
            <w:sz w:val="19"/>
            <w:u w:val="single" w:color="006FC0"/>
          </w:rPr>
          <w:t>.</w:t>
        </w:r>
        <w:r w:rsidR="00D70D28">
          <w:rPr>
            <w:rFonts w:ascii="Arial" w:hAnsi="Arial"/>
            <w:w w:val="94"/>
            <w:sz w:val="19"/>
            <w:u w:val="single" w:color="006FC0"/>
          </w:rPr>
          <w:t>a</w:t>
        </w:r>
        <w:r w:rsidR="00D70D28">
          <w:rPr>
            <w:rFonts w:ascii="Arial" w:hAnsi="Arial"/>
            <w:w w:val="97"/>
            <w:sz w:val="19"/>
            <w:u w:val="single" w:color="006FC0"/>
          </w:rPr>
          <w:t>s</w:t>
        </w:r>
        <w:r w:rsidR="00D70D28">
          <w:rPr>
            <w:rFonts w:ascii="Arial" w:hAnsi="Arial"/>
            <w:spacing w:val="-2"/>
            <w:w w:val="97"/>
            <w:sz w:val="19"/>
            <w:u w:val="single" w:color="006FC0"/>
          </w:rPr>
          <w:t>p</w:t>
        </w:r>
        <w:r w:rsidR="00D70D28">
          <w:rPr>
            <w:rFonts w:ascii="Arial" w:hAnsi="Arial"/>
            <w:w w:val="102"/>
            <w:sz w:val="19"/>
            <w:u w:val="single" w:color="006FC0"/>
          </w:rPr>
          <w:t>x</w:t>
        </w:r>
      </w:hyperlink>
    </w:p>
    <w:p w:rsidR="007D76BB" w:rsidRDefault="00A51832">
      <w:pPr>
        <w:pStyle w:val="ListParagraph"/>
        <w:numPr>
          <w:ilvl w:val="1"/>
          <w:numId w:val="5"/>
        </w:numPr>
        <w:tabs>
          <w:tab w:val="left" w:pos="766"/>
        </w:tabs>
        <w:spacing w:before="103"/>
        <w:rPr>
          <w:rFonts w:ascii="Arial" w:hAnsi="Arial"/>
          <w:sz w:val="19"/>
        </w:rPr>
      </w:pPr>
      <w:hyperlink r:id="rId233">
        <w:r w:rsidR="00D70D28">
          <w:rPr>
            <w:rFonts w:ascii="Arial" w:hAnsi="Arial"/>
            <w:spacing w:val="1"/>
            <w:w w:val="101"/>
            <w:sz w:val="19"/>
            <w:u w:val="single" w:color="006FC0"/>
          </w:rPr>
          <w:t>h</w:t>
        </w:r>
        <w:r w:rsidR="00D70D28">
          <w:rPr>
            <w:rFonts w:ascii="Arial" w:hAnsi="Arial"/>
            <w:w w:val="134"/>
            <w:sz w:val="19"/>
            <w:u w:val="single" w:color="006FC0"/>
          </w:rPr>
          <w:t>t</w:t>
        </w:r>
        <w:r w:rsidR="00D70D28">
          <w:rPr>
            <w:rFonts w:ascii="Arial" w:hAnsi="Arial"/>
            <w:spacing w:val="-2"/>
            <w:w w:val="134"/>
            <w:sz w:val="19"/>
            <w:u w:val="single" w:color="006FC0"/>
          </w:rPr>
          <w:t>t</w:t>
        </w:r>
        <w:r w:rsidR="00D70D28">
          <w:rPr>
            <w:rFonts w:ascii="Arial" w:hAnsi="Arial"/>
            <w:w w:val="101"/>
            <w:sz w:val="19"/>
            <w:u w:val="single" w:color="006FC0"/>
          </w:rPr>
          <w:t>p</w:t>
        </w:r>
        <w:r w:rsidR="00D70D28">
          <w:rPr>
            <w:rFonts w:ascii="Arial" w:hAnsi="Arial"/>
            <w:w w:val="111"/>
            <w:sz w:val="19"/>
            <w:u w:val="single" w:color="006FC0"/>
          </w:rPr>
          <w:t>s:/</w:t>
        </w:r>
        <w:r w:rsidR="00D70D28">
          <w:rPr>
            <w:rFonts w:ascii="Arial" w:hAnsi="Arial"/>
            <w:w w:val="175"/>
            <w:sz w:val="19"/>
            <w:u w:val="single" w:color="006FC0"/>
          </w:rPr>
          <w:t>/</w:t>
        </w:r>
        <w:r w:rsidR="00D70D28">
          <w:rPr>
            <w:rFonts w:ascii="Arial" w:hAnsi="Arial"/>
            <w:spacing w:val="-2"/>
            <w:w w:val="117"/>
            <w:sz w:val="19"/>
            <w:u w:val="single" w:color="006FC0"/>
          </w:rPr>
          <w:t>l</w:t>
        </w:r>
        <w:r w:rsidR="00D70D28">
          <w:rPr>
            <w:rFonts w:ascii="Arial" w:hAnsi="Arial"/>
            <w:w w:val="94"/>
            <w:sz w:val="19"/>
            <w:u w:val="single" w:color="006FC0"/>
          </w:rPr>
          <w:t>a</w:t>
        </w:r>
        <w:r w:rsidR="00D70D28">
          <w:rPr>
            <w:rFonts w:ascii="Arial" w:hAnsi="Arial"/>
            <w:spacing w:val="1"/>
            <w:w w:val="98"/>
            <w:sz w:val="19"/>
            <w:u w:val="single" w:color="006FC0"/>
          </w:rPr>
          <w:t>w</w:t>
        </w:r>
        <w:r w:rsidR="00D70D28">
          <w:rPr>
            <w:rFonts w:ascii="Arial" w:hAnsi="Arial"/>
            <w:w w:val="93"/>
            <w:sz w:val="19"/>
            <w:u w:val="single" w:color="006FC0"/>
          </w:rPr>
          <w:t>s</w:t>
        </w:r>
        <w:r w:rsidR="00D70D28">
          <w:rPr>
            <w:rFonts w:ascii="Arial" w:hAnsi="Arial"/>
            <w:spacing w:val="-2"/>
            <w:w w:val="119"/>
            <w:sz w:val="19"/>
            <w:u w:val="single" w:color="006FC0"/>
          </w:rPr>
          <w:t>-</w:t>
        </w:r>
        <w:r w:rsidR="00D70D28">
          <w:rPr>
            <w:rFonts w:ascii="Arial" w:hAnsi="Arial"/>
            <w:w w:val="117"/>
            <w:sz w:val="19"/>
            <w:u w:val="single" w:color="006FC0"/>
          </w:rPr>
          <w:t>l</w:t>
        </w:r>
        <w:r w:rsidR="00D70D28">
          <w:rPr>
            <w:rFonts w:ascii="Arial" w:hAnsi="Arial"/>
            <w:w w:val="99"/>
            <w:sz w:val="19"/>
            <w:u w:val="single" w:color="006FC0"/>
          </w:rPr>
          <w:t>ois.ju</w:t>
        </w:r>
        <w:r w:rsidR="00D70D28">
          <w:rPr>
            <w:rFonts w:ascii="Arial" w:hAnsi="Arial"/>
            <w:w w:val="108"/>
            <w:sz w:val="19"/>
            <w:u w:val="single" w:color="006FC0"/>
          </w:rPr>
          <w:t>st</w:t>
        </w:r>
        <w:r w:rsidR="00D70D28">
          <w:rPr>
            <w:rFonts w:ascii="Arial" w:hAnsi="Arial"/>
            <w:w w:val="104"/>
            <w:sz w:val="19"/>
            <w:u w:val="single" w:color="006FC0"/>
          </w:rPr>
          <w:t>i</w:t>
        </w:r>
        <w:r w:rsidR="00D70D28">
          <w:rPr>
            <w:rFonts w:ascii="Arial" w:hAnsi="Arial"/>
            <w:spacing w:val="-2"/>
            <w:w w:val="104"/>
            <w:sz w:val="19"/>
            <w:u w:val="single" w:color="006FC0"/>
          </w:rPr>
          <w:t>c</w:t>
        </w:r>
        <w:r w:rsidR="00D70D28">
          <w:rPr>
            <w:rFonts w:ascii="Arial" w:hAnsi="Arial"/>
            <w:w w:val="96"/>
            <w:sz w:val="19"/>
            <w:u w:val="single" w:color="006FC0"/>
          </w:rPr>
          <w:t>e</w:t>
        </w:r>
        <w:r w:rsidR="00D70D28">
          <w:rPr>
            <w:rFonts w:ascii="Arial" w:hAnsi="Arial"/>
            <w:w w:val="94"/>
            <w:sz w:val="19"/>
            <w:u w:val="single" w:color="006FC0"/>
          </w:rPr>
          <w:t>.</w:t>
        </w:r>
        <w:r w:rsidR="00D70D28">
          <w:rPr>
            <w:rFonts w:ascii="Arial" w:hAnsi="Arial"/>
            <w:spacing w:val="-1"/>
            <w:w w:val="94"/>
            <w:sz w:val="19"/>
            <w:u w:val="single" w:color="006FC0"/>
          </w:rPr>
          <w:t>g</w:t>
        </w:r>
        <w:r w:rsidR="00D70D28">
          <w:rPr>
            <w:rFonts w:ascii="Arial" w:hAnsi="Arial"/>
            <w:w w:val="99"/>
            <w:sz w:val="19"/>
            <w:u w:val="single" w:color="006FC0"/>
          </w:rPr>
          <w:t>c</w:t>
        </w:r>
        <w:r w:rsidR="00D70D28">
          <w:rPr>
            <w:rFonts w:ascii="Arial" w:hAnsi="Arial"/>
            <w:w w:val="93"/>
            <w:sz w:val="19"/>
            <w:u w:val="single" w:color="006FC0"/>
          </w:rPr>
          <w:t>.</w:t>
        </w:r>
        <w:r w:rsidR="00D70D28">
          <w:rPr>
            <w:rFonts w:ascii="Arial" w:hAnsi="Arial"/>
            <w:spacing w:val="-1"/>
            <w:w w:val="93"/>
            <w:sz w:val="19"/>
            <w:u w:val="single" w:color="006FC0"/>
          </w:rPr>
          <w:t>c</w:t>
        </w:r>
        <w:r w:rsidR="00D70D28">
          <w:rPr>
            <w:rFonts w:ascii="Arial" w:hAnsi="Arial"/>
            <w:w w:val="94"/>
            <w:sz w:val="19"/>
            <w:u w:val="single" w:color="006FC0"/>
          </w:rPr>
          <w:t>a</w:t>
        </w:r>
        <w:r w:rsidR="00D70D28">
          <w:rPr>
            <w:rFonts w:ascii="Arial" w:hAnsi="Arial"/>
            <w:w w:val="175"/>
            <w:sz w:val="19"/>
            <w:u w:val="single" w:color="006FC0"/>
          </w:rPr>
          <w:t>/</w:t>
        </w:r>
        <w:r w:rsidR="00D70D28">
          <w:rPr>
            <w:rFonts w:ascii="Arial" w:hAnsi="Arial"/>
            <w:w w:val="96"/>
            <w:sz w:val="19"/>
            <w:u w:val="single" w:color="006FC0"/>
          </w:rPr>
          <w:t>e</w:t>
        </w:r>
        <w:r w:rsidR="00D70D28">
          <w:rPr>
            <w:rFonts w:ascii="Arial" w:hAnsi="Arial"/>
            <w:w w:val="101"/>
            <w:sz w:val="19"/>
            <w:u w:val="single" w:color="006FC0"/>
          </w:rPr>
          <w:t>n</w:t>
        </w:r>
        <w:r w:rsidR="00D70D28">
          <w:rPr>
            <w:rFonts w:ascii="Arial" w:hAnsi="Arial"/>
            <w:spacing w:val="1"/>
            <w:w w:val="101"/>
            <w:sz w:val="19"/>
            <w:u w:val="single" w:color="006FC0"/>
          </w:rPr>
          <w:t>g</w:t>
        </w:r>
        <w:r w:rsidR="00D70D28">
          <w:rPr>
            <w:rFonts w:ascii="Arial" w:hAnsi="Arial"/>
            <w:w w:val="175"/>
            <w:sz w:val="19"/>
            <w:u w:val="single" w:color="006FC0"/>
          </w:rPr>
          <w:t>/</w:t>
        </w:r>
        <w:r w:rsidR="00D70D28">
          <w:rPr>
            <w:rFonts w:ascii="Arial" w:hAnsi="Arial"/>
            <w:spacing w:val="-2"/>
            <w:w w:val="116"/>
            <w:sz w:val="19"/>
            <w:u w:val="single" w:color="006FC0"/>
          </w:rPr>
          <w:t>r</w:t>
        </w:r>
        <w:r w:rsidR="00D70D28">
          <w:rPr>
            <w:rFonts w:ascii="Arial" w:hAnsi="Arial"/>
            <w:w w:val="96"/>
            <w:sz w:val="19"/>
            <w:u w:val="single" w:color="006FC0"/>
          </w:rPr>
          <w:t>e</w:t>
        </w:r>
        <w:r w:rsidR="00D70D28">
          <w:rPr>
            <w:rFonts w:ascii="Arial" w:hAnsi="Arial"/>
            <w:spacing w:val="1"/>
            <w:w w:val="101"/>
            <w:sz w:val="19"/>
            <w:u w:val="single" w:color="006FC0"/>
          </w:rPr>
          <w:t>g</w:t>
        </w:r>
        <w:r w:rsidR="00D70D28">
          <w:rPr>
            <w:rFonts w:ascii="Arial" w:hAnsi="Arial"/>
            <w:spacing w:val="-2"/>
            <w:w w:val="101"/>
            <w:sz w:val="19"/>
            <w:u w:val="single" w:color="006FC0"/>
          </w:rPr>
          <w:t>u</w:t>
        </w:r>
        <w:r w:rsidR="00D70D28">
          <w:rPr>
            <w:rFonts w:ascii="Arial" w:hAnsi="Arial"/>
            <w:w w:val="117"/>
            <w:sz w:val="19"/>
            <w:u w:val="single" w:color="006FC0"/>
          </w:rPr>
          <w:t>l</w:t>
        </w:r>
        <w:r w:rsidR="00D70D28">
          <w:rPr>
            <w:rFonts w:ascii="Arial" w:hAnsi="Arial"/>
            <w:w w:val="94"/>
            <w:sz w:val="19"/>
            <w:u w:val="single" w:color="006FC0"/>
          </w:rPr>
          <w:t>a</w:t>
        </w:r>
        <w:r w:rsidR="00D70D28">
          <w:rPr>
            <w:rFonts w:ascii="Arial" w:hAnsi="Arial"/>
            <w:w w:val="134"/>
            <w:sz w:val="19"/>
            <w:u w:val="single" w:color="006FC0"/>
          </w:rPr>
          <w:t>t</w:t>
        </w:r>
        <w:r w:rsidR="00D70D28">
          <w:rPr>
            <w:rFonts w:ascii="Arial" w:hAnsi="Arial"/>
            <w:w w:val="104"/>
            <w:sz w:val="19"/>
            <w:u w:val="single" w:color="006FC0"/>
          </w:rPr>
          <w:t>i</w:t>
        </w:r>
        <w:r w:rsidR="00D70D28">
          <w:rPr>
            <w:rFonts w:ascii="Arial" w:hAnsi="Arial"/>
            <w:spacing w:val="-3"/>
            <w:w w:val="104"/>
            <w:sz w:val="19"/>
            <w:u w:val="single" w:color="006FC0"/>
          </w:rPr>
          <w:t>o</w:t>
        </w:r>
        <w:r w:rsidR="00D70D28">
          <w:rPr>
            <w:rFonts w:ascii="Arial" w:hAnsi="Arial"/>
            <w:spacing w:val="1"/>
            <w:w w:val="101"/>
            <w:sz w:val="19"/>
            <w:u w:val="single" w:color="006FC0"/>
          </w:rPr>
          <w:t>n</w:t>
        </w:r>
        <w:r w:rsidR="00D70D28">
          <w:rPr>
            <w:rFonts w:ascii="Arial" w:hAnsi="Arial"/>
            <w:w w:val="123"/>
            <w:sz w:val="19"/>
            <w:u w:val="single" w:color="006FC0"/>
          </w:rPr>
          <w:t>s/</w:t>
        </w:r>
        <w:r w:rsidR="00D70D28">
          <w:rPr>
            <w:rFonts w:ascii="Arial" w:hAnsi="Arial"/>
            <w:spacing w:val="-1"/>
            <w:w w:val="89"/>
            <w:sz w:val="19"/>
            <w:u w:val="single" w:color="006FC0"/>
          </w:rPr>
          <w:t>S</w:t>
        </w:r>
        <w:r w:rsidR="00D70D28">
          <w:rPr>
            <w:rFonts w:ascii="Arial" w:hAnsi="Arial"/>
            <w:w w:val="93"/>
            <w:sz w:val="19"/>
            <w:u w:val="single" w:color="006FC0"/>
          </w:rPr>
          <w:t>O</w:t>
        </w:r>
        <w:r w:rsidR="00D70D28">
          <w:rPr>
            <w:rFonts w:ascii="Arial" w:hAnsi="Arial"/>
            <w:spacing w:val="3"/>
            <w:w w:val="91"/>
            <w:sz w:val="19"/>
            <w:u w:val="single" w:color="006FC0"/>
          </w:rPr>
          <w:t>R</w:t>
        </w:r>
        <w:r w:rsidR="00D70D28">
          <w:rPr>
            <w:rFonts w:ascii="Arial" w:hAnsi="Arial"/>
            <w:spacing w:val="1"/>
            <w:w w:val="119"/>
            <w:sz w:val="19"/>
            <w:u w:val="single" w:color="006FC0"/>
          </w:rPr>
          <w:t>-</w:t>
        </w:r>
        <w:r w:rsidR="00D70D28">
          <w:rPr>
            <w:rFonts w:ascii="Arial" w:hAnsi="Arial"/>
            <w:spacing w:val="-1"/>
            <w:w w:val="109"/>
            <w:sz w:val="19"/>
            <w:u w:val="single" w:color="006FC0"/>
          </w:rPr>
          <w:t>2</w:t>
        </w:r>
        <w:r w:rsidR="00D70D28">
          <w:rPr>
            <w:rFonts w:ascii="Arial" w:hAnsi="Arial"/>
            <w:spacing w:val="-2"/>
            <w:w w:val="114"/>
            <w:sz w:val="19"/>
            <w:u w:val="single" w:color="006FC0"/>
          </w:rPr>
          <w:t>0</w:t>
        </w:r>
        <w:r w:rsidR="00D70D28">
          <w:rPr>
            <w:rFonts w:ascii="Arial" w:hAnsi="Arial"/>
            <w:spacing w:val="1"/>
            <w:w w:val="114"/>
            <w:sz w:val="19"/>
            <w:u w:val="single" w:color="006FC0"/>
          </w:rPr>
          <w:t>0</w:t>
        </w:r>
        <w:r w:rsidR="00D70D28">
          <w:rPr>
            <w:rFonts w:ascii="Arial" w:hAnsi="Arial"/>
            <w:spacing w:val="1"/>
            <w:w w:val="108"/>
            <w:sz w:val="19"/>
            <w:u w:val="single" w:color="006FC0"/>
          </w:rPr>
          <w:t>3</w:t>
        </w:r>
        <w:r w:rsidR="00D70D28">
          <w:rPr>
            <w:rFonts w:ascii="Arial" w:hAnsi="Arial"/>
            <w:spacing w:val="-2"/>
            <w:w w:val="119"/>
            <w:sz w:val="19"/>
            <w:u w:val="single" w:color="006FC0"/>
          </w:rPr>
          <w:t>-</w:t>
        </w:r>
        <w:r w:rsidR="00D70D28">
          <w:rPr>
            <w:rFonts w:ascii="Arial" w:hAnsi="Arial"/>
            <w:spacing w:val="1"/>
            <w:w w:val="66"/>
            <w:sz w:val="19"/>
            <w:u w:val="single" w:color="006FC0"/>
          </w:rPr>
          <w:t>1</w:t>
        </w:r>
        <w:r w:rsidR="00D70D28">
          <w:rPr>
            <w:rFonts w:ascii="Arial" w:hAnsi="Arial"/>
            <w:w w:val="107"/>
            <w:sz w:val="19"/>
            <w:u w:val="single" w:color="006FC0"/>
          </w:rPr>
          <w:t>9</w:t>
        </w:r>
        <w:r w:rsidR="00D70D28">
          <w:rPr>
            <w:rFonts w:ascii="Arial" w:hAnsi="Arial"/>
            <w:spacing w:val="-1"/>
            <w:w w:val="107"/>
            <w:sz w:val="19"/>
            <w:u w:val="single" w:color="006FC0"/>
          </w:rPr>
          <w:t>6</w:t>
        </w:r>
        <w:r w:rsidR="00D70D28">
          <w:rPr>
            <w:rFonts w:ascii="Arial" w:hAnsi="Arial"/>
            <w:w w:val="175"/>
            <w:sz w:val="19"/>
            <w:u w:val="single" w:color="006FC0"/>
          </w:rPr>
          <w:t>/</w:t>
        </w:r>
        <w:r w:rsidR="00D70D28">
          <w:rPr>
            <w:rFonts w:ascii="Arial" w:hAnsi="Arial"/>
            <w:spacing w:val="-1"/>
            <w:w w:val="91"/>
            <w:sz w:val="19"/>
            <w:u w:val="single" w:color="006FC0"/>
          </w:rPr>
          <w:t>F</w:t>
        </w:r>
        <w:r w:rsidR="00D70D28">
          <w:rPr>
            <w:rFonts w:ascii="Arial" w:hAnsi="Arial"/>
            <w:spacing w:val="1"/>
            <w:w w:val="101"/>
            <w:sz w:val="19"/>
            <w:u w:val="single" w:color="006FC0"/>
          </w:rPr>
          <w:t>u</w:t>
        </w:r>
        <w:r w:rsidR="00D70D28">
          <w:rPr>
            <w:rFonts w:ascii="Arial" w:hAnsi="Arial"/>
            <w:w w:val="117"/>
            <w:sz w:val="19"/>
            <w:u w:val="single" w:color="006FC0"/>
          </w:rPr>
          <w:t>ll</w:t>
        </w:r>
        <w:r w:rsidR="00D70D28">
          <w:rPr>
            <w:rFonts w:ascii="Arial" w:hAnsi="Arial"/>
            <w:w w:val="95"/>
            <w:sz w:val="19"/>
            <w:u w:val="single" w:color="006FC0"/>
          </w:rPr>
          <w:t>Te</w:t>
        </w:r>
        <w:r w:rsidR="00D70D28">
          <w:rPr>
            <w:rFonts w:ascii="Arial" w:hAnsi="Arial"/>
            <w:spacing w:val="-2"/>
            <w:w w:val="102"/>
            <w:sz w:val="19"/>
            <w:u w:val="single" w:color="006FC0"/>
          </w:rPr>
          <w:t>x</w:t>
        </w:r>
        <w:r w:rsidR="00D70D28">
          <w:rPr>
            <w:rFonts w:ascii="Arial" w:hAnsi="Arial"/>
            <w:w w:val="134"/>
            <w:sz w:val="19"/>
            <w:u w:val="single" w:color="006FC0"/>
          </w:rPr>
          <w:t>t</w:t>
        </w:r>
        <w:r w:rsidR="00D70D28">
          <w:rPr>
            <w:rFonts w:ascii="Arial" w:hAnsi="Arial"/>
            <w:w w:val="94"/>
            <w:sz w:val="19"/>
            <w:u w:val="single" w:color="006FC0"/>
          </w:rPr>
          <w:t>.</w:t>
        </w:r>
        <w:r w:rsidR="00D70D28">
          <w:rPr>
            <w:rFonts w:ascii="Arial" w:hAnsi="Arial"/>
            <w:spacing w:val="-1"/>
            <w:w w:val="94"/>
            <w:sz w:val="19"/>
            <w:u w:val="single" w:color="006FC0"/>
          </w:rPr>
          <w:t>h</w:t>
        </w:r>
        <w:r w:rsidR="00D70D28">
          <w:rPr>
            <w:rFonts w:ascii="Arial" w:hAnsi="Arial"/>
            <w:w w:val="134"/>
            <w:sz w:val="19"/>
            <w:u w:val="single" w:color="006FC0"/>
          </w:rPr>
          <w:t>t</w:t>
        </w:r>
        <w:r w:rsidR="00D70D28">
          <w:rPr>
            <w:rFonts w:ascii="Arial" w:hAnsi="Arial"/>
            <w:w w:val="104"/>
            <w:sz w:val="19"/>
            <w:u w:val="single" w:color="006FC0"/>
          </w:rPr>
          <w:t>ml</w:t>
        </w:r>
      </w:hyperlink>
    </w:p>
    <w:p w:rsidR="007D76BB" w:rsidRDefault="00D70D28">
      <w:pPr>
        <w:pStyle w:val="ListParagraph"/>
        <w:numPr>
          <w:ilvl w:val="1"/>
          <w:numId w:val="5"/>
        </w:numPr>
        <w:tabs>
          <w:tab w:val="left" w:pos="766"/>
        </w:tabs>
        <w:spacing w:before="101"/>
        <w:rPr>
          <w:rFonts w:ascii="Arial" w:hAnsi="Arial"/>
          <w:sz w:val="19"/>
        </w:rPr>
      </w:pPr>
      <w:r>
        <w:rPr>
          <w:rFonts w:ascii="Arial" w:hAnsi="Arial"/>
          <w:spacing w:val="1"/>
          <w:w w:val="101"/>
          <w:sz w:val="19"/>
        </w:rPr>
        <w:t>h</w:t>
      </w:r>
      <w:r>
        <w:rPr>
          <w:rFonts w:ascii="Arial" w:hAnsi="Arial"/>
          <w:w w:val="134"/>
          <w:sz w:val="19"/>
        </w:rPr>
        <w:t>t</w:t>
      </w:r>
      <w:r>
        <w:rPr>
          <w:rFonts w:ascii="Arial" w:hAnsi="Arial"/>
          <w:spacing w:val="-2"/>
          <w:w w:val="134"/>
          <w:sz w:val="19"/>
        </w:rPr>
        <w:t>t</w:t>
      </w:r>
      <w:r>
        <w:rPr>
          <w:rFonts w:ascii="Arial" w:hAnsi="Arial"/>
          <w:w w:val="101"/>
          <w:sz w:val="19"/>
        </w:rPr>
        <w:t>p</w:t>
      </w:r>
      <w:r>
        <w:rPr>
          <w:rFonts w:ascii="Arial" w:hAnsi="Arial"/>
          <w:w w:val="111"/>
          <w:sz w:val="19"/>
        </w:rPr>
        <w:t>s:/</w:t>
      </w:r>
      <w:r>
        <w:rPr>
          <w:rFonts w:ascii="Arial" w:hAnsi="Arial"/>
          <w:w w:val="175"/>
          <w:sz w:val="19"/>
        </w:rPr>
        <w:t>/</w:t>
      </w:r>
      <w:hyperlink r:id="rId234">
        <w:r>
          <w:rPr>
            <w:rFonts w:ascii="Arial" w:hAnsi="Arial"/>
            <w:spacing w:val="-2"/>
            <w:w w:val="98"/>
            <w:sz w:val="19"/>
          </w:rPr>
          <w:t>w</w:t>
        </w:r>
        <w:r>
          <w:rPr>
            <w:rFonts w:ascii="Arial" w:hAnsi="Arial"/>
            <w:spacing w:val="1"/>
            <w:w w:val="98"/>
            <w:sz w:val="19"/>
          </w:rPr>
          <w:t>ww</w:t>
        </w:r>
        <w:r>
          <w:rPr>
            <w:rFonts w:ascii="Arial" w:hAnsi="Arial"/>
            <w:spacing w:val="-2"/>
            <w:w w:val="80"/>
            <w:sz w:val="19"/>
          </w:rPr>
          <w:t>.</w:t>
        </w:r>
        <w:r>
          <w:rPr>
            <w:rFonts w:ascii="Arial" w:hAnsi="Arial"/>
            <w:w w:val="117"/>
            <w:sz w:val="19"/>
          </w:rPr>
          <w:t>l</w:t>
        </w:r>
        <w:r>
          <w:rPr>
            <w:rFonts w:ascii="Arial" w:hAnsi="Arial"/>
            <w:w w:val="96"/>
            <w:sz w:val="19"/>
          </w:rPr>
          <w:t>e</w:t>
        </w:r>
        <w:r>
          <w:rPr>
            <w:rFonts w:ascii="Arial" w:hAnsi="Arial"/>
            <w:spacing w:val="1"/>
            <w:w w:val="101"/>
            <w:sz w:val="19"/>
          </w:rPr>
          <w:t>g</w:t>
        </w:r>
        <w:r>
          <w:rPr>
            <w:rFonts w:ascii="Arial" w:hAnsi="Arial"/>
            <w:w w:val="104"/>
            <w:sz w:val="19"/>
          </w:rPr>
          <w:t>is</w:t>
        </w:r>
        <w:r>
          <w:rPr>
            <w:rFonts w:ascii="Arial" w:hAnsi="Arial"/>
            <w:spacing w:val="-2"/>
            <w:w w:val="104"/>
            <w:sz w:val="19"/>
          </w:rPr>
          <w:t>l</w:t>
        </w:r>
        <w:r>
          <w:rPr>
            <w:rFonts w:ascii="Arial" w:hAnsi="Arial"/>
            <w:w w:val="94"/>
            <w:sz w:val="19"/>
          </w:rPr>
          <w:t>a</w:t>
        </w:r>
        <w:r>
          <w:rPr>
            <w:rFonts w:ascii="Arial" w:hAnsi="Arial"/>
            <w:w w:val="134"/>
            <w:sz w:val="19"/>
          </w:rPr>
          <w:t>t</w:t>
        </w:r>
        <w:r>
          <w:rPr>
            <w:rFonts w:ascii="Arial" w:hAnsi="Arial"/>
            <w:w w:val="102"/>
            <w:sz w:val="19"/>
          </w:rPr>
          <w:t>io</w:t>
        </w:r>
        <w:r>
          <w:rPr>
            <w:rFonts w:ascii="Arial" w:hAnsi="Arial"/>
            <w:spacing w:val="-2"/>
            <w:w w:val="102"/>
            <w:sz w:val="19"/>
          </w:rPr>
          <w:t>n</w:t>
        </w:r>
        <w:r>
          <w:rPr>
            <w:rFonts w:ascii="Arial" w:hAnsi="Arial"/>
            <w:w w:val="94"/>
            <w:sz w:val="19"/>
          </w:rPr>
          <w:t>.</w:t>
        </w:r>
        <w:r>
          <w:rPr>
            <w:rFonts w:ascii="Arial" w:hAnsi="Arial"/>
            <w:spacing w:val="1"/>
            <w:w w:val="94"/>
            <w:sz w:val="19"/>
          </w:rPr>
          <w:t>g</w:t>
        </w:r>
        <w:r>
          <w:rPr>
            <w:rFonts w:ascii="Arial" w:hAnsi="Arial"/>
            <w:w w:val="101"/>
            <w:sz w:val="19"/>
          </w:rPr>
          <w:t>o</w:t>
        </w:r>
        <w:r>
          <w:rPr>
            <w:rFonts w:ascii="Arial" w:hAnsi="Arial"/>
            <w:spacing w:val="-2"/>
            <w:w w:val="101"/>
            <w:sz w:val="19"/>
          </w:rPr>
          <w:t>v</w:t>
        </w:r>
        <w:r>
          <w:rPr>
            <w:rFonts w:ascii="Arial" w:hAnsi="Arial"/>
            <w:w w:val="89"/>
            <w:sz w:val="19"/>
          </w:rPr>
          <w:t>.</w:t>
        </w:r>
        <w:r>
          <w:rPr>
            <w:rFonts w:ascii="Arial" w:hAnsi="Arial"/>
            <w:spacing w:val="1"/>
            <w:w w:val="89"/>
            <w:sz w:val="19"/>
          </w:rPr>
          <w:t>a</w:t>
        </w:r>
        <w:r>
          <w:rPr>
            <w:rFonts w:ascii="Arial" w:hAnsi="Arial"/>
            <w:spacing w:val="1"/>
            <w:w w:val="101"/>
            <w:sz w:val="19"/>
          </w:rPr>
          <w:t>u</w:t>
        </w:r>
        <w:r>
          <w:rPr>
            <w:rFonts w:ascii="Arial" w:hAnsi="Arial"/>
            <w:w w:val="175"/>
            <w:sz w:val="19"/>
          </w:rPr>
          <w:t>/</w:t>
        </w:r>
        <w:r>
          <w:rPr>
            <w:rFonts w:ascii="Arial" w:hAnsi="Arial"/>
            <w:w w:val="95"/>
            <w:sz w:val="19"/>
          </w:rPr>
          <w:t>D</w:t>
        </w:r>
        <w:r>
          <w:rPr>
            <w:rFonts w:ascii="Arial" w:hAnsi="Arial"/>
            <w:spacing w:val="-1"/>
            <w:w w:val="95"/>
            <w:sz w:val="19"/>
          </w:rPr>
          <w:t>e</w:t>
        </w:r>
        <w:r>
          <w:rPr>
            <w:rFonts w:ascii="Arial" w:hAnsi="Arial"/>
            <w:spacing w:val="4"/>
            <w:w w:val="134"/>
            <w:sz w:val="19"/>
          </w:rPr>
          <w:t>t</w:t>
        </w:r>
        <w:r>
          <w:rPr>
            <w:rFonts w:ascii="Arial" w:hAnsi="Arial"/>
            <w:w w:val="94"/>
            <w:sz w:val="19"/>
          </w:rPr>
          <w:t>a</w:t>
        </w:r>
        <w:r>
          <w:rPr>
            <w:rFonts w:ascii="Arial" w:hAnsi="Arial"/>
            <w:w w:val="120"/>
            <w:sz w:val="19"/>
          </w:rPr>
          <w:t>ils/</w:t>
        </w:r>
        <w:r>
          <w:rPr>
            <w:rFonts w:ascii="Arial" w:hAnsi="Arial"/>
            <w:w w:val="98"/>
            <w:sz w:val="19"/>
          </w:rPr>
          <w:t>C</w:t>
        </w:r>
        <w:r>
          <w:rPr>
            <w:rFonts w:ascii="Arial" w:hAnsi="Arial"/>
            <w:spacing w:val="-2"/>
            <w:w w:val="98"/>
            <w:sz w:val="19"/>
          </w:rPr>
          <w:t>2</w:t>
        </w:r>
        <w:r>
          <w:rPr>
            <w:rFonts w:ascii="Arial" w:hAnsi="Arial"/>
            <w:spacing w:val="1"/>
            <w:w w:val="114"/>
            <w:sz w:val="19"/>
          </w:rPr>
          <w:t>0</w:t>
        </w:r>
        <w:r>
          <w:rPr>
            <w:rFonts w:ascii="Arial" w:hAnsi="Arial"/>
            <w:spacing w:val="-1"/>
            <w:w w:val="109"/>
            <w:sz w:val="19"/>
          </w:rPr>
          <w:t>2</w:t>
        </w:r>
        <w:r>
          <w:rPr>
            <w:rFonts w:ascii="Arial" w:hAnsi="Arial"/>
            <w:spacing w:val="1"/>
            <w:w w:val="114"/>
            <w:sz w:val="19"/>
          </w:rPr>
          <w:t>0</w:t>
        </w:r>
        <w:r>
          <w:rPr>
            <w:rFonts w:ascii="Arial" w:hAnsi="Arial"/>
            <w:sz w:val="19"/>
          </w:rPr>
          <w:t>C</w:t>
        </w:r>
        <w:r>
          <w:rPr>
            <w:rFonts w:ascii="Arial" w:hAnsi="Arial"/>
            <w:spacing w:val="-2"/>
            <w:sz w:val="19"/>
          </w:rPr>
          <w:t>0</w:t>
        </w:r>
        <w:r>
          <w:rPr>
            <w:rFonts w:ascii="Arial" w:hAnsi="Arial"/>
            <w:spacing w:val="1"/>
            <w:w w:val="114"/>
            <w:sz w:val="19"/>
          </w:rPr>
          <w:t>00</w:t>
        </w:r>
        <w:r>
          <w:rPr>
            <w:rFonts w:ascii="Arial" w:hAnsi="Arial"/>
            <w:spacing w:val="-1"/>
            <w:w w:val="109"/>
            <w:sz w:val="19"/>
          </w:rPr>
          <w:t>2</w:t>
        </w:r>
        <w:r>
          <w:rPr>
            <w:rFonts w:ascii="Arial" w:hAnsi="Arial"/>
            <w:w w:val="109"/>
            <w:sz w:val="19"/>
          </w:rPr>
          <w:t>8</w:t>
        </w:r>
        <w:r>
          <w:rPr>
            <w:rFonts w:ascii="Arial" w:hAnsi="Arial"/>
            <w:spacing w:val="-8"/>
            <w:sz w:val="19"/>
          </w:rPr>
          <w:t xml:space="preserve"> </w:t>
        </w:r>
      </w:hyperlink>
      <w:r>
        <w:rPr>
          <w:rFonts w:ascii="Arial" w:hAnsi="Arial"/>
          <w:w w:val="93"/>
          <w:sz w:val="19"/>
        </w:rPr>
        <w:t>(TG</w:t>
      </w:r>
      <w:r>
        <w:rPr>
          <w:rFonts w:ascii="Arial" w:hAnsi="Arial"/>
          <w:spacing w:val="-9"/>
          <w:sz w:val="19"/>
        </w:rPr>
        <w:t xml:space="preserve"> </w:t>
      </w:r>
      <w:r>
        <w:rPr>
          <w:rFonts w:ascii="Arial" w:hAnsi="Arial"/>
          <w:w w:val="101"/>
          <w:sz w:val="19"/>
        </w:rPr>
        <w:t>A</w:t>
      </w:r>
      <w:r>
        <w:rPr>
          <w:rFonts w:ascii="Arial" w:hAnsi="Arial"/>
          <w:w w:val="99"/>
          <w:sz w:val="19"/>
        </w:rPr>
        <w:t>c</w:t>
      </w:r>
      <w:r>
        <w:rPr>
          <w:rFonts w:ascii="Arial" w:hAnsi="Arial"/>
          <w:w w:val="134"/>
          <w:sz w:val="19"/>
        </w:rPr>
        <w:t>t</w:t>
      </w:r>
      <w:r>
        <w:rPr>
          <w:rFonts w:ascii="Arial" w:hAnsi="Arial"/>
          <w:spacing w:val="-9"/>
          <w:sz w:val="19"/>
        </w:rPr>
        <w:t xml:space="preserve"> </w:t>
      </w:r>
      <w:r>
        <w:rPr>
          <w:rFonts w:ascii="Arial" w:hAnsi="Arial"/>
          <w:spacing w:val="1"/>
          <w:w w:val="66"/>
          <w:sz w:val="19"/>
        </w:rPr>
        <w:t>1</w:t>
      </w:r>
      <w:r>
        <w:rPr>
          <w:rFonts w:ascii="Arial" w:hAnsi="Arial"/>
          <w:w w:val="108"/>
          <w:sz w:val="19"/>
        </w:rPr>
        <w:t>9</w:t>
      </w:r>
      <w:r>
        <w:rPr>
          <w:rFonts w:ascii="Arial" w:hAnsi="Arial"/>
          <w:spacing w:val="-1"/>
          <w:w w:val="108"/>
          <w:sz w:val="19"/>
        </w:rPr>
        <w:t>8</w:t>
      </w:r>
      <w:r>
        <w:rPr>
          <w:rFonts w:ascii="Arial" w:hAnsi="Arial"/>
          <w:w w:val="105"/>
          <w:sz w:val="19"/>
        </w:rPr>
        <w:t>9)</w:t>
      </w:r>
    </w:p>
    <w:p w:rsidR="007D76BB" w:rsidRDefault="00A51832">
      <w:pPr>
        <w:pStyle w:val="ListParagraph"/>
        <w:numPr>
          <w:ilvl w:val="1"/>
          <w:numId w:val="5"/>
        </w:numPr>
        <w:tabs>
          <w:tab w:val="left" w:pos="766"/>
        </w:tabs>
        <w:spacing w:before="103"/>
        <w:rPr>
          <w:rFonts w:ascii="Arial" w:hAnsi="Arial"/>
          <w:sz w:val="19"/>
        </w:rPr>
      </w:pPr>
      <w:hyperlink r:id="rId235">
        <w:r w:rsidR="00D70D28">
          <w:rPr>
            <w:rFonts w:ascii="Arial" w:hAnsi="Arial"/>
            <w:spacing w:val="1"/>
            <w:w w:val="101"/>
            <w:sz w:val="19"/>
            <w:u w:val="single" w:color="006FC0"/>
          </w:rPr>
          <w:t>h</w:t>
        </w:r>
        <w:r w:rsidR="00D70D28">
          <w:rPr>
            <w:rFonts w:ascii="Arial" w:hAnsi="Arial"/>
            <w:w w:val="134"/>
            <w:sz w:val="19"/>
            <w:u w:val="single" w:color="006FC0"/>
          </w:rPr>
          <w:t>t</w:t>
        </w:r>
        <w:r w:rsidR="00D70D28">
          <w:rPr>
            <w:rFonts w:ascii="Arial" w:hAnsi="Arial"/>
            <w:spacing w:val="-2"/>
            <w:w w:val="134"/>
            <w:sz w:val="19"/>
            <w:u w:val="single" w:color="006FC0"/>
          </w:rPr>
          <w:t>t</w:t>
        </w:r>
        <w:r w:rsidR="00D70D28">
          <w:rPr>
            <w:rFonts w:ascii="Arial" w:hAnsi="Arial"/>
            <w:w w:val="101"/>
            <w:sz w:val="19"/>
            <w:u w:val="single" w:color="006FC0"/>
          </w:rPr>
          <w:t>p</w:t>
        </w:r>
        <w:r w:rsidR="00D70D28">
          <w:rPr>
            <w:rFonts w:ascii="Arial" w:hAnsi="Arial"/>
            <w:w w:val="111"/>
            <w:sz w:val="19"/>
            <w:u w:val="single" w:color="006FC0"/>
          </w:rPr>
          <w:t>s:/</w:t>
        </w:r>
        <w:r w:rsidR="00D70D28">
          <w:rPr>
            <w:rFonts w:ascii="Arial" w:hAnsi="Arial"/>
            <w:w w:val="175"/>
            <w:sz w:val="19"/>
            <w:u w:val="single" w:color="006FC0"/>
          </w:rPr>
          <w:t>/</w:t>
        </w:r>
        <w:r w:rsidR="00D70D28">
          <w:rPr>
            <w:rFonts w:ascii="Arial" w:hAnsi="Arial"/>
            <w:spacing w:val="-2"/>
            <w:w w:val="98"/>
            <w:sz w:val="19"/>
            <w:u w:val="single" w:color="006FC0"/>
          </w:rPr>
          <w:t>w</w:t>
        </w:r>
        <w:r w:rsidR="00D70D28">
          <w:rPr>
            <w:rFonts w:ascii="Arial" w:hAnsi="Arial"/>
            <w:spacing w:val="1"/>
            <w:w w:val="98"/>
            <w:sz w:val="19"/>
            <w:u w:val="single" w:color="006FC0"/>
          </w:rPr>
          <w:t>ww</w:t>
        </w:r>
        <w:r w:rsidR="00D70D28">
          <w:rPr>
            <w:rFonts w:ascii="Arial" w:hAnsi="Arial"/>
            <w:spacing w:val="-2"/>
            <w:w w:val="80"/>
            <w:sz w:val="19"/>
            <w:u w:val="single" w:color="006FC0"/>
          </w:rPr>
          <w:t>.</w:t>
        </w:r>
        <w:r w:rsidR="00D70D28">
          <w:rPr>
            <w:rFonts w:ascii="Arial" w:hAnsi="Arial"/>
            <w:w w:val="117"/>
            <w:sz w:val="19"/>
            <w:u w:val="single" w:color="006FC0"/>
          </w:rPr>
          <w:t>l</w:t>
        </w:r>
        <w:r w:rsidR="00D70D28">
          <w:rPr>
            <w:rFonts w:ascii="Arial" w:hAnsi="Arial"/>
            <w:w w:val="96"/>
            <w:sz w:val="19"/>
            <w:u w:val="single" w:color="006FC0"/>
          </w:rPr>
          <w:t>e</w:t>
        </w:r>
        <w:r w:rsidR="00D70D28">
          <w:rPr>
            <w:rFonts w:ascii="Arial" w:hAnsi="Arial"/>
            <w:spacing w:val="1"/>
            <w:w w:val="101"/>
            <w:sz w:val="19"/>
            <w:u w:val="single" w:color="006FC0"/>
          </w:rPr>
          <w:t>g</w:t>
        </w:r>
        <w:r w:rsidR="00D70D28">
          <w:rPr>
            <w:rFonts w:ascii="Arial" w:hAnsi="Arial"/>
            <w:w w:val="104"/>
            <w:sz w:val="19"/>
            <w:u w:val="single" w:color="006FC0"/>
          </w:rPr>
          <w:t>is</w:t>
        </w:r>
        <w:r w:rsidR="00D70D28">
          <w:rPr>
            <w:rFonts w:ascii="Arial" w:hAnsi="Arial"/>
            <w:spacing w:val="-2"/>
            <w:w w:val="104"/>
            <w:sz w:val="19"/>
            <w:u w:val="single" w:color="006FC0"/>
          </w:rPr>
          <w:t>l</w:t>
        </w:r>
        <w:r w:rsidR="00D70D28">
          <w:rPr>
            <w:rFonts w:ascii="Arial" w:hAnsi="Arial"/>
            <w:w w:val="94"/>
            <w:sz w:val="19"/>
            <w:u w:val="single" w:color="006FC0"/>
          </w:rPr>
          <w:t>a</w:t>
        </w:r>
        <w:r w:rsidR="00D70D28">
          <w:rPr>
            <w:rFonts w:ascii="Arial" w:hAnsi="Arial"/>
            <w:w w:val="134"/>
            <w:sz w:val="19"/>
            <w:u w:val="single" w:color="006FC0"/>
          </w:rPr>
          <w:t>t</w:t>
        </w:r>
        <w:r w:rsidR="00D70D28">
          <w:rPr>
            <w:rFonts w:ascii="Arial" w:hAnsi="Arial"/>
            <w:w w:val="102"/>
            <w:sz w:val="19"/>
            <w:u w:val="single" w:color="006FC0"/>
          </w:rPr>
          <w:t>io</w:t>
        </w:r>
        <w:r w:rsidR="00D70D28">
          <w:rPr>
            <w:rFonts w:ascii="Arial" w:hAnsi="Arial"/>
            <w:spacing w:val="-2"/>
            <w:w w:val="102"/>
            <w:sz w:val="19"/>
            <w:u w:val="single" w:color="006FC0"/>
          </w:rPr>
          <w:t>n</w:t>
        </w:r>
        <w:r w:rsidR="00D70D28">
          <w:rPr>
            <w:rFonts w:ascii="Arial" w:hAnsi="Arial"/>
            <w:w w:val="94"/>
            <w:sz w:val="19"/>
            <w:u w:val="single" w:color="006FC0"/>
          </w:rPr>
          <w:t>.</w:t>
        </w:r>
        <w:r w:rsidR="00D70D28">
          <w:rPr>
            <w:rFonts w:ascii="Arial" w:hAnsi="Arial"/>
            <w:spacing w:val="1"/>
            <w:w w:val="94"/>
            <w:sz w:val="19"/>
            <w:u w:val="single" w:color="006FC0"/>
          </w:rPr>
          <w:t>g</w:t>
        </w:r>
        <w:r w:rsidR="00D70D28">
          <w:rPr>
            <w:rFonts w:ascii="Arial" w:hAnsi="Arial"/>
            <w:w w:val="101"/>
            <w:sz w:val="19"/>
            <w:u w:val="single" w:color="006FC0"/>
          </w:rPr>
          <w:t>o</w:t>
        </w:r>
        <w:r w:rsidR="00D70D28">
          <w:rPr>
            <w:rFonts w:ascii="Arial" w:hAnsi="Arial"/>
            <w:spacing w:val="-2"/>
            <w:w w:val="101"/>
            <w:sz w:val="19"/>
            <w:u w:val="single" w:color="006FC0"/>
          </w:rPr>
          <w:t>v</w:t>
        </w:r>
        <w:r w:rsidR="00D70D28">
          <w:rPr>
            <w:rFonts w:ascii="Arial" w:hAnsi="Arial"/>
            <w:w w:val="89"/>
            <w:sz w:val="19"/>
            <w:u w:val="single" w:color="006FC0"/>
          </w:rPr>
          <w:t>.</w:t>
        </w:r>
        <w:r w:rsidR="00D70D28">
          <w:rPr>
            <w:rFonts w:ascii="Arial" w:hAnsi="Arial"/>
            <w:spacing w:val="1"/>
            <w:w w:val="89"/>
            <w:sz w:val="19"/>
            <w:u w:val="single" w:color="006FC0"/>
          </w:rPr>
          <w:t>a</w:t>
        </w:r>
        <w:r w:rsidR="00D70D28">
          <w:rPr>
            <w:rFonts w:ascii="Arial" w:hAnsi="Arial"/>
            <w:spacing w:val="1"/>
            <w:w w:val="101"/>
            <w:sz w:val="19"/>
            <w:u w:val="single" w:color="006FC0"/>
          </w:rPr>
          <w:t>u</w:t>
        </w:r>
        <w:r w:rsidR="00D70D28">
          <w:rPr>
            <w:rFonts w:ascii="Arial" w:hAnsi="Arial"/>
            <w:w w:val="175"/>
            <w:sz w:val="19"/>
            <w:u w:val="single" w:color="006FC0"/>
          </w:rPr>
          <w:t>/</w:t>
        </w:r>
        <w:r w:rsidR="00D70D28">
          <w:rPr>
            <w:rFonts w:ascii="Arial" w:hAnsi="Arial"/>
            <w:w w:val="95"/>
            <w:sz w:val="19"/>
            <w:u w:val="single" w:color="006FC0"/>
          </w:rPr>
          <w:t>D</w:t>
        </w:r>
        <w:r w:rsidR="00D70D28">
          <w:rPr>
            <w:rFonts w:ascii="Arial" w:hAnsi="Arial"/>
            <w:spacing w:val="-1"/>
            <w:w w:val="95"/>
            <w:sz w:val="19"/>
            <w:u w:val="single" w:color="006FC0"/>
          </w:rPr>
          <w:t>e</w:t>
        </w:r>
        <w:r w:rsidR="00D70D28">
          <w:rPr>
            <w:rFonts w:ascii="Arial" w:hAnsi="Arial"/>
            <w:w w:val="134"/>
            <w:sz w:val="19"/>
            <w:u w:val="single" w:color="006FC0"/>
          </w:rPr>
          <w:t>t</w:t>
        </w:r>
        <w:r w:rsidR="00D70D28">
          <w:rPr>
            <w:rFonts w:ascii="Arial" w:hAnsi="Arial"/>
            <w:w w:val="94"/>
            <w:sz w:val="19"/>
            <w:u w:val="single" w:color="006FC0"/>
          </w:rPr>
          <w:t>a</w:t>
        </w:r>
        <w:r w:rsidR="00D70D28">
          <w:rPr>
            <w:rFonts w:ascii="Arial" w:hAnsi="Arial"/>
            <w:w w:val="120"/>
            <w:sz w:val="19"/>
            <w:u w:val="single" w:color="006FC0"/>
          </w:rPr>
          <w:t>ils/</w:t>
        </w:r>
        <w:r w:rsidR="00D70D28">
          <w:rPr>
            <w:rFonts w:ascii="Arial" w:hAnsi="Arial"/>
            <w:spacing w:val="-1"/>
            <w:w w:val="91"/>
            <w:sz w:val="19"/>
            <w:u w:val="single" w:color="006FC0"/>
          </w:rPr>
          <w:t>F</w:t>
        </w:r>
        <w:r w:rsidR="00D70D28">
          <w:rPr>
            <w:rFonts w:ascii="Arial" w:hAnsi="Arial"/>
            <w:spacing w:val="-1"/>
            <w:w w:val="109"/>
            <w:sz w:val="19"/>
            <w:u w:val="single" w:color="006FC0"/>
          </w:rPr>
          <w:t>2</w:t>
        </w:r>
        <w:r w:rsidR="00D70D28">
          <w:rPr>
            <w:rFonts w:ascii="Arial" w:hAnsi="Arial"/>
            <w:spacing w:val="1"/>
            <w:w w:val="114"/>
            <w:sz w:val="19"/>
            <w:u w:val="single" w:color="006FC0"/>
          </w:rPr>
          <w:t>0</w:t>
        </w:r>
        <w:r w:rsidR="00D70D28">
          <w:rPr>
            <w:rFonts w:ascii="Arial" w:hAnsi="Arial"/>
            <w:spacing w:val="1"/>
            <w:w w:val="66"/>
            <w:sz w:val="19"/>
            <w:u w:val="single" w:color="006FC0"/>
          </w:rPr>
          <w:t>1</w:t>
        </w:r>
        <w:r w:rsidR="00D70D28">
          <w:rPr>
            <w:rFonts w:ascii="Arial" w:hAnsi="Arial"/>
            <w:spacing w:val="-1"/>
            <w:w w:val="93"/>
            <w:sz w:val="19"/>
            <w:u w:val="single" w:color="006FC0"/>
          </w:rPr>
          <w:t>7</w:t>
        </w:r>
        <w:r w:rsidR="00D70D28">
          <w:rPr>
            <w:rFonts w:ascii="Arial" w:hAnsi="Arial"/>
            <w:sz w:val="19"/>
            <w:u w:val="single" w:color="006FC0"/>
          </w:rPr>
          <w:t>C</w:t>
        </w:r>
        <w:r w:rsidR="00D70D28">
          <w:rPr>
            <w:rFonts w:ascii="Arial" w:hAnsi="Arial"/>
            <w:spacing w:val="-2"/>
            <w:sz w:val="19"/>
            <w:u w:val="single" w:color="006FC0"/>
          </w:rPr>
          <w:t>0</w:t>
        </w:r>
        <w:r w:rsidR="00D70D28">
          <w:rPr>
            <w:rFonts w:ascii="Arial" w:hAnsi="Arial"/>
            <w:spacing w:val="1"/>
            <w:w w:val="114"/>
            <w:sz w:val="19"/>
            <w:u w:val="single" w:color="006FC0"/>
          </w:rPr>
          <w:t>0</w:t>
        </w:r>
        <w:r w:rsidR="00D70D28">
          <w:rPr>
            <w:rFonts w:ascii="Arial" w:hAnsi="Arial"/>
            <w:w w:val="108"/>
            <w:sz w:val="19"/>
            <w:u w:val="single" w:color="006FC0"/>
          </w:rPr>
          <w:t>33</w:t>
        </w:r>
        <w:r w:rsidR="00D70D28">
          <w:rPr>
            <w:rFonts w:ascii="Arial" w:hAnsi="Arial"/>
            <w:w w:val="107"/>
            <w:sz w:val="19"/>
            <w:u w:val="single" w:color="006FC0"/>
          </w:rPr>
          <w:t>6</w:t>
        </w:r>
      </w:hyperlink>
    </w:p>
    <w:p w:rsidR="007D76BB" w:rsidRDefault="00A51832">
      <w:pPr>
        <w:pStyle w:val="ListParagraph"/>
        <w:numPr>
          <w:ilvl w:val="1"/>
          <w:numId w:val="5"/>
        </w:numPr>
        <w:tabs>
          <w:tab w:val="left" w:pos="766"/>
        </w:tabs>
        <w:spacing w:before="100"/>
        <w:rPr>
          <w:rFonts w:ascii="Arial" w:hAnsi="Arial"/>
          <w:sz w:val="19"/>
        </w:rPr>
      </w:pPr>
      <w:hyperlink r:id="rId236">
        <w:r w:rsidR="00D70D28">
          <w:rPr>
            <w:rFonts w:ascii="Arial" w:hAnsi="Arial"/>
            <w:spacing w:val="1"/>
            <w:w w:val="101"/>
            <w:sz w:val="19"/>
            <w:u w:val="single" w:color="006FC0"/>
          </w:rPr>
          <w:t>h</w:t>
        </w:r>
        <w:r w:rsidR="00D70D28">
          <w:rPr>
            <w:rFonts w:ascii="Arial" w:hAnsi="Arial"/>
            <w:w w:val="134"/>
            <w:sz w:val="19"/>
            <w:u w:val="single" w:color="006FC0"/>
          </w:rPr>
          <w:t>t</w:t>
        </w:r>
        <w:r w:rsidR="00D70D28">
          <w:rPr>
            <w:rFonts w:ascii="Arial" w:hAnsi="Arial"/>
            <w:spacing w:val="-2"/>
            <w:w w:val="134"/>
            <w:sz w:val="19"/>
            <w:u w:val="single" w:color="006FC0"/>
          </w:rPr>
          <w:t>t</w:t>
        </w:r>
        <w:r w:rsidR="00D70D28">
          <w:rPr>
            <w:rFonts w:ascii="Arial" w:hAnsi="Arial"/>
            <w:w w:val="101"/>
            <w:sz w:val="19"/>
            <w:u w:val="single" w:color="006FC0"/>
          </w:rPr>
          <w:t>p</w:t>
        </w:r>
        <w:r w:rsidR="00D70D28">
          <w:rPr>
            <w:rFonts w:ascii="Arial" w:hAnsi="Arial"/>
            <w:w w:val="111"/>
            <w:sz w:val="19"/>
            <w:u w:val="single" w:color="006FC0"/>
          </w:rPr>
          <w:t>s:/</w:t>
        </w:r>
        <w:r w:rsidR="00D70D28">
          <w:rPr>
            <w:rFonts w:ascii="Arial" w:hAnsi="Arial"/>
            <w:w w:val="175"/>
            <w:sz w:val="19"/>
            <w:u w:val="single" w:color="006FC0"/>
          </w:rPr>
          <w:t>/</w:t>
        </w:r>
        <w:r w:rsidR="00D70D28">
          <w:rPr>
            <w:rFonts w:ascii="Arial" w:hAnsi="Arial"/>
            <w:spacing w:val="-2"/>
            <w:w w:val="98"/>
            <w:sz w:val="19"/>
            <w:u w:val="single" w:color="006FC0"/>
          </w:rPr>
          <w:t>w</w:t>
        </w:r>
        <w:r w:rsidR="00D70D28">
          <w:rPr>
            <w:rFonts w:ascii="Arial" w:hAnsi="Arial"/>
            <w:spacing w:val="1"/>
            <w:w w:val="98"/>
            <w:sz w:val="19"/>
            <w:u w:val="single" w:color="006FC0"/>
          </w:rPr>
          <w:t>ww</w:t>
        </w:r>
        <w:r w:rsidR="00D70D28">
          <w:rPr>
            <w:rFonts w:ascii="Arial" w:hAnsi="Arial"/>
            <w:spacing w:val="-2"/>
            <w:w w:val="80"/>
            <w:sz w:val="19"/>
            <w:u w:val="single" w:color="006FC0"/>
          </w:rPr>
          <w:t>.</w:t>
        </w:r>
        <w:r w:rsidR="00D70D28">
          <w:rPr>
            <w:rFonts w:ascii="Arial" w:hAnsi="Arial"/>
            <w:w w:val="117"/>
            <w:sz w:val="19"/>
            <w:u w:val="single" w:color="006FC0"/>
          </w:rPr>
          <w:t>l</w:t>
        </w:r>
        <w:r w:rsidR="00D70D28">
          <w:rPr>
            <w:rFonts w:ascii="Arial" w:hAnsi="Arial"/>
            <w:w w:val="96"/>
            <w:sz w:val="19"/>
            <w:u w:val="single" w:color="006FC0"/>
          </w:rPr>
          <w:t>e</w:t>
        </w:r>
        <w:r w:rsidR="00D70D28">
          <w:rPr>
            <w:rFonts w:ascii="Arial" w:hAnsi="Arial"/>
            <w:spacing w:val="1"/>
            <w:w w:val="101"/>
            <w:sz w:val="19"/>
            <w:u w:val="single" w:color="006FC0"/>
          </w:rPr>
          <w:t>g</w:t>
        </w:r>
        <w:r w:rsidR="00D70D28">
          <w:rPr>
            <w:rFonts w:ascii="Arial" w:hAnsi="Arial"/>
            <w:w w:val="104"/>
            <w:sz w:val="19"/>
            <w:u w:val="single" w:color="006FC0"/>
          </w:rPr>
          <w:t>is</w:t>
        </w:r>
        <w:r w:rsidR="00D70D28">
          <w:rPr>
            <w:rFonts w:ascii="Arial" w:hAnsi="Arial"/>
            <w:spacing w:val="-2"/>
            <w:w w:val="104"/>
            <w:sz w:val="19"/>
            <w:u w:val="single" w:color="006FC0"/>
          </w:rPr>
          <w:t>l</w:t>
        </w:r>
        <w:r w:rsidR="00D70D28">
          <w:rPr>
            <w:rFonts w:ascii="Arial" w:hAnsi="Arial"/>
            <w:w w:val="94"/>
            <w:sz w:val="19"/>
            <w:u w:val="single" w:color="006FC0"/>
          </w:rPr>
          <w:t>a</w:t>
        </w:r>
        <w:r w:rsidR="00D70D28">
          <w:rPr>
            <w:rFonts w:ascii="Arial" w:hAnsi="Arial"/>
            <w:w w:val="134"/>
            <w:sz w:val="19"/>
            <w:u w:val="single" w:color="006FC0"/>
          </w:rPr>
          <w:t>t</w:t>
        </w:r>
        <w:r w:rsidR="00D70D28">
          <w:rPr>
            <w:rFonts w:ascii="Arial" w:hAnsi="Arial"/>
            <w:w w:val="102"/>
            <w:sz w:val="19"/>
            <w:u w:val="single" w:color="006FC0"/>
          </w:rPr>
          <w:t>io</w:t>
        </w:r>
        <w:r w:rsidR="00D70D28">
          <w:rPr>
            <w:rFonts w:ascii="Arial" w:hAnsi="Arial"/>
            <w:spacing w:val="-2"/>
            <w:w w:val="102"/>
            <w:sz w:val="19"/>
            <w:u w:val="single" w:color="006FC0"/>
          </w:rPr>
          <w:t>n</w:t>
        </w:r>
        <w:r w:rsidR="00D70D28">
          <w:rPr>
            <w:rFonts w:ascii="Arial" w:hAnsi="Arial"/>
            <w:w w:val="94"/>
            <w:sz w:val="19"/>
            <w:u w:val="single" w:color="006FC0"/>
          </w:rPr>
          <w:t>.</w:t>
        </w:r>
        <w:r w:rsidR="00D70D28">
          <w:rPr>
            <w:rFonts w:ascii="Arial" w:hAnsi="Arial"/>
            <w:spacing w:val="1"/>
            <w:w w:val="94"/>
            <w:sz w:val="19"/>
            <w:u w:val="single" w:color="006FC0"/>
          </w:rPr>
          <w:t>g</w:t>
        </w:r>
        <w:r w:rsidR="00D70D28">
          <w:rPr>
            <w:rFonts w:ascii="Arial" w:hAnsi="Arial"/>
            <w:w w:val="101"/>
            <w:sz w:val="19"/>
            <w:u w:val="single" w:color="006FC0"/>
          </w:rPr>
          <w:t>o</w:t>
        </w:r>
        <w:r w:rsidR="00D70D28">
          <w:rPr>
            <w:rFonts w:ascii="Arial" w:hAnsi="Arial"/>
            <w:spacing w:val="-2"/>
            <w:w w:val="101"/>
            <w:sz w:val="19"/>
            <w:u w:val="single" w:color="006FC0"/>
          </w:rPr>
          <w:t>v</w:t>
        </w:r>
        <w:r w:rsidR="00D70D28">
          <w:rPr>
            <w:rFonts w:ascii="Arial" w:hAnsi="Arial"/>
            <w:w w:val="89"/>
            <w:sz w:val="19"/>
            <w:u w:val="single" w:color="006FC0"/>
          </w:rPr>
          <w:t>.</w:t>
        </w:r>
        <w:r w:rsidR="00D70D28">
          <w:rPr>
            <w:rFonts w:ascii="Arial" w:hAnsi="Arial"/>
            <w:spacing w:val="1"/>
            <w:w w:val="89"/>
            <w:sz w:val="19"/>
            <w:u w:val="single" w:color="006FC0"/>
          </w:rPr>
          <w:t>a</w:t>
        </w:r>
        <w:r w:rsidR="00D70D28">
          <w:rPr>
            <w:rFonts w:ascii="Arial" w:hAnsi="Arial"/>
            <w:spacing w:val="1"/>
            <w:w w:val="101"/>
            <w:sz w:val="19"/>
            <w:u w:val="single" w:color="006FC0"/>
          </w:rPr>
          <w:t>u</w:t>
        </w:r>
        <w:r w:rsidR="00D70D28">
          <w:rPr>
            <w:rFonts w:ascii="Arial" w:hAnsi="Arial"/>
            <w:w w:val="175"/>
            <w:sz w:val="19"/>
            <w:u w:val="single" w:color="006FC0"/>
          </w:rPr>
          <w:t>/</w:t>
        </w:r>
        <w:r w:rsidR="00D70D28">
          <w:rPr>
            <w:rFonts w:ascii="Arial" w:hAnsi="Arial"/>
            <w:w w:val="95"/>
            <w:sz w:val="19"/>
            <w:u w:val="single" w:color="006FC0"/>
          </w:rPr>
          <w:t>D</w:t>
        </w:r>
        <w:r w:rsidR="00D70D28">
          <w:rPr>
            <w:rFonts w:ascii="Arial" w:hAnsi="Arial"/>
            <w:spacing w:val="-1"/>
            <w:w w:val="95"/>
            <w:sz w:val="19"/>
            <w:u w:val="single" w:color="006FC0"/>
          </w:rPr>
          <w:t>e</w:t>
        </w:r>
        <w:r w:rsidR="00D70D28">
          <w:rPr>
            <w:rFonts w:ascii="Arial" w:hAnsi="Arial"/>
            <w:w w:val="134"/>
            <w:sz w:val="19"/>
            <w:u w:val="single" w:color="006FC0"/>
          </w:rPr>
          <w:t>t</w:t>
        </w:r>
        <w:r w:rsidR="00D70D28">
          <w:rPr>
            <w:rFonts w:ascii="Arial" w:hAnsi="Arial"/>
            <w:w w:val="94"/>
            <w:sz w:val="19"/>
            <w:u w:val="single" w:color="006FC0"/>
          </w:rPr>
          <w:t>a</w:t>
        </w:r>
        <w:r w:rsidR="00D70D28">
          <w:rPr>
            <w:rFonts w:ascii="Arial" w:hAnsi="Arial"/>
            <w:w w:val="104"/>
            <w:sz w:val="19"/>
            <w:u w:val="single" w:color="006FC0"/>
          </w:rPr>
          <w:t>il</w:t>
        </w:r>
        <w:r w:rsidR="00D70D28">
          <w:rPr>
            <w:rFonts w:ascii="Arial" w:hAnsi="Arial"/>
            <w:spacing w:val="3"/>
            <w:w w:val="104"/>
            <w:sz w:val="19"/>
            <w:u w:val="single" w:color="006FC0"/>
          </w:rPr>
          <w:t>s</w:t>
        </w:r>
        <w:r w:rsidR="00D70D28">
          <w:rPr>
            <w:rFonts w:ascii="Arial" w:hAnsi="Arial"/>
            <w:w w:val="175"/>
            <w:sz w:val="19"/>
            <w:u w:val="single" w:color="006FC0"/>
          </w:rPr>
          <w:t>/</w:t>
        </w:r>
        <w:r w:rsidR="00D70D28">
          <w:rPr>
            <w:rFonts w:ascii="Arial" w:hAnsi="Arial"/>
            <w:spacing w:val="-1"/>
            <w:w w:val="91"/>
            <w:sz w:val="19"/>
            <w:u w:val="single" w:color="006FC0"/>
          </w:rPr>
          <w:t>F</w:t>
        </w:r>
        <w:r w:rsidR="00D70D28">
          <w:rPr>
            <w:rFonts w:ascii="Arial" w:hAnsi="Arial"/>
            <w:spacing w:val="-1"/>
            <w:w w:val="109"/>
            <w:sz w:val="19"/>
            <w:u w:val="single" w:color="006FC0"/>
          </w:rPr>
          <w:t>2</w:t>
        </w:r>
        <w:r w:rsidR="00D70D28">
          <w:rPr>
            <w:rFonts w:ascii="Arial" w:hAnsi="Arial"/>
            <w:spacing w:val="1"/>
            <w:w w:val="114"/>
            <w:sz w:val="19"/>
            <w:u w:val="single" w:color="006FC0"/>
          </w:rPr>
          <w:t>0</w:t>
        </w:r>
        <w:r w:rsidR="00D70D28">
          <w:rPr>
            <w:rFonts w:ascii="Arial" w:hAnsi="Arial"/>
            <w:spacing w:val="-1"/>
            <w:w w:val="109"/>
            <w:sz w:val="19"/>
            <w:u w:val="single" w:color="006FC0"/>
          </w:rPr>
          <w:t>2</w:t>
        </w:r>
        <w:r w:rsidR="00D70D28">
          <w:rPr>
            <w:rFonts w:ascii="Arial" w:hAnsi="Arial"/>
            <w:spacing w:val="1"/>
            <w:w w:val="114"/>
            <w:sz w:val="19"/>
            <w:u w:val="single" w:color="006FC0"/>
          </w:rPr>
          <w:t>0</w:t>
        </w:r>
        <w:r w:rsidR="00D70D28">
          <w:rPr>
            <w:rFonts w:ascii="Arial" w:hAnsi="Arial"/>
            <w:w w:val="107"/>
            <w:sz w:val="19"/>
            <w:u w:val="single" w:color="006FC0"/>
          </w:rPr>
          <w:t>L0</w:t>
        </w:r>
        <w:r w:rsidR="00D70D28">
          <w:rPr>
            <w:rFonts w:ascii="Arial" w:hAnsi="Arial"/>
            <w:spacing w:val="-2"/>
            <w:w w:val="114"/>
            <w:sz w:val="19"/>
            <w:u w:val="single" w:color="006FC0"/>
          </w:rPr>
          <w:t>0</w:t>
        </w:r>
        <w:r w:rsidR="00D70D28">
          <w:rPr>
            <w:rFonts w:ascii="Arial" w:hAnsi="Arial"/>
            <w:spacing w:val="1"/>
            <w:w w:val="114"/>
            <w:sz w:val="19"/>
            <w:u w:val="single" w:color="006FC0"/>
          </w:rPr>
          <w:t>0</w:t>
        </w:r>
        <w:r w:rsidR="00D70D28">
          <w:rPr>
            <w:rFonts w:ascii="Arial" w:hAnsi="Arial"/>
            <w:spacing w:val="1"/>
            <w:w w:val="66"/>
            <w:sz w:val="19"/>
            <w:u w:val="single" w:color="006FC0"/>
          </w:rPr>
          <w:t>1</w:t>
        </w:r>
        <w:r w:rsidR="00D70D28">
          <w:rPr>
            <w:rFonts w:ascii="Arial" w:hAnsi="Arial"/>
            <w:w w:val="93"/>
            <w:sz w:val="19"/>
            <w:u w:val="single" w:color="006FC0"/>
          </w:rPr>
          <w:t>7</w:t>
        </w:r>
      </w:hyperlink>
      <w:r w:rsidR="00D70D28">
        <w:rPr>
          <w:rFonts w:ascii="Arial" w:hAnsi="Arial"/>
          <w:sz w:val="19"/>
        </w:rPr>
        <w:t xml:space="preserve"> </w:t>
      </w:r>
      <w:r w:rsidR="00D70D28">
        <w:rPr>
          <w:rFonts w:ascii="Arial" w:hAnsi="Arial"/>
          <w:spacing w:val="-17"/>
          <w:sz w:val="19"/>
        </w:rPr>
        <w:t xml:space="preserve"> </w:t>
      </w:r>
      <w:r w:rsidR="00D70D28">
        <w:rPr>
          <w:rFonts w:ascii="Arial" w:hAnsi="Arial"/>
          <w:spacing w:val="-3"/>
          <w:w w:val="102"/>
          <w:sz w:val="19"/>
        </w:rPr>
        <w:t>(</w:t>
      </w:r>
      <w:r w:rsidR="00D70D28">
        <w:rPr>
          <w:rFonts w:ascii="Arial" w:hAnsi="Arial"/>
          <w:w w:val="98"/>
          <w:sz w:val="19"/>
        </w:rPr>
        <w:t>Poison</w:t>
      </w:r>
      <w:r w:rsidR="00D70D28">
        <w:rPr>
          <w:rFonts w:ascii="Arial" w:hAnsi="Arial"/>
          <w:spacing w:val="-7"/>
          <w:sz w:val="19"/>
        </w:rPr>
        <w:t xml:space="preserve"> </w:t>
      </w:r>
      <w:r w:rsidR="00D70D28">
        <w:rPr>
          <w:rFonts w:ascii="Arial" w:hAnsi="Arial"/>
          <w:spacing w:val="-1"/>
          <w:w w:val="89"/>
          <w:sz w:val="19"/>
        </w:rPr>
        <w:t>S</w:t>
      </w:r>
      <w:r w:rsidR="00D70D28">
        <w:rPr>
          <w:rFonts w:ascii="Arial" w:hAnsi="Arial"/>
          <w:w w:val="134"/>
          <w:sz w:val="19"/>
        </w:rPr>
        <w:t>t</w:t>
      </w:r>
      <w:r w:rsidR="00D70D28">
        <w:rPr>
          <w:rFonts w:ascii="Arial" w:hAnsi="Arial"/>
          <w:w w:val="94"/>
          <w:sz w:val="19"/>
        </w:rPr>
        <w:t>a</w:t>
      </w:r>
      <w:r w:rsidR="00D70D28">
        <w:rPr>
          <w:rFonts w:ascii="Arial" w:hAnsi="Arial"/>
          <w:spacing w:val="1"/>
          <w:w w:val="101"/>
          <w:sz w:val="19"/>
        </w:rPr>
        <w:t>n</w:t>
      </w:r>
      <w:r w:rsidR="00D70D28">
        <w:rPr>
          <w:rFonts w:ascii="Arial" w:hAnsi="Arial"/>
          <w:spacing w:val="-1"/>
          <w:sz w:val="19"/>
        </w:rPr>
        <w:t>d</w:t>
      </w:r>
      <w:r w:rsidR="00D70D28">
        <w:rPr>
          <w:rFonts w:ascii="Arial" w:hAnsi="Arial"/>
          <w:w w:val="94"/>
          <w:sz w:val="19"/>
        </w:rPr>
        <w:t>a</w:t>
      </w:r>
      <w:r w:rsidR="00D70D28">
        <w:rPr>
          <w:rFonts w:ascii="Arial" w:hAnsi="Arial"/>
          <w:w w:val="116"/>
          <w:sz w:val="19"/>
        </w:rPr>
        <w:t>r</w:t>
      </w:r>
      <w:r w:rsidR="00D70D28">
        <w:rPr>
          <w:rFonts w:ascii="Arial" w:hAnsi="Arial"/>
          <w:spacing w:val="-1"/>
          <w:sz w:val="19"/>
        </w:rPr>
        <w:t>d</w:t>
      </w:r>
      <w:r w:rsidR="00D70D28">
        <w:rPr>
          <w:rFonts w:ascii="Arial" w:hAnsi="Arial"/>
          <w:w w:val="102"/>
          <w:sz w:val="19"/>
        </w:rPr>
        <w:t>)</w:t>
      </w:r>
    </w:p>
    <w:p w:rsidR="007D76BB" w:rsidRDefault="00A51832">
      <w:pPr>
        <w:pStyle w:val="ListParagraph"/>
        <w:numPr>
          <w:ilvl w:val="1"/>
          <w:numId w:val="5"/>
        </w:numPr>
        <w:tabs>
          <w:tab w:val="left" w:pos="766"/>
        </w:tabs>
        <w:spacing w:before="103"/>
        <w:rPr>
          <w:rFonts w:ascii="Arial" w:hAnsi="Arial"/>
          <w:sz w:val="19"/>
        </w:rPr>
      </w:pPr>
      <w:hyperlink r:id="rId237">
        <w:r w:rsidR="00D70D28">
          <w:rPr>
            <w:rFonts w:ascii="Arial" w:hAnsi="Arial"/>
            <w:spacing w:val="1"/>
            <w:w w:val="101"/>
            <w:sz w:val="19"/>
            <w:u w:val="single" w:color="006FC0"/>
          </w:rPr>
          <w:t>h</w:t>
        </w:r>
        <w:r w:rsidR="00D70D28">
          <w:rPr>
            <w:rFonts w:ascii="Arial" w:hAnsi="Arial"/>
            <w:w w:val="134"/>
            <w:sz w:val="19"/>
            <w:u w:val="single" w:color="006FC0"/>
          </w:rPr>
          <w:t>t</w:t>
        </w:r>
        <w:r w:rsidR="00D70D28">
          <w:rPr>
            <w:rFonts w:ascii="Arial" w:hAnsi="Arial"/>
            <w:spacing w:val="-2"/>
            <w:w w:val="134"/>
            <w:sz w:val="19"/>
            <w:u w:val="single" w:color="006FC0"/>
          </w:rPr>
          <w:t>t</w:t>
        </w:r>
        <w:r w:rsidR="00D70D28">
          <w:rPr>
            <w:rFonts w:ascii="Arial" w:hAnsi="Arial"/>
            <w:w w:val="101"/>
            <w:sz w:val="19"/>
            <w:u w:val="single" w:color="006FC0"/>
          </w:rPr>
          <w:t>p</w:t>
        </w:r>
        <w:r w:rsidR="00D70D28">
          <w:rPr>
            <w:rFonts w:ascii="Arial" w:hAnsi="Arial"/>
            <w:w w:val="111"/>
            <w:sz w:val="19"/>
            <w:u w:val="single" w:color="006FC0"/>
          </w:rPr>
          <w:t>s:/</w:t>
        </w:r>
        <w:r w:rsidR="00D70D28">
          <w:rPr>
            <w:rFonts w:ascii="Arial" w:hAnsi="Arial"/>
            <w:w w:val="175"/>
            <w:sz w:val="19"/>
            <w:u w:val="single" w:color="006FC0"/>
          </w:rPr>
          <w:t>/</w:t>
        </w:r>
        <w:r w:rsidR="00D70D28">
          <w:rPr>
            <w:rFonts w:ascii="Arial" w:hAnsi="Arial"/>
            <w:spacing w:val="-2"/>
            <w:w w:val="98"/>
            <w:sz w:val="19"/>
            <w:u w:val="single" w:color="006FC0"/>
          </w:rPr>
          <w:t>w</w:t>
        </w:r>
        <w:r w:rsidR="00D70D28">
          <w:rPr>
            <w:rFonts w:ascii="Arial" w:hAnsi="Arial"/>
            <w:spacing w:val="1"/>
            <w:w w:val="98"/>
            <w:sz w:val="19"/>
            <w:u w:val="single" w:color="006FC0"/>
          </w:rPr>
          <w:t>ww</w:t>
        </w:r>
        <w:r w:rsidR="00D70D28">
          <w:rPr>
            <w:rFonts w:ascii="Arial" w:hAnsi="Arial"/>
            <w:spacing w:val="-2"/>
            <w:w w:val="80"/>
            <w:sz w:val="19"/>
            <w:u w:val="single" w:color="006FC0"/>
          </w:rPr>
          <w:t>.</w:t>
        </w:r>
        <w:r w:rsidR="00D70D28">
          <w:rPr>
            <w:rFonts w:ascii="Arial" w:hAnsi="Arial"/>
            <w:w w:val="117"/>
            <w:sz w:val="19"/>
            <w:u w:val="single" w:color="006FC0"/>
          </w:rPr>
          <w:t>l</w:t>
        </w:r>
        <w:r w:rsidR="00D70D28">
          <w:rPr>
            <w:rFonts w:ascii="Arial" w:hAnsi="Arial"/>
            <w:w w:val="96"/>
            <w:sz w:val="19"/>
            <w:u w:val="single" w:color="006FC0"/>
          </w:rPr>
          <w:t>e</w:t>
        </w:r>
        <w:r w:rsidR="00D70D28">
          <w:rPr>
            <w:rFonts w:ascii="Arial" w:hAnsi="Arial"/>
            <w:spacing w:val="1"/>
            <w:w w:val="101"/>
            <w:sz w:val="19"/>
            <w:u w:val="single" w:color="006FC0"/>
          </w:rPr>
          <w:t>g</w:t>
        </w:r>
        <w:r w:rsidR="00D70D28">
          <w:rPr>
            <w:rFonts w:ascii="Arial" w:hAnsi="Arial"/>
            <w:w w:val="104"/>
            <w:sz w:val="19"/>
            <w:u w:val="single" w:color="006FC0"/>
          </w:rPr>
          <w:t>is</w:t>
        </w:r>
        <w:r w:rsidR="00D70D28">
          <w:rPr>
            <w:rFonts w:ascii="Arial" w:hAnsi="Arial"/>
            <w:spacing w:val="-2"/>
            <w:w w:val="104"/>
            <w:sz w:val="19"/>
            <w:u w:val="single" w:color="006FC0"/>
          </w:rPr>
          <w:t>l</w:t>
        </w:r>
        <w:r w:rsidR="00D70D28">
          <w:rPr>
            <w:rFonts w:ascii="Arial" w:hAnsi="Arial"/>
            <w:w w:val="94"/>
            <w:sz w:val="19"/>
            <w:u w:val="single" w:color="006FC0"/>
          </w:rPr>
          <w:t>a</w:t>
        </w:r>
        <w:r w:rsidR="00D70D28">
          <w:rPr>
            <w:rFonts w:ascii="Arial" w:hAnsi="Arial"/>
            <w:w w:val="134"/>
            <w:sz w:val="19"/>
            <w:u w:val="single" w:color="006FC0"/>
          </w:rPr>
          <w:t>t</w:t>
        </w:r>
        <w:r w:rsidR="00D70D28">
          <w:rPr>
            <w:rFonts w:ascii="Arial" w:hAnsi="Arial"/>
            <w:w w:val="102"/>
            <w:sz w:val="19"/>
            <w:u w:val="single" w:color="006FC0"/>
          </w:rPr>
          <w:t>io</w:t>
        </w:r>
        <w:r w:rsidR="00D70D28">
          <w:rPr>
            <w:rFonts w:ascii="Arial" w:hAnsi="Arial"/>
            <w:spacing w:val="-2"/>
            <w:w w:val="102"/>
            <w:sz w:val="19"/>
            <w:u w:val="single" w:color="006FC0"/>
          </w:rPr>
          <w:t>n</w:t>
        </w:r>
        <w:r w:rsidR="00D70D28">
          <w:rPr>
            <w:rFonts w:ascii="Arial" w:hAnsi="Arial"/>
            <w:w w:val="94"/>
            <w:sz w:val="19"/>
            <w:u w:val="single" w:color="006FC0"/>
          </w:rPr>
          <w:t>.</w:t>
        </w:r>
        <w:r w:rsidR="00D70D28">
          <w:rPr>
            <w:rFonts w:ascii="Arial" w:hAnsi="Arial"/>
            <w:spacing w:val="1"/>
            <w:w w:val="94"/>
            <w:sz w:val="19"/>
            <w:u w:val="single" w:color="006FC0"/>
          </w:rPr>
          <w:t>g</w:t>
        </w:r>
        <w:r w:rsidR="00D70D28">
          <w:rPr>
            <w:rFonts w:ascii="Arial" w:hAnsi="Arial"/>
            <w:w w:val="101"/>
            <w:sz w:val="19"/>
            <w:u w:val="single" w:color="006FC0"/>
          </w:rPr>
          <w:t>o</w:t>
        </w:r>
        <w:r w:rsidR="00D70D28">
          <w:rPr>
            <w:rFonts w:ascii="Arial" w:hAnsi="Arial"/>
            <w:spacing w:val="-2"/>
            <w:w w:val="101"/>
            <w:sz w:val="19"/>
            <w:u w:val="single" w:color="006FC0"/>
          </w:rPr>
          <w:t>v</w:t>
        </w:r>
        <w:r w:rsidR="00D70D28">
          <w:rPr>
            <w:rFonts w:ascii="Arial" w:hAnsi="Arial"/>
            <w:w w:val="89"/>
            <w:sz w:val="19"/>
            <w:u w:val="single" w:color="006FC0"/>
          </w:rPr>
          <w:t>.</w:t>
        </w:r>
        <w:r w:rsidR="00D70D28">
          <w:rPr>
            <w:rFonts w:ascii="Arial" w:hAnsi="Arial"/>
            <w:spacing w:val="1"/>
            <w:w w:val="89"/>
            <w:sz w:val="19"/>
            <w:u w:val="single" w:color="006FC0"/>
          </w:rPr>
          <w:t>a</w:t>
        </w:r>
        <w:r w:rsidR="00D70D28">
          <w:rPr>
            <w:rFonts w:ascii="Arial" w:hAnsi="Arial"/>
            <w:spacing w:val="1"/>
            <w:w w:val="101"/>
            <w:sz w:val="19"/>
            <w:u w:val="single" w:color="006FC0"/>
          </w:rPr>
          <w:t>u</w:t>
        </w:r>
        <w:r w:rsidR="00D70D28">
          <w:rPr>
            <w:rFonts w:ascii="Arial" w:hAnsi="Arial"/>
            <w:w w:val="175"/>
            <w:sz w:val="19"/>
            <w:u w:val="single" w:color="006FC0"/>
          </w:rPr>
          <w:t>/</w:t>
        </w:r>
        <w:r w:rsidR="00D70D28">
          <w:rPr>
            <w:rFonts w:ascii="Arial" w:hAnsi="Arial"/>
            <w:spacing w:val="-1"/>
            <w:w w:val="89"/>
            <w:sz w:val="19"/>
            <w:u w:val="single" w:color="006FC0"/>
          </w:rPr>
          <w:t>S</w:t>
        </w:r>
        <w:r w:rsidR="00D70D28">
          <w:rPr>
            <w:rFonts w:ascii="Arial" w:hAnsi="Arial"/>
            <w:w w:val="96"/>
            <w:sz w:val="19"/>
            <w:u w:val="single" w:color="006FC0"/>
          </w:rPr>
          <w:t>e</w:t>
        </w:r>
        <w:r w:rsidR="00D70D28">
          <w:rPr>
            <w:rFonts w:ascii="Arial" w:hAnsi="Arial"/>
            <w:w w:val="116"/>
            <w:sz w:val="19"/>
            <w:u w:val="single" w:color="006FC0"/>
          </w:rPr>
          <w:t>r</w:t>
        </w:r>
        <w:r w:rsidR="00D70D28">
          <w:rPr>
            <w:rFonts w:ascii="Arial" w:hAnsi="Arial"/>
            <w:w w:val="101"/>
            <w:sz w:val="19"/>
            <w:u w:val="single" w:color="006FC0"/>
          </w:rPr>
          <w:t>ie</w:t>
        </w:r>
        <w:r w:rsidR="00D70D28">
          <w:rPr>
            <w:rFonts w:ascii="Arial" w:hAnsi="Arial"/>
            <w:spacing w:val="-3"/>
            <w:w w:val="93"/>
            <w:sz w:val="19"/>
            <w:u w:val="single" w:color="006FC0"/>
          </w:rPr>
          <w:t>s</w:t>
        </w:r>
        <w:r w:rsidR="00D70D28">
          <w:rPr>
            <w:rFonts w:ascii="Arial" w:hAnsi="Arial"/>
            <w:w w:val="175"/>
            <w:sz w:val="19"/>
            <w:u w:val="single" w:color="006FC0"/>
          </w:rPr>
          <w:t>/</w:t>
        </w:r>
        <w:r w:rsidR="00D70D28">
          <w:rPr>
            <w:rFonts w:ascii="Arial" w:hAnsi="Arial"/>
            <w:spacing w:val="-1"/>
            <w:w w:val="91"/>
            <w:sz w:val="19"/>
            <w:u w:val="single" w:color="006FC0"/>
          </w:rPr>
          <w:t>F</w:t>
        </w:r>
        <w:r w:rsidR="00D70D28">
          <w:rPr>
            <w:rFonts w:ascii="Arial" w:hAnsi="Arial"/>
            <w:spacing w:val="-1"/>
            <w:w w:val="109"/>
            <w:sz w:val="19"/>
            <w:u w:val="single" w:color="006FC0"/>
          </w:rPr>
          <w:t>2</w:t>
        </w:r>
        <w:r w:rsidR="00D70D28">
          <w:rPr>
            <w:rFonts w:ascii="Arial" w:hAnsi="Arial"/>
            <w:spacing w:val="1"/>
            <w:w w:val="114"/>
            <w:sz w:val="19"/>
            <w:u w:val="single" w:color="006FC0"/>
          </w:rPr>
          <w:t>0</w:t>
        </w:r>
        <w:r w:rsidR="00D70D28">
          <w:rPr>
            <w:rFonts w:ascii="Arial" w:hAnsi="Arial"/>
            <w:spacing w:val="1"/>
            <w:w w:val="66"/>
            <w:sz w:val="19"/>
            <w:u w:val="single" w:color="006FC0"/>
          </w:rPr>
          <w:t>1</w:t>
        </w:r>
        <w:r w:rsidR="00D70D28">
          <w:rPr>
            <w:rFonts w:ascii="Arial" w:hAnsi="Arial"/>
            <w:w w:val="103"/>
            <w:sz w:val="19"/>
            <w:u w:val="single" w:color="006FC0"/>
          </w:rPr>
          <w:t>9</w:t>
        </w:r>
        <w:r w:rsidR="00D70D28">
          <w:rPr>
            <w:rFonts w:ascii="Arial" w:hAnsi="Arial"/>
            <w:spacing w:val="-1"/>
            <w:w w:val="103"/>
            <w:sz w:val="19"/>
            <w:u w:val="single" w:color="006FC0"/>
          </w:rPr>
          <w:t>L</w:t>
        </w:r>
        <w:r w:rsidR="00D70D28">
          <w:rPr>
            <w:rFonts w:ascii="Arial" w:hAnsi="Arial"/>
            <w:spacing w:val="1"/>
            <w:w w:val="114"/>
            <w:sz w:val="19"/>
            <w:u w:val="single" w:color="006FC0"/>
          </w:rPr>
          <w:t>0</w:t>
        </w:r>
        <w:r w:rsidR="00D70D28">
          <w:rPr>
            <w:rFonts w:ascii="Arial" w:hAnsi="Arial"/>
            <w:spacing w:val="1"/>
            <w:w w:val="66"/>
            <w:sz w:val="19"/>
            <w:u w:val="single" w:color="006FC0"/>
          </w:rPr>
          <w:t>1</w:t>
        </w:r>
        <w:r w:rsidR="00D70D28">
          <w:rPr>
            <w:rFonts w:ascii="Arial" w:hAnsi="Arial"/>
            <w:w w:val="104"/>
            <w:sz w:val="19"/>
            <w:u w:val="single" w:color="006FC0"/>
          </w:rPr>
          <w:t>597</w:t>
        </w:r>
      </w:hyperlink>
      <w:r w:rsidR="00D70D28">
        <w:rPr>
          <w:rFonts w:ascii="Arial" w:hAnsi="Arial"/>
          <w:sz w:val="19"/>
        </w:rPr>
        <w:t xml:space="preserve"> </w:t>
      </w:r>
      <w:r w:rsidR="00D70D28">
        <w:rPr>
          <w:rFonts w:ascii="Arial" w:hAnsi="Arial"/>
          <w:spacing w:val="-11"/>
          <w:sz w:val="19"/>
        </w:rPr>
        <w:t xml:space="preserve"> </w:t>
      </w:r>
      <w:r w:rsidR="00D70D28">
        <w:rPr>
          <w:rFonts w:ascii="Arial" w:hAnsi="Arial"/>
          <w:w w:val="97"/>
          <w:sz w:val="19"/>
        </w:rPr>
        <w:t>(</w:t>
      </w:r>
      <w:r w:rsidR="00D70D28">
        <w:rPr>
          <w:rFonts w:ascii="Arial" w:hAnsi="Arial"/>
          <w:spacing w:val="-3"/>
          <w:w w:val="97"/>
          <w:sz w:val="19"/>
        </w:rPr>
        <w:t>P</w:t>
      </w:r>
      <w:r w:rsidR="00D70D28">
        <w:rPr>
          <w:rFonts w:ascii="Arial" w:hAnsi="Arial"/>
          <w:w w:val="96"/>
          <w:sz w:val="19"/>
        </w:rPr>
        <w:t>e</w:t>
      </w:r>
      <w:r w:rsidR="00D70D28">
        <w:rPr>
          <w:rFonts w:ascii="Arial" w:hAnsi="Arial"/>
          <w:w w:val="116"/>
          <w:sz w:val="19"/>
        </w:rPr>
        <w:t>r</w:t>
      </w:r>
      <w:r w:rsidR="00D70D28">
        <w:rPr>
          <w:rFonts w:ascii="Arial" w:hAnsi="Arial"/>
          <w:sz w:val="19"/>
        </w:rPr>
        <w:t>missi</w:t>
      </w:r>
      <w:r w:rsidR="00D70D28">
        <w:rPr>
          <w:rFonts w:ascii="Arial" w:hAnsi="Arial"/>
          <w:spacing w:val="-2"/>
          <w:sz w:val="19"/>
        </w:rPr>
        <w:t>b</w:t>
      </w:r>
      <w:r w:rsidR="00D70D28">
        <w:rPr>
          <w:rFonts w:ascii="Arial" w:hAnsi="Arial"/>
          <w:w w:val="117"/>
          <w:sz w:val="19"/>
        </w:rPr>
        <w:t>l</w:t>
      </w:r>
      <w:r w:rsidR="00D70D28">
        <w:rPr>
          <w:rFonts w:ascii="Arial" w:hAnsi="Arial"/>
          <w:w w:val="96"/>
          <w:sz w:val="19"/>
        </w:rPr>
        <w:t>e</w:t>
      </w:r>
      <w:r w:rsidR="00D70D28">
        <w:rPr>
          <w:rFonts w:ascii="Arial" w:hAnsi="Arial"/>
          <w:spacing w:val="-7"/>
          <w:sz w:val="19"/>
        </w:rPr>
        <w:t xml:space="preserve"> </w:t>
      </w:r>
      <w:r w:rsidR="00D70D28">
        <w:rPr>
          <w:rFonts w:ascii="Arial" w:hAnsi="Arial"/>
          <w:w w:val="103"/>
          <w:sz w:val="19"/>
        </w:rPr>
        <w:t>I</w:t>
      </w:r>
      <w:r w:rsidR="00D70D28">
        <w:rPr>
          <w:rFonts w:ascii="Arial" w:hAnsi="Arial"/>
          <w:spacing w:val="-2"/>
          <w:w w:val="101"/>
          <w:sz w:val="19"/>
        </w:rPr>
        <w:t>n</w:t>
      </w:r>
      <w:r w:rsidR="00D70D28">
        <w:rPr>
          <w:rFonts w:ascii="Arial" w:hAnsi="Arial"/>
          <w:spacing w:val="1"/>
          <w:w w:val="101"/>
          <w:sz w:val="19"/>
        </w:rPr>
        <w:t>g</w:t>
      </w:r>
      <w:r w:rsidR="00D70D28">
        <w:rPr>
          <w:rFonts w:ascii="Arial" w:hAnsi="Arial"/>
          <w:w w:val="116"/>
          <w:sz w:val="19"/>
        </w:rPr>
        <w:t>r</w:t>
      </w:r>
      <w:r w:rsidR="00D70D28">
        <w:rPr>
          <w:rFonts w:ascii="Arial" w:hAnsi="Arial"/>
          <w:w w:val="96"/>
          <w:sz w:val="19"/>
        </w:rPr>
        <w:t>e</w:t>
      </w:r>
      <w:r w:rsidR="00D70D28">
        <w:rPr>
          <w:rFonts w:ascii="Arial" w:hAnsi="Arial"/>
          <w:spacing w:val="-1"/>
          <w:sz w:val="19"/>
        </w:rPr>
        <w:t>d</w:t>
      </w:r>
      <w:r w:rsidR="00D70D28">
        <w:rPr>
          <w:rFonts w:ascii="Arial" w:hAnsi="Arial"/>
          <w:w w:val="101"/>
          <w:sz w:val="19"/>
        </w:rPr>
        <w:t>i</w:t>
      </w:r>
      <w:r w:rsidR="00D70D28">
        <w:rPr>
          <w:rFonts w:ascii="Arial" w:hAnsi="Arial"/>
          <w:spacing w:val="-2"/>
          <w:w w:val="101"/>
          <w:sz w:val="19"/>
        </w:rPr>
        <w:t>e</w:t>
      </w:r>
      <w:r w:rsidR="00D70D28">
        <w:rPr>
          <w:rFonts w:ascii="Arial" w:hAnsi="Arial"/>
          <w:spacing w:val="1"/>
          <w:w w:val="101"/>
          <w:sz w:val="19"/>
        </w:rPr>
        <w:t>n</w:t>
      </w:r>
      <w:r w:rsidR="00D70D28">
        <w:rPr>
          <w:rFonts w:ascii="Arial" w:hAnsi="Arial"/>
          <w:w w:val="134"/>
          <w:sz w:val="19"/>
        </w:rPr>
        <w:t>t</w:t>
      </w:r>
      <w:r w:rsidR="00D70D28">
        <w:rPr>
          <w:rFonts w:ascii="Arial" w:hAnsi="Arial"/>
          <w:w w:val="97"/>
          <w:sz w:val="19"/>
        </w:rPr>
        <w:t>s)</w:t>
      </w:r>
    </w:p>
    <w:p w:rsidR="007D76BB" w:rsidRDefault="00A51832">
      <w:pPr>
        <w:pStyle w:val="ListParagraph"/>
        <w:numPr>
          <w:ilvl w:val="1"/>
          <w:numId w:val="5"/>
        </w:numPr>
        <w:tabs>
          <w:tab w:val="left" w:pos="766"/>
        </w:tabs>
        <w:spacing w:before="101" w:line="266" w:lineRule="auto"/>
        <w:ind w:right="1253"/>
        <w:rPr>
          <w:rFonts w:ascii="Arial" w:hAnsi="Arial"/>
          <w:sz w:val="19"/>
        </w:rPr>
      </w:pPr>
      <w:hyperlink r:id="rId238">
        <w:r w:rsidR="00D70D28">
          <w:rPr>
            <w:rFonts w:ascii="Arial" w:hAnsi="Arial"/>
            <w:spacing w:val="1"/>
            <w:w w:val="101"/>
            <w:sz w:val="19"/>
            <w:u w:val="single" w:color="006FC0"/>
          </w:rPr>
          <w:t>h</w:t>
        </w:r>
        <w:r w:rsidR="00D70D28">
          <w:rPr>
            <w:rFonts w:ascii="Arial" w:hAnsi="Arial"/>
            <w:w w:val="134"/>
            <w:sz w:val="19"/>
            <w:u w:val="single" w:color="006FC0"/>
          </w:rPr>
          <w:t>t</w:t>
        </w:r>
        <w:r w:rsidR="00D70D28">
          <w:rPr>
            <w:rFonts w:ascii="Arial" w:hAnsi="Arial"/>
            <w:spacing w:val="-2"/>
            <w:w w:val="134"/>
            <w:sz w:val="19"/>
            <w:u w:val="single" w:color="006FC0"/>
          </w:rPr>
          <w:t>t</w:t>
        </w:r>
        <w:r w:rsidR="00D70D28">
          <w:rPr>
            <w:rFonts w:ascii="Arial" w:hAnsi="Arial"/>
            <w:w w:val="101"/>
            <w:sz w:val="19"/>
            <w:u w:val="single" w:color="006FC0"/>
          </w:rPr>
          <w:t>p</w:t>
        </w:r>
        <w:r w:rsidR="00D70D28">
          <w:rPr>
            <w:rFonts w:ascii="Arial" w:hAnsi="Arial"/>
            <w:w w:val="111"/>
            <w:sz w:val="19"/>
            <w:u w:val="single" w:color="006FC0"/>
          </w:rPr>
          <w:t>s:/</w:t>
        </w:r>
        <w:r w:rsidR="00D70D28">
          <w:rPr>
            <w:rFonts w:ascii="Arial" w:hAnsi="Arial"/>
            <w:w w:val="175"/>
            <w:sz w:val="19"/>
            <w:u w:val="single" w:color="006FC0"/>
          </w:rPr>
          <w:t>/</w:t>
        </w:r>
        <w:r w:rsidR="00D70D28">
          <w:rPr>
            <w:rFonts w:ascii="Arial" w:hAnsi="Arial"/>
            <w:spacing w:val="-2"/>
            <w:w w:val="98"/>
            <w:sz w:val="19"/>
            <w:u w:val="single" w:color="006FC0"/>
          </w:rPr>
          <w:t>w</w:t>
        </w:r>
        <w:r w:rsidR="00D70D28">
          <w:rPr>
            <w:rFonts w:ascii="Arial" w:hAnsi="Arial"/>
            <w:spacing w:val="1"/>
            <w:w w:val="98"/>
            <w:sz w:val="19"/>
            <w:u w:val="single" w:color="006FC0"/>
          </w:rPr>
          <w:t>ww</w:t>
        </w:r>
        <w:r w:rsidR="00D70D28">
          <w:rPr>
            <w:rFonts w:ascii="Arial" w:hAnsi="Arial"/>
            <w:spacing w:val="-2"/>
            <w:w w:val="80"/>
            <w:sz w:val="19"/>
            <w:u w:val="single" w:color="006FC0"/>
          </w:rPr>
          <w:t>.</w:t>
        </w:r>
        <w:r w:rsidR="00D70D28">
          <w:rPr>
            <w:rFonts w:ascii="Arial" w:hAnsi="Arial"/>
            <w:w w:val="101"/>
            <w:sz w:val="19"/>
            <w:u w:val="single" w:color="006FC0"/>
          </w:rPr>
          <w:t>p</w:t>
        </w:r>
        <w:r w:rsidR="00D70D28">
          <w:rPr>
            <w:rFonts w:ascii="Arial" w:hAnsi="Arial"/>
            <w:sz w:val="19"/>
            <w:u w:val="single" w:color="006FC0"/>
          </w:rPr>
          <w:t>m</w:t>
        </w:r>
        <w:r w:rsidR="00D70D28">
          <w:rPr>
            <w:rFonts w:ascii="Arial" w:hAnsi="Arial"/>
            <w:spacing w:val="1"/>
            <w:sz w:val="19"/>
            <w:u w:val="single" w:color="006FC0"/>
          </w:rPr>
          <w:t>c</w:t>
        </w:r>
        <w:r w:rsidR="00D70D28">
          <w:rPr>
            <w:rFonts w:ascii="Arial" w:hAnsi="Arial"/>
            <w:spacing w:val="-2"/>
            <w:w w:val="80"/>
            <w:sz w:val="19"/>
            <w:u w:val="single" w:color="006FC0"/>
          </w:rPr>
          <w:t>.</w:t>
        </w:r>
        <w:r w:rsidR="00D70D28">
          <w:rPr>
            <w:rFonts w:ascii="Arial" w:hAnsi="Arial"/>
            <w:spacing w:val="1"/>
            <w:w w:val="101"/>
            <w:sz w:val="19"/>
            <w:u w:val="single" w:color="006FC0"/>
          </w:rPr>
          <w:t>g</w:t>
        </w:r>
        <w:r w:rsidR="00D70D28">
          <w:rPr>
            <w:rFonts w:ascii="Arial" w:hAnsi="Arial"/>
            <w:w w:val="101"/>
            <w:sz w:val="19"/>
            <w:u w:val="single" w:color="006FC0"/>
          </w:rPr>
          <w:t>o</w:t>
        </w:r>
        <w:r w:rsidR="00D70D28">
          <w:rPr>
            <w:rFonts w:ascii="Arial" w:hAnsi="Arial"/>
            <w:spacing w:val="-2"/>
            <w:w w:val="101"/>
            <w:sz w:val="19"/>
            <w:u w:val="single" w:color="006FC0"/>
          </w:rPr>
          <w:t>v</w:t>
        </w:r>
        <w:r w:rsidR="00D70D28">
          <w:rPr>
            <w:rFonts w:ascii="Arial" w:hAnsi="Arial"/>
            <w:w w:val="89"/>
            <w:sz w:val="19"/>
            <w:u w:val="single" w:color="006FC0"/>
          </w:rPr>
          <w:t>.</w:t>
        </w:r>
        <w:r w:rsidR="00D70D28">
          <w:rPr>
            <w:rFonts w:ascii="Arial" w:hAnsi="Arial"/>
            <w:spacing w:val="1"/>
            <w:w w:val="89"/>
            <w:sz w:val="19"/>
            <w:u w:val="single" w:color="006FC0"/>
          </w:rPr>
          <w:t>a</w:t>
        </w:r>
        <w:r w:rsidR="00D70D28">
          <w:rPr>
            <w:rFonts w:ascii="Arial" w:hAnsi="Arial"/>
            <w:spacing w:val="1"/>
            <w:w w:val="101"/>
            <w:sz w:val="19"/>
            <w:u w:val="single" w:color="006FC0"/>
          </w:rPr>
          <w:t>u</w:t>
        </w:r>
        <w:r w:rsidR="00D70D28">
          <w:rPr>
            <w:rFonts w:ascii="Arial" w:hAnsi="Arial"/>
            <w:w w:val="175"/>
            <w:sz w:val="19"/>
            <w:u w:val="single" w:color="006FC0"/>
          </w:rPr>
          <w:t>/</w:t>
        </w:r>
        <w:r w:rsidR="00D70D28">
          <w:rPr>
            <w:rFonts w:ascii="Arial" w:hAnsi="Arial"/>
            <w:w w:val="109"/>
            <w:sz w:val="19"/>
            <w:u w:val="single" w:color="006FC0"/>
          </w:rPr>
          <w:t>si</w:t>
        </w:r>
        <w:r w:rsidR="00D70D28">
          <w:rPr>
            <w:rFonts w:ascii="Arial" w:hAnsi="Arial"/>
            <w:spacing w:val="-2"/>
            <w:w w:val="109"/>
            <w:sz w:val="19"/>
            <w:u w:val="single" w:color="006FC0"/>
          </w:rPr>
          <w:t>t</w:t>
        </w:r>
        <w:r w:rsidR="00D70D28">
          <w:rPr>
            <w:rFonts w:ascii="Arial" w:hAnsi="Arial"/>
            <w:w w:val="96"/>
            <w:sz w:val="19"/>
            <w:u w:val="single" w:color="006FC0"/>
          </w:rPr>
          <w:t>e</w:t>
        </w:r>
        <w:r w:rsidR="00D70D28">
          <w:rPr>
            <w:rFonts w:ascii="Arial" w:hAnsi="Arial"/>
            <w:w w:val="123"/>
            <w:sz w:val="19"/>
            <w:u w:val="single" w:color="006FC0"/>
          </w:rPr>
          <w:t>s/</w:t>
        </w:r>
        <w:r w:rsidR="00D70D28">
          <w:rPr>
            <w:rFonts w:ascii="Arial" w:hAnsi="Arial"/>
            <w:spacing w:val="-1"/>
            <w:sz w:val="19"/>
            <w:u w:val="single" w:color="006FC0"/>
          </w:rPr>
          <w:t>d</w:t>
        </w:r>
        <w:r w:rsidR="00D70D28">
          <w:rPr>
            <w:rFonts w:ascii="Arial" w:hAnsi="Arial"/>
            <w:w w:val="96"/>
            <w:sz w:val="19"/>
            <w:u w:val="single" w:color="006FC0"/>
          </w:rPr>
          <w:t>e</w:t>
        </w:r>
        <w:r w:rsidR="00D70D28">
          <w:rPr>
            <w:rFonts w:ascii="Arial" w:hAnsi="Arial"/>
            <w:spacing w:val="-1"/>
            <w:w w:val="119"/>
            <w:sz w:val="19"/>
            <w:u w:val="single" w:color="006FC0"/>
          </w:rPr>
          <w:t>f</w:t>
        </w:r>
        <w:r w:rsidR="00D70D28">
          <w:rPr>
            <w:rFonts w:ascii="Arial" w:hAnsi="Arial"/>
            <w:w w:val="94"/>
            <w:sz w:val="19"/>
            <w:u w:val="single" w:color="006FC0"/>
          </w:rPr>
          <w:t>a</w:t>
        </w:r>
        <w:r w:rsidR="00D70D28">
          <w:rPr>
            <w:rFonts w:ascii="Arial" w:hAnsi="Arial"/>
            <w:spacing w:val="1"/>
            <w:w w:val="101"/>
            <w:sz w:val="19"/>
            <w:u w:val="single" w:color="006FC0"/>
          </w:rPr>
          <w:t>u</w:t>
        </w:r>
        <w:r w:rsidR="00D70D28">
          <w:rPr>
            <w:rFonts w:ascii="Arial" w:hAnsi="Arial"/>
            <w:w w:val="117"/>
            <w:sz w:val="19"/>
            <w:u w:val="single" w:color="006FC0"/>
          </w:rPr>
          <w:t>l</w:t>
        </w:r>
        <w:r w:rsidR="00D70D28">
          <w:rPr>
            <w:rFonts w:ascii="Arial" w:hAnsi="Arial"/>
            <w:spacing w:val="-2"/>
            <w:w w:val="134"/>
            <w:sz w:val="19"/>
            <w:u w:val="single" w:color="006FC0"/>
          </w:rPr>
          <w:t>t</w:t>
        </w:r>
        <w:r w:rsidR="00D70D28">
          <w:rPr>
            <w:rFonts w:ascii="Arial" w:hAnsi="Arial"/>
            <w:w w:val="175"/>
            <w:sz w:val="19"/>
            <w:u w:val="single" w:color="006FC0"/>
          </w:rPr>
          <w:t>/</w:t>
        </w:r>
        <w:r w:rsidR="00D70D28">
          <w:rPr>
            <w:rFonts w:ascii="Arial" w:hAnsi="Arial"/>
            <w:spacing w:val="-1"/>
            <w:w w:val="119"/>
            <w:sz w:val="19"/>
            <w:u w:val="single" w:color="006FC0"/>
          </w:rPr>
          <w:t>f</w:t>
        </w:r>
        <w:r w:rsidR="00D70D28">
          <w:rPr>
            <w:rFonts w:ascii="Arial" w:hAnsi="Arial"/>
            <w:w w:val="105"/>
            <w:sz w:val="19"/>
            <w:u w:val="single" w:color="006FC0"/>
          </w:rPr>
          <w:t>il</w:t>
        </w:r>
        <w:r w:rsidR="00D70D28">
          <w:rPr>
            <w:rFonts w:ascii="Arial" w:hAnsi="Arial"/>
            <w:spacing w:val="1"/>
            <w:w w:val="105"/>
            <w:sz w:val="19"/>
            <w:u w:val="single" w:color="006FC0"/>
          </w:rPr>
          <w:t>e</w:t>
        </w:r>
        <w:r w:rsidR="00D70D28">
          <w:rPr>
            <w:rFonts w:ascii="Arial" w:hAnsi="Arial"/>
            <w:w w:val="123"/>
            <w:sz w:val="19"/>
            <w:u w:val="single" w:color="006FC0"/>
          </w:rPr>
          <w:t>s/</w:t>
        </w:r>
        <w:r w:rsidR="00D70D28">
          <w:rPr>
            <w:rFonts w:ascii="Arial" w:hAnsi="Arial"/>
            <w:spacing w:val="-2"/>
            <w:w w:val="101"/>
            <w:sz w:val="19"/>
            <w:u w:val="single" w:color="006FC0"/>
          </w:rPr>
          <w:t>p</w:t>
        </w:r>
        <w:r w:rsidR="00D70D28">
          <w:rPr>
            <w:rFonts w:ascii="Arial" w:hAnsi="Arial"/>
            <w:spacing w:val="5"/>
            <w:w w:val="101"/>
            <w:sz w:val="19"/>
            <w:u w:val="single" w:color="006FC0"/>
          </w:rPr>
          <w:t>u</w:t>
        </w:r>
        <w:r w:rsidR="00D70D28">
          <w:rPr>
            <w:rFonts w:ascii="Arial" w:hAnsi="Arial"/>
            <w:spacing w:val="-1"/>
            <w:sz w:val="19"/>
            <w:u w:val="single" w:color="006FC0"/>
          </w:rPr>
          <w:t>b</w:t>
        </w:r>
        <w:r w:rsidR="00D70D28">
          <w:rPr>
            <w:rFonts w:ascii="Arial" w:hAnsi="Arial"/>
            <w:w w:val="117"/>
            <w:sz w:val="19"/>
            <w:u w:val="single" w:color="006FC0"/>
          </w:rPr>
          <w:t>l</w:t>
        </w:r>
        <w:r w:rsidR="00D70D28">
          <w:rPr>
            <w:rFonts w:ascii="Arial" w:hAnsi="Arial"/>
            <w:w w:val="104"/>
            <w:sz w:val="19"/>
            <w:u w:val="single" w:color="006FC0"/>
          </w:rPr>
          <w:t>ic</w:t>
        </w:r>
        <w:r w:rsidR="00D70D28">
          <w:rPr>
            <w:rFonts w:ascii="Arial" w:hAnsi="Arial"/>
            <w:spacing w:val="-2"/>
            <w:w w:val="94"/>
            <w:sz w:val="19"/>
            <w:u w:val="single" w:color="006FC0"/>
          </w:rPr>
          <w:t>a</w:t>
        </w:r>
        <w:r w:rsidR="00D70D28">
          <w:rPr>
            <w:rFonts w:ascii="Arial" w:hAnsi="Arial"/>
            <w:w w:val="134"/>
            <w:sz w:val="19"/>
            <w:u w:val="single" w:color="006FC0"/>
          </w:rPr>
          <w:t>t</w:t>
        </w:r>
        <w:r w:rsidR="00D70D28">
          <w:rPr>
            <w:rFonts w:ascii="Arial" w:hAnsi="Arial"/>
            <w:w w:val="102"/>
            <w:sz w:val="19"/>
            <w:u w:val="single" w:color="006FC0"/>
          </w:rPr>
          <w:t>io</w:t>
        </w:r>
        <w:r w:rsidR="00D70D28">
          <w:rPr>
            <w:rFonts w:ascii="Arial" w:hAnsi="Arial"/>
            <w:spacing w:val="-2"/>
            <w:w w:val="102"/>
            <w:sz w:val="19"/>
            <w:u w:val="single" w:color="006FC0"/>
          </w:rPr>
          <w:t>n</w:t>
        </w:r>
        <w:r w:rsidR="00D70D28">
          <w:rPr>
            <w:rFonts w:ascii="Arial" w:hAnsi="Arial"/>
            <w:w w:val="123"/>
            <w:sz w:val="19"/>
            <w:u w:val="single" w:color="006FC0"/>
          </w:rPr>
          <w:t>s/</w:t>
        </w:r>
        <w:r w:rsidR="00D70D28">
          <w:rPr>
            <w:rFonts w:ascii="Arial" w:hAnsi="Arial"/>
            <w:w w:val="116"/>
            <w:sz w:val="19"/>
            <w:u w:val="single" w:color="006FC0"/>
          </w:rPr>
          <w:t>r</w:t>
        </w:r>
        <w:r w:rsidR="00D70D28">
          <w:rPr>
            <w:rFonts w:ascii="Arial" w:hAnsi="Arial"/>
            <w:w w:val="96"/>
            <w:sz w:val="19"/>
            <w:u w:val="single" w:color="006FC0"/>
          </w:rPr>
          <w:t>e</w:t>
        </w:r>
        <w:r w:rsidR="00D70D28">
          <w:rPr>
            <w:rFonts w:ascii="Arial" w:hAnsi="Arial"/>
            <w:spacing w:val="-2"/>
            <w:w w:val="101"/>
            <w:sz w:val="19"/>
            <w:u w:val="single" w:color="006FC0"/>
          </w:rPr>
          <w:t>g</w:t>
        </w:r>
        <w:r w:rsidR="00D70D28">
          <w:rPr>
            <w:rFonts w:ascii="Arial" w:hAnsi="Arial"/>
            <w:spacing w:val="1"/>
            <w:w w:val="101"/>
            <w:sz w:val="19"/>
            <w:u w:val="single" w:color="006FC0"/>
          </w:rPr>
          <w:t>u</w:t>
        </w:r>
        <w:r w:rsidR="00D70D28">
          <w:rPr>
            <w:rFonts w:ascii="Arial" w:hAnsi="Arial"/>
            <w:w w:val="117"/>
            <w:sz w:val="19"/>
            <w:u w:val="single" w:color="006FC0"/>
          </w:rPr>
          <w:t>l</w:t>
        </w:r>
        <w:r w:rsidR="00D70D28">
          <w:rPr>
            <w:rFonts w:ascii="Arial" w:hAnsi="Arial"/>
            <w:spacing w:val="-2"/>
            <w:w w:val="94"/>
            <w:sz w:val="19"/>
            <w:u w:val="single" w:color="006FC0"/>
          </w:rPr>
          <w:t>a</w:t>
        </w:r>
        <w:r w:rsidR="00D70D28">
          <w:rPr>
            <w:rFonts w:ascii="Arial" w:hAnsi="Arial"/>
            <w:w w:val="134"/>
            <w:sz w:val="19"/>
            <w:u w:val="single" w:color="006FC0"/>
          </w:rPr>
          <w:t>t</w:t>
        </w:r>
        <w:r w:rsidR="00D70D28">
          <w:rPr>
            <w:rFonts w:ascii="Arial" w:hAnsi="Arial"/>
            <w:w w:val="106"/>
            <w:sz w:val="19"/>
            <w:u w:val="single" w:color="006FC0"/>
          </w:rPr>
          <w:t>or</w:t>
        </w:r>
        <w:r w:rsidR="00D70D28">
          <w:rPr>
            <w:rFonts w:ascii="Arial" w:hAnsi="Arial"/>
            <w:spacing w:val="2"/>
            <w:w w:val="106"/>
            <w:sz w:val="19"/>
            <w:u w:val="single" w:color="006FC0"/>
          </w:rPr>
          <w:t>y</w:t>
        </w:r>
        <w:r w:rsidR="00D70D28">
          <w:rPr>
            <w:rFonts w:ascii="Arial" w:hAnsi="Arial"/>
            <w:spacing w:val="1"/>
            <w:w w:val="119"/>
            <w:sz w:val="19"/>
            <w:u w:val="single" w:color="006FC0"/>
          </w:rPr>
          <w:t>-</w:t>
        </w:r>
        <w:r w:rsidR="00D70D28">
          <w:rPr>
            <w:rFonts w:ascii="Arial" w:hAnsi="Arial"/>
            <w:spacing w:val="-1"/>
            <w:sz w:val="19"/>
            <w:u w:val="single" w:color="006FC0"/>
          </w:rPr>
          <w:t>b</w:t>
        </w:r>
        <w:r w:rsidR="00D70D28">
          <w:rPr>
            <w:rFonts w:ascii="Arial" w:hAnsi="Arial"/>
            <w:spacing w:val="1"/>
            <w:w w:val="101"/>
            <w:sz w:val="19"/>
            <w:u w:val="single" w:color="006FC0"/>
          </w:rPr>
          <w:t>u</w:t>
        </w:r>
        <w:r w:rsidR="00D70D28">
          <w:rPr>
            <w:rFonts w:ascii="Arial" w:hAnsi="Arial"/>
            <w:w w:val="116"/>
            <w:sz w:val="19"/>
            <w:u w:val="single" w:color="006FC0"/>
          </w:rPr>
          <w:t>r</w:t>
        </w:r>
        <w:r w:rsidR="00D70D28">
          <w:rPr>
            <w:rFonts w:ascii="Arial" w:hAnsi="Arial"/>
            <w:spacing w:val="-1"/>
            <w:sz w:val="19"/>
            <w:u w:val="single" w:color="006FC0"/>
          </w:rPr>
          <w:t>d</w:t>
        </w:r>
        <w:r w:rsidR="00D70D28">
          <w:rPr>
            <w:rFonts w:ascii="Arial" w:hAnsi="Arial"/>
            <w:w w:val="96"/>
            <w:sz w:val="19"/>
            <w:u w:val="single" w:color="006FC0"/>
          </w:rPr>
          <w:t>e</w:t>
        </w:r>
        <w:r w:rsidR="00D70D28">
          <w:rPr>
            <w:rFonts w:ascii="Arial" w:hAnsi="Arial"/>
            <w:spacing w:val="-1"/>
            <w:w w:val="101"/>
            <w:sz w:val="19"/>
            <w:u w:val="single" w:color="006FC0"/>
          </w:rPr>
          <w:t>n</w:t>
        </w:r>
        <w:r w:rsidR="00D70D28">
          <w:rPr>
            <w:rFonts w:ascii="Arial" w:hAnsi="Arial"/>
            <w:spacing w:val="1"/>
            <w:w w:val="119"/>
            <w:sz w:val="19"/>
            <w:u w:val="single" w:color="006FC0"/>
          </w:rPr>
          <w:t>-</w:t>
        </w:r>
        <w:r w:rsidR="00D70D28">
          <w:rPr>
            <w:rFonts w:ascii="Arial" w:hAnsi="Arial"/>
            <w:w w:val="99"/>
            <w:sz w:val="19"/>
            <w:u w:val="single" w:color="006FC0"/>
          </w:rPr>
          <w:t>m</w:t>
        </w:r>
        <w:r w:rsidR="00D70D28">
          <w:rPr>
            <w:rFonts w:ascii="Arial" w:hAnsi="Arial"/>
            <w:spacing w:val="-1"/>
            <w:w w:val="99"/>
            <w:sz w:val="19"/>
            <w:u w:val="single" w:color="006FC0"/>
          </w:rPr>
          <w:t>e</w:t>
        </w:r>
        <w:r w:rsidR="00D70D28">
          <w:rPr>
            <w:rFonts w:ascii="Arial" w:hAnsi="Arial"/>
            <w:w w:val="94"/>
            <w:sz w:val="19"/>
            <w:u w:val="single" w:color="006FC0"/>
          </w:rPr>
          <w:t>a</w:t>
        </w:r>
        <w:r w:rsidR="00D70D28">
          <w:rPr>
            <w:rFonts w:ascii="Arial" w:hAnsi="Arial"/>
            <w:w w:val="97"/>
            <w:sz w:val="19"/>
            <w:u w:val="single" w:color="006FC0"/>
          </w:rPr>
          <w:t>s</w:t>
        </w:r>
        <w:r w:rsidR="00D70D28">
          <w:rPr>
            <w:rFonts w:ascii="Arial" w:hAnsi="Arial"/>
            <w:spacing w:val="-2"/>
            <w:w w:val="97"/>
            <w:sz w:val="19"/>
            <w:u w:val="single" w:color="006FC0"/>
          </w:rPr>
          <w:t>u</w:t>
        </w:r>
        <w:r w:rsidR="00D70D28">
          <w:rPr>
            <w:rFonts w:ascii="Arial" w:hAnsi="Arial"/>
            <w:w w:val="116"/>
            <w:sz w:val="19"/>
            <w:u w:val="single" w:color="006FC0"/>
          </w:rPr>
          <w:t>r</w:t>
        </w:r>
        <w:r w:rsidR="00D70D28">
          <w:rPr>
            <w:rFonts w:ascii="Arial" w:hAnsi="Arial"/>
            <w:w w:val="96"/>
            <w:sz w:val="19"/>
            <w:u w:val="single" w:color="006FC0"/>
          </w:rPr>
          <w:t>e</w:t>
        </w:r>
        <w:r w:rsidR="00D70D28">
          <w:rPr>
            <w:rFonts w:ascii="Arial" w:hAnsi="Arial"/>
            <w:w w:val="99"/>
            <w:sz w:val="19"/>
            <w:u w:val="single" w:color="006FC0"/>
          </w:rPr>
          <w:t>m</w:t>
        </w:r>
        <w:r w:rsidR="00D70D28">
          <w:rPr>
            <w:rFonts w:ascii="Arial" w:hAnsi="Arial"/>
            <w:spacing w:val="1"/>
            <w:w w:val="99"/>
            <w:sz w:val="19"/>
            <w:u w:val="single" w:color="006FC0"/>
          </w:rPr>
          <w:t>e</w:t>
        </w:r>
        <w:r w:rsidR="00D70D28">
          <w:rPr>
            <w:rFonts w:ascii="Arial" w:hAnsi="Arial"/>
            <w:spacing w:val="-2"/>
            <w:w w:val="101"/>
            <w:sz w:val="19"/>
            <w:u w:val="single" w:color="006FC0"/>
          </w:rPr>
          <w:t>n</w:t>
        </w:r>
        <w:r w:rsidR="00D70D28">
          <w:rPr>
            <w:rFonts w:ascii="Arial" w:hAnsi="Arial"/>
            <w:spacing w:val="2"/>
            <w:w w:val="134"/>
            <w:sz w:val="19"/>
            <w:u w:val="single" w:color="006FC0"/>
          </w:rPr>
          <w:t>t</w:t>
        </w:r>
        <w:r w:rsidR="00D70D28">
          <w:rPr>
            <w:rFonts w:ascii="Arial" w:hAnsi="Arial"/>
            <w:w w:val="119"/>
            <w:sz w:val="19"/>
            <w:u w:val="single" w:color="006FC0"/>
          </w:rPr>
          <w:t>-</w:t>
        </w:r>
      </w:hyperlink>
      <w:r w:rsidR="00D70D28">
        <w:rPr>
          <w:rFonts w:ascii="Arial" w:hAnsi="Arial"/>
          <w:w w:val="119"/>
          <w:sz w:val="19"/>
        </w:rPr>
        <w:t xml:space="preserve"> </w:t>
      </w:r>
      <w:hyperlink r:id="rId239">
        <w:r w:rsidR="00D70D28">
          <w:rPr>
            <w:rFonts w:ascii="Arial" w:hAnsi="Arial"/>
            <w:w w:val="105"/>
            <w:sz w:val="19"/>
            <w:u w:val="single" w:color="006FC0"/>
          </w:rPr>
          <w:t>framework.pdf</w:t>
        </w:r>
      </w:hyperlink>
    </w:p>
    <w:p w:rsidR="007D76BB" w:rsidRDefault="00D70D28">
      <w:pPr>
        <w:pStyle w:val="ListParagraph"/>
        <w:numPr>
          <w:ilvl w:val="1"/>
          <w:numId w:val="5"/>
        </w:numPr>
        <w:tabs>
          <w:tab w:val="left" w:pos="766"/>
        </w:tabs>
        <w:spacing w:before="77"/>
        <w:rPr>
          <w:rFonts w:ascii="Arial" w:hAnsi="Arial"/>
          <w:sz w:val="19"/>
        </w:rPr>
      </w:pPr>
      <w:r>
        <w:rPr>
          <w:rFonts w:ascii="Arial" w:hAnsi="Arial"/>
          <w:sz w:val="19"/>
        </w:rPr>
        <w:t>Richardson,</w:t>
      </w:r>
      <w:r>
        <w:rPr>
          <w:rFonts w:ascii="Arial" w:hAnsi="Arial"/>
          <w:spacing w:val="-8"/>
          <w:sz w:val="19"/>
        </w:rPr>
        <w:t xml:space="preserve"> </w:t>
      </w:r>
      <w:r>
        <w:rPr>
          <w:rFonts w:ascii="Arial" w:hAnsi="Arial"/>
          <w:sz w:val="19"/>
        </w:rPr>
        <w:t>A.</w:t>
      </w:r>
      <w:r>
        <w:rPr>
          <w:rFonts w:ascii="Arial" w:hAnsi="Arial"/>
          <w:spacing w:val="-10"/>
          <w:sz w:val="19"/>
        </w:rPr>
        <w:t xml:space="preserve"> </w:t>
      </w:r>
      <w:r>
        <w:rPr>
          <w:rFonts w:ascii="Arial" w:hAnsi="Arial"/>
          <w:sz w:val="19"/>
        </w:rPr>
        <w:t>(2019).</w:t>
      </w:r>
      <w:r>
        <w:rPr>
          <w:rFonts w:ascii="Arial" w:hAnsi="Arial"/>
          <w:spacing w:val="-7"/>
          <w:sz w:val="19"/>
        </w:rPr>
        <w:t xml:space="preserve"> </w:t>
      </w:r>
      <w:r>
        <w:rPr>
          <w:rFonts w:ascii="Arial" w:hAnsi="Arial"/>
          <w:sz w:val="19"/>
        </w:rPr>
        <w:t>IBISWorld</w:t>
      </w:r>
      <w:r>
        <w:rPr>
          <w:rFonts w:ascii="Arial" w:hAnsi="Arial"/>
          <w:spacing w:val="-9"/>
          <w:sz w:val="19"/>
        </w:rPr>
        <w:t xml:space="preserve"> </w:t>
      </w:r>
      <w:r>
        <w:rPr>
          <w:rFonts w:ascii="Arial" w:hAnsi="Arial"/>
          <w:sz w:val="19"/>
        </w:rPr>
        <w:t>Industry</w:t>
      </w:r>
      <w:r>
        <w:rPr>
          <w:rFonts w:ascii="Arial" w:hAnsi="Arial"/>
          <w:spacing w:val="-7"/>
          <w:sz w:val="19"/>
        </w:rPr>
        <w:t xml:space="preserve"> </w:t>
      </w:r>
      <w:r>
        <w:rPr>
          <w:rFonts w:ascii="Arial" w:hAnsi="Arial"/>
          <w:sz w:val="19"/>
        </w:rPr>
        <w:t>Report</w:t>
      </w:r>
      <w:r>
        <w:rPr>
          <w:rFonts w:ascii="Arial" w:hAnsi="Arial"/>
          <w:spacing w:val="-9"/>
          <w:sz w:val="19"/>
        </w:rPr>
        <w:t xml:space="preserve"> </w:t>
      </w:r>
      <w:r>
        <w:rPr>
          <w:rFonts w:ascii="Arial" w:hAnsi="Arial"/>
          <w:sz w:val="19"/>
        </w:rPr>
        <w:t>OD4091</w:t>
      </w:r>
    </w:p>
    <w:p w:rsidR="007D76BB" w:rsidRDefault="00D70D28">
      <w:pPr>
        <w:pStyle w:val="ListParagraph"/>
        <w:numPr>
          <w:ilvl w:val="1"/>
          <w:numId w:val="5"/>
        </w:numPr>
        <w:tabs>
          <w:tab w:val="left" w:pos="810"/>
          <w:tab w:val="left" w:pos="811"/>
        </w:tabs>
        <w:spacing w:before="103"/>
        <w:ind w:left="810" w:hanging="329"/>
        <w:rPr>
          <w:rFonts w:ascii="Arial" w:hAnsi="Arial"/>
          <w:sz w:val="19"/>
        </w:rPr>
      </w:pPr>
      <w:r>
        <w:rPr>
          <w:rFonts w:ascii="Arial" w:hAnsi="Arial"/>
          <w:sz w:val="19"/>
        </w:rPr>
        <w:t>Richardson,</w:t>
      </w:r>
      <w:r>
        <w:rPr>
          <w:rFonts w:ascii="Arial" w:hAnsi="Arial"/>
          <w:spacing w:val="-7"/>
          <w:sz w:val="19"/>
        </w:rPr>
        <w:t xml:space="preserve"> </w:t>
      </w:r>
      <w:r>
        <w:rPr>
          <w:rFonts w:ascii="Arial" w:hAnsi="Arial"/>
          <w:sz w:val="19"/>
        </w:rPr>
        <w:t>A.</w:t>
      </w:r>
      <w:r>
        <w:rPr>
          <w:rFonts w:ascii="Arial" w:hAnsi="Arial"/>
          <w:spacing w:val="-7"/>
          <w:sz w:val="19"/>
        </w:rPr>
        <w:t xml:space="preserve"> </w:t>
      </w:r>
      <w:r>
        <w:rPr>
          <w:rFonts w:ascii="Arial" w:hAnsi="Arial"/>
          <w:sz w:val="19"/>
        </w:rPr>
        <w:t>(2019).</w:t>
      </w:r>
      <w:r>
        <w:rPr>
          <w:rFonts w:ascii="Arial" w:hAnsi="Arial"/>
          <w:spacing w:val="-10"/>
          <w:sz w:val="19"/>
        </w:rPr>
        <w:t xml:space="preserve"> </w:t>
      </w:r>
      <w:r>
        <w:rPr>
          <w:rFonts w:ascii="Arial" w:hAnsi="Arial"/>
          <w:sz w:val="19"/>
        </w:rPr>
        <w:t>IBISWorld</w:t>
      </w:r>
      <w:r>
        <w:rPr>
          <w:rFonts w:ascii="Arial" w:hAnsi="Arial"/>
          <w:spacing w:val="-9"/>
          <w:sz w:val="19"/>
        </w:rPr>
        <w:t xml:space="preserve"> </w:t>
      </w:r>
      <w:r>
        <w:rPr>
          <w:rFonts w:ascii="Arial" w:hAnsi="Arial"/>
          <w:sz w:val="19"/>
        </w:rPr>
        <w:t>Industry</w:t>
      </w:r>
      <w:r>
        <w:rPr>
          <w:rFonts w:ascii="Arial" w:hAnsi="Arial"/>
          <w:spacing w:val="-10"/>
          <w:sz w:val="19"/>
        </w:rPr>
        <w:t xml:space="preserve"> </w:t>
      </w:r>
      <w:r>
        <w:rPr>
          <w:rFonts w:ascii="Arial" w:hAnsi="Arial"/>
          <w:sz w:val="19"/>
        </w:rPr>
        <w:t>Report</w:t>
      </w:r>
      <w:r>
        <w:rPr>
          <w:rFonts w:ascii="Arial" w:hAnsi="Arial"/>
          <w:spacing w:val="-9"/>
          <w:sz w:val="19"/>
        </w:rPr>
        <w:t xml:space="preserve"> </w:t>
      </w:r>
      <w:r>
        <w:rPr>
          <w:rFonts w:ascii="Arial" w:hAnsi="Arial"/>
          <w:sz w:val="19"/>
        </w:rPr>
        <w:t>OD5364</w:t>
      </w:r>
    </w:p>
    <w:p w:rsidR="007D76BB" w:rsidRDefault="00D70D28">
      <w:pPr>
        <w:pStyle w:val="ListParagraph"/>
        <w:numPr>
          <w:ilvl w:val="1"/>
          <w:numId w:val="5"/>
        </w:numPr>
        <w:tabs>
          <w:tab w:val="left" w:pos="766"/>
        </w:tabs>
        <w:spacing w:before="101"/>
        <w:rPr>
          <w:rFonts w:ascii="Arial" w:hAnsi="Arial"/>
          <w:sz w:val="19"/>
        </w:rPr>
      </w:pPr>
      <w:r>
        <w:rPr>
          <w:rFonts w:ascii="Arial" w:hAnsi="Arial"/>
          <w:sz w:val="19"/>
        </w:rPr>
        <w:t>Richardson,</w:t>
      </w:r>
      <w:r>
        <w:rPr>
          <w:rFonts w:ascii="Arial" w:hAnsi="Arial"/>
          <w:spacing w:val="-8"/>
          <w:sz w:val="19"/>
        </w:rPr>
        <w:t xml:space="preserve"> </w:t>
      </w:r>
      <w:r>
        <w:rPr>
          <w:rFonts w:ascii="Arial" w:hAnsi="Arial"/>
          <w:sz w:val="19"/>
        </w:rPr>
        <w:t>A.</w:t>
      </w:r>
      <w:r>
        <w:rPr>
          <w:rFonts w:ascii="Arial" w:hAnsi="Arial"/>
          <w:spacing w:val="-10"/>
          <w:sz w:val="19"/>
        </w:rPr>
        <w:t xml:space="preserve"> </w:t>
      </w:r>
      <w:r>
        <w:rPr>
          <w:rFonts w:ascii="Arial" w:hAnsi="Arial"/>
          <w:sz w:val="19"/>
        </w:rPr>
        <w:t>(2019).</w:t>
      </w:r>
      <w:r>
        <w:rPr>
          <w:rFonts w:ascii="Arial" w:hAnsi="Arial"/>
          <w:spacing w:val="-8"/>
          <w:sz w:val="19"/>
        </w:rPr>
        <w:t xml:space="preserve"> </w:t>
      </w:r>
      <w:r>
        <w:rPr>
          <w:rFonts w:ascii="Arial" w:hAnsi="Arial"/>
          <w:sz w:val="19"/>
        </w:rPr>
        <w:t>IBISWorld</w:t>
      </w:r>
      <w:r>
        <w:rPr>
          <w:rFonts w:ascii="Arial" w:hAnsi="Arial"/>
          <w:spacing w:val="-9"/>
          <w:sz w:val="19"/>
        </w:rPr>
        <w:t xml:space="preserve"> </w:t>
      </w:r>
      <w:r>
        <w:rPr>
          <w:rFonts w:ascii="Arial" w:hAnsi="Arial"/>
          <w:sz w:val="19"/>
        </w:rPr>
        <w:t>Industry</w:t>
      </w:r>
      <w:r>
        <w:rPr>
          <w:rFonts w:ascii="Arial" w:hAnsi="Arial"/>
          <w:spacing w:val="-10"/>
          <w:sz w:val="19"/>
        </w:rPr>
        <w:t xml:space="preserve"> </w:t>
      </w:r>
      <w:r>
        <w:rPr>
          <w:rFonts w:ascii="Arial" w:hAnsi="Arial"/>
          <w:sz w:val="19"/>
        </w:rPr>
        <w:t>Report</w:t>
      </w:r>
      <w:r>
        <w:rPr>
          <w:rFonts w:ascii="Arial" w:hAnsi="Arial"/>
          <w:spacing w:val="-10"/>
          <w:sz w:val="19"/>
        </w:rPr>
        <w:t xml:space="preserve"> </w:t>
      </w:r>
      <w:r>
        <w:rPr>
          <w:rFonts w:ascii="Arial" w:hAnsi="Arial"/>
          <w:sz w:val="19"/>
        </w:rPr>
        <w:t>OD5417</w:t>
      </w:r>
    </w:p>
    <w:p w:rsidR="007D76BB" w:rsidRDefault="00A51832">
      <w:pPr>
        <w:pStyle w:val="ListParagraph"/>
        <w:numPr>
          <w:ilvl w:val="1"/>
          <w:numId w:val="5"/>
        </w:numPr>
        <w:tabs>
          <w:tab w:val="left" w:pos="766"/>
        </w:tabs>
        <w:spacing w:before="103"/>
        <w:rPr>
          <w:rFonts w:ascii="Arial" w:hAnsi="Arial"/>
          <w:sz w:val="19"/>
        </w:rPr>
      </w:pPr>
      <w:hyperlink r:id="rId240">
        <w:r w:rsidR="00D70D28">
          <w:rPr>
            <w:rFonts w:ascii="Arial" w:hAnsi="Arial"/>
            <w:w w:val="105"/>
            <w:sz w:val="19"/>
            <w:u w:val="single" w:color="006FC0"/>
          </w:rPr>
          <w:t>https://www.saveaussiesupplements.com.au</w:t>
        </w:r>
      </w:hyperlink>
    </w:p>
    <w:p w:rsidR="007D76BB" w:rsidRDefault="00A51832">
      <w:pPr>
        <w:pStyle w:val="ListParagraph"/>
        <w:numPr>
          <w:ilvl w:val="1"/>
          <w:numId w:val="5"/>
        </w:numPr>
        <w:tabs>
          <w:tab w:val="left" w:pos="766"/>
        </w:tabs>
        <w:spacing w:before="103"/>
        <w:rPr>
          <w:rFonts w:ascii="Arial" w:hAnsi="Arial"/>
          <w:sz w:val="19"/>
        </w:rPr>
      </w:pPr>
      <w:hyperlink r:id="rId241">
        <w:r w:rsidR="00D70D28">
          <w:rPr>
            <w:rFonts w:ascii="Arial" w:hAnsi="Arial"/>
            <w:w w:val="105"/>
            <w:sz w:val="19"/>
            <w:u w:val="single" w:color="006FC0"/>
          </w:rPr>
          <w:t>https://www.saveaussiesupplements.com.au/faqs/</w:t>
        </w:r>
      </w:hyperlink>
    </w:p>
    <w:p w:rsidR="007D76BB" w:rsidRDefault="00A51832">
      <w:pPr>
        <w:pStyle w:val="ListParagraph"/>
        <w:numPr>
          <w:ilvl w:val="1"/>
          <w:numId w:val="5"/>
        </w:numPr>
        <w:tabs>
          <w:tab w:val="left" w:pos="766"/>
        </w:tabs>
        <w:spacing w:before="101"/>
        <w:rPr>
          <w:rFonts w:ascii="Arial" w:hAnsi="Arial"/>
          <w:sz w:val="19"/>
        </w:rPr>
      </w:pPr>
      <w:hyperlink r:id="rId242">
        <w:r w:rsidR="00D70D28">
          <w:rPr>
            <w:rFonts w:ascii="Arial" w:hAnsi="Arial"/>
            <w:spacing w:val="1"/>
            <w:w w:val="101"/>
            <w:sz w:val="19"/>
            <w:u w:val="single" w:color="006FC0"/>
          </w:rPr>
          <w:t>h</w:t>
        </w:r>
        <w:r w:rsidR="00D70D28">
          <w:rPr>
            <w:rFonts w:ascii="Arial" w:hAnsi="Arial"/>
            <w:w w:val="134"/>
            <w:sz w:val="19"/>
            <w:u w:val="single" w:color="006FC0"/>
          </w:rPr>
          <w:t>t</w:t>
        </w:r>
        <w:r w:rsidR="00D70D28">
          <w:rPr>
            <w:rFonts w:ascii="Arial" w:hAnsi="Arial"/>
            <w:spacing w:val="-2"/>
            <w:w w:val="134"/>
            <w:sz w:val="19"/>
            <w:u w:val="single" w:color="006FC0"/>
          </w:rPr>
          <w:t>t</w:t>
        </w:r>
        <w:r w:rsidR="00D70D28">
          <w:rPr>
            <w:rFonts w:ascii="Arial" w:hAnsi="Arial"/>
            <w:w w:val="101"/>
            <w:sz w:val="19"/>
            <w:u w:val="single" w:color="006FC0"/>
          </w:rPr>
          <w:t>p</w:t>
        </w:r>
        <w:r w:rsidR="00D70D28">
          <w:rPr>
            <w:rFonts w:ascii="Arial" w:hAnsi="Arial"/>
            <w:w w:val="111"/>
            <w:sz w:val="19"/>
            <w:u w:val="single" w:color="006FC0"/>
          </w:rPr>
          <w:t>s:/</w:t>
        </w:r>
        <w:r w:rsidR="00D70D28">
          <w:rPr>
            <w:rFonts w:ascii="Arial" w:hAnsi="Arial"/>
            <w:w w:val="175"/>
            <w:sz w:val="19"/>
            <w:u w:val="single" w:color="006FC0"/>
          </w:rPr>
          <w:t>/</w:t>
        </w:r>
        <w:r w:rsidR="00D70D28">
          <w:rPr>
            <w:rFonts w:ascii="Arial" w:hAnsi="Arial"/>
            <w:spacing w:val="-2"/>
            <w:w w:val="98"/>
            <w:sz w:val="19"/>
            <w:u w:val="single" w:color="006FC0"/>
          </w:rPr>
          <w:t>w</w:t>
        </w:r>
        <w:r w:rsidR="00D70D28">
          <w:rPr>
            <w:rFonts w:ascii="Arial" w:hAnsi="Arial"/>
            <w:spacing w:val="1"/>
            <w:w w:val="98"/>
            <w:sz w:val="19"/>
            <w:u w:val="single" w:color="006FC0"/>
          </w:rPr>
          <w:t>ww</w:t>
        </w:r>
        <w:r w:rsidR="00D70D28">
          <w:rPr>
            <w:rFonts w:ascii="Arial" w:hAnsi="Arial"/>
            <w:spacing w:val="-2"/>
            <w:w w:val="80"/>
            <w:sz w:val="19"/>
            <w:u w:val="single" w:color="006FC0"/>
          </w:rPr>
          <w:t>.</w:t>
        </w:r>
        <w:r w:rsidR="00D70D28">
          <w:rPr>
            <w:rFonts w:ascii="Arial" w:hAnsi="Arial"/>
            <w:w w:val="134"/>
            <w:sz w:val="19"/>
            <w:u w:val="single" w:color="006FC0"/>
          </w:rPr>
          <w:t>t</w:t>
        </w:r>
        <w:r w:rsidR="00D70D28">
          <w:rPr>
            <w:rFonts w:ascii="Arial" w:hAnsi="Arial"/>
            <w:spacing w:val="-2"/>
            <w:w w:val="101"/>
            <w:sz w:val="19"/>
            <w:u w:val="single" w:color="006FC0"/>
          </w:rPr>
          <w:t>g</w:t>
        </w:r>
        <w:r w:rsidR="00D70D28">
          <w:rPr>
            <w:rFonts w:ascii="Arial" w:hAnsi="Arial"/>
            <w:w w:val="94"/>
            <w:sz w:val="19"/>
            <w:u w:val="single" w:color="006FC0"/>
          </w:rPr>
          <w:t>a.</w:t>
        </w:r>
        <w:r w:rsidR="00D70D28">
          <w:rPr>
            <w:rFonts w:ascii="Arial" w:hAnsi="Arial"/>
            <w:spacing w:val="1"/>
            <w:w w:val="94"/>
            <w:sz w:val="19"/>
            <w:u w:val="single" w:color="006FC0"/>
          </w:rPr>
          <w:t>g</w:t>
        </w:r>
        <w:r w:rsidR="00D70D28">
          <w:rPr>
            <w:rFonts w:ascii="Arial" w:hAnsi="Arial"/>
            <w:w w:val="101"/>
            <w:sz w:val="19"/>
            <w:u w:val="single" w:color="006FC0"/>
          </w:rPr>
          <w:t>o</w:t>
        </w:r>
        <w:r w:rsidR="00D70D28">
          <w:rPr>
            <w:rFonts w:ascii="Arial" w:hAnsi="Arial"/>
            <w:spacing w:val="-2"/>
            <w:w w:val="101"/>
            <w:sz w:val="19"/>
            <w:u w:val="single" w:color="006FC0"/>
          </w:rPr>
          <w:t>v</w:t>
        </w:r>
        <w:r w:rsidR="00D70D28">
          <w:rPr>
            <w:rFonts w:ascii="Arial" w:hAnsi="Arial"/>
            <w:w w:val="89"/>
            <w:sz w:val="19"/>
            <w:u w:val="single" w:color="006FC0"/>
          </w:rPr>
          <w:t>.</w:t>
        </w:r>
        <w:r w:rsidR="00D70D28">
          <w:rPr>
            <w:rFonts w:ascii="Arial" w:hAnsi="Arial"/>
            <w:spacing w:val="1"/>
            <w:w w:val="89"/>
            <w:sz w:val="19"/>
            <w:u w:val="single" w:color="006FC0"/>
          </w:rPr>
          <w:t>a</w:t>
        </w:r>
        <w:r w:rsidR="00D70D28">
          <w:rPr>
            <w:rFonts w:ascii="Arial" w:hAnsi="Arial"/>
            <w:spacing w:val="-2"/>
            <w:w w:val="101"/>
            <w:sz w:val="19"/>
            <w:u w:val="single" w:color="006FC0"/>
          </w:rPr>
          <w:t>u</w:t>
        </w:r>
        <w:r w:rsidR="00D70D28">
          <w:rPr>
            <w:rFonts w:ascii="Arial" w:hAnsi="Arial"/>
            <w:w w:val="175"/>
            <w:sz w:val="19"/>
            <w:u w:val="single" w:color="006FC0"/>
          </w:rPr>
          <w:t>/</w:t>
        </w:r>
        <w:r w:rsidR="00D70D28">
          <w:rPr>
            <w:rFonts w:ascii="Arial" w:hAnsi="Arial"/>
            <w:w w:val="99"/>
            <w:sz w:val="19"/>
            <w:u w:val="single" w:color="006FC0"/>
          </w:rPr>
          <w:t>m</w:t>
        </w:r>
        <w:r w:rsidR="00D70D28">
          <w:rPr>
            <w:rFonts w:ascii="Arial" w:hAnsi="Arial"/>
            <w:spacing w:val="-1"/>
            <w:w w:val="99"/>
            <w:sz w:val="19"/>
            <w:u w:val="single" w:color="006FC0"/>
          </w:rPr>
          <w:t>e</w:t>
        </w:r>
        <w:r w:rsidR="00D70D28">
          <w:rPr>
            <w:rFonts w:ascii="Arial" w:hAnsi="Arial"/>
            <w:spacing w:val="-1"/>
            <w:sz w:val="19"/>
            <w:u w:val="single" w:color="006FC0"/>
          </w:rPr>
          <w:t>d</w:t>
        </w:r>
        <w:r w:rsidR="00D70D28">
          <w:rPr>
            <w:rFonts w:ascii="Arial" w:hAnsi="Arial"/>
            <w:sz w:val="19"/>
            <w:u w:val="single" w:color="006FC0"/>
          </w:rPr>
          <w:t>i</w:t>
        </w:r>
        <w:r w:rsidR="00D70D28">
          <w:rPr>
            <w:rFonts w:ascii="Arial" w:hAnsi="Arial"/>
            <w:spacing w:val="3"/>
            <w:sz w:val="19"/>
            <w:u w:val="single" w:color="006FC0"/>
          </w:rPr>
          <w:t>a</w:t>
        </w:r>
        <w:r w:rsidR="00D70D28">
          <w:rPr>
            <w:rFonts w:ascii="Arial" w:hAnsi="Arial"/>
            <w:spacing w:val="1"/>
            <w:w w:val="119"/>
            <w:sz w:val="19"/>
            <w:u w:val="single" w:color="006FC0"/>
          </w:rPr>
          <w:t>-</w:t>
        </w:r>
        <w:r w:rsidR="00D70D28">
          <w:rPr>
            <w:rFonts w:ascii="Arial" w:hAnsi="Arial"/>
            <w:w w:val="116"/>
            <w:sz w:val="19"/>
            <w:u w:val="single" w:color="006FC0"/>
          </w:rPr>
          <w:t>r</w:t>
        </w:r>
        <w:r w:rsidR="00D70D28">
          <w:rPr>
            <w:rFonts w:ascii="Arial" w:hAnsi="Arial"/>
            <w:w w:val="96"/>
            <w:sz w:val="19"/>
            <w:u w:val="single" w:color="006FC0"/>
          </w:rPr>
          <w:t>e</w:t>
        </w:r>
        <w:r w:rsidR="00D70D28">
          <w:rPr>
            <w:rFonts w:ascii="Arial" w:hAnsi="Arial"/>
            <w:w w:val="117"/>
            <w:sz w:val="19"/>
            <w:u w:val="single" w:color="006FC0"/>
          </w:rPr>
          <w:t>l</w:t>
        </w:r>
        <w:r w:rsidR="00D70D28">
          <w:rPr>
            <w:rFonts w:ascii="Arial" w:hAnsi="Arial"/>
            <w:spacing w:val="-2"/>
            <w:w w:val="96"/>
            <w:sz w:val="19"/>
            <w:u w:val="single" w:color="006FC0"/>
          </w:rPr>
          <w:t>e</w:t>
        </w:r>
        <w:r w:rsidR="00D70D28">
          <w:rPr>
            <w:rFonts w:ascii="Arial" w:hAnsi="Arial"/>
            <w:w w:val="94"/>
            <w:sz w:val="19"/>
            <w:u w:val="single" w:color="006FC0"/>
          </w:rPr>
          <w:t>a</w:t>
        </w:r>
        <w:r w:rsidR="00D70D28">
          <w:rPr>
            <w:rFonts w:ascii="Arial" w:hAnsi="Arial"/>
            <w:w w:val="95"/>
            <w:sz w:val="19"/>
            <w:u w:val="single" w:color="006FC0"/>
          </w:rPr>
          <w:t>se</w:t>
        </w:r>
        <w:r w:rsidR="00D70D28">
          <w:rPr>
            <w:rFonts w:ascii="Arial" w:hAnsi="Arial"/>
            <w:w w:val="175"/>
            <w:sz w:val="19"/>
            <w:u w:val="single" w:color="006FC0"/>
          </w:rPr>
          <w:t>/</w:t>
        </w:r>
        <w:r w:rsidR="00D70D28">
          <w:rPr>
            <w:rFonts w:ascii="Arial" w:hAnsi="Arial"/>
            <w:w w:val="97"/>
            <w:sz w:val="19"/>
            <w:u w:val="single" w:color="006FC0"/>
          </w:rPr>
          <w:t>sp</w:t>
        </w:r>
        <w:r w:rsidR="00D70D28">
          <w:rPr>
            <w:rFonts w:ascii="Arial" w:hAnsi="Arial"/>
            <w:spacing w:val="-3"/>
            <w:sz w:val="19"/>
            <w:u w:val="single" w:color="006FC0"/>
          </w:rPr>
          <w:t>o</w:t>
        </w:r>
        <w:r w:rsidR="00D70D28">
          <w:rPr>
            <w:rFonts w:ascii="Arial" w:hAnsi="Arial"/>
            <w:w w:val="116"/>
            <w:sz w:val="19"/>
            <w:u w:val="single" w:color="006FC0"/>
          </w:rPr>
          <w:t>r</w:t>
        </w:r>
        <w:r w:rsidR="00D70D28">
          <w:rPr>
            <w:rFonts w:ascii="Arial" w:hAnsi="Arial"/>
            <w:w w:val="134"/>
            <w:sz w:val="19"/>
            <w:u w:val="single" w:color="006FC0"/>
          </w:rPr>
          <w:t>t</w:t>
        </w:r>
        <w:r w:rsidR="00D70D28">
          <w:rPr>
            <w:rFonts w:ascii="Arial" w:hAnsi="Arial"/>
            <w:spacing w:val="1"/>
            <w:w w:val="93"/>
            <w:sz w:val="19"/>
            <w:u w:val="single" w:color="006FC0"/>
          </w:rPr>
          <w:t>s</w:t>
        </w:r>
        <w:r w:rsidR="00D70D28">
          <w:rPr>
            <w:rFonts w:ascii="Arial" w:hAnsi="Arial"/>
            <w:spacing w:val="1"/>
            <w:w w:val="119"/>
            <w:sz w:val="19"/>
            <w:u w:val="single" w:color="006FC0"/>
          </w:rPr>
          <w:t>-</w:t>
        </w:r>
        <w:r w:rsidR="00D70D28">
          <w:rPr>
            <w:rFonts w:ascii="Arial" w:hAnsi="Arial"/>
            <w:w w:val="97"/>
            <w:sz w:val="19"/>
            <w:u w:val="single" w:color="006FC0"/>
          </w:rPr>
          <w:t>s</w:t>
        </w:r>
        <w:r w:rsidR="00D70D28">
          <w:rPr>
            <w:rFonts w:ascii="Arial" w:hAnsi="Arial"/>
            <w:spacing w:val="-2"/>
            <w:w w:val="97"/>
            <w:sz w:val="19"/>
            <w:u w:val="single" w:color="006FC0"/>
          </w:rPr>
          <w:t>u</w:t>
        </w:r>
        <w:r w:rsidR="00D70D28">
          <w:rPr>
            <w:rFonts w:ascii="Arial" w:hAnsi="Arial"/>
            <w:w w:val="101"/>
            <w:sz w:val="19"/>
            <w:u w:val="single" w:color="006FC0"/>
          </w:rPr>
          <w:t>pp</w:t>
        </w:r>
        <w:r w:rsidR="00D70D28">
          <w:rPr>
            <w:rFonts w:ascii="Arial" w:hAnsi="Arial"/>
            <w:spacing w:val="-2"/>
            <w:w w:val="117"/>
            <w:sz w:val="19"/>
            <w:u w:val="single" w:color="006FC0"/>
          </w:rPr>
          <w:t>l</w:t>
        </w:r>
        <w:r w:rsidR="00D70D28">
          <w:rPr>
            <w:rFonts w:ascii="Arial" w:hAnsi="Arial"/>
            <w:w w:val="96"/>
            <w:sz w:val="19"/>
            <w:u w:val="single" w:color="006FC0"/>
          </w:rPr>
          <w:t>e</w:t>
        </w:r>
        <w:r w:rsidR="00D70D28">
          <w:rPr>
            <w:rFonts w:ascii="Arial" w:hAnsi="Arial"/>
            <w:spacing w:val="-3"/>
            <w:w w:val="101"/>
            <w:sz w:val="19"/>
            <w:u w:val="single" w:color="006FC0"/>
          </w:rPr>
          <w:t>m</w:t>
        </w:r>
        <w:r w:rsidR="00D70D28">
          <w:rPr>
            <w:rFonts w:ascii="Arial" w:hAnsi="Arial"/>
            <w:w w:val="96"/>
            <w:sz w:val="19"/>
            <w:u w:val="single" w:color="006FC0"/>
          </w:rPr>
          <w:t>e</w:t>
        </w:r>
        <w:r w:rsidR="00D70D28">
          <w:rPr>
            <w:rFonts w:ascii="Arial" w:hAnsi="Arial"/>
            <w:spacing w:val="1"/>
            <w:w w:val="101"/>
            <w:sz w:val="19"/>
            <w:u w:val="single" w:color="006FC0"/>
          </w:rPr>
          <w:t>n</w:t>
        </w:r>
        <w:r w:rsidR="00D70D28">
          <w:rPr>
            <w:rFonts w:ascii="Arial" w:hAnsi="Arial"/>
            <w:w w:val="134"/>
            <w:sz w:val="19"/>
            <w:u w:val="single" w:color="006FC0"/>
          </w:rPr>
          <w:t>t</w:t>
        </w:r>
        <w:r w:rsidR="00D70D28">
          <w:rPr>
            <w:rFonts w:ascii="Arial" w:hAnsi="Arial"/>
            <w:spacing w:val="-1"/>
            <w:w w:val="93"/>
            <w:sz w:val="19"/>
            <w:u w:val="single" w:color="006FC0"/>
          </w:rPr>
          <w:t>s</w:t>
        </w:r>
        <w:r w:rsidR="00D70D28">
          <w:rPr>
            <w:rFonts w:ascii="Arial" w:hAnsi="Arial"/>
            <w:spacing w:val="1"/>
            <w:w w:val="119"/>
            <w:sz w:val="19"/>
            <w:u w:val="single" w:color="006FC0"/>
          </w:rPr>
          <w:t>-</w:t>
        </w:r>
        <w:r w:rsidR="00D70D28">
          <w:rPr>
            <w:rFonts w:ascii="Arial" w:hAnsi="Arial"/>
            <w:w w:val="94"/>
            <w:sz w:val="19"/>
            <w:u w:val="single" w:color="006FC0"/>
          </w:rPr>
          <w:t>a</w:t>
        </w:r>
        <w:r w:rsidR="00D70D28">
          <w:rPr>
            <w:rFonts w:ascii="Arial" w:hAnsi="Arial"/>
            <w:spacing w:val="1"/>
            <w:w w:val="101"/>
            <w:sz w:val="19"/>
            <w:u w:val="single" w:color="006FC0"/>
          </w:rPr>
          <w:t>u</w:t>
        </w:r>
        <w:r w:rsidR="00D70D28">
          <w:rPr>
            <w:rFonts w:ascii="Arial" w:hAnsi="Arial"/>
            <w:spacing w:val="-3"/>
            <w:w w:val="93"/>
            <w:sz w:val="19"/>
            <w:u w:val="single" w:color="006FC0"/>
          </w:rPr>
          <w:t>s</w:t>
        </w:r>
        <w:r w:rsidR="00D70D28">
          <w:rPr>
            <w:rFonts w:ascii="Arial" w:hAnsi="Arial"/>
            <w:w w:val="134"/>
            <w:sz w:val="19"/>
            <w:u w:val="single" w:color="006FC0"/>
          </w:rPr>
          <w:t>t</w:t>
        </w:r>
        <w:r w:rsidR="00D70D28">
          <w:rPr>
            <w:rFonts w:ascii="Arial" w:hAnsi="Arial"/>
            <w:w w:val="116"/>
            <w:sz w:val="19"/>
            <w:u w:val="single" w:color="006FC0"/>
          </w:rPr>
          <w:t>r</w:t>
        </w:r>
        <w:r w:rsidR="00D70D28">
          <w:rPr>
            <w:rFonts w:ascii="Arial" w:hAnsi="Arial"/>
            <w:w w:val="94"/>
            <w:sz w:val="19"/>
            <w:u w:val="single" w:color="006FC0"/>
          </w:rPr>
          <w:t>a</w:t>
        </w:r>
        <w:r w:rsidR="00D70D28">
          <w:rPr>
            <w:rFonts w:ascii="Arial" w:hAnsi="Arial"/>
            <w:w w:val="117"/>
            <w:sz w:val="19"/>
            <w:u w:val="single" w:color="006FC0"/>
          </w:rPr>
          <w:t>l</w:t>
        </w:r>
        <w:r w:rsidR="00D70D28">
          <w:rPr>
            <w:rFonts w:ascii="Arial" w:hAnsi="Arial"/>
            <w:spacing w:val="-3"/>
            <w:w w:val="114"/>
            <w:sz w:val="19"/>
            <w:u w:val="single" w:color="006FC0"/>
          </w:rPr>
          <w:t>i</w:t>
        </w:r>
        <w:r w:rsidR="00D70D28">
          <w:rPr>
            <w:rFonts w:ascii="Arial" w:hAnsi="Arial"/>
            <w:w w:val="94"/>
            <w:sz w:val="19"/>
            <w:u w:val="single" w:color="006FC0"/>
          </w:rPr>
          <w:t>a</w:t>
        </w:r>
      </w:hyperlink>
    </w:p>
    <w:p w:rsidR="007D76BB" w:rsidRDefault="00A51832">
      <w:pPr>
        <w:pStyle w:val="ListParagraph"/>
        <w:numPr>
          <w:ilvl w:val="1"/>
          <w:numId w:val="5"/>
        </w:numPr>
        <w:tabs>
          <w:tab w:val="left" w:pos="766"/>
        </w:tabs>
        <w:spacing w:before="101" w:line="266" w:lineRule="auto"/>
        <w:ind w:right="1065"/>
        <w:rPr>
          <w:rFonts w:ascii="Arial" w:hAnsi="Arial"/>
          <w:sz w:val="19"/>
        </w:rPr>
      </w:pPr>
      <w:hyperlink r:id="rId243">
        <w:r w:rsidR="00D70D28">
          <w:rPr>
            <w:rFonts w:ascii="Arial" w:hAnsi="Arial"/>
            <w:spacing w:val="1"/>
            <w:w w:val="101"/>
            <w:sz w:val="19"/>
            <w:u w:val="single" w:color="006FC0"/>
          </w:rPr>
          <w:t>h</w:t>
        </w:r>
        <w:r w:rsidR="00D70D28">
          <w:rPr>
            <w:rFonts w:ascii="Arial" w:hAnsi="Arial"/>
            <w:w w:val="134"/>
            <w:sz w:val="19"/>
            <w:u w:val="single" w:color="006FC0"/>
          </w:rPr>
          <w:t>t</w:t>
        </w:r>
        <w:r w:rsidR="00D70D28">
          <w:rPr>
            <w:rFonts w:ascii="Arial" w:hAnsi="Arial"/>
            <w:spacing w:val="-2"/>
            <w:w w:val="134"/>
            <w:sz w:val="19"/>
            <w:u w:val="single" w:color="006FC0"/>
          </w:rPr>
          <w:t>t</w:t>
        </w:r>
        <w:r w:rsidR="00D70D28">
          <w:rPr>
            <w:rFonts w:ascii="Arial" w:hAnsi="Arial"/>
            <w:w w:val="101"/>
            <w:sz w:val="19"/>
            <w:u w:val="single" w:color="006FC0"/>
          </w:rPr>
          <w:t>p</w:t>
        </w:r>
        <w:r w:rsidR="00D70D28">
          <w:rPr>
            <w:rFonts w:ascii="Arial" w:hAnsi="Arial"/>
            <w:w w:val="111"/>
            <w:sz w:val="19"/>
            <w:u w:val="single" w:color="006FC0"/>
          </w:rPr>
          <w:t>s:/</w:t>
        </w:r>
        <w:r w:rsidR="00D70D28">
          <w:rPr>
            <w:rFonts w:ascii="Arial" w:hAnsi="Arial"/>
            <w:w w:val="175"/>
            <w:sz w:val="19"/>
            <w:u w:val="single" w:color="006FC0"/>
          </w:rPr>
          <w:t>/</w:t>
        </w:r>
        <w:r w:rsidR="00D70D28">
          <w:rPr>
            <w:rFonts w:ascii="Arial" w:hAnsi="Arial"/>
            <w:spacing w:val="-2"/>
            <w:w w:val="98"/>
            <w:sz w:val="19"/>
            <w:u w:val="single" w:color="006FC0"/>
          </w:rPr>
          <w:t>w</w:t>
        </w:r>
        <w:r w:rsidR="00D70D28">
          <w:rPr>
            <w:rFonts w:ascii="Arial" w:hAnsi="Arial"/>
            <w:spacing w:val="1"/>
            <w:w w:val="98"/>
            <w:sz w:val="19"/>
            <w:u w:val="single" w:color="006FC0"/>
          </w:rPr>
          <w:t>ww</w:t>
        </w:r>
        <w:r w:rsidR="00D70D28">
          <w:rPr>
            <w:rFonts w:ascii="Arial" w:hAnsi="Arial"/>
            <w:spacing w:val="-2"/>
            <w:w w:val="80"/>
            <w:sz w:val="19"/>
            <w:u w:val="single" w:color="006FC0"/>
          </w:rPr>
          <w:t>.</w:t>
        </w:r>
        <w:r w:rsidR="00D70D28">
          <w:rPr>
            <w:rFonts w:ascii="Arial" w:hAnsi="Arial"/>
            <w:w w:val="134"/>
            <w:sz w:val="19"/>
            <w:u w:val="single" w:color="006FC0"/>
          </w:rPr>
          <w:t>t</w:t>
        </w:r>
        <w:r w:rsidR="00D70D28">
          <w:rPr>
            <w:rFonts w:ascii="Arial" w:hAnsi="Arial"/>
            <w:spacing w:val="-2"/>
            <w:w w:val="101"/>
            <w:sz w:val="19"/>
            <w:u w:val="single" w:color="006FC0"/>
          </w:rPr>
          <w:t>g</w:t>
        </w:r>
        <w:r w:rsidR="00D70D28">
          <w:rPr>
            <w:rFonts w:ascii="Arial" w:hAnsi="Arial"/>
            <w:w w:val="94"/>
            <w:sz w:val="19"/>
            <w:u w:val="single" w:color="006FC0"/>
          </w:rPr>
          <w:t>a.</w:t>
        </w:r>
        <w:r w:rsidR="00D70D28">
          <w:rPr>
            <w:rFonts w:ascii="Arial" w:hAnsi="Arial"/>
            <w:spacing w:val="1"/>
            <w:w w:val="94"/>
            <w:sz w:val="19"/>
            <w:u w:val="single" w:color="006FC0"/>
          </w:rPr>
          <w:t>g</w:t>
        </w:r>
        <w:r w:rsidR="00D70D28">
          <w:rPr>
            <w:rFonts w:ascii="Arial" w:hAnsi="Arial"/>
            <w:w w:val="101"/>
            <w:sz w:val="19"/>
            <w:u w:val="single" w:color="006FC0"/>
          </w:rPr>
          <w:t>o</w:t>
        </w:r>
        <w:r w:rsidR="00D70D28">
          <w:rPr>
            <w:rFonts w:ascii="Arial" w:hAnsi="Arial"/>
            <w:spacing w:val="-2"/>
            <w:w w:val="101"/>
            <w:sz w:val="19"/>
            <w:u w:val="single" w:color="006FC0"/>
          </w:rPr>
          <w:t>v</w:t>
        </w:r>
        <w:r w:rsidR="00D70D28">
          <w:rPr>
            <w:rFonts w:ascii="Arial" w:hAnsi="Arial"/>
            <w:w w:val="89"/>
            <w:sz w:val="19"/>
            <w:u w:val="single" w:color="006FC0"/>
          </w:rPr>
          <w:t>.</w:t>
        </w:r>
        <w:r w:rsidR="00D70D28">
          <w:rPr>
            <w:rFonts w:ascii="Arial" w:hAnsi="Arial"/>
            <w:spacing w:val="1"/>
            <w:w w:val="89"/>
            <w:sz w:val="19"/>
            <w:u w:val="single" w:color="006FC0"/>
          </w:rPr>
          <w:t>a</w:t>
        </w:r>
        <w:r w:rsidR="00D70D28">
          <w:rPr>
            <w:rFonts w:ascii="Arial" w:hAnsi="Arial"/>
            <w:spacing w:val="-2"/>
            <w:w w:val="101"/>
            <w:sz w:val="19"/>
            <w:u w:val="single" w:color="006FC0"/>
          </w:rPr>
          <w:t>u</w:t>
        </w:r>
        <w:r w:rsidR="00D70D28">
          <w:rPr>
            <w:rFonts w:ascii="Arial" w:hAnsi="Arial"/>
            <w:w w:val="175"/>
            <w:sz w:val="19"/>
            <w:u w:val="single" w:color="006FC0"/>
          </w:rPr>
          <w:t>/</w:t>
        </w:r>
        <w:r w:rsidR="00D70D28">
          <w:rPr>
            <w:rFonts w:ascii="Arial" w:hAnsi="Arial"/>
            <w:w w:val="109"/>
            <w:sz w:val="19"/>
            <w:u w:val="single" w:color="006FC0"/>
          </w:rPr>
          <w:t>sit</w:t>
        </w:r>
        <w:r w:rsidR="00D70D28">
          <w:rPr>
            <w:rFonts w:ascii="Arial" w:hAnsi="Arial"/>
            <w:spacing w:val="-2"/>
            <w:w w:val="96"/>
            <w:sz w:val="19"/>
            <w:u w:val="single" w:color="006FC0"/>
          </w:rPr>
          <w:t>e</w:t>
        </w:r>
        <w:r w:rsidR="00D70D28">
          <w:rPr>
            <w:rFonts w:ascii="Arial" w:hAnsi="Arial"/>
            <w:w w:val="123"/>
            <w:sz w:val="19"/>
            <w:u w:val="single" w:color="006FC0"/>
          </w:rPr>
          <w:t>s/</w:t>
        </w:r>
        <w:r w:rsidR="00D70D28">
          <w:rPr>
            <w:rFonts w:ascii="Arial" w:hAnsi="Arial"/>
            <w:spacing w:val="-1"/>
            <w:sz w:val="19"/>
            <w:u w:val="single" w:color="006FC0"/>
          </w:rPr>
          <w:t>d</w:t>
        </w:r>
        <w:r w:rsidR="00D70D28">
          <w:rPr>
            <w:rFonts w:ascii="Arial" w:hAnsi="Arial"/>
            <w:w w:val="96"/>
            <w:sz w:val="19"/>
            <w:u w:val="single" w:color="006FC0"/>
          </w:rPr>
          <w:t>e</w:t>
        </w:r>
        <w:r w:rsidR="00D70D28">
          <w:rPr>
            <w:rFonts w:ascii="Arial" w:hAnsi="Arial"/>
            <w:spacing w:val="-1"/>
            <w:w w:val="119"/>
            <w:sz w:val="19"/>
            <w:u w:val="single" w:color="006FC0"/>
          </w:rPr>
          <w:t>f</w:t>
        </w:r>
        <w:r w:rsidR="00D70D28">
          <w:rPr>
            <w:rFonts w:ascii="Arial" w:hAnsi="Arial"/>
            <w:w w:val="94"/>
            <w:sz w:val="19"/>
            <w:u w:val="single" w:color="006FC0"/>
          </w:rPr>
          <w:t>a</w:t>
        </w:r>
        <w:r w:rsidR="00D70D28">
          <w:rPr>
            <w:rFonts w:ascii="Arial" w:hAnsi="Arial"/>
            <w:spacing w:val="1"/>
            <w:w w:val="101"/>
            <w:sz w:val="19"/>
            <w:u w:val="single" w:color="006FC0"/>
          </w:rPr>
          <w:t>u</w:t>
        </w:r>
        <w:r w:rsidR="00D70D28">
          <w:rPr>
            <w:rFonts w:ascii="Arial" w:hAnsi="Arial"/>
            <w:spacing w:val="4"/>
            <w:w w:val="117"/>
            <w:sz w:val="19"/>
            <w:u w:val="single" w:color="006FC0"/>
          </w:rPr>
          <w:t>l</w:t>
        </w:r>
        <w:r w:rsidR="00D70D28">
          <w:rPr>
            <w:rFonts w:ascii="Arial" w:hAnsi="Arial"/>
            <w:w w:val="134"/>
            <w:sz w:val="19"/>
            <w:u w:val="single" w:color="006FC0"/>
          </w:rPr>
          <w:t>t</w:t>
        </w:r>
        <w:r w:rsidR="00D70D28">
          <w:rPr>
            <w:rFonts w:ascii="Arial" w:hAnsi="Arial"/>
            <w:w w:val="175"/>
            <w:sz w:val="19"/>
            <w:u w:val="single" w:color="006FC0"/>
          </w:rPr>
          <w:t>/</w:t>
        </w:r>
        <w:r w:rsidR="00D70D28">
          <w:rPr>
            <w:rFonts w:ascii="Arial" w:hAnsi="Arial"/>
            <w:spacing w:val="-1"/>
            <w:w w:val="119"/>
            <w:sz w:val="19"/>
            <w:u w:val="single" w:color="006FC0"/>
          </w:rPr>
          <w:t>f</w:t>
        </w:r>
        <w:r w:rsidR="00D70D28">
          <w:rPr>
            <w:rFonts w:ascii="Arial" w:hAnsi="Arial"/>
            <w:w w:val="105"/>
            <w:sz w:val="19"/>
            <w:u w:val="single" w:color="006FC0"/>
          </w:rPr>
          <w:t>il</w:t>
        </w:r>
        <w:r w:rsidR="00D70D28">
          <w:rPr>
            <w:rFonts w:ascii="Arial" w:hAnsi="Arial"/>
            <w:spacing w:val="1"/>
            <w:w w:val="105"/>
            <w:sz w:val="19"/>
            <w:u w:val="single" w:color="006FC0"/>
          </w:rPr>
          <w:t>e</w:t>
        </w:r>
        <w:r w:rsidR="00D70D28">
          <w:rPr>
            <w:rFonts w:ascii="Arial" w:hAnsi="Arial"/>
            <w:spacing w:val="-3"/>
            <w:w w:val="93"/>
            <w:sz w:val="19"/>
            <w:u w:val="single" w:color="006FC0"/>
          </w:rPr>
          <w:t>s</w:t>
        </w:r>
        <w:r w:rsidR="00D70D28">
          <w:rPr>
            <w:rFonts w:ascii="Arial" w:hAnsi="Arial"/>
            <w:w w:val="175"/>
            <w:sz w:val="19"/>
            <w:u w:val="single" w:color="006FC0"/>
          </w:rPr>
          <w:t>/</w:t>
        </w:r>
        <w:r w:rsidR="00D70D28">
          <w:rPr>
            <w:rFonts w:ascii="Arial" w:hAnsi="Arial"/>
            <w:w w:val="99"/>
            <w:sz w:val="19"/>
            <w:u w:val="single" w:color="006FC0"/>
          </w:rPr>
          <w:t>c</w:t>
        </w:r>
        <w:r w:rsidR="00D70D28">
          <w:rPr>
            <w:rFonts w:ascii="Arial" w:hAnsi="Arial"/>
            <w:sz w:val="19"/>
            <w:u w:val="single" w:color="006FC0"/>
          </w:rPr>
          <w:t>on</w:t>
        </w:r>
        <w:r w:rsidR="00D70D28">
          <w:rPr>
            <w:rFonts w:ascii="Arial" w:hAnsi="Arial"/>
            <w:w w:val="97"/>
            <w:sz w:val="19"/>
            <w:u w:val="single" w:color="006FC0"/>
          </w:rPr>
          <w:t>s</w:t>
        </w:r>
        <w:r w:rsidR="00D70D28">
          <w:rPr>
            <w:rFonts w:ascii="Arial" w:hAnsi="Arial"/>
            <w:spacing w:val="-2"/>
            <w:w w:val="97"/>
            <w:sz w:val="19"/>
            <w:u w:val="single" w:color="006FC0"/>
          </w:rPr>
          <w:t>u</w:t>
        </w:r>
        <w:r w:rsidR="00D70D28">
          <w:rPr>
            <w:rFonts w:ascii="Arial" w:hAnsi="Arial"/>
            <w:w w:val="117"/>
            <w:sz w:val="19"/>
            <w:u w:val="single" w:color="006FC0"/>
          </w:rPr>
          <w:t>l</w:t>
        </w:r>
        <w:r w:rsidR="00D70D28">
          <w:rPr>
            <w:rFonts w:ascii="Arial" w:hAnsi="Arial"/>
            <w:w w:val="134"/>
            <w:sz w:val="19"/>
            <w:u w:val="single" w:color="006FC0"/>
          </w:rPr>
          <w:t>t</w:t>
        </w:r>
        <w:r w:rsidR="00D70D28">
          <w:rPr>
            <w:rFonts w:ascii="Arial" w:hAnsi="Arial"/>
            <w:spacing w:val="-2"/>
            <w:w w:val="94"/>
            <w:sz w:val="19"/>
            <w:u w:val="single" w:color="006FC0"/>
          </w:rPr>
          <w:t>a</w:t>
        </w:r>
        <w:r w:rsidR="00D70D28">
          <w:rPr>
            <w:rFonts w:ascii="Arial" w:hAnsi="Arial"/>
            <w:w w:val="134"/>
            <w:sz w:val="19"/>
            <w:u w:val="single" w:color="006FC0"/>
          </w:rPr>
          <w:t>t</w:t>
        </w:r>
        <w:r w:rsidR="00D70D28">
          <w:rPr>
            <w:rFonts w:ascii="Arial" w:hAnsi="Arial"/>
            <w:w w:val="102"/>
            <w:sz w:val="19"/>
            <w:u w:val="single" w:color="006FC0"/>
          </w:rPr>
          <w:t>io</w:t>
        </w:r>
        <w:r w:rsidR="00D70D28">
          <w:rPr>
            <w:rFonts w:ascii="Arial" w:hAnsi="Arial"/>
            <w:spacing w:val="2"/>
            <w:w w:val="102"/>
            <w:sz w:val="19"/>
            <w:u w:val="single" w:color="006FC0"/>
          </w:rPr>
          <w:t>n</w:t>
        </w:r>
        <w:r w:rsidR="00D70D28">
          <w:rPr>
            <w:rFonts w:ascii="Arial" w:hAnsi="Arial"/>
            <w:spacing w:val="-2"/>
            <w:w w:val="119"/>
            <w:sz w:val="19"/>
            <w:u w:val="single" w:color="006FC0"/>
          </w:rPr>
          <w:t>-</w:t>
        </w:r>
        <w:r w:rsidR="00D70D28">
          <w:rPr>
            <w:rFonts w:ascii="Arial" w:hAnsi="Arial"/>
            <w:w w:val="101"/>
            <w:sz w:val="19"/>
            <w:u w:val="single" w:color="006FC0"/>
          </w:rPr>
          <w:t>p</w:t>
        </w:r>
        <w:r w:rsidR="00D70D28">
          <w:rPr>
            <w:rFonts w:ascii="Arial" w:hAnsi="Arial"/>
            <w:w w:val="116"/>
            <w:sz w:val="19"/>
            <w:u w:val="single" w:color="006FC0"/>
          </w:rPr>
          <w:t>r</w:t>
        </w:r>
        <w:r w:rsidR="00D70D28">
          <w:rPr>
            <w:rFonts w:ascii="Arial" w:hAnsi="Arial"/>
            <w:sz w:val="19"/>
            <w:u w:val="single" w:color="006FC0"/>
          </w:rPr>
          <w:t>op</w:t>
        </w:r>
        <w:r w:rsidR="00D70D28">
          <w:rPr>
            <w:rFonts w:ascii="Arial" w:hAnsi="Arial"/>
            <w:w w:val="96"/>
            <w:sz w:val="19"/>
            <w:u w:val="single" w:color="006FC0"/>
          </w:rPr>
          <w:t>ose</w:t>
        </w:r>
        <w:r w:rsidR="00D70D28">
          <w:rPr>
            <w:rFonts w:ascii="Arial" w:hAnsi="Arial"/>
            <w:spacing w:val="-1"/>
            <w:sz w:val="19"/>
            <w:u w:val="single" w:color="006FC0"/>
          </w:rPr>
          <w:t>d</w:t>
        </w:r>
        <w:r w:rsidR="00D70D28">
          <w:rPr>
            <w:rFonts w:ascii="Arial" w:hAnsi="Arial"/>
            <w:spacing w:val="1"/>
            <w:w w:val="119"/>
            <w:sz w:val="19"/>
            <w:u w:val="single" w:color="006FC0"/>
          </w:rPr>
          <w:t>-</w:t>
        </w:r>
        <w:r w:rsidR="00D70D28">
          <w:rPr>
            <w:rFonts w:ascii="Arial" w:hAnsi="Arial"/>
            <w:w w:val="99"/>
            <w:sz w:val="19"/>
            <w:u w:val="single" w:color="006FC0"/>
          </w:rPr>
          <w:t>c</w:t>
        </w:r>
        <w:r w:rsidR="00D70D28">
          <w:rPr>
            <w:rFonts w:ascii="Arial" w:hAnsi="Arial"/>
            <w:spacing w:val="-2"/>
            <w:w w:val="117"/>
            <w:sz w:val="19"/>
            <w:u w:val="single" w:color="006FC0"/>
          </w:rPr>
          <w:t>l</w:t>
        </w:r>
        <w:r w:rsidR="00D70D28">
          <w:rPr>
            <w:rFonts w:ascii="Arial" w:hAnsi="Arial"/>
            <w:w w:val="94"/>
            <w:sz w:val="19"/>
            <w:u w:val="single" w:color="006FC0"/>
          </w:rPr>
          <w:t>a</w:t>
        </w:r>
        <w:r w:rsidR="00D70D28">
          <w:rPr>
            <w:rFonts w:ascii="Arial" w:hAnsi="Arial"/>
            <w:w w:val="116"/>
            <w:sz w:val="19"/>
            <w:u w:val="single" w:color="006FC0"/>
          </w:rPr>
          <w:t>r</w:t>
        </w:r>
        <w:r w:rsidR="00D70D28">
          <w:rPr>
            <w:rFonts w:ascii="Arial" w:hAnsi="Arial"/>
            <w:w w:val="117"/>
            <w:sz w:val="19"/>
            <w:u w:val="single" w:color="006FC0"/>
          </w:rPr>
          <w:t>i</w:t>
        </w:r>
        <w:r w:rsidR="00D70D28">
          <w:rPr>
            <w:rFonts w:ascii="Arial" w:hAnsi="Arial"/>
            <w:spacing w:val="-1"/>
            <w:w w:val="117"/>
            <w:sz w:val="19"/>
            <w:u w:val="single" w:color="006FC0"/>
          </w:rPr>
          <w:t>f</w:t>
        </w:r>
        <w:r w:rsidR="00D70D28">
          <w:rPr>
            <w:rFonts w:ascii="Arial" w:hAnsi="Arial"/>
            <w:w w:val="104"/>
            <w:sz w:val="19"/>
            <w:u w:val="single" w:color="006FC0"/>
          </w:rPr>
          <w:t>ic</w:t>
        </w:r>
        <w:r w:rsidR="00D70D28">
          <w:rPr>
            <w:rFonts w:ascii="Arial" w:hAnsi="Arial"/>
            <w:spacing w:val="-2"/>
            <w:w w:val="94"/>
            <w:sz w:val="19"/>
            <w:u w:val="single" w:color="006FC0"/>
          </w:rPr>
          <w:t>a</w:t>
        </w:r>
        <w:r w:rsidR="00D70D28">
          <w:rPr>
            <w:rFonts w:ascii="Arial" w:hAnsi="Arial"/>
            <w:w w:val="134"/>
            <w:sz w:val="19"/>
            <w:u w:val="single" w:color="006FC0"/>
          </w:rPr>
          <w:t>t</w:t>
        </w:r>
        <w:r w:rsidR="00D70D28">
          <w:rPr>
            <w:rFonts w:ascii="Arial" w:hAnsi="Arial"/>
            <w:w w:val="102"/>
            <w:sz w:val="19"/>
            <w:u w:val="single" w:color="006FC0"/>
          </w:rPr>
          <w:t>io</w:t>
        </w:r>
        <w:r w:rsidR="00D70D28">
          <w:rPr>
            <w:rFonts w:ascii="Arial" w:hAnsi="Arial"/>
            <w:spacing w:val="2"/>
            <w:w w:val="102"/>
            <w:sz w:val="19"/>
            <w:u w:val="single" w:color="006FC0"/>
          </w:rPr>
          <w:t>n</w:t>
        </w:r>
        <w:r w:rsidR="00D70D28">
          <w:rPr>
            <w:rFonts w:ascii="Arial" w:hAnsi="Arial"/>
            <w:spacing w:val="-2"/>
            <w:w w:val="119"/>
            <w:sz w:val="19"/>
            <w:u w:val="single" w:color="006FC0"/>
          </w:rPr>
          <w:t>-</w:t>
        </w:r>
        <w:r w:rsidR="00D70D28">
          <w:rPr>
            <w:rFonts w:ascii="Arial" w:hAnsi="Arial"/>
            <w:w w:val="99"/>
            <w:sz w:val="19"/>
            <w:u w:val="single" w:color="006FC0"/>
          </w:rPr>
          <w:t>c</w:t>
        </w:r>
        <w:r w:rsidR="00D70D28">
          <w:rPr>
            <w:rFonts w:ascii="Arial" w:hAnsi="Arial"/>
            <w:w w:val="96"/>
            <w:sz w:val="19"/>
            <w:u w:val="single" w:color="006FC0"/>
          </w:rPr>
          <w:t>e</w:t>
        </w:r>
        <w:r w:rsidR="00D70D28">
          <w:rPr>
            <w:rFonts w:ascii="Arial" w:hAnsi="Arial"/>
            <w:spacing w:val="-2"/>
            <w:w w:val="116"/>
            <w:sz w:val="19"/>
            <w:u w:val="single" w:color="006FC0"/>
          </w:rPr>
          <w:t>r</w:t>
        </w:r>
        <w:r w:rsidR="00D70D28">
          <w:rPr>
            <w:rFonts w:ascii="Arial" w:hAnsi="Arial"/>
            <w:w w:val="134"/>
            <w:sz w:val="19"/>
            <w:u w:val="single" w:color="006FC0"/>
          </w:rPr>
          <w:t>t</w:t>
        </w:r>
        <w:r w:rsidR="00D70D28">
          <w:rPr>
            <w:rFonts w:ascii="Arial" w:hAnsi="Arial"/>
            <w:w w:val="94"/>
            <w:sz w:val="19"/>
            <w:u w:val="single" w:color="006FC0"/>
          </w:rPr>
          <w:t>a</w:t>
        </w:r>
        <w:r w:rsidR="00D70D28">
          <w:rPr>
            <w:rFonts w:ascii="Arial" w:hAnsi="Arial"/>
            <w:spacing w:val="-3"/>
            <w:w w:val="114"/>
            <w:sz w:val="19"/>
            <w:u w:val="single" w:color="006FC0"/>
          </w:rPr>
          <w:t>i</w:t>
        </w:r>
        <w:r w:rsidR="00D70D28">
          <w:rPr>
            <w:rFonts w:ascii="Arial" w:hAnsi="Arial"/>
            <w:spacing w:val="1"/>
            <w:w w:val="101"/>
            <w:sz w:val="19"/>
            <w:u w:val="single" w:color="006FC0"/>
          </w:rPr>
          <w:t>n</w:t>
        </w:r>
        <w:r w:rsidR="00D70D28">
          <w:rPr>
            <w:rFonts w:ascii="Arial" w:hAnsi="Arial"/>
            <w:w w:val="97"/>
            <w:sz w:val="19"/>
            <w:u w:val="single" w:color="006FC0"/>
          </w:rPr>
          <w:t>sp</w:t>
        </w:r>
        <w:r w:rsidR="00D70D28">
          <w:rPr>
            <w:rFonts w:ascii="Arial" w:hAnsi="Arial"/>
            <w:w w:val="112"/>
            <w:sz w:val="19"/>
            <w:u w:val="single" w:color="006FC0"/>
          </w:rPr>
          <w:t>or</w:t>
        </w:r>
        <w:r w:rsidR="00D70D28">
          <w:rPr>
            <w:rFonts w:ascii="Arial" w:hAnsi="Arial"/>
            <w:spacing w:val="1"/>
            <w:w w:val="112"/>
            <w:sz w:val="19"/>
            <w:u w:val="single" w:color="006FC0"/>
          </w:rPr>
          <w:t>t</w:t>
        </w:r>
        <w:r w:rsidR="00D70D28">
          <w:rPr>
            <w:rFonts w:ascii="Arial" w:hAnsi="Arial"/>
            <w:spacing w:val="1"/>
            <w:w w:val="93"/>
            <w:sz w:val="19"/>
            <w:u w:val="single" w:color="006FC0"/>
          </w:rPr>
          <w:t>s</w:t>
        </w:r>
        <w:r w:rsidR="00D70D28">
          <w:rPr>
            <w:rFonts w:ascii="Arial" w:hAnsi="Arial"/>
            <w:w w:val="119"/>
            <w:sz w:val="19"/>
            <w:u w:val="single" w:color="006FC0"/>
          </w:rPr>
          <w:t>-</w:t>
        </w:r>
      </w:hyperlink>
      <w:r w:rsidR="00D70D28">
        <w:rPr>
          <w:rFonts w:ascii="Arial" w:hAnsi="Arial"/>
          <w:w w:val="119"/>
          <w:sz w:val="19"/>
        </w:rPr>
        <w:t xml:space="preserve"> </w:t>
      </w:r>
      <w:hyperlink r:id="rId244">
        <w:r w:rsidR="00D70D28">
          <w:rPr>
            <w:rFonts w:ascii="Arial" w:hAnsi="Arial"/>
            <w:w w:val="110"/>
            <w:sz w:val="19"/>
            <w:u w:val="single" w:color="006FC0"/>
          </w:rPr>
          <w:t>supplements-are-therapeutic-goods_0.pdf</w:t>
        </w:r>
      </w:hyperlink>
    </w:p>
    <w:p w:rsidR="007D76BB" w:rsidRDefault="007D76BB">
      <w:pPr>
        <w:spacing w:line="266" w:lineRule="auto"/>
        <w:rPr>
          <w:rFonts w:ascii="Arial" w:hAnsi="Arial"/>
          <w:sz w:val="19"/>
        </w:rPr>
        <w:sectPr w:rsidR="007D76BB">
          <w:pgSz w:w="11910" w:h="16850"/>
          <w:pgMar w:top="820" w:right="820" w:bottom="740" w:left="1220" w:header="459" w:footer="546" w:gutter="0"/>
          <w:cols w:space="720"/>
        </w:sect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spacing w:before="10"/>
        <w:rPr>
          <w:rFonts w:ascii="Arial"/>
        </w:rPr>
      </w:pPr>
    </w:p>
    <w:p w:rsidR="007D76BB" w:rsidRDefault="00D70D28">
      <w:pPr>
        <w:pStyle w:val="Heading4"/>
        <w:rPr>
          <w:b/>
        </w:rPr>
      </w:pPr>
      <w:bookmarkStart w:id="161" w:name="_bookmark87"/>
      <w:bookmarkEnd w:id="161"/>
      <w:r>
        <w:rPr>
          <w:b/>
          <w:color w:val="FFA200"/>
        </w:rPr>
        <w:t>ANNEX C – STAKEHOLDER CONSULTATION</w:t>
      </w:r>
    </w:p>
    <w:p w:rsidR="007D76BB" w:rsidRDefault="00D70D28">
      <w:pPr>
        <w:spacing w:before="192" w:after="11"/>
        <w:ind w:left="482"/>
        <w:rPr>
          <w:rFonts w:ascii="Arial"/>
          <w:sz w:val="20"/>
        </w:rPr>
      </w:pPr>
      <w:r>
        <w:rPr>
          <w:rFonts w:ascii="Arial"/>
          <w:color w:val="1F3863"/>
          <w:w w:val="105"/>
          <w:sz w:val="20"/>
        </w:rPr>
        <w:t>Industry Stakeholder Consultation</w:t>
      </w:r>
    </w:p>
    <w:tbl>
      <w:tblPr>
        <w:tblW w:w="0" w:type="auto"/>
        <w:tblInd w:w="4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06"/>
        <w:gridCol w:w="2806"/>
        <w:gridCol w:w="2806"/>
      </w:tblGrid>
      <w:tr w:rsidR="007D76BB">
        <w:trPr>
          <w:trHeight w:val="313"/>
        </w:trPr>
        <w:tc>
          <w:tcPr>
            <w:tcW w:w="2806" w:type="dxa"/>
            <w:shd w:val="clear" w:color="auto" w:fill="005386"/>
          </w:tcPr>
          <w:p w:rsidR="007D76BB" w:rsidRDefault="00D70D28">
            <w:pPr>
              <w:pStyle w:val="TableParagraph"/>
              <w:spacing w:before="13"/>
              <w:ind w:left="189"/>
              <w:rPr>
                <w:rFonts w:ascii="Arial"/>
                <w:sz w:val="19"/>
              </w:rPr>
            </w:pPr>
            <w:r>
              <w:rPr>
                <w:rFonts w:ascii="Arial"/>
                <w:color w:val="FFFFFF"/>
                <w:sz w:val="19"/>
              </w:rPr>
              <w:t>Stakeholder Company Name</w:t>
            </w:r>
          </w:p>
        </w:tc>
        <w:tc>
          <w:tcPr>
            <w:tcW w:w="2806" w:type="dxa"/>
            <w:shd w:val="clear" w:color="auto" w:fill="005386"/>
          </w:tcPr>
          <w:p w:rsidR="007D76BB" w:rsidRDefault="00D70D28">
            <w:pPr>
              <w:pStyle w:val="TableParagraph"/>
              <w:spacing w:before="13"/>
              <w:ind w:left="370" w:right="370"/>
              <w:jc w:val="center"/>
              <w:rPr>
                <w:rFonts w:ascii="Arial"/>
                <w:sz w:val="19"/>
              </w:rPr>
            </w:pPr>
            <w:r>
              <w:rPr>
                <w:rFonts w:ascii="Arial"/>
                <w:color w:val="FFFFFF"/>
                <w:w w:val="105"/>
                <w:sz w:val="19"/>
              </w:rPr>
              <w:t>Industry Group</w:t>
            </w:r>
          </w:p>
        </w:tc>
        <w:tc>
          <w:tcPr>
            <w:tcW w:w="2806" w:type="dxa"/>
            <w:shd w:val="clear" w:color="auto" w:fill="005386"/>
          </w:tcPr>
          <w:p w:rsidR="007D76BB" w:rsidRDefault="00D70D28">
            <w:pPr>
              <w:pStyle w:val="TableParagraph"/>
              <w:spacing w:before="13"/>
              <w:ind w:left="370" w:right="370"/>
              <w:jc w:val="center"/>
              <w:rPr>
                <w:rFonts w:ascii="Arial"/>
                <w:sz w:val="19"/>
              </w:rPr>
            </w:pPr>
            <w:r>
              <w:rPr>
                <w:rFonts w:ascii="Arial"/>
                <w:color w:val="FFFFFF"/>
                <w:w w:val="105"/>
                <w:sz w:val="19"/>
              </w:rPr>
              <w:t>Consultation Type</w:t>
            </w:r>
          </w:p>
        </w:tc>
      </w:tr>
      <w:tr w:rsidR="007D76BB">
        <w:trPr>
          <w:trHeight w:val="270"/>
        </w:trPr>
        <w:tc>
          <w:tcPr>
            <w:tcW w:w="2806" w:type="dxa"/>
          </w:tcPr>
          <w:p w:rsidR="007D76BB" w:rsidRDefault="00D70D28">
            <w:pPr>
              <w:pStyle w:val="TableParagraph"/>
              <w:spacing w:before="16"/>
              <w:ind w:left="6"/>
              <w:rPr>
                <w:rFonts w:ascii="Arial"/>
                <w:sz w:val="19"/>
              </w:rPr>
            </w:pPr>
            <w:r>
              <w:rPr>
                <w:rFonts w:ascii="Arial"/>
                <w:sz w:val="19"/>
              </w:rPr>
              <w:t>ATP Science</w:t>
            </w:r>
          </w:p>
        </w:tc>
        <w:tc>
          <w:tcPr>
            <w:tcW w:w="2806" w:type="dxa"/>
          </w:tcPr>
          <w:p w:rsidR="007D76BB" w:rsidRDefault="00D70D28">
            <w:pPr>
              <w:pStyle w:val="TableParagraph"/>
              <w:spacing w:before="16"/>
              <w:ind w:left="370" w:right="370"/>
              <w:jc w:val="center"/>
              <w:rPr>
                <w:rFonts w:ascii="Arial"/>
                <w:sz w:val="19"/>
              </w:rPr>
            </w:pPr>
            <w:r>
              <w:rPr>
                <w:rFonts w:ascii="Arial"/>
                <w:w w:val="105"/>
                <w:sz w:val="19"/>
              </w:rPr>
              <w:t>Manufacturer/Sponsor</w:t>
            </w:r>
          </w:p>
        </w:tc>
        <w:tc>
          <w:tcPr>
            <w:tcW w:w="2806" w:type="dxa"/>
          </w:tcPr>
          <w:p w:rsidR="007D76BB" w:rsidRDefault="00D70D28">
            <w:pPr>
              <w:pStyle w:val="TableParagraph"/>
              <w:spacing w:before="16"/>
              <w:ind w:left="370" w:right="369"/>
              <w:jc w:val="center"/>
              <w:rPr>
                <w:rFonts w:ascii="Arial"/>
                <w:sz w:val="19"/>
              </w:rPr>
            </w:pPr>
            <w:r>
              <w:rPr>
                <w:rFonts w:ascii="Arial"/>
                <w:w w:val="105"/>
                <w:sz w:val="19"/>
              </w:rPr>
              <w:t>Face-to-face</w:t>
            </w:r>
          </w:p>
        </w:tc>
      </w:tr>
      <w:tr w:rsidR="007D76BB">
        <w:trPr>
          <w:trHeight w:val="481"/>
        </w:trPr>
        <w:tc>
          <w:tcPr>
            <w:tcW w:w="2806" w:type="dxa"/>
          </w:tcPr>
          <w:p w:rsidR="007D76BB" w:rsidRDefault="00D70D28">
            <w:pPr>
              <w:pStyle w:val="TableParagraph"/>
              <w:spacing w:before="13"/>
              <w:ind w:left="6"/>
              <w:rPr>
                <w:rFonts w:ascii="Arial"/>
                <w:sz w:val="19"/>
              </w:rPr>
            </w:pPr>
            <w:r>
              <w:rPr>
                <w:rFonts w:ascii="Arial"/>
                <w:w w:val="105"/>
                <w:sz w:val="19"/>
              </w:rPr>
              <w:t>Australian Sports Nutrition</w:t>
            </w:r>
          </w:p>
          <w:p w:rsidR="007D76BB" w:rsidRDefault="00D70D28">
            <w:pPr>
              <w:pStyle w:val="TableParagraph"/>
              <w:spacing w:before="24" w:line="206" w:lineRule="exact"/>
              <w:ind w:left="6"/>
              <w:rPr>
                <w:rFonts w:ascii="Arial"/>
                <w:sz w:val="19"/>
              </w:rPr>
            </w:pPr>
            <w:r>
              <w:rPr>
                <w:rFonts w:ascii="Arial"/>
                <w:sz w:val="19"/>
              </w:rPr>
              <w:t>(ASN)</w:t>
            </w:r>
          </w:p>
        </w:tc>
        <w:tc>
          <w:tcPr>
            <w:tcW w:w="2806" w:type="dxa"/>
          </w:tcPr>
          <w:p w:rsidR="007D76BB" w:rsidRDefault="00D70D28">
            <w:pPr>
              <w:pStyle w:val="TableParagraph"/>
              <w:spacing w:before="13"/>
              <w:ind w:left="370" w:right="371"/>
              <w:jc w:val="center"/>
              <w:rPr>
                <w:rFonts w:ascii="Arial"/>
                <w:sz w:val="19"/>
              </w:rPr>
            </w:pPr>
            <w:r>
              <w:rPr>
                <w:rFonts w:ascii="Arial"/>
                <w:w w:val="110"/>
                <w:sz w:val="19"/>
              </w:rPr>
              <w:t>Retailer/Manufacturer</w:t>
            </w:r>
          </w:p>
        </w:tc>
        <w:tc>
          <w:tcPr>
            <w:tcW w:w="2806" w:type="dxa"/>
          </w:tcPr>
          <w:p w:rsidR="007D76BB" w:rsidRDefault="00D70D28">
            <w:pPr>
              <w:pStyle w:val="TableParagraph"/>
              <w:spacing w:before="13"/>
              <w:ind w:left="370" w:right="370"/>
              <w:jc w:val="center"/>
              <w:rPr>
                <w:rFonts w:ascii="Arial"/>
                <w:sz w:val="19"/>
              </w:rPr>
            </w:pPr>
            <w:r>
              <w:rPr>
                <w:rFonts w:ascii="Arial"/>
                <w:sz w:val="19"/>
              </w:rPr>
              <w:t>Telephone</w:t>
            </w:r>
          </w:p>
        </w:tc>
      </w:tr>
      <w:tr w:rsidR="007D76BB">
        <w:trPr>
          <w:trHeight w:val="481"/>
        </w:trPr>
        <w:tc>
          <w:tcPr>
            <w:tcW w:w="2806" w:type="dxa"/>
          </w:tcPr>
          <w:p w:rsidR="007D76BB" w:rsidRDefault="00D70D28">
            <w:pPr>
              <w:pStyle w:val="TableParagraph"/>
              <w:spacing w:before="13"/>
              <w:ind w:left="6"/>
              <w:rPr>
                <w:rFonts w:ascii="Arial"/>
                <w:sz w:val="19"/>
              </w:rPr>
            </w:pPr>
            <w:r>
              <w:rPr>
                <w:rFonts w:ascii="Arial"/>
                <w:w w:val="105"/>
                <w:sz w:val="19"/>
              </w:rPr>
              <w:t>Consumer Healthcare Products</w:t>
            </w:r>
          </w:p>
          <w:p w:rsidR="007D76BB" w:rsidRDefault="00D70D28">
            <w:pPr>
              <w:pStyle w:val="TableParagraph"/>
              <w:spacing w:before="22" w:line="208" w:lineRule="exact"/>
              <w:ind w:left="6"/>
              <w:rPr>
                <w:rFonts w:ascii="Arial"/>
                <w:sz w:val="19"/>
              </w:rPr>
            </w:pPr>
            <w:r>
              <w:rPr>
                <w:rFonts w:ascii="Arial"/>
                <w:w w:val="105"/>
                <w:sz w:val="19"/>
              </w:rPr>
              <w:t>Australia (CHP Australia)</w:t>
            </w:r>
          </w:p>
        </w:tc>
        <w:tc>
          <w:tcPr>
            <w:tcW w:w="2806" w:type="dxa"/>
          </w:tcPr>
          <w:p w:rsidR="007D76BB" w:rsidRDefault="00D70D28">
            <w:pPr>
              <w:pStyle w:val="TableParagraph"/>
              <w:spacing w:before="13"/>
              <w:ind w:left="370" w:right="371"/>
              <w:jc w:val="center"/>
              <w:rPr>
                <w:rFonts w:ascii="Arial"/>
                <w:sz w:val="19"/>
              </w:rPr>
            </w:pPr>
            <w:r>
              <w:rPr>
                <w:rFonts w:ascii="Arial"/>
                <w:w w:val="105"/>
                <w:sz w:val="19"/>
              </w:rPr>
              <w:t>Industry Body</w:t>
            </w:r>
          </w:p>
        </w:tc>
        <w:tc>
          <w:tcPr>
            <w:tcW w:w="2806" w:type="dxa"/>
          </w:tcPr>
          <w:p w:rsidR="007D76BB" w:rsidRDefault="00D70D28">
            <w:pPr>
              <w:pStyle w:val="TableParagraph"/>
              <w:spacing w:before="13"/>
              <w:ind w:left="370" w:right="370"/>
              <w:jc w:val="center"/>
              <w:rPr>
                <w:rFonts w:ascii="Arial"/>
                <w:sz w:val="19"/>
              </w:rPr>
            </w:pPr>
            <w:r>
              <w:rPr>
                <w:rFonts w:ascii="Arial"/>
                <w:sz w:val="19"/>
              </w:rPr>
              <w:t>Telephone</w:t>
            </w:r>
          </w:p>
        </w:tc>
      </w:tr>
      <w:tr w:rsidR="007D76BB">
        <w:trPr>
          <w:trHeight w:val="1238"/>
        </w:trPr>
        <w:tc>
          <w:tcPr>
            <w:tcW w:w="2806" w:type="dxa"/>
          </w:tcPr>
          <w:p w:rsidR="007D76BB" w:rsidRDefault="00D70D28">
            <w:pPr>
              <w:pStyle w:val="TableParagraph"/>
              <w:spacing w:before="13"/>
              <w:ind w:left="6"/>
              <w:rPr>
                <w:rFonts w:ascii="Arial"/>
                <w:sz w:val="19"/>
              </w:rPr>
            </w:pPr>
            <w:r>
              <w:rPr>
                <w:rFonts w:ascii="Arial"/>
                <w:w w:val="105"/>
                <w:sz w:val="19"/>
              </w:rPr>
              <w:t>Dieticians Association Australia</w:t>
            </w:r>
          </w:p>
        </w:tc>
        <w:tc>
          <w:tcPr>
            <w:tcW w:w="2806" w:type="dxa"/>
          </w:tcPr>
          <w:p w:rsidR="007D76BB" w:rsidRDefault="00D70D28">
            <w:pPr>
              <w:pStyle w:val="TableParagraph"/>
              <w:spacing w:before="13"/>
              <w:ind w:left="370" w:right="371"/>
              <w:jc w:val="center"/>
              <w:rPr>
                <w:rFonts w:ascii="Arial"/>
                <w:sz w:val="19"/>
              </w:rPr>
            </w:pPr>
            <w:r>
              <w:rPr>
                <w:rFonts w:ascii="Arial"/>
                <w:w w:val="105"/>
                <w:sz w:val="19"/>
              </w:rPr>
              <w:t>Industry Body</w:t>
            </w:r>
          </w:p>
          <w:p w:rsidR="007D76BB" w:rsidRDefault="007D76BB">
            <w:pPr>
              <w:pStyle w:val="TableParagraph"/>
              <w:rPr>
                <w:rFonts w:ascii="Arial"/>
                <w:sz w:val="24"/>
              </w:rPr>
            </w:pPr>
          </w:p>
          <w:p w:rsidR="007D76BB" w:rsidRDefault="00D70D28">
            <w:pPr>
              <w:pStyle w:val="TableParagraph"/>
              <w:spacing w:line="240" w:lineRule="atLeast"/>
              <w:ind w:left="139" w:right="141" w:hanging="2"/>
              <w:jc w:val="center"/>
              <w:rPr>
                <w:rFonts w:ascii="Arial"/>
                <w:sz w:val="19"/>
              </w:rPr>
            </w:pPr>
            <w:r>
              <w:rPr>
                <w:rFonts w:ascii="Arial"/>
                <w:w w:val="105"/>
                <w:sz w:val="19"/>
              </w:rPr>
              <w:t>Note:</w:t>
            </w:r>
            <w:r>
              <w:rPr>
                <w:rFonts w:ascii="Arial"/>
                <w:spacing w:val="-40"/>
                <w:w w:val="105"/>
                <w:sz w:val="19"/>
              </w:rPr>
              <w:t xml:space="preserve"> </w:t>
            </w:r>
            <w:r>
              <w:rPr>
                <w:rFonts w:ascii="Arial"/>
                <w:w w:val="105"/>
                <w:sz w:val="19"/>
              </w:rPr>
              <w:t>Interviewee</w:t>
            </w:r>
            <w:r>
              <w:rPr>
                <w:rFonts w:ascii="Arial"/>
                <w:spacing w:val="-40"/>
                <w:w w:val="105"/>
                <w:sz w:val="19"/>
              </w:rPr>
              <w:t xml:space="preserve"> </w:t>
            </w:r>
            <w:r>
              <w:rPr>
                <w:rFonts w:ascii="Arial"/>
                <w:w w:val="105"/>
                <w:sz w:val="19"/>
              </w:rPr>
              <w:t>was</w:t>
            </w:r>
            <w:r>
              <w:rPr>
                <w:rFonts w:ascii="Arial"/>
                <w:spacing w:val="-41"/>
                <w:w w:val="105"/>
                <w:sz w:val="19"/>
              </w:rPr>
              <w:t xml:space="preserve"> </w:t>
            </w:r>
            <w:r>
              <w:rPr>
                <w:rFonts w:ascii="Arial"/>
                <w:w w:val="105"/>
                <w:sz w:val="19"/>
              </w:rPr>
              <w:t>also</w:t>
            </w:r>
            <w:r>
              <w:rPr>
                <w:rFonts w:ascii="Arial"/>
                <w:spacing w:val="-40"/>
                <w:w w:val="105"/>
                <w:sz w:val="19"/>
              </w:rPr>
              <w:t xml:space="preserve"> </w:t>
            </w:r>
            <w:r>
              <w:rPr>
                <w:rFonts w:ascii="Arial"/>
                <w:w w:val="105"/>
                <w:sz w:val="19"/>
              </w:rPr>
              <w:t xml:space="preserve">an </w:t>
            </w:r>
            <w:r>
              <w:rPr>
                <w:rFonts w:ascii="Arial"/>
                <w:sz w:val="19"/>
              </w:rPr>
              <w:t xml:space="preserve">independent Food Regulation </w:t>
            </w:r>
            <w:r>
              <w:rPr>
                <w:rFonts w:ascii="Arial"/>
                <w:w w:val="105"/>
                <w:sz w:val="19"/>
              </w:rPr>
              <w:t>Consultant</w:t>
            </w:r>
          </w:p>
        </w:tc>
        <w:tc>
          <w:tcPr>
            <w:tcW w:w="2806" w:type="dxa"/>
          </w:tcPr>
          <w:p w:rsidR="007D76BB" w:rsidRDefault="00D70D28">
            <w:pPr>
              <w:pStyle w:val="TableParagraph"/>
              <w:spacing w:before="13"/>
              <w:ind w:left="370" w:right="369"/>
              <w:jc w:val="center"/>
              <w:rPr>
                <w:rFonts w:ascii="Arial"/>
                <w:sz w:val="19"/>
              </w:rPr>
            </w:pPr>
            <w:r>
              <w:rPr>
                <w:rFonts w:ascii="Arial"/>
                <w:w w:val="105"/>
                <w:sz w:val="19"/>
              </w:rPr>
              <w:t>Face-to-face</w:t>
            </w:r>
          </w:p>
        </w:tc>
      </w:tr>
      <w:tr w:rsidR="007D76BB">
        <w:trPr>
          <w:trHeight w:val="268"/>
        </w:trPr>
        <w:tc>
          <w:tcPr>
            <w:tcW w:w="2806" w:type="dxa"/>
          </w:tcPr>
          <w:p w:rsidR="007D76BB" w:rsidRDefault="00D70D28">
            <w:pPr>
              <w:pStyle w:val="TableParagraph"/>
              <w:spacing w:before="13"/>
              <w:ind w:left="6"/>
              <w:rPr>
                <w:rFonts w:ascii="Arial"/>
                <w:sz w:val="19"/>
              </w:rPr>
            </w:pPr>
            <w:proofErr w:type="spellStart"/>
            <w:r>
              <w:rPr>
                <w:rFonts w:ascii="Arial"/>
                <w:sz w:val="19"/>
              </w:rPr>
              <w:t>Metagenics</w:t>
            </w:r>
            <w:proofErr w:type="spellEnd"/>
          </w:p>
        </w:tc>
        <w:tc>
          <w:tcPr>
            <w:tcW w:w="2806" w:type="dxa"/>
          </w:tcPr>
          <w:p w:rsidR="007D76BB" w:rsidRDefault="00D70D28">
            <w:pPr>
              <w:pStyle w:val="TableParagraph"/>
              <w:spacing w:before="13"/>
              <w:ind w:left="370" w:right="370"/>
              <w:jc w:val="center"/>
              <w:rPr>
                <w:rFonts w:ascii="Arial"/>
                <w:sz w:val="19"/>
              </w:rPr>
            </w:pPr>
            <w:r>
              <w:rPr>
                <w:rFonts w:ascii="Arial"/>
                <w:w w:val="105"/>
                <w:sz w:val="19"/>
              </w:rPr>
              <w:t>Manufacturer/Sponsor</w:t>
            </w:r>
          </w:p>
        </w:tc>
        <w:tc>
          <w:tcPr>
            <w:tcW w:w="2806" w:type="dxa"/>
          </w:tcPr>
          <w:p w:rsidR="007D76BB" w:rsidRDefault="00D70D28">
            <w:pPr>
              <w:pStyle w:val="TableParagraph"/>
              <w:spacing w:before="13"/>
              <w:ind w:left="370" w:right="369"/>
              <w:jc w:val="center"/>
              <w:rPr>
                <w:rFonts w:ascii="Arial"/>
                <w:sz w:val="19"/>
              </w:rPr>
            </w:pPr>
            <w:r>
              <w:rPr>
                <w:rFonts w:ascii="Arial"/>
                <w:w w:val="105"/>
                <w:sz w:val="19"/>
              </w:rPr>
              <w:t>Face-to-face</w:t>
            </w:r>
          </w:p>
        </w:tc>
      </w:tr>
      <w:tr w:rsidR="007D76BB">
        <w:trPr>
          <w:trHeight w:val="270"/>
        </w:trPr>
        <w:tc>
          <w:tcPr>
            <w:tcW w:w="2806" w:type="dxa"/>
          </w:tcPr>
          <w:p w:rsidR="007D76BB" w:rsidRDefault="00D70D28">
            <w:pPr>
              <w:pStyle w:val="TableParagraph"/>
              <w:spacing w:before="16"/>
              <w:ind w:left="6"/>
              <w:rPr>
                <w:rFonts w:ascii="Arial"/>
                <w:sz w:val="19"/>
              </w:rPr>
            </w:pPr>
            <w:proofErr w:type="spellStart"/>
            <w:r>
              <w:rPr>
                <w:rFonts w:ascii="Arial"/>
                <w:w w:val="110"/>
                <w:sz w:val="19"/>
              </w:rPr>
              <w:t>Morlife</w:t>
            </w:r>
            <w:proofErr w:type="spellEnd"/>
          </w:p>
        </w:tc>
        <w:tc>
          <w:tcPr>
            <w:tcW w:w="2806" w:type="dxa"/>
          </w:tcPr>
          <w:p w:rsidR="007D76BB" w:rsidRDefault="00D70D28">
            <w:pPr>
              <w:pStyle w:val="TableParagraph"/>
              <w:spacing w:before="16"/>
              <w:ind w:left="370" w:right="371"/>
              <w:jc w:val="center"/>
              <w:rPr>
                <w:rFonts w:ascii="Arial"/>
                <w:sz w:val="19"/>
              </w:rPr>
            </w:pPr>
            <w:r>
              <w:rPr>
                <w:rFonts w:ascii="Arial"/>
                <w:w w:val="105"/>
                <w:sz w:val="19"/>
              </w:rPr>
              <w:t>Manufacturer</w:t>
            </w:r>
          </w:p>
        </w:tc>
        <w:tc>
          <w:tcPr>
            <w:tcW w:w="2806" w:type="dxa"/>
          </w:tcPr>
          <w:p w:rsidR="007D76BB" w:rsidRDefault="00D70D28">
            <w:pPr>
              <w:pStyle w:val="TableParagraph"/>
              <w:spacing w:before="16"/>
              <w:ind w:left="370" w:right="371"/>
              <w:jc w:val="center"/>
              <w:rPr>
                <w:rFonts w:ascii="Arial"/>
                <w:sz w:val="19"/>
              </w:rPr>
            </w:pPr>
            <w:r>
              <w:rPr>
                <w:rFonts w:ascii="Arial"/>
                <w:sz w:val="19"/>
              </w:rPr>
              <w:t>Face-face</w:t>
            </w:r>
          </w:p>
        </w:tc>
      </w:tr>
      <w:tr w:rsidR="007D76BB">
        <w:trPr>
          <w:trHeight w:val="270"/>
        </w:trPr>
        <w:tc>
          <w:tcPr>
            <w:tcW w:w="2806" w:type="dxa"/>
          </w:tcPr>
          <w:p w:rsidR="007D76BB" w:rsidRDefault="00D70D28">
            <w:pPr>
              <w:pStyle w:val="TableParagraph"/>
              <w:spacing w:before="13"/>
              <w:ind w:left="6"/>
              <w:rPr>
                <w:rFonts w:ascii="Arial"/>
                <w:sz w:val="19"/>
              </w:rPr>
            </w:pPr>
            <w:r>
              <w:rPr>
                <w:rFonts w:ascii="Arial"/>
                <w:w w:val="110"/>
                <w:sz w:val="19"/>
              </w:rPr>
              <w:t>Natural Vitality Australia</w:t>
            </w:r>
          </w:p>
        </w:tc>
        <w:tc>
          <w:tcPr>
            <w:tcW w:w="2806" w:type="dxa"/>
          </w:tcPr>
          <w:p w:rsidR="007D76BB" w:rsidRDefault="00D70D28">
            <w:pPr>
              <w:pStyle w:val="TableParagraph"/>
              <w:spacing w:before="13"/>
              <w:ind w:left="370" w:right="370"/>
              <w:jc w:val="center"/>
              <w:rPr>
                <w:rFonts w:ascii="Arial"/>
                <w:sz w:val="19"/>
              </w:rPr>
            </w:pPr>
            <w:r>
              <w:rPr>
                <w:rFonts w:ascii="Arial"/>
                <w:w w:val="105"/>
                <w:sz w:val="19"/>
              </w:rPr>
              <w:t>Manufacturer/Sponsor</w:t>
            </w:r>
          </w:p>
        </w:tc>
        <w:tc>
          <w:tcPr>
            <w:tcW w:w="2806" w:type="dxa"/>
          </w:tcPr>
          <w:p w:rsidR="007D76BB" w:rsidRDefault="00D70D28">
            <w:pPr>
              <w:pStyle w:val="TableParagraph"/>
              <w:spacing w:before="13"/>
              <w:ind w:left="370" w:right="370"/>
              <w:jc w:val="center"/>
              <w:rPr>
                <w:rFonts w:ascii="Arial"/>
                <w:sz w:val="19"/>
              </w:rPr>
            </w:pPr>
            <w:r>
              <w:rPr>
                <w:rFonts w:ascii="Arial"/>
                <w:sz w:val="19"/>
              </w:rPr>
              <w:t>Telephone</w:t>
            </w:r>
          </w:p>
        </w:tc>
      </w:tr>
      <w:tr w:rsidR="007D76BB">
        <w:trPr>
          <w:trHeight w:val="270"/>
        </w:trPr>
        <w:tc>
          <w:tcPr>
            <w:tcW w:w="2806" w:type="dxa"/>
          </w:tcPr>
          <w:p w:rsidR="007D76BB" w:rsidRDefault="00D70D28">
            <w:pPr>
              <w:pStyle w:val="TableParagraph"/>
              <w:spacing w:before="13"/>
              <w:ind w:left="6"/>
              <w:rPr>
                <w:rFonts w:ascii="Arial"/>
                <w:sz w:val="19"/>
              </w:rPr>
            </w:pPr>
            <w:r>
              <w:rPr>
                <w:rFonts w:ascii="Arial"/>
                <w:w w:val="105"/>
                <w:sz w:val="19"/>
              </w:rPr>
              <w:t>Nutrition Warehouse</w:t>
            </w:r>
          </w:p>
        </w:tc>
        <w:tc>
          <w:tcPr>
            <w:tcW w:w="2806" w:type="dxa"/>
          </w:tcPr>
          <w:p w:rsidR="007D76BB" w:rsidRDefault="00D70D28">
            <w:pPr>
              <w:pStyle w:val="TableParagraph"/>
              <w:spacing w:before="13"/>
              <w:ind w:left="370" w:right="370"/>
              <w:jc w:val="center"/>
              <w:rPr>
                <w:rFonts w:ascii="Arial"/>
                <w:sz w:val="19"/>
              </w:rPr>
            </w:pPr>
            <w:r>
              <w:rPr>
                <w:rFonts w:ascii="Arial"/>
                <w:w w:val="105"/>
                <w:sz w:val="19"/>
              </w:rPr>
              <w:t>Retailer/Brand Owner</w:t>
            </w:r>
          </w:p>
        </w:tc>
        <w:tc>
          <w:tcPr>
            <w:tcW w:w="2806" w:type="dxa"/>
          </w:tcPr>
          <w:p w:rsidR="007D76BB" w:rsidRDefault="00D70D28">
            <w:pPr>
              <w:pStyle w:val="TableParagraph"/>
              <w:spacing w:before="13"/>
              <w:ind w:left="370" w:right="369"/>
              <w:jc w:val="center"/>
              <w:rPr>
                <w:rFonts w:ascii="Arial"/>
                <w:sz w:val="19"/>
              </w:rPr>
            </w:pPr>
            <w:r>
              <w:rPr>
                <w:rFonts w:ascii="Arial"/>
                <w:w w:val="105"/>
                <w:sz w:val="19"/>
              </w:rPr>
              <w:t>Face-to-face</w:t>
            </w:r>
          </w:p>
        </w:tc>
      </w:tr>
      <w:tr w:rsidR="007D76BB">
        <w:trPr>
          <w:trHeight w:val="268"/>
        </w:trPr>
        <w:tc>
          <w:tcPr>
            <w:tcW w:w="2806" w:type="dxa"/>
          </w:tcPr>
          <w:p w:rsidR="007D76BB" w:rsidRDefault="00D70D28">
            <w:pPr>
              <w:pStyle w:val="TableParagraph"/>
              <w:spacing w:before="13"/>
              <w:ind w:left="6"/>
              <w:rPr>
                <w:rFonts w:ascii="Arial"/>
                <w:sz w:val="19"/>
              </w:rPr>
            </w:pPr>
            <w:r>
              <w:rPr>
                <w:rFonts w:ascii="Arial"/>
                <w:sz w:val="19"/>
              </w:rPr>
              <w:t>Pharmacare</w:t>
            </w:r>
          </w:p>
        </w:tc>
        <w:tc>
          <w:tcPr>
            <w:tcW w:w="2806" w:type="dxa"/>
          </w:tcPr>
          <w:p w:rsidR="007D76BB" w:rsidRDefault="00D70D28">
            <w:pPr>
              <w:pStyle w:val="TableParagraph"/>
              <w:spacing w:before="13"/>
              <w:ind w:left="370" w:right="370"/>
              <w:jc w:val="center"/>
              <w:rPr>
                <w:rFonts w:ascii="Arial"/>
                <w:sz w:val="19"/>
              </w:rPr>
            </w:pPr>
            <w:r>
              <w:rPr>
                <w:rFonts w:ascii="Arial"/>
                <w:w w:val="105"/>
                <w:sz w:val="19"/>
              </w:rPr>
              <w:t>Manufacturer/Sponsor</w:t>
            </w:r>
          </w:p>
        </w:tc>
        <w:tc>
          <w:tcPr>
            <w:tcW w:w="2806" w:type="dxa"/>
          </w:tcPr>
          <w:p w:rsidR="007D76BB" w:rsidRDefault="00D70D28">
            <w:pPr>
              <w:pStyle w:val="TableParagraph"/>
              <w:spacing w:before="13"/>
              <w:ind w:left="370" w:right="369"/>
              <w:jc w:val="center"/>
              <w:rPr>
                <w:rFonts w:ascii="Arial"/>
                <w:sz w:val="19"/>
              </w:rPr>
            </w:pPr>
            <w:r>
              <w:rPr>
                <w:rFonts w:ascii="Arial"/>
                <w:w w:val="105"/>
                <w:sz w:val="19"/>
              </w:rPr>
              <w:t>Face-to-face</w:t>
            </w:r>
          </w:p>
        </w:tc>
      </w:tr>
      <w:tr w:rsidR="007D76BB">
        <w:trPr>
          <w:trHeight w:val="481"/>
        </w:trPr>
        <w:tc>
          <w:tcPr>
            <w:tcW w:w="2806" w:type="dxa"/>
          </w:tcPr>
          <w:p w:rsidR="007D76BB" w:rsidRDefault="00D70D28">
            <w:pPr>
              <w:pStyle w:val="TableParagraph"/>
              <w:spacing w:before="16"/>
              <w:ind w:left="6"/>
              <w:rPr>
                <w:rFonts w:ascii="Arial"/>
                <w:sz w:val="19"/>
              </w:rPr>
            </w:pPr>
            <w:r>
              <w:rPr>
                <w:rFonts w:ascii="Arial"/>
                <w:w w:val="105"/>
                <w:sz w:val="19"/>
              </w:rPr>
              <w:t>Purvis Regulatory Consulting</w:t>
            </w:r>
          </w:p>
        </w:tc>
        <w:tc>
          <w:tcPr>
            <w:tcW w:w="2806" w:type="dxa"/>
          </w:tcPr>
          <w:p w:rsidR="007D76BB" w:rsidRDefault="00D70D28">
            <w:pPr>
              <w:pStyle w:val="TableParagraph"/>
              <w:spacing w:before="16"/>
              <w:ind w:left="370" w:right="371"/>
              <w:jc w:val="center"/>
              <w:rPr>
                <w:rFonts w:ascii="Arial"/>
                <w:sz w:val="19"/>
              </w:rPr>
            </w:pPr>
            <w:r>
              <w:rPr>
                <w:rFonts w:ascii="Arial"/>
                <w:w w:val="105"/>
                <w:sz w:val="19"/>
              </w:rPr>
              <w:t>Regulatory Consultant</w:t>
            </w:r>
          </w:p>
        </w:tc>
        <w:tc>
          <w:tcPr>
            <w:tcW w:w="2806" w:type="dxa"/>
          </w:tcPr>
          <w:p w:rsidR="007D76BB" w:rsidRDefault="00D70D28">
            <w:pPr>
              <w:pStyle w:val="TableParagraph"/>
              <w:spacing w:before="2" w:line="240" w:lineRule="exact"/>
              <w:ind w:left="707" w:hanging="137"/>
              <w:rPr>
                <w:rFonts w:ascii="Arial"/>
                <w:sz w:val="19"/>
              </w:rPr>
            </w:pPr>
            <w:r>
              <w:rPr>
                <w:rFonts w:ascii="Arial"/>
                <w:w w:val="105"/>
                <w:sz w:val="19"/>
              </w:rPr>
              <w:t>Face-to-face/email correspondence</w:t>
            </w:r>
          </w:p>
        </w:tc>
      </w:tr>
    </w:tbl>
    <w:p w:rsidR="007D76BB" w:rsidRDefault="007D76BB">
      <w:pPr>
        <w:pStyle w:val="BodyText"/>
        <w:spacing w:before="3"/>
        <w:rPr>
          <w:rFonts w:ascii="Arial"/>
        </w:rPr>
      </w:pPr>
    </w:p>
    <w:p w:rsidR="007D76BB" w:rsidRDefault="00D70D28">
      <w:pPr>
        <w:spacing w:after="8"/>
        <w:ind w:left="482"/>
        <w:rPr>
          <w:rFonts w:ascii="Arial"/>
          <w:sz w:val="20"/>
        </w:rPr>
      </w:pPr>
      <w:r>
        <w:rPr>
          <w:rFonts w:ascii="Arial"/>
          <w:color w:val="1F3863"/>
          <w:w w:val="105"/>
          <w:sz w:val="20"/>
        </w:rPr>
        <w:t>Government Stakeholder Consultation</w:t>
      </w:r>
    </w:p>
    <w:tbl>
      <w:tblPr>
        <w:tblW w:w="0" w:type="auto"/>
        <w:tblInd w:w="4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17"/>
        <w:gridCol w:w="4215"/>
      </w:tblGrid>
      <w:tr w:rsidR="007D76BB">
        <w:trPr>
          <w:trHeight w:val="270"/>
        </w:trPr>
        <w:tc>
          <w:tcPr>
            <w:tcW w:w="4217" w:type="dxa"/>
            <w:shd w:val="clear" w:color="auto" w:fill="005386"/>
          </w:tcPr>
          <w:p w:rsidR="007D76BB" w:rsidRDefault="00D70D28">
            <w:pPr>
              <w:pStyle w:val="TableParagraph"/>
              <w:spacing w:before="13"/>
              <w:ind w:left="1019"/>
              <w:rPr>
                <w:rFonts w:ascii="Arial"/>
                <w:sz w:val="19"/>
              </w:rPr>
            </w:pPr>
            <w:r>
              <w:rPr>
                <w:rFonts w:ascii="Arial"/>
                <w:color w:val="FFFFFF"/>
                <w:w w:val="105"/>
                <w:sz w:val="19"/>
              </w:rPr>
              <w:t xml:space="preserve">Stakeholder </w:t>
            </w:r>
            <w:proofErr w:type="spellStart"/>
            <w:r>
              <w:rPr>
                <w:rFonts w:ascii="Arial"/>
                <w:color w:val="FFFFFF"/>
                <w:w w:val="105"/>
                <w:sz w:val="19"/>
              </w:rPr>
              <w:t>Organisation</w:t>
            </w:r>
            <w:proofErr w:type="spellEnd"/>
          </w:p>
        </w:tc>
        <w:tc>
          <w:tcPr>
            <w:tcW w:w="4215" w:type="dxa"/>
            <w:shd w:val="clear" w:color="auto" w:fill="005386"/>
          </w:tcPr>
          <w:p w:rsidR="007D76BB" w:rsidRDefault="00D70D28">
            <w:pPr>
              <w:pStyle w:val="TableParagraph"/>
              <w:spacing w:before="13"/>
              <w:ind w:left="1276" w:right="1276"/>
              <w:jc w:val="center"/>
              <w:rPr>
                <w:rFonts w:ascii="Arial"/>
                <w:sz w:val="19"/>
              </w:rPr>
            </w:pPr>
            <w:r>
              <w:rPr>
                <w:rFonts w:ascii="Arial"/>
                <w:color w:val="FFFFFF"/>
                <w:w w:val="105"/>
                <w:sz w:val="19"/>
              </w:rPr>
              <w:t>Consultation Type</w:t>
            </w:r>
          </w:p>
        </w:tc>
      </w:tr>
      <w:tr w:rsidR="007D76BB">
        <w:trPr>
          <w:trHeight w:val="481"/>
        </w:trPr>
        <w:tc>
          <w:tcPr>
            <w:tcW w:w="4217" w:type="dxa"/>
          </w:tcPr>
          <w:p w:rsidR="007D76BB" w:rsidRDefault="00D70D28">
            <w:pPr>
              <w:pStyle w:val="TableParagraph"/>
              <w:spacing w:before="13"/>
              <w:ind w:left="6"/>
              <w:rPr>
                <w:rFonts w:ascii="Arial"/>
                <w:sz w:val="19"/>
              </w:rPr>
            </w:pPr>
            <w:r>
              <w:rPr>
                <w:rFonts w:ascii="Arial"/>
                <w:w w:val="105"/>
                <w:sz w:val="19"/>
              </w:rPr>
              <w:t>Australian Sports Anti-Doping Authority</w:t>
            </w:r>
          </w:p>
          <w:p w:rsidR="007D76BB" w:rsidRDefault="00D70D28">
            <w:pPr>
              <w:pStyle w:val="TableParagraph"/>
              <w:spacing w:before="22" w:line="208" w:lineRule="exact"/>
              <w:ind w:left="6"/>
              <w:rPr>
                <w:rFonts w:ascii="Arial"/>
                <w:sz w:val="19"/>
              </w:rPr>
            </w:pPr>
            <w:r>
              <w:rPr>
                <w:rFonts w:ascii="Arial"/>
                <w:sz w:val="19"/>
              </w:rPr>
              <w:t>(ASADA)</w:t>
            </w:r>
          </w:p>
        </w:tc>
        <w:tc>
          <w:tcPr>
            <w:tcW w:w="4215" w:type="dxa"/>
          </w:tcPr>
          <w:p w:rsidR="007D76BB" w:rsidRDefault="00D70D28">
            <w:pPr>
              <w:pStyle w:val="TableParagraph"/>
              <w:spacing w:before="13"/>
              <w:ind w:left="1273" w:right="1276"/>
              <w:jc w:val="center"/>
              <w:rPr>
                <w:rFonts w:ascii="Arial"/>
                <w:sz w:val="19"/>
              </w:rPr>
            </w:pPr>
            <w:r>
              <w:rPr>
                <w:rFonts w:ascii="Arial"/>
                <w:w w:val="105"/>
                <w:sz w:val="19"/>
              </w:rPr>
              <w:t>Face-to-face</w:t>
            </w:r>
          </w:p>
        </w:tc>
      </w:tr>
      <w:tr w:rsidR="007D76BB">
        <w:trPr>
          <w:trHeight w:val="479"/>
        </w:trPr>
        <w:tc>
          <w:tcPr>
            <w:tcW w:w="4217" w:type="dxa"/>
          </w:tcPr>
          <w:p w:rsidR="007D76BB" w:rsidRDefault="00D70D28">
            <w:pPr>
              <w:pStyle w:val="TableParagraph"/>
              <w:spacing w:before="13"/>
              <w:ind w:left="6"/>
              <w:rPr>
                <w:rFonts w:ascii="Arial"/>
                <w:sz w:val="19"/>
              </w:rPr>
            </w:pPr>
            <w:r>
              <w:rPr>
                <w:rFonts w:ascii="Arial"/>
                <w:w w:val="105"/>
                <w:sz w:val="19"/>
              </w:rPr>
              <w:t>Department</w:t>
            </w:r>
            <w:r>
              <w:rPr>
                <w:rFonts w:ascii="Arial"/>
                <w:spacing w:val="-15"/>
                <w:w w:val="105"/>
                <w:sz w:val="19"/>
              </w:rPr>
              <w:t xml:space="preserve"> </w:t>
            </w:r>
            <w:r>
              <w:rPr>
                <w:rFonts w:ascii="Arial"/>
                <w:w w:val="105"/>
                <w:sz w:val="19"/>
              </w:rPr>
              <w:t>of</w:t>
            </w:r>
            <w:r>
              <w:rPr>
                <w:rFonts w:ascii="Arial"/>
                <w:spacing w:val="-17"/>
                <w:w w:val="105"/>
                <w:sz w:val="19"/>
              </w:rPr>
              <w:t xml:space="preserve"> </w:t>
            </w:r>
            <w:r>
              <w:rPr>
                <w:rFonts w:ascii="Arial"/>
                <w:w w:val="105"/>
                <w:sz w:val="19"/>
              </w:rPr>
              <w:t>Health</w:t>
            </w:r>
            <w:r>
              <w:rPr>
                <w:rFonts w:ascii="Arial"/>
                <w:spacing w:val="-13"/>
                <w:w w:val="105"/>
                <w:sz w:val="19"/>
              </w:rPr>
              <w:t xml:space="preserve"> </w:t>
            </w:r>
            <w:r>
              <w:rPr>
                <w:rFonts w:ascii="Arial"/>
                <w:w w:val="105"/>
                <w:sz w:val="19"/>
              </w:rPr>
              <w:t>National</w:t>
            </w:r>
            <w:r>
              <w:rPr>
                <w:rFonts w:ascii="Arial"/>
                <w:spacing w:val="-16"/>
                <w:w w:val="105"/>
                <w:sz w:val="19"/>
              </w:rPr>
              <w:t xml:space="preserve"> </w:t>
            </w:r>
            <w:r>
              <w:rPr>
                <w:rFonts w:ascii="Arial"/>
                <w:w w:val="105"/>
                <w:sz w:val="19"/>
              </w:rPr>
              <w:t>Integrity</w:t>
            </w:r>
            <w:r>
              <w:rPr>
                <w:rFonts w:ascii="Arial"/>
                <w:spacing w:val="-16"/>
                <w:w w:val="105"/>
                <w:sz w:val="19"/>
              </w:rPr>
              <w:t xml:space="preserve"> </w:t>
            </w:r>
            <w:r>
              <w:rPr>
                <w:rFonts w:ascii="Arial"/>
                <w:w w:val="105"/>
                <w:sz w:val="19"/>
              </w:rPr>
              <w:t>of</w:t>
            </w:r>
            <w:r>
              <w:rPr>
                <w:rFonts w:ascii="Arial"/>
                <w:spacing w:val="-16"/>
                <w:w w:val="105"/>
                <w:sz w:val="19"/>
              </w:rPr>
              <w:t xml:space="preserve"> </w:t>
            </w:r>
            <w:r>
              <w:rPr>
                <w:rFonts w:ascii="Arial"/>
                <w:w w:val="105"/>
                <w:sz w:val="19"/>
              </w:rPr>
              <w:t>Sport</w:t>
            </w:r>
          </w:p>
          <w:p w:rsidR="007D76BB" w:rsidRDefault="00D70D28">
            <w:pPr>
              <w:pStyle w:val="TableParagraph"/>
              <w:spacing w:before="22" w:line="206" w:lineRule="exact"/>
              <w:ind w:left="6"/>
              <w:rPr>
                <w:rFonts w:ascii="Arial"/>
                <w:sz w:val="19"/>
              </w:rPr>
            </w:pPr>
            <w:r>
              <w:rPr>
                <w:rFonts w:ascii="Arial"/>
                <w:w w:val="110"/>
                <w:sz w:val="19"/>
              </w:rPr>
              <w:t>Unit</w:t>
            </w:r>
          </w:p>
        </w:tc>
        <w:tc>
          <w:tcPr>
            <w:tcW w:w="4215" w:type="dxa"/>
          </w:tcPr>
          <w:p w:rsidR="007D76BB" w:rsidRDefault="00D70D28">
            <w:pPr>
              <w:pStyle w:val="TableParagraph"/>
              <w:spacing w:before="13"/>
              <w:ind w:left="1273" w:right="1276"/>
              <w:jc w:val="center"/>
              <w:rPr>
                <w:rFonts w:ascii="Arial"/>
                <w:sz w:val="19"/>
              </w:rPr>
            </w:pPr>
            <w:r>
              <w:rPr>
                <w:rFonts w:ascii="Arial"/>
                <w:w w:val="105"/>
                <w:sz w:val="19"/>
              </w:rPr>
              <w:t>Face-to-face</w:t>
            </w:r>
          </w:p>
        </w:tc>
      </w:tr>
      <w:tr w:rsidR="007D76BB">
        <w:trPr>
          <w:trHeight w:val="481"/>
        </w:trPr>
        <w:tc>
          <w:tcPr>
            <w:tcW w:w="4217" w:type="dxa"/>
          </w:tcPr>
          <w:p w:rsidR="007D76BB" w:rsidRDefault="00D70D28">
            <w:pPr>
              <w:pStyle w:val="TableParagraph"/>
              <w:spacing w:before="2" w:line="240" w:lineRule="exact"/>
              <w:ind w:left="6"/>
              <w:rPr>
                <w:rFonts w:ascii="Arial"/>
                <w:sz w:val="19"/>
              </w:rPr>
            </w:pPr>
            <w:r>
              <w:rPr>
                <w:rFonts w:ascii="Arial"/>
                <w:sz w:val="19"/>
              </w:rPr>
              <w:t>Food Standards Australia and New Zealand (FSANZ)</w:t>
            </w:r>
          </w:p>
        </w:tc>
        <w:tc>
          <w:tcPr>
            <w:tcW w:w="4215" w:type="dxa"/>
          </w:tcPr>
          <w:p w:rsidR="007D76BB" w:rsidRDefault="00D70D28">
            <w:pPr>
              <w:pStyle w:val="TableParagraph"/>
              <w:spacing w:before="16"/>
              <w:ind w:left="1273" w:right="1276"/>
              <w:jc w:val="center"/>
              <w:rPr>
                <w:rFonts w:ascii="Arial"/>
                <w:sz w:val="19"/>
              </w:rPr>
            </w:pPr>
            <w:r>
              <w:rPr>
                <w:rFonts w:ascii="Arial"/>
                <w:w w:val="105"/>
                <w:sz w:val="19"/>
              </w:rPr>
              <w:t>Face-to-face</w:t>
            </w:r>
          </w:p>
        </w:tc>
      </w:tr>
    </w:tbl>
    <w:p w:rsidR="007D76BB" w:rsidRDefault="007D76BB">
      <w:pPr>
        <w:jc w:val="center"/>
        <w:rPr>
          <w:rFonts w:ascii="Arial"/>
          <w:sz w:val="19"/>
        </w:rPr>
        <w:sectPr w:rsidR="007D76BB">
          <w:pgSz w:w="11910" w:h="16850"/>
          <w:pgMar w:top="820" w:right="820" w:bottom="740" w:left="1220" w:header="459" w:footer="546" w:gutter="0"/>
          <w:cols w:space="720"/>
        </w:sectPr>
      </w:pPr>
    </w:p>
    <w:p w:rsidR="007D76BB" w:rsidRDefault="00D70D28">
      <w:pPr>
        <w:pStyle w:val="BodyText"/>
        <w:rPr>
          <w:rFonts w:ascii="Arial"/>
          <w:sz w:val="20"/>
        </w:rPr>
      </w:pPr>
      <w:r>
        <w:rPr>
          <w:noProof/>
          <w:lang w:val="en-AU" w:eastAsia="en-AU"/>
        </w:rPr>
        <w:lastRenderedPageBreak/>
        <mc:AlternateContent>
          <mc:Choice Requires="wps">
            <w:drawing>
              <wp:anchor distT="0" distB="0" distL="114300" distR="114300" simplePos="0" relativeHeight="242199552" behindDoc="1" locked="0" layoutInCell="1" allowOverlap="1">
                <wp:simplePos x="0" y="0"/>
                <wp:positionH relativeFrom="page">
                  <wp:posOffset>1080770</wp:posOffset>
                </wp:positionH>
                <wp:positionV relativeFrom="page">
                  <wp:posOffset>291465</wp:posOffset>
                </wp:positionV>
                <wp:extent cx="5403215" cy="10118090"/>
                <wp:effectExtent l="0" t="0" r="0" b="0"/>
                <wp:wrapNone/>
                <wp:docPr id="15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15" cy="10118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tabs>
                                <w:tab w:val="left" w:pos="7009"/>
                              </w:tabs>
                              <w:spacing w:before="12"/>
                              <w:ind w:left="4"/>
                              <w:rPr>
                                <w:rFonts w:ascii="Arial"/>
                                <w:sz w:val="16"/>
                              </w:rPr>
                            </w:pPr>
                            <w:r>
                              <w:rPr>
                                <w:rFonts w:ascii="Arial"/>
                                <w:color w:val="608FB5"/>
                                <w:w w:val="95"/>
                                <w:sz w:val="16"/>
                              </w:rPr>
                              <w:t>SPORTS SUPPLEMENTS</w:t>
                            </w:r>
                            <w:r>
                              <w:rPr>
                                <w:rFonts w:ascii="Arial"/>
                                <w:color w:val="608FB5"/>
                                <w:spacing w:val="-30"/>
                                <w:w w:val="95"/>
                                <w:sz w:val="16"/>
                              </w:rPr>
                              <w:t xml:space="preserve"> </w:t>
                            </w:r>
                            <w:r>
                              <w:rPr>
                                <w:rFonts w:ascii="Arial"/>
                                <w:color w:val="608FB5"/>
                                <w:w w:val="95"/>
                                <w:sz w:val="16"/>
                              </w:rPr>
                              <w:t>REGULATORY</w:t>
                            </w:r>
                            <w:r>
                              <w:rPr>
                                <w:rFonts w:ascii="Arial"/>
                                <w:color w:val="608FB5"/>
                                <w:spacing w:val="-14"/>
                                <w:w w:val="95"/>
                                <w:sz w:val="16"/>
                              </w:rPr>
                              <w:t xml:space="preserve"> </w:t>
                            </w:r>
                            <w:r>
                              <w:rPr>
                                <w:rFonts w:ascii="Arial"/>
                                <w:color w:val="608FB5"/>
                                <w:w w:val="95"/>
                                <w:sz w:val="16"/>
                              </w:rPr>
                              <w:t>COSTING</w:t>
                            </w:r>
                            <w:r>
                              <w:rPr>
                                <w:rFonts w:ascii="Arial"/>
                                <w:color w:val="608FB5"/>
                                <w:w w:val="95"/>
                                <w:sz w:val="16"/>
                              </w:rPr>
                              <w:tab/>
                            </w:r>
                            <w:hyperlink r:id="rId245">
                              <w:r>
                                <w:rPr>
                                  <w:rFonts w:ascii="Arial"/>
                                  <w:color w:val="FFA200"/>
                                  <w:spacing w:val="-3"/>
                                  <w:w w:val="95"/>
                                  <w:sz w:val="16"/>
                                </w:rPr>
                                <w:t>NOETICGROUP.COM</w:t>
                              </w:r>
                            </w:hyperlink>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tabs>
                                <w:tab w:val="right" w:pos="8504"/>
                              </w:tabs>
                              <w:spacing w:before="132"/>
                              <w:rPr>
                                <w:rFonts w:ascii="Arial"/>
                                <w:sz w:val="16"/>
                              </w:rPr>
                            </w:pPr>
                            <w:hyperlink r:id="rId246">
                              <w:r>
                                <w:rPr>
                                  <w:rFonts w:ascii="Arial"/>
                                  <w:color w:val="FFA200"/>
                                  <w:sz w:val="16"/>
                                </w:rPr>
                                <w:t>NOETICGROUP.COM</w:t>
                              </w:r>
                            </w:hyperlink>
                            <w:r>
                              <w:rPr>
                                <w:rFonts w:ascii="Arial"/>
                                <w:color w:val="FFA200"/>
                                <w:sz w:val="16"/>
                              </w:rPr>
                              <w:tab/>
                            </w:r>
                            <w:r>
                              <w:rPr>
                                <w:rFonts w:ascii="Arial"/>
                                <w:color w:val="608FB5"/>
                                <w:sz w:val="16"/>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85.1pt;margin-top:22.95pt;width:425.45pt;height:796.7pt;z-index:-2611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Amtg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" filled="f" stroked="f">
                <v:textbox inset="0,0,0,0">
                  <w:txbxContent>
                    <w:p w:rsidR="00A51832" w:rsidRDefault="00A51832">
                      <w:pPr>
                        <w:tabs>
                          <w:tab w:val="left" w:pos="7009"/>
                        </w:tabs>
                        <w:spacing w:before="12"/>
                        <w:ind w:left="4"/>
                        <w:rPr>
                          <w:rFonts w:ascii="Arial"/>
                          <w:sz w:val="16"/>
                        </w:rPr>
                      </w:pPr>
                      <w:r>
                        <w:rPr>
                          <w:rFonts w:ascii="Arial"/>
                          <w:color w:val="608FB5"/>
                          <w:w w:val="95"/>
                          <w:sz w:val="16"/>
                        </w:rPr>
                        <w:t>SPORTS SUPPLEMENTS</w:t>
                      </w:r>
                      <w:r>
                        <w:rPr>
                          <w:rFonts w:ascii="Arial"/>
                          <w:color w:val="608FB5"/>
                          <w:spacing w:val="-30"/>
                          <w:w w:val="95"/>
                          <w:sz w:val="16"/>
                        </w:rPr>
                        <w:t xml:space="preserve"> </w:t>
                      </w:r>
                      <w:r>
                        <w:rPr>
                          <w:rFonts w:ascii="Arial"/>
                          <w:color w:val="608FB5"/>
                          <w:w w:val="95"/>
                          <w:sz w:val="16"/>
                        </w:rPr>
                        <w:t>REGULATORY</w:t>
                      </w:r>
                      <w:r>
                        <w:rPr>
                          <w:rFonts w:ascii="Arial"/>
                          <w:color w:val="608FB5"/>
                          <w:spacing w:val="-14"/>
                          <w:w w:val="95"/>
                          <w:sz w:val="16"/>
                        </w:rPr>
                        <w:t xml:space="preserve"> </w:t>
                      </w:r>
                      <w:r>
                        <w:rPr>
                          <w:rFonts w:ascii="Arial"/>
                          <w:color w:val="608FB5"/>
                          <w:w w:val="95"/>
                          <w:sz w:val="16"/>
                        </w:rPr>
                        <w:t>COSTING</w:t>
                      </w:r>
                      <w:r>
                        <w:rPr>
                          <w:rFonts w:ascii="Arial"/>
                          <w:color w:val="608FB5"/>
                          <w:w w:val="95"/>
                          <w:sz w:val="16"/>
                        </w:rPr>
                        <w:tab/>
                      </w:r>
                      <w:hyperlink r:id="rId247">
                        <w:r>
                          <w:rPr>
                            <w:rFonts w:ascii="Arial"/>
                            <w:color w:val="FFA200"/>
                            <w:spacing w:val="-3"/>
                            <w:w w:val="95"/>
                            <w:sz w:val="16"/>
                          </w:rPr>
                          <w:t>NOETICGROUP.COM</w:t>
                        </w:r>
                      </w:hyperlink>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pStyle w:val="BodyText"/>
                        <w:rPr>
                          <w:rFonts w:ascii="Arial"/>
                          <w:sz w:val="20"/>
                        </w:rPr>
                      </w:pPr>
                    </w:p>
                    <w:p w:rsidR="00A51832" w:rsidRDefault="00A51832">
                      <w:pPr>
                        <w:tabs>
                          <w:tab w:val="right" w:pos="8504"/>
                        </w:tabs>
                        <w:spacing w:before="132"/>
                        <w:rPr>
                          <w:rFonts w:ascii="Arial"/>
                          <w:sz w:val="16"/>
                        </w:rPr>
                      </w:pPr>
                      <w:hyperlink r:id="rId248">
                        <w:r>
                          <w:rPr>
                            <w:rFonts w:ascii="Arial"/>
                            <w:color w:val="FFA200"/>
                            <w:sz w:val="16"/>
                          </w:rPr>
                          <w:t>NOETICGROUP.COM</w:t>
                        </w:r>
                      </w:hyperlink>
                      <w:r>
                        <w:rPr>
                          <w:rFonts w:ascii="Arial"/>
                          <w:color w:val="FFA200"/>
                          <w:sz w:val="16"/>
                        </w:rPr>
                        <w:tab/>
                      </w:r>
                      <w:r>
                        <w:rPr>
                          <w:rFonts w:ascii="Arial"/>
                          <w:color w:val="608FB5"/>
                          <w:sz w:val="16"/>
                        </w:rPr>
                        <w:t>45</w:t>
                      </w:r>
                    </w:p>
                  </w:txbxContent>
                </v:textbox>
                <w10:wrap anchorx="page" anchory="page"/>
              </v:shape>
            </w:pict>
          </mc:Fallback>
        </mc:AlternateContent>
      </w:r>
      <w:r>
        <w:rPr>
          <w:noProof/>
          <w:lang w:val="en-AU" w:eastAsia="en-AU"/>
        </w:rPr>
        <mc:AlternateContent>
          <mc:Choice Requires="wpg">
            <w:drawing>
              <wp:anchor distT="0" distB="0" distL="114300" distR="114300" simplePos="0" relativeHeight="242200576" behindDoc="1" locked="0" layoutInCell="1" allowOverlap="1">
                <wp:simplePos x="0" y="0"/>
                <wp:positionH relativeFrom="page">
                  <wp:posOffset>180340</wp:posOffset>
                </wp:positionH>
                <wp:positionV relativeFrom="page">
                  <wp:posOffset>171450</wp:posOffset>
                </wp:positionV>
                <wp:extent cx="7200900" cy="10341610"/>
                <wp:effectExtent l="0" t="0" r="0" b="0"/>
                <wp:wrapNone/>
                <wp:docPr id="1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10341610"/>
                          <a:chOff x="284" y="270"/>
                          <a:chExt cx="11340" cy="16286"/>
                        </a:xfrm>
                      </wpg:grpSpPr>
                      <wps:wsp>
                        <wps:cNvPr id="151" name="Rectangle 12"/>
                        <wps:cNvSpPr>
                          <a:spLocks noChangeArrowheads="1"/>
                        </wps:cNvSpPr>
                        <wps:spPr bwMode="auto">
                          <a:xfrm>
                            <a:off x="285" y="270"/>
                            <a:ext cx="11338" cy="10617"/>
                          </a:xfrm>
                          <a:prstGeom prst="rect">
                            <a:avLst/>
                          </a:prstGeom>
                          <a:solidFill>
                            <a:srgbClr val="9FBB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Freeform 11"/>
                        <wps:cNvSpPr>
                          <a:spLocks/>
                        </wps:cNvSpPr>
                        <wps:spPr bwMode="auto">
                          <a:xfrm>
                            <a:off x="283" y="8976"/>
                            <a:ext cx="11339" cy="7580"/>
                          </a:xfrm>
                          <a:custGeom>
                            <a:avLst/>
                            <a:gdLst>
                              <a:gd name="T0" fmla="+- 0 11622 284"/>
                              <a:gd name="T1" fmla="*/ T0 w 11339"/>
                              <a:gd name="T2" fmla="+- 0 10886 8976"/>
                              <a:gd name="T3" fmla="*/ 10886 h 7580"/>
                              <a:gd name="T4" fmla="+- 0 5129 284"/>
                              <a:gd name="T5" fmla="*/ T4 w 11339"/>
                              <a:gd name="T6" fmla="+- 0 10886 8976"/>
                              <a:gd name="T7" fmla="*/ 10886 h 7580"/>
                              <a:gd name="T8" fmla="+- 0 5129 284"/>
                              <a:gd name="T9" fmla="*/ T8 w 11339"/>
                              <a:gd name="T10" fmla="+- 0 8976 8976"/>
                              <a:gd name="T11" fmla="*/ 8976 h 7580"/>
                              <a:gd name="T12" fmla="+- 0 2578 284"/>
                              <a:gd name="T13" fmla="*/ T12 w 11339"/>
                              <a:gd name="T14" fmla="+- 0 8976 8976"/>
                              <a:gd name="T15" fmla="*/ 8976 h 7580"/>
                              <a:gd name="T16" fmla="+- 0 2578 284"/>
                              <a:gd name="T17" fmla="*/ T16 w 11339"/>
                              <a:gd name="T18" fmla="+- 0 10886 8976"/>
                              <a:gd name="T19" fmla="*/ 10886 h 7580"/>
                              <a:gd name="T20" fmla="+- 0 284 284"/>
                              <a:gd name="T21" fmla="*/ T20 w 11339"/>
                              <a:gd name="T22" fmla="+- 0 10886 8976"/>
                              <a:gd name="T23" fmla="*/ 10886 h 7580"/>
                              <a:gd name="T24" fmla="+- 0 284 284"/>
                              <a:gd name="T25" fmla="*/ T24 w 11339"/>
                              <a:gd name="T26" fmla="+- 0 16555 8976"/>
                              <a:gd name="T27" fmla="*/ 16555 h 7580"/>
                              <a:gd name="T28" fmla="+- 0 11622 284"/>
                              <a:gd name="T29" fmla="*/ T28 w 11339"/>
                              <a:gd name="T30" fmla="+- 0 16555 8976"/>
                              <a:gd name="T31" fmla="*/ 16555 h 7580"/>
                              <a:gd name="T32" fmla="+- 0 11622 284"/>
                              <a:gd name="T33" fmla="*/ T32 w 11339"/>
                              <a:gd name="T34" fmla="+- 0 10886 8976"/>
                              <a:gd name="T35" fmla="*/ 10886 h 7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39" h="7580">
                                <a:moveTo>
                                  <a:pt x="11338" y="1910"/>
                                </a:moveTo>
                                <a:lnTo>
                                  <a:pt x="4845" y="1910"/>
                                </a:lnTo>
                                <a:lnTo>
                                  <a:pt x="4845" y="0"/>
                                </a:lnTo>
                                <a:lnTo>
                                  <a:pt x="2294" y="0"/>
                                </a:lnTo>
                                <a:lnTo>
                                  <a:pt x="2294" y="1910"/>
                                </a:lnTo>
                                <a:lnTo>
                                  <a:pt x="0" y="1910"/>
                                </a:lnTo>
                                <a:lnTo>
                                  <a:pt x="0" y="7579"/>
                                </a:lnTo>
                                <a:lnTo>
                                  <a:pt x="11338" y="7579"/>
                                </a:lnTo>
                                <a:lnTo>
                                  <a:pt x="11338" y="1910"/>
                                </a:lnTo>
                              </a:path>
                            </a:pathLst>
                          </a:custGeom>
                          <a:solidFill>
                            <a:srgbClr val="0D21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3919" y="10558"/>
                            <a:ext cx="115"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4080" y="10561"/>
                            <a:ext cx="109"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4219" y="10558"/>
                            <a:ext cx="123"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4376" y="10561"/>
                            <a:ext cx="10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0" name="Picture 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4526" y="10561"/>
                            <a:ext cx="106"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1" name="AutoShape 5"/>
                        <wps:cNvSpPr>
                          <a:spLocks/>
                        </wps:cNvSpPr>
                        <wps:spPr bwMode="auto">
                          <a:xfrm>
                            <a:off x="3318" y="9826"/>
                            <a:ext cx="1502" cy="678"/>
                          </a:xfrm>
                          <a:custGeom>
                            <a:avLst/>
                            <a:gdLst>
                              <a:gd name="T0" fmla="+- 0 4351 3319"/>
                              <a:gd name="T1" fmla="*/ T0 w 1502"/>
                              <a:gd name="T2" fmla="+- 0 10152 9826"/>
                              <a:gd name="T3" fmla="*/ 10152 h 678"/>
                              <a:gd name="T4" fmla="+- 0 4244 3319"/>
                              <a:gd name="T5" fmla="*/ T4 w 1502"/>
                              <a:gd name="T6" fmla="+- 0 10155 9826"/>
                              <a:gd name="T7" fmla="*/ 10155 h 678"/>
                              <a:gd name="T8" fmla="+- 0 4087 3319"/>
                              <a:gd name="T9" fmla="*/ T8 w 1502"/>
                              <a:gd name="T10" fmla="+- 0 10160 9826"/>
                              <a:gd name="T11" fmla="*/ 10160 h 678"/>
                              <a:gd name="T12" fmla="+- 0 4161 3319"/>
                              <a:gd name="T13" fmla="*/ T12 w 1502"/>
                              <a:gd name="T14" fmla="+- 0 9887 9826"/>
                              <a:gd name="T15" fmla="*/ 9887 h 678"/>
                              <a:gd name="T16" fmla="+- 0 4131 3319"/>
                              <a:gd name="T17" fmla="*/ T16 w 1502"/>
                              <a:gd name="T18" fmla="+- 0 9832 9826"/>
                              <a:gd name="T19" fmla="*/ 9832 h 678"/>
                              <a:gd name="T20" fmla="+- 0 4060 3319"/>
                              <a:gd name="T21" fmla="*/ T20 w 1502"/>
                              <a:gd name="T22" fmla="+- 0 9892 9826"/>
                              <a:gd name="T23" fmla="*/ 9892 h 678"/>
                              <a:gd name="T24" fmla="+- 0 3988 3319"/>
                              <a:gd name="T25" fmla="*/ T24 w 1502"/>
                              <a:gd name="T26" fmla="+- 0 10164 9826"/>
                              <a:gd name="T27" fmla="*/ 10164 h 678"/>
                              <a:gd name="T28" fmla="+- 0 3920 3319"/>
                              <a:gd name="T29" fmla="*/ T28 w 1502"/>
                              <a:gd name="T30" fmla="+- 0 10211 9826"/>
                              <a:gd name="T31" fmla="*/ 10211 h 678"/>
                              <a:gd name="T32" fmla="+- 0 3991 3319"/>
                              <a:gd name="T33" fmla="*/ T32 w 1502"/>
                              <a:gd name="T34" fmla="+- 0 10293 9826"/>
                              <a:gd name="T35" fmla="*/ 10293 h 678"/>
                              <a:gd name="T36" fmla="+- 0 3757 3319"/>
                              <a:gd name="T37" fmla="*/ T36 w 1502"/>
                              <a:gd name="T38" fmla="+- 0 10425 9826"/>
                              <a:gd name="T39" fmla="*/ 10425 h 678"/>
                              <a:gd name="T40" fmla="+- 0 3714 3319"/>
                              <a:gd name="T41" fmla="*/ T40 w 1502"/>
                              <a:gd name="T42" fmla="+- 0 10368 9826"/>
                              <a:gd name="T43" fmla="*/ 10368 h 678"/>
                              <a:gd name="T44" fmla="+- 0 3856 3319"/>
                              <a:gd name="T45" fmla="*/ T44 w 1502"/>
                              <a:gd name="T46" fmla="+- 0 10287 9826"/>
                              <a:gd name="T47" fmla="*/ 10287 h 678"/>
                              <a:gd name="T48" fmla="+- 0 3829 3319"/>
                              <a:gd name="T49" fmla="*/ T48 w 1502"/>
                              <a:gd name="T50" fmla="+- 0 10111 9826"/>
                              <a:gd name="T51" fmla="*/ 10111 h 678"/>
                              <a:gd name="T52" fmla="+- 0 3783 3319"/>
                              <a:gd name="T53" fmla="*/ T52 w 1502"/>
                              <a:gd name="T54" fmla="+- 0 10262 9826"/>
                              <a:gd name="T55" fmla="*/ 10262 h 678"/>
                              <a:gd name="T56" fmla="+- 0 3704 3319"/>
                              <a:gd name="T57" fmla="*/ T56 w 1502"/>
                              <a:gd name="T58" fmla="+- 0 10277 9826"/>
                              <a:gd name="T59" fmla="*/ 10277 h 678"/>
                              <a:gd name="T60" fmla="+- 0 3713 3319"/>
                              <a:gd name="T61" fmla="*/ T60 w 1502"/>
                              <a:gd name="T62" fmla="+- 0 10225 9826"/>
                              <a:gd name="T63" fmla="*/ 10225 h 678"/>
                              <a:gd name="T64" fmla="+- 0 3788 3319"/>
                              <a:gd name="T65" fmla="*/ T64 w 1502"/>
                              <a:gd name="T66" fmla="+- 0 10189 9826"/>
                              <a:gd name="T67" fmla="*/ 10189 h 678"/>
                              <a:gd name="T68" fmla="+- 0 3749 3319"/>
                              <a:gd name="T69" fmla="*/ T68 w 1502"/>
                              <a:gd name="T70" fmla="+- 0 10117 9826"/>
                              <a:gd name="T71" fmla="*/ 10117 h 678"/>
                              <a:gd name="T72" fmla="+- 0 3589 3319"/>
                              <a:gd name="T73" fmla="*/ T72 w 1502"/>
                              <a:gd name="T74" fmla="+- 0 10276 9826"/>
                              <a:gd name="T75" fmla="*/ 10276 h 678"/>
                              <a:gd name="T76" fmla="+- 0 3518 3319"/>
                              <a:gd name="T77" fmla="*/ T76 w 1502"/>
                              <a:gd name="T78" fmla="+- 0 10160 9826"/>
                              <a:gd name="T79" fmla="*/ 10160 h 678"/>
                              <a:gd name="T80" fmla="+- 0 3434 3319"/>
                              <a:gd name="T81" fmla="*/ T80 w 1502"/>
                              <a:gd name="T82" fmla="+- 0 10396 9826"/>
                              <a:gd name="T83" fmla="*/ 10396 h 678"/>
                              <a:gd name="T84" fmla="+- 0 3421 3319"/>
                              <a:gd name="T85" fmla="*/ T84 w 1502"/>
                              <a:gd name="T86" fmla="+- 0 10270 9826"/>
                              <a:gd name="T87" fmla="*/ 10270 h 678"/>
                              <a:gd name="T88" fmla="+- 0 3504 3319"/>
                              <a:gd name="T89" fmla="*/ T88 w 1502"/>
                              <a:gd name="T90" fmla="+- 0 10249 9826"/>
                              <a:gd name="T91" fmla="*/ 10249 h 678"/>
                              <a:gd name="T92" fmla="+- 0 3495 3319"/>
                              <a:gd name="T93" fmla="*/ T92 w 1502"/>
                              <a:gd name="T94" fmla="+- 0 10153 9826"/>
                              <a:gd name="T95" fmla="*/ 10153 h 678"/>
                              <a:gd name="T96" fmla="+- 0 3338 3319"/>
                              <a:gd name="T97" fmla="*/ T96 w 1502"/>
                              <a:gd name="T98" fmla="+- 0 10247 9826"/>
                              <a:gd name="T99" fmla="*/ 10247 h 678"/>
                              <a:gd name="T100" fmla="+- 0 3373 3319"/>
                              <a:gd name="T101" fmla="*/ T100 w 1502"/>
                              <a:gd name="T102" fmla="+- 0 10446 9826"/>
                              <a:gd name="T103" fmla="*/ 10446 h 678"/>
                              <a:gd name="T104" fmla="+- 0 3569 3319"/>
                              <a:gd name="T105" fmla="*/ T104 w 1502"/>
                              <a:gd name="T106" fmla="+- 0 10396 9826"/>
                              <a:gd name="T107" fmla="*/ 10396 h 678"/>
                              <a:gd name="T108" fmla="+- 0 3600 3319"/>
                              <a:gd name="T109" fmla="*/ T108 w 1502"/>
                              <a:gd name="T110" fmla="+- 0 10452 9826"/>
                              <a:gd name="T111" fmla="*/ 10452 h 678"/>
                              <a:gd name="T112" fmla="+- 0 3905 3319"/>
                              <a:gd name="T113" fmla="*/ T112 w 1502"/>
                              <a:gd name="T114" fmla="+- 0 10437 9826"/>
                              <a:gd name="T115" fmla="*/ 10437 h 678"/>
                              <a:gd name="T116" fmla="+- 0 4010 3319"/>
                              <a:gd name="T117" fmla="*/ T116 w 1502"/>
                              <a:gd name="T118" fmla="+- 0 10400 9826"/>
                              <a:gd name="T119" fmla="*/ 10400 h 678"/>
                              <a:gd name="T120" fmla="+- 0 4036 3319"/>
                              <a:gd name="T121" fmla="*/ T120 w 1502"/>
                              <a:gd name="T122" fmla="+- 0 10451 9826"/>
                              <a:gd name="T123" fmla="*/ 10451 h 678"/>
                              <a:gd name="T124" fmla="+- 0 4084 3319"/>
                              <a:gd name="T125" fmla="*/ T124 w 1502"/>
                              <a:gd name="T126" fmla="+- 0 10442 9826"/>
                              <a:gd name="T127" fmla="*/ 10442 h 678"/>
                              <a:gd name="T128" fmla="+- 0 4100 3319"/>
                              <a:gd name="T129" fmla="*/ T128 w 1502"/>
                              <a:gd name="T130" fmla="+- 0 10385 9826"/>
                              <a:gd name="T131" fmla="*/ 10385 h 678"/>
                              <a:gd name="T132" fmla="+- 0 4086 3319"/>
                              <a:gd name="T133" fmla="*/ T132 w 1502"/>
                              <a:gd name="T134" fmla="+- 0 10327 9826"/>
                              <a:gd name="T135" fmla="*/ 10327 h 678"/>
                              <a:gd name="T136" fmla="+- 0 4093 3319"/>
                              <a:gd name="T137" fmla="*/ T136 w 1502"/>
                              <a:gd name="T138" fmla="+- 0 10277 9826"/>
                              <a:gd name="T139" fmla="*/ 10277 h 678"/>
                              <a:gd name="T140" fmla="+- 0 4264 3319"/>
                              <a:gd name="T141" fmla="*/ T140 w 1502"/>
                              <a:gd name="T142" fmla="+- 0 10229 9826"/>
                              <a:gd name="T143" fmla="*/ 10229 h 678"/>
                              <a:gd name="T144" fmla="+- 0 4274 3319"/>
                              <a:gd name="T145" fmla="*/ T144 w 1502"/>
                              <a:gd name="T146" fmla="+- 0 10291 9826"/>
                              <a:gd name="T147" fmla="*/ 10291 h 678"/>
                              <a:gd name="T148" fmla="+- 0 4266 3319"/>
                              <a:gd name="T149" fmla="*/ T148 w 1502"/>
                              <a:gd name="T150" fmla="+- 0 10434 9826"/>
                              <a:gd name="T151" fmla="*/ 10434 h 678"/>
                              <a:gd name="T152" fmla="+- 0 4336 3319"/>
                              <a:gd name="T153" fmla="*/ T152 w 1502"/>
                              <a:gd name="T154" fmla="+- 0 10444 9826"/>
                              <a:gd name="T155" fmla="*/ 10444 h 678"/>
                              <a:gd name="T156" fmla="+- 0 4358 3319"/>
                              <a:gd name="T157" fmla="*/ T156 w 1502"/>
                              <a:gd name="T158" fmla="+- 0 10229 9826"/>
                              <a:gd name="T159" fmla="*/ 10229 h 678"/>
                              <a:gd name="T160" fmla="+- 0 4785 3319"/>
                              <a:gd name="T161" fmla="*/ T160 w 1502"/>
                              <a:gd name="T162" fmla="+- 0 10263 9826"/>
                              <a:gd name="T163" fmla="*/ 10263 h 678"/>
                              <a:gd name="T164" fmla="+- 0 4749 3319"/>
                              <a:gd name="T165" fmla="*/ T164 w 1502"/>
                              <a:gd name="T166" fmla="+- 0 10343 9826"/>
                              <a:gd name="T167" fmla="*/ 10343 h 678"/>
                              <a:gd name="T168" fmla="+- 0 4483 3319"/>
                              <a:gd name="T169" fmla="*/ T168 w 1502"/>
                              <a:gd name="T170" fmla="+- 0 10388 9826"/>
                              <a:gd name="T171" fmla="*/ 10388 h 678"/>
                              <a:gd name="T172" fmla="+- 0 4498 3319"/>
                              <a:gd name="T173" fmla="*/ T172 w 1502"/>
                              <a:gd name="T174" fmla="+- 0 10231 9826"/>
                              <a:gd name="T175" fmla="*/ 10231 h 678"/>
                              <a:gd name="T176" fmla="+- 0 4566 3319"/>
                              <a:gd name="T177" fmla="*/ T176 w 1502"/>
                              <a:gd name="T178" fmla="+- 0 10210 9826"/>
                              <a:gd name="T179" fmla="*/ 10210 h 678"/>
                              <a:gd name="T180" fmla="+- 0 4608 3319"/>
                              <a:gd name="T181" fmla="*/ T180 w 1502"/>
                              <a:gd name="T182" fmla="+- 0 10233 9826"/>
                              <a:gd name="T183" fmla="*/ 10233 h 678"/>
                              <a:gd name="T184" fmla="+- 0 4620 3319"/>
                              <a:gd name="T185" fmla="*/ T184 w 1502"/>
                              <a:gd name="T186" fmla="+- 0 10153 9826"/>
                              <a:gd name="T187" fmla="*/ 10153 h 678"/>
                              <a:gd name="T188" fmla="+- 0 4536 3319"/>
                              <a:gd name="T189" fmla="*/ T188 w 1502"/>
                              <a:gd name="T190" fmla="+- 0 10114 9826"/>
                              <a:gd name="T191" fmla="*/ 10114 h 678"/>
                              <a:gd name="T192" fmla="+- 0 4421 3319"/>
                              <a:gd name="T193" fmla="*/ T192 w 1502"/>
                              <a:gd name="T194" fmla="+- 0 10211 9826"/>
                              <a:gd name="T195" fmla="*/ 10211 h 678"/>
                              <a:gd name="T196" fmla="+- 0 4406 3319"/>
                              <a:gd name="T197" fmla="*/ T196 w 1502"/>
                              <a:gd name="T198" fmla="+- 0 10412 9826"/>
                              <a:gd name="T199" fmla="*/ 10412 h 678"/>
                              <a:gd name="T200" fmla="+- 0 4659 3319"/>
                              <a:gd name="T201" fmla="*/ T200 w 1502"/>
                              <a:gd name="T202" fmla="+- 0 10464 9826"/>
                              <a:gd name="T203" fmla="*/ 10464 h 678"/>
                              <a:gd name="T204" fmla="+- 0 4820 3319"/>
                              <a:gd name="T205" fmla="*/ T204 w 1502"/>
                              <a:gd name="T206" fmla="+- 0 10313 9826"/>
                              <a:gd name="T207" fmla="*/ 10313 h 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502" h="678">
                                <a:moveTo>
                                  <a:pt x="1039" y="356"/>
                                </a:moveTo>
                                <a:lnTo>
                                  <a:pt x="1038" y="345"/>
                                </a:lnTo>
                                <a:lnTo>
                                  <a:pt x="1037" y="340"/>
                                </a:lnTo>
                                <a:lnTo>
                                  <a:pt x="1036" y="335"/>
                                </a:lnTo>
                                <a:lnTo>
                                  <a:pt x="1032" y="326"/>
                                </a:lnTo>
                                <a:lnTo>
                                  <a:pt x="1024" y="318"/>
                                </a:lnTo>
                                <a:lnTo>
                                  <a:pt x="1014" y="311"/>
                                </a:lnTo>
                                <a:lnTo>
                                  <a:pt x="1000" y="313"/>
                                </a:lnTo>
                                <a:lnTo>
                                  <a:pt x="987" y="317"/>
                                </a:lnTo>
                                <a:lnTo>
                                  <a:pt x="925" y="329"/>
                                </a:lnTo>
                                <a:lnTo>
                                  <a:pt x="858" y="337"/>
                                </a:lnTo>
                                <a:lnTo>
                                  <a:pt x="802" y="340"/>
                                </a:lnTo>
                                <a:lnTo>
                                  <a:pt x="772" y="338"/>
                                </a:lnTo>
                                <a:lnTo>
                                  <a:pt x="771" y="338"/>
                                </a:lnTo>
                                <a:lnTo>
                                  <a:pt x="768" y="334"/>
                                </a:lnTo>
                                <a:lnTo>
                                  <a:pt x="777" y="249"/>
                                </a:lnTo>
                                <a:lnTo>
                                  <a:pt x="798" y="176"/>
                                </a:lnTo>
                                <a:lnTo>
                                  <a:pt x="836" y="80"/>
                                </a:lnTo>
                                <a:lnTo>
                                  <a:pt x="839" y="71"/>
                                </a:lnTo>
                                <a:lnTo>
                                  <a:pt x="842" y="61"/>
                                </a:lnTo>
                                <a:lnTo>
                                  <a:pt x="844" y="51"/>
                                </a:lnTo>
                                <a:lnTo>
                                  <a:pt x="841" y="38"/>
                                </a:lnTo>
                                <a:lnTo>
                                  <a:pt x="835" y="25"/>
                                </a:lnTo>
                                <a:lnTo>
                                  <a:pt x="825" y="14"/>
                                </a:lnTo>
                                <a:lnTo>
                                  <a:pt x="812" y="6"/>
                                </a:lnTo>
                                <a:lnTo>
                                  <a:pt x="791" y="0"/>
                                </a:lnTo>
                                <a:lnTo>
                                  <a:pt x="763" y="1"/>
                                </a:lnTo>
                                <a:lnTo>
                                  <a:pt x="746" y="17"/>
                                </a:lnTo>
                                <a:lnTo>
                                  <a:pt x="740" y="40"/>
                                </a:lnTo>
                                <a:lnTo>
                                  <a:pt x="741" y="66"/>
                                </a:lnTo>
                                <a:lnTo>
                                  <a:pt x="735" y="98"/>
                                </a:lnTo>
                                <a:lnTo>
                                  <a:pt x="716" y="161"/>
                                </a:lnTo>
                                <a:lnTo>
                                  <a:pt x="696" y="244"/>
                                </a:lnTo>
                                <a:lnTo>
                                  <a:pt x="686" y="337"/>
                                </a:lnTo>
                                <a:lnTo>
                                  <a:pt x="669" y="338"/>
                                </a:lnTo>
                                <a:lnTo>
                                  <a:pt x="641" y="340"/>
                                </a:lnTo>
                                <a:lnTo>
                                  <a:pt x="615" y="348"/>
                                </a:lnTo>
                                <a:lnTo>
                                  <a:pt x="600" y="363"/>
                                </a:lnTo>
                                <a:lnTo>
                                  <a:pt x="600" y="365"/>
                                </a:lnTo>
                                <a:lnTo>
                                  <a:pt x="601" y="385"/>
                                </a:lnTo>
                                <a:lnTo>
                                  <a:pt x="614" y="405"/>
                                </a:lnTo>
                                <a:lnTo>
                                  <a:pt x="638" y="424"/>
                                </a:lnTo>
                                <a:lnTo>
                                  <a:pt x="670" y="440"/>
                                </a:lnTo>
                                <a:lnTo>
                                  <a:pt x="679" y="442"/>
                                </a:lnTo>
                                <a:lnTo>
                                  <a:pt x="672" y="467"/>
                                </a:lnTo>
                                <a:lnTo>
                                  <a:pt x="670" y="473"/>
                                </a:lnTo>
                                <a:lnTo>
                                  <a:pt x="633" y="518"/>
                                </a:lnTo>
                                <a:lnTo>
                                  <a:pt x="566" y="558"/>
                                </a:lnTo>
                                <a:lnTo>
                                  <a:pt x="493" y="587"/>
                                </a:lnTo>
                                <a:lnTo>
                                  <a:pt x="438" y="599"/>
                                </a:lnTo>
                                <a:lnTo>
                                  <a:pt x="391" y="593"/>
                                </a:lnTo>
                                <a:lnTo>
                                  <a:pt x="372" y="575"/>
                                </a:lnTo>
                                <a:lnTo>
                                  <a:pt x="373" y="556"/>
                                </a:lnTo>
                                <a:lnTo>
                                  <a:pt x="382" y="545"/>
                                </a:lnTo>
                                <a:lnTo>
                                  <a:pt x="395" y="542"/>
                                </a:lnTo>
                                <a:lnTo>
                                  <a:pt x="408" y="539"/>
                                </a:lnTo>
                                <a:lnTo>
                                  <a:pt x="458" y="522"/>
                                </a:lnTo>
                                <a:lnTo>
                                  <a:pt x="515" y="488"/>
                                </a:lnTo>
                                <a:lnTo>
                                  <a:pt x="534" y="465"/>
                                </a:lnTo>
                                <a:lnTo>
                                  <a:pt x="537" y="461"/>
                                </a:lnTo>
                                <a:lnTo>
                                  <a:pt x="559" y="434"/>
                                </a:lnTo>
                                <a:lnTo>
                                  <a:pt x="571" y="363"/>
                                </a:lnTo>
                                <a:lnTo>
                                  <a:pt x="572" y="356"/>
                                </a:lnTo>
                                <a:lnTo>
                                  <a:pt x="551" y="307"/>
                                </a:lnTo>
                                <a:lnTo>
                                  <a:pt x="510" y="285"/>
                                </a:lnTo>
                                <a:lnTo>
                                  <a:pt x="498" y="284"/>
                                </a:lnTo>
                                <a:lnTo>
                                  <a:pt x="498" y="382"/>
                                </a:lnTo>
                                <a:lnTo>
                                  <a:pt x="495" y="400"/>
                                </a:lnTo>
                                <a:lnTo>
                                  <a:pt x="482" y="420"/>
                                </a:lnTo>
                                <a:lnTo>
                                  <a:pt x="464" y="436"/>
                                </a:lnTo>
                                <a:lnTo>
                                  <a:pt x="444" y="450"/>
                                </a:lnTo>
                                <a:lnTo>
                                  <a:pt x="426" y="458"/>
                                </a:lnTo>
                                <a:lnTo>
                                  <a:pt x="410" y="461"/>
                                </a:lnTo>
                                <a:lnTo>
                                  <a:pt x="395" y="459"/>
                                </a:lnTo>
                                <a:lnTo>
                                  <a:pt x="385" y="451"/>
                                </a:lnTo>
                                <a:lnTo>
                                  <a:pt x="380" y="438"/>
                                </a:lnTo>
                                <a:lnTo>
                                  <a:pt x="380" y="427"/>
                                </a:lnTo>
                                <a:lnTo>
                                  <a:pt x="382" y="417"/>
                                </a:lnTo>
                                <a:lnTo>
                                  <a:pt x="387" y="408"/>
                                </a:lnTo>
                                <a:lnTo>
                                  <a:pt x="394" y="399"/>
                                </a:lnTo>
                                <a:lnTo>
                                  <a:pt x="405" y="388"/>
                                </a:lnTo>
                                <a:lnTo>
                                  <a:pt x="416" y="378"/>
                                </a:lnTo>
                                <a:lnTo>
                                  <a:pt x="427" y="371"/>
                                </a:lnTo>
                                <a:lnTo>
                                  <a:pt x="441" y="365"/>
                                </a:lnTo>
                                <a:lnTo>
                                  <a:pt x="469" y="363"/>
                                </a:lnTo>
                                <a:lnTo>
                                  <a:pt x="489" y="369"/>
                                </a:lnTo>
                                <a:lnTo>
                                  <a:pt x="498" y="382"/>
                                </a:lnTo>
                                <a:lnTo>
                                  <a:pt x="498" y="284"/>
                                </a:lnTo>
                                <a:lnTo>
                                  <a:pt x="464" y="282"/>
                                </a:lnTo>
                                <a:lnTo>
                                  <a:pt x="430" y="291"/>
                                </a:lnTo>
                                <a:lnTo>
                                  <a:pt x="354" y="346"/>
                                </a:lnTo>
                                <a:lnTo>
                                  <a:pt x="309" y="402"/>
                                </a:lnTo>
                                <a:lnTo>
                                  <a:pt x="285" y="447"/>
                                </a:lnTo>
                                <a:lnTo>
                                  <a:pt x="273" y="465"/>
                                </a:lnTo>
                                <a:lnTo>
                                  <a:pt x="270" y="450"/>
                                </a:lnTo>
                                <a:lnTo>
                                  <a:pt x="265" y="414"/>
                                </a:lnTo>
                                <a:lnTo>
                                  <a:pt x="263" y="410"/>
                                </a:lnTo>
                                <a:lnTo>
                                  <a:pt x="249" y="372"/>
                                </a:lnTo>
                                <a:lnTo>
                                  <a:pt x="215" y="338"/>
                                </a:lnTo>
                                <a:lnTo>
                                  <a:pt x="199" y="334"/>
                                </a:lnTo>
                                <a:lnTo>
                                  <a:pt x="199" y="473"/>
                                </a:lnTo>
                                <a:lnTo>
                                  <a:pt x="195" y="513"/>
                                </a:lnTo>
                                <a:lnTo>
                                  <a:pt x="178" y="550"/>
                                </a:lnTo>
                                <a:lnTo>
                                  <a:pt x="148" y="568"/>
                                </a:lnTo>
                                <a:lnTo>
                                  <a:pt x="115" y="570"/>
                                </a:lnTo>
                                <a:lnTo>
                                  <a:pt x="91" y="556"/>
                                </a:lnTo>
                                <a:lnTo>
                                  <a:pt x="80" y="530"/>
                                </a:lnTo>
                                <a:lnTo>
                                  <a:pt x="80" y="500"/>
                                </a:lnTo>
                                <a:lnTo>
                                  <a:pt x="88" y="469"/>
                                </a:lnTo>
                                <a:lnTo>
                                  <a:pt x="102" y="444"/>
                                </a:lnTo>
                                <a:lnTo>
                                  <a:pt x="118" y="425"/>
                                </a:lnTo>
                                <a:lnTo>
                                  <a:pt x="133" y="414"/>
                                </a:lnTo>
                                <a:lnTo>
                                  <a:pt x="148" y="410"/>
                                </a:lnTo>
                                <a:lnTo>
                                  <a:pt x="166" y="411"/>
                                </a:lnTo>
                                <a:lnTo>
                                  <a:pt x="185" y="423"/>
                                </a:lnTo>
                                <a:lnTo>
                                  <a:pt x="196" y="442"/>
                                </a:lnTo>
                                <a:lnTo>
                                  <a:pt x="199" y="470"/>
                                </a:lnTo>
                                <a:lnTo>
                                  <a:pt x="199" y="473"/>
                                </a:lnTo>
                                <a:lnTo>
                                  <a:pt x="199" y="334"/>
                                </a:lnTo>
                                <a:lnTo>
                                  <a:pt x="176" y="327"/>
                                </a:lnTo>
                                <a:lnTo>
                                  <a:pt x="135" y="330"/>
                                </a:lnTo>
                                <a:lnTo>
                                  <a:pt x="98" y="342"/>
                                </a:lnTo>
                                <a:lnTo>
                                  <a:pt x="70" y="359"/>
                                </a:lnTo>
                                <a:lnTo>
                                  <a:pt x="40" y="388"/>
                                </a:lnTo>
                                <a:lnTo>
                                  <a:pt x="19" y="421"/>
                                </a:lnTo>
                                <a:lnTo>
                                  <a:pt x="5" y="459"/>
                                </a:lnTo>
                                <a:lnTo>
                                  <a:pt x="5" y="460"/>
                                </a:lnTo>
                                <a:lnTo>
                                  <a:pt x="0" y="503"/>
                                </a:lnTo>
                                <a:lnTo>
                                  <a:pt x="14" y="573"/>
                                </a:lnTo>
                                <a:lnTo>
                                  <a:pt x="54" y="620"/>
                                </a:lnTo>
                                <a:lnTo>
                                  <a:pt x="106" y="642"/>
                                </a:lnTo>
                                <a:lnTo>
                                  <a:pt x="156" y="641"/>
                                </a:lnTo>
                                <a:lnTo>
                                  <a:pt x="201" y="620"/>
                                </a:lnTo>
                                <a:lnTo>
                                  <a:pt x="232" y="594"/>
                                </a:lnTo>
                                <a:lnTo>
                                  <a:pt x="250" y="570"/>
                                </a:lnTo>
                                <a:lnTo>
                                  <a:pt x="253" y="566"/>
                                </a:lnTo>
                                <a:lnTo>
                                  <a:pt x="266" y="542"/>
                                </a:lnTo>
                                <a:lnTo>
                                  <a:pt x="269" y="549"/>
                                </a:lnTo>
                                <a:lnTo>
                                  <a:pt x="270" y="583"/>
                                </a:lnTo>
                                <a:lnTo>
                                  <a:pt x="281" y="626"/>
                                </a:lnTo>
                                <a:lnTo>
                                  <a:pt x="314" y="659"/>
                                </a:lnTo>
                                <a:lnTo>
                                  <a:pt x="381" y="678"/>
                                </a:lnTo>
                                <a:lnTo>
                                  <a:pt x="449" y="671"/>
                                </a:lnTo>
                                <a:lnTo>
                                  <a:pt x="517" y="647"/>
                                </a:lnTo>
                                <a:lnTo>
                                  <a:pt x="586" y="611"/>
                                </a:lnTo>
                                <a:lnTo>
                                  <a:pt x="607" y="599"/>
                                </a:lnTo>
                                <a:lnTo>
                                  <a:pt x="656" y="571"/>
                                </a:lnTo>
                                <a:lnTo>
                                  <a:pt x="669" y="566"/>
                                </a:lnTo>
                                <a:lnTo>
                                  <a:pt x="681" y="567"/>
                                </a:lnTo>
                                <a:lnTo>
                                  <a:pt x="691" y="574"/>
                                </a:lnTo>
                                <a:lnTo>
                                  <a:pt x="698" y="586"/>
                                </a:lnTo>
                                <a:lnTo>
                                  <a:pt x="702" y="596"/>
                                </a:lnTo>
                                <a:lnTo>
                                  <a:pt x="706" y="606"/>
                                </a:lnTo>
                                <a:lnTo>
                                  <a:pt x="711" y="616"/>
                                </a:lnTo>
                                <a:lnTo>
                                  <a:pt x="717" y="625"/>
                                </a:lnTo>
                                <a:lnTo>
                                  <a:pt x="723" y="635"/>
                                </a:lnTo>
                                <a:lnTo>
                                  <a:pt x="731" y="636"/>
                                </a:lnTo>
                                <a:lnTo>
                                  <a:pt x="740" y="635"/>
                                </a:lnTo>
                                <a:lnTo>
                                  <a:pt x="749" y="629"/>
                                </a:lnTo>
                                <a:lnTo>
                                  <a:pt x="765" y="616"/>
                                </a:lnTo>
                                <a:lnTo>
                                  <a:pt x="778" y="600"/>
                                </a:lnTo>
                                <a:lnTo>
                                  <a:pt x="784" y="584"/>
                                </a:lnTo>
                                <a:lnTo>
                                  <a:pt x="783" y="572"/>
                                </a:lnTo>
                                <a:lnTo>
                                  <a:pt x="783" y="566"/>
                                </a:lnTo>
                                <a:lnTo>
                                  <a:pt x="781" y="559"/>
                                </a:lnTo>
                                <a:lnTo>
                                  <a:pt x="779" y="545"/>
                                </a:lnTo>
                                <a:lnTo>
                                  <a:pt x="777" y="534"/>
                                </a:lnTo>
                                <a:lnTo>
                                  <a:pt x="775" y="527"/>
                                </a:lnTo>
                                <a:lnTo>
                                  <a:pt x="771" y="515"/>
                                </a:lnTo>
                                <a:lnTo>
                                  <a:pt x="767" y="501"/>
                                </a:lnTo>
                                <a:lnTo>
                                  <a:pt x="765" y="492"/>
                                </a:lnTo>
                                <a:lnTo>
                                  <a:pt x="764" y="482"/>
                                </a:lnTo>
                                <a:lnTo>
                                  <a:pt x="764" y="470"/>
                                </a:lnTo>
                                <a:lnTo>
                                  <a:pt x="767" y="460"/>
                                </a:lnTo>
                                <a:lnTo>
                                  <a:pt x="774" y="451"/>
                                </a:lnTo>
                                <a:lnTo>
                                  <a:pt x="800" y="442"/>
                                </a:lnTo>
                                <a:lnTo>
                                  <a:pt x="845" y="429"/>
                                </a:lnTo>
                                <a:lnTo>
                                  <a:pt x="890" y="418"/>
                                </a:lnTo>
                                <a:lnTo>
                                  <a:pt x="918" y="410"/>
                                </a:lnTo>
                                <a:lnTo>
                                  <a:pt x="945" y="403"/>
                                </a:lnTo>
                                <a:lnTo>
                                  <a:pt x="957" y="406"/>
                                </a:lnTo>
                                <a:lnTo>
                                  <a:pt x="960" y="417"/>
                                </a:lnTo>
                                <a:lnTo>
                                  <a:pt x="960" y="420"/>
                                </a:lnTo>
                                <a:lnTo>
                                  <a:pt x="959" y="435"/>
                                </a:lnTo>
                                <a:lnTo>
                                  <a:pt x="955" y="465"/>
                                </a:lnTo>
                                <a:lnTo>
                                  <a:pt x="947" y="516"/>
                                </a:lnTo>
                                <a:lnTo>
                                  <a:pt x="940" y="567"/>
                                </a:lnTo>
                                <a:lnTo>
                                  <a:pt x="938" y="593"/>
                                </a:lnTo>
                                <a:lnTo>
                                  <a:pt x="938" y="594"/>
                                </a:lnTo>
                                <a:lnTo>
                                  <a:pt x="947" y="608"/>
                                </a:lnTo>
                                <a:lnTo>
                                  <a:pt x="964" y="616"/>
                                </a:lnTo>
                                <a:lnTo>
                                  <a:pt x="980" y="621"/>
                                </a:lnTo>
                                <a:lnTo>
                                  <a:pt x="988" y="622"/>
                                </a:lnTo>
                                <a:lnTo>
                                  <a:pt x="1004" y="623"/>
                                </a:lnTo>
                                <a:lnTo>
                                  <a:pt x="1017" y="618"/>
                                </a:lnTo>
                                <a:lnTo>
                                  <a:pt x="1027" y="611"/>
                                </a:lnTo>
                                <a:lnTo>
                                  <a:pt x="1032" y="600"/>
                                </a:lnTo>
                                <a:lnTo>
                                  <a:pt x="1035" y="555"/>
                                </a:lnTo>
                                <a:lnTo>
                                  <a:pt x="1037" y="475"/>
                                </a:lnTo>
                                <a:lnTo>
                                  <a:pt x="1039" y="403"/>
                                </a:lnTo>
                                <a:lnTo>
                                  <a:pt x="1039" y="388"/>
                                </a:lnTo>
                                <a:lnTo>
                                  <a:pt x="1039" y="356"/>
                                </a:lnTo>
                                <a:moveTo>
                                  <a:pt x="1501" y="487"/>
                                </a:moveTo>
                                <a:lnTo>
                                  <a:pt x="1491" y="452"/>
                                </a:lnTo>
                                <a:lnTo>
                                  <a:pt x="1466" y="437"/>
                                </a:lnTo>
                                <a:lnTo>
                                  <a:pt x="1455" y="444"/>
                                </a:lnTo>
                                <a:lnTo>
                                  <a:pt x="1452" y="459"/>
                                </a:lnTo>
                                <a:lnTo>
                                  <a:pt x="1451" y="478"/>
                                </a:lnTo>
                                <a:lnTo>
                                  <a:pt x="1448" y="498"/>
                                </a:lnTo>
                                <a:lnTo>
                                  <a:pt x="1430" y="517"/>
                                </a:lnTo>
                                <a:lnTo>
                                  <a:pt x="1386" y="542"/>
                                </a:lnTo>
                                <a:lnTo>
                                  <a:pt x="1327" y="566"/>
                                </a:lnTo>
                                <a:lnTo>
                                  <a:pt x="1262" y="580"/>
                                </a:lnTo>
                                <a:lnTo>
                                  <a:pt x="1205" y="578"/>
                                </a:lnTo>
                                <a:lnTo>
                                  <a:pt x="1164" y="562"/>
                                </a:lnTo>
                                <a:lnTo>
                                  <a:pt x="1139" y="536"/>
                                </a:lnTo>
                                <a:lnTo>
                                  <a:pt x="1129" y="503"/>
                                </a:lnTo>
                                <a:lnTo>
                                  <a:pt x="1134" y="467"/>
                                </a:lnTo>
                                <a:lnTo>
                                  <a:pt x="1151" y="433"/>
                                </a:lnTo>
                                <a:lnTo>
                                  <a:pt x="1179" y="405"/>
                                </a:lnTo>
                                <a:lnTo>
                                  <a:pt x="1216" y="383"/>
                                </a:lnTo>
                                <a:lnTo>
                                  <a:pt x="1222" y="380"/>
                                </a:lnTo>
                                <a:lnTo>
                                  <a:pt x="1231" y="378"/>
                                </a:lnTo>
                                <a:lnTo>
                                  <a:pt x="1236" y="380"/>
                                </a:lnTo>
                                <a:lnTo>
                                  <a:pt x="1247" y="384"/>
                                </a:lnTo>
                                <a:lnTo>
                                  <a:pt x="1257" y="393"/>
                                </a:lnTo>
                                <a:lnTo>
                                  <a:pt x="1267" y="398"/>
                                </a:lnTo>
                                <a:lnTo>
                                  <a:pt x="1274" y="402"/>
                                </a:lnTo>
                                <a:lnTo>
                                  <a:pt x="1282" y="407"/>
                                </a:lnTo>
                                <a:lnTo>
                                  <a:pt x="1289" y="407"/>
                                </a:lnTo>
                                <a:lnTo>
                                  <a:pt x="1302" y="399"/>
                                </a:lnTo>
                                <a:lnTo>
                                  <a:pt x="1308" y="381"/>
                                </a:lnTo>
                                <a:lnTo>
                                  <a:pt x="1308" y="378"/>
                                </a:lnTo>
                                <a:lnTo>
                                  <a:pt x="1308" y="356"/>
                                </a:lnTo>
                                <a:lnTo>
                                  <a:pt x="1301" y="327"/>
                                </a:lnTo>
                                <a:lnTo>
                                  <a:pt x="1289" y="302"/>
                                </a:lnTo>
                                <a:lnTo>
                                  <a:pt x="1272" y="287"/>
                                </a:lnTo>
                                <a:lnTo>
                                  <a:pt x="1251" y="281"/>
                                </a:lnTo>
                                <a:lnTo>
                                  <a:pt x="1226" y="285"/>
                                </a:lnTo>
                                <a:lnTo>
                                  <a:pt x="1217" y="288"/>
                                </a:lnTo>
                                <a:lnTo>
                                  <a:pt x="1202" y="294"/>
                                </a:lnTo>
                                <a:lnTo>
                                  <a:pt x="1182" y="307"/>
                                </a:lnTo>
                                <a:lnTo>
                                  <a:pt x="1157" y="327"/>
                                </a:lnTo>
                                <a:lnTo>
                                  <a:pt x="1129" y="354"/>
                                </a:lnTo>
                                <a:lnTo>
                                  <a:pt x="1102" y="385"/>
                                </a:lnTo>
                                <a:lnTo>
                                  <a:pt x="1080" y="421"/>
                                </a:lnTo>
                                <a:lnTo>
                                  <a:pt x="1064" y="461"/>
                                </a:lnTo>
                                <a:lnTo>
                                  <a:pt x="1059" y="504"/>
                                </a:lnTo>
                                <a:lnTo>
                                  <a:pt x="1066" y="547"/>
                                </a:lnTo>
                                <a:lnTo>
                                  <a:pt x="1087" y="586"/>
                                </a:lnTo>
                                <a:lnTo>
                                  <a:pt x="1122" y="622"/>
                                </a:lnTo>
                                <a:lnTo>
                                  <a:pt x="1155" y="638"/>
                                </a:lnTo>
                                <a:lnTo>
                                  <a:pt x="1205" y="649"/>
                                </a:lnTo>
                                <a:lnTo>
                                  <a:pt x="1268" y="651"/>
                                </a:lnTo>
                                <a:lnTo>
                                  <a:pt x="1340" y="638"/>
                                </a:lnTo>
                                <a:lnTo>
                                  <a:pt x="1416" y="605"/>
                                </a:lnTo>
                                <a:lnTo>
                                  <a:pt x="1449" y="580"/>
                                </a:lnTo>
                                <a:lnTo>
                                  <a:pt x="1493" y="547"/>
                                </a:lnTo>
                                <a:lnTo>
                                  <a:pt x="1500" y="525"/>
                                </a:lnTo>
                                <a:lnTo>
                                  <a:pt x="1501" y="48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2" name="Picture 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4274" y="9928"/>
                            <a:ext cx="107"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3" name="AutoShape 3"/>
                        <wps:cNvSpPr>
                          <a:spLocks/>
                        </wps:cNvSpPr>
                        <wps:spPr bwMode="auto">
                          <a:xfrm>
                            <a:off x="2889" y="9777"/>
                            <a:ext cx="612" cy="927"/>
                          </a:xfrm>
                          <a:custGeom>
                            <a:avLst/>
                            <a:gdLst>
                              <a:gd name="T0" fmla="+- 0 3021 2890"/>
                              <a:gd name="T1" fmla="*/ T0 w 612"/>
                              <a:gd name="T2" fmla="+- 0 10060 9777"/>
                              <a:gd name="T3" fmla="*/ 10060 h 927"/>
                              <a:gd name="T4" fmla="+- 0 2995 2890"/>
                              <a:gd name="T5" fmla="*/ T4 w 612"/>
                              <a:gd name="T6" fmla="+- 0 10094 9777"/>
                              <a:gd name="T7" fmla="*/ 10094 h 927"/>
                              <a:gd name="T8" fmla="+- 0 2968 2890"/>
                              <a:gd name="T9" fmla="*/ T8 w 612"/>
                              <a:gd name="T10" fmla="+- 0 10179 9777"/>
                              <a:gd name="T11" fmla="*/ 10179 h 927"/>
                              <a:gd name="T12" fmla="+- 0 2926 2890"/>
                              <a:gd name="T13" fmla="*/ T12 w 612"/>
                              <a:gd name="T14" fmla="+- 0 10340 9777"/>
                              <a:gd name="T15" fmla="*/ 10340 h 927"/>
                              <a:gd name="T16" fmla="+- 0 2894 2890"/>
                              <a:gd name="T17" fmla="*/ T16 w 612"/>
                              <a:gd name="T18" fmla="+- 0 10521 9777"/>
                              <a:gd name="T19" fmla="*/ 10521 h 927"/>
                              <a:gd name="T20" fmla="+- 0 2897 2890"/>
                              <a:gd name="T21" fmla="*/ T20 w 612"/>
                              <a:gd name="T22" fmla="+- 0 10660 9777"/>
                              <a:gd name="T23" fmla="*/ 10660 h 927"/>
                              <a:gd name="T24" fmla="+- 0 2942 2890"/>
                              <a:gd name="T25" fmla="*/ T24 w 612"/>
                              <a:gd name="T26" fmla="+- 0 10704 9777"/>
                              <a:gd name="T27" fmla="*/ 10704 h 927"/>
                              <a:gd name="T28" fmla="+- 0 2985 2890"/>
                              <a:gd name="T29" fmla="*/ T28 w 612"/>
                              <a:gd name="T30" fmla="+- 0 10677 9777"/>
                              <a:gd name="T31" fmla="*/ 10677 h 927"/>
                              <a:gd name="T32" fmla="+- 0 3002 2890"/>
                              <a:gd name="T33" fmla="*/ T32 w 612"/>
                              <a:gd name="T34" fmla="+- 0 10578 9777"/>
                              <a:gd name="T35" fmla="*/ 10578 h 927"/>
                              <a:gd name="T36" fmla="+- 0 3019 2890"/>
                              <a:gd name="T37" fmla="*/ T36 w 612"/>
                              <a:gd name="T38" fmla="+- 0 10398 9777"/>
                              <a:gd name="T39" fmla="*/ 10398 h 927"/>
                              <a:gd name="T40" fmla="+- 0 3046 2890"/>
                              <a:gd name="T41" fmla="*/ T40 w 612"/>
                              <a:gd name="T42" fmla="+- 0 10249 9777"/>
                              <a:gd name="T43" fmla="*/ 10249 h 927"/>
                              <a:gd name="T44" fmla="+- 0 3181 2890"/>
                              <a:gd name="T45" fmla="*/ T44 w 612"/>
                              <a:gd name="T46" fmla="+- 0 10227 9777"/>
                              <a:gd name="T47" fmla="*/ 10227 h 927"/>
                              <a:gd name="T48" fmla="+- 0 3138 2890"/>
                              <a:gd name="T49" fmla="*/ T48 w 612"/>
                              <a:gd name="T50" fmla="+- 0 10160 9777"/>
                              <a:gd name="T51" fmla="*/ 10160 h 927"/>
                              <a:gd name="T52" fmla="+- 0 3048 2890"/>
                              <a:gd name="T53" fmla="*/ T52 w 612"/>
                              <a:gd name="T54" fmla="+- 0 10061 9777"/>
                              <a:gd name="T55" fmla="*/ 10061 h 927"/>
                              <a:gd name="T56" fmla="+- 0 3181 2890"/>
                              <a:gd name="T57" fmla="*/ T56 w 612"/>
                              <a:gd name="T58" fmla="+- 0 10227 9777"/>
                              <a:gd name="T59" fmla="*/ 10227 h 927"/>
                              <a:gd name="T60" fmla="+- 0 3079 2890"/>
                              <a:gd name="T61" fmla="*/ T60 w 612"/>
                              <a:gd name="T62" fmla="+- 0 10252 9777"/>
                              <a:gd name="T63" fmla="*/ 10252 h 927"/>
                              <a:gd name="T64" fmla="+- 0 3122 2890"/>
                              <a:gd name="T65" fmla="*/ T64 w 612"/>
                              <a:gd name="T66" fmla="+- 0 10390 9777"/>
                              <a:gd name="T67" fmla="*/ 10390 h 927"/>
                              <a:gd name="T68" fmla="+- 0 3186 2890"/>
                              <a:gd name="T69" fmla="*/ T68 w 612"/>
                              <a:gd name="T70" fmla="+- 0 10541 9777"/>
                              <a:gd name="T71" fmla="*/ 10541 h 927"/>
                              <a:gd name="T72" fmla="+- 0 3247 2890"/>
                              <a:gd name="T73" fmla="*/ T72 w 612"/>
                              <a:gd name="T74" fmla="+- 0 10592 9777"/>
                              <a:gd name="T75" fmla="*/ 10592 h 927"/>
                              <a:gd name="T76" fmla="+- 0 3269 2890"/>
                              <a:gd name="T77" fmla="*/ T76 w 612"/>
                              <a:gd name="T78" fmla="+- 0 10594 9777"/>
                              <a:gd name="T79" fmla="*/ 10594 h 927"/>
                              <a:gd name="T80" fmla="+- 0 3290 2890"/>
                              <a:gd name="T81" fmla="*/ T80 w 612"/>
                              <a:gd name="T82" fmla="+- 0 10587 9777"/>
                              <a:gd name="T83" fmla="*/ 10587 h 927"/>
                              <a:gd name="T84" fmla="+- 0 3308 2890"/>
                              <a:gd name="T85" fmla="*/ T84 w 612"/>
                              <a:gd name="T86" fmla="+- 0 10567 9777"/>
                              <a:gd name="T87" fmla="*/ 10567 h 927"/>
                              <a:gd name="T88" fmla="+- 0 3292 2890"/>
                              <a:gd name="T89" fmla="*/ T88 w 612"/>
                              <a:gd name="T90" fmla="+- 0 10497 9777"/>
                              <a:gd name="T91" fmla="*/ 10497 h 927"/>
                              <a:gd name="T92" fmla="+- 0 3284 2890"/>
                              <a:gd name="T93" fmla="*/ T92 w 612"/>
                              <a:gd name="T94" fmla="+- 0 10352 9777"/>
                              <a:gd name="T95" fmla="*/ 10352 h 927"/>
                              <a:gd name="T96" fmla="+- 0 3205 2890"/>
                              <a:gd name="T97" fmla="*/ T96 w 612"/>
                              <a:gd name="T98" fmla="+- 0 10268 9777"/>
                              <a:gd name="T99" fmla="*/ 10268 h 927"/>
                              <a:gd name="T100" fmla="+- 0 3427 2890"/>
                              <a:gd name="T101" fmla="*/ T100 w 612"/>
                              <a:gd name="T102" fmla="+- 0 9777 9777"/>
                              <a:gd name="T103" fmla="*/ 9777 h 927"/>
                              <a:gd name="T104" fmla="+- 0 3381 2890"/>
                              <a:gd name="T105" fmla="*/ T104 w 612"/>
                              <a:gd name="T106" fmla="+- 0 9795 9777"/>
                              <a:gd name="T107" fmla="*/ 9795 h 927"/>
                              <a:gd name="T108" fmla="+- 0 3348 2890"/>
                              <a:gd name="T109" fmla="*/ T108 w 612"/>
                              <a:gd name="T110" fmla="+- 0 9830 9777"/>
                              <a:gd name="T111" fmla="*/ 9830 h 927"/>
                              <a:gd name="T112" fmla="+- 0 3322 2890"/>
                              <a:gd name="T113" fmla="*/ T112 w 612"/>
                              <a:gd name="T114" fmla="+- 0 9886 9777"/>
                              <a:gd name="T115" fmla="*/ 9886 h 927"/>
                              <a:gd name="T116" fmla="+- 0 3281 2890"/>
                              <a:gd name="T117" fmla="*/ T116 w 612"/>
                              <a:gd name="T118" fmla="+- 0 10006 9777"/>
                              <a:gd name="T119" fmla="*/ 10006 h 927"/>
                              <a:gd name="T120" fmla="+- 0 3231 2890"/>
                              <a:gd name="T121" fmla="*/ T120 w 612"/>
                              <a:gd name="T122" fmla="+- 0 10172 9777"/>
                              <a:gd name="T123" fmla="*/ 10172 h 927"/>
                              <a:gd name="T124" fmla="+- 0 3292 2890"/>
                              <a:gd name="T125" fmla="*/ T124 w 612"/>
                              <a:gd name="T126" fmla="+- 0 10268 9777"/>
                              <a:gd name="T127" fmla="*/ 10268 h 927"/>
                              <a:gd name="T128" fmla="+- 0 3328 2890"/>
                              <a:gd name="T129" fmla="*/ T128 w 612"/>
                              <a:gd name="T130" fmla="+- 0 10098 9777"/>
                              <a:gd name="T131" fmla="*/ 10098 h 927"/>
                              <a:gd name="T132" fmla="+- 0 3384 2890"/>
                              <a:gd name="T133" fmla="*/ T132 w 612"/>
                              <a:gd name="T134" fmla="+- 0 9951 9777"/>
                              <a:gd name="T135" fmla="*/ 9951 h 927"/>
                              <a:gd name="T136" fmla="+- 0 3454 2890"/>
                              <a:gd name="T137" fmla="*/ T136 w 612"/>
                              <a:gd name="T138" fmla="+- 0 9862 9777"/>
                              <a:gd name="T139" fmla="*/ 9862 h 927"/>
                              <a:gd name="T140" fmla="+- 0 3477 2890"/>
                              <a:gd name="T141" fmla="*/ T140 w 612"/>
                              <a:gd name="T142" fmla="+- 0 9849 9777"/>
                              <a:gd name="T143" fmla="*/ 9849 h 927"/>
                              <a:gd name="T144" fmla="+- 0 3497 2890"/>
                              <a:gd name="T145" fmla="*/ T144 w 612"/>
                              <a:gd name="T146" fmla="+- 0 9833 9777"/>
                              <a:gd name="T147" fmla="*/ 9833 h 927"/>
                              <a:gd name="T148" fmla="+- 0 3499 2890"/>
                              <a:gd name="T149" fmla="*/ T148 w 612"/>
                              <a:gd name="T150" fmla="+- 0 9810 9777"/>
                              <a:gd name="T151" fmla="*/ 9810 h 927"/>
                              <a:gd name="T152" fmla="+- 0 3472 2890"/>
                              <a:gd name="T153" fmla="*/ T152 w 612"/>
                              <a:gd name="T154" fmla="+- 0 9785 9777"/>
                              <a:gd name="T155" fmla="*/ 9785 h 927"/>
                              <a:gd name="T156" fmla="+- 0 3427 2890"/>
                              <a:gd name="T157" fmla="*/ T156 w 612"/>
                              <a:gd name="T158" fmla="+- 0 9777 9777"/>
                              <a:gd name="T159" fmla="*/ 9777 h 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12" h="927">
                                <a:moveTo>
                                  <a:pt x="145" y="280"/>
                                </a:moveTo>
                                <a:lnTo>
                                  <a:pt x="131" y="283"/>
                                </a:lnTo>
                                <a:lnTo>
                                  <a:pt x="117" y="295"/>
                                </a:lnTo>
                                <a:lnTo>
                                  <a:pt x="105" y="317"/>
                                </a:lnTo>
                                <a:lnTo>
                                  <a:pt x="95" y="346"/>
                                </a:lnTo>
                                <a:lnTo>
                                  <a:pt x="78" y="402"/>
                                </a:lnTo>
                                <a:lnTo>
                                  <a:pt x="57" y="477"/>
                                </a:lnTo>
                                <a:lnTo>
                                  <a:pt x="36" y="563"/>
                                </a:lnTo>
                                <a:lnTo>
                                  <a:pt x="17" y="655"/>
                                </a:lnTo>
                                <a:lnTo>
                                  <a:pt x="4" y="744"/>
                                </a:lnTo>
                                <a:lnTo>
                                  <a:pt x="0" y="822"/>
                                </a:lnTo>
                                <a:lnTo>
                                  <a:pt x="7" y="883"/>
                                </a:lnTo>
                                <a:lnTo>
                                  <a:pt x="31" y="920"/>
                                </a:lnTo>
                                <a:lnTo>
                                  <a:pt x="52" y="927"/>
                                </a:lnTo>
                                <a:lnTo>
                                  <a:pt x="75" y="921"/>
                                </a:lnTo>
                                <a:lnTo>
                                  <a:pt x="95" y="900"/>
                                </a:lnTo>
                                <a:lnTo>
                                  <a:pt x="107" y="860"/>
                                </a:lnTo>
                                <a:lnTo>
                                  <a:pt x="112" y="801"/>
                                </a:lnTo>
                                <a:lnTo>
                                  <a:pt x="119" y="716"/>
                                </a:lnTo>
                                <a:lnTo>
                                  <a:pt x="129" y="621"/>
                                </a:lnTo>
                                <a:lnTo>
                                  <a:pt x="141" y="534"/>
                                </a:lnTo>
                                <a:lnTo>
                                  <a:pt x="156" y="472"/>
                                </a:lnTo>
                                <a:lnTo>
                                  <a:pt x="173" y="450"/>
                                </a:lnTo>
                                <a:lnTo>
                                  <a:pt x="291" y="450"/>
                                </a:lnTo>
                                <a:lnTo>
                                  <a:pt x="288" y="445"/>
                                </a:lnTo>
                                <a:lnTo>
                                  <a:pt x="248" y="383"/>
                                </a:lnTo>
                                <a:lnTo>
                                  <a:pt x="203" y="323"/>
                                </a:lnTo>
                                <a:lnTo>
                                  <a:pt x="158" y="284"/>
                                </a:lnTo>
                                <a:lnTo>
                                  <a:pt x="145" y="280"/>
                                </a:lnTo>
                                <a:close/>
                                <a:moveTo>
                                  <a:pt x="291" y="450"/>
                                </a:moveTo>
                                <a:lnTo>
                                  <a:pt x="173" y="450"/>
                                </a:lnTo>
                                <a:lnTo>
                                  <a:pt x="189" y="475"/>
                                </a:lnTo>
                                <a:lnTo>
                                  <a:pt x="208" y="535"/>
                                </a:lnTo>
                                <a:lnTo>
                                  <a:pt x="232" y="613"/>
                                </a:lnTo>
                                <a:lnTo>
                                  <a:pt x="260" y="694"/>
                                </a:lnTo>
                                <a:lnTo>
                                  <a:pt x="296" y="764"/>
                                </a:lnTo>
                                <a:lnTo>
                                  <a:pt x="339" y="807"/>
                                </a:lnTo>
                                <a:lnTo>
                                  <a:pt x="357" y="815"/>
                                </a:lnTo>
                                <a:lnTo>
                                  <a:pt x="369" y="817"/>
                                </a:lnTo>
                                <a:lnTo>
                                  <a:pt x="379" y="817"/>
                                </a:lnTo>
                                <a:lnTo>
                                  <a:pt x="387" y="815"/>
                                </a:lnTo>
                                <a:lnTo>
                                  <a:pt x="400" y="810"/>
                                </a:lnTo>
                                <a:lnTo>
                                  <a:pt x="411" y="802"/>
                                </a:lnTo>
                                <a:lnTo>
                                  <a:pt x="418" y="790"/>
                                </a:lnTo>
                                <a:lnTo>
                                  <a:pt x="420" y="773"/>
                                </a:lnTo>
                                <a:lnTo>
                                  <a:pt x="402" y="720"/>
                                </a:lnTo>
                                <a:lnTo>
                                  <a:pt x="394" y="653"/>
                                </a:lnTo>
                                <a:lnTo>
                                  <a:pt x="394" y="575"/>
                                </a:lnTo>
                                <a:lnTo>
                                  <a:pt x="402" y="491"/>
                                </a:lnTo>
                                <a:lnTo>
                                  <a:pt x="315" y="491"/>
                                </a:lnTo>
                                <a:lnTo>
                                  <a:pt x="291" y="450"/>
                                </a:lnTo>
                                <a:close/>
                                <a:moveTo>
                                  <a:pt x="537" y="0"/>
                                </a:moveTo>
                                <a:lnTo>
                                  <a:pt x="515" y="6"/>
                                </a:lnTo>
                                <a:lnTo>
                                  <a:pt x="491" y="18"/>
                                </a:lnTo>
                                <a:lnTo>
                                  <a:pt x="472" y="35"/>
                                </a:lnTo>
                                <a:lnTo>
                                  <a:pt x="458" y="53"/>
                                </a:lnTo>
                                <a:lnTo>
                                  <a:pt x="447" y="72"/>
                                </a:lnTo>
                                <a:lnTo>
                                  <a:pt x="432" y="109"/>
                                </a:lnTo>
                                <a:lnTo>
                                  <a:pt x="413" y="162"/>
                                </a:lnTo>
                                <a:lnTo>
                                  <a:pt x="391" y="229"/>
                                </a:lnTo>
                                <a:lnTo>
                                  <a:pt x="367" y="307"/>
                                </a:lnTo>
                                <a:lnTo>
                                  <a:pt x="341" y="395"/>
                                </a:lnTo>
                                <a:lnTo>
                                  <a:pt x="315" y="491"/>
                                </a:lnTo>
                                <a:lnTo>
                                  <a:pt x="402" y="491"/>
                                </a:lnTo>
                                <a:lnTo>
                                  <a:pt x="417" y="405"/>
                                </a:lnTo>
                                <a:lnTo>
                                  <a:pt x="438" y="321"/>
                                </a:lnTo>
                                <a:lnTo>
                                  <a:pt x="464" y="242"/>
                                </a:lnTo>
                                <a:lnTo>
                                  <a:pt x="494" y="174"/>
                                </a:lnTo>
                                <a:lnTo>
                                  <a:pt x="528" y="120"/>
                                </a:lnTo>
                                <a:lnTo>
                                  <a:pt x="564" y="85"/>
                                </a:lnTo>
                                <a:lnTo>
                                  <a:pt x="574" y="78"/>
                                </a:lnTo>
                                <a:lnTo>
                                  <a:pt x="587" y="72"/>
                                </a:lnTo>
                                <a:lnTo>
                                  <a:pt x="599" y="64"/>
                                </a:lnTo>
                                <a:lnTo>
                                  <a:pt x="607" y="56"/>
                                </a:lnTo>
                                <a:lnTo>
                                  <a:pt x="611" y="48"/>
                                </a:lnTo>
                                <a:lnTo>
                                  <a:pt x="609" y="33"/>
                                </a:lnTo>
                                <a:lnTo>
                                  <a:pt x="602" y="25"/>
                                </a:lnTo>
                                <a:lnTo>
                                  <a:pt x="582" y="8"/>
                                </a:lnTo>
                                <a:lnTo>
                                  <a:pt x="560" y="0"/>
                                </a:lnTo>
                                <a:lnTo>
                                  <a:pt x="5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7BDF5" id="Group 2" o:spid="_x0000_s1026" style="position:absolute;margin-left:14.2pt;margin-top:13.5pt;width:567pt;height:814.3pt;z-index:-261115904;mso-position-horizontal-relative:page;mso-position-vertical-relative:page" coordorigin="284,270" coordsize="11340,1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">
                <v:rect id="Rectangle 12" o:spid="_x0000_s1027" style="position:absolute;left:285;top:270;width:11338;height:10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" fillcolor="#9fbbd2" stroked="f"/>
                <v:shape id="Freeform 11" o:spid="_x0000_s1028" style="position:absolute;left:283;top:8976;width:11339;height:7580;visibility:visible;mso-wrap-style:square;v-text-anchor:top" coordsize="11339,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" path="m11338,1910r-6493,l4845,,2294,r,1910l,1910,,7579r11338,l11338,1910e" fillcolor="#0d213e" stroked="f">
                  <v:path arrowok="t" o:connecttype="custom" o:connectlocs="11338,10886;4845,10886;4845,8976;2294,8976;2294,10886;0,10886;0,16555;11338,16555;11338,10886" o:connectangles="0,0,0,0,0,0,0,0,0"/>
                </v:shape>
                <v:shape id="Picture 10" o:spid="_x0000_s1029" type="#_x0000_t75" style="position:absolute;left:3919;top:10558;width:115;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">
                  <v:imagedata r:id="rId160" o:title=""/>
                </v:shape>
                <v:shape id="Picture 9" o:spid="_x0000_s1030" type="#_x0000_t75" style="position:absolute;left:4080;top:10561;width:109;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">
                  <v:imagedata r:id="rId253" o:title=""/>
                </v:shape>
                <v:shape id="Picture 8" o:spid="_x0000_s1031" type="#_x0000_t75" style="position:absolute;left:4219;top:10558;width:123;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">
                  <v:imagedata r:id="rId162" o:title=""/>
                </v:shape>
                <v:shape id="Picture 7" o:spid="_x0000_s1032" type="#_x0000_t75" style="position:absolute;left:4376;top:10561;width:109;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">
                  <v:imagedata r:id="rId254" o:title=""/>
                </v:shape>
                <v:shape id="Picture 6" o:spid="_x0000_s1033" type="#_x0000_t75" style="position:absolute;left:4526;top:10561;width:106;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">
                  <v:imagedata r:id="rId255" o:title=""/>
                </v:shape>
                <v:shape id="AutoShape 5" o:spid="_x0000_s1034" style="position:absolute;left:3318;top:9826;width:1502;height:678;visibility:visible;mso-wrap-style:square;v-text-anchor:top" coordsize="150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" path="m1039,356r-1,-11l1037,340r-1,-5l1032,326r-8,-8l1014,311r-14,2l987,317r-62,12l858,337r-56,3l772,338r-1,l768,334r9,-85l798,176,836,80r3,-9l842,61r2,-10l841,38,835,25,825,14,812,6,791,,763,1,746,17r-6,23l741,66r-6,32l716,161r-20,83l686,337r-17,1l641,340r-26,8l600,363r,2l601,385r13,20l638,424r32,16l679,442r-7,25l670,473r-37,45l566,558r-73,29l438,599r-47,-6l372,575r1,-19l382,545r13,-3l408,539r50,-17l515,488r19,-23l537,461r22,-27l571,363r1,-7l551,307,510,285r-12,-1l498,382r-3,18l482,420r-18,16l444,450r-18,8l410,461r-15,-2l385,451r-5,-13l380,427r2,-10l387,408r7,-9l405,388r11,-10l427,371r14,-6l469,363r20,6l498,382r,-98l464,282r-34,9l354,346r-45,56l285,447r-12,18l270,450r-5,-36l263,410,249,372,215,338r-16,-4l199,473r-4,40l178,550r-30,18l115,570,91,556,80,530r,-30l88,469r14,-25l118,425r15,-11l148,410r18,1l185,423r11,19l199,470r,3l199,334r-23,-7l135,330,98,342,70,359,40,388,19,421,5,459r,1l,503r14,70l54,620r52,22l156,641r45,-21l232,594r18,-24l253,566r13,-24l269,549r1,34l281,626r33,33l381,678r68,-7l517,647r69,-36l607,599r49,-28l669,566r12,1l691,574r7,12l702,596r4,10l711,616r6,9l723,635r8,1l740,635r9,-6l765,616r13,-16l784,584r-1,-12l783,566r-2,-7l779,545r-2,-11l775,527r-4,-12l767,501r-2,-9l764,482r,-12l767,460r7,-9l800,442r45,-13l890,418r28,-8l945,403r12,3l960,417r,3l959,435r-4,30l947,516r-7,51l938,593r,1l947,608r17,8l980,621r8,1l1004,623r13,-5l1027,611r5,-11l1035,555r2,-80l1039,403r,-15l1039,356t462,131l1491,452r-25,-15l1455,444r-3,15l1451,478r-3,20l1430,517r-44,25l1327,566r-65,14l1205,578r-41,-16l1139,536r-10,-33l1134,467r17,-34l1179,405r37,-22l1222,380r9,-2l1236,380r11,4l1257,393r10,5l1274,402r8,5l1289,407r13,-8l1308,381r,-3l1308,356r-7,-29l1289,302r-17,-15l1251,281r-25,4l1217,288r-15,6l1182,307r-25,20l1129,354r-27,31l1080,421r-16,40l1059,504r7,43l1087,586r35,36l1155,638r50,11l1268,651r72,-13l1416,605r33,-25l1493,547r7,-22l1501,487e" stroked="f">
                  <v:path arrowok="t" o:connecttype="custom" o:connectlocs="1032,10152;925,10155;768,10160;842,9887;812,9832;741,9892;669,10164;601,10211;672,10293;438,10425;395,10368;537,10287;510,10111;464,10262;385,10277;394,10225;469,10189;430,10117;270,10276;199,10160;115,10396;102,10270;185,10249;176,10153;19,10247;54,10446;250,10396;281,10452;586,10437;691,10400;717,10451;765,10442;781,10385;767,10327;774,10277;945,10229;955,10291;947,10434;1017,10444;1039,10229;1466,10263;1430,10343;1164,10388;1179,10231;1247,10210;1289,10233;1301,10153;1217,10114;1102,10211;1087,10412;1340,10464;1501,10313" o:connectangles="0,0,0,0,0,0,0,0,0,0,0,0,0,0,0,0,0,0,0,0,0,0,0,0,0,0,0,0,0,0,0,0,0,0,0,0,0,0,0,0,0,0,0,0,0,0,0,0,0,0,0,0"/>
                </v:shape>
                <v:shape id="Picture 4" o:spid="_x0000_s1035" type="#_x0000_t75" style="position:absolute;left:4274;top:9928;width:107;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">
                  <v:imagedata r:id="rId256" o:title=""/>
                </v:shape>
                <v:shape id="AutoShape 3" o:spid="_x0000_s1036" style="position:absolute;left:2889;top:9777;width:612;height:927;visibility:visible;mso-wrap-style:square;v-text-anchor:top" coordsize="61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" path="m145,280r-14,3l117,295r-12,22l95,346,78,402,57,477,36,563,17,655,4,744,,822r7,61l31,920r21,7l75,921,95,900r12,-40l112,801r7,-85l129,621r12,-87l156,472r17,-22l291,450r-3,-5l248,383,203,323,158,284r-13,-4xm291,450r-118,l189,475r19,60l232,613r28,81l296,764r43,43l357,815r12,2l379,817r8,-2l400,810r11,-8l418,790r2,-17l402,720r-8,-67l394,575r8,-84l315,491,291,450xm537,l515,6,491,18,472,35,458,53,447,72r-15,37l413,162r-22,67l367,307r-26,88l315,491r87,l417,405r21,-84l464,242r30,-68l528,120,564,85r10,-7l587,72r12,-8l607,56r4,-8l609,33r-7,-8l582,8,560,,537,xe" stroked="f">
                  <v:path arrowok="t" o:connecttype="custom" o:connectlocs="131,10060;105,10094;78,10179;36,10340;4,10521;7,10660;52,10704;95,10677;112,10578;129,10398;156,10249;291,10227;248,10160;158,10061;291,10227;189,10252;232,10390;296,10541;357,10592;379,10594;400,10587;418,10567;402,10497;394,10352;315,10268;537,9777;491,9795;458,9830;432,9886;391,10006;341,10172;402,10268;438,10098;494,9951;564,9862;587,9849;607,9833;609,9810;582,9785;537,9777" o:connectangles="0,0,0,0,0,0,0,0,0,0,0,0,0,0,0,0,0,0,0,0,0,0,0,0,0,0,0,0,0,0,0,0,0,0,0,0,0,0,0,0"/>
                </v:shape>
                <w10:wrap anchorx="page" anchory="page"/>
              </v:group>
            </w:pict>
          </mc:Fallback>
        </mc:AlternateContent>
      </w: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rPr>
          <w:rFonts w:ascii="Arial"/>
          <w:sz w:val="20"/>
        </w:rPr>
      </w:pPr>
    </w:p>
    <w:p w:rsidR="007D76BB" w:rsidRDefault="007D76BB">
      <w:pPr>
        <w:pStyle w:val="BodyText"/>
        <w:spacing w:before="9"/>
        <w:rPr>
          <w:rFonts w:ascii="Arial"/>
          <w:sz w:val="20"/>
        </w:rPr>
      </w:pPr>
    </w:p>
    <w:p w:rsidR="007D76BB" w:rsidRDefault="00D70D28">
      <w:pPr>
        <w:spacing w:before="108"/>
        <w:ind w:left="1614"/>
        <w:rPr>
          <w:rFonts w:ascii="Arial"/>
          <w:sz w:val="19"/>
        </w:rPr>
      </w:pPr>
      <w:r>
        <w:rPr>
          <w:rFonts w:ascii="Arial"/>
          <w:color w:val="FFFFFF"/>
          <w:w w:val="105"/>
          <w:sz w:val="19"/>
        </w:rPr>
        <w:t>Noetic Group</w:t>
      </w:r>
    </w:p>
    <w:p w:rsidR="007D76BB" w:rsidRDefault="00D70D28">
      <w:pPr>
        <w:spacing w:before="202"/>
        <w:ind w:left="1614"/>
        <w:rPr>
          <w:rFonts w:ascii="Arial"/>
          <w:sz w:val="19"/>
        </w:rPr>
      </w:pPr>
      <w:r>
        <w:rPr>
          <w:rFonts w:ascii="Arial"/>
          <w:color w:val="FFFFFF"/>
          <w:sz w:val="19"/>
        </w:rPr>
        <w:t>Locked Bag 3001</w:t>
      </w:r>
    </w:p>
    <w:p w:rsidR="007D76BB" w:rsidRDefault="00D70D28">
      <w:pPr>
        <w:spacing w:before="24"/>
        <w:ind w:left="1614"/>
        <w:rPr>
          <w:rFonts w:ascii="Arial"/>
          <w:sz w:val="19"/>
        </w:rPr>
      </w:pPr>
      <w:r>
        <w:rPr>
          <w:rFonts w:ascii="Arial"/>
          <w:color w:val="FFFFFF"/>
          <w:w w:val="105"/>
          <w:sz w:val="19"/>
        </w:rPr>
        <w:t>Deakin West ACT 2600 Australia</w:t>
      </w:r>
    </w:p>
    <w:p w:rsidR="007D76BB" w:rsidRDefault="00D70D28">
      <w:pPr>
        <w:spacing w:before="199"/>
        <w:ind w:left="1614"/>
        <w:rPr>
          <w:rFonts w:ascii="Arial"/>
          <w:sz w:val="19"/>
        </w:rPr>
      </w:pPr>
      <w:r>
        <w:rPr>
          <w:rFonts w:ascii="Arial"/>
          <w:color w:val="FFFFFF"/>
          <w:sz w:val="19"/>
        </w:rPr>
        <w:t>Phone +61 2 6234 7777</w:t>
      </w:r>
    </w:p>
    <w:p w:rsidR="007D76BB" w:rsidRDefault="00D70D28">
      <w:pPr>
        <w:spacing w:before="22"/>
        <w:ind w:left="1614"/>
        <w:rPr>
          <w:rFonts w:ascii="Arial"/>
          <w:sz w:val="19"/>
        </w:rPr>
      </w:pPr>
      <w:r>
        <w:rPr>
          <w:rFonts w:ascii="Arial"/>
          <w:color w:val="FFFFFF"/>
          <w:sz w:val="19"/>
        </w:rPr>
        <w:t>Fax +61 2 6232 6515</w:t>
      </w:r>
    </w:p>
    <w:p w:rsidR="007D76BB" w:rsidRDefault="00A51832">
      <w:pPr>
        <w:spacing w:before="26"/>
        <w:ind w:left="1614"/>
        <w:rPr>
          <w:rFonts w:ascii="Arial"/>
          <w:sz w:val="19"/>
        </w:rPr>
      </w:pPr>
      <w:hyperlink r:id="rId257">
        <w:r w:rsidR="00D70D28">
          <w:rPr>
            <w:rFonts w:ascii="Arial"/>
            <w:color w:val="F9E0A2"/>
            <w:sz w:val="19"/>
          </w:rPr>
          <w:t>www.noeticgroup.com</w:t>
        </w:r>
      </w:hyperlink>
    </w:p>
    <w:p w:rsidR="007D76BB" w:rsidRDefault="007D76BB">
      <w:pPr>
        <w:rPr>
          <w:rFonts w:ascii="Arial"/>
          <w:sz w:val="19"/>
        </w:rPr>
        <w:sectPr w:rsidR="007D76BB">
          <w:headerReference w:type="default" r:id="rId258"/>
          <w:footerReference w:type="default" r:id="rId259"/>
          <w:pgSz w:w="11910" w:h="16850"/>
          <w:pgMar w:top="1600" w:right="820" w:bottom="280" w:left="1220" w:header="0" w:footer="0" w:gutter="0"/>
          <w:cols w:space="720"/>
        </w:sectPr>
      </w:pPr>
    </w:p>
    <w:p w:rsidR="007D76BB" w:rsidRDefault="007D76BB">
      <w:pPr>
        <w:pStyle w:val="BodyText"/>
        <w:spacing w:before="4"/>
        <w:rPr>
          <w:rFonts w:ascii="Arial"/>
          <w:sz w:val="17"/>
        </w:rPr>
      </w:pPr>
    </w:p>
    <w:p w:rsidR="007D76BB" w:rsidRDefault="007D76BB">
      <w:pPr>
        <w:rPr>
          <w:rFonts w:ascii="Arial"/>
          <w:sz w:val="17"/>
        </w:rPr>
        <w:sectPr w:rsidR="007D76BB">
          <w:headerReference w:type="default" r:id="rId260"/>
          <w:footerReference w:type="default" r:id="rId261"/>
          <w:pgSz w:w="11910" w:h="16850"/>
          <w:pgMar w:top="1600" w:right="820" w:bottom="280" w:left="1220" w:header="0" w:footer="0" w:gutter="0"/>
          <w:cols w:space="720"/>
        </w:sectPr>
      </w:pPr>
    </w:p>
    <w:p w:rsidR="007D76BB" w:rsidRDefault="007D76BB">
      <w:pPr>
        <w:pStyle w:val="BodyText"/>
        <w:spacing w:before="9"/>
        <w:rPr>
          <w:rFonts w:ascii="Arial"/>
          <w:sz w:val="12"/>
        </w:rPr>
      </w:pPr>
    </w:p>
    <w:p w:rsidR="007D76BB" w:rsidRDefault="00D70D28">
      <w:pPr>
        <w:spacing w:before="87"/>
        <w:ind w:left="120"/>
        <w:rPr>
          <w:rFonts w:ascii="Arial"/>
          <w:b/>
          <w:sz w:val="38"/>
        </w:rPr>
      </w:pPr>
      <w:bookmarkStart w:id="162" w:name="Appendix_2:_Examples_of_ingredients_in_s"/>
      <w:bookmarkStart w:id="163" w:name="_bookmark88"/>
      <w:bookmarkEnd w:id="162"/>
      <w:bookmarkEnd w:id="163"/>
      <w:r>
        <w:rPr>
          <w:rFonts w:ascii="Arial"/>
          <w:b/>
          <w:sz w:val="38"/>
        </w:rPr>
        <w:t>Appendix 2: Examples of ingredients in sports supplements</w:t>
      </w:r>
    </w:p>
    <w:p w:rsidR="007D76BB" w:rsidRDefault="00D70D28">
      <w:pPr>
        <w:pStyle w:val="BodyText"/>
        <w:spacing w:before="123"/>
        <w:ind w:left="120" w:right="124"/>
      </w:pPr>
      <w:r>
        <w:t>The following list of ingredients were drawn from several sources (reference list provided below) and provide examples of some of the different kinds of ingredients that have been found, or could be contained, in sports supplements overseas and in Australia.</w:t>
      </w:r>
    </w:p>
    <w:p w:rsidR="007D76BB" w:rsidRDefault="007D76BB">
      <w:pPr>
        <w:pStyle w:val="BodyText"/>
        <w:spacing w:before="4" w:after="1"/>
        <w:rPr>
          <w:sz w:val="15"/>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135"/>
        <w:gridCol w:w="3117"/>
        <w:gridCol w:w="1276"/>
        <w:gridCol w:w="6659"/>
      </w:tblGrid>
      <w:tr w:rsidR="007D76BB">
        <w:trPr>
          <w:trHeight w:val="930"/>
        </w:trPr>
        <w:tc>
          <w:tcPr>
            <w:tcW w:w="2126" w:type="dxa"/>
            <w:tcBorders>
              <w:left w:val="nil"/>
            </w:tcBorders>
            <w:shd w:val="clear" w:color="auto" w:fill="006FB5"/>
          </w:tcPr>
          <w:p w:rsidR="007D76BB" w:rsidRDefault="007D76BB">
            <w:pPr>
              <w:pStyle w:val="TableParagraph"/>
            </w:pPr>
          </w:p>
          <w:p w:rsidR="007D76BB" w:rsidRDefault="00D70D28">
            <w:pPr>
              <w:pStyle w:val="TableParagraph"/>
              <w:spacing w:before="133" w:line="270" w:lineRule="atLeast"/>
              <w:ind w:left="112" w:right="198"/>
              <w:rPr>
                <w:rFonts w:ascii="Calibri"/>
                <w:b/>
              </w:rPr>
            </w:pPr>
            <w:r>
              <w:rPr>
                <w:rFonts w:ascii="Calibri"/>
                <w:b/>
                <w:color w:val="FFFFFF"/>
              </w:rPr>
              <w:t>Ingredient name (alternative names)</w:t>
            </w:r>
          </w:p>
        </w:tc>
        <w:tc>
          <w:tcPr>
            <w:tcW w:w="1135" w:type="dxa"/>
            <w:shd w:val="clear" w:color="auto" w:fill="006FB5"/>
          </w:tcPr>
          <w:p w:rsidR="007D76BB" w:rsidRDefault="007D76BB">
            <w:pPr>
              <w:pStyle w:val="TableParagraph"/>
            </w:pPr>
          </w:p>
          <w:p w:rsidR="007D76BB" w:rsidRDefault="007D76BB">
            <w:pPr>
              <w:pStyle w:val="TableParagraph"/>
            </w:pPr>
          </w:p>
          <w:p w:rsidR="007D76BB" w:rsidRDefault="00D70D28">
            <w:pPr>
              <w:pStyle w:val="TableParagraph"/>
              <w:spacing w:before="145" w:line="249" w:lineRule="exact"/>
              <w:ind w:left="108"/>
              <w:rPr>
                <w:rFonts w:ascii="Calibri"/>
                <w:b/>
              </w:rPr>
            </w:pPr>
            <w:r>
              <w:rPr>
                <w:rFonts w:ascii="Calibri"/>
                <w:b/>
                <w:color w:val="FFFFFF"/>
              </w:rPr>
              <w:t>Class</w:t>
            </w:r>
          </w:p>
        </w:tc>
        <w:tc>
          <w:tcPr>
            <w:tcW w:w="3117" w:type="dxa"/>
            <w:shd w:val="clear" w:color="auto" w:fill="006FB5"/>
          </w:tcPr>
          <w:p w:rsidR="007D76BB" w:rsidRDefault="007D76BB">
            <w:pPr>
              <w:pStyle w:val="TableParagraph"/>
            </w:pPr>
          </w:p>
          <w:p w:rsidR="007D76BB" w:rsidRDefault="007D76BB">
            <w:pPr>
              <w:pStyle w:val="TableParagraph"/>
            </w:pPr>
          </w:p>
          <w:p w:rsidR="007D76BB" w:rsidRDefault="00D70D28">
            <w:pPr>
              <w:pStyle w:val="TableParagraph"/>
              <w:spacing w:before="145" w:line="249" w:lineRule="exact"/>
              <w:ind w:left="108"/>
              <w:rPr>
                <w:rFonts w:ascii="Calibri"/>
                <w:b/>
              </w:rPr>
            </w:pPr>
            <w:r>
              <w:rPr>
                <w:rFonts w:ascii="Calibri"/>
                <w:b/>
                <w:color w:val="FFFFFF"/>
              </w:rPr>
              <w:t>Poisons Standard</w:t>
            </w:r>
          </w:p>
        </w:tc>
        <w:tc>
          <w:tcPr>
            <w:tcW w:w="1276" w:type="dxa"/>
            <w:shd w:val="clear" w:color="auto" w:fill="006FB5"/>
          </w:tcPr>
          <w:p w:rsidR="007D76BB" w:rsidRDefault="007D76BB">
            <w:pPr>
              <w:pStyle w:val="TableParagraph"/>
            </w:pPr>
          </w:p>
          <w:p w:rsidR="007D76BB" w:rsidRDefault="00D70D28">
            <w:pPr>
              <w:pStyle w:val="TableParagraph"/>
              <w:spacing w:before="135"/>
              <w:ind w:left="108"/>
              <w:rPr>
                <w:rFonts w:ascii="Calibri"/>
                <w:b/>
              </w:rPr>
            </w:pPr>
            <w:r>
              <w:rPr>
                <w:rFonts w:ascii="Calibri"/>
                <w:b/>
                <w:color w:val="FFFFFF"/>
              </w:rPr>
              <w:t>WADC</w:t>
            </w:r>
          </w:p>
          <w:p w:rsidR="007D76BB" w:rsidRDefault="00D70D28">
            <w:pPr>
              <w:pStyle w:val="TableParagraph"/>
              <w:spacing w:line="249" w:lineRule="exact"/>
              <w:ind w:left="108"/>
              <w:rPr>
                <w:rFonts w:ascii="Calibri"/>
                <w:b/>
              </w:rPr>
            </w:pPr>
            <w:r>
              <w:rPr>
                <w:rFonts w:ascii="Calibri"/>
                <w:b/>
                <w:color w:val="FFFFFF"/>
              </w:rPr>
              <w:t>Prohibited</w:t>
            </w:r>
          </w:p>
        </w:tc>
        <w:tc>
          <w:tcPr>
            <w:tcW w:w="6659" w:type="dxa"/>
            <w:shd w:val="clear" w:color="auto" w:fill="006FB5"/>
          </w:tcPr>
          <w:p w:rsidR="007D76BB" w:rsidRDefault="007D76BB">
            <w:pPr>
              <w:pStyle w:val="TableParagraph"/>
            </w:pPr>
          </w:p>
          <w:p w:rsidR="007D76BB" w:rsidRDefault="007D76BB">
            <w:pPr>
              <w:pStyle w:val="TableParagraph"/>
            </w:pPr>
          </w:p>
          <w:p w:rsidR="007D76BB" w:rsidRDefault="00D70D28">
            <w:pPr>
              <w:pStyle w:val="TableParagraph"/>
              <w:spacing w:before="145" w:line="249" w:lineRule="exact"/>
              <w:ind w:left="109"/>
              <w:rPr>
                <w:rFonts w:ascii="Calibri"/>
                <w:b/>
              </w:rPr>
            </w:pPr>
            <w:r>
              <w:rPr>
                <w:rFonts w:ascii="Calibri"/>
                <w:b/>
                <w:color w:val="FFFFFF"/>
              </w:rPr>
              <w:t>Notes</w:t>
            </w:r>
          </w:p>
        </w:tc>
      </w:tr>
      <w:tr w:rsidR="007D76BB">
        <w:trPr>
          <w:trHeight w:val="419"/>
        </w:trPr>
        <w:tc>
          <w:tcPr>
            <w:tcW w:w="2126" w:type="dxa"/>
          </w:tcPr>
          <w:p w:rsidR="007D76BB" w:rsidRDefault="00D70D28">
            <w:pPr>
              <w:pStyle w:val="TableParagraph"/>
              <w:spacing w:before="51"/>
              <w:ind w:left="107"/>
              <w:rPr>
                <w:sz w:val="16"/>
              </w:rPr>
            </w:pPr>
            <w:r>
              <w:rPr>
                <w:sz w:val="16"/>
              </w:rPr>
              <w:t>Beta-alanine(1,2)</w:t>
            </w:r>
          </w:p>
        </w:tc>
        <w:tc>
          <w:tcPr>
            <w:tcW w:w="1135" w:type="dxa"/>
          </w:tcPr>
          <w:p w:rsidR="007D76BB" w:rsidRDefault="00D70D28">
            <w:pPr>
              <w:pStyle w:val="TableParagraph"/>
              <w:spacing w:before="51"/>
              <w:ind w:left="108"/>
              <w:rPr>
                <w:sz w:val="16"/>
              </w:rPr>
            </w:pPr>
            <w:r>
              <w:rPr>
                <w:sz w:val="16"/>
              </w:rPr>
              <w:t>Amino acid</w:t>
            </w:r>
          </w:p>
        </w:tc>
        <w:tc>
          <w:tcPr>
            <w:tcW w:w="3117" w:type="dxa"/>
          </w:tcPr>
          <w:p w:rsidR="007D76BB" w:rsidRDefault="00D70D28">
            <w:pPr>
              <w:pStyle w:val="TableParagraph"/>
              <w:spacing w:before="51"/>
              <w:ind w:left="108"/>
              <w:rPr>
                <w:sz w:val="16"/>
              </w:rPr>
            </w:pPr>
            <w:r>
              <w:rPr>
                <w:sz w:val="16"/>
              </w:rPr>
              <w:t>No</w:t>
            </w:r>
          </w:p>
        </w:tc>
        <w:tc>
          <w:tcPr>
            <w:tcW w:w="1276" w:type="dxa"/>
          </w:tcPr>
          <w:p w:rsidR="007D76BB" w:rsidRDefault="00D70D28">
            <w:pPr>
              <w:pStyle w:val="TableParagraph"/>
              <w:spacing w:before="51"/>
              <w:ind w:left="108"/>
              <w:rPr>
                <w:sz w:val="16"/>
              </w:rPr>
            </w:pPr>
            <w:r>
              <w:rPr>
                <w:sz w:val="16"/>
              </w:rPr>
              <w:t>No</w:t>
            </w:r>
          </w:p>
        </w:tc>
        <w:tc>
          <w:tcPr>
            <w:tcW w:w="6659" w:type="dxa"/>
          </w:tcPr>
          <w:p w:rsidR="007D76BB" w:rsidRDefault="007D76BB">
            <w:pPr>
              <w:pStyle w:val="TableParagraph"/>
              <w:rPr>
                <w:rFonts w:ascii="Times New Roman"/>
                <w:sz w:val="16"/>
              </w:rPr>
            </w:pPr>
          </w:p>
        </w:tc>
      </w:tr>
      <w:tr w:rsidR="007D76BB">
        <w:trPr>
          <w:trHeight w:val="1379"/>
        </w:trPr>
        <w:tc>
          <w:tcPr>
            <w:tcW w:w="2126" w:type="dxa"/>
          </w:tcPr>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D70D28">
            <w:pPr>
              <w:pStyle w:val="TableParagraph"/>
              <w:spacing w:before="138" w:line="307" w:lineRule="auto"/>
              <w:ind w:left="107" w:right="352"/>
              <w:rPr>
                <w:sz w:val="16"/>
              </w:rPr>
            </w:pPr>
            <w:proofErr w:type="spellStart"/>
            <w:r>
              <w:rPr>
                <w:sz w:val="16"/>
              </w:rPr>
              <w:t>Oxedrine</w:t>
            </w:r>
            <w:proofErr w:type="spellEnd"/>
            <w:r>
              <w:rPr>
                <w:sz w:val="16"/>
              </w:rPr>
              <w:t xml:space="preserve"> (Bitter orange extract/</w:t>
            </w:r>
            <w:proofErr w:type="spellStart"/>
            <w:r>
              <w:rPr>
                <w:sz w:val="16"/>
              </w:rPr>
              <w:t>synephrine</w:t>
            </w:r>
            <w:proofErr w:type="spellEnd"/>
            <w:r>
              <w:rPr>
                <w:sz w:val="16"/>
              </w:rPr>
              <w:t>) (2)</w:t>
            </w:r>
          </w:p>
        </w:tc>
        <w:tc>
          <w:tcPr>
            <w:tcW w:w="1135" w:type="dxa"/>
          </w:tcPr>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spacing w:before="3"/>
              <w:rPr>
                <w:sz w:val="14"/>
              </w:rPr>
            </w:pPr>
          </w:p>
          <w:p w:rsidR="007D76BB" w:rsidRDefault="00D70D28">
            <w:pPr>
              <w:pStyle w:val="TableParagraph"/>
              <w:ind w:left="108"/>
              <w:rPr>
                <w:sz w:val="16"/>
              </w:rPr>
            </w:pPr>
            <w:r>
              <w:rPr>
                <w:sz w:val="16"/>
              </w:rPr>
              <w:t>Stimulant</w:t>
            </w:r>
          </w:p>
        </w:tc>
        <w:tc>
          <w:tcPr>
            <w:tcW w:w="3117" w:type="dxa"/>
          </w:tcPr>
          <w:p w:rsidR="007D76BB" w:rsidRDefault="00D70D28">
            <w:pPr>
              <w:pStyle w:val="TableParagraph"/>
              <w:spacing w:before="51" w:line="307" w:lineRule="auto"/>
              <w:ind w:left="108" w:right="154"/>
              <w:rPr>
                <w:sz w:val="16"/>
              </w:rPr>
            </w:pPr>
            <w:r>
              <w:rPr>
                <w:sz w:val="16"/>
              </w:rPr>
              <w:t xml:space="preserve">Poisons Standard - Schedule 4 - </w:t>
            </w:r>
            <w:proofErr w:type="spellStart"/>
            <w:r>
              <w:rPr>
                <w:sz w:val="16"/>
              </w:rPr>
              <w:t>Oxedrine</w:t>
            </w:r>
            <w:proofErr w:type="spellEnd"/>
            <w:r>
              <w:rPr>
                <w:sz w:val="16"/>
              </w:rPr>
              <w:t xml:space="preserve"> for human internal use except in preparations labelled with a recommended daily dose of 30 mg or less of </w:t>
            </w:r>
            <w:proofErr w:type="spellStart"/>
            <w:r>
              <w:rPr>
                <w:sz w:val="16"/>
              </w:rPr>
              <w:t>oxedrine</w:t>
            </w:r>
            <w:proofErr w:type="spellEnd"/>
            <w:r>
              <w:rPr>
                <w:sz w:val="16"/>
              </w:rPr>
              <w:t>.</w:t>
            </w:r>
          </w:p>
        </w:tc>
        <w:tc>
          <w:tcPr>
            <w:tcW w:w="1276" w:type="dxa"/>
          </w:tcPr>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spacing w:before="3"/>
              <w:rPr>
                <w:sz w:val="14"/>
              </w:rPr>
            </w:pPr>
          </w:p>
          <w:p w:rsidR="007D76BB" w:rsidRDefault="00D70D28">
            <w:pPr>
              <w:pStyle w:val="TableParagraph"/>
              <w:ind w:left="108"/>
              <w:rPr>
                <w:sz w:val="16"/>
              </w:rPr>
            </w:pPr>
            <w:r>
              <w:rPr>
                <w:sz w:val="16"/>
              </w:rPr>
              <w:t>No</w:t>
            </w:r>
          </w:p>
        </w:tc>
        <w:tc>
          <w:tcPr>
            <w:tcW w:w="6659" w:type="dxa"/>
          </w:tcPr>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spacing w:before="3"/>
              <w:rPr>
                <w:sz w:val="14"/>
              </w:rPr>
            </w:pPr>
          </w:p>
          <w:p w:rsidR="007D76BB" w:rsidRDefault="00D70D28">
            <w:pPr>
              <w:pStyle w:val="TableParagraph"/>
              <w:ind w:left="109"/>
              <w:rPr>
                <w:sz w:val="16"/>
              </w:rPr>
            </w:pPr>
            <w:r>
              <w:rPr>
                <w:sz w:val="16"/>
              </w:rPr>
              <w:t xml:space="preserve">Not scheduled when labelled with a recommended daily dose of 30mg or less of </w:t>
            </w:r>
            <w:proofErr w:type="spellStart"/>
            <w:r>
              <w:rPr>
                <w:sz w:val="16"/>
              </w:rPr>
              <w:t>oxedrine</w:t>
            </w:r>
            <w:proofErr w:type="spellEnd"/>
            <w:r>
              <w:rPr>
                <w:sz w:val="16"/>
              </w:rPr>
              <w:t>.</w:t>
            </w:r>
          </w:p>
        </w:tc>
      </w:tr>
      <w:tr w:rsidR="007D76BB">
        <w:trPr>
          <w:trHeight w:val="3189"/>
        </w:trPr>
        <w:tc>
          <w:tcPr>
            <w:tcW w:w="2126" w:type="dxa"/>
          </w:tcPr>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spacing w:before="7"/>
              <w:rPr>
                <w:sz w:val="24"/>
              </w:rPr>
            </w:pPr>
          </w:p>
          <w:p w:rsidR="007D76BB" w:rsidRDefault="00D70D28">
            <w:pPr>
              <w:pStyle w:val="TableParagraph"/>
              <w:ind w:left="107"/>
              <w:rPr>
                <w:sz w:val="16"/>
              </w:rPr>
            </w:pPr>
            <w:r>
              <w:rPr>
                <w:sz w:val="16"/>
              </w:rPr>
              <w:t>Caffeine(1,2)</w:t>
            </w:r>
          </w:p>
        </w:tc>
        <w:tc>
          <w:tcPr>
            <w:tcW w:w="1135" w:type="dxa"/>
          </w:tcPr>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spacing w:before="7"/>
              <w:rPr>
                <w:sz w:val="24"/>
              </w:rPr>
            </w:pPr>
          </w:p>
          <w:p w:rsidR="007D76BB" w:rsidRDefault="00D70D28">
            <w:pPr>
              <w:pStyle w:val="TableParagraph"/>
              <w:ind w:left="108"/>
              <w:rPr>
                <w:sz w:val="16"/>
              </w:rPr>
            </w:pPr>
            <w:r>
              <w:rPr>
                <w:sz w:val="16"/>
              </w:rPr>
              <w:t>Stimulant</w:t>
            </w:r>
          </w:p>
        </w:tc>
        <w:tc>
          <w:tcPr>
            <w:tcW w:w="3117" w:type="dxa"/>
          </w:tcPr>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spacing w:before="2"/>
            </w:pPr>
          </w:p>
          <w:p w:rsidR="007D76BB" w:rsidRDefault="00D70D28">
            <w:pPr>
              <w:pStyle w:val="TableParagraph"/>
              <w:spacing w:line="307" w:lineRule="auto"/>
              <w:ind w:left="108" w:right="690"/>
              <w:rPr>
                <w:sz w:val="16"/>
              </w:rPr>
            </w:pPr>
            <w:r>
              <w:rPr>
                <w:sz w:val="16"/>
              </w:rPr>
              <w:t>As of 1 June 2020, Schedule 4 and Schedule 6 (See notes)</w:t>
            </w:r>
          </w:p>
        </w:tc>
        <w:tc>
          <w:tcPr>
            <w:tcW w:w="1276" w:type="dxa"/>
          </w:tcPr>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spacing w:before="7"/>
              <w:rPr>
                <w:sz w:val="24"/>
              </w:rPr>
            </w:pPr>
          </w:p>
          <w:p w:rsidR="007D76BB" w:rsidRDefault="00D70D28">
            <w:pPr>
              <w:pStyle w:val="TableParagraph"/>
              <w:ind w:left="108"/>
              <w:rPr>
                <w:sz w:val="16"/>
              </w:rPr>
            </w:pPr>
            <w:r>
              <w:rPr>
                <w:sz w:val="16"/>
              </w:rPr>
              <w:t>No</w:t>
            </w:r>
          </w:p>
        </w:tc>
        <w:tc>
          <w:tcPr>
            <w:tcW w:w="6659" w:type="dxa"/>
          </w:tcPr>
          <w:p w:rsidR="007D76BB" w:rsidRDefault="00D70D28">
            <w:pPr>
              <w:pStyle w:val="TableParagraph"/>
              <w:ind w:left="109" w:right="154"/>
              <w:rPr>
                <w:sz w:val="16"/>
              </w:rPr>
            </w:pPr>
            <w:r>
              <w:rPr>
                <w:sz w:val="16"/>
              </w:rPr>
              <w:t xml:space="preserve">An </w:t>
            </w:r>
            <w:hyperlink r:id="rId262">
              <w:r>
                <w:rPr>
                  <w:color w:val="0000FF"/>
                  <w:sz w:val="16"/>
                  <w:u w:val="single" w:color="0000FF"/>
                </w:rPr>
                <w:t>final decision has been made to schedule caffeine</w:t>
              </w:r>
              <w:r>
                <w:rPr>
                  <w:color w:val="0000FF"/>
                  <w:sz w:val="16"/>
                </w:rPr>
                <w:t xml:space="preserve"> </w:t>
              </w:r>
            </w:hyperlink>
            <w:r>
              <w:rPr>
                <w:sz w:val="16"/>
              </w:rPr>
              <w:t>as follows (date of effect is 1 June 2020): Schedule 4: Caffeine for internal human therapeutic use except:</w:t>
            </w:r>
          </w:p>
          <w:p w:rsidR="007D76BB" w:rsidRDefault="00D70D28">
            <w:pPr>
              <w:pStyle w:val="TableParagraph"/>
              <w:numPr>
                <w:ilvl w:val="0"/>
                <w:numId w:val="4"/>
              </w:numPr>
              <w:tabs>
                <w:tab w:val="left" w:pos="829"/>
                <w:tab w:val="left" w:pos="830"/>
              </w:tabs>
              <w:ind w:right="116"/>
              <w:rPr>
                <w:sz w:val="16"/>
              </w:rPr>
            </w:pPr>
            <w:r>
              <w:rPr>
                <w:sz w:val="16"/>
              </w:rPr>
              <w:t>in divided preparations when labelled with a maximum recommended daily dose of no greater than 600 milligrams of total caffeine;</w:t>
            </w:r>
            <w:r>
              <w:rPr>
                <w:spacing w:val="-11"/>
                <w:sz w:val="16"/>
              </w:rPr>
              <w:t xml:space="preserve"> </w:t>
            </w:r>
            <w:r>
              <w:rPr>
                <w:sz w:val="16"/>
              </w:rPr>
              <w:t>or</w:t>
            </w:r>
          </w:p>
          <w:p w:rsidR="007D76BB" w:rsidRDefault="00D70D28">
            <w:pPr>
              <w:pStyle w:val="TableParagraph"/>
              <w:numPr>
                <w:ilvl w:val="0"/>
                <w:numId w:val="4"/>
              </w:numPr>
              <w:tabs>
                <w:tab w:val="left" w:pos="829"/>
                <w:tab w:val="left" w:pos="830"/>
              </w:tabs>
              <w:ind w:right="319"/>
              <w:rPr>
                <w:sz w:val="16"/>
              </w:rPr>
            </w:pPr>
            <w:proofErr w:type="gramStart"/>
            <w:r>
              <w:rPr>
                <w:sz w:val="16"/>
              </w:rPr>
              <w:t>in</w:t>
            </w:r>
            <w:proofErr w:type="gramEnd"/>
            <w:r>
              <w:rPr>
                <w:sz w:val="16"/>
              </w:rPr>
              <w:t xml:space="preserve"> undivided preparations with a concentration of less than 5 per cent of caffeine and when labelled with a maximum recommended daily dose of no greater than 600 milligrams of total</w:t>
            </w:r>
            <w:r>
              <w:rPr>
                <w:spacing w:val="-3"/>
                <w:sz w:val="16"/>
              </w:rPr>
              <w:t xml:space="preserve"> </w:t>
            </w:r>
            <w:r>
              <w:rPr>
                <w:sz w:val="16"/>
              </w:rPr>
              <w:t>caffeine.</w:t>
            </w:r>
          </w:p>
          <w:p w:rsidR="007D76BB" w:rsidRDefault="00D70D28">
            <w:pPr>
              <w:pStyle w:val="TableParagraph"/>
              <w:spacing w:line="186" w:lineRule="exact"/>
              <w:ind w:left="109"/>
              <w:rPr>
                <w:sz w:val="16"/>
              </w:rPr>
            </w:pPr>
            <w:r>
              <w:rPr>
                <w:sz w:val="16"/>
              </w:rPr>
              <w:t>Schedule 6: Caffeine except:</w:t>
            </w:r>
          </w:p>
          <w:p w:rsidR="007D76BB" w:rsidRDefault="00D70D28">
            <w:pPr>
              <w:pStyle w:val="TableParagraph"/>
              <w:numPr>
                <w:ilvl w:val="0"/>
                <w:numId w:val="4"/>
              </w:numPr>
              <w:tabs>
                <w:tab w:val="left" w:pos="829"/>
                <w:tab w:val="left" w:pos="830"/>
              </w:tabs>
              <w:spacing w:line="187" w:lineRule="exact"/>
              <w:ind w:hanging="361"/>
              <w:rPr>
                <w:sz w:val="16"/>
              </w:rPr>
            </w:pPr>
            <w:r>
              <w:rPr>
                <w:sz w:val="16"/>
              </w:rPr>
              <w:t>when included in Schedule 4;</w:t>
            </w:r>
            <w:r>
              <w:rPr>
                <w:spacing w:val="-9"/>
                <w:sz w:val="16"/>
              </w:rPr>
              <w:t xml:space="preserve"> </w:t>
            </w:r>
            <w:r>
              <w:rPr>
                <w:sz w:val="16"/>
              </w:rPr>
              <w:t>or</w:t>
            </w:r>
          </w:p>
          <w:p w:rsidR="007D76BB" w:rsidRDefault="00D70D28">
            <w:pPr>
              <w:pStyle w:val="TableParagraph"/>
              <w:numPr>
                <w:ilvl w:val="0"/>
                <w:numId w:val="4"/>
              </w:numPr>
              <w:tabs>
                <w:tab w:val="left" w:pos="829"/>
                <w:tab w:val="left" w:pos="830"/>
              </w:tabs>
              <w:ind w:right="341"/>
              <w:rPr>
                <w:sz w:val="16"/>
              </w:rPr>
            </w:pPr>
            <w:r>
              <w:rPr>
                <w:sz w:val="16"/>
              </w:rPr>
              <w:t>in divided preparations for internal human therapeutic use when labelled with a maximum recommended daily dose of no greater than 600 milligrams of total caffeine;</w:t>
            </w:r>
            <w:r>
              <w:rPr>
                <w:spacing w:val="-2"/>
                <w:sz w:val="16"/>
              </w:rPr>
              <w:t xml:space="preserve"> </w:t>
            </w:r>
            <w:r>
              <w:rPr>
                <w:sz w:val="16"/>
              </w:rPr>
              <w:t>or</w:t>
            </w:r>
          </w:p>
          <w:p w:rsidR="007D76BB" w:rsidRDefault="00D70D28">
            <w:pPr>
              <w:pStyle w:val="TableParagraph"/>
              <w:numPr>
                <w:ilvl w:val="0"/>
                <w:numId w:val="4"/>
              </w:numPr>
              <w:tabs>
                <w:tab w:val="left" w:pos="829"/>
                <w:tab w:val="left" w:pos="830"/>
              </w:tabs>
              <w:spacing w:before="1"/>
              <w:ind w:right="164"/>
              <w:rPr>
                <w:sz w:val="16"/>
              </w:rPr>
            </w:pPr>
            <w:r>
              <w:rPr>
                <w:sz w:val="16"/>
              </w:rPr>
              <w:t>in undivided preparations for internal human therapeutic use with a concentration of less than 5 per cent of total caffeine and when labelled with a maximum recommended daily dose of no greater than 600 milligrams of total caffeine;</w:t>
            </w:r>
            <w:r>
              <w:rPr>
                <w:spacing w:val="-19"/>
                <w:sz w:val="16"/>
              </w:rPr>
              <w:t xml:space="preserve"> </w:t>
            </w:r>
            <w:r>
              <w:rPr>
                <w:sz w:val="16"/>
              </w:rPr>
              <w:t>or</w:t>
            </w:r>
          </w:p>
          <w:p w:rsidR="007D76BB" w:rsidRDefault="00D70D28">
            <w:pPr>
              <w:pStyle w:val="TableParagraph"/>
              <w:numPr>
                <w:ilvl w:val="0"/>
                <w:numId w:val="4"/>
              </w:numPr>
              <w:tabs>
                <w:tab w:val="left" w:pos="829"/>
                <w:tab w:val="left" w:pos="830"/>
              </w:tabs>
              <w:spacing w:line="186" w:lineRule="exact"/>
              <w:ind w:hanging="361"/>
              <w:rPr>
                <w:sz w:val="16"/>
              </w:rPr>
            </w:pPr>
            <w:r>
              <w:rPr>
                <w:sz w:val="16"/>
              </w:rPr>
              <w:t>in preparations for external use;</w:t>
            </w:r>
            <w:r>
              <w:rPr>
                <w:spacing w:val="-6"/>
                <w:sz w:val="16"/>
              </w:rPr>
              <w:t xml:space="preserve"> </w:t>
            </w:r>
            <w:r>
              <w:rPr>
                <w:sz w:val="16"/>
              </w:rPr>
              <w:t>or</w:t>
            </w:r>
          </w:p>
          <w:p w:rsidR="007D76BB" w:rsidRDefault="00D70D28">
            <w:pPr>
              <w:pStyle w:val="TableParagraph"/>
              <w:numPr>
                <w:ilvl w:val="0"/>
                <w:numId w:val="4"/>
              </w:numPr>
              <w:tabs>
                <w:tab w:val="left" w:pos="829"/>
                <w:tab w:val="left" w:pos="830"/>
              </w:tabs>
              <w:spacing w:before="2" w:line="168" w:lineRule="exact"/>
              <w:ind w:hanging="361"/>
              <w:rPr>
                <w:sz w:val="16"/>
              </w:rPr>
            </w:pPr>
            <w:r>
              <w:rPr>
                <w:sz w:val="16"/>
              </w:rPr>
              <w:t>in other preparations with a concentration of less than 5 per cent of</w:t>
            </w:r>
            <w:r>
              <w:rPr>
                <w:spacing w:val="-20"/>
                <w:sz w:val="16"/>
              </w:rPr>
              <w:t xml:space="preserve"> </w:t>
            </w:r>
            <w:r>
              <w:rPr>
                <w:sz w:val="16"/>
              </w:rPr>
              <w:t>caffeine</w:t>
            </w:r>
          </w:p>
        </w:tc>
      </w:tr>
      <w:tr w:rsidR="007D76BB">
        <w:trPr>
          <w:trHeight w:val="419"/>
        </w:trPr>
        <w:tc>
          <w:tcPr>
            <w:tcW w:w="2126" w:type="dxa"/>
          </w:tcPr>
          <w:p w:rsidR="007D76BB" w:rsidRDefault="00D70D28">
            <w:pPr>
              <w:pStyle w:val="TableParagraph"/>
              <w:spacing w:before="51"/>
              <w:ind w:left="107"/>
              <w:rPr>
                <w:sz w:val="16"/>
              </w:rPr>
            </w:pPr>
            <w:r>
              <w:rPr>
                <w:sz w:val="16"/>
              </w:rPr>
              <w:t>Carnitine/L-Carnitine(1,2)</w:t>
            </w:r>
          </w:p>
        </w:tc>
        <w:tc>
          <w:tcPr>
            <w:tcW w:w="1135" w:type="dxa"/>
          </w:tcPr>
          <w:p w:rsidR="007D76BB" w:rsidRDefault="00D70D28">
            <w:pPr>
              <w:pStyle w:val="TableParagraph"/>
              <w:spacing w:before="51"/>
              <w:ind w:left="108"/>
              <w:rPr>
                <w:sz w:val="16"/>
              </w:rPr>
            </w:pPr>
            <w:r>
              <w:rPr>
                <w:sz w:val="16"/>
              </w:rPr>
              <w:t>Amino acid</w:t>
            </w:r>
          </w:p>
        </w:tc>
        <w:tc>
          <w:tcPr>
            <w:tcW w:w="3117" w:type="dxa"/>
          </w:tcPr>
          <w:p w:rsidR="007D76BB" w:rsidRDefault="00D70D28">
            <w:pPr>
              <w:pStyle w:val="TableParagraph"/>
              <w:spacing w:before="51"/>
              <w:ind w:left="108"/>
              <w:rPr>
                <w:sz w:val="16"/>
              </w:rPr>
            </w:pPr>
            <w:r>
              <w:rPr>
                <w:sz w:val="16"/>
              </w:rPr>
              <w:t>No</w:t>
            </w:r>
          </w:p>
        </w:tc>
        <w:tc>
          <w:tcPr>
            <w:tcW w:w="1276" w:type="dxa"/>
          </w:tcPr>
          <w:p w:rsidR="007D76BB" w:rsidRDefault="00D70D28">
            <w:pPr>
              <w:pStyle w:val="TableParagraph"/>
              <w:spacing w:before="51"/>
              <w:ind w:left="108"/>
              <w:rPr>
                <w:sz w:val="16"/>
              </w:rPr>
            </w:pPr>
            <w:r>
              <w:rPr>
                <w:sz w:val="16"/>
              </w:rPr>
              <w:t>No</w:t>
            </w:r>
          </w:p>
        </w:tc>
        <w:tc>
          <w:tcPr>
            <w:tcW w:w="6659" w:type="dxa"/>
          </w:tcPr>
          <w:p w:rsidR="007D76BB" w:rsidRDefault="007D76BB">
            <w:pPr>
              <w:pStyle w:val="TableParagraph"/>
              <w:rPr>
                <w:rFonts w:ascii="Times New Roman"/>
                <w:sz w:val="16"/>
              </w:rPr>
            </w:pPr>
          </w:p>
        </w:tc>
      </w:tr>
      <w:tr w:rsidR="007D76BB">
        <w:trPr>
          <w:trHeight w:val="419"/>
        </w:trPr>
        <w:tc>
          <w:tcPr>
            <w:tcW w:w="2126" w:type="dxa"/>
          </w:tcPr>
          <w:p w:rsidR="007D76BB" w:rsidRDefault="00D70D28">
            <w:pPr>
              <w:pStyle w:val="TableParagraph"/>
              <w:spacing w:before="51"/>
              <w:ind w:left="107"/>
              <w:rPr>
                <w:sz w:val="16"/>
              </w:rPr>
            </w:pPr>
            <w:proofErr w:type="spellStart"/>
            <w:r>
              <w:rPr>
                <w:sz w:val="16"/>
              </w:rPr>
              <w:t>Citrulline</w:t>
            </w:r>
            <w:proofErr w:type="spellEnd"/>
            <w:r>
              <w:rPr>
                <w:sz w:val="16"/>
              </w:rPr>
              <w:t>(1,2)</w:t>
            </w:r>
          </w:p>
        </w:tc>
        <w:tc>
          <w:tcPr>
            <w:tcW w:w="1135" w:type="dxa"/>
          </w:tcPr>
          <w:p w:rsidR="007D76BB" w:rsidRDefault="00D70D28">
            <w:pPr>
              <w:pStyle w:val="TableParagraph"/>
              <w:spacing w:before="51"/>
              <w:ind w:left="108"/>
              <w:rPr>
                <w:sz w:val="16"/>
              </w:rPr>
            </w:pPr>
            <w:r>
              <w:rPr>
                <w:sz w:val="16"/>
              </w:rPr>
              <w:t>Amino acid</w:t>
            </w:r>
          </w:p>
        </w:tc>
        <w:tc>
          <w:tcPr>
            <w:tcW w:w="3117" w:type="dxa"/>
          </w:tcPr>
          <w:p w:rsidR="007D76BB" w:rsidRDefault="00D70D28">
            <w:pPr>
              <w:pStyle w:val="TableParagraph"/>
              <w:spacing w:before="51"/>
              <w:ind w:left="108"/>
              <w:rPr>
                <w:sz w:val="16"/>
              </w:rPr>
            </w:pPr>
            <w:r>
              <w:rPr>
                <w:sz w:val="16"/>
              </w:rPr>
              <w:t>No</w:t>
            </w:r>
          </w:p>
        </w:tc>
        <w:tc>
          <w:tcPr>
            <w:tcW w:w="1276" w:type="dxa"/>
          </w:tcPr>
          <w:p w:rsidR="007D76BB" w:rsidRDefault="00D70D28">
            <w:pPr>
              <w:pStyle w:val="TableParagraph"/>
              <w:spacing w:before="51"/>
              <w:ind w:left="108"/>
              <w:rPr>
                <w:sz w:val="16"/>
              </w:rPr>
            </w:pPr>
            <w:r>
              <w:rPr>
                <w:sz w:val="16"/>
              </w:rPr>
              <w:t>No</w:t>
            </w:r>
          </w:p>
        </w:tc>
        <w:tc>
          <w:tcPr>
            <w:tcW w:w="6659" w:type="dxa"/>
          </w:tcPr>
          <w:p w:rsidR="007D76BB" w:rsidRDefault="007D76BB">
            <w:pPr>
              <w:pStyle w:val="TableParagraph"/>
              <w:rPr>
                <w:rFonts w:ascii="Times New Roman"/>
                <w:sz w:val="16"/>
              </w:rPr>
            </w:pPr>
          </w:p>
        </w:tc>
      </w:tr>
      <w:tr w:rsidR="007D76BB">
        <w:trPr>
          <w:trHeight w:val="659"/>
        </w:trPr>
        <w:tc>
          <w:tcPr>
            <w:tcW w:w="2126" w:type="dxa"/>
          </w:tcPr>
          <w:p w:rsidR="007D76BB" w:rsidRDefault="007D76BB">
            <w:pPr>
              <w:pStyle w:val="TableParagraph"/>
              <w:spacing w:before="10"/>
              <w:rPr>
                <w:sz w:val="24"/>
              </w:rPr>
            </w:pPr>
          </w:p>
          <w:p w:rsidR="007D76BB" w:rsidRDefault="00D70D28">
            <w:pPr>
              <w:pStyle w:val="TableParagraph"/>
              <w:ind w:left="107"/>
              <w:rPr>
                <w:sz w:val="16"/>
              </w:rPr>
            </w:pPr>
            <w:proofErr w:type="spellStart"/>
            <w:r>
              <w:rPr>
                <w:sz w:val="16"/>
              </w:rPr>
              <w:t>Creatine</w:t>
            </w:r>
            <w:proofErr w:type="spellEnd"/>
            <w:r>
              <w:rPr>
                <w:sz w:val="16"/>
              </w:rPr>
              <w:t>(1,2,3)</w:t>
            </w:r>
          </w:p>
        </w:tc>
        <w:tc>
          <w:tcPr>
            <w:tcW w:w="1135" w:type="dxa"/>
          </w:tcPr>
          <w:p w:rsidR="007D76BB" w:rsidRDefault="00D70D28">
            <w:pPr>
              <w:pStyle w:val="TableParagraph"/>
              <w:spacing w:before="51" w:line="307" w:lineRule="auto"/>
              <w:ind w:left="108" w:right="268"/>
              <w:rPr>
                <w:sz w:val="16"/>
              </w:rPr>
            </w:pPr>
            <w:r>
              <w:rPr>
                <w:sz w:val="16"/>
              </w:rPr>
              <w:t>Organic compound</w:t>
            </w:r>
          </w:p>
        </w:tc>
        <w:tc>
          <w:tcPr>
            <w:tcW w:w="3117" w:type="dxa"/>
          </w:tcPr>
          <w:p w:rsidR="007D76BB" w:rsidRDefault="007D76BB">
            <w:pPr>
              <w:pStyle w:val="TableParagraph"/>
              <w:spacing w:before="10"/>
              <w:rPr>
                <w:sz w:val="24"/>
              </w:rPr>
            </w:pPr>
          </w:p>
          <w:p w:rsidR="007D76BB" w:rsidRDefault="00D70D28">
            <w:pPr>
              <w:pStyle w:val="TableParagraph"/>
              <w:ind w:left="108"/>
              <w:rPr>
                <w:sz w:val="16"/>
              </w:rPr>
            </w:pPr>
            <w:r>
              <w:rPr>
                <w:sz w:val="16"/>
              </w:rPr>
              <w:t>No</w:t>
            </w:r>
          </w:p>
        </w:tc>
        <w:tc>
          <w:tcPr>
            <w:tcW w:w="1276" w:type="dxa"/>
          </w:tcPr>
          <w:p w:rsidR="007D76BB" w:rsidRDefault="007D76BB">
            <w:pPr>
              <w:pStyle w:val="TableParagraph"/>
              <w:spacing w:before="10"/>
              <w:rPr>
                <w:sz w:val="24"/>
              </w:rPr>
            </w:pPr>
          </w:p>
          <w:p w:rsidR="007D76BB" w:rsidRDefault="00D70D28">
            <w:pPr>
              <w:pStyle w:val="TableParagraph"/>
              <w:ind w:left="108"/>
              <w:rPr>
                <w:sz w:val="16"/>
              </w:rPr>
            </w:pPr>
            <w:r>
              <w:rPr>
                <w:sz w:val="16"/>
              </w:rPr>
              <w:t>No</w:t>
            </w:r>
          </w:p>
        </w:tc>
        <w:tc>
          <w:tcPr>
            <w:tcW w:w="6659" w:type="dxa"/>
          </w:tcPr>
          <w:p w:rsidR="007D76BB" w:rsidRDefault="007D76BB">
            <w:pPr>
              <w:pStyle w:val="TableParagraph"/>
              <w:rPr>
                <w:rFonts w:ascii="Times New Roman"/>
                <w:sz w:val="16"/>
              </w:rPr>
            </w:pPr>
          </w:p>
        </w:tc>
      </w:tr>
    </w:tbl>
    <w:p w:rsidR="007D76BB" w:rsidRDefault="007D76BB">
      <w:pPr>
        <w:rPr>
          <w:rFonts w:ascii="Times New Roman"/>
          <w:sz w:val="16"/>
        </w:rPr>
        <w:sectPr w:rsidR="007D76BB">
          <w:headerReference w:type="default" r:id="rId263"/>
          <w:footerReference w:type="default" r:id="rId264"/>
          <w:pgSz w:w="16840" w:h="11910" w:orient="landscape"/>
          <w:pgMar w:top="1180" w:right="1040" w:bottom="1440" w:left="1240" w:header="572" w:footer="1259" w:gutter="0"/>
          <w:pgNumType w:start="140"/>
          <w:cols w:space="720"/>
        </w:sectPr>
      </w:pPr>
    </w:p>
    <w:p w:rsidR="007D76BB" w:rsidRDefault="007D76BB">
      <w:pPr>
        <w:pStyle w:val="BodyText"/>
        <w:spacing w:before="3"/>
        <w:rPr>
          <w:sz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135"/>
        <w:gridCol w:w="3117"/>
        <w:gridCol w:w="1276"/>
        <w:gridCol w:w="6659"/>
      </w:tblGrid>
      <w:tr w:rsidR="007D76BB">
        <w:trPr>
          <w:trHeight w:val="928"/>
        </w:trPr>
        <w:tc>
          <w:tcPr>
            <w:tcW w:w="2126" w:type="dxa"/>
            <w:tcBorders>
              <w:left w:val="nil"/>
            </w:tcBorders>
            <w:shd w:val="clear" w:color="auto" w:fill="006FB5"/>
          </w:tcPr>
          <w:p w:rsidR="007D76BB" w:rsidRDefault="007D76BB">
            <w:pPr>
              <w:pStyle w:val="TableParagraph"/>
            </w:pPr>
          </w:p>
          <w:p w:rsidR="007D76BB" w:rsidRDefault="00D70D28">
            <w:pPr>
              <w:pStyle w:val="TableParagraph"/>
              <w:spacing w:before="131" w:line="266" w:lineRule="exact"/>
              <w:ind w:left="112" w:right="198"/>
              <w:rPr>
                <w:rFonts w:ascii="Calibri"/>
                <w:b/>
              </w:rPr>
            </w:pPr>
            <w:r>
              <w:rPr>
                <w:rFonts w:ascii="Calibri"/>
                <w:b/>
                <w:color w:val="FFFFFF"/>
              </w:rPr>
              <w:t>Ingredient name (alternative names)</w:t>
            </w:r>
          </w:p>
        </w:tc>
        <w:tc>
          <w:tcPr>
            <w:tcW w:w="1135" w:type="dxa"/>
            <w:shd w:val="clear" w:color="auto" w:fill="006FB5"/>
          </w:tcPr>
          <w:p w:rsidR="007D76BB" w:rsidRDefault="007D76BB">
            <w:pPr>
              <w:pStyle w:val="TableParagraph"/>
            </w:pPr>
          </w:p>
          <w:p w:rsidR="007D76BB" w:rsidRDefault="007D76BB">
            <w:pPr>
              <w:pStyle w:val="TableParagraph"/>
            </w:pPr>
          </w:p>
          <w:p w:rsidR="007D76BB" w:rsidRDefault="00D70D28">
            <w:pPr>
              <w:pStyle w:val="TableParagraph"/>
              <w:spacing w:before="143" w:line="249" w:lineRule="exact"/>
              <w:ind w:left="108"/>
              <w:rPr>
                <w:rFonts w:ascii="Calibri"/>
                <w:b/>
              </w:rPr>
            </w:pPr>
            <w:r>
              <w:rPr>
                <w:rFonts w:ascii="Calibri"/>
                <w:b/>
                <w:color w:val="FFFFFF"/>
              </w:rPr>
              <w:t>Class</w:t>
            </w:r>
          </w:p>
        </w:tc>
        <w:tc>
          <w:tcPr>
            <w:tcW w:w="3117" w:type="dxa"/>
            <w:shd w:val="clear" w:color="auto" w:fill="006FB5"/>
          </w:tcPr>
          <w:p w:rsidR="007D76BB" w:rsidRDefault="007D76BB">
            <w:pPr>
              <w:pStyle w:val="TableParagraph"/>
            </w:pPr>
          </w:p>
          <w:p w:rsidR="007D76BB" w:rsidRDefault="007D76BB">
            <w:pPr>
              <w:pStyle w:val="TableParagraph"/>
            </w:pPr>
          </w:p>
          <w:p w:rsidR="007D76BB" w:rsidRDefault="00D70D28">
            <w:pPr>
              <w:pStyle w:val="TableParagraph"/>
              <w:spacing w:before="143" w:line="249" w:lineRule="exact"/>
              <w:ind w:left="108"/>
              <w:rPr>
                <w:rFonts w:ascii="Calibri"/>
                <w:b/>
              </w:rPr>
            </w:pPr>
            <w:r>
              <w:rPr>
                <w:rFonts w:ascii="Calibri"/>
                <w:b/>
                <w:color w:val="FFFFFF"/>
              </w:rPr>
              <w:t>Poisons Standard</w:t>
            </w:r>
          </w:p>
        </w:tc>
        <w:tc>
          <w:tcPr>
            <w:tcW w:w="1276" w:type="dxa"/>
            <w:shd w:val="clear" w:color="auto" w:fill="006FB5"/>
          </w:tcPr>
          <w:p w:rsidR="007D76BB" w:rsidRDefault="007D76BB">
            <w:pPr>
              <w:pStyle w:val="TableParagraph"/>
            </w:pPr>
          </w:p>
          <w:p w:rsidR="007D76BB" w:rsidRDefault="00D70D28">
            <w:pPr>
              <w:pStyle w:val="TableParagraph"/>
              <w:spacing w:before="135" w:line="267" w:lineRule="exact"/>
              <w:ind w:left="108"/>
              <w:rPr>
                <w:rFonts w:ascii="Calibri"/>
                <w:b/>
              </w:rPr>
            </w:pPr>
            <w:r>
              <w:rPr>
                <w:rFonts w:ascii="Calibri"/>
                <w:b/>
                <w:color w:val="FFFFFF"/>
              </w:rPr>
              <w:t>WADC</w:t>
            </w:r>
          </w:p>
          <w:p w:rsidR="007D76BB" w:rsidRDefault="00D70D28">
            <w:pPr>
              <w:pStyle w:val="TableParagraph"/>
              <w:spacing w:line="248" w:lineRule="exact"/>
              <w:ind w:left="108"/>
              <w:rPr>
                <w:rFonts w:ascii="Calibri"/>
                <w:b/>
              </w:rPr>
            </w:pPr>
            <w:r>
              <w:rPr>
                <w:rFonts w:ascii="Calibri"/>
                <w:b/>
                <w:color w:val="FFFFFF"/>
              </w:rPr>
              <w:t>Prohibited</w:t>
            </w:r>
          </w:p>
        </w:tc>
        <w:tc>
          <w:tcPr>
            <w:tcW w:w="6659" w:type="dxa"/>
            <w:shd w:val="clear" w:color="auto" w:fill="006FB5"/>
          </w:tcPr>
          <w:p w:rsidR="007D76BB" w:rsidRDefault="007D76BB">
            <w:pPr>
              <w:pStyle w:val="TableParagraph"/>
            </w:pPr>
          </w:p>
          <w:p w:rsidR="007D76BB" w:rsidRDefault="007D76BB">
            <w:pPr>
              <w:pStyle w:val="TableParagraph"/>
            </w:pPr>
          </w:p>
          <w:p w:rsidR="007D76BB" w:rsidRDefault="00D70D28">
            <w:pPr>
              <w:pStyle w:val="TableParagraph"/>
              <w:spacing w:before="143" w:line="249" w:lineRule="exact"/>
              <w:ind w:left="109"/>
              <w:rPr>
                <w:rFonts w:ascii="Calibri"/>
                <w:b/>
              </w:rPr>
            </w:pPr>
            <w:r>
              <w:rPr>
                <w:rFonts w:ascii="Calibri"/>
                <w:b/>
                <w:color w:val="FFFFFF"/>
              </w:rPr>
              <w:t>Notes</w:t>
            </w:r>
          </w:p>
        </w:tc>
      </w:tr>
      <w:tr w:rsidR="007D76BB">
        <w:trPr>
          <w:trHeight w:val="580"/>
        </w:trPr>
        <w:tc>
          <w:tcPr>
            <w:tcW w:w="2126" w:type="dxa"/>
          </w:tcPr>
          <w:p w:rsidR="007D76BB" w:rsidRDefault="007D76BB">
            <w:pPr>
              <w:pStyle w:val="TableParagraph"/>
              <w:spacing w:before="1"/>
              <w:rPr>
                <w:sz w:val="18"/>
              </w:rPr>
            </w:pPr>
          </w:p>
          <w:p w:rsidR="007D76BB" w:rsidRDefault="00D70D28">
            <w:pPr>
              <w:pStyle w:val="TableParagraph"/>
              <w:ind w:left="107"/>
              <w:rPr>
                <w:sz w:val="16"/>
              </w:rPr>
            </w:pPr>
            <w:r>
              <w:rPr>
                <w:sz w:val="16"/>
              </w:rPr>
              <w:t>Glutamate/L-Glutamate(1)</w:t>
            </w:r>
          </w:p>
        </w:tc>
        <w:tc>
          <w:tcPr>
            <w:tcW w:w="1135" w:type="dxa"/>
          </w:tcPr>
          <w:p w:rsidR="007D76BB" w:rsidRDefault="007D76BB">
            <w:pPr>
              <w:pStyle w:val="TableParagraph"/>
              <w:spacing w:before="1"/>
              <w:rPr>
                <w:sz w:val="18"/>
              </w:rPr>
            </w:pPr>
          </w:p>
          <w:p w:rsidR="007D76BB" w:rsidRDefault="00D70D28">
            <w:pPr>
              <w:pStyle w:val="TableParagraph"/>
              <w:ind w:left="108"/>
              <w:rPr>
                <w:sz w:val="16"/>
              </w:rPr>
            </w:pPr>
            <w:r>
              <w:rPr>
                <w:sz w:val="16"/>
              </w:rPr>
              <w:t>Amino acid</w:t>
            </w:r>
          </w:p>
        </w:tc>
        <w:tc>
          <w:tcPr>
            <w:tcW w:w="3117" w:type="dxa"/>
          </w:tcPr>
          <w:p w:rsidR="007D76BB" w:rsidRDefault="007D76BB">
            <w:pPr>
              <w:pStyle w:val="TableParagraph"/>
              <w:spacing w:before="1"/>
              <w:rPr>
                <w:sz w:val="18"/>
              </w:rPr>
            </w:pPr>
          </w:p>
          <w:p w:rsidR="007D76BB" w:rsidRDefault="00D70D28">
            <w:pPr>
              <w:pStyle w:val="TableParagraph"/>
              <w:ind w:left="108"/>
              <w:rPr>
                <w:sz w:val="16"/>
              </w:rPr>
            </w:pPr>
            <w:r>
              <w:rPr>
                <w:sz w:val="16"/>
              </w:rPr>
              <w:t>No</w:t>
            </w:r>
          </w:p>
        </w:tc>
        <w:tc>
          <w:tcPr>
            <w:tcW w:w="1276" w:type="dxa"/>
          </w:tcPr>
          <w:p w:rsidR="007D76BB" w:rsidRDefault="007D76BB">
            <w:pPr>
              <w:pStyle w:val="TableParagraph"/>
              <w:spacing w:before="1"/>
              <w:rPr>
                <w:sz w:val="18"/>
              </w:rPr>
            </w:pPr>
          </w:p>
          <w:p w:rsidR="007D76BB" w:rsidRDefault="00D70D28">
            <w:pPr>
              <w:pStyle w:val="TableParagraph"/>
              <w:ind w:left="108"/>
              <w:rPr>
                <w:sz w:val="16"/>
              </w:rPr>
            </w:pPr>
            <w:r>
              <w:rPr>
                <w:sz w:val="16"/>
              </w:rPr>
              <w:t>No</w:t>
            </w:r>
          </w:p>
        </w:tc>
        <w:tc>
          <w:tcPr>
            <w:tcW w:w="6659" w:type="dxa"/>
          </w:tcPr>
          <w:p w:rsidR="007D76BB" w:rsidRDefault="007D76BB">
            <w:pPr>
              <w:pStyle w:val="TableParagraph"/>
              <w:rPr>
                <w:rFonts w:ascii="Times New Roman"/>
                <w:sz w:val="16"/>
              </w:rPr>
            </w:pPr>
          </w:p>
        </w:tc>
      </w:tr>
      <w:tr w:rsidR="007D76BB">
        <w:trPr>
          <w:trHeight w:val="659"/>
        </w:trPr>
        <w:tc>
          <w:tcPr>
            <w:tcW w:w="2126" w:type="dxa"/>
          </w:tcPr>
          <w:p w:rsidR="007D76BB" w:rsidRDefault="007D76BB">
            <w:pPr>
              <w:pStyle w:val="TableParagraph"/>
              <w:spacing w:before="10"/>
              <w:rPr>
                <w:sz w:val="24"/>
              </w:rPr>
            </w:pPr>
          </w:p>
          <w:p w:rsidR="007D76BB" w:rsidRDefault="00D70D28">
            <w:pPr>
              <w:pStyle w:val="TableParagraph"/>
              <w:ind w:left="107"/>
              <w:rPr>
                <w:sz w:val="16"/>
              </w:rPr>
            </w:pPr>
            <w:r>
              <w:rPr>
                <w:sz w:val="16"/>
              </w:rPr>
              <w:t>Green Tea Extract(2)</w:t>
            </w:r>
          </w:p>
        </w:tc>
        <w:tc>
          <w:tcPr>
            <w:tcW w:w="1135" w:type="dxa"/>
          </w:tcPr>
          <w:p w:rsidR="007D76BB" w:rsidRDefault="00D70D28">
            <w:pPr>
              <w:pStyle w:val="TableParagraph"/>
              <w:spacing w:before="51" w:line="307" w:lineRule="auto"/>
              <w:ind w:left="108" w:right="518"/>
              <w:rPr>
                <w:sz w:val="16"/>
              </w:rPr>
            </w:pPr>
            <w:r>
              <w:rPr>
                <w:sz w:val="16"/>
              </w:rPr>
              <w:t>Herbal extract</w:t>
            </w:r>
          </w:p>
        </w:tc>
        <w:tc>
          <w:tcPr>
            <w:tcW w:w="3117" w:type="dxa"/>
          </w:tcPr>
          <w:p w:rsidR="007D76BB" w:rsidRDefault="007D76BB">
            <w:pPr>
              <w:pStyle w:val="TableParagraph"/>
              <w:spacing w:before="10"/>
              <w:rPr>
                <w:sz w:val="24"/>
              </w:rPr>
            </w:pPr>
          </w:p>
          <w:p w:rsidR="007D76BB" w:rsidRDefault="00D70D28">
            <w:pPr>
              <w:pStyle w:val="TableParagraph"/>
              <w:ind w:left="108"/>
              <w:rPr>
                <w:sz w:val="16"/>
              </w:rPr>
            </w:pPr>
            <w:r>
              <w:rPr>
                <w:sz w:val="16"/>
              </w:rPr>
              <w:t>No</w:t>
            </w:r>
          </w:p>
        </w:tc>
        <w:tc>
          <w:tcPr>
            <w:tcW w:w="1276" w:type="dxa"/>
          </w:tcPr>
          <w:p w:rsidR="007D76BB" w:rsidRDefault="007D76BB">
            <w:pPr>
              <w:pStyle w:val="TableParagraph"/>
              <w:spacing w:before="10"/>
              <w:rPr>
                <w:sz w:val="24"/>
              </w:rPr>
            </w:pPr>
          </w:p>
          <w:p w:rsidR="007D76BB" w:rsidRDefault="00D70D28">
            <w:pPr>
              <w:pStyle w:val="TableParagraph"/>
              <w:ind w:left="108"/>
              <w:rPr>
                <w:sz w:val="16"/>
              </w:rPr>
            </w:pPr>
            <w:r>
              <w:rPr>
                <w:sz w:val="16"/>
              </w:rPr>
              <w:t>No</w:t>
            </w:r>
          </w:p>
        </w:tc>
        <w:tc>
          <w:tcPr>
            <w:tcW w:w="6659" w:type="dxa"/>
          </w:tcPr>
          <w:p w:rsidR="007D76BB" w:rsidRDefault="00D70D28">
            <w:pPr>
              <w:pStyle w:val="TableParagraph"/>
              <w:spacing w:before="51" w:line="307" w:lineRule="auto"/>
              <w:ind w:left="109" w:right="227"/>
              <w:rPr>
                <w:sz w:val="16"/>
              </w:rPr>
            </w:pPr>
            <w:r>
              <w:rPr>
                <w:sz w:val="16"/>
              </w:rPr>
              <w:t>**Caffeine is a component of this ingredient and may result in the product being scheduled if the amount of caffeine meets the scheduling criteria (see Caffeine in this table)</w:t>
            </w:r>
          </w:p>
        </w:tc>
      </w:tr>
      <w:tr w:rsidR="007D76BB">
        <w:trPr>
          <w:trHeight w:val="662"/>
        </w:trPr>
        <w:tc>
          <w:tcPr>
            <w:tcW w:w="2126" w:type="dxa"/>
          </w:tcPr>
          <w:p w:rsidR="007D76BB" w:rsidRDefault="007D76BB">
            <w:pPr>
              <w:pStyle w:val="TableParagraph"/>
              <w:spacing w:before="1"/>
              <w:rPr>
                <w:sz w:val="25"/>
              </w:rPr>
            </w:pPr>
          </w:p>
          <w:p w:rsidR="007D76BB" w:rsidRDefault="00D70D28">
            <w:pPr>
              <w:pStyle w:val="TableParagraph"/>
              <w:ind w:left="107"/>
              <w:rPr>
                <w:sz w:val="16"/>
              </w:rPr>
            </w:pPr>
            <w:proofErr w:type="spellStart"/>
            <w:r>
              <w:rPr>
                <w:sz w:val="16"/>
              </w:rPr>
              <w:t>Higenamine</w:t>
            </w:r>
            <w:proofErr w:type="spellEnd"/>
            <w:r>
              <w:rPr>
                <w:sz w:val="16"/>
              </w:rPr>
              <w:t>(2,5)</w:t>
            </w:r>
          </w:p>
        </w:tc>
        <w:tc>
          <w:tcPr>
            <w:tcW w:w="1135" w:type="dxa"/>
          </w:tcPr>
          <w:p w:rsidR="007D76BB" w:rsidRDefault="00D70D28">
            <w:pPr>
              <w:pStyle w:val="TableParagraph"/>
              <w:spacing w:before="54" w:line="307" w:lineRule="auto"/>
              <w:ind w:left="108" w:right="498"/>
              <w:rPr>
                <w:sz w:val="16"/>
              </w:rPr>
            </w:pPr>
            <w:r>
              <w:rPr>
                <w:sz w:val="16"/>
              </w:rPr>
              <w:t>Beta-2 agonist</w:t>
            </w:r>
          </w:p>
        </w:tc>
        <w:tc>
          <w:tcPr>
            <w:tcW w:w="3117" w:type="dxa"/>
          </w:tcPr>
          <w:p w:rsidR="007D76BB" w:rsidRDefault="007D76BB">
            <w:pPr>
              <w:pStyle w:val="TableParagraph"/>
              <w:spacing w:before="1"/>
              <w:rPr>
                <w:sz w:val="25"/>
              </w:rPr>
            </w:pPr>
          </w:p>
          <w:p w:rsidR="007D76BB" w:rsidRDefault="00D70D28">
            <w:pPr>
              <w:pStyle w:val="TableParagraph"/>
              <w:ind w:left="108"/>
              <w:rPr>
                <w:sz w:val="16"/>
              </w:rPr>
            </w:pPr>
            <w:r>
              <w:rPr>
                <w:sz w:val="16"/>
              </w:rPr>
              <w:t>No</w:t>
            </w:r>
          </w:p>
        </w:tc>
        <w:tc>
          <w:tcPr>
            <w:tcW w:w="1276" w:type="dxa"/>
          </w:tcPr>
          <w:p w:rsidR="007D76BB" w:rsidRDefault="007D76BB">
            <w:pPr>
              <w:pStyle w:val="TableParagraph"/>
              <w:spacing w:before="1"/>
              <w:rPr>
                <w:sz w:val="25"/>
              </w:rPr>
            </w:pPr>
          </w:p>
          <w:p w:rsidR="007D76BB" w:rsidRDefault="00D70D28">
            <w:pPr>
              <w:pStyle w:val="TableParagraph"/>
              <w:ind w:left="108"/>
              <w:rPr>
                <w:sz w:val="16"/>
              </w:rPr>
            </w:pPr>
            <w:r>
              <w:rPr>
                <w:sz w:val="16"/>
              </w:rPr>
              <w:t>Yes</w:t>
            </w:r>
          </w:p>
        </w:tc>
        <w:tc>
          <w:tcPr>
            <w:tcW w:w="6659" w:type="dxa"/>
          </w:tcPr>
          <w:p w:rsidR="007D76BB" w:rsidRDefault="007D76BB">
            <w:pPr>
              <w:pStyle w:val="TableParagraph"/>
              <w:rPr>
                <w:rFonts w:ascii="Times New Roman"/>
                <w:sz w:val="16"/>
              </w:rPr>
            </w:pPr>
          </w:p>
        </w:tc>
      </w:tr>
      <w:tr w:rsidR="007D76BB">
        <w:trPr>
          <w:trHeight w:val="659"/>
        </w:trPr>
        <w:tc>
          <w:tcPr>
            <w:tcW w:w="2126" w:type="dxa"/>
          </w:tcPr>
          <w:p w:rsidR="007D76BB" w:rsidRDefault="00D70D28">
            <w:pPr>
              <w:pStyle w:val="TableParagraph"/>
              <w:spacing w:before="51" w:line="307" w:lineRule="auto"/>
              <w:ind w:left="107" w:right="700"/>
              <w:rPr>
                <w:sz w:val="16"/>
              </w:rPr>
            </w:pPr>
            <w:proofErr w:type="spellStart"/>
            <w:r>
              <w:rPr>
                <w:sz w:val="16"/>
              </w:rPr>
              <w:t>Hydroxyephedrine</w:t>
            </w:r>
            <w:proofErr w:type="spellEnd"/>
            <w:r>
              <w:rPr>
                <w:sz w:val="16"/>
              </w:rPr>
              <w:t xml:space="preserve"> (</w:t>
            </w:r>
            <w:proofErr w:type="spellStart"/>
            <w:r>
              <w:rPr>
                <w:sz w:val="16"/>
              </w:rPr>
              <w:t>Oxilofrine</w:t>
            </w:r>
            <w:proofErr w:type="spellEnd"/>
            <w:r>
              <w:rPr>
                <w:sz w:val="16"/>
              </w:rPr>
              <w:t>) (6)</w:t>
            </w:r>
          </w:p>
        </w:tc>
        <w:tc>
          <w:tcPr>
            <w:tcW w:w="1135" w:type="dxa"/>
          </w:tcPr>
          <w:p w:rsidR="007D76BB" w:rsidRDefault="007D76BB">
            <w:pPr>
              <w:pStyle w:val="TableParagraph"/>
              <w:spacing w:before="10"/>
              <w:rPr>
                <w:sz w:val="24"/>
              </w:rPr>
            </w:pPr>
          </w:p>
          <w:p w:rsidR="007D76BB" w:rsidRDefault="00D70D28">
            <w:pPr>
              <w:pStyle w:val="TableParagraph"/>
              <w:ind w:left="108"/>
              <w:rPr>
                <w:sz w:val="16"/>
              </w:rPr>
            </w:pPr>
            <w:r>
              <w:rPr>
                <w:sz w:val="16"/>
              </w:rPr>
              <w:t>Stimulant</w:t>
            </w:r>
          </w:p>
        </w:tc>
        <w:tc>
          <w:tcPr>
            <w:tcW w:w="3117" w:type="dxa"/>
          </w:tcPr>
          <w:p w:rsidR="007D76BB" w:rsidRDefault="007D76BB">
            <w:pPr>
              <w:pStyle w:val="TableParagraph"/>
              <w:spacing w:before="10"/>
              <w:rPr>
                <w:sz w:val="24"/>
              </w:rPr>
            </w:pPr>
          </w:p>
          <w:p w:rsidR="007D76BB" w:rsidRDefault="00D70D28">
            <w:pPr>
              <w:pStyle w:val="TableParagraph"/>
              <w:ind w:left="108"/>
              <w:rPr>
                <w:sz w:val="16"/>
              </w:rPr>
            </w:pPr>
            <w:r>
              <w:rPr>
                <w:sz w:val="16"/>
              </w:rPr>
              <w:t>Poisons Standard - Schedule 4</w:t>
            </w:r>
          </w:p>
        </w:tc>
        <w:tc>
          <w:tcPr>
            <w:tcW w:w="1276" w:type="dxa"/>
          </w:tcPr>
          <w:p w:rsidR="007D76BB" w:rsidRDefault="007D76BB">
            <w:pPr>
              <w:pStyle w:val="TableParagraph"/>
              <w:spacing w:before="10"/>
              <w:rPr>
                <w:sz w:val="24"/>
              </w:rPr>
            </w:pPr>
          </w:p>
          <w:p w:rsidR="007D76BB" w:rsidRDefault="00D70D28">
            <w:pPr>
              <w:pStyle w:val="TableParagraph"/>
              <w:ind w:left="108"/>
              <w:rPr>
                <w:sz w:val="16"/>
              </w:rPr>
            </w:pPr>
            <w:r>
              <w:rPr>
                <w:sz w:val="16"/>
              </w:rPr>
              <w:t>Yes</w:t>
            </w:r>
          </w:p>
        </w:tc>
        <w:tc>
          <w:tcPr>
            <w:tcW w:w="6659" w:type="dxa"/>
          </w:tcPr>
          <w:p w:rsidR="007D76BB" w:rsidRDefault="007D76BB">
            <w:pPr>
              <w:pStyle w:val="TableParagraph"/>
              <w:rPr>
                <w:rFonts w:ascii="Times New Roman"/>
                <w:sz w:val="16"/>
              </w:rPr>
            </w:pPr>
          </w:p>
        </w:tc>
      </w:tr>
      <w:tr w:rsidR="007D76BB">
        <w:trPr>
          <w:trHeight w:val="1379"/>
        </w:trPr>
        <w:tc>
          <w:tcPr>
            <w:tcW w:w="2126" w:type="dxa"/>
          </w:tcPr>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spacing w:before="3"/>
              <w:rPr>
                <w:sz w:val="14"/>
              </w:rPr>
            </w:pPr>
          </w:p>
          <w:p w:rsidR="007D76BB" w:rsidRDefault="00D70D28">
            <w:pPr>
              <w:pStyle w:val="TableParagraph"/>
              <w:ind w:left="107"/>
              <w:rPr>
                <w:sz w:val="16"/>
              </w:rPr>
            </w:pPr>
            <w:proofErr w:type="spellStart"/>
            <w:r>
              <w:rPr>
                <w:sz w:val="16"/>
              </w:rPr>
              <w:t>Ligandrol</w:t>
            </w:r>
            <w:proofErr w:type="spellEnd"/>
            <w:r>
              <w:rPr>
                <w:sz w:val="16"/>
              </w:rPr>
              <w:t>(5)</w:t>
            </w:r>
          </w:p>
        </w:tc>
        <w:tc>
          <w:tcPr>
            <w:tcW w:w="1135" w:type="dxa"/>
          </w:tcPr>
          <w:p w:rsidR="007D76BB" w:rsidRDefault="00D70D28">
            <w:pPr>
              <w:pStyle w:val="TableParagraph"/>
              <w:spacing w:before="51" w:line="307" w:lineRule="auto"/>
              <w:ind w:left="108" w:right="277"/>
              <w:rPr>
                <w:sz w:val="16"/>
              </w:rPr>
            </w:pPr>
            <w:r>
              <w:rPr>
                <w:sz w:val="16"/>
              </w:rPr>
              <w:t>Selective Androgen Receptor Modulator (SARM)</w:t>
            </w:r>
          </w:p>
        </w:tc>
        <w:tc>
          <w:tcPr>
            <w:tcW w:w="3117" w:type="dxa"/>
          </w:tcPr>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spacing w:before="3"/>
              <w:rPr>
                <w:sz w:val="14"/>
              </w:rPr>
            </w:pPr>
          </w:p>
          <w:p w:rsidR="007D76BB" w:rsidRDefault="00D70D28">
            <w:pPr>
              <w:pStyle w:val="TableParagraph"/>
              <w:ind w:left="108"/>
              <w:rPr>
                <w:sz w:val="16"/>
              </w:rPr>
            </w:pPr>
            <w:r>
              <w:rPr>
                <w:sz w:val="16"/>
              </w:rPr>
              <w:t>Poisons Standard - Schedule 4</w:t>
            </w:r>
          </w:p>
        </w:tc>
        <w:tc>
          <w:tcPr>
            <w:tcW w:w="1276" w:type="dxa"/>
          </w:tcPr>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spacing w:before="3"/>
              <w:rPr>
                <w:sz w:val="14"/>
              </w:rPr>
            </w:pPr>
          </w:p>
          <w:p w:rsidR="007D76BB" w:rsidRDefault="00D70D28">
            <w:pPr>
              <w:pStyle w:val="TableParagraph"/>
              <w:ind w:left="108"/>
              <w:rPr>
                <w:sz w:val="16"/>
              </w:rPr>
            </w:pPr>
            <w:r>
              <w:rPr>
                <w:sz w:val="16"/>
              </w:rPr>
              <w:t>Yes</w:t>
            </w:r>
          </w:p>
        </w:tc>
        <w:tc>
          <w:tcPr>
            <w:tcW w:w="6659" w:type="dxa"/>
          </w:tcPr>
          <w:p w:rsidR="007D76BB" w:rsidRDefault="007D76BB">
            <w:pPr>
              <w:pStyle w:val="TableParagraph"/>
              <w:rPr>
                <w:rFonts w:ascii="Times New Roman"/>
                <w:sz w:val="16"/>
              </w:rPr>
            </w:pPr>
          </w:p>
        </w:tc>
      </w:tr>
      <w:tr w:rsidR="007D76BB">
        <w:trPr>
          <w:trHeight w:val="2759"/>
        </w:trPr>
        <w:tc>
          <w:tcPr>
            <w:tcW w:w="2126" w:type="dxa"/>
          </w:tcPr>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24"/>
              </w:rPr>
            </w:pPr>
          </w:p>
          <w:p w:rsidR="007D76BB" w:rsidRDefault="00D70D28">
            <w:pPr>
              <w:pStyle w:val="TableParagraph"/>
              <w:ind w:left="107"/>
              <w:rPr>
                <w:sz w:val="16"/>
              </w:rPr>
            </w:pPr>
            <w:r>
              <w:rPr>
                <w:sz w:val="16"/>
              </w:rPr>
              <w:t>N-acetyl cysteine(5)</w:t>
            </w:r>
          </w:p>
        </w:tc>
        <w:tc>
          <w:tcPr>
            <w:tcW w:w="1135" w:type="dxa"/>
          </w:tcPr>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24"/>
              </w:rPr>
            </w:pPr>
          </w:p>
          <w:p w:rsidR="007D76BB" w:rsidRDefault="00D70D28">
            <w:pPr>
              <w:pStyle w:val="TableParagraph"/>
              <w:ind w:left="108"/>
              <w:rPr>
                <w:sz w:val="16"/>
              </w:rPr>
            </w:pPr>
            <w:r>
              <w:rPr>
                <w:sz w:val="16"/>
              </w:rPr>
              <w:t>Antioxidant</w:t>
            </w:r>
          </w:p>
        </w:tc>
        <w:tc>
          <w:tcPr>
            <w:tcW w:w="3117" w:type="dxa"/>
          </w:tcPr>
          <w:p w:rsidR="007D76BB" w:rsidRDefault="00D70D28">
            <w:pPr>
              <w:pStyle w:val="TableParagraph"/>
              <w:spacing w:before="51" w:line="307" w:lineRule="auto"/>
              <w:ind w:left="108" w:right="228"/>
              <w:rPr>
                <w:sz w:val="16"/>
              </w:rPr>
            </w:pPr>
            <w:r>
              <w:rPr>
                <w:sz w:val="16"/>
              </w:rPr>
              <w:t xml:space="preserve">Poisons Standard – Schedule 2 in preparations for oral use except when labelled with a recommended daily dose of 1 g or less of </w:t>
            </w:r>
            <w:proofErr w:type="spellStart"/>
            <w:r>
              <w:rPr>
                <w:sz w:val="16"/>
              </w:rPr>
              <w:t>acetylcysteine</w:t>
            </w:r>
            <w:proofErr w:type="spellEnd"/>
            <w:r>
              <w:rPr>
                <w:sz w:val="16"/>
              </w:rPr>
              <w:t>.</w:t>
            </w:r>
          </w:p>
          <w:p w:rsidR="007D76BB" w:rsidRDefault="007D76BB">
            <w:pPr>
              <w:pStyle w:val="TableParagraph"/>
              <w:rPr>
                <w:sz w:val="18"/>
              </w:rPr>
            </w:pPr>
          </w:p>
          <w:p w:rsidR="007D76BB" w:rsidRDefault="007D76BB">
            <w:pPr>
              <w:pStyle w:val="TableParagraph"/>
              <w:spacing w:before="10"/>
              <w:rPr>
                <w:sz w:val="17"/>
              </w:rPr>
            </w:pPr>
          </w:p>
          <w:p w:rsidR="007D76BB" w:rsidRDefault="00D70D28">
            <w:pPr>
              <w:pStyle w:val="TableParagraph"/>
              <w:ind w:left="108"/>
              <w:rPr>
                <w:sz w:val="16"/>
              </w:rPr>
            </w:pPr>
            <w:r>
              <w:rPr>
                <w:sz w:val="16"/>
              </w:rPr>
              <w:t>Schedule 4 except:</w:t>
            </w:r>
          </w:p>
          <w:p w:rsidR="007D76BB" w:rsidRDefault="00D70D28">
            <w:pPr>
              <w:pStyle w:val="TableParagraph"/>
              <w:numPr>
                <w:ilvl w:val="0"/>
                <w:numId w:val="3"/>
              </w:numPr>
              <w:tabs>
                <w:tab w:val="left" w:pos="284"/>
              </w:tabs>
              <w:spacing w:before="52"/>
              <w:rPr>
                <w:sz w:val="16"/>
              </w:rPr>
            </w:pPr>
            <w:r>
              <w:rPr>
                <w:sz w:val="16"/>
              </w:rPr>
              <w:t>when included in Schedule 2;</w:t>
            </w:r>
            <w:r>
              <w:rPr>
                <w:spacing w:val="-8"/>
                <w:sz w:val="16"/>
              </w:rPr>
              <w:t xml:space="preserve"> </w:t>
            </w:r>
            <w:r>
              <w:rPr>
                <w:sz w:val="16"/>
              </w:rPr>
              <w:t>or</w:t>
            </w:r>
          </w:p>
          <w:p w:rsidR="007D76BB" w:rsidRDefault="00D70D28">
            <w:pPr>
              <w:pStyle w:val="TableParagraph"/>
              <w:numPr>
                <w:ilvl w:val="0"/>
                <w:numId w:val="3"/>
              </w:numPr>
              <w:tabs>
                <w:tab w:val="left" w:pos="294"/>
              </w:tabs>
              <w:spacing w:before="53" w:line="307" w:lineRule="auto"/>
              <w:ind w:left="108" w:right="242" w:firstLine="0"/>
              <w:rPr>
                <w:sz w:val="16"/>
              </w:rPr>
            </w:pPr>
            <w:proofErr w:type="gramStart"/>
            <w:r>
              <w:rPr>
                <w:sz w:val="16"/>
              </w:rPr>
              <w:t>in</w:t>
            </w:r>
            <w:proofErr w:type="gramEnd"/>
            <w:r>
              <w:rPr>
                <w:sz w:val="16"/>
              </w:rPr>
              <w:t xml:space="preserve"> preparations for oral use when labelled with a recommended daily dose of 1 g or less of</w:t>
            </w:r>
            <w:r>
              <w:rPr>
                <w:spacing w:val="-5"/>
                <w:sz w:val="16"/>
              </w:rPr>
              <w:t xml:space="preserve"> </w:t>
            </w:r>
            <w:proofErr w:type="spellStart"/>
            <w:r>
              <w:rPr>
                <w:sz w:val="16"/>
              </w:rPr>
              <w:t>acetylcysteine</w:t>
            </w:r>
            <w:proofErr w:type="spellEnd"/>
            <w:r>
              <w:rPr>
                <w:sz w:val="16"/>
              </w:rPr>
              <w:t>.</w:t>
            </w:r>
          </w:p>
        </w:tc>
        <w:tc>
          <w:tcPr>
            <w:tcW w:w="1276" w:type="dxa"/>
          </w:tcPr>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24"/>
              </w:rPr>
            </w:pPr>
          </w:p>
          <w:p w:rsidR="007D76BB" w:rsidRDefault="00D70D28">
            <w:pPr>
              <w:pStyle w:val="TableParagraph"/>
              <w:ind w:left="108"/>
              <w:rPr>
                <w:sz w:val="16"/>
              </w:rPr>
            </w:pPr>
            <w:r>
              <w:rPr>
                <w:sz w:val="16"/>
              </w:rPr>
              <w:t>Yes</w:t>
            </w:r>
          </w:p>
        </w:tc>
        <w:tc>
          <w:tcPr>
            <w:tcW w:w="6659" w:type="dxa"/>
          </w:tcPr>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24"/>
              </w:rPr>
            </w:pPr>
          </w:p>
          <w:p w:rsidR="007D76BB" w:rsidRDefault="00D70D28">
            <w:pPr>
              <w:pStyle w:val="TableParagraph"/>
              <w:ind w:left="109"/>
              <w:rPr>
                <w:sz w:val="16"/>
              </w:rPr>
            </w:pPr>
            <w:r>
              <w:rPr>
                <w:sz w:val="16"/>
              </w:rPr>
              <w:t>Unscheduled when labelled with a recommended daily dose of 1g or less</w:t>
            </w:r>
          </w:p>
        </w:tc>
      </w:tr>
      <w:tr w:rsidR="007D76BB">
        <w:trPr>
          <w:trHeight w:val="539"/>
        </w:trPr>
        <w:tc>
          <w:tcPr>
            <w:tcW w:w="2126" w:type="dxa"/>
          </w:tcPr>
          <w:p w:rsidR="007D76BB" w:rsidRDefault="007D76BB">
            <w:pPr>
              <w:pStyle w:val="TableParagraph"/>
              <w:spacing w:before="7"/>
              <w:rPr>
                <w:sz w:val="14"/>
              </w:rPr>
            </w:pPr>
          </w:p>
          <w:p w:rsidR="007D76BB" w:rsidRDefault="00D70D28">
            <w:pPr>
              <w:pStyle w:val="TableParagraph"/>
              <w:ind w:left="107"/>
              <w:rPr>
                <w:sz w:val="16"/>
              </w:rPr>
            </w:pPr>
            <w:proofErr w:type="spellStart"/>
            <w:r>
              <w:rPr>
                <w:sz w:val="16"/>
              </w:rPr>
              <w:t>Panax</w:t>
            </w:r>
            <w:proofErr w:type="spellEnd"/>
            <w:r>
              <w:rPr>
                <w:sz w:val="16"/>
              </w:rPr>
              <w:t xml:space="preserve"> ginseng root(1)</w:t>
            </w:r>
          </w:p>
        </w:tc>
        <w:tc>
          <w:tcPr>
            <w:tcW w:w="1135" w:type="dxa"/>
          </w:tcPr>
          <w:p w:rsidR="007D76BB" w:rsidRDefault="007D76BB">
            <w:pPr>
              <w:pStyle w:val="TableParagraph"/>
              <w:spacing w:before="7"/>
              <w:rPr>
                <w:sz w:val="14"/>
              </w:rPr>
            </w:pPr>
          </w:p>
          <w:p w:rsidR="007D76BB" w:rsidRDefault="00D70D28">
            <w:pPr>
              <w:pStyle w:val="TableParagraph"/>
              <w:ind w:left="108"/>
              <w:rPr>
                <w:sz w:val="16"/>
              </w:rPr>
            </w:pPr>
            <w:r>
              <w:rPr>
                <w:sz w:val="16"/>
              </w:rPr>
              <w:t>Herb</w:t>
            </w:r>
          </w:p>
        </w:tc>
        <w:tc>
          <w:tcPr>
            <w:tcW w:w="3117" w:type="dxa"/>
          </w:tcPr>
          <w:p w:rsidR="007D76BB" w:rsidRDefault="007D76BB">
            <w:pPr>
              <w:pStyle w:val="TableParagraph"/>
              <w:spacing w:before="7"/>
              <w:rPr>
                <w:sz w:val="14"/>
              </w:rPr>
            </w:pPr>
          </w:p>
          <w:p w:rsidR="007D76BB" w:rsidRDefault="00D70D28">
            <w:pPr>
              <w:pStyle w:val="TableParagraph"/>
              <w:ind w:left="108"/>
              <w:rPr>
                <w:sz w:val="16"/>
              </w:rPr>
            </w:pPr>
            <w:r>
              <w:rPr>
                <w:sz w:val="16"/>
              </w:rPr>
              <w:t>No</w:t>
            </w:r>
          </w:p>
        </w:tc>
        <w:tc>
          <w:tcPr>
            <w:tcW w:w="1276" w:type="dxa"/>
          </w:tcPr>
          <w:p w:rsidR="007D76BB" w:rsidRDefault="007D76BB">
            <w:pPr>
              <w:pStyle w:val="TableParagraph"/>
              <w:spacing w:before="7"/>
              <w:rPr>
                <w:sz w:val="14"/>
              </w:rPr>
            </w:pPr>
          </w:p>
          <w:p w:rsidR="007D76BB" w:rsidRDefault="00D70D28">
            <w:pPr>
              <w:pStyle w:val="TableParagraph"/>
              <w:ind w:left="108"/>
              <w:rPr>
                <w:sz w:val="16"/>
              </w:rPr>
            </w:pPr>
            <w:r>
              <w:rPr>
                <w:sz w:val="16"/>
              </w:rPr>
              <w:t>No</w:t>
            </w:r>
          </w:p>
        </w:tc>
        <w:tc>
          <w:tcPr>
            <w:tcW w:w="6659" w:type="dxa"/>
          </w:tcPr>
          <w:p w:rsidR="007D76BB" w:rsidRDefault="007D76BB">
            <w:pPr>
              <w:pStyle w:val="TableParagraph"/>
              <w:rPr>
                <w:rFonts w:ascii="Times New Roman"/>
                <w:sz w:val="16"/>
              </w:rPr>
            </w:pPr>
          </w:p>
        </w:tc>
      </w:tr>
      <w:tr w:rsidR="007D76BB">
        <w:trPr>
          <w:trHeight w:val="467"/>
        </w:trPr>
        <w:tc>
          <w:tcPr>
            <w:tcW w:w="2126" w:type="dxa"/>
          </w:tcPr>
          <w:p w:rsidR="007D76BB" w:rsidRDefault="00A51832">
            <w:pPr>
              <w:pStyle w:val="TableParagraph"/>
              <w:spacing w:before="99"/>
              <w:ind w:left="107"/>
              <w:rPr>
                <w:sz w:val="16"/>
              </w:rPr>
            </w:pPr>
            <w:hyperlink r:id="rId265" w:anchor="quercetin">
              <w:r w:rsidR="00D70D28">
                <w:rPr>
                  <w:sz w:val="16"/>
                </w:rPr>
                <w:t>Quercetin</w:t>
              </w:r>
            </w:hyperlink>
            <w:r w:rsidR="00D70D28">
              <w:rPr>
                <w:sz w:val="16"/>
              </w:rPr>
              <w:t>(4,5)</w:t>
            </w:r>
          </w:p>
        </w:tc>
        <w:tc>
          <w:tcPr>
            <w:tcW w:w="1135" w:type="dxa"/>
          </w:tcPr>
          <w:p w:rsidR="007D76BB" w:rsidRDefault="00D70D28">
            <w:pPr>
              <w:pStyle w:val="TableParagraph"/>
              <w:spacing w:before="99"/>
              <w:ind w:left="108"/>
              <w:rPr>
                <w:sz w:val="16"/>
              </w:rPr>
            </w:pPr>
            <w:r>
              <w:rPr>
                <w:sz w:val="16"/>
              </w:rPr>
              <w:t>Antioxidant</w:t>
            </w:r>
          </w:p>
        </w:tc>
        <w:tc>
          <w:tcPr>
            <w:tcW w:w="3117" w:type="dxa"/>
          </w:tcPr>
          <w:p w:rsidR="007D76BB" w:rsidRDefault="00D70D28">
            <w:pPr>
              <w:pStyle w:val="TableParagraph"/>
              <w:spacing w:before="99"/>
              <w:ind w:left="108"/>
              <w:rPr>
                <w:sz w:val="16"/>
              </w:rPr>
            </w:pPr>
            <w:r>
              <w:rPr>
                <w:sz w:val="16"/>
              </w:rPr>
              <w:t>No</w:t>
            </w:r>
          </w:p>
        </w:tc>
        <w:tc>
          <w:tcPr>
            <w:tcW w:w="1276" w:type="dxa"/>
          </w:tcPr>
          <w:p w:rsidR="007D76BB" w:rsidRDefault="00D70D28">
            <w:pPr>
              <w:pStyle w:val="TableParagraph"/>
              <w:spacing w:before="99"/>
              <w:ind w:left="108"/>
              <w:rPr>
                <w:sz w:val="16"/>
              </w:rPr>
            </w:pPr>
            <w:r>
              <w:rPr>
                <w:sz w:val="16"/>
              </w:rPr>
              <w:t>No</w:t>
            </w:r>
          </w:p>
        </w:tc>
        <w:tc>
          <w:tcPr>
            <w:tcW w:w="6659" w:type="dxa"/>
          </w:tcPr>
          <w:p w:rsidR="007D76BB" w:rsidRDefault="007D76BB">
            <w:pPr>
              <w:pStyle w:val="TableParagraph"/>
              <w:rPr>
                <w:rFonts w:ascii="Times New Roman"/>
                <w:sz w:val="16"/>
              </w:rPr>
            </w:pPr>
          </w:p>
        </w:tc>
      </w:tr>
    </w:tbl>
    <w:p w:rsidR="007D76BB" w:rsidRDefault="007D76BB">
      <w:pPr>
        <w:rPr>
          <w:rFonts w:ascii="Times New Roman"/>
          <w:sz w:val="16"/>
        </w:rPr>
        <w:sectPr w:rsidR="007D76BB">
          <w:pgSz w:w="16840" w:h="11910" w:orient="landscape"/>
          <w:pgMar w:top="1180" w:right="1040" w:bottom="1440" w:left="1240" w:header="572" w:footer="1259" w:gutter="0"/>
          <w:cols w:space="720"/>
        </w:sectPr>
      </w:pPr>
    </w:p>
    <w:p w:rsidR="007D76BB" w:rsidRDefault="007D76BB">
      <w:pPr>
        <w:pStyle w:val="BodyText"/>
        <w:spacing w:before="3"/>
        <w:rPr>
          <w:sz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135"/>
        <w:gridCol w:w="3117"/>
        <w:gridCol w:w="1276"/>
        <w:gridCol w:w="6659"/>
      </w:tblGrid>
      <w:tr w:rsidR="007D76BB">
        <w:trPr>
          <w:trHeight w:val="928"/>
        </w:trPr>
        <w:tc>
          <w:tcPr>
            <w:tcW w:w="2126" w:type="dxa"/>
            <w:tcBorders>
              <w:left w:val="nil"/>
            </w:tcBorders>
            <w:shd w:val="clear" w:color="auto" w:fill="006FB5"/>
          </w:tcPr>
          <w:p w:rsidR="007D76BB" w:rsidRDefault="007D76BB">
            <w:pPr>
              <w:pStyle w:val="TableParagraph"/>
            </w:pPr>
          </w:p>
          <w:p w:rsidR="007D76BB" w:rsidRDefault="00D70D28">
            <w:pPr>
              <w:pStyle w:val="TableParagraph"/>
              <w:spacing w:before="131" w:line="266" w:lineRule="exact"/>
              <w:ind w:left="112" w:right="198"/>
              <w:rPr>
                <w:rFonts w:ascii="Calibri"/>
                <w:b/>
              </w:rPr>
            </w:pPr>
            <w:r>
              <w:rPr>
                <w:rFonts w:ascii="Calibri"/>
                <w:b/>
                <w:color w:val="FFFFFF"/>
              </w:rPr>
              <w:t>Ingredient name (alternative names)</w:t>
            </w:r>
          </w:p>
        </w:tc>
        <w:tc>
          <w:tcPr>
            <w:tcW w:w="1135" w:type="dxa"/>
            <w:shd w:val="clear" w:color="auto" w:fill="006FB5"/>
          </w:tcPr>
          <w:p w:rsidR="007D76BB" w:rsidRDefault="007D76BB">
            <w:pPr>
              <w:pStyle w:val="TableParagraph"/>
            </w:pPr>
          </w:p>
          <w:p w:rsidR="007D76BB" w:rsidRDefault="007D76BB">
            <w:pPr>
              <w:pStyle w:val="TableParagraph"/>
            </w:pPr>
          </w:p>
          <w:p w:rsidR="007D76BB" w:rsidRDefault="00D70D28">
            <w:pPr>
              <w:pStyle w:val="TableParagraph"/>
              <w:spacing w:before="143" w:line="249" w:lineRule="exact"/>
              <w:ind w:left="108"/>
              <w:rPr>
                <w:rFonts w:ascii="Calibri"/>
                <w:b/>
              </w:rPr>
            </w:pPr>
            <w:r>
              <w:rPr>
                <w:rFonts w:ascii="Calibri"/>
                <w:b/>
                <w:color w:val="FFFFFF"/>
              </w:rPr>
              <w:t>Class</w:t>
            </w:r>
          </w:p>
        </w:tc>
        <w:tc>
          <w:tcPr>
            <w:tcW w:w="3117" w:type="dxa"/>
            <w:shd w:val="clear" w:color="auto" w:fill="006FB5"/>
          </w:tcPr>
          <w:p w:rsidR="007D76BB" w:rsidRDefault="007D76BB">
            <w:pPr>
              <w:pStyle w:val="TableParagraph"/>
            </w:pPr>
          </w:p>
          <w:p w:rsidR="007D76BB" w:rsidRDefault="007D76BB">
            <w:pPr>
              <w:pStyle w:val="TableParagraph"/>
            </w:pPr>
          </w:p>
          <w:p w:rsidR="007D76BB" w:rsidRDefault="00D70D28">
            <w:pPr>
              <w:pStyle w:val="TableParagraph"/>
              <w:spacing w:before="143" w:line="249" w:lineRule="exact"/>
              <w:ind w:left="108"/>
              <w:rPr>
                <w:rFonts w:ascii="Calibri"/>
                <w:b/>
              </w:rPr>
            </w:pPr>
            <w:r>
              <w:rPr>
                <w:rFonts w:ascii="Calibri"/>
                <w:b/>
                <w:color w:val="FFFFFF"/>
              </w:rPr>
              <w:t>Poisons Standard</w:t>
            </w:r>
          </w:p>
        </w:tc>
        <w:tc>
          <w:tcPr>
            <w:tcW w:w="1276" w:type="dxa"/>
            <w:shd w:val="clear" w:color="auto" w:fill="006FB5"/>
          </w:tcPr>
          <w:p w:rsidR="007D76BB" w:rsidRDefault="007D76BB">
            <w:pPr>
              <w:pStyle w:val="TableParagraph"/>
            </w:pPr>
          </w:p>
          <w:p w:rsidR="007D76BB" w:rsidRDefault="00D70D28">
            <w:pPr>
              <w:pStyle w:val="TableParagraph"/>
              <w:spacing w:before="135" w:line="267" w:lineRule="exact"/>
              <w:ind w:left="108"/>
              <w:rPr>
                <w:rFonts w:ascii="Calibri"/>
                <w:b/>
              </w:rPr>
            </w:pPr>
            <w:r>
              <w:rPr>
                <w:rFonts w:ascii="Calibri"/>
                <w:b/>
                <w:color w:val="FFFFFF"/>
              </w:rPr>
              <w:t>WADC</w:t>
            </w:r>
          </w:p>
          <w:p w:rsidR="007D76BB" w:rsidRDefault="00D70D28">
            <w:pPr>
              <w:pStyle w:val="TableParagraph"/>
              <w:spacing w:line="248" w:lineRule="exact"/>
              <w:ind w:left="108"/>
              <w:rPr>
                <w:rFonts w:ascii="Calibri"/>
                <w:b/>
              </w:rPr>
            </w:pPr>
            <w:r>
              <w:rPr>
                <w:rFonts w:ascii="Calibri"/>
                <w:b/>
                <w:color w:val="FFFFFF"/>
              </w:rPr>
              <w:t>Prohibited</w:t>
            </w:r>
          </w:p>
        </w:tc>
        <w:tc>
          <w:tcPr>
            <w:tcW w:w="6659" w:type="dxa"/>
            <w:shd w:val="clear" w:color="auto" w:fill="006FB5"/>
          </w:tcPr>
          <w:p w:rsidR="007D76BB" w:rsidRDefault="007D76BB">
            <w:pPr>
              <w:pStyle w:val="TableParagraph"/>
            </w:pPr>
          </w:p>
          <w:p w:rsidR="007D76BB" w:rsidRDefault="007D76BB">
            <w:pPr>
              <w:pStyle w:val="TableParagraph"/>
            </w:pPr>
          </w:p>
          <w:p w:rsidR="007D76BB" w:rsidRDefault="00D70D28">
            <w:pPr>
              <w:pStyle w:val="TableParagraph"/>
              <w:spacing w:before="143" w:line="249" w:lineRule="exact"/>
              <w:ind w:left="109"/>
              <w:rPr>
                <w:rFonts w:ascii="Calibri"/>
                <w:b/>
              </w:rPr>
            </w:pPr>
            <w:r>
              <w:rPr>
                <w:rFonts w:ascii="Calibri"/>
                <w:b/>
                <w:color w:val="FFFFFF"/>
              </w:rPr>
              <w:t>Notes</w:t>
            </w:r>
          </w:p>
        </w:tc>
      </w:tr>
      <w:tr w:rsidR="007D76BB">
        <w:trPr>
          <w:trHeight w:val="422"/>
        </w:trPr>
        <w:tc>
          <w:tcPr>
            <w:tcW w:w="2126" w:type="dxa"/>
          </w:tcPr>
          <w:p w:rsidR="007D76BB" w:rsidRDefault="00D70D28">
            <w:pPr>
              <w:pStyle w:val="TableParagraph"/>
              <w:spacing w:before="54"/>
              <w:ind w:left="107"/>
              <w:rPr>
                <w:sz w:val="16"/>
              </w:rPr>
            </w:pPr>
            <w:proofErr w:type="spellStart"/>
            <w:r>
              <w:rPr>
                <w:sz w:val="16"/>
              </w:rPr>
              <w:t>Sibutramine</w:t>
            </w:r>
            <w:proofErr w:type="spellEnd"/>
            <w:r>
              <w:rPr>
                <w:sz w:val="16"/>
              </w:rPr>
              <w:t>(5)</w:t>
            </w:r>
          </w:p>
        </w:tc>
        <w:tc>
          <w:tcPr>
            <w:tcW w:w="1135" w:type="dxa"/>
          </w:tcPr>
          <w:p w:rsidR="007D76BB" w:rsidRDefault="00D70D28">
            <w:pPr>
              <w:pStyle w:val="TableParagraph"/>
              <w:spacing w:before="54"/>
              <w:ind w:left="108"/>
              <w:rPr>
                <w:sz w:val="16"/>
              </w:rPr>
            </w:pPr>
            <w:r>
              <w:rPr>
                <w:sz w:val="16"/>
              </w:rPr>
              <w:t>Stimulant</w:t>
            </w:r>
          </w:p>
        </w:tc>
        <w:tc>
          <w:tcPr>
            <w:tcW w:w="3117" w:type="dxa"/>
          </w:tcPr>
          <w:p w:rsidR="007D76BB" w:rsidRDefault="00D70D28">
            <w:pPr>
              <w:pStyle w:val="TableParagraph"/>
              <w:spacing w:before="54"/>
              <w:ind w:left="108"/>
              <w:rPr>
                <w:sz w:val="16"/>
              </w:rPr>
            </w:pPr>
            <w:r>
              <w:rPr>
                <w:sz w:val="16"/>
              </w:rPr>
              <w:t>Poisons Standard - Schedule 4</w:t>
            </w:r>
          </w:p>
        </w:tc>
        <w:tc>
          <w:tcPr>
            <w:tcW w:w="1276" w:type="dxa"/>
          </w:tcPr>
          <w:p w:rsidR="007D76BB" w:rsidRDefault="00D70D28">
            <w:pPr>
              <w:pStyle w:val="TableParagraph"/>
              <w:spacing w:before="54"/>
              <w:ind w:left="108"/>
              <w:rPr>
                <w:sz w:val="16"/>
              </w:rPr>
            </w:pPr>
            <w:r>
              <w:rPr>
                <w:sz w:val="16"/>
              </w:rPr>
              <w:t>Yes</w:t>
            </w:r>
          </w:p>
        </w:tc>
        <w:tc>
          <w:tcPr>
            <w:tcW w:w="6659" w:type="dxa"/>
          </w:tcPr>
          <w:p w:rsidR="007D76BB" w:rsidRDefault="007D76BB">
            <w:pPr>
              <w:pStyle w:val="TableParagraph"/>
              <w:rPr>
                <w:rFonts w:ascii="Times New Roman"/>
                <w:sz w:val="18"/>
              </w:rPr>
            </w:pPr>
          </w:p>
        </w:tc>
      </w:tr>
      <w:tr w:rsidR="007D76BB">
        <w:trPr>
          <w:trHeight w:val="419"/>
        </w:trPr>
        <w:tc>
          <w:tcPr>
            <w:tcW w:w="2126" w:type="dxa"/>
          </w:tcPr>
          <w:p w:rsidR="007D76BB" w:rsidRDefault="00D70D28">
            <w:pPr>
              <w:pStyle w:val="TableParagraph"/>
              <w:spacing w:before="51"/>
              <w:ind w:left="107"/>
              <w:rPr>
                <w:sz w:val="16"/>
              </w:rPr>
            </w:pPr>
            <w:r>
              <w:rPr>
                <w:sz w:val="16"/>
              </w:rPr>
              <w:t>Taurine(1)</w:t>
            </w:r>
          </w:p>
        </w:tc>
        <w:tc>
          <w:tcPr>
            <w:tcW w:w="1135" w:type="dxa"/>
          </w:tcPr>
          <w:p w:rsidR="007D76BB" w:rsidRDefault="00D70D28">
            <w:pPr>
              <w:pStyle w:val="TableParagraph"/>
              <w:spacing w:before="51"/>
              <w:ind w:left="108"/>
              <w:rPr>
                <w:sz w:val="16"/>
              </w:rPr>
            </w:pPr>
            <w:r>
              <w:rPr>
                <w:sz w:val="16"/>
              </w:rPr>
              <w:t>Amino acid</w:t>
            </w:r>
          </w:p>
        </w:tc>
        <w:tc>
          <w:tcPr>
            <w:tcW w:w="3117" w:type="dxa"/>
          </w:tcPr>
          <w:p w:rsidR="007D76BB" w:rsidRDefault="00D70D28">
            <w:pPr>
              <w:pStyle w:val="TableParagraph"/>
              <w:spacing w:before="51"/>
              <w:ind w:left="108"/>
              <w:rPr>
                <w:sz w:val="16"/>
              </w:rPr>
            </w:pPr>
            <w:r>
              <w:rPr>
                <w:sz w:val="16"/>
              </w:rPr>
              <w:t>No</w:t>
            </w:r>
          </w:p>
        </w:tc>
        <w:tc>
          <w:tcPr>
            <w:tcW w:w="1276" w:type="dxa"/>
          </w:tcPr>
          <w:p w:rsidR="007D76BB" w:rsidRDefault="00D70D28">
            <w:pPr>
              <w:pStyle w:val="TableParagraph"/>
              <w:spacing w:before="51"/>
              <w:ind w:left="108"/>
              <w:rPr>
                <w:sz w:val="16"/>
              </w:rPr>
            </w:pPr>
            <w:r>
              <w:rPr>
                <w:sz w:val="16"/>
              </w:rPr>
              <w:t>No</w:t>
            </w:r>
          </w:p>
        </w:tc>
        <w:tc>
          <w:tcPr>
            <w:tcW w:w="6659" w:type="dxa"/>
          </w:tcPr>
          <w:p w:rsidR="007D76BB" w:rsidRDefault="007D76BB">
            <w:pPr>
              <w:pStyle w:val="TableParagraph"/>
              <w:rPr>
                <w:rFonts w:ascii="Times New Roman"/>
                <w:sz w:val="18"/>
              </w:rPr>
            </w:pPr>
          </w:p>
        </w:tc>
      </w:tr>
      <w:tr w:rsidR="007D76BB">
        <w:trPr>
          <w:trHeight w:val="515"/>
        </w:trPr>
        <w:tc>
          <w:tcPr>
            <w:tcW w:w="2126" w:type="dxa"/>
          </w:tcPr>
          <w:p w:rsidR="007D76BB" w:rsidRDefault="00D70D28">
            <w:pPr>
              <w:pStyle w:val="TableParagraph"/>
              <w:spacing w:before="147"/>
              <w:ind w:left="107"/>
              <w:rPr>
                <w:sz w:val="16"/>
              </w:rPr>
            </w:pPr>
            <w:proofErr w:type="spellStart"/>
            <w:r>
              <w:rPr>
                <w:sz w:val="16"/>
              </w:rPr>
              <w:t>Tribulus</w:t>
            </w:r>
            <w:proofErr w:type="spellEnd"/>
            <w:r>
              <w:rPr>
                <w:sz w:val="16"/>
              </w:rPr>
              <w:t xml:space="preserve"> </w:t>
            </w:r>
            <w:proofErr w:type="spellStart"/>
            <w:r>
              <w:rPr>
                <w:sz w:val="16"/>
              </w:rPr>
              <w:t>terrestris</w:t>
            </w:r>
            <w:proofErr w:type="spellEnd"/>
            <w:r>
              <w:rPr>
                <w:sz w:val="16"/>
              </w:rPr>
              <w:t>(4,5)</w:t>
            </w:r>
          </w:p>
        </w:tc>
        <w:tc>
          <w:tcPr>
            <w:tcW w:w="1135" w:type="dxa"/>
          </w:tcPr>
          <w:p w:rsidR="007D76BB" w:rsidRDefault="00D70D28">
            <w:pPr>
              <w:pStyle w:val="TableParagraph"/>
              <w:spacing w:before="147"/>
              <w:ind w:left="108"/>
              <w:rPr>
                <w:sz w:val="16"/>
              </w:rPr>
            </w:pPr>
            <w:r>
              <w:rPr>
                <w:sz w:val="16"/>
              </w:rPr>
              <w:t>Herb</w:t>
            </w:r>
          </w:p>
        </w:tc>
        <w:tc>
          <w:tcPr>
            <w:tcW w:w="3117" w:type="dxa"/>
          </w:tcPr>
          <w:p w:rsidR="007D76BB" w:rsidRDefault="00D70D28">
            <w:pPr>
              <w:pStyle w:val="TableParagraph"/>
              <w:spacing w:before="147"/>
              <w:ind w:left="108"/>
              <w:rPr>
                <w:sz w:val="16"/>
              </w:rPr>
            </w:pPr>
            <w:r>
              <w:rPr>
                <w:sz w:val="16"/>
              </w:rPr>
              <w:t>No</w:t>
            </w:r>
          </w:p>
        </w:tc>
        <w:tc>
          <w:tcPr>
            <w:tcW w:w="1276" w:type="dxa"/>
          </w:tcPr>
          <w:p w:rsidR="007D76BB" w:rsidRDefault="00D70D28">
            <w:pPr>
              <w:pStyle w:val="TableParagraph"/>
              <w:spacing w:before="147"/>
              <w:ind w:left="108"/>
              <w:rPr>
                <w:sz w:val="16"/>
              </w:rPr>
            </w:pPr>
            <w:r>
              <w:rPr>
                <w:sz w:val="16"/>
              </w:rPr>
              <w:t>No</w:t>
            </w:r>
          </w:p>
        </w:tc>
        <w:tc>
          <w:tcPr>
            <w:tcW w:w="6659" w:type="dxa"/>
          </w:tcPr>
          <w:p w:rsidR="007D76BB" w:rsidRDefault="00D70D28">
            <w:pPr>
              <w:pStyle w:val="TableParagraph"/>
              <w:spacing w:before="147"/>
              <w:ind w:left="109"/>
              <w:rPr>
                <w:sz w:val="16"/>
              </w:rPr>
            </w:pPr>
            <w:r>
              <w:rPr>
                <w:sz w:val="16"/>
              </w:rPr>
              <w:t>Not WADC Prohibited List but at high risk of being contaminated (AIS)</w:t>
            </w:r>
          </w:p>
        </w:tc>
      </w:tr>
      <w:tr w:rsidR="007D76BB">
        <w:trPr>
          <w:trHeight w:val="1141"/>
        </w:trPr>
        <w:tc>
          <w:tcPr>
            <w:tcW w:w="2126" w:type="dxa"/>
          </w:tcPr>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D70D28">
            <w:pPr>
              <w:pStyle w:val="TableParagraph"/>
              <w:spacing w:before="141"/>
              <w:ind w:left="107"/>
              <w:rPr>
                <w:sz w:val="16"/>
              </w:rPr>
            </w:pPr>
            <w:r>
              <w:rPr>
                <w:sz w:val="16"/>
              </w:rPr>
              <w:t>Tryptophan (1)</w:t>
            </w:r>
          </w:p>
        </w:tc>
        <w:tc>
          <w:tcPr>
            <w:tcW w:w="1135" w:type="dxa"/>
          </w:tcPr>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D70D28">
            <w:pPr>
              <w:pStyle w:val="TableParagraph"/>
              <w:spacing w:before="141"/>
              <w:ind w:left="108"/>
              <w:rPr>
                <w:sz w:val="16"/>
              </w:rPr>
            </w:pPr>
            <w:r>
              <w:rPr>
                <w:sz w:val="16"/>
              </w:rPr>
              <w:t>Amino acid</w:t>
            </w:r>
          </w:p>
        </w:tc>
        <w:tc>
          <w:tcPr>
            <w:tcW w:w="3117" w:type="dxa"/>
          </w:tcPr>
          <w:p w:rsidR="007D76BB" w:rsidRDefault="00D70D28">
            <w:pPr>
              <w:pStyle w:val="TableParagraph"/>
              <w:spacing w:before="54" w:line="307" w:lineRule="auto"/>
              <w:ind w:left="108" w:right="356"/>
              <w:rPr>
                <w:sz w:val="16"/>
              </w:rPr>
            </w:pPr>
            <w:r>
              <w:rPr>
                <w:sz w:val="16"/>
              </w:rPr>
              <w:t>Schedule 4: for human therapeutic use except in preparations labelled with a recommended daily dose of 100 mg or less of tryptophan</w:t>
            </w:r>
          </w:p>
        </w:tc>
        <w:tc>
          <w:tcPr>
            <w:tcW w:w="1276" w:type="dxa"/>
          </w:tcPr>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D70D28">
            <w:pPr>
              <w:pStyle w:val="TableParagraph"/>
              <w:spacing w:before="141"/>
              <w:ind w:left="108"/>
              <w:rPr>
                <w:sz w:val="16"/>
              </w:rPr>
            </w:pPr>
            <w:r>
              <w:rPr>
                <w:sz w:val="16"/>
              </w:rPr>
              <w:t>No</w:t>
            </w:r>
          </w:p>
        </w:tc>
        <w:tc>
          <w:tcPr>
            <w:tcW w:w="6659" w:type="dxa"/>
          </w:tcPr>
          <w:p w:rsidR="007D76BB" w:rsidRDefault="007D76BB">
            <w:pPr>
              <w:pStyle w:val="TableParagraph"/>
              <w:rPr>
                <w:sz w:val="18"/>
              </w:rPr>
            </w:pPr>
          </w:p>
          <w:p w:rsidR="007D76BB" w:rsidRDefault="007D76BB">
            <w:pPr>
              <w:pStyle w:val="TableParagraph"/>
              <w:rPr>
                <w:sz w:val="18"/>
              </w:rPr>
            </w:pPr>
          </w:p>
          <w:p w:rsidR="007D76BB" w:rsidRDefault="007D76BB">
            <w:pPr>
              <w:pStyle w:val="TableParagraph"/>
              <w:rPr>
                <w:sz w:val="18"/>
              </w:rPr>
            </w:pPr>
          </w:p>
          <w:p w:rsidR="007D76BB" w:rsidRDefault="00D70D28">
            <w:pPr>
              <w:pStyle w:val="TableParagraph"/>
              <w:spacing w:before="141"/>
              <w:ind w:left="109"/>
              <w:rPr>
                <w:sz w:val="16"/>
              </w:rPr>
            </w:pPr>
            <w:r>
              <w:rPr>
                <w:sz w:val="16"/>
              </w:rPr>
              <w:t>Unscheduled when labelled with a recommended dose of 100mg or less of tryptophan.</w:t>
            </w:r>
          </w:p>
        </w:tc>
      </w:tr>
      <w:tr w:rsidR="007D76BB">
        <w:trPr>
          <w:trHeight w:val="419"/>
        </w:trPr>
        <w:tc>
          <w:tcPr>
            <w:tcW w:w="2126" w:type="dxa"/>
          </w:tcPr>
          <w:p w:rsidR="007D76BB" w:rsidRDefault="00D70D28">
            <w:pPr>
              <w:pStyle w:val="TableParagraph"/>
              <w:spacing w:before="51"/>
              <w:ind w:left="107"/>
              <w:rPr>
                <w:sz w:val="16"/>
              </w:rPr>
            </w:pPr>
            <w:r>
              <w:rPr>
                <w:sz w:val="16"/>
              </w:rPr>
              <w:t>Tyrosine/L-Tyrosine(1)</w:t>
            </w:r>
          </w:p>
        </w:tc>
        <w:tc>
          <w:tcPr>
            <w:tcW w:w="1135" w:type="dxa"/>
          </w:tcPr>
          <w:p w:rsidR="007D76BB" w:rsidRDefault="00D70D28">
            <w:pPr>
              <w:pStyle w:val="TableParagraph"/>
              <w:spacing w:before="51"/>
              <w:ind w:left="108"/>
              <w:rPr>
                <w:sz w:val="16"/>
              </w:rPr>
            </w:pPr>
            <w:r>
              <w:rPr>
                <w:sz w:val="16"/>
              </w:rPr>
              <w:t>Amino acid</w:t>
            </w:r>
          </w:p>
        </w:tc>
        <w:tc>
          <w:tcPr>
            <w:tcW w:w="3117" w:type="dxa"/>
          </w:tcPr>
          <w:p w:rsidR="007D76BB" w:rsidRDefault="00D70D28">
            <w:pPr>
              <w:pStyle w:val="TableParagraph"/>
              <w:spacing w:before="51"/>
              <w:ind w:left="108"/>
              <w:rPr>
                <w:sz w:val="16"/>
              </w:rPr>
            </w:pPr>
            <w:r>
              <w:rPr>
                <w:sz w:val="16"/>
              </w:rPr>
              <w:t>No</w:t>
            </w:r>
          </w:p>
        </w:tc>
        <w:tc>
          <w:tcPr>
            <w:tcW w:w="1276" w:type="dxa"/>
          </w:tcPr>
          <w:p w:rsidR="007D76BB" w:rsidRDefault="00D70D28">
            <w:pPr>
              <w:pStyle w:val="TableParagraph"/>
              <w:spacing w:before="51"/>
              <w:ind w:left="108"/>
              <w:rPr>
                <w:sz w:val="16"/>
              </w:rPr>
            </w:pPr>
            <w:r>
              <w:rPr>
                <w:sz w:val="16"/>
              </w:rPr>
              <w:t>No</w:t>
            </w:r>
          </w:p>
        </w:tc>
        <w:tc>
          <w:tcPr>
            <w:tcW w:w="6659" w:type="dxa"/>
          </w:tcPr>
          <w:p w:rsidR="007D76BB" w:rsidRDefault="007D76BB">
            <w:pPr>
              <w:pStyle w:val="TableParagraph"/>
              <w:rPr>
                <w:rFonts w:ascii="Times New Roman"/>
                <w:sz w:val="18"/>
              </w:rPr>
            </w:pPr>
          </w:p>
        </w:tc>
      </w:tr>
      <w:tr w:rsidR="007D76BB">
        <w:trPr>
          <w:trHeight w:val="659"/>
        </w:trPr>
        <w:tc>
          <w:tcPr>
            <w:tcW w:w="2126" w:type="dxa"/>
          </w:tcPr>
          <w:p w:rsidR="007D76BB" w:rsidRDefault="00D70D28">
            <w:pPr>
              <w:pStyle w:val="TableParagraph"/>
              <w:spacing w:before="51" w:line="307" w:lineRule="auto"/>
              <w:ind w:left="107" w:right="843"/>
              <w:rPr>
                <w:sz w:val="16"/>
              </w:rPr>
            </w:pPr>
            <w:r>
              <w:rPr>
                <w:sz w:val="16"/>
              </w:rPr>
              <w:t>Whey protein concentrate(1,2)</w:t>
            </w:r>
          </w:p>
        </w:tc>
        <w:tc>
          <w:tcPr>
            <w:tcW w:w="1135" w:type="dxa"/>
          </w:tcPr>
          <w:p w:rsidR="007D76BB" w:rsidRDefault="007D76BB">
            <w:pPr>
              <w:pStyle w:val="TableParagraph"/>
              <w:spacing w:before="10"/>
              <w:rPr>
                <w:sz w:val="24"/>
              </w:rPr>
            </w:pPr>
          </w:p>
          <w:p w:rsidR="007D76BB" w:rsidRDefault="00D70D28">
            <w:pPr>
              <w:pStyle w:val="TableParagraph"/>
              <w:ind w:left="108"/>
              <w:rPr>
                <w:sz w:val="16"/>
              </w:rPr>
            </w:pPr>
            <w:r>
              <w:rPr>
                <w:sz w:val="16"/>
              </w:rPr>
              <w:t>Protein</w:t>
            </w:r>
          </w:p>
        </w:tc>
        <w:tc>
          <w:tcPr>
            <w:tcW w:w="3117" w:type="dxa"/>
          </w:tcPr>
          <w:p w:rsidR="007D76BB" w:rsidRDefault="007D76BB">
            <w:pPr>
              <w:pStyle w:val="TableParagraph"/>
              <w:spacing w:before="10"/>
              <w:rPr>
                <w:sz w:val="24"/>
              </w:rPr>
            </w:pPr>
          </w:p>
          <w:p w:rsidR="007D76BB" w:rsidRDefault="00D70D28">
            <w:pPr>
              <w:pStyle w:val="TableParagraph"/>
              <w:ind w:left="108"/>
              <w:rPr>
                <w:sz w:val="16"/>
              </w:rPr>
            </w:pPr>
            <w:r>
              <w:rPr>
                <w:sz w:val="16"/>
              </w:rPr>
              <w:t>No</w:t>
            </w:r>
          </w:p>
        </w:tc>
        <w:tc>
          <w:tcPr>
            <w:tcW w:w="1276" w:type="dxa"/>
          </w:tcPr>
          <w:p w:rsidR="007D76BB" w:rsidRDefault="007D76BB">
            <w:pPr>
              <w:pStyle w:val="TableParagraph"/>
              <w:spacing w:before="10"/>
              <w:rPr>
                <w:sz w:val="24"/>
              </w:rPr>
            </w:pPr>
          </w:p>
          <w:p w:rsidR="007D76BB" w:rsidRDefault="00D70D28">
            <w:pPr>
              <w:pStyle w:val="TableParagraph"/>
              <w:ind w:left="108"/>
              <w:rPr>
                <w:sz w:val="16"/>
              </w:rPr>
            </w:pPr>
            <w:r>
              <w:rPr>
                <w:sz w:val="16"/>
              </w:rPr>
              <w:t>No</w:t>
            </w:r>
          </w:p>
        </w:tc>
        <w:tc>
          <w:tcPr>
            <w:tcW w:w="6659" w:type="dxa"/>
          </w:tcPr>
          <w:p w:rsidR="007D76BB" w:rsidRDefault="007D76BB">
            <w:pPr>
              <w:pStyle w:val="TableParagraph"/>
              <w:rPr>
                <w:rFonts w:ascii="Times New Roman"/>
                <w:sz w:val="18"/>
              </w:rPr>
            </w:pPr>
          </w:p>
        </w:tc>
      </w:tr>
      <w:tr w:rsidR="007D76BB">
        <w:trPr>
          <w:trHeight w:val="659"/>
        </w:trPr>
        <w:tc>
          <w:tcPr>
            <w:tcW w:w="2126" w:type="dxa"/>
          </w:tcPr>
          <w:p w:rsidR="007D76BB" w:rsidRDefault="007D76BB">
            <w:pPr>
              <w:pStyle w:val="TableParagraph"/>
              <w:spacing w:before="10"/>
              <w:rPr>
                <w:sz w:val="24"/>
              </w:rPr>
            </w:pPr>
          </w:p>
          <w:p w:rsidR="007D76BB" w:rsidRDefault="00D70D28">
            <w:pPr>
              <w:pStyle w:val="TableParagraph"/>
              <w:ind w:left="107"/>
              <w:rPr>
                <w:sz w:val="16"/>
              </w:rPr>
            </w:pPr>
            <w:proofErr w:type="spellStart"/>
            <w:r>
              <w:rPr>
                <w:sz w:val="16"/>
              </w:rPr>
              <w:t>Yohimbine</w:t>
            </w:r>
            <w:proofErr w:type="spellEnd"/>
            <w:r>
              <w:rPr>
                <w:sz w:val="16"/>
              </w:rPr>
              <w:t xml:space="preserve"> alkaloids(2,4)</w:t>
            </w:r>
          </w:p>
        </w:tc>
        <w:tc>
          <w:tcPr>
            <w:tcW w:w="1135" w:type="dxa"/>
          </w:tcPr>
          <w:p w:rsidR="007D76BB" w:rsidRDefault="00D70D28">
            <w:pPr>
              <w:pStyle w:val="TableParagraph"/>
              <w:spacing w:before="51" w:line="307" w:lineRule="auto"/>
              <w:ind w:left="108" w:right="223"/>
              <w:rPr>
                <w:sz w:val="16"/>
              </w:rPr>
            </w:pPr>
            <w:r>
              <w:rPr>
                <w:sz w:val="16"/>
              </w:rPr>
              <w:t>Herbal component</w:t>
            </w:r>
          </w:p>
        </w:tc>
        <w:tc>
          <w:tcPr>
            <w:tcW w:w="3117" w:type="dxa"/>
          </w:tcPr>
          <w:p w:rsidR="007D76BB" w:rsidRDefault="007D76BB">
            <w:pPr>
              <w:pStyle w:val="TableParagraph"/>
              <w:spacing w:before="10"/>
              <w:rPr>
                <w:sz w:val="24"/>
              </w:rPr>
            </w:pPr>
          </w:p>
          <w:p w:rsidR="007D76BB" w:rsidRDefault="00D70D28">
            <w:pPr>
              <w:pStyle w:val="TableParagraph"/>
              <w:ind w:left="108"/>
              <w:rPr>
                <w:sz w:val="16"/>
              </w:rPr>
            </w:pPr>
            <w:r>
              <w:rPr>
                <w:sz w:val="16"/>
              </w:rPr>
              <w:t>Poisons Standard - Schedule 4</w:t>
            </w:r>
          </w:p>
        </w:tc>
        <w:tc>
          <w:tcPr>
            <w:tcW w:w="1276" w:type="dxa"/>
          </w:tcPr>
          <w:p w:rsidR="007D76BB" w:rsidRDefault="007D76BB">
            <w:pPr>
              <w:pStyle w:val="TableParagraph"/>
              <w:spacing w:before="10"/>
              <w:rPr>
                <w:sz w:val="24"/>
              </w:rPr>
            </w:pPr>
          </w:p>
          <w:p w:rsidR="007D76BB" w:rsidRDefault="00D70D28">
            <w:pPr>
              <w:pStyle w:val="TableParagraph"/>
              <w:ind w:left="108"/>
              <w:rPr>
                <w:sz w:val="16"/>
              </w:rPr>
            </w:pPr>
            <w:r>
              <w:rPr>
                <w:sz w:val="16"/>
              </w:rPr>
              <w:t>No</w:t>
            </w:r>
          </w:p>
        </w:tc>
        <w:tc>
          <w:tcPr>
            <w:tcW w:w="6659" w:type="dxa"/>
          </w:tcPr>
          <w:p w:rsidR="007D76BB" w:rsidRDefault="007D76BB">
            <w:pPr>
              <w:pStyle w:val="TableParagraph"/>
              <w:rPr>
                <w:rFonts w:ascii="Times New Roman"/>
                <w:sz w:val="18"/>
              </w:rPr>
            </w:pPr>
          </w:p>
        </w:tc>
      </w:tr>
    </w:tbl>
    <w:p w:rsidR="007D76BB" w:rsidRDefault="00D70D28">
      <w:pPr>
        <w:pStyle w:val="BodyText"/>
        <w:spacing w:before="119"/>
        <w:ind w:left="120"/>
      </w:pPr>
      <w:r>
        <w:t>Sources from Table:</w:t>
      </w:r>
    </w:p>
    <w:p w:rsidR="007D76BB" w:rsidRDefault="00D70D28">
      <w:pPr>
        <w:pStyle w:val="ListParagraph"/>
        <w:numPr>
          <w:ilvl w:val="0"/>
          <w:numId w:val="2"/>
        </w:numPr>
        <w:tabs>
          <w:tab w:val="left" w:pos="545"/>
          <w:tab w:val="left" w:pos="546"/>
        </w:tabs>
        <w:spacing w:before="182"/>
        <w:ind w:hanging="426"/>
      </w:pPr>
      <w:r>
        <w:t>Health Canada Monograph for Workout Supplements</w:t>
      </w:r>
      <w:r>
        <w:rPr>
          <w:spacing w:val="-7"/>
        </w:rPr>
        <w:t xml:space="preserve"> </w:t>
      </w:r>
      <w:r>
        <w:t>(53)</w:t>
      </w:r>
    </w:p>
    <w:p w:rsidR="007D76BB" w:rsidRDefault="00D70D28">
      <w:pPr>
        <w:pStyle w:val="ListParagraph"/>
        <w:numPr>
          <w:ilvl w:val="0"/>
          <w:numId w:val="2"/>
        </w:numPr>
        <w:tabs>
          <w:tab w:val="left" w:pos="545"/>
          <w:tab w:val="left" w:pos="546"/>
        </w:tabs>
        <w:spacing w:before="179"/>
        <w:ind w:hanging="426"/>
      </w:pPr>
      <w:r>
        <w:t>Noetic Market Research (Appendix</w:t>
      </w:r>
      <w:r>
        <w:rPr>
          <w:spacing w:val="-4"/>
        </w:rPr>
        <w:t xml:space="preserve"> </w:t>
      </w:r>
      <w:r>
        <w:t>1)</w:t>
      </w:r>
    </w:p>
    <w:p w:rsidR="007D76BB" w:rsidRDefault="00D70D28">
      <w:pPr>
        <w:pStyle w:val="ListParagraph"/>
        <w:numPr>
          <w:ilvl w:val="0"/>
          <w:numId w:val="2"/>
        </w:numPr>
        <w:tabs>
          <w:tab w:val="left" w:pos="545"/>
          <w:tab w:val="left" w:pos="546"/>
        </w:tabs>
        <w:spacing w:before="181"/>
        <w:ind w:hanging="426"/>
      </w:pPr>
      <w:r>
        <w:t xml:space="preserve">Canada Department of National </w:t>
      </w:r>
      <w:proofErr w:type="spellStart"/>
      <w:r>
        <w:t>Defence</w:t>
      </w:r>
      <w:proofErr w:type="spellEnd"/>
      <w:r>
        <w:rPr>
          <w:spacing w:val="-7"/>
        </w:rPr>
        <w:t xml:space="preserve"> </w:t>
      </w:r>
      <w:r>
        <w:t>(59)</w:t>
      </w:r>
    </w:p>
    <w:p w:rsidR="007D76BB" w:rsidRDefault="00D70D28">
      <w:pPr>
        <w:pStyle w:val="ListParagraph"/>
        <w:numPr>
          <w:ilvl w:val="0"/>
          <w:numId w:val="2"/>
        </w:numPr>
        <w:tabs>
          <w:tab w:val="left" w:pos="545"/>
          <w:tab w:val="left" w:pos="546"/>
        </w:tabs>
        <w:spacing w:before="179"/>
        <w:ind w:hanging="426"/>
      </w:pPr>
      <w:r>
        <w:t>US Department of Health</w:t>
      </w:r>
      <w:r>
        <w:rPr>
          <w:spacing w:val="-5"/>
        </w:rPr>
        <w:t xml:space="preserve"> </w:t>
      </w:r>
      <w:r>
        <w:t>(60)</w:t>
      </w:r>
    </w:p>
    <w:p w:rsidR="007D76BB" w:rsidRDefault="00D70D28">
      <w:pPr>
        <w:pStyle w:val="ListParagraph"/>
        <w:numPr>
          <w:ilvl w:val="0"/>
          <w:numId w:val="2"/>
        </w:numPr>
        <w:tabs>
          <w:tab w:val="left" w:pos="545"/>
          <w:tab w:val="left" w:pos="546"/>
        </w:tabs>
        <w:spacing w:before="181"/>
      </w:pPr>
      <w:r>
        <w:t>Australian Institute of Sport – Supplements and Sports Foods (warning to athletes)</w:t>
      </w:r>
      <w:r>
        <w:rPr>
          <w:spacing w:val="-12"/>
        </w:rPr>
        <w:t xml:space="preserve"> </w:t>
      </w:r>
      <w:r>
        <w:t>(37)</w:t>
      </w:r>
    </w:p>
    <w:p w:rsidR="007D76BB" w:rsidRDefault="00D70D28">
      <w:pPr>
        <w:pStyle w:val="ListParagraph"/>
        <w:numPr>
          <w:ilvl w:val="0"/>
          <w:numId w:val="2"/>
        </w:numPr>
        <w:tabs>
          <w:tab w:val="left" w:pos="545"/>
          <w:tab w:val="left" w:pos="546"/>
        </w:tabs>
        <w:spacing w:before="179"/>
        <w:ind w:hanging="426"/>
      </w:pPr>
      <w:r>
        <w:t>LGC Sports Supplements Survey</w:t>
      </w:r>
      <w:r>
        <w:rPr>
          <w:spacing w:val="-7"/>
        </w:rPr>
        <w:t xml:space="preserve"> </w:t>
      </w:r>
      <w:r>
        <w:t>(2)</w:t>
      </w:r>
    </w:p>
    <w:p w:rsidR="007D76BB" w:rsidRDefault="007D76BB">
      <w:pPr>
        <w:sectPr w:rsidR="007D76BB">
          <w:pgSz w:w="16840" w:h="11910" w:orient="landscape"/>
          <w:pgMar w:top="1180" w:right="1040" w:bottom="1440" w:left="1240" w:header="572" w:footer="1259" w:gutter="0"/>
          <w:cols w:space="720"/>
        </w:sectPr>
      </w:pPr>
    </w:p>
    <w:p w:rsidR="007D76BB" w:rsidRDefault="007D76BB">
      <w:pPr>
        <w:pStyle w:val="BodyText"/>
        <w:spacing w:before="4"/>
        <w:rPr>
          <w:sz w:val="15"/>
        </w:rPr>
      </w:pPr>
    </w:p>
    <w:p w:rsidR="007D76BB" w:rsidRDefault="00D70D28">
      <w:pPr>
        <w:pStyle w:val="Heading2"/>
        <w:ind w:left="118"/>
      </w:pPr>
      <w:bookmarkStart w:id="164" w:name="References"/>
      <w:bookmarkStart w:id="165" w:name="_bookmark89"/>
      <w:bookmarkEnd w:id="164"/>
      <w:bookmarkEnd w:id="165"/>
      <w:r>
        <w:t>References</w:t>
      </w:r>
    </w:p>
    <w:p w:rsidR="007D76BB" w:rsidRDefault="00D70D28">
      <w:pPr>
        <w:pStyle w:val="ListParagraph"/>
        <w:numPr>
          <w:ilvl w:val="0"/>
          <w:numId w:val="1"/>
        </w:numPr>
        <w:tabs>
          <w:tab w:val="left" w:pos="335"/>
        </w:tabs>
        <w:spacing w:before="246"/>
        <w:ind w:right="950" w:firstLine="0"/>
      </w:pPr>
      <w:r>
        <w:rPr>
          <w:b/>
        </w:rPr>
        <w:t xml:space="preserve">Deloitte Consulting. </w:t>
      </w:r>
      <w:r>
        <w:rPr>
          <w:i/>
        </w:rPr>
        <w:t xml:space="preserve">Department of Health Sports Supplements Roundtable: Report on Discussions and Next Steps. </w:t>
      </w:r>
      <w:proofErr w:type="spellStart"/>
      <w:r>
        <w:t>s.l</w:t>
      </w:r>
      <w:proofErr w:type="gramStart"/>
      <w:r>
        <w:t>.</w:t>
      </w:r>
      <w:proofErr w:type="spellEnd"/>
      <w:r>
        <w:t xml:space="preserve"> :</w:t>
      </w:r>
      <w:proofErr w:type="gramEnd"/>
      <w:r>
        <w:t xml:space="preserve"> Deloitte Consulting, </w:t>
      </w:r>
      <w:proofErr w:type="spellStart"/>
      <w:r>
        <w:t>Augsut</w:t>
      </w:r>
      <w:proofErr w:type="spellEnd"/>
      <w:r>
        <w:t>,</w:t>
      </w:r>
      <w:r>
        <w:rPr>
          <w:spacing w:val="-14"/>
        </w:rPr>
        <w:t xml:space="preserve"> </w:t>
      </w:r>
      <w:r>
        <w:t>2018.</w:t>
      </w:r>
    </w:p>
    <w:p w:rsidR="007D76BB" w:rsidRDefault="00D70D28">
      <w:pPr>
        <w:pStyle w:val="ListParagraph"/>
        <w:numPr>
          <w:ilvl w:val="0"/>
          <w:numId w:val="1"/>
        </w:numPr>
        <w:tabs>
          <w:tab w:val="left" w:pos="335"/>
        </w:tabs>
        <w:ind w:right="353" w:firstLine="0"/>
      </w:pPr>
      <w:r>
        <w:rPr>
          <w:b/>
        </w:rPr>
        <w:t xml:space="preserve">LGC. </w:t>
      </w:r>
      <w:r>
        <w:t xml:space="preserve">Australian Supplement Survey Summary. </w:t>
      </w:r>
      <w:r>
        <w:rPr>
          <w:i/>
        </w:rPr>
        <w:t xml:space="preserve">LGC. </w:t>
      </w:r>
      <w:r>
        <w:t>[Online] 2016. [Cited: 16 January 2020.]</w:t>
      </w:r>
      <w:hyperlink r:id="rId266">
        <w:r>
          <w:t xml:space="preserve"> http://www2.lgcgroup.com/australiansupplementsurvey.</w:t>
        </w:r>
      </w:hyperlink>
    </w:p>
    <w:p w:rsidR="007D76BB" w:rsidRDefault="00D70D28">
      <w:pPr>
        <w:pStyle w:val="ListParagraph"/>
        <w:numPr>
          <w:ilvl w:val="0"/>
          <w:numId w:val="1"/>
        </w:numPr>
        <w:tabs>
          <w:tab w:val="left" w:pos="335"/>
        </w:tabs>
        <w:spacing w:before="178"/>
        <w:ind w:right="265" w:firstLine="0"/>
      </w:pPr>
      <w:r>
        <w:rPr>
          <w:i/>
        </w:rPr>
        <w:t xml:space="preserve">Prevalence and Predictors of Dietary and Nutritional Supplement Use in the Australian Army: A Cross-Sectional Survey. </w:t>
      </w:r>
      <w:r>
        <w:rPr>
          <w:b/>
        </w:rPr>
        <w:t xml:space="preserve">Baker, B, et al. </w:t>
      </w:r>
      <w:r>
        <w:t>7, 2019, Nutrients, Vol. 11, p.</w:t>
      </w:r>
      <w:r>
        <w:rPr>
          <w:spacing w:val="-18"/>
        </w:rPr>
        <w:t xml:space="preserve"> </w:t>
      </w:r>
      <w:r>
        <w:t>1462.</w:t>
      </w:r>
    </w:p>
    <w:p w:rsidR="007D76BB" w:rsidRDefault="00D70D28">
      <w:pPr>
        <w:pStyle w:val="ListParagraph"/>
        <w:numPr>
          <w:ilvl w:val="0"/>
          <w:numId w:val="1"/>
        </w:numPr>
        <w:tabs>
          <w:tab w:val="left" w:pos="335"/>
        </w:tabs>
        <w:ind w:right="406" w:firstLine="0"/>
      </w:pPr>
      <w:r>
        <w:rPr>
          <w:i/>
        </w:rPr>
        <w:t xml:space="preserve">Serious Adverse Events Reported with Dietary Supplement Use in the United States: A 2.5 Year Experience. </w:t>
      </w:r>
      <w:r>
        <w:rPr>
          <w:b/>
        </w:rPr>
        <w:t xml:space="preserve">Schmitz, S, et al. </w:t>
      </w:r>
      <w:r>
        <w:t>2, 2020, Journal of Dietary Supplements, Vol. 17, pp.</w:t>
      </w:r>
      <w:r>
        <w:rPr>
          <w:spacing w:val="-27"/>
        </w:rPr>
        <w:t xml:space="preserve"> </w:t>
      </w:r>
      <w:r>
        <w:t>227-248.</w:t>
      </w:r>
    </w:p>
    <w:p w:rsidR="007D76BB" w:rsidRDefault="00D70D28">
      <w:pPr>
        <w:pStyle w:val="ListParagraph"/>
        <w:numPr>
          <w:ilvl w:val="0"/>
          <w:numId w:val="1"/>
        </w:numPr>
        <w:tabs>
          <w:tab w:val="left" w:pos="335"/>
        </w:tabs>
        <w:ind w:right="270" w:firstLine="0"/>
      </w:pPr>
      <w:r>
        <w:rPr>
          <w:i/>
        </w:rPr>
        <w:t>Multi-ingredient pre-workout supplements, safety implications, and performance outcomes: a brief</w:t>
      </w:r>
      <w:r>
        <w:rPr>
          <w:i/>
          <w:spacing w:val="-2"/>
        </w:rPr>
        <w:t xml:space="preserve"> </w:t>
      </w:r>
      <w:r>
        <w:rPr>
          <w:i/>
        </w:rPr>
        <w:t>review.</w:t>
      </w:r>
      <w:r>
        <w:rPr>
          <w:i/>
          <w:spacing w:val="-3"/>
        </w:rPr>
        <w:t xml:space="preserve"> </w:t>
      </w:r>
      <w:proofErr w:type="spellStart"/>
      <w:r>
        <w:rPr>
          <w:b/>
        </w:rPr>
        <w:t>Harty</w:t>
      </w:r>
      <w:proofErr w:type="spellEnd"/>
      <w:r>
        <w:rPr>
          <w:b/>
        </w:rPr>
        <w:t>,</w:t>
      </w:r>
      <w:r>
        <w:rPr>
          <w:b/>
          <w:spacing w:val="-3"/>
        </w:rPr>
        <w:t xml:space="preserve"> </w:t>
      </w:r>
      <w:r>
        <w:rPr>
          <w:b/>
        </w:rPr>
        <w:t>P,</w:t>
      </w:r>
      <w:r>
        <w:rPr>
          <w:b/>
          <w:spacing w:val="-3"/>
        </w:rPr>
        <w:t xml:space="preserve"> </w:t>
      </w:r>
      <w:r>
        <w:rPr>
          <w:b/>
        </w:rPr>
        <w:t>et</w:t>
      </w:r>
      <w:r>
        <w:rPr>
          <w:b/>
          <w:spacing w:val="-1"/>
        </w:rPr>
        <w:t xml:space="preserve"> </w:t>
      </w:r>
      <w:r>
        <w:rPr>
          <w:b/>
        </w:rPr>
        <w:t>al.</w:t>
      </w:r>
      <w:r>
        <w:rPr>
          <w:b/>
          <w:spacing w:val="-2"/>
        </w:rPr>
        <w:t xml:space="preserve"> </w:t>
      </w:r>
      <w:r>
        <w:t>2018,</w:t>
      </w:r>
      <w:r>
        <w:rPr>
          <w:spacing w:val="-1"/>
        </w:rPr>
        <w:t xml:space="preserve"> </w:t>
      </w:r>
      <w:r>
        <w:t>Journal</w:t>
      </w:r>
      <w:r>
        <w:rPr>
          <w:spacing w:val="-2"/>
        </w:rPr>
        <w:t xml:space="preserve"> </w:t>
      </w:r>
      <w:r>
        <w:t>of</w:t>
      </w:r>
      <w:r>
        <w:rPr>
          <w:spacing w:val="-2"/>
        </w:rPr>
        <w:t xml:space="preserve"> </w:t>
      </w:r>
      <w:r>
        <w:t>the</w:t>
      </w:r>
      <w:r>
        <w:rPr>
          <w:spacing w:val="-2"/>
        </w:rPr>
        <w:t xml:space="preserve"> </w:t>
      </w:r>
      <w:r>
        <w:t>International</w:t>
      </w:r>
      <w:r>
        <w:rPr>
          <w:spacing w:val="-4"/>
        </w:rPr>
        <w:t xml:space="preserve"> </w:t>
      </w:r>
      <w:r>
        <w:t>Society</w:t>
      </w:r>
      <w:r>
        <w:rPr>
          <w:spacing w:val="-3"/>
        </w:rPr>
        <w:t xml:space="preserve"> </w:t>
      </w:r>
      <w:r>
        <w:t>of</w:t>
      </w:r>
      <w:r>
        <w:rPr>
          <w:spacing w:val="-4"/>
        </w:rPr>
        <w:t xml:space="preserve"> </w:t>
      </w:r>
      <w:r>
        <w:t>Sports Nutrition,</w:t>
      </w:r>
      <w:r>
        <w:rPr>
          <w:spacing w:val="-2"/>
        </w:rPr>
        <w:t xml:space="preserve"> </w:t>
      </w:r>
      <w:r>
        <w:t>p.</w:t>
      </w:r>
      <w:r>
        <w:rPr>
          <w:spacing w:val="-2"/>
        </w:rPr>
        <w:t xml:space="preserve"> </w:t>
      </w:r>
      <w:r>
        <w:t>41.</w:t>
      </w:r>
    </w:p>
    <w:p w:rsidR="007D76BB" w:rsidRDefault="00D70D28">
      <w:pPr>
        <w:pStyle w:val="ListParagraph"/>
        <w:numPr>
          <w:ilvl w:val="0"/>
          <w:numId w:val="1"/>
        </w:numPr>
        <w:tabs>
          <w:tab w:val="left" w:pos="335"/>
        </w:tabs>
        <w:ind w:right="317" w:firstLine="0"/>
      </w:pPr>
      <w:r>
        <w:rPr>
          <w:i/>
        </w:rPr>
        <w:t xml:space="preserve">Prevalence, Adverse Events, and Factors Associated with Dietary Supplement and Nutritional Supplement Use by US Navy and Marine Corps Personnel. </w:t>
      </w:r>
      <w:proofErr w:type="spellStart"/>
      <w:r>
        <w:rPr>
          <w:b/>
        </w:rPr>
        <w:t>Knapik</w:t>
      </w:r>
      <w:proofErr w:type="spellEnd"/>
      <w:r>
        <w:rPr>
          <w:b/>
        </w:rPr>
        <w:t xml:space="preserve">, J, et al. </w:t>
      </w:r>
      <w:r>
        <w:t>9, 2016, Journal of the Academy of Nutrition and Dietetics, Vol. 116, pp.</w:t>
      </w:r>
      <w:r>
        <w:rPr>
          <w:spacing w:val="-16"/>
        </w:rPr>
        <w:t xml:space="preserve"> </w:t>
      </w:r>
      <w:r>
        <w:t>1423-1442.</w:t>
      </w:r>
    </w:p>
    <w:p w:rsidR="007D76BB" w:rsidRDefault="00D70D28">
      <w:pPr>
        <w:pStyle w:val="ListParagraph"/>
        <w:numPr>
          <w:ilvl w:val="0"/>
          <w:numId w:val="1"/>
        </w:numPr>
        <w:tabs>
          <w:tab w:val="left" w:pos="335"/>
        </w:tabs>
        <w:spacing w:before="181"/>
        <w:ind w:right="284" w:firstLine="0"/>
      </w:pPr>
      <w:r>
        <w:rPr>
          <w:i/>
        </w:rPr>
        <w:t xml:space="preserve">Supplementation prevalence and adverse effects in physical exercise practitioners. </w:t>
      </w:r>
      <w:proofErr w:type="gramStart"/>
      <w:r>
        <w:rPr>
          <w:b/>
        </w:rPr>
        <w:t>da</w:t>
      </w:r>
      <w:proofErr w:type="gramEnd"/>
      <w:r>
        <w:rPr>
          <w:b/>
        </w:rPr>
        <w:t xml:space="preserve"> Silva, W, et al. </w:t>
      </w:r>
      <w:r>
        <w:t xml:space="preserve">1, 2014, </w:t>
      </w:r>
      <w:proofErr w:type="spellStart"/>
      <w:r>
        <w:t>Nutricion</w:t>
      </w:r>
      <w:proofErr w:type="spellEnd"/>
      <w:r>
        <w:t xml:space="preserve"> </w:t>
      </w:r>
      <w:proofErr w:type="spellStart"/>
      <w:r>
        <w:t>Hospitalaria</w:t>
      </w:r>
      <w:proofErr w:type="spellEnd"/>
      <w:r>
        <w:t>, Vol. 29, pp.</w:t>
      </w:r>
      <w:r>
        <w:rPr>
          <w:spacing w:val="-15"/>
        </w:rPr>
        <w:t xml:space="preserve"> </w:t>
      </w:r>
      <w:r>
        <w:t>158-165.</w:t>
      </w:r>
    </w:p>
    <w:p w:rsidR="007D76BB" w:rsidRDefault="00D70D28">
      <w:pPr>
        <w:pStyle w:val="ListParagraph"/>
        <w:numPr>
          <w:ilvl w:val="0"/>
          <w:numId w:val="1"/>
        </w:numPr>
        <w:tabs>
          <w:tab w:val="left" w:pos="335"/>
        </w:tabs>
        <w:spacing w:before="181"/>
        <w:ind w:left="117" w:right="464" w:firstLine="0"/>
      </w:pPr>
      <w:r>
        <w:rPr>
          <w:i/>
        </w:rPr>
        <w:t xml:space="preserve">Cardiovascular Toxicities of performance-Enhancing Substances in Sports. </w:t>
      </w:r>
      <w:proofErr w:type="spellStart"/>
      <w:r>
        <w:rPr>
          <w:b/>
        </w:rPr>
        <w:t>Dhar</w:t>
      </w:r>
      <w:proofErr w:type="spellEnd"/>
      <w:r>
        <w:rPr>
          <w:b/>
        </w:rPr>
        <w:t xml:space="preserve">, R, et al. </w:t>
      </w:r>
      <w:r>
        <w:t>10, 2005, Mayo Clinic Proceedings, Vol. 80, pp.</w:t>
      </w:r>
      <w:r>
        <w:rPr>
          <w:spacing w:val="-9"/>
        </w:rPr>
        <w:t xml:space="preserve"> </w:t>
      </w:r>
      <w:r>
        <w:t>1307-1315.</w:t>
      </w:r>
    </w:p>
    <w:p w:rsidR="007D76BB" w:rsidRDefault="00D70D28">
      <w:pPr>
        <w:pStyle w:val="ListParagraph"/>
        <w:numPr>
          <w:ilvl w:val="0"/>
          <w:numId w:val="1"/>
        </w:numPr>
        <w:tabs>
          <w:tab w:val="left" w:pos="334"/>
        </w:tabs>
        <w:ind w:left="117" w:right="810" w:firstLine="0"/>
      </w:pPr>
      <w:r>
        <w:rPr>
          <w:i/>
        </w:rPr>
        <w:t xml:space="preserve">Pre-workout supplement induced cardiac </w:t>
      </w:r>
      <w:proofErr w:type="spellStart"/>
      <w:r>
        <w:rPr>
          <w:i/>
        </w:rPr>
        <w:t>ischaemia</w:t>
      </w:r>
      <w:proofErr w:type="spellEnd"/>
      <w:r>
        <w:rPr>
          <w:i/>
        </w:rPr>
        <w:t xml:space="preserve"> in a young female. </w:t>
      </w:r>
      <w:r>
        <w:rPr>
          <w:b/>
        </w:rPr>
        <w:t xml:space="preserve">Wang, S. </w:t>
      </w:r>
      <w:r>
        <w:t>2, 2020, Journal of sports sciences, Vol. 38, pp.</w:t>
      </w:r>
      <w:r>
        <w:rPr>
          <w:spacing w:val="-11"/>
        </w:rPr>
        <w:t xml:space="preserve"> </w:t>
      </w:r>
      <w:r>
        <w:t>187-191.</w:t>
      </w:r>
    </w:p>
    <w:p w:rsidR="007D76BB" w:rsidRDefault="00D70D28">
      <w:pPr>
        <w:pStyle w:val="ListParagraph"/>
        <w:numPr>
          <w:ilvl w:val="0"/>
          <w:numId w:val="1"/>
        </w:numPr>
        <w:tabs>
          <w:tab w:val="left" w:pos="457"/>
        </w:tabs>
        <w:spacing w:before="177"/>
        <w:ind w:left="117" w:right="281" w:firstLine="0"/>
      </w:pPr>
      <w:r>
        <w:rPr>
          <w:i/>
        </w:rPr>
        <w:t xml:space="preserve">Renal failure and exercise-induced rhabdomyolysis in patients taking performance-enhancing compounds. </w:t>
      </w:r>
      <w:r>
        <w:rPr>
          <w:b/>
        </w:rPr>
        <w:t xml:space="preserve">Sandhu, R, et al. </w:t>
      </w:r>
      <w:r>
        <w:t>4, 2002, The Journal of trauma, Vol. 53, pp.</w:t>
      </w:r>
      <w:r>
        <w:rPr>
          <w:spacing w:val="-22"/>
        </w:rPr>
        <w:t xml:space="preserve"> </w:t>
      </w:r>
      <w:r>
        <w:t>761-763.</w:t>
      </w:r>
    </w:p>
    <w:p w:rsidR="007D76BB" w:rsidRDefault="00D70D28">
      <w:pPr>
        <w:pStyle w:val="ListParagraph"/>
        <w:numPr>
          <w:ilvl w:val="0"/>
          <w:numId w:val="1"/>
        </w:numPr>
        <w:tabs>
          <w:tab w:val="left" w:pos="457"/>
        </w:tabs>
        <w:spacing w:before="181"/>
        <w:ind w:left="117" w:right="1037" w:firstLine="0"/>
      </w:pPr>
      <w:proofErr w:type="spellStart"/>
      <w:r>
        <w:rPr>
          <w:i/>
        </w:rPr>
        <w:t>Yohimbine</w:t>
      </w:r>
      <w:proofErr w:type="spellEnd"/>
      <w:r>
        <w:rPr>
          <w:i/>
        </w:rPr>
        <w:t xml:space="preserve">-induced cutaneous drug eruption, progressive renal failure, and lupus-like syndrome. </w:t>
      </w:r>
      <w:r>
        <w:rPr>
          <w:b/>
        </w:rPr>
        <w:t xml:space="preserve">Sandler, B and Aronson, P. </w:t>
      </w:r>
      <w:r>
        <w:t>4, 1993, Urology, Vol. 41, pp.</w:t>
      </w:r>
      <w:r>
        <w:rPr>
          <w:spacing w:val="-22"/>
        </w:rPr>
        <w:t xml:space="preserve"> </w:t>
      </w:r>
      <w:r>
        <w:t>343-345.</w:t>
      </w:r>
    </w:p>
    <w:p w:rsidR="007D76BB" w:rsidRDefault="00D70D28">
      <w:pPr>
        <w:pStyle w:val="ListParagraph"/>
        <w:numPr>
          <w:ilvl w:val="0"/>
          <w:numId w:val="1"/>
        </w:numPr>
        <w:tabs>
          <w:tab w:val="left" w:pos="457"/>
        </w:tabs>
        <w:ind w:left="117" w:right="218" w:firstLine="0"/>
      </w:pPr>
      <w:r>
        <w:rPr>
          <w:i/>
        </w:rPr>
        <w:t xml:space="preserve">Interstitial Nephritis in a Patient Taking </w:t>
      </w:r>
      <w:proofErr w:type="spellStart"/>
      <w:r>
        <w:rPr>
          <w:i/>
        </w:rPr>
        <w:t>Creatine</w:t>
      </w:r>
      <w:proofErr w:type="spellEnd"/>
      <w:r>
        <w:rPr>
          <w:i/>
        </w:rPr>
        <w:t xml:space="preserve">. </w:t>
      </w:r>
      <w:r>
        <w:rPr>
          <w:b/>
        </w:rPr>
        <w:t xml:space="preserve">Koshy, K and Griswold, E. </w:t>
      </w:r>
      <w:r>
        <w:t xml:space="preserve">1999, </w:t>
      </w:r>
      <w:proofErr w:type="gramStart"/>
      <w:r>
        <w:t>The</w:t>
      </w:r>
      <w:proofErr w:type="gramEnd"/>
      <w:r>
        <w:t xml:space="preserve"> New England Journal of Medicine, Vol. 340, pp.</w:t>
      </w:r>
      <w:r>
        <w:rPr>
          <w:spacing w:val="-10"/>
        </w:rPr>
        <w:t xml:space="preserve"> </w:t>
      </w:r>
      <w:r>
        <w:t>814-815.</w:t>
      </w:r>
    </w:p>
    <w:p w:rsidR="007D76BB" w:rsidRDefault="00D70D28">
      <w:pPr>
        <w:pStyle w:val="ListParagraph"/>
        <w:numPr>
          <w:ilvl w:val="0"/>
          <w:numId w:val="1"/>
        </w:numPr>
        <w:tabs>
          <w:tab w:val="left" w:pos="457"/>
        </w:tabs>
        <w:ind w:left="117" w:right="176" w:firstLine="0"/>
      </w:pPr>
      <w:r>
        <w:rPr>
          <w:i/>
        </w:rPr>
        <w:t xml:space="preserve">Renal dysfunction accompanying oral </w:t>
      </w:r>
      <w:proofErr w:type="spellStart"/>
      <w:r>
        <w:rPr>
          <w:i/>
        </w:rPr>
        <w:t>creatine</w:t>
      </w:r>
      <w:proofErr w:type="spellEnd"/>
      <w:r>
        <w:rPr>
          <w:i/>
        </w:rPr>
        <w:t xml:space="preserve"> supplements. </w:t>
      </w:r>
      <w:r>
        <w:rPr>
          <w:b/>
        </w:rPr>
        <w:t xml:space="preserve">Pritchard, N and </w:t>
      </w:r>
      <w:proofErr w:type="spellStart"/>
      <w:r>
        <w:rPr>
          <w:b/>
        </w:rPr>
        <w:t>Kalra</w:t>
      </w:r>
      <w:proofErr w:type="spellEnd"/>
      <w:r>
        <w:rPr>
          <w:b/>
        </w:rPr>
        <w:t xml:space="preserve">, P. </w:t>
      </w:r>
      <w:r>
        <w:t xml:space="preserve">9111, 1998, </w:t>
      </w:r>
      <w:proofErr w:type="gramStart"/>
      <w:r>
        <w:t>The</w:t>
      </w:r>
      <w:proofErr w:type="gramEnd"/>
      <w:r>
        <w:t xml:space="preserve"> Lancet, Vol. 351, pp.</w:t>
      </w:r>
      <w:r>
        <w:rPr>
          <w:spacing w:val="-10"/>
        </w:rPr>
        <w:t xml:space="preserve"> </w:t>
      </w:r>
      <w:r>
        <w:t>1252-1253.</w:t>
      </w:r>
    </w:p>
    <w:p w:rsidR="007D76BB" w:rsidRDefault="00D70D28">
      <w:pPr>
        <w:pStyle w:val="ListParagraph"/>
        <w:numPr>
          <w:ilvl w:val="0"/>
          <w:numId w:val="1"/>
        </w:numPr>
        <w:tabs>
          <w:tab w:val="left" w:pos="457"/>
        </w:tabs>
        <w:ind w:left="117" w:right="486" w:firstLine="0"/>
      </w:pPr>
      <w:proofErr w:type="spellStart"/>
      <w:r>
        <w:rPr>
          <w:i/>
        </w:rPr>
        <w:t>Creatine</w:t>
      </w:r>
      <w:proofErr w:type="spellEnd"/>
      <w:r>
        <w:rPr>
          <w:i/>
        </w:rPr>
        <w:t xml:space="preserve">: a review of efficacy and safety. </w:t>
      </w:r>
      <w:r>
        <w:rPr>
          <w:b/>
        </w:rPr>
        <w:t xml:space="preserve">Graham, A and Hatton, R. </w:t>
      </w:r>
      <w:r>
        <w:t>6, 1999, Journal of the American Pharmaceutical Association (Washington, D.C 1996), Vol. 39, pp.</w:t>
      </w:r>
      <w:r>
        <w:rPr>
          <w:spacing w:val="-18"/>
        </w:rPr>
        <w:t xml:space="preserve"> </w:t>
      </w:r>
      <w:r>
        <w:t>803-810.</w:t>
      </w:r>
    </w:p>
    <w:p w:rsidR="007D76BB" w:rsidRDefault="00D70D28">
      <w:pPr>
        <w:pStyle w:val="ListParagraph"/>
        <w:numPr>
          <w:ilvl w:val="0"/>
          <w:numId w:val="1"/>
        </w:numPr>
        <w:tabs>
          <w:tab w:val="left" w:pos="457"/>
        </w:tabs>
        <w:ind w:left="117" w:right="807" w:firstLine="0"/>
      </w:pPr>
      <w:r>
        <w:rPr>
          <w:i/>
        </w:rPr>
        <w:t xml:space="preserve">Fulminant liver failure and transplantation after use of dietary </w:t>
      </w:r>
      <w:r>
        <w:rPr>
          <w:i/>
        </w:rPr>
        <w:lastRenderedPageBreak/>
        <w:t xml:space="preserve">supplements. </w:t>
      </w:r>
      <w:r>
        <w:rPr>
          <w:b/>
        </w:rPr>
        <w:t xml:space="preserve">Smith, R, </w:t>
      </w:r>
      <w:proofErr w:type="spellStart"/>
      <w:r>
        <w:rPr>
          <w:b/>
        </w:rPr>
        <w:t>Bertilone</w:t>
      </w:r>
      <w:proofErr w:type="spellEnd"/>
      <w:r>
        <w:rPr>
          <w:b/>
        </w:rPr>
        <w:t xml:space="preserve">, C and Robertson, A. </w:t>
      </w:r>
      <w:r>
        <w:t>1, 2016, Medical Journal of Australia, Vol. 204, pp.</w:t>
      </w:r>
      <w:r>
        <w:rPr>
          <w:spacing w:val="-30"/>
        </w:rPr>
        <w:t xml:space="preserve"> </w:t>
      </w:r>
      <w:r>
        <w:t>30-32.</w:t>
      </w:r>
    </w:p>
    <w:p w:rsidR="007D76BB" w:rsidRDefault="00D70D28">
      <w:pPr>
        <w:pStyle w:val="ListParagraph"/>
        <w:numPr>
          <w:ilvl w:val="0"/>
          <w:numId w:val="1"/>
        </w:numPr>
        <w:tabs>
          <w:tab w:val="left" w:pos="457"/>
        </w:tabs>
        <w:ind w:left="117" w:right="467" w:firstLine="0"/>
      </w:pPr>
      <w:proofErr w:type="spellStart"/>
      <w:r>
        <w:rPr>
          <w:i/>
        </w:rPr>
        <w:t>Preworkout</w:t>
      </w:r>
      <w:proofErr w:type="spellEnd"/>
      <w:r>
        <w:rPr>
          <w:i/>
        </w:rPr>
        <w:t xml:space="preserve"> Supplement Induced Hemorrhagic. </w:t>
      </w:r>
      <w:proofErr w:type="spellStart"/>
      <w:r>
        <w:rPr>
          <w:b/>
        </w:rPr>
        <w:t>Amatto</w:t>
      </w:r>
      <w:proofErr w:type="spellEnd"/>
      <w:r>
        <w:rPr>
          <w:b/>
        </w:rPr>
        <w:t xml:space="preserve">, A, </w:t>
      </w:r>
      <w:proofErr w:type="spellStart"/>
      <w:r>
        <w:rPr>
          <w:b/>
        </w:rPr>
        <w:t>Amatto</w:t>
      </w:r>
      <w:proofErr w:type="spellEnd"/>
      <w:r>
        <w:rPr>
          <w:b/>
        </w:rPr>
        <w:t xml:space="preserve">, M and Yu, J. </w:t>
      </w:r>
      <w:r>
        <w:t xml:space="preserve">00, 2020, </w:t>
      </w:r>
      <w:proofErr w:type="spellStart"/>
      <w:r>
        <w:t>Clin</w:t>
      </w:r>
      <w:proofErr w:type="spellEnd"/>
      <w:r>
        <w:t xml:space="preserve"> J Sport Med, Vol. 00, pp.</w:t>
      </w:r>
      <w:r>
        <w:rPr>
          <w:spacing w:val="-13"/>
        </w:rPr>
        <w:t xml:space="preserve"> </w:t>
      </w:r>
      <w:r>
        <w:t>1-2.</w:t>
      </w:r>
    </w:p>
    <w:p w:rsidR="007D76BB" w:rsidRDefault="00D70D28">
      <w:pPr>
        <w:pStyle w:val="ListParagraph"/>
        <w:numPr>
          <w:ilvl w:val="0"/>
          <w:numId w:val="1"/>
        </w:numPr>
        <w:tabs>
          <w:tab w:val="left" w:pos="457"/>
        </w:tabs>
        <w:ind w:left="117" w:right="202" w:firstLine="0"/>
      </w:pPr>
      <w:r>
        <w:rPr>
          <w:i/>
        </w:rPr>
        <w:t xml:space="preserve">Knowledge and Adverse Event Reporting Among American Medical Society for Sports Medicine Physicians. </w:t>
      </w:r>
      <w:r>
        <w:rPr>
          <w:b/>
        </w:rPr>
        <w:t xml:space="preserve">Pascale, B, et al. </w:t>
      </w:r>
      <w:r>
        <w:t xml:space="preserve">2, 2016, </w:t>
      </w:r>
      <w:proofErr w:type="spellStart"/>
      <w:r>
        <w:t>Cl</w:t>
      </w:r>
      <w:proofErr w:type="gramStart"/>
      <w:r>
        <w:t>;inical</w:t>
      </w:r>
      <w:proofErr w:type="spellEnd"/>
      <w:proofErr w:type="gramEnd"/>
      <w:r>
        <w:t xml:space="preserve"> Journal of Sport Medicine, Vol. 26, pp.</w:t>
      </w:r>
      <w:r>
        <w:rPr>
          <w:spacing w:val="-28"/>
        </w:rPr>
        <w:t xml:space="preserve"> </w:t>
      </w:r>
      <w:r>
        <w:t>139-144.</w:t>
      </w:r>
    </w:p>
    <w:p w:rsidR="007D76BB" w:rsidRDefault="00D70D28">
      <w:pPr>
        <w:pStyle w:val="ListParagraph"/>
        <w:numPr>
          <w:ilvl w:val="0"/>
          <w:numId w:val="1"/>
        </w:numPr>
        <w:tabs>
          <w:tab w:val="left" w:pos="457"/>
        </w:tabs>
        <w:ind w:left="117" w:right="489" w:hanging="1"/>
      </w:pPr>
      <w:r>
        <w:rPr>
          <w:i/>
        </w:rPr>
        <w:t xml:space="preserve">Acute quadriceps compartment syndrome and rhabdomyolysis in a weight lifter using high- dose </w:t>
      </w:r>
      <w:proofErr w:type="spellStart"/>
      <w:r>
        <w:rPr>
          <w:i/>
        </w:rPr>
        <w:t>creatine</w:t>
      </w:r>
      <w:proofErr w:type="spellEnd"/>
      <w:r>
        <w:rPr>
          <w:i/>
        </w:rPr>
        <w:t xml:space="preserve"> supplementation. </w:t>
      </w:r>
      <w:r>
        <w:rPr>
          <w:b/>
        </w:rPr>
        <w:t xml:space="preserve">Robinson, S. </w:t>
      </w:r>
      <w:r>
        <w:t xml:space="preserve">2, 2000, </w:t>
      </w:r>
      <w:proofErr w:type="gramStart"/>
      <w:r>
        <w:t>The</w:t>
      </w:r>
      <w:proofErr w:type="gramEnd"/>
      <w:r>
        <w:t xml:space="preserve"> Journal of the American Board of Family Practice, Vol. 13, pp.</w:t>
      </w:r>
      <w:r>
        <w:rPr>
          <w:spacing w:val="-9"/>
        </w:rPr>
        <w:t xml:space="preserve"> </w:t>
      </w:r>
      <w:r>
        <w:t>134-137.</w:t>
      </w:r>
    </w:p>
    <w:p w:rsidR="007D76BB" w:rsidRDefault="007D76BB">
      <w:pPr>
        <w:sectPr w:rsidR="007D76BB">
          <w:headerReference w:type="default" r:id="rId267"/>
          <w:footerReference w:type="default" r:id="rId268"/>
          <w:pgSz w:w="11910" w:h="16840"/>
          <w:pgMar w:top="1040" w:right="1320" w:bottom="1360" w:left="1300" w:header="572" w:footer="1179" w:gutter="0"/>
          <w:pgNumType w:start="143"/>
          <w:cols w:space="720"/>
        </w:sectPr>
      </w:pPr>
    </w:p>
    <w:p w:rsidR="007D76BB" w:rsidRDefault="00D70D28">
      <w:pPr>
        <w:pStyle w:val="ListParagraph"/>
        <w:numPr>
          <w:ilvl w:val="0"/>
          <w:numId w:val="1"/>
        </w:numPr>
        <w:tabs>
          <w:tab w:val="left" w:pos="457"/>
        </w:tabs>
        <w:spacing w:before="90"/>
        <w:ind w:right="271" w:firstLine="0"/>
      </w:pPr>
      <w:r>
        <w:rPr>
          <w:i/>
        </w:rPr>
        <w:lastRenderedPageBreak/>
        <w:t xml:space="preserve">Hemorrhagic stroke in young healthy male following use of sports supplement Jack3d. </w:t>
      </w:r>
      <w:r>
        <w:rPr>
          <w:b/>
        </w:rPr>
        <w:t xml:space="preserve">Young, C, et al. </w:t>
      </w:r>
      <w:r>
        <w:t>12, 2012, Military Medicine, Vol. 177, pp.</w:t>
      </w:r>
      <w:r>
        <w:rPr>
          <w:spacing w:val="-16"/>
        </w:rPr>
        <w:t xml:space="preserve"> </w:t>
      </w:r>
      <w:r>
        <w:t>1450-1454.</w:t>
      </w:r>
    </w:p>
    <w:p w:rsidR="007D76BB" w:rsidRDefault="00D70D28">
      <w:pPr>
        <w:pStyle w:val="ListParagraph"/>
        <w:numPr>
          <w:ilvl w:val="0"/>
          <w:numId w:val="1"/>
        </w:numPr>
        <w:tabs>
          <w:tab w:val="left" w:pos="457"/>
        </w:tabs>
        <w:spacing w:before="181"/>
        <w:ind w:right="122" w:firstLine="0"/>
      </w:pPr>
      <w:r>
        <w:rPr>
          <w:i/>
        </w:rPr>
        <w:t xml:space="preserve">Muscle building supplement use in Australian adolescent boys: relationships with body image, weight lifting, and sports engagement. </w:t>
      </w:r>
      <w:proofErr w:type="spellStart"/>
      <w:r>
        <w:rPr>
          <w:b/>
        </w:rPr>
        <w:t>Yager</w:t>
      </w:r>
      <w:proofErr w:type="spellEnd"/>
      <w:r>
        <w:rPr>
          <w:b/>
        </w:rPr>
        <w:t xml:space="preserve">, Z and McLean, S. </w:t>
      </w:r>
      <w:r>
        <w:t xml:space="preserve">2020, BMC </w:t>
      </w:r>
      <w:proofErr w:type="spellStart"/>
      <w:r>
        <w:t>Paediatrics</w:t>
      </w:r>
      <w:proofErr w:type="spellEnd"/>
      <w:r>
        <w:t>, Vol. 20, p. 89.</w:t>
      </w:r>
    </w:p>
    <w:p w:rsidR="007D76BB" w:rsidRDefault="00D70D28">
      <w:pPr>
        <w:pStyle w:val="ListParagraph"/>
        <w:numPr>
          <w:ilvl w:val="0"/>
          <w:numId w:val="1"/>
        </w:numPr>
        <w:tabs>
          <w:tab w:val="left" w:pos="457"/>
        </w:tabs>
        <w:spacing w:before="181"/>
        <w:ind w:right="184" w:firstLine="0"/>
      </w:pPr>
      <w:proofErr w:type="spellStart"/>
      <w:r>
        <w:rPr>
          <w:b/>
        </w:rPr>
        <w:t>Euromonitor</w:t>
      </w:r>
      <w:proofErr w:type="spellEnd"/>
      <w:r>
        <w:rPr>
          <w:b/>
        </w:rPr>
        <w:t xml:space="preserve"> International. </w:t>
      </w:r>
      <w:r>
        <w:rPr>
          <w:i/>
        </w:rPr>
        <w:t xml:space="preserve">Consumer Health in Australia. </w:t>
      </w:r>
      <w:proofErr w:type="spellStart"/>
      <w:r>
        <w:t>s.l</w:t>
      </w:r>
      <w:proofErr w:type="gramStart"/>
      <w:r>
        <w:t>.</w:t>
      </w:r>
      <w:proofErr w:type="spellEnd"/>
      <w:r>
        <w:t xml:space="preserve"> :</w:t>
      </w:r>
      <w:proofErr w:type="gramEnd"/>
      <w:r>
        <w:t xml:space="preserve"> Passport, October, 2019. pp. 62-94.</w:t>
      </w:r>
    </w:p>
    <w:p w:rsidR="007D76BB" w:rsidRDefault="00D70D28">
      <w:pPr>
        <w:pStyle w:val="ListParagraph"/>
        <w:numPr>
          <w:ilvl w:val="0"/>
          <w:numId w:val="1"/>
        </w:numPr>
        <w:tabs>
          <w:tab w:val="left" w:pos="457"/>
        </w:tabs>
        <w:ind w:right="124" w:firstLine="0"/>
      </w:pPr>
      <w:r>
        <w:rPr>
          <w:b/>
        </w:rPr>
        <w:t xml:space="preserve">NSW Ministry of Health. </w:t>
      </w:r>
      <w:r>
        <w:t xml:space="preserve">Cost of care in NSW Hospitals. </w:t>
      </w:r>
      <w:r>
        <w:rPr>
          <w:i/>
        </w:rPr>
        <w:t xml:space="preserve">NSW Health. </w:t>
      </w:r>
      <w:r>
        <w:t>[Online] 23 March 2016. [Cited: 19 June 2020.] https://</w:t>
      </w:r>
      <w:hyperlink r:id="rId269">
        <w:r>
          <w:t>www.health.nsw.gov.au/Hospitals/Going_To_hospital/cost-</w:t>
        </w:r>
      </w:hyperlink>
      <w:r>
        <w:t xml:space="preserve"> of-care/Pages/default.aspx.</w:t>
      </w:r>
    </w:p>
    <w:p w:rsidR="007D76BB" w:rsidRDefault="00D70D28">
      <w:pPr>
        <w:pStyle w:val="ListParagraph"/>
        <w:numPr>
          <w:ilvl w:val="0"/>
          <w:numId w:val="1"/>
        </w:numPr>
        <w:tabs>
          <w:tab w:val="left" w:pos="457"/>
        </w:tabs>
        <w:spacing w:before="179"/>
        <w:ind w:right="168" w:firstLine="0"/>
      </w:pPr>
      <w:r>
        <w:rPr>
          <w:b/>
        </w:rPr>
        <w:t xml:space="preserve">Australian Sports Anti-Doping Authority. </w:t>
      </w:r>
      <w:r>
        <w:t xml:space="preserve">Blog: "I had 14 days to live". </w:t>
      </w:r>
      <w:r>
        <w:rPr>
          <w:i/>
        </w:rPr>
        <w:t xml:space="preserve">ASADA. </w:t>
      </w:r>
      <w:r>
        <w:t>[Online] 8 February 2019. [Cited: 15 July 2020.]</w:t>
      </w:r>
      <w:r>
        <w:rPr>
          <w:spacing w:val="-29"/>
        </w:rPr>
        <w:t xml:space="preserve"> </w:t>
      </w:r>
      <w:r>
        <w:t>https://</w:t>
      </w:r>
      <w:hyperlink r:id="rId270">
        <w:r>
          <w:t>www.asada.gov.au/news/blog-i-had-14-days-live.</w:t>
        </w:r>
      </w:hyperlink>
    </w:p>
    <w:p w:rsidR="007D76BB" w:rsidRDefault="00D70D28">
      <w:pPr>
        <w:pStyle w:val="ListParagraph"/>
        <w:numPr>
          <w:ilvl w:val="0"/>
          <w:numId w:val="1"/>
        </w:numPr>
        <w:tabs>
          <w:tab w:val="left" w:pos="457"/>
        </w:tabs>
        <w:ind w:right="693" w:firstLine="0"/>
      </w:pPr>
      <w:r>
        <w:rPr>
          <w:b/>
        </w:rPr>
        <w:t xml:space="preserve">Abelson, P. </w:t>
      </w:r>
      <w:r>
        <w:rPr>
          <w:i/>
        </w:rPr>
        <w:t xml:space="preserve">Establishing a Monetary Value for Lives Saved: Issues and Controversies. </w:t>
      </w:r>
      <w:proofErr w:type="spellStart"/>
      <w:r>
        <w:t>s.l</w:t>
      </w:r>
      <w:proofErr w:type="gramStart"/>
      <w:r>
        <w:t>.</w:t>
      </w:r>
      <w:proofErr w:type="spellEnd"/>
      <w:r>
        <w:t xml:space="preserve"> :</w:t>
      </w:r>
      <w:proofErr w:type="gramEnd"/>
      <w:r>
        <w:t xml:space="preserve"> Department of Finance and Deregulation,</w:t>
      </w:r>
      <w:r>
        <w:rPr>
          <w:spacing w:val="-6"/>
        </w:rPr>
        <w:t xml:space="preserve"> </w:t>
      </w:r>
      <w:r>
        <w:t>2008.</w:t>
      </w:r>
    </w:p>
    <w:p w:rsidR="007D76BB" w:rsidRDefault="00D70D28">
      <w:pPr>
        <w:pStyle w:val="ListParagraph"/>
        <w:numPr>
          <w:ilvl w:val="0"/>
          <w:numId w:val="1"/>
        </w:numPr>
        <w:tabs>
          <w:tab w:val="left" w:pos="457"/>
        </w:tabs>
        <w:ind w:left="117" w:right="505" w:firstLine="0"/>
      </w:pPr>
      <w:r>
        <w:rPr>
          <w:b/>
        </w:rPr>
        <w:t xml:space="preserve">Office of Best Practice Regulation. </w:t>
      </w:r>
      <w:r>
        <w:t xml:space="preserve">Guidance for Policymakers: Cost-Benefit Analysis. [Online] August 2019. [Cited: 27 June 2020.] </w:t>
      </w:r>
      <w:proofErr w:type="gramStart"/>
      <w:r>
        <w:rPr>
          <w:spacing w:val="-1"/>
        </w:rPr>
        <w:t>https</w:t>
      </w:r>
      <w:proofErr w:type="gramEnd"/>
      <w:r w:rsidR="00A51832">
        <w:fldChar w:fldCharType="begin"/>
      </w:r>
      <w:r w:rsidR="00A51832">
        <w:instrText xml:space="preserve"> HYPERLINK "http://www.pmc.gov.au/sites/default/files/publications/value-of-statistical-life-guidance-" \h </w:instrText>
      </w:r>
      <w:r w:rsidR="00A51832">
        <w:fldChar w:fldCharType="separate"/>
      </w:r>
      <w:r>
        <w:rPr>
          <w:spacing w:val="-1"/>
        </w:rPr>
        <w:t>://w</w:t>
      </w:r>
      <w:r w:rsidR="00A51832">
        <w:rPr>
          <w:spacing w:val="-1"/>
        </w:rPr>
        <w:fldChar w:fldCharType="end"/>
      </w:r>
      <w:r>
        <w:rPr>
          <w:spacing w:val="-1"/>
        </w:rPr>
        <w:t>ww</w:t>
      </w:r>
      <w:hyperlink r:id="rId271">
        <w:r>
          <w:rPr>
            <w:spacing w:val="-1"/>
          </w:rPr>
          <w:t>.pmc.gov.au/sites/default/files/publications/value-of-statistical-life-guidance-</w:t>
        </w:r>
      </w:hyperlink>
      <w:r>
        <w:rPr>
          <w:spacing w:val="-1"/>
        </w:rPr>
        <w:t xml:space="preserve"> </w:t>
      </w:r>
      <w:r>
        <w:t>note_0_0.pdf.</w:t>
      </w:r>
    </w:p>
    <w:p w:rsidR="007D76BB" w:rsidRDefault="00D70D28">
      <w:pPr>
        <w:pStyle w:val="ListParagraph"/>
        <w:numPr>
          <w:ilvl w:val="0"/>
          <w:numId w:val="1"/>
        </w:numPr>
        <w:tabs>
          <w:tab w:val="left" w:pos="457"/>
        </w:tabs>
        <w:spacing w:before="181"/>
        <w:ind w:right="619" w:firstLine="0"/>
      </w:pPr>
      <w:r>
        <w:rPr>
          <w:b/>
        </w:rPr>
        <w:t xml:space="preserve">Richardson, A. </w:t>
      </w:r>
      <w:r>
        <w:rPr>
          <w:i/>
        </w:rPr>
        <w:t xml:space="preserve">Vitamin and Supplement Manufacturing in Australia (IBISWorld Industry Report OD5417). </w:t>
      </w:r>
      <w:proofErr w:type="spellStart"/>
      <w:r>
        <w:t>s.l</w:t>
      </w:r>
      <w:proofErr w:type="gramStart"/>
      <w:r>
        <w:t>.</w:t>
      </w:r>
      <w:proofErr w:type="spellEnd"/>
      <w:r>
        <w:t xml:space="preserve"> :</w:t>
      </w:r>
      <w:proofErr w:type="gramEnd"/>
      <w:r>
        <w:t xml:space="preserve"> IBISWorld,</w:t>
      </w:r>
      <w:r>
        <w:rPr>
          <w:spacing w:val="-7"/>
        </w:rPr>
        <w:t xml:space="preserve"> </w:t>
      </w:r>
      <w:r>
        <w:t>2019.</w:t>
      </w:r>
    </w:p>
    <w:p w:rsidR="007D76BB" w:rsidRDefault="00D70D28">
      <w:pPr>
        <w:pStyle w:val="ListParagraph"/>
        <w:numPr>
          <w:ilvl w:val="0"/>
          <w:numId w:val="1"/>
        </w:numPr>
        <w:tabs>
          <w:tab w:val="left" w:pos="457"/>
        </w:tabs>
        <w:ind w:right="331" w:hanging="1"/>
      </w:pPr>
      <w:r>
        <w:rPr>
          <w:i/>
        </w:rPr>
        <w:t xml:space="preserve">2-4-Dinitrophenol exposures and deaths in Australia after the 2017 up-scheduling. </w:t>
      </w:r>
      <w:r>
        <w:rPr>
          <w:b/>
        </w:rPr>
        <w:t xml:space="preserve">Cairns, R, et al. </w:t>
      </w:r>
      <w:r>
        <w:t>9, 2020, Medical Journal of Australia, Vol. 212, p.</w:t>
      </w:r>
      <w:r>
        <w:rPr>
          <w:spacing w:val="-15"/>
        </w:rPr>
        <w:t xml:space="preserve"> </w:t>
      </w:r>
      <w:r>
        <w:t>434.</w:t>
      </w:r>
    </w:p>
    <w:p w:rsidR="007D76BB" w:rsidRDefault="00D70D28">
      <w:pPr>
        <w:pStyle w:val="ListParagraph"/>
        <w:numPr>
          <w:ilvl w:val="0"/>
          <w:numId w:val="1"/>
        </w:numPr>
        <w:tabs>
          <w:tab w:val="left" w:pos="457"/>
        </w:tabs>
        <w:ind w:left="117" w:right="500" w:firstLine="0"/>
      </w:pPr>
      <w:r>
        <w:rPr>
          <w:b/>
        </w:rPr>
        <w:t xml:space="preserve">NSW Ministry of Health. </w:t>
      </w:r>
      <w:r>
        <w:t xml:space="preserve">Toxic chemical in some weight loss products. </w:t>
      </w:r>
      <w:r>
        <w:rPr>
          <w:i/>
        </w:rPr>
        <w:t xml:space="preserve">NSW Government Ministry of Health. </w:t>
      </w:r>
      <w:r>
        <w:t>[Online] 31 August 2018. [Cited: 13 February 2020.] https://</w:t>
      </w:r>
      <w:hyperlink r:id="rId272">
        <w:r>
          <w:t>www.health.nsw.gov.au/news/Pages/20180831_00.aspx.</w:t>
        </w:r>
      </w:hyperlink>
    </w:p>
    <w:p w:rsidR="007D76BB" w:rsidRDefault="00D70D28">
      <w:pPr>
        <w:pStyle w:val="ListParagraph"/>
        <w:numPr>
          <w:ilvl w:val="0"/>
          <w:numId w:val="1"/>
        </w:numPr>
        <w:tabs>
          <w:tab w:val="left" w:pos="457"/>
        </w:tabs>
        <w:spacing w:before="179"/>
        <w:ind w:left="117" w:right="205" w:firstLine="0"/>
      </w:pPr>
      <w:r>
        <w:rPr>
          <w:i/>
        </w:rPr>
        <w:t>Emergency</w:t>
      </w:r>
      <w:r>
        <w:rPr>
          <w:i/>
          <w:spacing w:val="-5"/>
        </w:rPr>
        <w:t xml:space="preserve"> </w:t>
      </w:r>
      <w:r>
        <w:rPr>
          <w:i/>
        </w:rPr>
        <w:t>Department</w:t>
      </w:r>
      <w:r>
        <w:rPr>
          <w:i/>
          <w:spacing w:val="-3"/>
        </w:rPr>
        <w:t xml:space="preserve"> </w:t>
      </w:r>
      <w:r>
        <w:rPr>
          <w:i/>
        </w:rPr>
        <w:t>Visits</w:t>
      </w:r>
      <w:r>
        <w:rPr>
          <w:i/>
          <w:spacing w:val="-3"/>
        </w:rPr>
        <w:t xml:space="preserve"> </w:t>
      </w:r>
      <w:r>
        <w:rPr>
          <w:i/>
        </w:rPr>
        <w:t>for</w:t>
      </w:r>
      <w:r>
        <w:rPr>
          <w:i/>
          <w:spacing w:val="-5"/>
        </w:rPr>
        <w:t xml:space="preserve"> </w:t>
      </w:r>
      <w:r>
        <w:rPr>
          <w:i/>
        </w:rPr>
        <w:t>Adverse</w:t>
      </w:r>
      <w:r>
        <w:rPr>
          <w:i/>
          <w:spacing w:val="-3"/>
        </w:rPr>
        <w:t xml:space="preserve"> </w:t>
      </w:r>
      <w:r>
        <w:rPr>
          <w:i/>
        </w:rPr>
        <w:t>Events</w:t>
      </w:r>
      <w:r>
        <w:rPr>
          <w:i/>
          <w:spacing w:val="-4"/>
        </w:rPr>
        <w:t xml:space="preserve"> </w:t>
      </w:r>
      <w:r>
        <w:rPr>
          <w:i/>
        </w:rPr>
        <w:t>Related</w:t>
      </w:r>
      <w:r>
        <w:rPr>
          <w:i/>
          <w:spacing w:val="-4"/>
        </w:rPr>
        <w:t xml:space="preserve"> </w:t>
      </w:r>
      <w:r>
        <w:rPr>
          <w:i/>
        </w:rPr>
        <w:t>to</w:t>
      </w:r>
      <w:r>
        <w:rPr>
          <w:i/>
          <w:spacing w:val="-3"/>
        </w:rPr>
        <w:t xml:space="preserve"> </w:t>
      </w:r>
      <w:r>
        <w:rPr>
          <w:i/>
        </w:rPr>
        <w:t>Dietary</w:t>
      </w:r>
      <w:r>
        <w:rPr>
          <w:i/>
          <w:spacing w:val="-4"/>
        </w:rPr>
        <w:t xml:space="preserve"> </w:t>
      </w:r>
      <w:r>
        <w:rPr>
          <w:i/>
        </w:rPr>
        <w:t>Supplements.</w:t>
      </w:r>
      <w:r>
        <w:rPr>
          <w:i/>
          <w:spacing w:val="-5"/>
        </w:rPr>
        <w:t xml:space="preserve"> </w:t>
      </w:r>
      <w:r>
        <w:rPr>
          <w:b/>
        </w:rPr>
        <w:t>Geller,</w:t>
      </w:r>
      <w:r>
        <w:rPr>
          <w:b/>
          <w:spacing w:val="-4"/>
        </w:rPr>
        <w:t xml:space="preserve"> </w:t>
      </w:r>
      <w:r>
        <w:rPr>
          <w:b/>
        </w:rPr>
        <w:t>A,</w:t>
      </w:r>
      <w:r>
        <w:rPr>
          <w:b/>
          <w:spacing w:val="-5"/>
        </w:rPr>
        <w:t xml:space="preserve"> </w:t>
      </w:r>
      <w:r>
        <w:rPr>
          <w:b/>
        </w:rPr>
        <w:t xml:space="preserve">et al. </w:t>
      </w:r>
      <w:r>
        <w:t xml:space="preserve">16, 2015, </w:t>
      </w:r>
      <w:proofErr w:type="gramStart"/>
      <w:r>
        <w:t>The</w:t>
      </w:r>
      <w:proofErr w:type="gramEnd"/>
      <w:r>
        <w:t xml:space="preserve"> New England Journal of Medicine, Vol. 373, pp.</w:t>
      </w:r>
      <w:r>
        <w:rPr>
          <w:spacing w:val="-17"/>
        </w:rPr>
        <w:t xml:space="preserve"> </w:t>
      </w:r>
      <w:r>
        <w:t>1531-1540.</w:t>
      </w:r>
    </w:p>
    <w:p w:rsidR="007D76BB" w:rsidRDefault="00D70D28">
      <w:pPr>
        <w:pStyle w:val="ListParagraph"/>
        <w:numPr>
          <w:ilvl w:val="0"/>
          <w:numId w:val="1"/>
        </w:numPr>
        <w:tabs>
          <w:tab w:val="left" w:pos="457"/>
        </w:tabs>
        <w:ind w:left="117" w:right="145" w:firstLine="0"/>
      </w:pPr>
      <w:r>
        <w:rPr>
          <w:b/>
        </w:rPr>
        <w:t xml:space="preserve">United States Food and Drug Administration. </w:t>
      </w:r>
      <w:r>
        <w:t xml:space="preserve">FDA analysis shows body-building products labeled to contain steroid and steroid-like substances continue to inflict serious liver injury. </w:t>
      </w:r>
      <w:r>
        <w:rPr>
          <w:i/>
        </w:rPr>
        <w:t xml:space="preserve">US FDA. </w:t>
      </w:r>
      <w:r>
        <w:t>[Online] 20 June 2017. [Cited: 10 March 2020.] https://</w:t>
      </w:r>
      <w:hyperlink r:id="rId273">
        <w:r>
          <w:t>www.fda.gov/drugs/drug-safety-</w:t>
        </w:r>
      </w:hyperlink>
      <w:r>
        <w:t xml:space="preserve"> and-availability/fda-analysis-shows-body-building-products-labeled-contain-steroid-and- steroid-substances-continue.</w:t>
      </w:r>
    </w:p>
    <w:p w:rsidR="007D76BB" w:rsidRDefault="00D70D28">
      <w:pPr>
        <w:pStyle w:val="ListParagraph"/>
        <w:numPr>
          <w:ilvl w:val="0"/>
          <w:numId w:val="1"/>
        </w:numPr>
        <w:tabs>
          <w:tab w:val="left" w:pos="457"/>
        </w:tabs>
        <w:spacing w:before="179"/>
        <w:ind w:right="372" w:firstLine="0"/>
      </w:pPr>
      <w:r>
        <w:rPr>
          <w:b/>
        </w:rPr>
        <w:t>United States Food and Drug Administration</w:t>
      </w:r>
      <w:r>
        <w:t>. Health Hazard Evaluation Board. [Online] 2009. [Cited: 15 May 2020.]</w:t>
      </w:r>
      <w:r>
        <w:rPr>
          <w:spacing w:val="-11"/>
        </w:rPr>
        <w:t xml:space="preserve"> </w:t>
      </w:r>
      <w:r>
        <w:t>https://</w:t>
      </w:r>
      <w:hyperlink r:id="rId274">
        <w:r>
          <w:t>www.fda.gov/media/76365/download.</w:t>
        </w:r>
      </w:hyperlink>
    </w:p>
    <w:p w:rsidR="007D76BB" w:rsidRDefault="00D70D28">
      <w:pPr>
        <w:pStyle w:val="ListParagraph"/>
        <w:numPr>
          <w:ilvl w:val="0"/>
          <w:numId w:val="1"/>
        </w:numPr>
        <w:tabs>
          <w:tab w:val="left" w:pos="457"/>
        </w:tabs>
        <w:ind w:right="598" w:firstLine="0"/>
      </w:pPr>
      <w:r>
        <w:rPr>
          <w:i/>
        </w:rPr>
        <w:t xml:space="preserve">Taking Stock of Dietary Supplements' Harmful Effects on Children, Adolescents, and Young Adults. </w:t>
      </w:r>
      <w:r>
        <w:rPr>
          <w:b/>
        </w:rPr>
        <w:t xml:space="preserve">Or, F, et al. </w:t>
      </w:r>
      <w:r>
        <w:t>4, 2019, Journal of Adolescent Health, Vol. 65, pp.</w:t>
      </w:r>
      <w:r>
        <w:rPr>
          <w:spacing w:val="-22"/>
        </w:rPr>
        <w:t xml:space="preserve"> </w:t>
      </w:r>
      <w:r>
        <w:t>455-461.</w:t>
      </w:r>
    </w:p>
    <w:p w:rsidR="007D76BB" w:rsidRDefault="00D70D28">
      <w:pPr>
        <w:pStyle w:val="ListParagraph"/>
        <w:numPr>
          <w:ilvl w:val="0"/>
          <w:numId w:val="1"/>
        </w:numPr>
        <w:tabs>
          <w:tab w:val="left" w:pos="457"/>
        </w:tabs>
        <w:ind w:right="190" w:firstLine="0"/>
      </w:pPr>
      <w:r>
        <w:rPr>
          <w:b/>
        </w:rPr>
        <w:t xml:space="preserve">United States Food and Drug Administration. </w:t>
      </w:r>
      <w:r>
        <w:t xml:space="preserve">In Brief: FDA warns </w:t>
      </w:r>
      <w:r>
        <w:lastRenderedPageBreak/>
        <w:t xml:space="preserve">against using SARMs in body-building products. </w:t>
      </w:r>
      <w:r>
        <w:rPr>
          <w:i/>
        </w:rPr>
        <w:t xml:space="preserve">US FDA. </w:t>
      </w:r>
      <w:r>
        <w:t>[Online] 2017. [Cited: 10 March 2020.] https://</w:t>
      </w:r>
      <w:hyperlink r:id="rId275">
        <w:r>
          <w:t>www.fda.gov/news-events/fda-brief/fda-brief-fda-warns-against-using-sarms-body-</w:t>
        </w:r>
      </w:hyperlink>
      <w:r>
        <w:t xml:space="preserve"> building-products.</w:t>
      </w:r>
    </w:p>
    <w:p w:rsidR="007D76BB" w:rsidRDefault="00D70D28">
      <w:pPr>
        <w:pStyle w:val="ListParagraph"/>
        <w:numPr>
          <w:ilvl w:val="0"/>
          <w:numId w:val="1"/>
        </w:numPr>
        <w:tabs>
          <w:tab w:val="left" w:pos="458"/>
        </w:tabs>
        <w:spacing w:before="181"/>
        <w:ind w:right="391" w:hanging="1"/>
      </w:pPr>
      <w:r>
        <w:rPr>
          <w:b/>
        </w:rPr>
        <w:t xml:space="preserve">ACT Government Health Protection Service. </w:t>
      </w:r>
      <w:r>
        <w:t xml:space="preserve">Banned Substances in sports supplements. </w:t>
      </w:r>
      <w:r>
        <w:rPr>
          <w:i/>
        </w:rPr>
        <w:t xml:space="preserve">ACT Government Health Protection Service. </w:t>
      </w:r>
      <w:r>
        <w:t>[Online] [Cited: 10 March 2020.] https://health.act.gov.au/media/2400.</w:t>
      </w:r>
    </w:p>
    <w:p w:rsidR="007D76BB" w:rsidRDefault="007D76BB">
      <w:pPr>
        <w:sectPr w:rsidR="007D76BB">
          <w:pgSz w:w="11910" w:h="16840"/>
          <w:pgMar w:top="1040" w:right="1320" w:bottom="1360" w:left="1300" w:header="572" w:footer="1179" w:gutter="0"/>
          <w:cols w:space="720"/>
        </w:sectPr>
      </w:pPr>
    </w:p>
    <w:p w:rsidR="007D76BB" w:rsidRDefault="00D70D28">
      <w:pPr>
        <w:pStyle w:val="ListParagraph"/>
        <w:numPr>
          <w:ilvl w:val="0"/>
          <w:numId w:val="1"/>
        </w:numPr>
        <w:tabs>
          <w:tab w:val="left" w:pos="457"/>
        </w:tabs>
        <w:spacing w:before="90"/>
        <w:ind w:right="627" w:firstLine="0"/>
      </w:pPr>
      <w:r>
        <w:rPr>
          <w:b/>
        </w:rPr>
        <w:lastRenderedPageBreak/>
        <w:t xml:space="preserve">Australian Sports Anti-Doping Authority. </w:t>
      </w:r>
      <w:r>
        <w:t xml:space="preserve">Media statement: Skate athlete receives sanction. [Online] 21 March 2018. [Cited: 18 March 2020.] </w:t>
      </w:r>
      <w:r>
        <w:rPr>
          <w:spacing w:val="-1"/>
        </w:rPr>
        <w:t>https://</w:t>
      </w:r>
      <w:hyperlink r:id="rId276">
        <w:r>
          <w:rPr>
            <w:spacing w:val="-1"/>
          </w:rPr>
          <w:t>www.asada.gov.au/news/media-statement-skate-athlete-receives-sanction-henry-</w:t>
        </w:r>
      </w:hyperlink>
      <w:r>
        <w:rPr>
          <w:spacing w:val="-1"/>
        </w:rPr>
        <w:t xml:space="preserve"> </w:t>
      </w:r>
      <w:proofErr w:type="spellStart"/>
      <w:r>
        <w:t>stogdale</w:t>
      </w:r>
      <w:proofErr w:type="spellEnd"/>
      <w:r>
        <w:t>.</w:t>
      </w:r>
    </w:p>
    <w:p w:rsidR="007D76BB" w:rsidRDefault="00D70D28">
      <w:pPr>
        <w:pStyle w:val="ListParagraph"/>
        <w:numPr>
          <w:ilvl w:val="0"/>
          <w:numId w:val="1"/>
        </w:numPr>
        <w:tabs>
          <w:tab w:val="left" w:pos="458"/>
        </w:tabs>
        <w:spacing w:before="181"/>
        <w:ind w:right="814" w:firstLine="0"/>
      </w:pPr>
      <w:r>
        <w:rPr>
          <w:b/>
        </w:rPr>
        <w:t>Australian Sports Anti-Doping Authority</w:t>
      </w:r>
      <w:r>
        <w:t>. Supplements in Sport. [Online] [Cited: 14 February 2020.]</w:t>
      </w:r>
      <w:r>
        <w:rPr>
          <w:spacing w:val="-8"/>
        </w:rPr>
        <w:t xml:space="preserve"> </w:t>
      </w:r>
      <w:r>
        <w:t>https://</w:t>
      </w:r>
      <w:hyperlink r:id="rId277">
        <w:r>
          <w:t>www.asada.gov.au/substances/supplements-sport.</w:t>
        </w:r>
      </w:hyperlink>
    </w:p>
    <w:p w:rsidR="007D76BB" w:rsidRDefault="00D70D28">
      <w:pPr>
        <w:pStyle w:val="ListParagraph"/>
        <w:numPr>
          <w:ilvl w:val="0"/>
          <w:numId w:val="1"/>
        </w:numPr>
        <w:tabs>
          <w:tab w:val="left" w:pos="457"/>
        </w:tabs>
        <w:ind w:right="520" w:firstLine="0"/>
      </w:pPr>
      <w:r>
        <w:rPr>
          <w:b/>
        </w:rPr>
        <w:t xml:space="preserve">Australian Institute of Sports. </w:t>
      </w:r>
      <w:r>
        <w:t>Supplements and Sports Foods. [Online] 24 March 2020. https://ais.gov.au/nutrition/supplements.</w:t>
      </w:r>
    </w:p>
    <w:p w:rsidR="007D76BB" w:rsidRDefault="00D70D28">
      <w:pPr>
        <w:pStyle w:val="ListParagraph"/>
        <w:numPr>
          <w:ilvl w:val="0"/>
          <w:numId w:val="1"/>
        </w:numPr>
        <w:tabs>
          <w:tab w:val="left" w:pos="457"/>
        </w:tabs>
        <w:ind w:right="254" w:firstLine="0"/>
      </w:pPr>
      <w:r>
        <w:rPr>
          <w:i/>
        </w:rPr>
        <w:t xml:space="preserve">IOC Consensus Statement: Dietary Supplements and the High-Performance Athlete. </w:t>
      </w:r>
      <w:proofErr w:type="spellStart"/>
      <w:r>
        <w:rPr>
          <w:b/>
        </w:rPr>
        <w:t>Maughan</w:t>
      </w:r>
      <w:proofErr w:type="spellEnd"/>
      <w:r>
        <w:rPr>
          <w:b/>
        </w:rPr>
        <w:t xml:space="preserve">, R, et al. </w:t>
      </w:r>
      <w:r>
        <w:t>2, 2018, International journal of sport nutrition and exercise metabolism, Vol. 28, pp. 104-125.</w:t>
      </w:r>
    </w:p>
    <w:p w:rsidR="007D76BB" w:rsidRDefault="00D70D28">
      <w:pPr>
        <w:pStyle w:val="ListParagraph"/>
        <w:numPr>
          <w:ilvl w:val="0"/>
          <w:numId w:val="1"/>
        </w:numPr>
        <w:tabs>
          <w:tab w:val="left" w:pos="457"/>
        </w:tabs>
        <w:spacing w:before="181"/>
        <w:ind w:right="1863" w:firstLine="0"/>
      </w:pPr>
      <w:r>
        <w:rPr>
          <w:b/>
        </w:rPr>
        <w:t xml:space="preserve">Safe Work Australia. </w:t>
      </w:r>
      <w:r>
        <w:t xml:space="preserve">Drugs and Alcohol. [Online] [Cited: 20 March 2020.] </w:t>
      </w:r>
      <w:proofErr w:type="gramStart"/>
      <w:r>
        <w:t>https</w:t>
      </w:r>
      <w:proofErr w:type="gramEnd"/>
      <w:r w:rsidR="00A51832">
        <w:fldChar w:fldCharType="begin"/>
      </w:r>
      <w:r w:rsidR="00A51832">
        <w:instrText xml:space="preserve"> HYPERLINK "http://www.safeworkaustralia.gov.au/drugs-alcohol" \h </w:instrText>
      </w:r>
      <w:r w:rsidR="00A51832">
        <w:fldChar w:fldCharType="separate"/>
      </w:r>
      <w:r>
        <w:t>://w</w:t>
      </w:r>
      <w:r w:rsidR="00A51832">
        <w:fldChar w:fldCharType="end"/>
      </w:r>
      <w:r>
        <w:t>ww</w:t>
      </w:r>
      <w:hyperlink r:id="rId278">
        <w:r>
          <w:t>.safeworkaustralia.gov.au/drugs-alcohol.</w:t>
        </w:r>
      </w:hyperlink>
    </w:p>
    <w:p w:rsidR="007D76BB" w:rsidRDefault="00D70D28">
      <w:pPr>
        <w:pStyle w:val="ListParagraph"/>
        <w:numPr>
          <w:ilvl w:val="0"/>
          <w:numId w:val="1"/>
        </w:numPr>
        <w:tabs>
          <w:tab w:val="left" w:pos="457"/>
        </w:tabs>
        <w:spacing w:before="181"/>
        <w:ind w:left="117" w:right="305" w:firstLine="0"/>
      </w:pPr>
      <w:r>
        <w:rPr>
          <w:i/>
        </w:rPr>
        <w:t xml:space="preserve">An amphetamine isomer whose efficacy and safety in humans has never been studied, β‐ </w:t>
      </w:r>
      <w:proofErr w:type="spellStart"/>
      <w:r>
        <w:rPr>
          <w:i/>
        </w:rPr>
        <w:t>methylphenylethylamine</w:t>
      </w:r>
      <w:proofErr w:type="spellEnd"/>
      <w:r>
        <w:rPr>
          <w:i/>
        </w:rPr>
        <w:t xml:space="preserve"> (BMPEA), is found in multiple dietary supplements. </w:t>
      </w:r>
      <w:r>
        <w:rPr>
          <w:b/>
        </w:rPr>
        <w:t xml:space="preserve">Cohen, P, et al. </w:t>
      </w:r>
      <w:r>
        <w:t>3-4, 2015, Drug Testing and Analysis, Vol. 8, pp.</w:t>
      </w:r>
      <w:r>
        <w:rPr>
          <w:spacing w:val="-11"/>
        </w:rPr>
        <w:t xml:space="preserve"> </w:t>
      </w:r>
      <w:r>
        <w:t>328-333.</w:t>
      </w:r>
    </w:p>
    <w:p w:rsidR="007D76BB" w:rsidRDefault="00D70D28">
      <w:pPr>
        <w:pStyle w:val="ListParagraph"/>
        <w:numPr>
          <w:ilvl w:val="0"/>
          <w:numId w:val="1"/>
        </w:numPr>
        <w:tabs>
          <w:tab w:val="left" w:pos="457"/>
        </w:tabs>
        <w:spacing w:before="179"/>
        <w:ind w:left="117" w:right="189" w:firstLine="0"/>
      </w:pPr>
      <w:r>
        <w:rPr>
          <w:i/>
        </w:rPr>
        <w:t xml:space="preserve">Chemical Composition and Labeling of Substances Marketed as Selective Androgen Receptor Modulators and Sold via the Internet. </w:t>
      </w:r>
      <w:r>
        <w:rPr>
          <w:b/>
        </w:rPr>
        <w:t xml:space="preserve">Van Wagoner, R, et al. </w:t>
      </w:r>
      <w:r>
        <w:t>20, 2017, JAMA, Vol. 318, pp. 2004- 2010.</w:t>
      </w:r>
    </w:p>
    <w:p w:rsidR="007D76BB" w:rsidRDefault="00D70D28">
      <w:pPr>
        <w:pStyle w:val="ListParagraph"/>
        <w:numPr>
          <w:ilvl w:val="0"/>
          <w:numId w:val="1"/>
        </w:numPr>
        <w:tabs>
          <w:tab w:val="left" w:pos="457"/>
        </w:tabs>
        <w:spacing w:before="179"/>
        <w:ind w:right="558" w:hanging="1"/>
      </w:pPr>
      <w:r>
        <w:rPr>
          <w:i/>
        </w:rPr>
        <w:t xml:space="preserve">Energy Beverages: Content and Safety. </w:t>
      </w:r>
      <w:r>
        <w:rPr>
          <w:b/>
        </w:rPr>
        <w:t xml:space="preserve">Higgins, J, Tuttle, T and Higgins, C. </w:t>
      </w:r>
      <w:r>
        <w:t xml:space="preserve">11, </w:t>
      </w:r>
      <w:proofErr w:type="spellStart"/>
      <w:r>
        <w:t>s.l</w:t>
      </w:r>
      <w:proofErr w:type="gramStart"/>
      <w:r>
        <w:t>.</w:t>
      </w:r>
      <w:proofErr w:type="spellEnd"/>
      <w:r>
        <w:t xml:space="preserve"> :</w:t>
      </w:r>
      <w:proofErr w:type="gramEnd"/>
      <w:r>
        <w:t xml:space="preserve"> Mayo Clinic Proceedings, 2010, Vol. 85.</w:t>
      </w:r>
      <w:r>
        <w:rPr>
          <w:spacing w:val="-7"/>
        </w:rPr>
        <w:t xml:space="preserve"> </w:t>
      </w:r>
      <w:r>
        <w:t>1033-1041.</w:t>
      </w:r>
    </w:p>
    <w:p w:rsidR="007D76BB" w:rsidRDefault="00D70D28">
      <w:pPr>
        <w:pStyle w:val="ListParagraph"/>
        <w:numPr>
          <w:ilvl w:val="0"/>
          <w:numId w:val="1"/>
        </w:numPr>
        <w:tabs>
          <w:tab w:val="left" w:pos="457"/>
        </w:tabs>
        <w:ind w:right="354" w:firstLine="0"/>
      </w:pPr>
      <w:r>
        <w:rPr>
          <w:i/>
        </w:rPr>
        <w:t xml:space="preserve">Potential harmful effects of dietary supplements in sports medicine. </w:t>
      </w:r>
      <w:proofErr w:type="spellStart"/>
      <w:r>
        <w:rPr>
          <w:b/>
        </w:rPr>
        <w:t>Deldicque</w:t>
      </w:r>
      <w:proofErr w:type="spellEnd"/>
      <w:r>
        <w:rPr>
          <w:b/>
        </w:rPr>
        <w:t xml:space="preserve">, L and </w:t>
      </w:r>
      <w:proofErr w:type="spellStart"/>
      <w:r>
        <w:rPr>
          <w:b/>
        </w:rPr>
        <w:t>Francaux</w:t>
      </w:r>
      <w:proofErr w:type="spellEnd"/>
      <w:r>
        <w:rPr>
          <w:b/>
        </w:rPr>
        <w:t xml:space="preserve">, M. </w:t>
      </w:r>
      <w:r>
        <w:t>6, 2016, Current Opinion in Clinical Nutrition &amp; Metabolic Care, Vol. 19, pp. 439- 445.</w:t>
      </w:r>
    </w:p>
    <w:p w:rsidR="007D76BB" w:rsidRDefault="00D70D28">
      <w:pPr>
        <w:pStyle w:val="ListParagraph"/>
        <w:numPr>
          <w:ilvl w:val="0"/>
          <w:numId w:val="1"/>
        </w:numPr>
        <w:tabs>
          <w:tab w:val="left" w:pos="457"/>
        </w:tabs>
        <w:spacing w:before="181"/>
        <w:ind w:right="188" w:firstLine="0"/>
      </w:pPr>
      <w:r>
        <w:rPr>
          <w:i/>
        </w:rPr>
        <w:t xml:space="preserve">Testosterone Prohormone Supplements. </w:t>
      </w:r>
      <w:r>
        <w:rPr>
          <w:b/>
        </w:rPr>
        <w:t xml:space="preserve">Brown, G, </w:t>
      </w:r>
      <w:proofErr w:type="spellStart"/>
      <w:r>
        <w:rPr>
          <w:b/>
        </w:rPr>
        <w:t>Vukovich</w:t>
      </w:r>
      <w:proofErr w:type="spellEnd"/>
      <w:r>
        <w:rPr>
          <w:b/>
        </w:rPr>
        <w:t xml:space="preserve">, M and King, Douglas. </w:t>
      </w:r>
      <w:r>
        <w:t>8, 2006, Medicine &amp; Science in Sports &amp; Exercise, Vol. 38, pp.</w:t>
      </w:r>
      <w:r>
        <w:rPr>
          <w:spacing w:val="-17"/>
        </w:rPr>
        <w:t xml:space="preserve"> </w:t>
      </w:r>
      <w:r>
        <w:t>1451-1461.</w:t>
      </w:r>
    </w:p>
    <w:p w:rsidR="007D76BB" w:rsidRDefault="00D70D28">
      <w:pPr>
        <w:pStyle w:val="ListParagraph"/>
        <w:numPr>
          <w:ilvl w:val="0"/>
          <w:numId w:val="1"/>
        </w:numPr>
        <w:tabs>
          <w:tab w:val="left" w:pos="457"/>
        </w:tabs>
        <w:ind w:right="396" w:firstLine="0"/>
      </w:pPr>
      <w:r>
        <w:rPr>
          <w:b/>
        </w:rPr>
        <w:t xml:space="preserve">Human and Supplement Testing Australia. </w:t>
      </w:r>
      <w:r>
        <w:t xml:space="preserve">Survey of Supplements in the Australian Marketplace - Summary. </w:t>
      </w:r>
      <w:r>
        <w:rPr>
          <w:i/>
        </w:rPr>
        <w:t xml:space="preserve">HASTA. </w:t>
      </w:r>
      <w:r>
        <w:t xml:space="preserve">[Online] October 2015. [Cited: 16 January 2020.] </w:t>
      </w:r>
      <w:r>
        <w:rPr>
          <w:spacing w:val="-1"/>
        </w:rPr>
        <w:t>https://hasta.org.au/wp-content/uploads/2017/10/hasta-survey-of-supps-in-aus_oct15.pdf.</w:t>
      </w:r>
    </w:p>
    <w:p w:rsidR="007D76BB" w:rsidRDefault="00D70D28">
      <w:pPr>
        <w:pStyle w:val="ListParagraph"/>
        <w:numPr>
          <w:ilvl w:val="0"/>
          <w:numId w:val="1"/>
        </w:numPr>
        <w:tabs>
          <w:tab w:val="left" w:pos="457"/>
        </w:tabs>
        <w:spacing w:before="179"/>
        <w:ind w:right="592" w:firstLine="0"/>
      </w:pPr>
      <w:r>
        <w:rPr>
          <w:i/>
        </w:rPr>
        <w:t xml:space="preserve">Androgen Bioassay for the Detection of </w:t>
      </w:r>
      <w:proofErr w:type="spellStart"/>
      <w:r>
        <w:rPr>
          <w:i/>
        </w:rPr>
        <w:t>Nonlabelled</w:t>
      </w:r>
      <w:proofErr w:type="spellEnd"/>
      <w:r>
        <w:rPr>
          <w:i/>
        </w:rPr>
        <w:t xml:space="preserve"> Androgenic Compounds in </w:t>
      </w:r>
      <w:proofErr w:type="spellStart"/>
      <w:r>
        <w:rPr>
          <w:i/>
        </w:rPr>
        <w:t>Nutrtional</w:t>
      </w:r>
      <w:proofErr w:type="spellEnd"/>
      <w:r>
        <w:rPr>
          <w:i/>
        </w:rPr>
        <w:t xml:space="preserve"> Supplements. </w:t>
      </w:r>
      <w:r>
        <w:rPr>
          <w:b/>
        </w:rPr>
        <w:t xml:space="preserve">Cooper, E, et al. </w:t>
      </w:r>
      <w:r>
        <w:t>1, 2018, International Journal of Sport Nutrition and Exercise Metabolism, Vol. 28, pp.</w:t>
      </w:r>
      <w:r>
        <w:rPr>
          <w:spacing w:val="-7"/>
        </w:rPr>
        <w:t xml:space="preserve"> </w:t>
      </w:r>
      <w:r>
        <w:t>10-18.</w:t>
      </w:r>
    </w:p>
    <w:p w:rsidR="007D76BB" w:rsidRDefault="00D70D28">
      <w:pPr>
        <w:pStyle w:val="ListParagraph"/>
        <w:numPr>
          <w:ilvl w:val="0"/>
          <w:numId w:val="1"/>
        </w:numPr>
        <w:tabs>
          <w:tab w:val="left" w:pos="457"/>
        </w:tabs>
        <w:spacing w:before="179"/>
        <w:ind w:right="295" w:firstLine="0"/>
      </w:pPr>
      <w:r>
        <w:rPr>
          <w:i/>
        </w:rPr>
        <w:t xml:space="preserve">Variability of Stimulant Levels in Nine Sports Supplements </w:t>
      </w:r>
      <w:proofErr w:type="gramStart"/>
      <w:r>
        <w:rPr>
          <w:i/>
        </w:rPr>
        <w:t>Over</w:t>
      </w:r>
      <w:proofErr w:type="gramEnd"/>
      <w:r>
        <w:rPr>
          <w:i/>
        </w:rPr>
        <w:t xml:space="preserve"> a 9-Month Period. </w:t>
      </w:r>
      <w:proofErr w:type="spellStart"/>
      <w:r>
        <w:rPr>
          <w:b/>
        </w:rPr>
        <w:t>Attipoe</w:t>
      </w:r>
      <w:proofErr w:type="spellEnd"/>
      <w:r>
        <w:rPr>
          <w:b/>
        </w:rPr>
        <w:t xml:space="preserve">, S, et al. </w:t>
      </w:r>
      <w:r>
        <w:t>5, 2016, International Journal of Sports Nutrition and Exercise Metabolism, Vol. 26, pp. 413-420.</w:t>
      </w:r>
    </w:p>
    <w:p w:rsidR="007D76BB" w:rsidRDefault="00D70D28">
      <w:pPr>
        <w:pStyle w:val="ListParagraph"/>
        <w:numPr>
          <w:ilvl w:val="0"/>
          <w:numId w:val="1"/>
        </w:numPr>
        <w:tabs>
          <w:tab w:val="left" w:pos="457"/>
        </w:tabs>
        <w:spacing w:before="182" w:line="257" w:lineRule="exact"/>
        <w:ind w:left="456" w:hanging="339"/>
        <w:rPr>
          <w:i/>
        </w:rPr>
      </w:pPr>
      <w:r>
        <w:rPr>
          <w:i/>
        </w:rPr>
        <w:t>Caffeine content of pre-workout supplements commonly used by Australian</w:t>
      </w:r>
      <w:r>
        <w:rPr>
          <w:i/>
          <w:spacing w:val="-21"/>
        </w:rPr>
        <w:t xml:space="preserve"> </w:t>
      </w:r>
      <w:r>
        <w:rPr>
          <w:i/>
        </w:rPr>
        <w:t>consumers.</w:t>
      </w:r>
    </w:p>
    <w:p w:rsidR="007D76BB" w:rsidRDefault="00D70D28">
      <w:pPr>
        <w:spacing w:line="257" w:lineRule="exact"/>
        <w:ind w:left="118"/>
      </w:pPr>
      <w:proofErr w:type="spellStart"/>
      <w:r>
        <w:rPr>
          <w:b/>
        </w:rPr>
        <w:t>Desbrow</w:t>
      </w:r>
      <w:proofErr w:type="spellEnd"/>
      <w:r>
        <w:rPr>
          <w:b/>
        </w:rPr>
        <w:t xml:space="preserve">, B, et al. </w:t>
      </w:r>
      <w:r>
        <w:t>3, 2019, Drug testing and analysis, Vol. 11, pp. 523-529.</w:t>
      </w:r>
    </w:p>
    <w:p w:rsidR="007D76BB" w:rsidRDefault="00D70D28">
      <w:pPr>
        <w:pStyle w:val="ListParagraph"/>
        <w:numPr>
          <w:ilvl w:val="0"/>
          <w:numId w:val="1"/>
        </w:numPr>
        <w:tabs>
          <w:tab w:val="left" w:pos="457"/>
        </w:tabs>
        <w:spacing w:before="181"/>
        <w:ind w:right="165" w:firstLine="0"/>
      </w:pPr>
      <w:r>
        <w:rPr>
          <w:i/>
        </w:rPr>
        <w:t>Methodologies for investigating performance changes with supple</w:t>
      </w:r>
      <w:r>
        <w:rPr>
          <w:i/>
        </w:rPr>
        <w:lastRenderedPageBreak/>
        <w:t xml:space="preserve">ment use. </w:t>
      </w:r>
      <w:r>
        <w:rPr>
          <w:b/>
        </w:rPr>
        <w:t xml:space="preserve">Burke, L and Peeling, P. </w:t>
      </w:r>
      <w:r>
        <w:t xml:space="preserve">International Journal of Sport Nutrition and Exercise </w:t>
      </w:r>
      <w:proofErr w:type="gramStart"/>
      <w:r>
        <w:t>Metabolism :</w:t>
      </w:r>
      <w:proofErr w:type="gramEnd"/>
      <w:r>
        <w:t xml:space="preserve"> </w:t>
      </w:r>
      <w:proofErr w:type="spellStart"/>
      <w:r>
        <w:t>s.n</w:t>
      </w:r>
      <w:proofErr w:type="spellEnd"/>
      <w:r>
        <w:t>., 2018, Vol. 28, pp.</w:t>
      </w:r>
      <w:r>
        <w:rPr>
          <w:spacing w:val="-1"/>
        </w:rPr>
        <w:t xml:space="preserve"> </w:t>
      </w:r>
      <w:r>
        <w:t>159-169.</w:t>
      </w:r>
    </w:p>
    <w:p w:rsidR="007D76BB" w:rsidRDefault="00D70D28">
      <w:pPr>
        <w:pStyle w:val="ListParagraph"/>
        <w:numPr>
          <w:ilvl w:val="0"/>
          <w:numId w:val="1"/>
        </w:numPr>
        <w:tabs>
          <w:tab w:val="left" w:pos="457"/>
        </w:tabs>
        <w:spacing w:before="179"/>
        <w:ind w:right="656" w:firstLine="0"/>
      </w:pPr>
      <w:r>
        <w:rPr>
          <w:b/>
        </w:rPr>
        <w:t xml:space="preserve">Foods Standards Australia New Zealand. </w:t>
      </w:r>
      <w:r>
        <w:t xml:space="preserve">P1010 – Formulated Supplementary Sports </w:t>
      </w:r>
      <w:proofErr w:type="gramStart"/>
      <w:r>
        <w:t>Foods .</w:t>
      </w:r>
      <w:proofErr w:type="gramEnd"/>
      <w:r>
        <w:t xml:space="preserve"> [Online] [Cited: 6 February 2020.] https://</w:t>
      </w:r>
      <w:hyperlink r:id="rId279">
        <w:r>
          <w:t>www.foodstandards.gov.au/code/proposals/Pages/P1010.aspx.</w:t>
        </w:r>
      </w:hyperlink>
    </w:p>
    <w:p w:rsidR="007D76BB" w:rsidRDefault="007D76BB">
      <w:pPr>
        <w:sectPr w:rsidR="007D76BB">
          <w:pgSz w:w="11910" w:h="16840"/>
          <w:pgMar w:top="1040" w:right="1320" w:bottom="1360" w:left="1300" w:header="572" w:footer="1179" w:gutter="0"/>
          <w:cols w:space="720"/>
        </w:sectPr>
      </w:pPr>
    </w:p>
    <w:p w:rsidR="007D76BB" w:rsidRDefault="00D70D28">
      <w:pPr>
        <w:pStyle w:val="ListParagraph"/>
        <w:numPr>
          <w:ilvl w:val="0"/>
          <w:numId w:val="1"/>
        </w:numPr>
        <w:tabs>
          <w:tab w:val="left" w:pos="457"/>
        </w:tabs>
        <w:spacing w:before="90"/>
        <w:ind w:right="354" w:firstLine="0"/>
      </w:pPr>
      <w:r>
        <w:rPr>
          <w:b/>
        </w:rPr>
        <w:lastRenderedPageBreak/>
        <w:t xml:space="preserve">United States Food and Drug Administration. </w:t>
      </w:r>
      <w:r>
        <w:t xml:space="preserve">Caution: Bodybuilding Products Can Be Risky. </w:t>
      </w:r>
      <w:r>
        <w:rPr>
          <w:i/>
        </w:rPr>
        <w:t xml:space="preserve">US FDA. </w:t>
      </w:r>
      <w:r>
        <w:t xml:space="preserve">[Online] 20 June 2017. [Cited: 14 February 2020.] </w:t>
      </w:r>
      <w:proofErr w:type="gramStart"/>
      <w:r>
        <w:rPr>
          <w:spacing w:val="-1"/>
        </w:rPr>
        <w:t>https</w:t>
      </w:r>
      <w:proofErr w:type="gramEnd"/>
      <w:r w:rsidR="00A51832">
        <w:fldChar w:fldCharType="begin"/>
      </w:r>
      <w:r w:rsidR="00A51832">
        <w:instrText xml:space="preserve"> HYPERLINK "http://www.fda.gov/consumers/consumer-updates/caution-bodybuilding-products-can-be-" \h </w:instrText>
      </w:r>
      <w:r w:rsidR="00A51832">
        <w:fldChar w:fldCharType="separate"/>
      </w:r>
      <w:r>
        <w:rPr>
          <w:spacing w:val="-1"/>
        </w:rPr>
        <w:t>://w</w:t>
      </w:r>
      <w:r w:rsidR="00A51832">
        <w:rPr>
          <w:spacing w:val="-1"/>
        </w:rPr>
        <w:fldChar w:fldCharType="end"/>
      </w:r>
      <w:r>
        <w:rPr>
          <w:spacing w:val="-1"/>
        </w:rPr>
        <w:t>ww</w:t>
      </w:r>
      <w:hyperlink r:id="rId280">
        <w:r>
          <w:rPr>
            <w:spacing w:val="-1"/>
          </w:rPr>
          <w:t>.fda.gov/consumers/consumer-updates/caution-bodybuilding-products-can-be-</w:t>
        </w:r>
      </w:hyperlink>
      <w:r>
        <w:rPr>
          <w:spacing w:val="-1"/>
        </w:rPr>
        <w:t xml:space="preserve"> </w:t>
      </w:r>
      <w:r>
        <w:t>risky.</w:t>
      </w:r>
    </w:p>
    <w:p w:rsidR="007D76BB" w:rsidRDefault="00D70D28">
      <w:pPr>
        <w:pStyle w:val="ListParagraph"/>
        <w:numPr>
          <w:ilvl w:val="0"/>
          <w:numId w:val="1"/>
        </w:numPr>
        <w:tabs>
          <w:tab w:val="left" w:pos="457"/>
        </w:tabs>
        <w:spacing w:before="181"/>
        <w:ind w:right="250" w:firstLine="0"/>
      </w:pPr>
      <w:r>
        <w:rPr>
          <w:b/>
        </w:rPr>
        <w:t xml:space="preserve">Medicines and Healthcare Products Regulatory Agency (MHRA). </w:t>
      </w:r>
      <w:r>
        <w:t xml:space="preserve">MHRA urges people to be cautious when buying sports supplements. </w:t>
      </w:r>
      <w:r>
        <w:rPr>
          <w:i/>
        </w:rPr>
        <w:t xml:space="preserve">UK MHRA. </w:t>
      </w:r>
      <w:r>
        <w:t>[Online] 3 August 2016. [Cited: 10 March 2020.] https://</w:t>
      </w:r>
      <w:hyperlink r:id="rId281">
        <w:r>
          <w:t>www.gov.uk/government/news/mhra-urges-people-to-be-cautious-</w:t>
        </w:r>
      </w:hyperlink>
      <w:r>
        <w:t xml:space="preserve"> when-buying-sports-supplements.</w:t>
      </w:r>
    </w:p>
    <w:p w:rsidR="007D76BB" w:rsidRDefault="00D70D28">
      <w:pPr>
        <w:pStyle w:val="ListParagraph"/>
        <w:numPr>
          <w:ilvl w:val="0"/>
          <w:numId w:val="1"/>
        </w:numPr>
        <w:tabs>
          <w:tab w:val="left" w:pos="458"/>
        </w:tabs>
        <w:ind w:right="190" w:firstLine="0"/>
      </w:pPr>
      <w:r>
        <w:rPr>
          <w:b/>
        </w:rPr>
        <w:t xml:space="preserve">Health Canada. </w:t>
      </w:r>
      <w:r>
        <w:t xml:space="preserve">Compendium of Monographs: Workout Supplements. </w:t>
      </w:r>
      <w:r>
        <w:rPr>
          <w:i/>
        </w:rPr>
        <w:t xml:space="preserve">Health </w:t>
      </w:r>
      <w:proofErr w:type="spellStart"/>
      <w:r>
        <w:rPr>
          <w:i/>
        </w:rPr>
        <w:t>Cnada</w:t>
      </w:r>
      <w:proofErr w:type="spellEnd"/>
      <w:r>
        <w:rPr>
          <w:i/>
        </w:rPr>
        <w:t xml:space="preserve"> Drugs &amp; Health Products. </w:t>
      </w:r>
      <w:r>
        <w:t xml:space="preserve">[Online] 5 August 2019. [Cited: 18 February 2020.] </w:t>
      </w:r>
      <w:hyperlink r:id="rId282">
        <w:r>
          <w:t>http://webprod.hc-</w:t>
        </w:r>
      </w:hyperlink>
      <w:r>
        <w:t xml:space="preserve"> sc.gc.ca/nhpid-bdipsn/atReq.do?atid=workout.supplements.entrainement&amp;lang=eng.</w:t>
      </w:r>
    </w:p>
    <w:p w:rsidR="007D76BB" w:rsidRDefault="00D70D28">
      <w:pPr>
        <w:pStyle w:val="ListParagraph"/>
        <w:numPr>
          <w:ilvl w:val="0"/>
          <w:numId w:val="1"/>
        </w:numPr>
        <w:tabs>
          <w:tab w:val="left" w:pos="458"/>
        </w:tabs>
        <w:spacing w:before="181" w:line="257" w:lineRule="exact"/>
        <w:ind w:left="457" w:hanging="340"/>
        <w:rPr>
          <w:i/>
        </w:rPr>
      </w:pPr>
      <w:r>
        <w:rPr>
          <w:b/>
        </w:rPr>
        <w:t xml:space="preserve">Canadian Forces Health Services Group. </w:t>
      </w:r>
      <w:r>
        <w:rPr>
          <w:i/>
        </w:rPr>
        <w:t>Performance Enhancers Facts and Bottom</w:t>
      </w:r>
      <w:r>
        <w:rPr>
          <w:i/>
          <w:spacing w:val="-25"/>
        </w:rPr>
        <w:t xml:space="preserve"> </w:t>
      </w:r>
      <w:r>
        <w:rPr>
          <w:i/>
        </w:rPr>
        <w:t>Line.</w:t>
      </w:r>
    </w:p>
    <w:p w:rsidR="007D76BB" w:rsidRDefault="00D70D28">
      <w:pPr>
        <w:pStyle w:val="BodyText"/>
        <w:spacing w:line="257" w:lineRule="exact"/>
        <w:ind w:left="118"/>
      </w:pPr>
      <w:proofErr w:type="spellStart"/>
      <w:r>
        <w:t>s.l</w:t>
      </w:r>
      <w:proofErr w:type="gramStart"/>
      <w:r>
        <w:t>.</w:t>
      </w:r>
      <w:proofErr w:type="spellEnd"/>
      <w:r>
        <w:t xml:space="preserve"> :</w:t>
      </w:r>
      <w:proofErr w:type="gramEnd"/>
      <w:r>
        <w:t xml:space="preserve"> National </w:t>
      </w:r>
      <w:proofErr w:type="spellStart"/>
      <w:r>
        <w:t>Defence</w:t>
      </w:r>
      <w:proofErr w:type="spellEnd"/>
      <w:r>
        <w:t xml:space="preserve"> Canada, 2013.</w:t>
      </w:r>
    </w:p>
    <w:p w:rsidR="007D76BB" w:rsidRDefault="00D70D28">
      <w:pPr>
        <w:pStyle w:val="ListParagraph"/>
        <w:numPr>
          <w:ilvl w:val="0"/>
          <w:numId w:val="1"/>
        </w:numPr>
        <w:tabs>
          <w:tab w:val="left" w:pos="458"/>
        </w:tabs>
        <w:spacing w:before="182"/>
        <w:ind w:left="119" w:right="263" w:hanging="1"/>
      </w:pPr>
      <w:r>
        <w:rPr>
          <w:b/>
        </w:rPr>
        <w:t xml:space="preserve">Alliance, European Specialist Sports Nutrition. </w:t>
      </w:r>
      <w:r>
        <w:t xml:space="preserve">Legislation. </w:t>
      </w:r>
      <w:r>
        <w:rPr>
          <w:i/>
        </w:rPr>
        <w:t xml:space="preserve">ESSNA. </w:t>
      </w:r>
      <w:r>
        <w:t>[Online] 2020. [Cited: 28 May 2020.]</w:t>
      </w:r>
      <w:r>
        <w:rPr>
          <w:spacing w:val="-6"/>
        </w:rPr>
        <w:t xml:space="preserve"> </w:t>
      </w:r>
      <w:hyperlink r:id="rId283">
        <w:r>
          <w:t>http://www.essna.com/legislation/.</w:t>
        </w:r>
      </w:hyperlink>
    </w:p>
    <w:p w:rsidR="007D76BB" w:rsidRDefault="00D70D28">
      <w:pPr>
        <w:pStyle w:val="ListParagraph"/>
        <w:numPr>
          <w:ilvl w:val="0"/>
          <w:numId w:val="1"/>
        </w:numPr>
        <w:tabs>
          <w:tab w:val="left" w:pos="458"/>
        </w:tabs>
        <w:spacing w:before="177"/>
        <w:ind w:left="119" w:right="202" w:firstLine="0"/>
      </w:pPr>
      <w:r>
        <w:rPr>
          <w:b/>
        </w:rPr>
        <w:t xml:space="preserve">Gray, Nathan. </w:t>
      </w:r>
      <w:proofErr w:type="spellStart"/>
      <w:r>
        <w:t>Suppleemnts</w:t>
      </w:r>
      <w:proofErr w:type="spellEnd"/>
      <w:r>
        <w:t xml:space="preserve"> recalls: Polish, Czech and Hungarian authorities report cases of banned substances. </w:t>
      </w:r>
      <w:proofErr w:type="spellStart"/>
      <w:r>
        <w:rPr>
          <w:i/>
        </w:rPr>
        <w:t>NUTRAingredients</w:t>
      </w:r>
      <w:proofErr w:type="spellEnd"/>
      <w:r>
        <w:rPr>
          <w:i/>
        </w:rPr>
        <w:t xml:space="preserve">. </w:t>
      </w:r>
      <w:r>
        <w:t>[Online] William Reed Business Media, 9 August 2017. [Cited: 20 March 2020.] https://</w:t>
      </w:r>
      <w:hyperlink r:id="rId284">
        <w:r>
          <w:t>www.nutraingredients.com/Article/2017/08/10/Supplement-</w:t>
        </w:r>
      </w:hyperlink>
      <w:r>
        <w:t xml:space="preserve"> recalls-Polish-Czech-and-Hungarian-authorities-report-cases-of-banned-substances.</w:t>
      </w:r>
    </w:p>
    <w:p w:rsidR="007D76BB" w:rsidRDefault="00D70D28">
      <w:pPr>
        <w:pStyle w:val="ListParagraph"/>
        <w:numPr>
          <w:ilvl w:val="0"/>
          <w:numId w:val="1"/>
        </w:numPr>
        <w:tabs>
          <w:tab w:val="left" w:pos="458"/>
        </w:tabs>
        <w:spacing w:before="181"/>
        <w:ind w:right="284" w:firstLine="0"/>
      </w:pPr>
      <w:r>
        <w:rPr>
          <w:i/>
        </w:rPr>
        <w:t xml:space="preserve">Adulterated dietary supplements threaten the health and sporting career of up-and-coming young athletes. </w:t>
      </w:r>
      <w:proofErr w:type="spellStart"/>
      <w:r>
        <w:rPr>
          <w:b/>
        </w:rPr>
        <w:t>Eichner</w:t>
      </w:r>
      <w:proofErr w:type="spellEnd"/>
      <w:r>
        <w:rPr>
          <w:b/>
        </w:rPr>
        <w:t xml:space="preserve">, A and Tygart, T. </w:t>
      </w:r>
      <w:r>
        <w:t>3-4, 2015, Drug Testing and Analysis, Vol. 8, pp. 304- 306.</w:t>
      </w:r>
    </w:p>
    <w:p w:rsidR="007D76BB" w:rsidRDefault="00D70D28">
      <w:pPr>
        <w:pStyle w:val="ListParagraph"/>
        <w:numPr>
          <w:ilvl w:val="0"/>
          <w:numId w:val="1"/>
        </w:numPr>
        <w:tabs>
          <w:tab w:val="left" w:pos="458"/>
        </w:tabs>
        <w:spacing w:before="181" w:line="257" w:lineRule="exact"/>
        <w:ind w:left="457" w:hanging="340"/>
        <w:rPr>
          <w:i/>
        </w:rPr>
      </w:pPr>
      <w:r>
        <w:rPr>
          <w:b/>
        </w:rPr>
        <w:t xml:space="preserve">Richardson, A. </w:t>
      </w:r>
      <w:r>
        <w:rPr>
          <w:i/>
        </w:rPr>
        <w:t>IBISWorld Industry Report OD5417: Vitamin and Supplement</w:t>
      </w:r>
      <w:r>
        <w:rPr>
          <w:i/>
          <w:spacing w:val="-29"/>
        </w:rPr>
        <w:t xml:space="preserve"> </w:t>
      </w:r>
      <w:r>
        <w:rPr>
          <w:i/>
        </w:rPr>
        <w:t>Manufacturing.</w:t>
      </w:r>
    </w:p>
    <w:p w:rsidR="007D76BB" w:rsidRDefault="00D70D28">
      <w:pPr>
        <w:pStyle w:val="BodyText"/>
        <w:spacing w:line="257" w:lineRule="exact"/>
        <w:ind w:left="118"/>
      </w:pPr>
      <w:proofErr w:type="spellStart"/>
      <w:r>
        <w:t>s.l</w:t>
      </w:r>
      <w:proofErr w:type="gramStart"/>
      <w:r>
        <w:t>.</w:t>
      </w:r>
      <w:proofErr w:type="spellEnd"/>
      <w:r>
        <w:t xml:space="preserve"> :</w:t>
      </w:r>
      <w:proofErr w:type="gramEnd"/>
      <w:r>
        <w:t xml:space="preserve"> IBISWorld, 2020. p. 25.</w:t>
      </w:r>
    </w:p>
    <w:p w:rsidR="007D76BB" w:rsidRDefault="00D70D28">
      <w:pPr>
        <w:pStyle w:val="ListParagraph"/>
        <w:numPr>
          <w:ilvl w:val="0"/>
          <w:numId w:val="1"/>
        </w:numPr>
        <w:tabs>
          <w:tab w:val="left" w:pos="458"/>
        </w:tabs>
        <w:spacing w:before="181"/>
        <w:ind w:right="279" w:firstLine="0"/>
      </w:pPr>
      <w:r>
        <w:rPr>
          <w:b/>
        </w:rPr>
        <w:t xml:space="preserve">Government of Canada Department of National </w:t>
      </w:r>
      <w:proofErr w:type="spellStart"/>
      <w:r>
        <w:rPr>
          <w:b/>
        </w:rPr>
        <w:t>Defence</w:t>
      </w:r>
      <w:proofErr w:type="spellEnd"/>
      <w:r>
        <w:rPr>
          <w:b/>
        </w:rPr>
        <w:t xml:space="preserve">. </w:t>
      </w:r>
      <w:r>
        <w:t>Dietary Supplements. [Online] 15 November 2019. [Cited: 10 March 2020.] https://</w:t>
      </w:r>
      <w:hyperlink r:id="rId285">
        <w:r>
          <w:t>www.canada.ca/en/department-national-</w:t>
        </w:r>
      </w:hyperlink>
      <w:r>
        <w:t xml:space="preserve"> defence/services/benefits-military/health-support/staying-healthy-active/nutrition/dietary- supplements.html.</w:t>
      </w:r>
    </w:p>
    <w:p w:rsidR="007D76BB" w:rsidRDefault="00D70D28">
      <w:pPr>
        <w:pStyle w:val="ListParagraph"/>
        <w:numPr>
          <w:ilvl w:val="0"/>
          <w:numId w:val="1"/>
        </w:numPr>
        <w:tabs>
          <w:tab w:val="left" w:pos="458"/>
        </w:tabs>
        <w:spacing w:before="181"/>
        <w:ind w:right="275" w:firstLine="0"/>
      </w:pPr>
      <w:r>
        <w:rPr>
          <w:b/>
        </w:rPr>
        <w:t xml:space="preserve">Office of Dietary Supplements (USA). </w:t>
      </w:r>
      <w:r>
        <w:t xml:space="preserve">Dietary Supplements for Exercise and Athletic Performance. </w:t>
      </w:r>
      <w:r>
        <w:rPr>
          <w:i/>
        </w:rPr>
        <w:t xml:space="preserve">U.S. Department of Health &amp; Human Services. </w:t>
      </w:r>
      <w:r>
        <w:t xml:space="preserve">[Online] 17 October 2019. [Cited: 10 March 2020.] https://ods.od.nih.gov/factsheets/ExerciseAndAthleticPerformance- </w:t>
      </w:r>
      <w:proofErr w:type="spellStart"/>
      <w:r>
        <w:t>HealthProfessional</w:t>
      </w:r>
      <w:proofErr w:type="spellEnd"/>
      <w:r>
        <w:t>/.</w:t>
      </w:r>
    </w:p>
    <w:p w:rsidR="007D76BB" w:rsidRDefault="00D70D28">
      <w:pPr>
        <w:pStyle w:val="ListParagraph"/>
        <w:numPr>
          <w:ilvl w:val="0"/>
          <w:numId w:val="1"/>
        </w:numPr>
        <w:tabs>
          <w:tab w:val="left" w:pos="457"/>
        </w:tabs>
        <w:spacing w:before="178"/>
        <w:ind w:right="410" w:firstLine="0"/>
      </w:pPr>
      <w:r>
        <w:rPr>
          <w:i/>
        </w:rPr>
        <w:t xml:space="preserve">Overview of regulation of dietary supplements in the USA and issues of adulteration with phenethylamines (PEAs). </w:t>
      </w:r>
      <w:proofErr w:type="spellStart"/>
      <w:r>
        <w:rPr>
          <w:b/>
        </w:rPr>
        <w:t>Pawar</w:t>
      </w:r>
      <w:proofErr w:type="spellEnd"/>
      <w:r>
        <w:rPr>
          <w:b/>
        </w:rPr>
        <w:t xml:space="preserve">, R and </w:t>
      </w:r>
      <w:proofErr w:type="spellStart"/>
      <w:r>
        <w:rPr>
          <w:b/>
        </w:rPr>
        <w:t>Grundel</w:t>
      </w:r>
      <w:proofErr w:type="spellEnd"/>
      <w:r>
        <w:rPr>
          <w:b/>
        </w:rPr>
        <w:t xml:space="preserve">, E. </w:t>
      </w:r>
      <w:r>
        <w:t>3, 2017, Drug Testing and Analysis, Vol. 9, pp.</w:t>
      </w:r>
      <w:r>
        <w:rPr>
          <w:spacing w:val="-1"/>
        </w:rPr>
        <w:t xml:space="preserve"> </w:t>
      </w:r>
      <w:r>
        <w:t>500-517.</w:t>
      </w:r>
    </w:p>
    <w:p w:rsidR="007D76BB" w:rsidRDefault="00D70D28">
      <w:pPr>
        <w:pStyle w:val="ListParagraph"/>
        <w:numPr>
          <w:ilvl w:val="0"/>
          <w:numId w:val="1"/>
        </w:numPr>
        <w:tabs>
          <w:tab w:val="left" w:pos="457"/>
        </w:tabs>
        <w:spacing w:before="181"/>
        <w:ind w:right="238" w:firstLine="0"/>
        <w:jc w:val="both"/>
      </w:pPr>
      <w:r>
        <w:rPr>
          <w:i/>
        </w:rPr>
        <w:t xml:space="preserve">Analysis of Non-Hormonal Nutritional Supplements for Anabolic-Androgenic Steroids - Results of an International Study. </w:t>
      </w:r>
      <w:r>
        <w:rPr>
          <w:b/>
        </w:rPr>
        <w:t xml:space="preserve">Geyer, H, et al. </w:t>
      </w:r>
      <w:r>
        <w:t>2, 2004, International Journal of Sports Medicine, Vol. 25, pp.</w:t>
      </w:r>
      <w:r>
        <w:rPr>
          <w:spacing w:val="-3"/>
        </w:rPr>
        <w:t xml:space="preserve"> </w:t>
      </w:r>
      <w:r>
        <w:t>124-129.</w:t>
      </w:r>
    </w:p>
    <w:p w:rsidR="007D76BB" w:rsidRDefault="00D70D28">
      <w:pPr>
        <w:pStyle w:val="ListParagraph"/>
        <w:numPr>
          <w:ilvl w:val="0"/>
          <w:numId w:val="1"/>
        </w:numPr>
        <w:tabs>
          <w:tab w:val="left" w:pos="457"/>
        </w:tabs>
        <w:spacing w:before="179"/>
        <w:ind w:right="336" w:firstLine="0"/>
        <w:jc w:val="both"/>
      </w:pPr>
      <w:proofErr w:type="spellStart"/>
      <w:r>
        <w:rPr>
          <w:i/>
        </w:rPr>
        <w:lastRenderedPageBreak/>
        <w:t>Pharmacetuical</w:t>
      </w:r>
      <w:proofErr w:type="spellEnd"/>
      <w:r>
        <w:rPr>
          <w:i/>
        </w:rPr>
        <w:t xml:space="preserve"> doses of the banned stimulant </w:t>
      </w:r>
      <w:proofErr w:type="spellStart"/>
      <w:r>
        <w:rPr>
          <w:i/>
        </w:rPr>
        <w:t>oxilofrine</w:t>
      </w:r>
      <w:proofErr w:type="spellEnd"/>
      <w:r>
        <w:rPr>
          <w:i/>
        </w:rPr>
        <w:t xml:space="preserve"> </w:t>
      </w:r>
      <w:proofErr w:type="spellStart"/>
      <w:r>
        <w:rPr>
          <w:i/>
        </w:rPr>
        <w:t>fonud</w:t>
      </w:r>
      <w:proofErr w:type="spellEnd"/>
      <w:r>
        <w:rPr>
          <w:i/>
        </w:rPr>
        <w:t xml:space="preserve"> in dietary supplements sold in the USA. </w:t>
      </w:r>
      <w:r>
        <w:rPr>
          <w:b/>
        </w:rPr>
        <w:t xml:space="preserve">Cohen, P, et al. </w:t>
      </w:r>
      <w:r>
        <w:t>1, 2017, Drug Testing and Analysis, Vol. 9, pp.</w:t>
      </w:r>
      <w:r>
        <w:rPr>
          <w:spacing w:val="-21"/>
        </w:rPr>
        <w:t xml:space="preserve"> </w:t>
      </w:r>
      <w:r>
        <w:t>135-142.</w:t>
      </w:r>
    </w:p>
    <w:p w:rsidR="007D76BB" w:rsidRDefault="00D70D28">
      <w:pPr>
        <w:pStyle w:val="ListParagraph"/>
        <w:numPr>
          <w:ilvl w:val="0"/>
          <w:numId w:val="1"/>
        </w:numPr>
        <w:tabs>
          <w:tab w:val="left" w:pos="457"/>
        </w:tabs>
        <w:ind w:right="497" w:firstLine="0"/>
      </w:pPr>
      <w:r>
        <w:rPr>
          <w:i/>
        </w:rPr>
        <w:t xml:space="preserve">Presence of banned drugs in dietary supplements </w:t>
      </w:r>
      <w:proofErr w:type="spellStart"/>
      <w:r>
        <w:rPr>
          <w:i/>
        </w:rPr>
        <w:t>follwoing</w:t>
      </w:r>
      <w:proofErr w:type="spellEnd"/>
      <w:r>
        <w:rPr>
          <w:i/>
        </w:rPr>
        <w:t xml:space="preserve"> FDA recalls. </w:t>
      </w:r>
      <w:r>
        <w:rPr>
          <w:b/>
        </w:rPr>
        <w:t xml:space="preserve">Cohen, P, et al. </w:t>
      </w:r>
      <w:r>
        <w:t>16, 2014, JAMA, Vol. 312, pp.</w:t>
      </w:r>
      <w:r>
        <w:rPr>
          <w:spacing w:val="-9"/>
        </w:rPr>
        <w:t xml:space="preserve"> </w:t>
      </w:r>
      <w:r>
        <w:t>1691-1693.</w:t>
      </w:r>
    </w:p>
    <w:p w:rsidR="007D76BB" w:rsidRDefault="00D70D28">
      <w:pPr>
        <w:pStyle w:val="ListParagraph"/>
        <w:numPr>
          <w:ilvl w:val="0"/>
          <w:numId w:val="1"/>
        </w:numPr>
        <w:tabs>
          <w:tab w:val="left" w:pos="457"/>
        </w:tabs>
        <w:ind w:right="603" w:firstLine="0"/>
      </w:pPr>
      <w:r>
        <w:rPr>
          <w:i/>
        </w:rPr>
        <w:t xml:space="preserve">Intended or Unintended Doping? A Review of the Presence of Doping Substances in Dietary Supplements Used in Sports. </w:t>
      </w:r>
      <w:r>
        <w:rPr>
          <w:b/>
        </w:rPr>
        <w:t>Martinez-</w:t>
      </w:r>
      <w:proofErr w:type="spellStart"/>
      <w:r>
        <w:rPr>
          <w:b/>
        </w:rPr>
        <w:t>Sanz</w:t>
      </w:r>
      <w:proofErr w:type="spellEnd"/>
      <w:r>
        <w:rPr>
          <w:b/>
        </w:rPr>
        <w:t xml:space="preserve">, J, et al. </w:t>
      </w:r>
      <w:r>
        <w:t>9, 2017, Nutrients, Vol. 4, p.</w:t>
      </w:r>
      <w:r>
        <w:rPr>
          <w:spacing w:val="-27"/>
        </w:rPr>
        <w:t xml:space="preserve"> </w:t>
      </w:r>
      <w:r>
        <w:t>1093.</w:t>
      </w:r>
    </w:p>
    <w:p w:rsidR="007D76BB" w:rsidRDefault="007D76BB">
      <w:pPr>
        <w:sectPr w:rsidR="007D76BB">
          <w:pgSz w:w="11910" w:h="16840"/>
          <w:pgMar w:top="1040" w:right="1320" w:bottom="1360" w:left="1300" w:header="572" w:footer="1179" w:gutter="0"/>
          <w:cols w:space="720"/>
        </w:sectPr>
      </w:pPr>
    </w:p>
    <w:p w:rsidR="007D76BB" w:rsidRDefault="00D70D28">
      <w:pPr>
        <w:pStyle w:val="ListParagraph"/>
        <w:numPr>
          <w:ilvl w:val="0"/>
          <w:numId w:val="1"/>
        </w:numPr>
        <w:tabs>
          <w:tab w:val="left" w:pos="457"/>
        </w:tabs>
        <w:spacing w:before="90"/>
        <w:ind w:left="456" w:hanging="339"/>
        <w:rPr>
          <w:i/>
        </w:rPr>
      </w:pPr>
      <w:r>
        <w:rPr>
          <w:i/>
        </w:rPr>
        <w:lastRenderedPageBreak/>
        <w:t>Current</w:t>
      </w:r>
      <w:r>
        <w:rPr>
          <w:i/>
          <w:spacing w:val="-2"/>
        </w:rPr>
        <w:t xml:space="preserve"> </w:t>
      </w:r>
      <w:r>
        <w:rPr>
          <w:i/>
        </w:rPr>
        <w:t>Status</w:t>
      </w:r>
      <w:r>
        <w:rPr>
          <w:i/>
          <w:spacing w:val="-2"/>
        </w:rPr>
        <w:t xml:space="preserve"> </w:t>
      </w:r>
      <w:r>
        <w:rPr>
          <w:i/>
        </w:rPr>
        <w:t>of</w:t>
      </w:r>
      <w:r>
        <w:rPr>
          <w:i/>
          <w:spacing w:val="-3"/>
        </w:rPr>
        <w:t xml:space="preserve"> </w:t>
      </w:r>
      <w:r>
        <w:rPr>
          <w:i/>
        </w:rPr>
        <w:t>Legislation</w:t>
      </w:r>
      <w:r>
        <w:rPr>
          <w:i/>
          <w:spacing w:val="-5"/>
        </w:rPr>
        <w:t xml:space="preserve"> </w:t>
      </w:r>
      <w:r>
        <w:rPr>
          <w:i/>
        </w:rPr>
        <w:t>on</w:t>
      </w:r>
      <w:r>
        <w:rPr>
          <w:i/>
          <w:spacing w:val="-3"/>
        </w:rPr>
        <w:t xml:space="preserve"> </w:t>
      </w:r>
      <w:r>
        <w:rPr>
          <w:i/>
        </w:rPr>
        <w:t>Dietary</w:t>
      </w:r>
      <w:r>
        <w:rPr>
          <w:i/>
          <w:spacing w:val="-4"/>
        </w:rPr>
        <w:t xml:space="preserve"> </w:t>
      </w:r>
      <w:r>
        <w:rPr>
          <w:i/>
        </w:rPr>
        <w:t>Products</w:t>
      </w:r>
      <w:r>
        <w:rPr>
          <w:i/>
          <w:spacing w:val="-5"/>
        </w:rPr>
        <w:t xml:space="preserve"> </w:t>
      </w:r>
      <w:r>
        <w:rPr>
          <w:i/>
        </w:rPr>
        <w:t>for</w:t>
      </w:r>
      <w:r>
        <w:rPr>
          <w:i/>
          <w:spacing w:val="-3"/>
        </w:rPr>
        <w:t xml:space="preserve"> </w:t>
      </w:r>
      <w:r>
        <w:rPr>
          <w:i/>
        </w:rPr>
        <w:t>Sportspeople</w:t>
      </w:r>
      <w:r>
        <w:rPr>
          <w:i/>
          <w:spacing w:val="-2"/>
        </w:rPr>
        <w:t xml:space="preserve"> </w:t>
      </w:r>
      <w:r>
        <w:rPr>
          <w:i/>
        </w:rPr>
        <w:t>in</w:t>
      </w:r>
      <w:r>
        <w:rPr>
          <w:i/>
          <w:spacing w:val="-4"/>
        </w:rPr>
        <w:t xml:space="preserve"> </w:t>
      </w:r>
      <w:r>
        <w:rPr>
          <w:i/>
        </w:rPr>
        <w:t>a</w:t>
      </w:r>
      <w:r>
        <w:rPr>
          <w:i/>
          <w:spacing w:val="-3"/>
        </w:rPr>
        <w:t xml:space="preserve"> </w:t>
      </w:r>
      <w:r>
        <w:rPr>
          <w:i/>
        </w:rPr>
        <w:t>European</w:t>
      </w:r>
      <w:r>
        <w:rPr>
          <w:i/>
          <w:spacing w:val="-3"/>
        </w:rPr>
        <w:t xml:space="preserve"> </w:t>
      </w:r>
      <w:r>
        <w:rPr>
          <w:i/>
        </w:rPr>
        <w:t>Framework.</w:t>
      </w:r>
    </w:p>
    <w:p w:rsidR="007D76BB" w:rsidRDefault="00D70D28">
      <w:pPr>
        <w:spacing w:before="2"/>
        <w:ind w:left="118"/>
      </w:pPr>
      <w:r>
        <w:rPr>
          <w:b/>
        </w:rPr>
        <w:t>Martinez-</w:t>
      </w:r>
      <w:proofErr w:type="spellStart"/>
      <w:r>
        <w:rPr>
          <w:b/>
        </w:rPr>
        <w:t>Sanz</w:t>
      </w:r>
      <w:proofErr w:type="spellEnd"/>
      <w:r>
        <w:rPr>
          <w:b/>
        </w:rPr>
        <w:t xml:space="preserve">, J, et al. </w:t>
      </w:r>
      <w:r>
        <w:t>11, 2017, Nutrients, Vol. 9, p. 1225.</w:t>
      </w:r>
    </w:p>
    <w:p w:rsidR="007D76BB" w:rsidRDefault="007D76BB">
      <w:pPr>
        <w:sectPr w:rsidR="007D76BB">
          <w:pgSz w:w="11910" w:h="16840"/>
          <w:pgMar w:top="1040" w:right="1320" w:bottom="1360" w:left="1300" w:header="572" w:footer="1179" w:gutter="0"/>
          <w:cols w:space="720"/>
        </w:sectPr>
      </w:pPr>
    </w:p>
    <w:p w:rsidR="007D76BB" w:rsidRDefault="00D70D28">
      <w:pPr>
        <w:pStyle w:val="Heading2"/>
        <w:ind w:left="118"/>
      </w:pPr>
      <w:bookmarkStart w:id="166" w:name="Version_history"/>
      <w:bookmarkEnd w:id="166"/>
      <w:r>
        <w:lastRenderedPageBreak/>
        <w:t>Version history</w:t>
      </w:r>
    </w:p>
    <w:p w:rsidR="007D76BB" w:rsidRDefault="007D76BB">
      <w:pPr>
        <w:pStyle w:val="BodyText"/>
        <w:spacing w:before="2"/>
        <w:rPr>
          <w:rFonts w:ascii="Arial"/>
          <w:b/>
          <w:sz w:val="16"/>
        </w:rPr>
      </w:pPr>
    </w:p>
    <w:tbl>
      <w:tblPr>
        <w:tblW w:w="0" w:type="auto"/>
        <w:tblInd w:w="130" w:type="dxa"/>
        <w:tblLayout w:type="fixed"/>
        <w:tblCellMar>
          <w:left w:w="0" w:type="dxa"/>
          <w:right w:w="0" w:type="dxa"/>
        </w:tblCellMar>
        <w:tblLook w:val="01E0" w:firstRow="1" w:lastRow="1" w:firstColumn="1" w:lastColumn="1" w:noHBand="0" w:noVBand="0"/>
      </w:tblPr>
      <w:tblGrid>
        <w:gridCol w:w="1277"/>
        <w:gridCol w:w="3243"/>
        <w:gridCol w:w="2713"/>
        <w:gridCol w:w="1808"/>
      </w:tblGrid>
      <w:tr w:rsidR="007D76BB">
        <w:trPr>
          <w:trHeight w:val="938"/>
        </w:trPr>
        <w:tc>
          <w:tcPr>
            <w:tcW w:w="1277" w:type="dxa"/>
            <w:shd w:val="clear" w:color="auto" w:fill="000000"/>
          </w:tcPr>
          <w:p w:rsidR="007D76BB" w:rsidRDefault="00D70D28">
            <w:pPr>
              <w:pStyle w:val="TableParagraph"/>
              <w:spacing w:before="130"/>
              <w:ind w:left="112"/>
              <w:rPr>
                <w:rFonts w:ascii="Arial Black"/>
              </w:rPr>
            </w:pPr>
            <w:r>
              <w:rPr>
                <w:rFonts w:ascii="Arial Black"/>
                <w:color w:val="FFFFFF"/>
              </w:rPr>
              <w:t>Version</w:t>
            </w:r>
          </w:p>
        </w:tc>
        <w:tc>
          <w:tcPr>
            <w:tcW w:w="3243" w:type="dxa"/>
            <w:shd w:val="clear" w:color="auto" w:fill="000000"/>
          </w:tcPr>
          <w:p w:rsidR="007D76BB" w:rsidRDefault="00D70D28">
            <w:pPr>
              <w:pStyle w:val="TableParagraph"/>
              <w:spacing w:before="130"/>
              <w:ind w:left="112"/>
              <w:rPr>
                <w:rFonts w:ascii="Arial Black"/>
              </w:rPr>
            </w:pPr>
            <w:r>
              <w:rPr>
                <w:rFonts w:ascii="Arial Black"/>
                <w:color w:val="FFFFFF"/>
              </w:rPr>
              <w:t>Description of change</w:t>
            </w:r>
          </w:p>
        </w:tc>
        <w:tc>
          <w:tcPr>
            <w:tcW w:w="2713" w:type="dxa"/>
            <w:shd w:val="clear" w:color="auto" w:fill="000000"/>
          </w:tcPr>
          <w:p w:rsidR="007D76BB" w:rsidRDefault="00D70D28">
            <w:pPr>
              <w:pStyle w:val="TableParagraph"/>
              <w:spacing w:before="130"/>
              <w:ind w:left="109"/>
              <w:rPr>
                <w:rFonts w:ascii="Arial Black"/>
              </w:rPr>
            </w:pPr>
            <w:r>
              <w:rPr>
                <w:rFonts w:ascii="Arial Black"/>
                <w:color w:val="FFFFFF"/>
              </w:rPr>
              <w:t>Author</w:t>
            </w:r>
          </w:p>
        </w:tc>
        <w:tc>
          <w:tcPr>
            <w:tcW w:w="1808" w:type="dxa"/>
            <w:shd w:val="clear" w:color="auto" w:fill="000000"/>
          </w:tcPr>
          <w:p w:rsidR="007D76BB" w:rsidRDefault="00D70D28">
            <w:pPr>
              <w:pStyle w:val="TableParagraph"/>
              <w:spacing w:before="130"/>
              <w:ind w:left="108" w:right="604"/>
              <w:rPr>
                <w:rFonts w:ascii="Arial Black"/>
              </w:rPr>
            </w:pPr>
            <w:r>
              <w:rPr>
                <w:rFonts w:ascii="Arial Black"/>
                <w:color w:val="FFFFFF"/>
              </w:rPr>
              <w:t>Effective date</w:t>
            </w:r>
          </w:p>
        </w:tc>
      </w:tr>
      <w:tr w:rsidR="007D76BB">
        <w:trPr>
          <w:trHeight w:val="1418"/>
        </w:trPr>
        <w:tc>
          <w:tcPr>
            <w:tcW w:w="1277" w:type="dxa"/>
            <w:tcBorders>
              <w:left w:val="single" w:sz="4" w:space="0" w:color="000000"/>
              <w:bottom w:val="single" w:sz="4" w:space="0" w:color="000000"/>
              <w:right w:val="single" w:sz="4" w:space="0" w:color="000000"/>
            </w:tcBorders>
          </w:tcPr>
          <w:p w:rsidR="007D76BB" w:rsidRDefault="00D70D28">
            <w:pPr>
              <w:pStyle w:val="TableParagraph"/>
              <w:spacing w:before="119"/>
              <w:ind w:left="107"/>
            </w:pPr>
            <w:r>
              <w:t>V1.0</w:t>
            </w:r>
          </w:p>
        </w:tc>
        <w:tc>
          <w:tcPr>
            <w:tcW w:w="3243" w:type="dxa"/>
            <w:tcBorders>
              <w:left w:val="single" w:sz="4" w:space="0" w:color="000000"/>
              <w:bottom w:val="single" w:sz="4" w:space="0" w:color="000000"/>
              <w:right w:val="single" w:sz="4" w:space="0" w:color="000000"/>
            </w:tcBorders>
          </w:tcPr>
          <w:p w:rsidR="007D76BB" w:rsidRDefault="00D70D28">
            <w:pPr>
              <w:pStyle w:val="TableParagraph"/>
              <w:spacing w:before="119"/>
              <w:ind w:left="107"/>
            </w:pPr>
            <w:r>
              <w:t>Original publication</w:t>
            </w:r>
          </w:p>
        </w:tc>
        <w:tc>
          <w:tcPr>
            <w:tcW w:w="2713" w:type="dxa"/>
            <w:tcBorders>
              <w:left w:val="single" w:sz="4" w:space="0" w:color="000000"/>
              <w:bottom w:val="single" w:sz="4" w:space="0" w:color="000000"/>
              <w:right w:val="single" w:sz="4" w:space="0" w:color="000000"/>
            </w:tcBorders>
          </w:tcPr>
          <w:p w:rsidR="007D76BB" w:rsidRDefault="00D70D28">
            <w:pPr>
              <w:pStyle w:val="TableParagraph"/>
              <w:spacing w:before="119"/>
              <w:ind w:left="104" w:right="804"/>
            </w:pPr>
            <w:r>
              <w:t>Therapeutic Goods Administration</w:t>
            </w:r>
          </w:p>
        </w:tc>
        <w:tc>
          <w:tcPr>
            <w:tcW w:w="1808" w:type="dxa"/>
            <w:tcBorders>
              <w:left w:val="single" w:sz="4" w:space="0" w:color="000000"/>
              <w:bottom w:val="single" w:sz="4" w:space="0" w:color="000000"/>
              <w:right w:val="single" w:sz="4" w:space="0" w:color="000000"/>
            </w:tcBorders>
          </w:tcPr>
          <w:p w:rsidR="007D76BB" w:rsidRDefault="00D70D28">
            <w:pPr>
              <w:pStyle w:val="TableParagraph"/>
              <w:spacing w:before="119"/>
              <w:ind w:left="103"/>
            </w:pPr>
            <w:r>
              <w:t>July 2020</w:t>
            </w:r>
          </w:p>
        </w:tc>
      </w:tr>
    </w:tbl>
    <w:p w:rsidR="007D76BB" w:rsidRDefault="007D76BB">
      <w:pPr>
        <w:sectPr w:rsidR="007D76BB">
          <w:pgSz w:w="11910" w:h="16840"/>
          <w:pgMar w:top="1040" w:right="1320" w:bottom="1360" w:left="1300" w:header="572" w:footer="1179" w:gutter="0"/>
          <w:cols w:space="720"/>
        </w:sect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rPr>
          <w:rFonts w:ascii="Arial"/>
          <w:b/>
          <w:sz w:val="20"/>
        </w:rPr>
      </w:pPr>
    </w:p>
    <w:p w:rsidR="007D76BB" w:rsidRDefault="007D76BB">
      <w:pPr>
        <w:pStyle w:val="BodyText"/>
        <w:spacing w:before="1"/>
        <w:rPr>
          <w:rFonts w:ascii="Arial"/>
          <w:b/>
          <w:sz w:val="12"/>
        </w:rPr>
      </w:pPr>
    </w:p>
    <w:tbl>
      <w:tblPr>
        <w:tblW w:w="0" w:type="auto"/>
        <w:tblInd w:w="1541" w:type="dxa"/>
        <w:tblLayout w:type="fixed"/>
        <w:tblCellMar>
          <w:left w:w="0" w:type="dxa"/>
          <w:right w:w="0" w:type="dxa"/>
        </w:tblCellMar>
        <w:tblLook w:val="01E0" w:firstRow="1" w:lastRow="1" w:firstColumn="1" w:lastColumn="1" w:noHBand="0" w:noVBand="0"/>
      </w:tblPr>
      <w:tblGrid>
        <w:gridCol w:w="6239"/>
      </w:tblGrid>
      <w:tr w:rsidR="007D76BB">
        <w:trPr>
          <w:trHeight w:val="388"/>
        </w:trPr>
        <w:tc>
          <w:tcPr>
            <w:tcW w:w="6239" w:type="dxa"/>
          </w:tcPr>
          <w:p w:rsidR="007D76BB" w:rsidRDefault="00D70D28">
            <w:pPr>
              <w:pStyle w:val="TableParagraph"/>
              <w:spacing w:line="314" w:lineRule="exact"/>
              <w:ind w:left="226" w:right="227"/>
              <w:jc w:val="center"/>
              <w:rPr>
                <w:rFonts w:ascii="Arial"/>
                <w:b/>
                <w:sz w:val="28"/>
              </w:rPr>
            </w:pPr>
            <w:r>
              <w:rPr>
                <w:rFonts w:ascii="Arial"/>
                <w:b/>
                <w:sz w:val="28"/>
              </w:rPr>
              <w:t>Therapeutic Goods Administration</w:t>
            </w:r>
          </w:p>
        </w:tc>
      </w:tr>
      <w:tr w:rsidR="007D76BB">
        <w:trPr>
          <w:trHeight w:val="940"/>
        </w:trPr>
        <w:tc>
          <w:tcPr>
            <w:tcW w:w="6239" w:type="dxa"/>
          </w:tcPr>
          <w:p w:rsidR="007D76BB" w:rsidRDefault="00D70D28">
            <w:pPr>
              <w:pStyle w:val="TableParagraph"/>
              <w:spacing w:before="76"/>
              <w:ind w:left="227" w:right="227"/>
              <w:jc w:val="center"/>
              <w:rPr>
                <w:sz w:val="21"/>
              </w:rPr>
            </w:pPr>
            <w:r>
              <w:rPr>
                <w:sz w:val="21"/>
              </w:rPr>
              <w:t xml:space="preserve">PO Box 100 </w:t>
            </w:r>
            <w:proofErr w:type="spellStart"/>
            <w:r>
              <w:rPr>
                <w:sz w:val="21"/>
              </w:rPr>
              <w:t>Woden</w:t>
            </w:r>
            <w:proofErr w:type="spellEnd"/>
            <w:r>
              <w:rPr>
                <w:sz w:val="21"/>
              </w:rPr>
              <w:t xml:space="preserve"> ACT 2606 Australia</w:t>
            </w:r>
          </w:p>
          <w:p w:rsidR="007D76BB" w:rsidRDefault="00D70D28">
            <w:pPr>
              <w:pStyle w:val="TableParagraph"/>
              <w:spacing w:before="1" w:line="245" w:lineRule="exact"/>
              <w:ind w:left="227" w:right="227"/>
              <w:jc w:val="center"/>
              <w:rPr>
                <w:sz w:val="21"/>
              </w:rPr>
            </w:pPr>
            <w:r>
              <w:rPr>
                <w:sz w:val="21"/>
              </w:rPr>
              <w:t xml:space="preserve">Email: </w:t>
            </w:r>
            <w:hyperlink r:id="rId286">
              <w:r>
                <w:rPr>
                  <w:color w:val="0000FF"/>
                  <w:sz w:val="21"/>
                  <w:u w:val="single" w:color="0000FF"/>
                </w:rPr>
                <w:t>info@tga.gov.au</w:t>
              </w:r>
            </w:hyperlink>
            <w:r>
              <w:rPr>
                <w:color w:val="0000FF"/>
                <w:sz w:val="21"/>
              </w:rPr>
              <w:t xml:space="preserve"> </w:t>
            </w:r>
            <w:r>
              <w:rPr>
                <w:sz w:val="21"/>
              </w:rPr>
              <w:t>Phone: 1800 020 653 Fax: 02 6203 1605</w:t>
            </w:r>
          </w:p>
          <w:p w:rsidR="007D76BB" w:rsidRDefault="00A51832">
            <w:pPr>
              <w:pStyle w:val="TableParagraph"/>
              <w:spacing w:line="245" w:lineRule="exact"/>
              <w:ind w:left="226" w:right="227"/>
              <w:jc w:val="center"/>
              <w:rPr>
                <w:b/>
                <w:sz w:val="21"/>
              </w:rPr>
            </w:pPr>
            <w:hyperlink r:id="rId287">
              <w:r w:rsidR="00D70D28">
                <w:rPr>
                  <w:b/>
                  <w:color w:val="0000FF"/>
                  <w:sz w:val="21"/>
                  <w:u w:val="single" w:color="0000FF"/>
                </w:rPr>
                <w:t>https://www.tga.gov.au</w:t>
              </w:r>
            </w:hyperlink>
          </w:p>
        </w:tc>
      </w:tr>
      <w:tr w:rsidR="007D76BB">
        <w:trPr>
          <w:trHeight w:val="373"/>
        </w:trPr>
        <w:tc>
          <w:tcPr>
            <w:tcW w:w="6239" w:type="dxa"/>
          </w:tcPr>
          <w:p w:rsidR="007D76BB" w:rsidRDefault="00D70D28">
            <w:pPr>
              <w:pStyle w:val="TableParagraph"/>
              <w:spacing w:before="127" w:line="226" w:lineRule="exact"/>
              <w:ind w:left="227" w:right="227"/>
              <w:jc w:val="center"/>
              <w:rPr>
                <w:sz w:val="21"/>
              </w:rPr>
            </w:pPr>
            <w:r>
              <w:rPr>
                <w:sz w:val="21"/>
              </w:rPr>
              <w:t>Reference D19-6337455</w:t>
            </w:r>
          </w:p>
        </w:tc>
      </w:tr>
    </w:tbl>
    <w:p w:rsidR="00394B78" w:rsidRDefault="00394B78"/>
    <w:sectPr w:rsidR="00394B78">
      <w:headerReference w:type="default" r:id="rId288"/>
      <w:footerReference w:type="default" r:id="rId289"/>
      <w:pgSz w:w="11910" w:h="16840"/>
      <w:pgMar w:top="1580" w:right="1320" w:bottom="280" w:left="13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1832" w:rsidRDefault="00A51832">
      <w:r>
        <w:separator/>
      </w:r>
    </w:p>
  </w:endnote>
  <w:endnote w:type="continuationSeparator" w:id="0">
    <w:p w:rsidR="00A51832" w:rsidRDefault="00A51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g">
          <w:drawing>
            <wp:anchor distT="0" distB="0" distL="114300" distR="114300" simplePos="0" relativeHeight="242073600" behindDoc="1" locked="0" layoutInCell="1" allowOverlap="1">
              <wp:simplePos x="0" y="0"/>
              <wp:positionH relativeFrom="page">
                <wp:posOffset>900430</wp:posOffset>
              </wp:positionH>
              <wp:positionV relativeFrom="page">
                <wp:posOffset>9765665</wp:posOffset>
              </wp:positionV>
              <wp:extent cx="5537200" cy="6350"/>
              <wp:effectExtent l="0" t="0" r="0" b="0"/>
              <wp:wrapNone/>
              <wp:docPr id="140"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0" cy="6350"/>
                        <a:chOff x="1418" y="15379"/>
                        <a:chExt cx="8720" cy="10"/>
                      </a:xfrm>
                    </wpg:grpSpPr>
                    <wps:wsp>
                      <wps:cNvPr id="141" name="Line 124"/>
                      <wps:cNvCnPr>
                        <a:cxnSpLocks noChangeShapeType="1"/>
                      </wps:cNvCnPr>
                      <wps:spPr bwMode="auto">
                        <a:xfrm>
                          <a:off x="1418" y="15384"/>
                          <a:ext cx="734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Rectangle 123"/>
                      <wps:cNvSpPr>
                        <a:spLocks noChangeArrowheads="1"/>
                      </wps:cNvSpPr>
                      <wps:spPr bwMode="auto">
                        <a:xfrm>
                          <a:off x="8757" y="1537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122"/>
                      <wps:cNvCnPr>
                        <a:cxnSpLocks noChangeShapeType="1"/>
                      </wps:cNvCnPr>
                      <wps:spPr bwMode="auto">
                        <a:xfrm>
                          <a:off x="8767" y="15384"/>
                          <a:ext cx="1371"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532230" id="Group 121" o:spid="_x0000_s1026" style="position:absolute;margin-left:70.9pt;margin-top:768.95pt;width:436pt;height:.5pt;z-index:-261242880;mso-position-horizontal-relative:page;mso-position-vertical-relative:page" coordorigin="1418,15379" coordsize="87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">
              <v:line id="Line 124" o:spid="_x0000_s1027" style="position:absolute;visibility:visible;mso-wrap-style:square" from="1418,15384" to="8758,1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" strokeweight=".16969mm"/>
              <v:rect id="Rectangle 123" o:spid="_x0000_s1028" style="position:absolute;left:8757;top:1537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" fillcolor="black" stroked="f"/>
              <v:line id="Line 122" o:spid="_x0000_s1029" style="position:absolute;visibility:visible;mso-wrap-style:square" from="8767,15384" to="10138,1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" strokeweight=".16969mm"/>
              <w10:wrap anchorx="page" anchory="page"/>
            </v:group>
          </w:pict>
        </mc:Fallback>
      </mc:AlternateContent>
    </w:r>
    <w:r>
      <w:rPr>
        <w:noProof/>
        <w:lang w:val="en-AU" w:eastAsia="en-AU"/>
      </w:rPr>
      <mc:AlternateContent>
        <mc:Choice Requires="wps">
          <w:drawing>
            <wp:anchor distT="0" distB="0" distL="114300" distR="114300" simplePos="0" relativeHeight="242074624" behindDoc="1" locked="0" layoutInCell="1" allowOverlap="1">
              <wp:simplePos x="0" y="0"/>
              <wp:positionH relativeFrom="page">
                <wp:posOffset>956310</wp:posOffset>
              </wp:positionH>
              <wp:positionV relativeFrom="page">
                <wp:posOffset>9812020</wp:posOffset>
              </wp:positionV>
              <wp:extent cx="4084955" cy="405765"/>
              <wp:effectExtent l="0" t="0" r="0" b="0"/>
              <wp:wrapNone/>
              <wp:docPr id="13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033" type="#_x0000_t202" style="position:absolute;margin-left:75.3pt;margin-top:772.6pt;width:321.65pt;height:31.95pt;z-index:-2612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lhe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" filled="f" stroked="f">
              <v:textbox inset="0,0,0,0">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42075648" behindDoc="1" locked="0" layoutInCell="1" allowOverlap="1">
              <wp:simplePos x="0" y="0"/>
              <wp:positionH relativeFrom="page">
                <wp:posOffset>5735955</wp:posOffset>
              </wp:positionH>
              <wp:positionV relativeFrom="page">
                <wp:posOffset>9812020</wp:posOffset>
              </wp:positionV>
              <wp:extent cx="646430" cy="152400"/>
              <wp:effectExtent l="0" t="0" r="0" b="0"/>
              <wp:wrapNone/>
              <wp:docPr id="13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9</w:t>
                          </w:r>
                          <w:r>
                            <w:fldChar w:fldCharType="end"/>
                          </w:r>
                          <w:r>
                            <w:rPr>
                              <w:sz w:val="17"/>
                            </w:rPr>
                            <w:t xml:space="preserve"> of 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34" type="#_x0000_t202" style="position:absolute;margin-left:451.65pt;margin-top:772.6pt;width:50.9pt;height:12pt;z-index:-2612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" filled="f" stroked="f">
              <v:textbox inset="0,0,0,0">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9</w:t>
                    </w:r>
                    <w:r>
                      <w:fldChar w:fldCharType="end"/>
                    </w:r>
                    <w:r>
                      <w:rPr>
                        <w:sz w:val="17"/>
                      </w:rPr>
                      <w:t xml:space="preserve"> of 149</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s">
          <w:drawing>
            <wp:anchor distT="0" distB="0" distL="114300" distR="114300" simplePos="0" relativeHeight="242115584" behindDoc="1" locked="0" layoutInCell="1" allowOverlap="1">
              <wp:simplePos x="0" y="0"/>
              <wp:positionH relativeFrom="page">
                <wp:posOffset>900430</wp:posOffset>
              </wp:positionH>
              <wp:positionV relativeFrom="page">
                <wp:posOffset>9398000</wp:posOffset>
              </wp:positionV>
              <wp:extent cx="1828800" cy="0"/>
              <wp:effectExtent l="0" t="0" r="0" b="0"/>
              <wp:wrapNone/>
              <wp:docPr id="8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599EB" id="Line 68" o:spid="_x0000_s1026" style="position:absolute;z-index:-2612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740pt" to="214.9pt,7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" strokeweight=".6pt">
              <w10:wrap anchorx="page" anchory="page"/>
            </v:line>
          </w:pict>
        </mc:Fallback>
      </mc:AlternateContent>
    </w:r>
    <w:r>
      <w:rPr>
        <w:noProof/>
        <w:lang w:val="en-AU" w:eastAsia="en-AU"/>
      </w:rPr>
      <mc:AlternateContent>
        <mc:Choice Requires="wps">
          <w:drawing>
            <wp:anchor distT="0" distB="0" distL="114300" distR="114300" simplePos="0" relativeHeight="242116608" behindDoc="1" locked="0" layoutInCell="1" allowOverlap="1">
              <wp:simplePos x="0" y="0"/>
              <wp:positionH relativeFrom="page">
                <wp:posOffset>956310</wp:posOffset>
              </wp:positionH>
              <wp:positionV relativeFrom="page">
                <wp:posOffset>9812020</wp:posOffset>
              </wp:positionV>
              <wp:extent cx="4084955" cy="405765"/>
              <wp:effectExtent l="0" t="0" r="0" b="0"/>
              <wp:wrapNone/>
              <wp:docPr id="8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60" type="#_x0000_t202" style="position:absolute;margin-left:75.3pt;margin-top:772.6pt;width:321.65pt;height:31.95pt;z-index:-2611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a2Ssg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" filled="f" stroked="f">
              <v:textbox inset="0,0,0,0">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42117632" behindDoc="1" locked="0" layoutInCell="1" allowOverlap="1">
              <wp:simplePos x="0" y="0"/>
              <wp:positionH relativeFrom="page">
                <wp:posOffset>5676265</wp:posOffset>
              </wp:positionH>
              <wp:positionV relativeFrom="page">
                <wp:posOffset>9812020</wp:posOffset>
              </wp:positionV>
              <wp:extent cx="707390" cy="152400"/>
              <wp:effectExtent l="0" t="0" r="0" b="0"/>
              <wp:wrapNone/>
              <wp:docPr id="8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Page 27 of 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1" type="#_x0000_t202" style="position:absolute;margin-left:446.95pt;margin-top:772.6pt;width:55.7pt;height:12pt;z-index:-2611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XSswIAALI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" filled="f" stroked="f">
              <v:textbox inset="0,0,0,0">
                <w:txbxContent>
                  <w:p w:rsidR="00A51832" w:rsidRDefault="00A51832">
                    <w:pPr>
                      <w:spacing w:before="20"/>
                      <w:ind w:left="20"/>
                      <w:rPr>
                        <w:sz w:val="17"/>
                      </w:rPr>
                    </w:pPr>
                    <w:r>
                      <w:rPr>
                        <w:sz w:val="17"/>
                      </w:rPr>
                      <w:t>Page 27 of 149</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s">
          <w:drawing>
            <wp:anchor distT="0" distB="0" distL="114300" distR="114300" simplePos="0" relativeHeight="242120704" behindDoc="1" locked="0" layoutInCell="1" allowOverlap="1">
              <wp:simplePos x="0" y="0"/>
              <wp:positionH relativeFrom="page">
                <wp:posOffset>956310</wp:posOffset>
              </wp:positionH>
              <wp:positionV relativeFrom="page">
                <wp:posOffset>9812020</wp:posOffset>
              </wp:positionV>
              <wp:extent cx="4084955" cy="405765"/>
              <wp:effectExtent l="0" t="0" r="0" b="0"/>
              <wp:wrapNone/>
              <wp:docPr id="8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63" type="#_x0000_t202" style="position:absolute;margin-left:75.3pt;margin-top:772.6pt;width:321.65pt;height:31.95pt;z-index:-2611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k+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" filled="f" stroked="f">
              <v:textbox inset="0,0,0,0">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42121728" behindDoc="1" locked="0" layoutInCell="1" allowOverlap="1">
              <wp:simplePos x="0" y="0"/>
              <wp:positionH relativeFrom="page">
                <wp:posOffset>5676265</wp:posOffset>
              </wp:positionH>
              <wp:positionV relativeFrom="page">
                <wp:posOffset>9812020</wp:posOffset>
              </wp:positionV>
              <wp:extent cx="707390" cy="152400"/>
              <wp:effectExtent l="0" t="0" r="0" b="0"/>
              <wp:wrapNone/>
              <wp:docPr id="8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28</w:t>
                          </w:r>
                          <w:r>
                            <w:fldChar w:fldCharType="end"/>
                          </w:r>
                          <w:r>
                            <w:rPr>
                              <w:sz w:val="17"/>
                            </w:rPr>
                            <w:t xml:space="preserve"> of 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4" type="#_x0000_t202" style="position:absolute;margin-left:446.95pt;margin-top:772.6pt;width:55.7pt;height:12pt;z-index:-2611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8isg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" filled="f" stroked="f">
              <v:textbox inset="0,0,0,0">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28</w:t>
                    </w:r>
                    <w:r>
                      <w:fldChar w:fldCharType="end"/>
                    </w:r>
                    <w:r>
                      <w:rPr>
                        <w:sz w:val="17"/>
                      </w:rPr>
                      <w:t xml:space="preserve"> of 149</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g">
          <w:drawing>
            <wp:anchor distT="0" distB="0" distL="114300" distR="114300" simplePos="0" relativeHeight="242124800" behindDoc="1" locked="0" layoutInCell="1" allowOverlap="1">
              <wp:simplePos x="0" y="0"/>
              <wp:positionH relativeFrom="page">
                <wp:posOffset>900430</wp:posOffset>
              </wp:positionH>
              <wp:positionV relativeFrom="page">
                <wp:posOffset>9765665</wp:posOffset>
              </wp:positionV>
              <wp:extent cx="5537200" cy="6350"/>
              <wp:effectExtent l="0" t="0" r="0" b="0"/>
              <wp:wrapNone/>
              <wp:docPr id="7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0" cy="6350"/>
                        <a:chOff x="1418" y="15379"/>
                        <a:chExt cx="8720" cy="10"/>
                      </a:xfrm>
                    </wpg:grpSpPr>
                    <wps:wsp>
                      <wps:cNvPr id="76" name="Line 59"/>
                      <wps:cNvCnPr>
                        <a:cxnSpLocks noChangeShapeType="1"/>
                      </wps:cNvCnPr>
                      <wps:spPr bwMode="auto">
                        <a:xfrm>
                          <a:off x="1418" y="15384"/>
                          <a:ext cx="734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Rectangle 58"/>
                      <wps:cNvSpPr>
                        <a:spLocks noChangeArrowheads="1"/>
                      </wps:cNvSpPr>
                      <wps:spPr bwMode="auto">
                        <a:xfrm>
                          <a:off x="8757" y="1537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57"/>
                      <wps:cNvCnPr>
                        <a:cxnSpLocks noChangeShapeType="1"/>
                      </wps:cNvCnPr>
                      <wps:spPr bwMode="auto">
                        <a:xfrm>
                          <a:off x="8767" y="15384"/>
                          <a:ext cx="1371"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6ECEB7" id="Group 56" o:spid="_x0000_s1026" style="position:absolute;margin-left:70.9pt;margin-top:768.95pt;width:436pt;height:.5pt;z-index:-261191680;mso-position-horizontal-relative:page;mso-position-vertical-relative:page" coordorigin="1418,15379" coordsize="87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">
              <v:line id="Line 59" o:spid="_x0000_s1027" style="position:absolute;visibility:visible;mso-wrap-style:square" from="1418,15384" to="8758,1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" strokeweight=".16969mm"/>
              <v:rect id="Rectangle 58" o:spid="_x0000_s1028" style="position:absolute;left:8757;top:1537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" fillcolor="black" stroked="f"/>
              <v:line id="Line 57" o:spid="_x0000_s1029" style="position:absolute;visibility:visible;mso-wrap-style:square" from="8767,15384" to="10138,1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" strokeweight=".16969mm"/>
              <w10:wrap anchorx="page" anchory="page"/>
            </v:group>
          </w:pict>
        </mc:Fallback>
      </mc:AlternateContent>
    </w:r>
    <w:r>
      <w:rPr>
        <w:noProof/>
        <w:lang w:val="en-AU" w:eastAsia="en-AU"/>
      </w:rPr>
      <mc:AlternateContent>
        <mc:Choice Requires="wps">
          <w:drawing>
            <wp:anchor distT="0" distB="0" distL="114300" distR="114300" simplePos="0" relativeHeight="242125824" behindDoc="1" locked="0" layoutInCell="1" allowOverlap="1">
              <wp:simplePos x="0" y="0"/>
              <wp:positionH relativeFrom="page">
                <wp:posOffset>956310</wp:posOffset>
              </wp:positionH>
              <wp:positionV relativeFrom="page">
                <wp:posOffset>9812020</wp:posOffset>
              </wp:positionV>
              <wp:extent cx="4084955" cy="405765"/>
              <wp:effectExtent l="0" t="0" r="0" b="0"/>
              <wp:wrapNone/>
              <wp:docPr id="7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66" type="#_x0000_t202" style="position:absolute;margin-left:75.3pt;margin-top:772.6pt;width:321.65pt;height:31.95pt;z-index:-2611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" filled="f" stroked="f">
              <v:textbox inset="0,0,0,0">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42126848" behindDoc="1" locked="0" layoutInCell="1" allowOverlap="1">
              <wp:simplePos x="0" y="0"/>
              <wp:positionH relativeFrom="page">
                <wp:posOffset>5676265</wp:posOffset>
              </wp:positionH>
              <wp:positionV relativeFrom="page">
                <wp:posOffset>9812020</wp:posOffset>
              </wp:positionV>
              <wp:extent cx="707390" cy="152400"/>
              <wp:effectExtent l="0" t="0" r="0" b="0"/>
              <wp:wrapNone/>
              <wp:docPr id="7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32</w:t>
                          </w:r>
                          <w:r>
                            <w:fldChar w:fldCharType="end"/>
                          </w:r>
                          <w:r>
                            <w:rPr>
                              <w:sz w:val="17"/>
                            </w:rPr>
                            <w:t xml:space="preserve"> of 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7" type="#_x0000_t202" style="position:absolute;margin-left:446.95pt;margin-top:772.6pt;width:55.7pt;height:12pt;z-index:-2611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" filled="f" stroked="f">
              <v:textbox inset="0,0,0,0">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32</w:t>
                    </w:r>
                    <w:r>
                      <w:fldChar w:fldCharType="end"/>
                    </w:r>
                    <w:r>
                      <w:rPr>
                        <w:sz w:val="17"/>
                      </w:rPr>
                      <w:t xml:space="preserve"> of 149</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s">
          <w:drawing>
            <wp:anchor distT="0" distB="0" distL="114300" distR="114300" simplePos="0" relativeHeight="242129920" behindDoc="1" locked="0" layoutInCell="1" allowOverlap="1">
              <wp:simplePos x="0" y="0"/>
              <wp:positionH relativeFrom="page">
                <wp:posOffset>956310</wp:posOffset>
              </wp:positionH>
              <wp:positionV relativeFrom="page">
                <wp:posOffset>9812020</wp:posOffset>
              </wp:positionV>
              <wp:extent cx="4084955" cy="405765"/>
              <wp:effectExtent l="0" t="0" r="0" b="0"/>
              <wp:wrapNone/>
              <wp:docPr id="7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69" type="#_x0000_t202" style="position:absolute;margin-left:75.3pt;margin-top:772.6pt;width:321.65pt;height:31.95pt;z-index:-2611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" filled="f" stroked="f">
              <v:textbox inset="0,0,0,0">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42130944" behindDoc="1" locked="0" layoutInCell="1" allowOverlap="1">
              <wp:simplePos x="0" y="0"/>
              <wp:positionH relativeFrom="page">
                <wp:posOffset>5676265</wp:posOffset>
              </wp:positionH>
              <wp:positionV relativeFrom="page">
                <wp:posOffset>9812020</wp:posOffset>
              </wp:positionV>
              <wp:extent cx="707390" cy="152400"/>
              <wp:effectExtent l="0" t="0" r="0" b="0"/>
              <wp:wrapNone/>
              <wp:docPr id="6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49</w:t>
                          </w:r>
                          <w:r>
                            <w:fldChar w:fldCharType="end"/>
                          </w:r>
                          <w:r>
                            <w:rPr>
                              <w:sz w:val="17"/>
                            </w:rPr>
                            <w:t xml:space="preserve"> of 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0" type="#_x0000_t202" style="position:absolute;margin-left:446.95pt;margin-top:772.6pt;width:55.7pt;height:12pt;z-index:-2611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ELtQIAALI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" filled="f" stroked="f">
              <v:textbox inset="0,0,0,0">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49</w:t>
                    </w:r>
                    <w:r>
                      <w:fldChar w:fldCharType="end"/>
                    </w:r>
                    <w:r>
                      <w:rPr>
                        <w:sz w:val="17"/>
                      </w:rPr>
                      <w:t xml:space="preserve"> of 149</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g">
          <w:drawing>
            <wp:anchor distT="0" distB="0" distL="114300" distR="114300" simplePos="0" relativeHeight="242134016" behindDoc="1" locked="0" layoutInCell="1" allowOverlap="1">
              <wp:simplePos x="0" y="0"/>
              <wp:positionH relativeFrom="page">
                <wp:posOffset>900430</wp:posOffset>
              </wp:positionH>
              <wp:positionV relativeFrom="page">
                <wp:posOffset>9765665</wp:posOffset>
              </wp:positionV>
              <wp:extent cx="5537200" cy="6350"/>
              <wp:effectExtent l="0" t="0" r="0" b="0"/>
              <wp:wrapNone/>
              <wp:docPr id="6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0" cy="6350"/>
                        <a:chOff x="1418" y="15379"/>
                        <a:chExt cx="8720" cy="10"/>
                      </a:xfrm>
                    </wpg:grpSpPr>
                    <wps:wsp>
                      <wps:cNvPr id="64" name="Line 47"/>
                      <wps:cNvCnPr>
                        <a:cxnSpLocks noChangeShapeType="1"/>
                      </wps:cNvCnPr>
                      <wps:spPr bwMode="auto">
                        <a:xfrm>
                          <a:off x="1418" y="15384"/>
                          <a:ext cx="734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Rectangle 46"/>
                      <wps:cNvSpPr>
                        <a:spLocks noChangeArrowheads="1"/>
                      </wps:cNvSpPr>
                      <wps:spPr bwMode="auto">
                        <a:xfrm>
                          <a:off x="8757" y="1537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45"/>
                      <wps:cNvCnPr>
                        <a:cxnSpLocks noChangeShapeType="1"/>
                      </wps:cNvCnPr>
                      <wps:spPr bwMode="auto">
                        <a:xfrm>
                          <a:off x="8767" y="15384"/>
                          <a:ext cx="1371"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6DFC21" id="Group 44" o:spid="_x0000_s1026" style="position:absolute;margin-left:70.9pt;margin-top:768.95pt;width:436pt;height:.5pt;z-index:-261182464;mso-position-horizontal-relative:page;mso-position-vertical-relative:page" coordorigin="1418,15379" coordsize="87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">
              <v:line id="Line 47" o:spid="_x0000_s1027" style="position:absolute;visibility:visible;mso-wrap-style:square" from="1418,15384" to="8758,1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" strokeweight=".16969mm"/>
              <v:rect id="Rectangle 46" o:spid="_x0000_s1028" style="position:absolute;left:8757;top:1537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6H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" fillcolor="black" stroked="f"/>
              <v:line id="Line 45" o:spid="_x0000_s1029" style="position:absolute;visibility:visible;mso-wrap-style:square" from="8767,15384" to="10138,1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" strokeweight=".16969mm"/>
              <w10:wrap anchorx="page" anchory="page"/>
            </v:group>
          </w:pict>
        </mc:Fallback>
      </mc:AlternateContent>
    </w:r>
    <w:r>
      <w:rPr>
        <w:noProof/>
        <w:lang w:val="en-AU" w:eastAsia="en-AU"/>
      </w:rPr>
      <mc:AlternateContent>
        <mc:Choice Requires="wps">
          <w:drawing>
            <wp:anchor distT="0" distB="0" distL="114300" distR="114300" simplePos="0" relativeHeight="242135040" behindDoc="1" locked="0" layoutInCell="1" allowOverlap="1">
              <wp:simplePos x="0" y="0"/>
              <wp:positionH relativeFrom="page">
                <wp:posOffset>956310</wp:posOffset>
              </wp:positionH>
              <wp:positionV relativeFrom="page">
                <wp:posOffset>9812020</wp:posOffset>
              </wp:positionV>
              <wp:extent cx="4084955" cy="405765"/>
              <wp:effectExtent l="0" t="0" r="0" b="0"/>
              <wp:wrapNone/>
              <wp:docPr id="6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72" type="#_x0000_t202" style="position:absolute;margin-left:75.3pt;margin-top:772.6pt;width:321.65pt;height:31.95pt;z-index:-2611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" filled="f" stroked="f">
              <v:textbox inset="0,0,0,0">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42136064" behindDoc="1" locked="0" layoutInCell="1" allowOverlap="1">
              <wp:simplePos x="0" y="0"/>
              <wp:positionH relativeFrom="page">
                <wp:posOffset>5676265</wp:posOffset>
              </wp:positionH>
              <wp:positionV relativeFrom="page">
                <wp:posOffset>9812020</wp:posOffset>
              </wp:positionV>
              <wp:extent cx="707390" cy="152400"/>
              <wp:effectExtent l="0" t="0" r="0" b="0"/>
              <wp:wrapNone/>
              <wp:docPr id="6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74</w:t>
                          </w:r>
                          <w:r>
                            <w:fldChar w:fldCharType="end"/>
                          </w:r>
                          <w:r>
                            <w:rPr>
                              <w:sz w:val="17"/>
                            </w:rPr>
                            <w:t xml:space="preserve"> of 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73" type="#_x0000_t202" style="position:absolute;margin-left:446.95pt;margin-top:772.6pt;width:55.7pt;height:12pt;z-index:-2611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6dgsw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" filled="f" stroked="f">
              <v:textbox inset="0,0,0,0">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74</w:t>
                    </w:r>
                    <w:r>
                      <w:fldChar w:fldCharType="end"/>
                    </w:r>
                    <w:r>
                      <w:rPr>
                        <w:sz w:val="17"/>
                      </w:rPr>
                      <w:t xml:space="preserve"> of 149</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s">
          <w:drawing>
            <wp:anchor distT="0" distB="0" distL="114300" distR="114300" simplePos="0" relativeHeight="242139136" behindDoc="1" locked="0" layoutInCell="1" allowOverlap="1">
              <wp:simplePos x="0" y="0"/>
              <wp:positionH relativeFrom="page">
                <wp:posOffset>956310</wp:posOffset>
              </wp:positionH>
              <wp:positionV relativeFrom="page">
                <wp:posOffset>9812020</wp:posOffset>
              </wp:positionV>
              <wp:extent cx="4084955" cy="405765"/>
              <wp:effectExtent l="0" t="0" r="0" b="0"/>
              <wp:wrapNone/>
              <wp:docPr id="5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75" type="#_x0000_t202" style="position:absolute;margin-left:75.3pt;margin-top:772.6pt;width:321.65pt;height:31.95pt;z-index:-2611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18sgIAALM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" filled="f" stroked="f">
              <v:textbox inset="0,0,0,0">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42140160" behindDoc="1" locked="0" layoutInCell="1" allowOverlap="1">
              <wp:simplePos x="0" y="0"/>
              <wp:positionH relativeFrom="page">
                <wp:posOffset>5676265</wp:posOffset>
              </wp:positionH>
              <wp:positionV relativeFrom="page">
                <wp:posOffset>9812020</wp:posOffset>
              </wp:positionV>
              <wp:extent cx="707390" cy="152400"/>
              <wp:effectExtent l="0" t="0" r="0" b="0"/>
              <wp:wrapNone/>
              <wp:docPr id="5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75</w:t>
                          </w:r>
                          <w:r>
                            <w:fldChar w:fldCharType="end"/>
                          </w:r>
                          <w:r>
                            <w:rPr>
                              <w:sz w:val="17"/>
                            </w:rPr>
                            <w:t xml:space="preserve"> of 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76" type="#_x0000_t202" style="position:absolute;margin-left:446.95pt;margin-top:772.6pt;width:55.7pt;height:12pt;z-index:-2611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CsswIAALI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" filled="f" stroked="f">
              <v:textbox inset="0,0,0,0">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75</w:t>
                    </w:r>
                    <w:r>
                      <w:fldChar w:fldCharType="end"/>
                    </w:r>
                    <w:r>
                      <w:rPr>
                        <w:sz w:val="17"/>
                      </w:rPr>
                      <w:t xml:space="preserve"> of 149</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g">
          <w:drawing>
            <wp:anchor distT="0" distB="0" distL="114300" distR="114300" simplePos="0" relativeHeight="242143232" behindDoc="1" locked="0" layoutInCell="1" allowOverlap="1">
              <wp:simplePos x="0" y="0"/>
              <wp:positionH relativeFrom="page">
                <wp:posOffset>900430</wp:posOffset>
              </wp:positionH>
              <wp:positionV relativeFrom="page">
                <wp:posOffset>9765665</wp:posOffset>
              </wp:positionV>
              <wp:extent cx="5537200" cy="6350"/>
              <wp:effectExtent l="0" t="0" r="0" b="0"/>
              <wp:wrapNone/>
              <wp:docPr id="5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0" cy="6350"/>
                        <a:chOff x="1418" y="15379"/>
                        <a:chExt cx="8720" cy="10"/>
                      </a:xfrm>
                    </wpg:grpSpPr>
                    <wps:wsp>
                      <wps:cNvPr id="52" name="Line 35"/>
                      <wps:cNvCnPr>
                        <a:cxnSpLocks noChangeShapeType="1"/>
                      </wps:cNvCnPr>
                      <wps:spPr bwMode="auto">
                        <a:xfrm>
                          <a:off x="1418" y="15384"/>
                          <a:ext cx="734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Rectangle 34"/>
                      <wps:cNvSpPr>
                        <a:spLocks noChangeArrowheads="1"/>
                      </wps:cNvSpPr>
                      <wps:spPr bwMode="auto">
                        <a:xfrm>
                          <a:off x="8757" y="1537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33"/>
                      <wps:cNvCnPr>
                        <a:cxnSpLocks noChangeShapeType="1"/>
                      </wps:cNvCnPr>
                      <wps:spPr bwMode="auto">
                        <a:xfrm>
                          <a:off x="8767" y="15384"/>
                          <a:ext cx="1371"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59F76A" id="Group 32" o:spid="_x0000_s1026" style="position:absolute;margin-left:70.9pt;margin-top:768.95pt;width:436pt;height:.5pt;z-index:-261173248;mso-position-horizontal-relative:page;mso-position-vertical-relative:page" coordorigin="1418,15379" coordsize="87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">
              <v:line id="Line 35" o:spid="_x0000_s1027" style="position:absolute;visibility:visible;mso-wrap-style:square" from="1418,15384" to="8758,1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" strokeweight=".16969mm"/>
              <v:rect id="Rectangle 34" o:spid="_x0000_s1028" style="position:absolute;left:8757;top:1537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" fillcolor="black" stroked="f"/>
              <v:line id="Line 33" o:spid="_x0000_s1029" style="position:absolute;visibility:visible;mso-wrap-style:square" from="8767,15384" to="10138,1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" strokeweight=".16969mm"/>
              <w10:wrap anchorx="page" anchory="page"/>
            </v:group>
          </w:pict>
        </mc:Fallback>
      </mc:AlternateContent>
    </w:r>
    <w:r>
      <w:rPr>
        <w:noProof/>
        <w:lang w:val="en-AU" w:eastAsia="en-AU"/>
      </w:rPr>
      <mc:AlternateContent>
        <mc:Choice Requires="wps">
          <w:drawing>
            <wp:anchor distT="0" distB="0" distL="114300" distR="114300" simplePos="0" relativeHeight="242144256" behindDoc="1" locked="0" layoutInCell="1" allowOverlap="1">
              <wp:simplePos x="0" y="0"/>
              <wp:positionH relativeFrom="page">
                <wp:posOffset>956310</wp:posOffset>
              </wp:positionH>
              <wp:positionV relativeFrom="page">
                <wp:posOffset>9812020</wp:posOffset>
              </wp:positionV>
              <wp:extent cx="4084955" cy="405765"/>
              <wp:effectExtent l="0" t="0" r="0" b="0"/>
              <wp:wrapNone/>
              <wp:docPr id="5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78" type="#_x0000_t202" style="position:absolute;margin-left:75.3pt;margin-top:772.6pt;width:321.65pt;height:31.95pt;z-index:-2611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" filled="f" stroked="f">
              <v:textbox inset="0,0,0,0">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42145280" behindDoc="1" locked="0" layoutInCell="1" allowOverlap="1">
              <wp:simplePos x="0" y="0"/>
              <wp:positionH relativeFrom="page">
                <wp:posOffset>5676265</wp:posOffset>
              </wp:positionH>
              <wp:positionV relativeFrom="page">
                <wp:posOffset>9812020</wp:posOffset>
              </wp:positionV>
              <wp:extent cx="707390" cy="152400"/>
              <wp:effectExtent l="0" t="0" r="0" b="0"/>
              <wp:wrapNone/>
              <wp:docPr id="4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90</w:t>
                          </w:r>
                          <w:r>
                            <w:fldChar w:fldCharType="end"/>
                          </w:r>
                          <w:r>
                            <w:rPr>
                              <w:sz w:val="17"/>
                            </w:rPr>
                            <w:t xml:space="preserve"> of 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79" type="#_x0000_t202" style="position:absolute;margin-left:446.95pt;margin-top:772.6pt;width:55.7pt;height:12pt;z-index:-2611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" filled="f" stroked="f">
              <v:textbox inset="0,0,0,0">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90</w:t>
                    </w:r>
                    <w:r>
                      <w:fldChar w:fldCharType="end"/>
                    </w:r>
                    <w:r>
                      <w:rPr>
                        <w:sz w:val="17"/>
                      </w:rPr>
                      <w:t xml:space="preserve"> of 149</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s">
          <w:drawing>
            <wp:anchor distT="0" distB="0" distL="114300" distR="114300" simplePos="0" relativeHeight="242148352" behindDoc="1" locked="0" layoutInCell="1" allowOverlap="1">
              <wp:simplePos x="0" y="0"/>
              <wp:positionH relativeFrom="page">
                <wp:posOffset>956310</wp:posOffset>
              </wp:positionH>
              <wp:positionV relativeFrom="page">
                <wp:posOffset>9812020</wp:posOffset>
              </wp:positionV>
              <wp:extent cx="4084955" cy="405765"/>
              <wp:effectExtent l="0" t="0" r="0" b="0"/>
              <wp:wrapNone/>
              <wp:docPr id="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81" type="#_x0000_t202" style="position:absolute;margin-left:75.3pt;margin-top:772.6pt;width:321.65pt;height:31.95pt;z-index:-2611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" filled="f" stroked="f">
              <v:textbox inset="0,0,0,0">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42149376" behindDoc="1" locked="0" layoutInCell="1" allowOverlap="1">
              <wp:simplePos x="0" y="0"/>
              <wp:positionH relativeFrom="page">
                <wp:posOffset>5676265</wp:posOffset>
              </wp:positionH>
              <wp:positionV relativeFrom="page">
                <wp:posOffset>9812020</wp:posOffset>
              </wp:positionV>
              <wp:extent cx="707390" cy="152400"/>
              <wp:effectExtent l="0" t="0" r="0" b="0"/>
              <wp:wrapNone/>
              <wp:docPr id="4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94</w:t>
                          </w:r>
                          <w:r>
                            <w:fldChar w:fldCharType="end"/>
                          </w:r>
                          <w:r>
                            <w:rPr>
                              <w:sz w:val="17"/>
                            </w:rPr>
                            <w:t xml:space="preserve"> of 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82" type="#_x0000_t202" style="position:absolute;margin-left:446.95pt;margin-top:772.6pt;width:55.7pt;height:12pt;z-index:-2611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fpIswIAALI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" filled="f" stroked="f">
              <v:textbox inset="0,0,0,0">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94</w:t>
                    </w:r>
                    <w:r>
                      <w:fldChar w:fldCharType="end"/>
                    </w:r>
                    <w:r>
                      <w:rPr>
                        <w:sz w:val="17"/>
                      </w:rPr>
                      <w:t xml:space="preserve"> of 149</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g">
          <w:drawing>
            <wp:anchor distT="0" distB="0" distL="114300" distR="114300" simplePos="0" relativeHeight="242078720" behindDoc="1" locked="0" layoutInCell="1" allowOverlap="1">
              <wp:simplePos x="0" y="0"/>
              <wp:positionH relativeFrom="page">
                <wp:posOffset>900430</wp:posOffset>
              </wp:positionH>
              <wp:positionV relativeFrom="page">
                <wp:posOffset>9765665</wp:posOffset>
              </wp:positionV>
              <wp:extent cx="5537200" cy="6350"/>
              <wp:effectExtent l="0" t="0" r="0" b="0"/>
              <wp:wrapNone/>
              <wp:docPr id="13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0" cy="6350"/>
                        <a:chOff x="1418" y="15379"/>
                        <a:chExt cx="8720" cy="10"/>
                      </a:xfrm>
                    </wpg:grpSpPr>
                    <wps:wsp>
                      <wps:cNvPr id="133" name="Line 116"/>
                      <wps:cNvCnPr>
                        <a:cxnSpLocks noChangeShapeType="1"/>
                      </wps:cNvCnPr>
                      <wps:spPr bwMode="auto">
                        <a:xfrm>
                          <a:off x="1418" y="15384"/>
                          <a:ext cx="734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Rectangle 115"/>
                      <wps:cNvSpPr>
                        <a:spLocks noChangeArrowheads="1"/>
                      </wps:cNvSpPr>
                      <wps:spPr bwMode="auto">
                        <a:xfrm>
                          <a:off x="8757" y="1537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114"/>
                      <wps:cNvCnPr>
                        <a:cxnSpLocks noChangeShapeType="1"/>
                      </wps:cNvCnPr>
                      <wps:spPr bwMode="auto">
                        <a:xfrm>
                          <a:off x="8767" y="15384"/>
                          <a:ext cx="1371"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65D307" id="Group 113" o:spid="_x0000_s1026" style="position:absolute;margin-left:70.9pt;margin-top:768.95pt;width:436pt;height:.5pt;z-index:-261237760;mso-position-horizontal-relative:page;mso-position-vertical-relative:page" coordorigin="1418,15379" coordsize="87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">
              <v:line id="Line 116" o:spid="_x0000_s1027" style="position:absolute;visibility:visible;mso-wrap-style:square" from="1418,15384" to="8758,1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" strokeweight=".16969mm"/>
              <v:rect id="Rectangle 115" o:spid="_x0000_s1028" style="position:absolute;left:8757;top:1537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" fillcolor="black" stroked="f"/>
              <v:line id="Line 114" o:spid="_x0000_s1029" style="position:absolute;visibility:visible;mso-wrap-style:square" from="8767,15384" to="10138,1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" strokeweight=".16969mm"/>
              <w10:wrap anchorx="page" anchory="page"/>
            </v:group>
          </w:pict>
        </mc:Fallback>
      </mc:AlternateContent>
    </w:r>
    <w:r>
      <w:rPr>
        <w:noProof/>
        <w:lang w:val="en-AU" w:eastAsia="en-AU"/>
      </w:rPr>
      <mc:AlternateContent>
        <mc:Choice Requires="wps">
          <w:drawing>
            <wp:anchor distT="0" distB="0" distL="114300" distR="114300" simplePos="0" relativeHeight="242079744" behindDoc="1" locked="0" layoutInCell="1" allowOverlap="1">
              <wp:simplePos x="0" y="0"/>
              <wp:positionH relativeFrom="page">
                <wp:posOffset>956310</wp:posOffset>
              </wp:positionH>
              <wp:positionV relativeFrom="page">
                <wp:posOffset>9812020</wp:posOffset>
              </wp:positionV>
              <wp:extent cx="4084955" cy="405765"/>
              <wp:effectExtent l="0" t="0" r="0" b="0"/>
              <wp:wrapNone/>
              <wp:docPr id="13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36" type="#_x0000_t202" style="position:absolute;margin-left:75.3pt;margin-top:772.6pt;width:321.65pt;height:31.95pt;z-index:-2612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OWsswIAALQ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" filled="f" stroked="f">
              <v:textbox inset="0,0,0,0">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42080768" behindDoc="1" locked="0" layoutInCell="1" allowOverlap="1">
              <wp:simplePos x="0" y="0"/>
              <wp:positionH relativeFrom="page">
                <wp:posOffset>5676265</wp:posOffset>
              </wp:positionH>
              <wp:positionV relativeFrom="page">
                <wp:posOffset>9812020</wp:posOffset>
              </wp:positionV>
              <wp:extent cx="707390" cy="152400"/>
              <wp:effectExtent l="0" t="0" r="0" b="0"/>
              <wp:wrapNone/>
              <wp:docPr id="13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10</w:t>
                          </w:r>
                          <w:r>
                            <w:fldChar w:fldCharType="end"/>
                          </w:r>
                          <w:r>
                            <w:rPr>
                              <w:sz w:val="17"/>
                            </w:rPr>
                            <w:t xml:space="preserve"> of 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7" type="#_x0000_t202" style="position:absolute;margin-left:446.95pt;margin-top:772.6pt;width:55.7pt;height:12pt;z-index:-2612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" filled="f" stroked="f">
              <v:textbox inset="0,0,0,0">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10</w:t>
                    </w:r>
                    <w:r>
                      <w:fldChar w:fldCharType="end"/>
                    </w:r>
                    <w:r>
                      <w:rPr>
                        <w:sz w:val="17"/>
                      </w:rPr>
                      <w:t xml:space="preserve"> of 149</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s">
          <w:drawing>
            <wp:anchor distT="0" distB="0" distL="114300" distR="114300" simplePos="0" relativeHeight="242156544" behindDoc="1" locked="0" layoutInCell="1" allowOverlap="1">
              <wp:simplePos x="0" y="0"/>
              <wp:positionH relativeFrom="page">
                <wp:posOffset>1062355</wp:posOffset>
              </wp:positionH>
              <wp:positionV relativeFrom="page">
                <wp:posOffset>10172700</wp:posOffset>
              </wp:positionV>
              <wp:extent cx="5438775" cy="0"/>
              <wp:effectExtent l="0" t="0" r="0" b="0"/>
              <wp:wrapNone/>
              <wp:docPr id="3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line">
                        <a:avLst/>
                      </a:prstGeom>
                      <a:noFill/>
                      <a:ln w="6096">
                        <a:solidFill>
                          <a:srgbClr val="608FB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F8747" id="Line 19" o:spid="_x0000_s1026" style="position:absolute;z-index:-2611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801pt" to="511.9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" strokecolor="#608fb5" strokeweight=".48pt">
              <w10:wrap anchorx="page" anchory="page"/>
            </v:line>
          </w:pict>
        </mc:Fallback>
      </mc:AlternateContent>
    </w:r>
    <w:r>
      <w:rPr>
        <w:noProof/>
        <w:lang w:val="en-AU" w:eastAsia="en-AU"/>
      </w:rPr>
      <mc:AlternateContent>
        <mc:Choice Requires="wps">
          <w:drawing>
            <wp:anchor distT="0" distB="0" distL="114300" distR="114300" simplePos="0" relativeHeight="242157568" behindDoc="1" locked="0" layoutInCell="1" allowOverlap="1">
              <wp:simplePos x="0" y="0"/>
              <wp:positionH relativeFrom="page">
                <wp:posOffset>1068070</wp:posOffset>
              </wp:positionH>
              <wp:positionV relativeFrom="page">
                <wp:posOffset>10266680</wp:posOffset>
              </wp:positionV>
              <wp:extent cx="977900" cy="15494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8"/>
                            <w:ind w:left="20"/>
                            <w:rPr>
                              <w:rFonts w:ascii="Arial"/>
                              <w:sz w:val="16"/>
                            </w:rPr>
                          </w:pPr>
                          <w:hyperlink r:id="rId1">
                            <w:r>
                              <w:rPr>
                                <w:rFonts w:ascii="Arial"/>
                                <w:color w:val="FFA200"/>
                                <w:w w:val="90"/>
                                <w:sz w:val="16"/>
                              </w:rPr>
                              <w:t>NOETICGROUP.COM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88" type="#_x0000_t202" style="position:absolute;margin-left:84.1pt;margin-top:808.4pt;width:77pt;height:12.2pt;z-index:-2611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" filled="f" stroked="f">
              <v:textbox inset="0,0,0,0">
                <w:txbxContent>
                  <w:p w:rsidR="00A51832" w:rsidRDefault="00A51832">
                    <w:pPr>
                      <w:spacing w:before="28"/>
                      <w:ind w:left="20"/>
                      <w:rPr>
                        <w:rFonts w:ascii="Arial"/>
                        <w:sz w:val="16"/>
                      </w:rPr>
                    </w:pPr>
                    <w:hyperlink r:id="rId2">
                      <w:r>
                        <w:rPr>
                          <w:rFonts w:ascii="Arial"/>
                          <w:color w:val="FFA200"/>
                          <w:w w:val="90"/>
                          <w:sz w:val="16"/>
                        </w:rPr>
                        <w:t>NOETICGROUP.COM</w:t>
                      </w:r>
                    </w:hyperlink>
                  </w:p>
                </w:txbxContent>
              </v:textbox>
              <w10:wrap anchorx="page" anchory="page"/>
            </v:shape>
          </w:pict>
        </mc:Fallback>
      </mc:AlternateContent>
    </w:r>
    <w:r>
      <w:rPr>
        <w:noProof/>
        <w:lang w:val="en-AU" w:eastAsia="en-AU"/>
      </w:rPr>
      <mc:AlternateContent>
        <mc:Choice Requires="wps">
          <w:drawing>
            <wp:anchor distT="0" distB="0" distL="114300" distR="114300" simplePos="0" relativeHeight="242158592" behindDoc="1" locked="0" layoutInCell="1" allowOverlap="1">
              <wp:simplePos x="0" y="0"/>
              <wp:positionH relativeFrom="page">
                <wp:posOffset>6313805</wp:posOffset>
              </wp:positionH>
              <wp:positionV relativeFrom="page">
                <wp:posOffset>10265410</wp:posOffset>
              </wp:positionV>
              <wp:extent cx="206375" cy="15494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8"/>
                            <w:ind w:left="60"/>
                            <w:rPr>
                              <w:rFonts w:ascii="Arial"/>
                              <w:sz w:val="16"/>
                            </w:rPr>
                          </w:pPr>
                          <w:r>
                            <w:fldChar w:fldCharType="begin"/>
                          </w:r>
                          <w:r>
                            <w:rPr>
                              <w:rFonts w:ascii="Arial"/>
                              <w:color w:val="608FB5"/>
                              <w:w w:val="115"/>
                              <w:sz w:val="16"/>
                            </w:rPr>
                            <w:instrText xml:space="preserve"> PAGE </w:instrText>
                          </w:r>
                          <w:r>
                            <w:fldChar w:fldCharType="separate"/>
                          </w:r>
                          <w:r w:rsidR="00792C55">
                            <w:rPr>
                              <w:rFonts w:ascii="Arial"/>
                              <w:noProof/>
                              <w:color w:val="608FB5"/>
                              <w:w w:val="115"/>
                              <w:sz w:val="16"/>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89" type="#_x0000_t202" style="position:absolute;margin-left:497.15pt;margin-top:808.3pt;width:16.25pt;height:12.2pt;z-index:-2611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kvtAIAALI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" filled="f" stroked="f">
              <v:textbox inset="0,0,0,0">
                <w:txbxContent>
                  <w:p w:rsidR="00A51832" w:rsidRDefault="00A51832">
                    <w:pPr>
                      <w:spacing w:before="28"/>
                      <w:ind w:left="60"/>
                      <w:rPr>
                        <w:rFonts w:ascii="Arial"/>
                        <w:sz w:val="16"/>
                      </w:rPr>
                    </w:pPr>
                    <w:r>
                      <w:fldChar w:fldCharType="begin"/>
                    </w:r>
                    <w:r>
                      <w:rPr>
                        <w:rFonts w:ascii="Arial"/>
                        <w:color w:val="608FB5"/>
                        <w:w w:val="115"/>
                        <w:sz w:val="16"/>
                      </w:rPr>
                      <w:instrText xml:space="preserve"> PAGE </w:instrText>
                    </w:r>
                    <w:r>
                      <w:fldChar w:fldCharType="separate"/>
                    </w:r>
                    <w:r w:rsidR="00792C55">
                      <w:rPr>
                        <w:rFonts w:ascii="Arial"/>
                        <w:noProof/>
                        <w:color w:val="608FB5"/>
                        <w:w w:val="115"/>
                        <w:sz w:val="16"/>
                      </w:rPr>
                      <w:t>44</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g">
          <w:drawing>
            <wp:anchor distT="0" distB="0" distL="114300" distR="114300" simplePos="0" relativeHeight="242161664" behindDoc="1" locked="0" layoutInCell="1" allowOverlap="1">
              <wp:simplePos x="0" y="0"/>
              <wp:positionH relativeFrom="page">
                <wp:posOffset>864235</wp:posOffset>
              </wp:positionH>
              <wp:positionV relativeFrom="page">
                <wp:posOffset>6633845</wp:posOffset>
              </wp:positionV>
              <wp:extent cx="5537200" cy="6350"/>
              <wp:effectExtent l="0" t="0" r="0" b="0"/>
              <wp:wrapNone/>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0" cy="6350"/>
                        <a:chOff x="1361" y="10447"/>
                        <a:chExt cx="8720" cy="10"/>
                      </a:xfrm>
                    </wpg:grpSpPr>
                    <wps:wsp>
                      <wps:cNvPr id="487" name="Line 14"/>
                      <wps:cNvCnPr>
                        <a:cxnSpLocks noChangeShapeType="1"/>
                      </wps:cNvCnPr>
                      <wps:spPr bwMode="auto">
                        <a:xfrm>
                          <a:off x="1361" y="10452"/>
                          <a:ext cx="733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Rectangle 13"/>
                      <wps:cNvSpPr>
                        <a:spLocks noChangeArrowheads="1"/>
                      </wps:cNvSpPr>
                      <wps:spPr bwMode="auto">
                        <a:xfrm>
                          <a:off x="8700" y="1044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Line 12"/>
                      <wps:cNvCnPr>
                        <a:cxnSpLocks noChangeShapeType="1"/>
                      </wps:cNvCnPr>
                      <wps:spPr bwMode="auto">
                        <a:xfrm>
                          <a:off x="8710" y="10452"/>
                          <a:ext cx="137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503E7E" id="Group 11" o:spid="_x0000_s1026" style="position:absolute;margin-left:68.05pt;margin-top:522.35pt;width:436pt;height:.5pt;z-index:-261154816;mso-position-horizontal-relative:page;mso-position-vertical-relative:page" coordorigin="1361,10447" coordsize="87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">
              <v:line id="Line 14" o:spid="_x0000_s1027" style="position:absolute;visibility:visible;mso-wrap-style:square" from="1361,10452" to="8700,10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" strokeweight=".16969mm"/>
              <v:rect id="Rectangle 13" o:spid="_x0000_s1028" style="position:absolute;left:8700;top:1044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" fillcolor="black" stroked="f"/>
              <v:line id="Line 12" o:spid="_x0000_s1029" style="position:absolute;visibility:visible;mso-wrap-style:square" from="8710,10452" to="10080,10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" strokeweight=".16969mm"/>
              <w10:wrap anchorx="page" anchory="page"/>
            </v:group>
          </w:pict>
        </mc:Fallback>
      </mc:AlternateContent>
    </w:r>
    <w:r>
      <w:rPr>
        <w:noProof/>
        <w:lang w:val="en-AU" w:eastAsia="en-AU"/>
      </w:rPr>
      <mc:AlternateContent>
        <mc:Choice Requires="wps">
          <w:drawing>
            <wp:anchor distT="0" distB="0" distL="114300" distR="114300" simplePos="0" relativeHeight="242162688" behindDoc="1" locked="0" layoutInCell="1" allowOverlap="1">
              <wp:simplePos x="0" y="0"/>
              <wp:positionH relativeFrom="page">
                <wp:posOffset>920115</wp:posOffset>
              </wp:positionH>
              <wp:positionV relativeFrom="page">
                <wp:posOffset>6680200</wp:posOffset>
              </wp:positionV>
              <wp:extent cx="4084955" cy="40576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91" type="#_x0000_t202" style="position:absolute;margin-left:72.45pt;margin-top:526pt;width:321.65pt;height:31.95pt;z-index:-2611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A9MswIAALM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" filled="f" stroked="f">
              <v:textbox inset="0,0,0,0">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42163712" behindDoc="1" locked="0" layoutInCell="1" allowOverlap="1">
              <wp:simplePos x="0" y="0"/>
              <wp:positionH relativeFrom="page">
                <wp:posOffset>5580380</wp:posOffset>
              </wp:positionH>
              <wp:positionV relativeFrom="page">
                <wp:posOffset>6680200</wp:posOffset>
              </wp:positionV>
              <wp:extent cx="767080" cy="15240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142</w:t>
                          </w:r>
                          <w:r>
                            <w:fldChar w:fldCharType="end"/>
                          </w:r>
                          <w:r>
                            <w:rPr>
                              <w:sz w:val="17"/>
                            </w:rPr>
                            <w:t xml:space="preserve"> of 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92" type="#_x0000_t202" style="position:absolute;margin-left:439.4pt;margin-top:526pt;width:60.4pt;height:12pt;z-index:-2611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" filled="f" stroked="f">
              <v:textbox inset="0,0,0,0">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142</w:t>
                    </w:r>
                    <w:r>
                      <w:fldChar w:fldCharType="end"/>
                    </w:r>
                    <w:r>
                      <w:rPr>
                        <w:sz w:val="17"/>
                      </w:rPr>
                      <w:t xml:space="preserve"> of 149</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g">
          <w:drawing>
            <wp:anchor distT="0" distB="0" distL="114300" distR="114300" simplePos="0" relativeHeight="242166784" behindDoc="1" locked="0" layoutInCell="1" allowOverlap="1">
              <wp:simplePos x="0" y="0"/>
              <wp:positionH relativeFrom="page">
                <wp:posOffset>900430</wp:posOffset>
              </wp:positionH>
              <wp:positionV relativeFrom="page">
                <wp:posOffset>9765665</wp:posOffset>
              </wp:positionV>
              <wp:extent cx="5537200" cy="635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0" cy="6350"/>
                        <a:chOff x="1418" y="15379"/>
                        <a:chExt cx="8720" cy="10"/>
                      </a:xfrm>
                    </wpg:grpSpPr>
                    <wps:wsp>
                      <wps:cNvPr id="495" name="Line 6"/>
                      <wps:cNvCnPr>
                        <a:cxnSpLocks noChangeShapeType="1"/>
                      </wps:cNvCnPr>
                      <wps:spPr bwMode="auto">
                        <a:xfrm>
                          <a:off x="1418" y="15384"/>
                          <a:ext cx="734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6" name="Rectangle 5"/>
                      <wps:cNvSpPr>
                        <a:spLocks noChangeArrowheads="1"/>
                      </wps:cNvSpPr>
                      <wps:spPr bwMode="auto">
                        <a:xfrm>
                          <a:off x="8757" y="1537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Line 4"/>
                      <wps:cNvCnPr>
                        <a:cxnSpLocks noChangeShapeType="1"/>
                      </wps:cNvCnPr>
                      <wps:spPr bwMode="auto">
                        <a:xfrm>
                          <a:off x="8767" y="15384"/>
                          <a:ext cx="1371"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D7CDB1" id="Group 3" o:spid="_x0000_s1026" style="position:absolute;margin-left:70.9pt;margin-top:768.95pt;width:436pt;height:.5pt;z-index:-261149696;mso-position-horizontal-relative:page;mso-position-vertical-relative:page" coordorigin="1418,15379" coordsize="87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">
              <v:line id="Line 6" o:spid="_x0000_s1027" style="position:absolute;visibility:visible;mso-wrap-style:square" from="1418,15384" to="8758,1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" strokeweight=".16969mm"/>
              <v:rect id="Rectangle 5" o:spid="_x0000_s1028" style="position:absolute;left:8757;top:1537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" fillcolor="black" stroked="f"/>
              <v:line id="Line 4" o:spid="_x0000_s1029" style="position:absolute;visibility:visible;mso-wrap-style:square" from="8767,15384" to="10138,1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" strokeweight=".16969mm"/>
              <w10:wrap anchorx="page" anchory="page"/>
            </v:group>
          </w:pict>
        </mc:Fallback>
      </mc:AlternateContent>
    </w:r>
    <w:r>
      <w:rPr>
        <w:noProof/>
        <w:lang w:val="en-AU" w:eastAsia="en-AU"/>
      </w:rPr>
      <mc:AlternateContent>
        <mc:Choice Requires="wps">
          <w:drawing>
            <wp:anchor distT="0" distB="0" distL="114300" distR="114300" simplePos="0" relativeHeight="242167808" behindDoc="1" locked="0" layoutInCell="1" allowOverlap="1">
              <wp:simplePos x="0" y="0"/>
              <wp:positionH relativeFrom="page">
                <wp:posOffset>956310</wp:posOffset>
              </wp:positionH>
              <wp:positionV relativeFrom="page">
                <wp:posOffset>9812020</wp:posOffset>
              </wp:positionV>
              <wp:extent cx="4084955" cy="4057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94" type="#_x0000_t202" style="position:absolute;margin-left:75.3pt;margin-top:772.6pt;width:321.65pt;height:31.95pt;z-index:-2611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" filled="f" stroked="f">
              <v:textbox inset="0,0,0,0">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42168832" behindDoc="1" locked="0" layoutInCell="1" allowOverlap="1">
              <wp:simplePos x="0" y="0"/>
              <wp:positionH relativeFrom="page">
                <wp:posOffset>5615305</wp:posOffset>
              </wp:positionH>
              <wp:positionV relativeFrom="page">
                <wp:posOffset>9812020</wp:posOffset>
              </wp:positionV>
              <wp:extent cx="767080"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148</w:t>
                          </w:r>
                          <w:r>
                            <w:fldChar w:fldCharType="end"/>
                          </w:r>
                          <w:r>
                            <w:rPr>
                              <w:sz w:val="17"/>
                            </w:rPr>
                            <w:t xml:space="preserve"> of 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95" type="#_x0000_t202" style="position:absolute;margin-left:442.15pt;margin-top:772.6pt;width:60.4pt;height:12pt;z-index:-2611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" filled="f" stroked="f">
              <v:textbox inset="0,0,0,0">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148</w:t>
                    </w:r>
                    <w:r>
                      <w:fldChar w:fldCharType="end"/>
                    </w:r>
                    <w:r>
                      <w:rPr>
                        <w:sz w:val="17"/>
                      </w:rPr>
                      <w:t xml:space="preserve"> of 149</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s">
          <w:drawing>
            <wp:anchor distT="0" distB="0" distL="114300" distR="114300" simplePos="0" relativeHeight="242083840" behindDoc="1" locked="0" layoutInCell="1" allowOverlap="1">
              <wp:simplePos x="0" y="0"/>
              <wp:positionH relativeFrom="page">
                <wp:posOffset>956310</wp:posOffset>
              </wp:positionH>
              <wp:positionV relativeFrom="page">
                <wp:posOffset>9812020</wp:posOffset>
              </wp:positionV>
              <wp:extent cx="4084955" cy="405765"/>
              <wp:effectExtent l="0" t="0" r="0" b="0"/>
              <wp:wrapNone/>
              <wp:docPr id="12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039" type="#_x0000_t202" style="position:absolute;margin-left:75.3pt;margin-top:772.6pt;width:321.65pt;height:31.95pt;z-index:-2612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46ssg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" filled="f" stroked="f">
              <v:textbox inset="0,0,0,0">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42084864" behindDoc="1" locked="0" layoutInCell="1" allowOverlap="1">
              <wp:simplePos x="0" y="0"/>
              <wp:positionH relativeFrom="page">
                <wp:posOffset>5676265</wp:posOffset>
              </wp:positionH>
              <wp:positionV relativeFrom="page">
                <wp:posOffset>9812020</wp:posOffset>
              </wp:positionV>
              <wp:extent cx="707390" cy="152400"/>
              <wp:effectExtent l="0" t="0" r="0" b="0"/>
              <wp:wrapNone/>
              <wp:docPr id="12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14</w:t>
                          </w:r>
                          <w:r>
                            <w:fldChar w:fldCharType="end"/>
                          </w:r>
                          <w:r>
                            <w:rPr>
                              <w:sz w:val="17"/>
                            </w:rPr>
                            <w:t xml:space="preserve"> of 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0" type="#_x0000_t202" style="position:absolute;margin-left:446.95pt;margin-top:772.6pt;width:55.7pt;height:12pt;z-index:-2612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aZ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" filled="f" stroked="f">
              <v:textbox inset="0,0,0,0">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14</w:t>
                    </w:r>
                    <w:r>
                      <w:fldChar w:fldCharType="end"/>
                    </w:r>
                    <w:r>
                      <w:rPr>
                        <w:sz w:val="17"/>
                      </w:rPr>
                      <w:t xml:space="preserve"> of 149</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g">
          <w:drawing>
            <wp:anchor distT="0" distB="0" distL="114300" distR="114300" simplePos="0" relativeHeight="242087936" behindDoc="1" locked="0" layoutInCell="1" allowOverlap="1">
              <wp:simplePos x="0" y="0"/>
              <wp:positionH relativeFrom="page">
                <wp:posOffset>900430</wp:posOffset>
              </wp:positionH>
              <wp:positionV relativeFrom="page">
                <wp:posOffset>9765665</wp:posOffset>
              </wp:positionV>
              <wp:extent cx="5537200" cy="6350"/>
              <wp:effectExtent l="0" t="0" r="0" b="0"/>
              <wp:wrapNone/>
              <wp:docPr id="120"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0" cy="6350"/>
                        <a:chOff x="1418" y="15379"/>
                        <a:chExt cx="8720" cy="10"/>
                      </a:xfrm>
                    </wpg:grpSpPr>
                    <wps:wsp>
                      <wps:cNvPr id="121" name="Line 104"/>
                      <wps:cNvCnPr>
                        <a:cxnSpLocks noChangeShapeType="1"/>
                      </wps:cNvCnPr>
                      <wps:spPr bwMode="auto">
                        <a:xfrm>
                          <a:off x="1418" y="15384"/>
                          <a:ext cx="734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Rectangle 103"/>
                      <wps:cNvSpPr>
                        <a:spLocks noChangeArrowheads="1"/>
                      </wps:cNvSpPr>
                      <wps:spPr bwMode="auto">
                        <a:xfrm>
                          <a:off x="8757" y="1537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Line 102"/>
                      <wps:cNvCnPr>
                        <a:cxnSpLocks noChangeShapeType="1"/>
                      </wps:cNvCnPr>
                      <wps:spPr bwMode="auto">
                        <a:xfrm>
                          <a:off x="8767" y="15384"/>
                          <a:ext cx="1371"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B97A57" id="Group 101" o:spid="_x0000_s1026" style="position:absolute;margin-left:70.9pt;margin-top:768.95pt;width:436pt;height:.5pt;z-index:-261228544;mso-position-horizontal-relative:page;mso-position-vertical-relative:page" coordorigin="1418,15379" coordsize="87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">
              <v:line id="Line 104" o:spid="_x0000_s1027" style="position:absolute;visibility:visible;mso-wrap-style:square" from="1418,15384" to="8758,1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" strokeweight=".16969mm"/>
              <v:rect id="Rectangle 103" o:spid="_x0000_s1028" style="position:absolute;left:8757;top:1537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" fillcolor="black" stroked="f"/>
              <v:line id="Line 102" o:spid="_x0000_s1029" style="position:absolute;visibility:visible;mso-wrap-style:square" from="8767,15384" to="10138,1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" strokeweight=".16969mm"/>
              <w10:wrap anchorx="page" anchory="page"/>
            </v:group>
          </w:pict>
        </mc:Fallback>
      </mc:AlternateContent>
    </w:r>
    <w:r>
      <w:rPr>
        <w:noProof/>
        <w:lang w:val="en-AU" w:eastAsia="en-AU"/>
      </w:rPr>
      <mc:AlternateContent>
        <mc:Choice Requires="wps">
          <w:drawing>
            <wp:anchor distT="0" distB="0" distL="114300" distR="114300" simplePos="0" relativeHeight="242088960" behindDoc="1" locked="0" layoutInCell="1" allowOverlap="1">
              <wp:simplePos x="0" y="0"/>
              <wp:positionH relativeFrom="page">
                <wp:posOffset>956310</wp:posOffset>
              </wp:positionH>
              <wp:positionV relativeFrom="page">
                <wp:posOffset>9812020</wp:posOffset>
              </wp:positionV>
              <wp:extent cx="4084955" cy="405765"/>
              <wp:effectExtent l="0" t="0" r="0" b="0"/>
              <wp:wrapNone/>
              <wp:docPr id="11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042" type="#_x0000_t202" style="position:absolute;margin-left:75.3pt;margin-top:772.6pt;width:321.65pt;height:31.95pt;z-index:-2612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" filled="f" stroked="f">
              <v:textbox inset="0,0,0,0">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42089984" behindDoc="1" locked="0" layoutInCell="1" allowOverlap="1">
              <wp:simplePos x="0" y="0"/>
              <wp:positionH relativeFrom="page">
                <wp:posOffset>5676265</wp:posOffset>
              </wp:positionH>
              <wp:positionV relativeFrom="page">
                <wp:posOffset>9812020</wp:posOffset>
              </wp:positionV>
              <wp:extent cx="707390" cy="152400"/>
              <wp:effectExtent l="0" t="0" r="0" b="0"/>
              <wp:wrapNone/>
              <wp:docPr id="11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17</w:t>
                          </w:r>
                          <w:r>
                            <w:fldChar w:fldCharType="end"/>
                          </w:r>
                          <w:r>
                            <w:rPr>
                              <w:sz w:val="17"/>
                            </w:rPr>
                            <w:t xml:space="preserve"> of 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3" type="#_x0000_t202" style="position:absolute;margin-left:446.95pt;margin-top:772.6pt;width:55.7pt;height:12pt;z-index:-2612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" filled="f" stroked="f">
              <v:textbox inset="0,0,0,0">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17</w:t>
                    </w:r>
                    <w:r>
                      <w:fldChar w:fldCharType="end"/>
                    </w:r>
                    <w:r>
                      <w:rPr>
                        <w:sz w:val="17"/>
                      </w:rPr>
                      <w:t xml:space="preserve"> of 149</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s">
          <w:drawing>
            <wp:anchor distT="0" distB="0" distL="114300" distR="114300" simplePos="0" relativeHeight="242093056" behindDoc="1" locked="0" layoutInCell="1" allowOverlap="1">
              <wp:simplePos x="0" y="0"/>
              <wp:positionH relativeFrom="page">
                <wp:posOffset>956310</wp:posOffset>
              </wp:positionH>
              <wp:positionV relativeFrom="page">
                <wp:posOffset>9812020</wp:posOffset>
              </wp:positionV>
              <wp:extent cx="4084955" cy="405765"/>
              <wp:effectExtent l="0" t="0" r="0" b="0"/>
              <wp:wrapNone/>
              <wp:docPr id="11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045" type="#_x0000_t202" style="position:absolute;margin-left:75.3pt;margin-top:772.6pt;width:321.65pt;height:31.95pt;z-index:-2612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8yTsQIAALQ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" filled="f" stroked="f">
              <v:textbox inset="0,0,0,0">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42094080" behindDoc="1" locked="0" layoutInCell="1" allowOverlap="1">
              <wp:simplePos x="0" y="0"/>
              <wp:positionH relativeFrom="page">
                <wp:posOffset>5676265</wp:posOffset>
              </wp:positionH>
              <wp:positionV relativeFrom="page">
                <wp:posOffset>9812020</wp:posOffset>
              </wp:positionV>
              <wp:extent cx="707390" cy="152400"/>
              <wp:effectExtent l="0" t="0" r="0" b="0"/>
              <wp:wrapNone/>
              <wp:docPr id="11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18</w:t>
                          </w:r>
                          <w:r>
                            <w:fldChar w:fldCharType="end"/>
                          </w:r>
                          <w:r>
                            <w:rPr>
                              <w:sz w:val="17"/>
                            </w:rPr>
                            <w:t xml:space="preserve"> of 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6" type="#_x0000_t202" style="position:absolute;margin-left:446.95pt;margin-top:772.6pt;width:55.7pt;height:12pt;z-index:-2612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" filled="f" stroked="f">
              <v:textbox inset="0,0,0,0">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18</w:t>
                    </w:r>
                    <w:r>
                      <w:fldChar w:fldCharType="end"/>
                    </w:r>
                    <w:r>
                      <w:rPr>
                        <w:sz w:val="17"/>
                      </w:rPr>
                      <w:t xml:space="preserve"> of 149</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g">
          <w:drawing>
            <wp:anchor distT="0" distB="0" distL="114300" distR="114300" simplePos="0" relativeHeight="242097152" behindDoc="1" locked="0" layoutInCell="1" allowOverlap="1">
              <wp:simplePos x="0" y="0"/>
              <wp:positionH relativeFrom="page">
                <wp:posOffset>900430</wp:posOffset>
              </wp:positionH>
              <wp:positionV relativeFrom="page">
                <wp:posOffset>9765665</wp:posOffset>
              </wp:positionV>
              <wp:extent cx="5537200" cy="6350"/>
              <wp:effectExtent l="0" t="0" r="0" b="0"/>
              <wp:wrapNone/>
              <wp:docPr id="108"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0" cy="6350"/>
                        <a:chOff x="1418" y="15379"/>
                        <a:chExt cx="8720" cy="10"/>
                      </a:xfrm>
                    </wpg:grpSpPr>
                    <wps:wsp>
                      <wps:cNvPr id="109" name="Line 92"/>
                      <wps:cNvCnPr>
                        <a:cxnSpLocks noChangeShapeType="1"/>
                      </wps:cNvCnPr>
                      <wps:spPr bwMode="auto">
                        <a:xfrm>
                          <a:off x="1418" y="15384"/>
                          <a:ext cx="734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Rectangle 91"/>
                      <wps:cNvSpPr>
                        <a:spLocks noChangeArrowheads="1"/>
                      </wps:cNvSpPr>
                      <wps:spPr bwMode="auto">
                        <a:xfrm>
                          <a:off x="8757" y="1537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90"/>
                      <wps:cNvCnPr>
                        <a:cxnSpLocks noChangeShapeType="1"/>
                      </wps:cNvCnPr>
                      <wps:spPr bwMode="auto">
                        <a:xfrm>
                          <a:off x="8767" y="15384"/>
                          <a:ext cx="1371"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9B2AD8" id="Group 89" o:spid="_x0000_s1026" style="position:absolute;margin-left:70.9pt;margin-top:768.95pt;width:436pt;height:.5pt;z-index:-261219328;mso-position-horizontal-relative:page;mso-position-vertical-relative:page" coordorigin="1418,15379" coordsize="87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">
              <v:line id="Line 92" o:spid="_x0000_s1027" style="position:absolute;visibility:visible;mso-wrap-style:square" from="1418,15384" to="8758,1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" strokeweight=".16969mm"/>
              <v:rect id="Rectangle 91" o:spid="_x0000_s1028" style="position:absolute;left:8757;top:1537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Xw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PCMT6NU/AAAA//8DAFBLAQItABQABgAIAAAAIQDb4fbL7gAAAIUBAAATAAAAAAAA&#10;AAAAAAAAAAAAAABbQ29udGVudF9UeXBlc10ueG1sUEsBAi0AFAAGAAgAAAAhAFr0LFu/AAAAFQEA&#10;AAsAAAAAAAAAAAAAAAAAHwEAAF9yZWxzLy5yZWxzUEsBAi0AFAAGAAgAAAAhANV0xfDHAAAA3AAA&#10;AA8AAAAAAAAAAAAAAAAABwIAAGRycy9kb3ducmV2LnhtbFBLBQYAAAAAAwADALcAAAD7AgAAAAA=&#10;" fillcolor="black" stroked="f"/>
              <v:line id="Line 90" o:spid="_x0000_s1029" style="position:absolute;visibility:visible;mso-wrap-style:square" from="8767,15384" to="10138,1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" strokeweight=".16969mm"/>
              <w10:wrap anchorx="page" anchory="page"/>
            </v:group>
          </w:pict>
        </mc:Fallback>
      </mc:AlternateContent>
    </w:r>
    <w:r>
      <w:rPr>
        <w:noProof/>
        <w:lang w:val="en-AU" w:eastAsia="en-AU"/>
      </w:rPr>
      <mc:AlternateContent>
        <mc:Choice Requires="wps">
          <w:drawing>
            <wp:anchor distT="0" distB="0" distL="114300" distR="114300" simplePos="0" relativeHeight="242098176" behindDoc="1" locked="0" layoutInCell="1" allowOverlap="1">
              <wp:simplePos x="0" y="0"/>
              <wp:positionH relativeFrom="page">
                <wp:posOffset>956310</wp:posOffset>
              </wp:positionH>
              <wp:positionV relativeFrom="page">
                <wp:posOffset>9812020</wp:posOffset>
              </wp:positionV>
              <wp:extent cx="4084955" cy="405765"/>
              <wp:effectExtent l="0" t="0" r="0" b="0"/>
              <wp:wrapNone/>
              <wp:docPr id="10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48" type="#_x0000_t202" style="position:absolute;margin-left:75.3pt;margin-top:772.6pt;width:321.65pt;height:31.95pt;z-index:-2612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ixsQIAALQ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" filled="f" stroked="f">
              <v:textbox inset="0,0,0,0">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42099200" behindDoc="1" locked="0" layoutInCell="1" allowOverlap="1">
              <wp:simplePos x="0" y="0"/>
              <wp:positionH relativeFrom="page">
                <wp:posOffset>5676265</wp:posOffset>
              </wp:positionH>
              <wp:positionV relativeFrom="page">
                <wp:posOffset>9812020</wp:posOffset>
              </wp:positionV>
              <wp:extent cx="707390" cy="152400"/>
              <wp:effectExtent l="0" t="0" r="0" b="0"/>
              <wp:wrapNone/>
              <wp:docPr id="10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22</w:t>
                          </w:r>
                          <w:r>
                            <w:fldChar w:fldCharType="end"/>
                          </w:r>
                          <w:r>
                            <w:rPr>
                              <w:sz w:val="17"/>
                            </w:rPr>
                            <w:t xml:space="preserve"> of 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49" type="#_x0000_t202" style="position:absolute;margin-left:446.95pt;margin-top:772.6pt;width:55.7pt;height:12pt;z-index:-2612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K8ksgIAALM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" filled="f" stroked="f">
              <v:textbox inset="0,0,0,0">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22</w:t>
                    </w:r>
                    <w:r>
                      <w:fldChar w:fldCharType="end"/>
                    </w:r>
                    <w:r>
                      <w:rPr>
                        <w:sz w:val="17"/>
                      </w:rPr>
                      <w:t xml:space="preserve"> of 149</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s">
          <w:drawing>
            <wp:anchor distT="0" distB="0" distL="114300" distR="114300" simplePos="0" relativeHeight="242102272" behindDoc="1" locked="0" layoutInCell="1" allowOverlap="1">
              <wp:simplePos x="0" y="0"/>
              <wp:positionH relativeFrom="page">
                <wp:posOffset>956310</wp:posOffset>
              </wp:positionH>
              <wp:positionV relativeFrom="page">
                <wp:posOffset>9812020</wp:posOffset>
              </wp:positionV>
              <wp:extent cx="4084955" cy="405765"/>
              <wp:effectExtent l="0" t="0" r="0" b="0"/>
              <wp:wrapNone/>
              <wp:docPr id="10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51" type="#_x0000_t202" style="position:absolute;margin-left:75.3pt;margin-top:772.6pt;width:321.65pt;height:31.95pt;z-index:-2612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7S/sg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" filled="f" stroked="f">
              <v:textbox inset="0,0,0,0">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42103296" behindDoc="1" locked="0" layoutInCell="1" allowOverlap="1">
              <wp:simplePos x="0" y="0"/>
              <wp:positionH relativeFrom="page">
                <wp:posOffset>5676265</wp:posOffset>
              </wp:positionH>
              <wp:positionV relativeFrom="page">
                <wp:posOffset>9812020</wp:posOffset>
              </wp:positionV>
              <wp:extent cx="707390" cy="152400"/>
              <wp:effectExtent l="0" t="0" r="0" b="0"/>
              <wp:wrapNone/>
              <wp:docPr id="10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23</w:t>
                          </w:r>
                          <w:r>
                            <w:fldChar w:fldCharType="end"/>
                          </w:r>
                          <w:r>
                            <w:rPr>
                              <w:sz w:val="17"/>
                            </w:rPr>
                            <w:t xml:space="preserve"> of 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52" type="#_x0000_t202" style="position:absolute;margin-left:446.95pt;margin-top:772.6pt;width:55.7pt;height:12pt;z-index:-2612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FE9sw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" filled="f" stroked="f">
              <v:textbox inset="0,0,0,0">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23</w:t>
                    </w:r>
                    <w:r>
                      <w:fldChar w:fldCharType="end"/>
                    </w:r>
                    <w:r>
                      <w:rPr>
                        <w:sz w:val="17"/>
                      </w:rPr>
                      <w:t xml:space="preserve"> of 149</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g">
          <w:drawing>
            <wp:anchor distT="0" distB="0" distL="114300" distR="114300" simplePos="0" relativeHeight="242106368" behindDoc="1" locked="0" layoutInCell="1" allowOverlap="1">
              <wp:simplePos x="0" y="0"/>
              <wp:positionH relativeFrom="page">
                <wp:posOffset>900430</wp:posOffset>
              </wp:positionH>
              <wp:positionV relativeFrom="page">
                <wp:posOffset>9765665</wp:posOffset>
              </wp:positionV>
              <wp:extent cx="5537200" cy="6350"/>
              <wp:effectExtent l="0" t="0" r="0" b="0"/>
              <wp:wrapNone/>
              <wp:docPr id="9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0" cy="6350"/>
                        <a:chOff x="1418" y="15379"/>
                        <a:chExt cx="8720" cy="10"/>
                      </a:xfrm>
                    </wpg:grpSpPr>
                    <wps:wsp>
                      <wps:cNvPr id="97" name="Line 80"/>
                      <wps:cNvCnPr>
                        <a:cxnSpLocks noChangeShapeType="1"/>
                      </wps:cNvCnPr>
                      <wps:spPr bwMode="auto">
                        <a:xfrm>
                          <a:off x="1418" y="15384"/>
                          <a:ext cx="734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Rectangle 79"/>
                      <wps:cNvSpPr>
                        <a:spLocks noChangeArrowheads="1"/>
                      </wps:cNvSpPr>
                      <wps:spPr bwMode="auto">
                        <a:xfrm>
                          <a:off x="8757" y="1537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Line 78"/>
                      <wps:cNvCnPr>
                        <a:cxnSpLocks noChangeShapeType="1"/>
                      </wps:cNvCnPr>
                      <wps:spPr bwMode="auto">
                        <a:xfrm>
                          <a:off x="8767" y="15384"/>
                          <a:ext cx="1371"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2FC35E" id="Group 77" o:spid="_x0000_s1026" style="position:absolute;margin-left:70.9pt;margin-top:768.95pt;width:436pt;height:.5pt;z-index:-261210112;mso-position-horizontal-relative:page;mso-position-vertical-relative:page" coordorigin="1418,15379" coordsize="87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">
              <v:line id="Line 80" o:spid="_x0000_s1027" style="position:absolute;visibility:visible;mso-wrap-style:square" from="1418,15384" to="8758,1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" strokeweight=".16969mm"/>
              <v:rect id="Rectangle 79" o:spid="_x0000_s1028" style="position:absolute;left:8757;top:1537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" fillcolor="black" stroked="f"/>
              <v:line id="Line 78" o:spid="_x0000_s1029" style="position:absolute;visibility:visible;mso-wrap-style:square" from="8767,15384" to="10138,1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" strokeweight=".16969mm"/>
              <w10:wrap anchorx="page" anchory="page"/>
            </v:group>
          </w:pict>
        </mc:Fallback>
      </mc:AlternateContent>
    </w:r>
    <w:r>
      <w:rPr>
        <w:noProof/>
        <w:lang w:val="en-AU" w:eastAsia="en-AU"/>
      </w:rPr>
      <mc:AlternateContent>
        <mc:Choice Requires="wps">
          <w:drawing>
            <wp:anchor distT="0" distB="0" distL="114300" distR="114300" simplePos="0" relativeHeight="242107392" behindDoc="1" locked="0" layoutInCell="1" allowOverlap="1">
              <wp:simplePos x="0" y="0"/>
              <wp:positionH relativeFrom="page">
                <wp:posOffset>956310</wp:posOffset>
              </wp:positionH>
              <wp:positionV relativeFrom="page">
                <wp:posOffset>9812020</wp:posOffset>
              </wp:positionV>
              <wp:extent cx="4084955" cy="405765"/>
              <wp:effectExtent l="0" t="0" r="0" b="0"/>
              <wp:wrapNone/>
              <wp:docPr id="9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54" type="#_x0000_t202" style="position:absolute;margin-left:75.3pt;margin-top:772.6pt;width:321.65pt;height:31.95pt;z-index:-2612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yQKsQ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" filled="f" stroked="f">
              <v:textbox inset="0,0,0,0">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42108416" behindDoc="1" locked="0" layoutInCell="1" allowOverlap="1">
              <wp:simplePos x="0" y="0"/>
              <wp:positionH relativeFrom="page">
                <wp:posOffset>5676265</wp:posOffset>
              </wp:positionH>
              <wp:positionV relativeFrom="page">
                <wp:posOffset>9812020</wp:posOffset>
              </wp:positionV>
              <wp:extent cx="707390" cy="152400"/>
              <wp:effectExtent l="0" t="0" r="0" b="0"/>
              <wp:wrapNone/>
              <wp:docPr id="9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25</w:t>
                          </w:r>
                          <w:r>
                            <w:fldChar w:fldCharType="end"/>
                          </w:r>
                          <w:r>
                            <w:rPr>
                              <w:sz w:val="17"/>
                            </w:rPr>
                            <w:t xml:space="preserve"> of 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55" type="#_x0000_t202" style="position:absolute;margin-left:446.95pt;margin-top:772.6pt;width:55.7pt;height:12pt;z-index:-2612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9Wsw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" filled="f" stroked="f">
              <v:textbox inset="0,0,0,0">
                <w:txbxContent>
                  <w:p w:rsidR="00A51832" w:rsidRDefault="00A51832">
                    <w:pPr>
                      <w:spacing w:before="20"/>
                      <w:ind w:left="20"/>
                      <w:rPr>
                        <w:sz w:val="17"/>
                      </w:rPr>
                    </w:pPr>
                    <w:r>
                      <w:rPr>
                        <w:sz w:val="17"/>
                      </w:rPr>
                      <w:t xml:space="preserve">Page </w:t>
                    </w:r>
                    <w:r>
                      <w:fldChar w:fldCharType="begin"/>
                    </w:r>
                    <w:r>
                      <w:rPr>
                        <w:sz w:val="17"/>
                      </w:rPr>
                      <w:instrText xml:space="preserve"> PAGE </w:instrText>
                    </w:r>
                    <w:r>
                      <w:fldChar w:fldCharType="separate"/>
                    </w:r>
                    <w:r w:rsidR="00792C55">
                      <w:rPr>
                        <w:noProof/>
                        <w:sz w:val="17"/>
                      </w:rPr>
                      <w:t>25</w:t>
                    </w:r>
                    <w:r>
                      <w:fldChar w:fldCharType="end"/>
                    </w:r>
                    <w:r>
                      <w:rPr>
                        <w:sz w:val="17"/>
                      </w:rPr>
                      <w:t xml:space="preserve"> of 149</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s">
          <w:drawing>
            <wp:anchor distT="0" distB="0" distL="114300" distR="114300" simplePos="0" relativeHeight="242111488" behindDoc="1" locked="0" layoutInCell="1" allowOverlap="1">
              <wp:simplePos x="0" y="0"/>
              <wp:positionH relativeFrom="page">
                <wp:posOffset>956310</wp:posOffset>
              </wp:positionH>
              <wp:positionV relativeFrom="page">
                <wp:posOffset>9812020</wp:posOffset>
              </wp:positionV>
              <wp:extent cx="4084955" cy="405765"/>
              <wp:effectExtent l="0" t="0" r="0" b="0"/>
              <wp:wrapNone/>
              <wp:docPr id="9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57" type="#_x0000_t202" style="position:absolute;margin-left:75.3pt;margin-top:772.6pt;width:321.65pt;height:31.95pt;z-index:-2612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fYSsgIAALM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" filled="f" stroked="f">
              <v:textbox inset="0,0,0,0">
                <w:txbxContent>
                  <w:p w:rsidR="00A51832" w:rsidRDefault="00A51832">
                    <w:pPr>
                      <w:spacing w:before="20"/>
                      <w:ind w:left="20" w:right="3"/>
                      <w:rPr>
                        <w:sz w:val="17"/>
                      </w:rPr>
                    </w:pPr>
                    <w:r>
                      <w:rPr>
                        <w:sz w:val="17"/>
                      </w:rPr>
                      <w:t>Regulation impact statement: Proposed clarification that certain sports supplements are therapeutic goods</w:t>
                    </w:r>
                  </w:p>
                  <w:p w:rsidR="00A51832" w:rsidRDefault="00A51832">
                    <w:pPr>
                      <w:spacing w:line="199" w:lineRule="exact"/>
                      <w:ind w:left="20"/>
                      <w:rPr>
                        <w:sz w:val="17"/>
                      </w:rPr>
                    </w:pPr>
                    <w:r>
                      <w:rPr>
                        <w:sz w:val="17"/>
                      </w:rPr>
                      <w:t>V1.0 July 2020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42112512" behindDoc="1" locked="0" layoutInCell="1" allowOverlap="1">
              <wp:simplePos x="0" y="0"/>
              <wp:positionH relativeFrom="page">
                <wp:posOffset>5676265</wp:posOffset>
              </wp:positionH>
              <wp:positionV relativeFrom="page">
                <wp:posOffset>9812020</wp:posOffset>
              </wp:positionV>
              <wp:extent cx="707390" cy="152400"/>
              <wp:effectExtent l="0" t="0" r="0" b="0"/>
              <wp:wrapNone/>
              <wp:docPr id="9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Page 26 of 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8" type="#_x0000_t202" style="position:absolute;margin-left:446.95pt;margin-top:772.6pt;width:55.7pt;height:12pt;z-index:-2612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VMSsgIAALI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" filled="f" stroked="f">
              <v:textbox inset="0,0,0,0">
                <w:txbxContent>
                  <w:p w:rsidR="00A51832" w:rsidRDefault="00A51832">
                    <w:pPr>
                      <w:spacing w:before="20"/>
                      <w:ind w:left="20"/>
                      <w:rPr>
                        <w:sz w:val="17"/>
                      </w:rPr>
                    </w:pPr>
                    <w:r>
                      <w:rPr>
                        <w:sz w:val="17"/>
                      </w:rPr>
                      <w:t>Page 26 of 149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1832" w:rsidRDefault="00A51832">
      <w:r>
        <w:separator/>
      </w:r>
    </w:p>
  </w:footnote>
  <w:footnote w:type="continuationSeparator" w:id="0">
    <w:p w:rsidR="00A51832" w:rsidRDefault="00A51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s">
          <w:drawing>
            <wp:anchor distT="0" distB="0" distL="114300" distR="114300" simplePos="0" relativeHeight="242071552" behindDoc="1" locked="0" layoutInCell="1" allowOverlap="1">
              <wp:simplePos x="0" y="0"/>
              <wp:positionH relativeFrom="page">
                <wp:posOffset>882650</wp:posOffset>
              </wp:positionH>
              <wp:positionV relativeFrom="page">
                <wp:posOffset>532130</wp:posOffset>
              </wp:positionV>
              <wp:extent cx="5795645" cy="0"/>
              <wp:effectExtent l="0" t="0" r="0" b="0"/>
              <wp:wrapNone/>
              <wp:docPr id="145"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56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62DBC" id="Line 126" o:spid="_x0000_s1026" style="position:absolute;z-index:-2612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41.9pt" to="525.8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K4qHgIAAEU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" strokeweight=".48pt">
              <w10:wrap anchorx="page" anchory="page"/>
            </v:line>
          </w:pict>
        </mc:Fallback>
      </mc:AlternateContent>
    </w:r>
    <w:r>
      <w:rPr>
        <w:noProof/>
        <w:lang w:val="en-AU" w:eastAsia="en-AU"/>
      </w:rPr>
      <mc:AlternateContent>
        <mc:Choice Requires="wps">
          <w:drawing>
            <wp:anchor distT="0" distB="0" distL="114300" distR="114300" simplePos="0" relativeHeight="242072576" behindDoc="1" locked="0" layoutInCell="1" allowOverlap="1">
              <wp:simplePos x="0" y="0"/>
              <wp:positionH relativeFrom="page">
                <wp:posOffset>5050155</wp:posOffset>
              </wp:positionH>
              <wp:positionV relativeFrom="page">
                <wp:posOffset>350520</wp:posOffset>
              </wp:positionV>
              <wp:extent cx="1622425" cy="152400"/>
              <wp:effectExtent l="0" t="0" r="0" b="0"/>
              <wp:wrapNone/>
              <wp:docPr id="14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Therapeutic Goods 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2" type="#_x0000_t202" style="position:absolute;margin-left:397.65pt;margin-top:27.6pt;width:127.75pt;height:12pt;z-index:-2612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" filled="f" stroked="f">
              <v:textbox inset="0,0,0,0">
                <w:txbxContent>
                  <w:p w:rsidR="00A51832" w:rsidRDefault="00A51832">
                    <w:pPr>
                      <w:spacing w:before="20"/>
                      <w:ind w:left="20"/>
                      <w:rPr>
                        <w:sz w:val="17"/>
                      </w:rPr>
                    </w:pPr>
                    <w:r>
                      <w:rPr>
                        <w:sz w:val="17"/>
                      </w:rPr>
                      <w:t>Therapeutic Goods Administration</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s">
          <w:drawing>
            <wp:anchor distT="0" distB="0" distL="114300" distR="114300" simplePos="0" relativeHeight="242113536" behindDoc="1" locked="0" layoutInCell="1" allowOverlap="1">
              <wp:simplePos x="0" y="0"/>
              <wp:positionH relativeFrom="page">
                <wp:posOffset>882650</wp:posOffset>
              </wp:positionH>
              <wp:positionV relativeFrom="page">
                <wp:posOffset>532130</wp:posOffset>
              </wp:positionV>
              <wp:extent cx="5795645" cy="0"/>
              <wp:effectExtent l="0" t="0" r="0" b="0"/>
              <wp:wrapNone/>
              <wp:docPr id="8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56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3774F" id="Line 70" o:spid="_x0000_s1026" style="position:absolute;z-index:-2612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41.9pt" to="525.8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OVHwIAAEMEAAAOAAAAZHJzL2Uyb0RvYy54bWysU82O2jAQvlfqO1i+QxIaW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" strokeweight=".48pt">
              <w10:wrap anchorx="page" anchory="page"/>
            </v:line>
          </w:pict>
        </mc:Fallback>
      </mc:AlternateContent>
    </w:r>
    <w:r>
      <w:rPr>
        <w:noProof/>
        <w:lang w:val="en-AU" w:eastAsia="en-AU"/>
      </w:rPr>
      <mc:AlternateContent>
        <mc:Choice Requires="wps">
          <w:drawing>
            <wp:anchor distT="0" distB="0" distL="114300" distR="114300" simplePos="0" relativeHeight="242114560" behindDoc="1" locked="0" layoutInCell="1" allowOverlap="1">
              <wp:simplePos x="0" y="0"/>
              <wp:positionH relativeFrom="page">
                <wp:posOffset>5050155</wp:posOffset>
              </wp:positionH>
              <wp:positionV relativeFrom="page">
                <wp:posOffset>350520</wp:posOffset>
              </wp:positionV>
              <wp:extent cx="1622425" cy="152400"/>
              <wp:effectExtent l="0" t="0" r="0" b="0"/>
              <wp:wrapNone/>
              <wp:docPr id="8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Therapeutic Goods 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59" type="#_x0000_t202" style="position:absolute;margin-left:397.65pt;margin-top:27.6pt;width:127.75pt;height:12pt;z-index:-2612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" filled="f" stroked="f">
              <v:textbox inset="0,0,0,0">
                <w:txbxContent>
                  <w:p w:rsidR="00A51832" w:rsidRDefault="00A51832">
                    <w:pPr>
                      <w:spacing w:before="20"/>
                      <w:ind w:left="20"/>
                      <w:rPr>
                        <w:sz w:val="17"/>
                      </w:rPr>
                    </w:pPr>
                    <w:r>
                      <w:rPr>
                        <w:sz w:val="17"/>
                      </w:rPr>
                      <w:t>Therapeutic Goods Administration</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s">
          <w:drawing>
            <wp:anchor distT="0" distB="0" distL="114300" distR="114300" simplePos="0" relativeHeight="242118656" behindDoc="1" locked="0" layoutInCell="1" allowOverlap="1">
              <wp:simplePos x="0" y="0"/>
              <wp:positionH relativeFrom="page">
                <wp:posOffset>882650</wp:posOffset>
              </wp:positionH>
              <wp:positionV relativeFrom="page">
                <wp:posOffset>532130</wp:posOffset>
              </wp:positionV>
              <wp:extent cx="5795645" cy="0"/>
              <wp:effectExtent l="0" t="0" r="0" b="0"/>
              <wp:wrapNone/>
              <wp:docPr id="8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56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3C2F6" id="Line 65" o:spid="_x0000_s1026" style="position:absolute;z-index:-2611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41.9pt" to="525.8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mcHgIAAEMEAAAOAAAAZHJzL2Uyb0RvYy54bWysU8GO2jAQvVfqP1i+QxIash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" strokeweight=".48pt">
              <w10:wrap anchorx="page" anchory="page"/>
            </v:line>
          </w:pict>
        </mc:Fallback>
      </mc:AlternateContent>
    </w:r>
    <w:r>
      <w:rPr>
        <w:noProof/>
        <w:lang w:val="en-AU" w:eastAsia="en-AU"/>
      </w:rPr>
      <mc:AlternateContent>
        <mc:Choice Requires="wps">
          <w:drawing>
            <wp:anchor distT="0" distB="0" distL="114300" distR="114300" simplePos="0" relativeHeight="242119680" behindDoc="1" locked="0" layoutInCell="1" allowOverlap="1">
              <wp:simplePos x="0" y="0"/>
              <wp:positionH relativeFrom="page">
                <wp:posOffset>5050155</wp:posOffset>
              </wp:positionH>
              <wp:positionV relativeFrom="page">
                <wp:posOffset>350520</wp:posOffset>
              </wp:positionV>
              <wp:extent cx="1622425" cy="152400"/>
              <wp:effectExtent l="0" t="0" r="0" b="0"/>
              <wp:wrapNone/>
              <wp:docPr id="8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Therapeutic Goods 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62" type="#_x0000_t202" style="position:absolute;margin-left:397.65pt;margin-top:27.6pt;width:127.75pt;height:12pt;z-index:-2611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" filled="f" stroked="f">
              <v:textbox inset="0,0,0,0">
                <w:txbxContent>
                  <w:p w:rsidR="00A51832" w:rsidRDefault="00A51832">
                    <w:pPr>
                      <w:spacing w:before="20"/>
                      <w:ind w:left="20"/>
                      <w:rPr>
                        <w:sz w:val="17"/>
                      </w:rPr>
                    </w:pPr>
                    <w:r>
                      <w:rPr>
                        <w:sz w:val="17"/>
                      </w:rPr>
                      <w:t>Therapeutic Goods Administration</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s">
          <w:drawing>
            <wp:anchor distT="0" distB="0" distL="114300" distR="114300" simplePos="0" relativeHeight="242122752" behindDoc="1" locked="0" layoutInCell="1" allowOverlap="1">
              <wp:simplePos x="0" y="0"/>
              <wp:positionH relativeFrom="page">
                <wp:posOffset>882650</wp:posOffset>
              </wp:positionH>
              <wp:positionV relativeFrom="page">
                <wp:posOffset>532130</wp:posOffset>
              </wp:positionV>
              <wp:extent cx="5795645" cy="0"/>
              <wp:effectExtent l="0" t="0" r="0" b="0"/>
              <wp:wrapNone/>
              <wp:docPr id="8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56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2EDAC" id="Line 61" o:spid="_x0000_s1026" style="position:absolute;z-index:-2611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41.9pt" to="525.8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" strokeweight=".48pt">
              <w10:wrap anchorx="page" anchory="page"/>
            </v:line>
          </w:pict>
        </mc:Fallback>
      </mc:AlternateContent>
    </w:r>
    <w:r>
      <w:rPr>
        <w:noProof/>
        <w:lang w:val="en-AU" w:eastAsia="en-AU"/>
      </w:rPr>
      <mc:AlternateContent>
        <mc:Choice Requires="wps">
          <w:drawing>
            <wp:anchor distT="0" distB="0" distL="114300" distR="114300" simplePos="0" relativeHeight="242123776" behindDoc="1" locked="0" layoutInCell="1" allowOverlap="1">
              <wp:simplePos x="0" y="0"/>
              <wp:positionH relativeFrom="page">
                <wp:posOffset>5050155</wp:posOffset>
              </wp:positionH>
              <wp:positionV relativeFrom="page">
                <wp:posOffset>350520</wp:posOffset>
              </wp:positionV>
              <wp:extent cx="1622425" cy="152400"/>
              <wp:effectExtent l="0" t="0" r="0" b="0"/>
              <wp:wrapNone/>
              <wp:docPr id="7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Therapeutic Goods 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65" type="#_x0000_t202" style="position:absolute;margin-left:397.65pt;margin-top:27.6pt;width:127.75pt;height:12pt;z-index:-2611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" filled="f" stroked="f">
              <v:textbox inset="0,0,0,0">
                <w:txbxContent>
                  <w:p w:rsidR="00A51832" w:rsidRDefault="00A51832">
                    <w:pPr>
                      <w:spacing w:before="20"/>
                      <w:ind w:left="20"/>
                      <w:rPr>
                        <w:sz w:val="17"/>
                      </w:rPr>
                    </w:pPr>
                    <w:r>
                      <w:rPr>
                        <w:sz w:val="17"/>
                      </w:rPr>
                      <w:t>Therapeutic Goods Administration</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s">
          <w:drawing>
            <wp:anchor distT="0" distB="0" distL="114300" distR="114300" simplePos="0" relativeHeight="242127872" behindDoc="1" locked="0" layoutInCell="1" allowOverlap="1">
              <wp:simplePos x="0" y="0"/>
              <wp:positionH relativeFrom="page">
                <wp:posOffset>882650</wp:posOffset>
              </wp:positionH>
              <wp:positionV relativeFrom="page">
                <wp:posOffset>532130</wp:posOffset>
              </wp:positionV>
              <wp:extent cx="5795645" cy="0"/>
              <wp:effectExtent l="0" t="0" r="0" b="0"/>
              <wp:wrapNone/>
              <wp:docPr id="72"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56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0DFF4" id="Line 53" o:spid="_x0000_s1026" style="position:absolute;z-index:-2611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41.9pt" to="525.8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QAcHw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" strokeweight=".48pt">
              <w10:wrap anchorx="page" anchory="page"/>
            </v:line>
          </w:pict>
        </mc:Fallback>
      </mc:AlternateContent>
    </w:r>
    <w:r>
      <w:rPr>
        <w:noProof/>
        <w:lang w:val="en-AU" w:eastAsia="en-AU"/>
      </w:rPr>
      <mc:AlternateContent>
        <mc:Choice Requires="wps">
          <w:drawing>
            <wp:anchor distT="0" distB="0" distL="114300" distR="114300" simplePos="0" relativeHeight="242128896" behindDoc="1" locked="0" layoutInCell="1" allowOverlap="1">
              <wp:simplePos x="0" y="0"/>
              <wp:positionH relativeFrom="page">
                <wp:posOffset>5050155</wp:posOffset>
              </wp:positionH>
              <wp:positionV relativeFrom="page">
                <wp:posOffset>350520</wp:posOffset>
              </wp:positionV>
              <wp:extent cx="1622425" cy="152400"/>
              <wp:effectExtent l="0" t="0" r="0" b="0"/>
              <wp:wrapNone/>
              <wp:docPr id="7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Therapeutic Goods 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68" type="#_x0000_t202" style="position:absolute;margin-left:397.65pt;margin-top:27.6pt;width:127.75pt;height:12pt;z-index:-2611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" filled="f" stroked="f">
              <v:textbox inset="0,0,0,0">
                <w:txbxContent>
                  <w:p w:rsidR="00A51832" w:rsidRDefault="00A51832">
                    <w:pPr>
                      <w:spacing w:before="20"/>
                      <w:ind w:left="20"/>
                      <w:rPr>
                        <w:sz w:val="17"/>
                      </w:rPr>
                    </w:pPr>
                    <w:r>
                      <w:rPr>
                        <w:sz w:val="17"/>
                      </w:rPr>
                      <w:t>Therapeutic Goods Administration</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s">
          <w:drawing>
            <wp:anchor distT="0" distB="0" distL="114300" distR="114300" simplePos="0" relativeHeight="242131968" behindDoc="1" locked="0" layoutInCell="1" allowOverlap="1">
              <wp:simplePos x="0" y="0"/>
              <wp:positionH relativeFrom="page">
                <wp:posOffset>882650</wp:posOffset>
              </wp:positionH>
              <wp:positionV relativeFrom="page">
                <wp:posOffset>532130</wp:posOffset>
              </wp:positionV>
              <wp:extent cx="5795645" cy="0"/>
              <wp:effectExtent l="0" t="0" r="0" b="0"/>
              <wp:wrapNone/>
              <wp:docPr id="6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56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F0B99" id="Line 49" o:spid="_x0000_s1026" style="position:absolute;z-index:-2611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41.9pt" to="525.8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nHHgIAAEM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" strokeweight=".48pt">
              <w10:wrap anchorx="page" anchory="page"/>
            </v:line>
          </w:pict>
        </mc:Fallback>
      </mc:AlternateContent>
    </w:r>
    <w:r>
      <w:rPr>
        <w:noProof/>
        <w:lang w:val="en-AU" w:eastAsia="en-AU"/>
      </w:rPr>
      <mc:AlternateContent>
        <mc:Choice Requires="wps">
          <w:drawing>
            <wp:anchor distT="0" distB="0" distL="114300" distR="114300" simplePos="0" relativeHeight="242132992" behindDoc="1" locked="0" layoutInCell="1" allowOverlap="1">
              <wp:simplePos x="0" y="0"/>
              <wp:positionH relativeFrom="page">
                <wp:posOffset>5050155</wp:posOffset>
              </wp:positionH>
              <wp:positionV relativeFrom="page">
                <wp:posOffset>350520</wp:posOffset>
              </wp:positionV>
              <wp:extent cx="1622425" cy="152400"/>
              <wp:effectExtent l="0" t="0" r="0" b="0"/>
              <wp:wrapNone/>
              <wp:docPr id="6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Therapeutic Goods 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71" type="#_x0000_t202" style="position:absolute;margin-left:397.65pt;margin-top:27.6pt;width:127.75pt;height:12pt;z-index:-2611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" filled="f" stroked="f">
              <v:textbox inset="0,0,0,0">
                <w:txbxContent>
                  <w:p w:rsidR="00A51832" w:rsidRDefault="00A51832">
                    <w:pPr>
                      <w:spacing w:before="20"/>
                      <w:ind w:left="20"/>
                      <w:rPr>
                        <w:sz w:val="17"/>
                      </w:rPr>
                    </w:pPr>
                    <w:r>
                      <w:rPr>
                        <w:sz w:val="17"/>
                      </w:rPr>
                      <w:t>Therapeutic Goods Administration</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s">
          <w:drawing>
            <wp:anchor distT="0" distB="0" distL="114300" distR="114300" simplePos="0" relativeHeight="242137088" behindDoc="1" locked="0" layoutInCell="1" allowOverlap="1">
              <wp:simplePos x="0" y="0"/>
              <wp:positionH relativeFrom="page">
                <wp:posOffset>882650</wp:posOffset>
              </wp:positionH>
              <wp:positionV relativeFrom="page">
                <wp:posOffset>532130</wp:posOffset>
              </wp:positionV>
              <wp:extent cx="5795645" cy="0"/>
              <wp:effectExtent l="0" t="0" r="0" b="0"/>
              <wp:wrapNone/>
              <wp:docPr id="6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56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E3B06" id="Line 41" o:spid="_x0000_s1026" style="position:absolute;z-index:-2611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41.9pt" to="525.8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5uHgIAAEM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" strokeweight=".48pt">
              <w10:wrap anchorx="page" anchory="page"/>
            </v:line>
          </w:pict>
        </mc:Fallback>
      </mc:AlternateContent>
    </w:r>
    <w:r>
      <w:rPr>
        <w:noProof/>
        <w:lang w:val="en-AU" w:eastAsia="en-AU"/>
      </w:rPr>
      <mc:AlternateContent>
        <mc:Choice Requires="wps">
          <w:drawing>
            <wp:anchor distT="0" distB="0" distL="114300" distR="114300" simplePos="0" relativeHeight="242138112" behindDoc="1" locked="0" layoutInCell="1" allowOverlap="1">
              <wp:simplePos x="0" y="0"/>
              <wp:positionH relativeFrom="page">
                <wp:posOffset>5050155</wp:posOffset>
              </wp:positionH>
              <wp:positionV relativeFrom="page">
                <wp:posOffset>350520</wp:posOffset>
              </wp:positionV>
              <wp:extent cx="1622425" cy="152400"/>
              <wp:effectExtent l="0" t="0" r="0" b="0"/>
              <wp:wrapNone/>
              <wp:docPr id="5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Therapeutic Goods 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74" type="#_x0000_t202" style="position:absolute;margin-left:397.65pt;margin-top:27.6pt;width:127.75pt;height:12pt;z-index:-2611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" filled="f" stroked="f">
              <v:textbox inset="0,0,0,0">
                <w:txbxContent>
                  <w:p w:rsidR="00A51832" w:rsidRDefault="00A51832">
                    <w:pPr>
                      <w:spacing w:before="20"/>
                      <w:ind w:left="20"/>
                      <w:rPr>
                        <w:sz w:val="17"/>
                      </w:rPr>
                    </w:pPr>
                    <w:r>
                      <w:rPr>
                        <w:sz w:val="17"/>
                      </w:rPr>
                      <w:t>Therapeutic Goods Administration</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s">
          <w:drawing>
            <wp:anchor distT="0" distB="0" distL="114300" distR="114300" simplePos="0" relativeHeight="242141184" behindDoc="1" locked="0" layoutInCell="1" allowOverlap="1">
              <wp:simplePos x="0" y="0"/>
              <wp:positionH relativeFrom="page">
                <wp:posOffset>882650</wp:posOffset>
              </wp:positionH>
              <wp:positionV relativeFrom="page">
                <wp:posOffset>532130</wp:posOffset>
              </wp:positionV>
              <wp:extent cx="5795645" cy="0"/>
              <wp:effectExtent l="0" t="0" r="0" b="0"/>
              <wp:wrapNone/>
              <wp:docPr id="5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56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42167" id="Line 37" o:spid="_x0000_s1026" style="position:absolute;z-index:-2611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41.9pt" to="525.8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" strokeweight=".48pt">
              <w10:wrap anchorx="page" anchory="page"/>
            </v:line>
          </w:pict>
        </mc:Fallback>
      </mc:AlternateContent>
    </w:r>
    <w:r>
      <w:rPr>
        <w:noProof/>
        <w:lang w:val="en-AU" w:eastAsia="en-AU"/>
      </w:rPr>
      <mc:AlternateContent>
        <mc:Choice Requires="wps">
          <w:drawing>
            <wp:anchor distT="0" distB="0" distL="114300" distR="114300" simplePos="0" relativeHeight="242142208" behindDoc="1" locked="0" layoutInCell="1" allowOverlap="1">
              <wp:simplePos x="0" y="0"/>
              <wp:positionH relativeFrom="page">
                <wp:posOffset>5050155</wp:posOffset>
              </wp:positionH>
              <wp:positionV relativeFrom="page">
                <wp:posOffset>350520</wp:posOffset>
              </wp:positionV>
              <wp:extent cx="1622425" cy="152400"/>
              <wp:effectExtent l="0" t="0" r="0" b="0"/>
              <wp:wrapNone/>
              <wp:docPr id="5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Therapeutic Goods 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77" type="#_x0000_t202" style="position:absolute;margin-left:397.65pt;margin-top:27.6pt;width:127.75pt;height:12pt;z-index:-2611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" filled="f" stroked="f">
              <v:textbox inset="0,0,0,0">
                <w:txbxContent>
                  <w:p w:rsidR="00A51832" w:rsidRDefault="00A51832">
                    <w:pPr>
                      <w:spacing w:before="20"/>
                      <w:ind w:left="20"/>
                      <w:rPr>
                        <w:sz w:val="17"/>
                      </w:rPr>
                    </w:pPr>
                    <w:r>
                      <w:rPr>
                        <w:sz w:val="17"/>
                      </w:rPr>
                      <w:t>Therapeutic Goods Administration</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s">
          <w:drawing>
            <wp:anchor distT="0" distB="0" distL="114300" distR="114300" simplePos="0" relativeHeight="242146304" behindDoc="1" locked="0" layoutInCell="1" allowOverlap="1">
              <wp:simplePos x="0" y="0"/>
              <wp:positionH relativeFrom="page">
                <wp:posOffset>882650</wp:posOffset>
              </wp:positionH>
              <wp:positionV relativeFrom="page">
                <wp:posOffset>532130</wp:posOffset>
              </wp:positionV>
              <wp:extent cx="5795645" cy="0"/>
              <wp:effectExtent l="0" t="0" r="0" b="0"/>
              <wp:wrapNone/>
              <wp:docPr id="4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56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DEFCD" id="Line 29" o:spid="_x0000_s1026" style="position:absolute;z-index:-2611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41.9pt" to="525.8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CZ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" strokeweight=".48pt">
              <w10:wrap anchorx="page" anchory="page"/>
            </v:line>
          </w:pict>
        </mc:Fallback>
      </mc:AlternateContent>
    </w:r>
    <w:r>
      <w:rPr>
        <w:noProof/>
        <w:lang w:val="en-AU" w:eastAsia="en-AU"/>
      </w:rPr>
      <mc:AlternateContent>
        <mc:Choice Requires="wps">
          <w:drawing>
            <wp:anchor distT="0" distB="0" distL="114300" distR="114300" simplePos="0" relativeHeight="242147328" behindDoc="1" locked="0" layoutInCell="1" allowOverlap="1">
              <wp:simplePos x="0" y="0"/>
              <wp:positionH relativeFrom="page">
                <wp:posOffset>5050155</wp:posOffset>
              </wp:positionH>
              <wp:positionV relativeFrom="page">
                <wp:posOffset>350520</wp:posOffset>
              </wp:positionV>
              <wp:extent cx="1622425" cy="152400"/>
              <wp:effectExtent l="0" t="0" r="0" b="0"/>
              <wp:wrapNone/>
              <wp:docPr id="4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Therapeutic Goods 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80" type="#_x0000_t202" style="position:absolute;margin-left:397.65pt;margin-top:27.6pt;width:127.75pt;height:12pt;z-index:-2611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" filled="f" stroked="f">
              <v:textbox inset="0,0,0,0">
                <w:txbxContent>
                  <w:p w:rsidR="00A51832" w:rsidRDefault="00A51832">
                    <w:pPr>
                      <w:spacing w:before="20"/>
                      <w:ind w:left="20"/>
                      <w:rPr>
                        <w:sz w:val="17"/>
                      </w:rPr>
                    </w:pPr>
                    <w:r>
                      <w:rPr>
                        <w:sz w:val="17"/>
                      </w:rPr>
                      <w:t>Therapeutic Goods Administration</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
      </w:rPr>
    </w:pPr>
    <w:r>
      <w:rPr>
        <w:noProof/>
        <w:lang w:val="en-AU" w:eastAsia="en-AU"/>
      </w:rPr>
      <mc:AlternateContent>
        <mc:Choice Requires="wps">
          <w:drawing>
            <wp:anchor distT="0" distB="0" distL="114300" distR="114300" simplePos="0" relativeHeight="242150400" behindDoc="1" locked="0" layoutInCell="1" allowOverlap="1">
              <wp:simplePos x="0" y="0"/>
              <wp:positionH relativeFrom="page">
                <wp:posOffset>5519420</wp:posOffset>
              </wp:positionH>
              <wp:positionV relativeFrom="page">
                <wp:posOffset>278765</wp:posOffset>
              </wp:positionV>
              <wp:extent cx="977900" cy="154940"/>
              <wp:effectExtent l="0" t="0" r="0" b="0"/>
              <wp:wrapNone/>
              <wp:docPr id="4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8"/>
                            <w:ind w:left="20"/>
                            <w:rPr>
                              <w:rFonts w:ascii="Arial"/>
                              <w:sz w:val="16"/>
                            </w:rPr>
                          </w:pPr>
                          <w:hyperlink r:id="rId1">
                            <w:r>
                              <w:rPr>
                                <w:rFonts w:ascii="Arial"/>
                                <w:color w:val="FFA200"/>
                                <w:w w:val="90"/>
                                <w:sz w:val="16"/>
                              </w:rPr>
                              <w:t>NOETICGROUP.COM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83" type="#_x0000_t202" style="position:absolute;margin-left:434.6pt;margin-top:21.95pt;width:77pt;height:12.2pt;z-index:-2611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" filled="f" stroked="f">
              <v:textbox inset="0,0,0,0">
                <w:txbxContent>
                  <w:p w:rsidR="00A51832" w:rsidRDefault="00A51832">
                    <w:pPr>
                      <w:spacing w:before="28"/>
                      <w:ind w:left="20"/>
                      <w:rPr>
                        <w:rFonts w:ascii="Arial"/>
                        <w:sz w:val="16"/>
                      </w:rPr>
                    </w:pPr>
                    <w:hyperlink r:id="rId2">
                      <w:r>
                        <w:rPr>
                          <w:rFonts w:ascii="Arial"/>
                          <w:color w:val="FFA200"/>
                          <w:w w:val="90"/>
                          <w:sz w:val="16"/>
                        </w:rPr>
                        <w:t>NOETICGROUP.COM</w:t>
                      </w:r>
                    </w:hyperlink>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s">
          <w:drawing>
            <wp:anchor distT="0" distB="0" distL="114300" distR="114300" simplePos="0" relativeHeight="242151424" behindDoc="1" locked="0" layoutInCell="1" allowOverlap="1">
              <wp:simplePos x="0" y="0"/>
              <wp:positionH relativeFrom="page">
                <wp:posOffset>1068070</wp:posOffset>
              </wp:positionH>
              <wp:positionV relativeFrom="page">
                <wp:posOffset>278765</wp:posOffset>
              </wp:positionV>
              <wp:extent cx="2230755" cy="154940"/>
              <wp:effectExtent l="0" t="0" r="0" b="0"/>
              <wp:wrapNone/>
              <wp:docPr id="4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8"/>
                            <w:ind w:left="20"/>
                            <w:rPr>
                              <w:rFonts w:ascii="Arial"/>
                              <w:sz w:val="16"/>
                            </w:rPr>
                          </w:pPr>
                          <w:r>
                            <w:rPr>
                              <w:rFonts w:ascii="Arial"/>
                              <w:color w:val="608FB5"/>
                              <w:w w:val="95"/>
                              <w:sz w:val="16"/>
                            </w:rPr>
                            <w:t>SPORTS</w:t>
                          </w:r>
                          <w:r>
                            <w:rPr>
                              <w:rFonts w:ascii="Arial"/>
                              <w:color w:val="608FB5"/>
                              <w:spacing w:val="-17"/>
                              <w:w w:val="95"/>
                              <w:sz w:val="16"/>
                            </w:rPr>
                            <w:t xml:space="preserve"> </w:t>
                          </w:r>
                          <w:r>
                            <w:rPr>
                              <w:rFonts w:ascii="Arial"/>
                              <w:color w:val="608FB5"/>
                              <w:w w:val="95"/>
                              <w:sz w:val="16"/>
                            </w:rPr>
                            <w:t>SUPPLEMENT</w:t>
                          </w:r>
                          <w:r>
                            <w:rPr>
                              <w:rFonts w:ascii="Arial"/>
                              <w:color w:val="608FB5"/>
                              <w:spacing w:val="-17"/>
                              <w:w w:val="95"/>
                              <w:sz w:val="16"/>
                            </w:rPr>
                            <w:t xml:space="preserve"> </w:t>
                          </w:r>
                          <w:r>
                            <w:rPr>
                              <w:rFonts w:ascii="Arial"/>
                              <w:color w:val="608FB5"/>
                              <w:w w:val="95"/>
                              <w:sz w:val="16"/>
                            </w:rPr>
                            <w:t>REGULATORY</w:t>
                          </w:r>
                          <w:r>
                            <w:rPr>
                              <w:rFonts w:ascii="Arial"/>
                              <w:color w:val="608FB5"/>
                              <w:spacing w:val="-16"/>
                              <w:w w:val="95"/>
                              <w:sz w:val="16"/>
                            </w:rPr>
                            <w:t xml:space="preserve"> </w:t>
                          </w:r>
                          <w:r>
                            <w:rPr>
                              <w:rFonts w:ascii="Arial"/>
                              <w:color w:val="608FB5"/>
                              <w:w w:val="95"/>
                              <w:sz w:val="16"/>
                            </w:rPr>
                            <w:t>COSTING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84" type="#_x0000_t202" style="position:absolute;margin-left:84.1pt;margin-top:21.95pt;width:175.65pt;height:12.2pt;z-index:-2611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fPtgIAALM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" filled="f" stroked="f">
              <v:textbox inset="0,0,0,0">
                <w:txbxContent>
                  <w:p w:rsidR="00A51832" w:rsidRDefault="00A51832">
                    <w:pPr>
                      <w:spacing w:before="28"/>
                      <w:ind w:left="20"/>
                      <w:rPr>
                        <w:rFonts w:ascii="Arial"/>
                        <w:sz w:val="16"/>
                      </w:rPr>
                    </w:pPr>
                    <w:r>
                      <w:rPr>
                        <w:rFonts w:ascii="Arial"/>
                        <w:color w:val="608FB5"/>
                        <w:w w:val="95"/>
                        <w:sz w:val="16"/>
                      </w:rPr>
                      <w:t>SPORTS</w:t>
                    </w:r>
                    <w:r>
                      <w:rPr>
                        <w:rFonts w:ascii="Arial"/>
                        <w:color w:val="608FB5"/>
                        <w:spacing w:val="-17"/>
                        <w:w w:val="95"/>
                        <w:sz w:val="16"/>
                      </w:rPr>
                      <w:t xml:space="preserve"> </w:t>
                    </w:r>
                    <w:r>
                      <w:rPr>
                        <w:rFonts w:ascii="Arial"/>
                        <w:color w:val="608FB5"/>
                        <w:w w:val="95"/>
                        <w:sz w:val="16"/>
                      </w:rPr>
                      <w:t>SUPPLEMENT</w:t>
                    </w:r>
                    <w:r>
                      <w:rPr>
                        <w:rFonts w:ascii="Arial"/>
                        <w:color w:val="608FB5"/>
                        <w:spacing w:val="-17"/>
                        <w:w w:val="95"/>
                        <w:sz w:val="16"/>
                      </w:rPr>
                      <w:t xml:space="preserve"> </w:t>
                    </w:r>
                    <w:r>
                      <w:rPr>
                        <w:rFonts w:ascii="Arial"/>
                        <w:color w:val="608FB5"/>
                        <w:w w:val="95"/>
                        <w:sz w:val="16"/>
                      </w:rPr>
                      <w:t>REGULATORY</w:t>
                    </w:r>
                    <w:r>
                      <w:rPr>
                        <w:rFonts w:ascii="Arial"/>
                        <w:color w:val="608FB5"/>
                        <w:spacing w:val="-16"/>
                        <w:w w:val="95"/>
                        <w:sz w:val="16"/>
                      </w:rPr>
                      <w:t xml:space="preserve"> </w:t>
                    </w:r>
                    <w:r>
                      <w:rPr>
                        <w:rFonts w:ascii="Arial"/>
                        <w:color w:val="608FB5"/>
                        <w:w w:val="95"/>
                        <w:sz w:val="16"/>
                      </w:rPr>
                      <w:t>COSTING</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42152448" behindDoc="1" locked="0" layoutInCell="1" allowOverlap="1">
              <wp:simplePos x="0" y="0"/>
              <wp:positionH relativeFrom="page">
                <wp:posOffset>5519420</wp:posOffset>
              </wp:positionH>
              <wp:positionV relativeFrom="page">
                <wp:posOffset>278765</wp:posOffset>
              </wp:positionV>
              <wp:extent cx="977900" cy="154940"/>
              <wp:effectExtent l="0" t="0" r="0" b="0"/>
              <wp:wrapNone/>
              <wp:docPr id="4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8"/>
                            <w:ind w:left="20"/>
                            <w:rPr>
                              <w:rFonts w:ascii="Arial"/>
                              <w:sz w:val="16"/>
                            </w:rPr>
                          </w:pPr>
                          <w:hyperlink r:id="rId1">
                            <w:r>
                              <w:rPr>
                                <w:rFonts w:ascii="Arial"/>
                                <w:color w:val="FFA200"/>
                                <w:w w:val="90"/>
                                <w:sz w:val="16"/>
                              </w:rPr>
                              <w:t>NOETICGROUP.COM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85" type="#_x0000_t202" style="position:absolute;margin-left:434.6pt;margin-top:21.95pt;width:77pt;height:12.2pt;z-index:-2611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CjswIAALI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" filled="f" stroked="f">
              <v:textbox inset="0,0,0,0">
                <w:txbxContent>
                  <w:p w:rsidR="00A51832" w:rsidRDefault="00A51832">
                    <w:pPr>
                      <w:spacing w:before="28"/>
                      <w:ind w:left="20"/>
                      <w:rPr>
                        <w:rFonts w:ascii="Arial"/>
                        <w:sz w:val="16"/>
                      </w:rPr>
                    </w:pPr>
                    <w:hyperlink r:id="rId2">
                      <w:r>
                        <w:rPr>
                          <w:rFonts w:ascii="Arial"/>
                          <w:color w:val="FFA200"/>
                          <w:w w:val="90"/>
                          <w:sz w:val="16"/>
                        </w:rPr>
                        <w:t>NOETICGROUP.COM</w:t>
                      </w:r>
                    </w:hyperlink>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s">
          <w:drawing>
            <wp:anchor distT="0" distB="0" distL="114300" distR="114300" simplePos="0" relativeHeight="242076672" behindDoc="1" locked="0" layoutInCell="1" allowOverlap="1">
              <wp:simplePos x="0" y="0"/>
              <wp:positionH relativeFrom="page">
                <wp:posOffset>882650</wp:posOffset>
              </wp:positionH>
              <wp:positionV relativeFrom="page">
                <wp:posOffset>532130</wp:posOffset>
              </wp:positionV>
              <wp:extent cx="5795645" cy="0"/>
              <wp:effectExtent l="0" t="0" r="0" b="0"/>
              <wp:wrapNone/>
              <wp:docPr id="137"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56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23170" id="Line 118" o:spid="_x0000_s1026" style="position:absolute;z-index:-2612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41.9pt" to="525.8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Oo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" strokeweight=".48pt">
              <w10:wrap anchorx="page" anchory="page"/>
            </v:line>
          </w:pict>
        </mc:Fallback>
      </mc:AlternateContent>
    </w:r>
    <w:r>
      <w:rPr>
        <w:noProof/>
        <w:lang w:val="en-AU" w:eastAsia="en-AU"/>
      </w:rPr>
      <mc:AlternateContent>
        <mc:Choice Requires="wps">
          <w:drawing>
            <wp:anchor distT="0" distB="0" distL="114300" distR="114300" simplePos="0" relativeHeight="242077696" behindDoc="1" locked="0" layoutInCell="1" allowOverlap="1">
              <wp:simplePos x="0" y="0"/>
              <wp:positionH relativeFrom="page">
                <wp:posOffset>5050155</wp:posOffset>
              </wp:positionH>
              <wp:positionV relativeFrom="page">
                <wp:posOffset>350520</wp:posOffset>
              </wp:positionV>
              <wp:extent cx="1622425" cy="152400"/>
              <wp:effectExtent l="0" t="0" r="0" b="0"/>
              <wp:wrapNone/>
              <wp:docPr id="13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Therapeutic Goods 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035" type="#_x0000_t202" style="position:absolute;margin-left:397.65pt;margin-top:27.6pt;width:127.75pt;height:12pt;z-index:-2612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" filled="f" stroked="f">
              <v:textbox inset="0,0,0,0">
                <w:txbxContent>
                  <w:p w:rsidR="00A51832" w:rsidRDefault="00A51832">
                    <w:pPr>
                      <w:spacing w:before="20"/>
                      <w:ind w:left="20"/>
                      <w:rPr>
                        <w:sz w:val="17"/>
                      </w:rPr>
                    </w:pPr>
                    <w:r>
                      <w:rPr>
                        <w:sz w:val="17"/>
                      </w:rPr>
                      <w:t>Therapeutic Goods Administration</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s">
          <w:drawing>
            <wp:anchor distT="0" distB="0" distL="114300" distR="114300" simplePos="0" relativeHeight="242153472" behindDoc="1" locked="0" layoutInCell="1" allowOverlap="1">
              <wp:simplePos x="0" y="0"/>
              <wp:positionH relativeFrom="page">
                <wp:posOffset>1062355</wp:posOffset>
              </wp:positionH>
              <wp:positionV relativeFrom="page">
                <wp:posOffset>521335</wp:posOffset>
              </wp:positionV>
              <wp:extent cx="5438775" cy="0"/>
              <wp:effectExtent l="0" t="0" r="0" b="0"/>
              <wp:wrapNone/>
              <wp:docPr id="4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line">
                        <a:avLst/>
                      </a:prstGeom>
                      <a:noFill/>
                      <a:ln w="6096">
                        <a:solidFill>
                          <a:srgbClr val="608FB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680B3" id="Line 22" o:spid="_x0000_s1026" style="position:absolute;z-index:-2611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41.05pt" to="511.9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" strokecolor="#608fb5" strokeweight=".48pt">
              <w10:wrap anchorx="page" anchory="page"/>
            </v:line>
          </w:pict>
        </mc:Fallback>
      </mc:AlternateContent>
    </w:r>
    <w:r>
      <w:rPr>
        <w:noProof/>
        <w:lang w:val="en-AU" w:eastAsia="en-AU"/>
      </w:rPr>
      <mc:AlternateContent>
        <mc:Choice Requires="wps">
          <w:drawing>
            <wp:anchor distT="0" distB="0" distL="114300" distR="114300" simplePos="0" relativeHeight="242154496" behindDoc="1" locked="0" layoutInCell="1" allowOverlap="1">
              <wp:simplePos x="0" y="0"/>
              <wp:positionH relativeFrom="page">
                <wp:posOffset>1071245</wp:posOffset>
              </wp:positionH>
              <wp:positionV relativeFrom="page">
                <wp:posOffset>281940</wp:posOffset>
              </wp:positionV>
              <wp:extent cx="2290445" cy="154940"/>
              <wp:effectExtent l="0" t="0" r="0" b="0"/>
              <wp:wrapNone/>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8"/>
                            <w:ind w:left="20"/>
                            <w:rPr>
                              <w:rFonts w:ascii="Arial"/>
                              <w:sz w:val="16"/>
                            </w:rPr>
                          </w:pPr>
                          <w:r>
                            <w:rPr>
                              <w:rFonts w:ascii="Arial"/>
                              <w:color w:val="608FB5"/>
                              <w:w w:val="95"/>
                              <w:sz w:val="16"/>
                            </w:rPr>
                            <w:t>SPORTS</w:t>
                          </w:r>
                          <w:r>
                            <w:rPr>
                              <w:rFonts w:ascii="Arial"/>
                              <w:color w:val="608FB5"/>
                              <w:spacing w:val="-19"/>
                              <w:w w:val="95"/>
                              <w:sz w:val="16"/>
                            </w:rPr>
                            <w:t xml:space="preserve"> </w:t>
                          </w:r>
                          <w:r>
                            <w:rPr>
                              <w:rFonts w:ascii="Arial"/>
                              <w:color w:val="608FB5"/>
                              <w:w w:val="95"/>
                              <w:sz w:val="16"/>
                            </w:rPr>
                            <w:t>SUPPLEMENTS</w:t>
                          </w:r>
                          <w:r>
                            <w:rPr>
                              <w:rFonts w:ascii="Arial"/>
                              <w:color w:val="608FB5"/>
                              <w:spacing w:val="-19"/>
                              <w:w w:val="95"/>
                              <w:sz w:val="16"/>
                            </w:rPr>
                            <w:t xml:space="preserve"> </w:t>
                          </w:r>
                          <w:r>
                            <w:rPr>
                              <w:rFonts w:ascii="Arial"/>
                              <w:color w:val="608FB5"/>
                              <w:w w:val="95"/>
                              <w:sz w:val="16"/>
                            </w:rPr>
                            <w:t>REGULATORY</w:t>
                          </w:r>
                          <w:r>
                            <w:rPr>
                              <w:rFonts w:ascii="Arial"/>
                              <w:color w:val="608FB5"/>
                              <w:spacing w:val="-18"/>
                              <w:w w:val="95"/>
                              <w:sz w:val="16"/>
                            </w:rPr>
                            <w:t xml:space="preserve"> </w:t>
                          </w:r>
                          <w:r>
                            <w:rPr>
                              <w:rFonts w:ascii="Arial"/>
                              <w:color w:val="608FB5"/>
                              <w:w w:val="95"/>
                              <w:sz w:val="16"/>
                            </w:rPr>
                            <w:t>COSTING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86" type="#_x0000_t202" style="position:absolute;margin-left:84.35pt;margin-top:22.2pt;width:180.35pt;height:12.2pt;z-index:-2611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" filled="f" stroked="f">
              <v:textbox inset="0,0,0,0">
                <w:txbxContent>
                  <w:p w:rsidR="00A51832" w:rsidRDefault="00A51832">
                    <w:pPr>
                      <w:spacing w:before="28"/>
                      <w:ind w:left="20"/>
                      <w:rPr>
                        <w:rFonts w:ascii="Arial"/>
                        <w:sz w:val="16"/>
                      </w:rPr>
                    </w:pPr>
                    <w:r>
                      <w:rPr>
                        <w:rFonts w:ascii="Arial"/>
                        <w:color w:val="608FB5"/>
                        <w:w w:val="95"/>
                        <w:sz w:val="16"/>
                      </w:rPr>
                      <w:t>SPORTS</w:t>
                    </w:r>
                    <w:r>
                      <w:rPr>
                        <w:rFonts w:ascii="Arial"/>
                        <w:color w:val="608FB5"/>
                        <w:spacing w:val="-19"/>
                        <w:w w:val="95"/>
                        <w:sz w:val="16"/>
                      </w:rPr>
                      <w:t xml:space="preserve"> </w:t>
                    </w:r>
                    <w:r>
                      <w:rPr>
                        <w:rFonts w:ascii="Arial"/>
                        <w:color w:val="608FB5"/>
                        <w:w w:val="95"/>
                        <w:sz w:val="16"/>
                      </w:rPr>
                      <w:t>SUPPLEMENTS</w:t>
                    </w:r>
                    <w:r>
                      <w:rPr>
                        <w:rFonts w:ascii="Arial"/>
                        <w:color w:val="608FB5"/>
                        <w:spacing w:val="-19"/>
                        <w:w w:val="95"/>
                        <w:sz w:val="16"/>
                      </w:rPr>
                      <w:t xml:space="preserve"> </w:t>
                    </w:r>
                    <w:r>
                      <w:rPr>
                        <w:rFonts w:ascii="Arial"/>
                        <w:color w:val="608FB5"/>
                        <w:w w:val="95"/>
                        <w:sz w:val="16"/>
                      </w:rPr>
                      <w:t>REGULATORY</w:t>
                    </w:r>
                    <w:r>
                      <w:rPr>
                        <w:rFonts w:ascii="Arial"/>
                        <w:color w:val="608FB5"/>
                        <w:spacing w:val="-18"/>
                        <w:w w:val="95"/>
                        <w:sz w:val="16"/>
                      </w:rPr>
                      <w:t xml:space="preserve"> </w:t>
                    </w:r>
                    <w:r>
                      <w:rPr>
                        <w:rFonts w:ascii="Arial"/>
                        <w:color w:val="608FB5"/>
                        <w:w w:val="95"/>
                        <w:sz w:val="16"/>
                      </w:rPr>
                      <w:t>COSTING</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42155520" behindDoc="1" locked="0" layoutInCell="1" allowOverlap="1">
              <wp:simplePos x="0" y="0"/>
              <wp:positionH relativeFrom="page">
                <wp:posOffset>5519420</wp:posOffset>
              </wp:positionH>
              <wp:positionV relativeFrom="page">
                <wp:posOffset>278765</wp:posOffset>
              </wp:positionV>
              <wp:extent cx="977900" cy="154940"/>
              <wp:effectExtent l="0" t="0" r="0" b="0"/>
              <wp:wrapNone/>
              <wp:docPr id="3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8"/>
                            <w:ind w:left="20"/>
                            <w:rPr>
                              <w:rFonts w:ascii="Arial"/>
                              <w:sz w:val="16"/>
                            </w:rPr>
                          </w:pPr>
                          <w:hyperlink r:id="rId1">
                            <w:r>
                              <w:rPr>
                                <w:rFonts w:ascii="Arial"/>
                                <w:color w:val="FFA200"/>
                                <w:w w:val="90"/>
                                <w:sz w:val="16"/>
                              </w:rPr>
                              <w:t>NOETICGROUP.COM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87" type="#_x0000_t202" style="position:absolute;margin-left:434.6pt;margin-top:21.95pt;width:77pt;height:12.2pt;z-index:-2611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" filled="f" stroked="f">
              <v:textbox inset="0,0,0,0">
                <w:txbxContent>
                  <w:p w:rsidR="00A51832" w:rsidRDefault="00A51832">
                    <w:pPr>
                      <w:spacing w:before="28"/>
                      <w:ind w:left="20"/>
                      <w:rPr>
                        <w:rFonts w:ascii="Arial"/>
                        <w:sz w:val="16"/>
                      </w:rPr>
                    </w:pPr>
                    <w:hyperlink r:id="rId2">
                      <w:r>
                        <w:rPr>
                          <w:rFonts w:ascii="Arial"/>
                          <w:color w:val="FFA200"/>
                          <w:w w:val="90"/>
                          <w:sz w:val="16"/>
                        </w:rPr>
                        <w:t>NOETICGROUP.COM</w:t>
                      </w:r>
                    </w:hyperlink>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s">
          <w:drawing>
            <wp:anchor distT="0" distB="0" distL="114300" distR="114300" simplePos="0" relativeHeight="242159616" behindDoc="1" locked="0" layoutInCell="1" allowOverlap="1">
              <wp:simplePos x="0" y="0"/>
              <wp:positionH relativeFrom="page">
                <wp:posOffset>845820</wp:posOffset>
              </wp:positionH>
              <wp:positionV relativeFrom="page">
                <wp:posOffset>532130</wp:posOffset>
              </wp:positionV>
              <wp:extent cx="9144000" cy="0"/>
              <wp:effectExtent l="0" t="0" r="0" b="0"/>
              <wp:wrapNone/>
              <wp:docPr id="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64222" id="Line 16" o:spid="_x0000_s1026" style="position:absolute;z-index:-2611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pt,41.9pt" to="786.6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RVHgIAAEMEAAAOAAAAZHJzL2Uyb0RvYy54bWysU8GO2jAQvVfqP1i+QxI2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" strokeweight=".48pt">
              <w10:wrap anchorx="page" anchory="page"/>
            </v:line>
          </w:pict>
        </mc:Fallback>
      </mc:AlternateContent>
    </w:r>
    <w:r>
      <w:rPr>
        <w:noProof/>
        <w:lang w:val="en-AU" w:eastAsia="en-AU"/>
      </w:rPr>
      <mc:AlternateContent>
        <mc:Choice Requires="wps">
          <w:drawing>
            <wp:anchor distT="0" distB="0" distL="114300" distR="114300" simplePos="0" relativeHeight="242160640" behindDoc="1" locked="0" layoutInCell="1" allowOverlap="1">
              <wp:simplePos x="0" y="0"/>
              <wp:positionH relativeFrom="page">
                <wp:posOffset>8361680</wp:posOffset>
              </wp:positionH>
              <wp:positionV relativeFrom="page">
                <wp:posOffset>350520</wp:posOffset>
              </wp:positionV>
              <wp:extent cx="1622425" cy="15240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Therapeutic Goods 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90" type="#_x0000_t202" style="position:absolute;margin-left:658.4pt;margin-top:27.6pt;width:127.75pt;height:12pt;z-index:-2611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" filled="f" stroked="f">
              <v:textbox inset="0,0,0,0">
                <w:txbxContent>
                  <w:p w:rsidR="00A51832" w:rsidRDefault="00A51832">
                    <w:pPr>
                      <w:spacing w:before="20"/>
                      <w:ind w:left="20"/>
                      <w:rPr>
                        <w:sz w:val="17"/>
                      </w:rPr>
                    </w:pPr>
                    <w:r>
                      <w:rPr>
                        <w:sz w:val="17"/>
                      </w:rPr>
                      <w:t>Therapeutic Goods Administration</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s">
          <w:drawing>
            <wp:anchor distT="0" distB="0" distL="114300" distR="114300" simplePos="0" relativeHeight="242164736" behindDoc="1" locked="0" layoutInCell="1" allowOverlap="1">
              <wp:simplePos x="0" y="0"/>
              <wp:positionH relativeFrom="page">
                <wp:posOffset>882650</wp:posOffset>
              </wp:positionH>
              <wp:positionV relativeFrom="page">
                <wp:posOffset>532130</wp:posOffset>
              </wp:positionV>
              <wp:extent cx="5795645" cy="0"/>
              <wp:effectExtent l="0" t="0" r="0" b="0"/>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56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1DD03" id="Line 8" o:spid="_x0000_s1026" style="position:absolute;z-index:-2611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41.9pt" to="525.8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njHQIAAEIEAAAOAAAAZHJzL2Uyb0RvYy54bWysU8GO2jAQvVfqP1i+QxIash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" strokeweight=".48pt">
              <w10:wrap anchorx="page" anchory="page"/>
            </v:line>
          </w:pict>
        </mc:Fallback>
      </mc:AlternateContent>
    </w:r>
    <w:r>
      <w:rPr>
        <w:noProof/>
        <w:lang w:val="en-AU" w:eastAsia="en-AU"/>
      </w:rPr>
      <mc:AlternateContent>
        <mc:Choice Requires="wps">
          <w:drawing>
            <wp:anchor distT="0" distB="0" distL="114300" distR="114300" simplePos="0" relativeHeight="242165760" behindDoc="1" locked="0" layoutInCell="1" allowOverlap="1">
              <wp:simplePos x="0" y="0"/>
              <wp:positionH relativeFrom="page">
                <wp:posOffset>5050155</wp:posOffset>
              </wp:positionH>
              <wp:positionV relativeFrom="page">
                <wp:posOffset>350520</wp:posOffset>
              </wp:positionV>
              <wp:extent cx="1622425" cy="15240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Therapeutic Goods 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93" type="#_x0000_t202" style="position:absolute;margin-left:397.65pt;margin-top:27.6pt;width:127.75pt;height:12pt;z-index:-2611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" filled="f" stroked="f">
              <v:textbox inset="0,0,0,0">
                <w:txbxContent>
                  <w:p w:rsidR="00A51832" w:rsidRDefault="00A51832">
                    <w:pPr>
                      <w:spacing w:before="20"/>
                      <w:ind w:left="20"/>
                      <w:rPr>
                        <w:sz w:val="17"/>
                      </w:rPr>
                    </w:pPr>
                    <w:r>
                      <w:rPr>
                        <w:sz w:val="17"/>
                      </w:rPr>
                      <w:t>Therapeutic Goods Administration</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s">
          <w:drawing>
            <wp:anchor distT="0" distB="0" distL="114300" distR="114300" simplePos="0" relativeHeight="242081792" behindDoc="1" locked="0" layoutInCell="1" allowOverlap="1">
              <wp:simplePos x="0" y="0"/>
              <wp:positionH relativeFrom="page">
                <wp:posOffset>882650</wp:posOffset>
              </wp:positionH>
              <wp:positionV relativeFrom="page">
                <wp:posOffset>532130</wp:posOffset>
              </wp:positionV>
              <wp:extent cx="5795645" cy="0"/>
              <wp:effectExtent l="0" t="0" r="0" b="0"/>
              <wp:wrapNone/>
              <wp:docPr id="129"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56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EE97D" id="Line 110" o:spid="_x0000_s1026" style="position:absolute;z-index:-2612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41.9pt" to="525.8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EO0IAIAAEUEAAAOAAAAZHJzL2Uyb0RvYy54bWysU82O2jAQvlfqO1i+QxIaW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" strokeweight=".48pt">
              <w10:wrap anchorx="page" anchory="page"/>
            </v:line>
          </w:pict>
        </mc:Fallback>
      </mc:AlternateContent>
    </w:r>
    <w:r>
      <w:rPr>
        <w:noProof/>
        <w:lang w:val="en-AU" w:eastAsia="en-AU"/>
      </w:rPr>
      <mc:AlternateContent>
        <mc:Choice Requires="wps">
          <w:drawing>
            <wp:anchor distT="0" distB="0" distL="114300" distR="114300" simplePos="0" relativeHeight="242082816" behindDoc="1" locked="0" layoutInCell="1" allowOverlap="1">
              <wp:simplePos x="0" y="0"/>
              <wp:positionH relativeFrom="page">
                <wp:posOffset>5050155</wp:posOffset>
              </wp:positionH>
              <wp:positionV relativeFrom="page">
                <wp:posOffset>350520</wp:posOffset>
              </wp:positionV>
              <wp:extent cx="1622425" cy="152400"/>
              <wp:effectExtent l="0" t="0" r="0" b="0"/>
              <wp:wrapNone/>
              <wp:docPr id="12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Therapeutic Goods 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038" type="#_x0000_t202" style="position:absolute;margin-left:397.65pt;margin-top:27.6pt;width:127.75pt;height:12pt;z-index:-2612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" filled="f" stroked="f">
              <v:textbox inset="0,0,0,0">
                <w:txbxContent>
                  <w:p w:rsidR="00A51832" w:rsidRDefault="00A51832">
                    <w:pPr>
                      <w:spacing w:before="20"/>
                      <w:ind w:left="20"/>
                      <w:rPr>
                        <w:sz w:val="17"/>
                      </w:rPr>
                    </w:pPr>
                    <w:r>
                      <w:rPr>
                        <w:sz w:val="17"/>
                      </w:rPr>
                      <w:t>Therapeutic Goods Administration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s">
          <w:drawing>
            <wp:anchor distT="0" distB="0" distL="114300" distR="114300" simplePos="0" relativeHeight="242085888" behindDoc="1" locked="0" layoutInCell="1" allowOverlap="1">
              <wp:simplePos x="0" y="0"/>
              <wp:positionH relativeFrom="page">
                <wp:posOffset>882650</wp:posOffset>
              </wp:positionH>
              <wp:positionV relativeFrom="page">
                <wp:posOffset>532130</wp:posOffset>
              </wp:positionV>
              <wp:extent cx="5795645" cy="0"/>
              <wp:effectExtent l="0" t="0" r="0" b="0"/>
              <wp:wrapNone/>
              <wp:docPr id="125"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56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1A3C9" id="Line 106" o:spid="_x0000_s1026" style="position:absolute;z-index:-2612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41.9pt" to="525.8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e1HwIAAEU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" strokeweight=".48pt">
              <w10:wrap anchorx="page" anchory="page"/>
            </v:line>
          </w:pict>
        </mc:Fallback>
      </mc:AlternateContent>
    </w:r>
    <w:r>
      <w:rPr>
        <w:noProof/>
        <w:lang w:val="en-AU" w:eastAsia="en-AU"/>
      </w:rPr>
      <mc:AlternateContent>
        <mc:Choice Requires="wps">
          <w:drawing>
            <wp:anchor distT="0" distB="0" distL="114300" distR="114300" simplePos="0" relativeHeight="242086912" behindDoc="1" locked="0" layoutInCell="1" allowOverlap="1">
              <wp:simplePos x="0" y="0"/>
              <wp:positionH relativeFrom="page">
                <wp:posOffset>5050155</wp:posOffset>
              </wp:positionH>
              <wp:positionV relativeFrom="page">
                <wp:posOffset>350520</wp:posOffset>
              </wp:positionV>
              <wp:extent cx="1622425" cy="152400"/>
              <wp:effectExtent l="0" t="0" r="0" b="0"/>
              <wp:wrapNone/>
              <wp:docPr id="12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Therapeutic Goods 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41" type="#_x0000_t202" style="position:absolute;margin-left:397.65pt;margin-top:27.6pt;width:127.75pt;height:12pt;z-index:-2612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" filled="f" stroked="f">
              <v:textbox inset="0,0,0,0">
                <w:txbxContent>
                  <w:p w:rsidR="00A51832" w:rsidRDefault="00A51832">
                    <w:pPr>
                      <w:spacing w:before="20"/>
                      <w:ind w:left="20"/>
                      <w:rPr>
                        <w:sz w:val="17"/>
                      </w:rPr>
                    </w:pPr>
                    <w:r>
                      <w:rPr>
                        <w:sz w:val="17"/>
                      </w:rPr>
                      <w:t>Therapeutic Goods Administration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s">
          <w:drawing>
            <wp:anchor distT="0" distB="0" distL="114300" distR="114300" simplePos="0" relativeHeight="242091008" behindDoc="1" locked="0" layoutInCell="1" allowOverlap="1">
              <wp:simplePos x="0" y="0"/>
              <wp:positionH relativeFrom="page">
                <wp:posOffset>882650</wp:posOffset>
              </wp:positionH>
              <wp:positionV relativeFrom="page">
                <wp:posOffset>532130</wp:posOffset>
              </wp:positionV>
              <wp:extent cx="5795645" cy="0"/>
              <wp:effectExtent l="0" t="0" r="0" b="0"/>
              <wp:wrapNone/>
              <wp:docPr id="11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56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AF675" id="Line 98" o:spid="_x0000_s1026" style="position:absolute;z-index:-2612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41.9pt" to="525.8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rVHwIAAEQ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" strokeweight=".48pt">
              <w10:wrap anchorx="page" anchory="page"/>
            </v:line>
          </w:pict>
        </mc:Fallback>
      </mc:AlternateContent>
    </w:r>
    <w:r>
      <w:rPr>
        <w:noProof/>
        <w:lang w:val="en-AU" w:eastAsia="en-AU"/>
      </w:rPr>
      <mc:AlternateContent>
        <mc:Choice Requires="wps">
          <w:drawing>
            <wp:anchor distT="0" distB="0" distL="114300" distR="114300" simplePos="0" relativeHeight="242092032" behindDoc="1" locked="0" layoutInCell="1" allowOverlap="1">
              <wp:simplePos x="0" y="0"/>
              <wp:positionH relativeFrom="page">
                <wp:posOffset>5050155</wp:posOffset>
              </wp:positionH>
              <wp:positionV relativeFrom="page">
                <wp:posOffset>350520</wp:posOffset>
              </wp:positionV>
              <wp:extent cx="1622425" cy="152400"/>
              <wp:effectExtent l="0" t="0" r="0" b="0"/>
              <wp:wrapNone/>
              <wp:docPr id="11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Therapeutic Goods 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44" type="#_x0000_t202" style="position:absolute;margin-left:397.65pt;margin-top:27.6pt;width:127.75pt;height:12pt;z-index:-2612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" filled="f" stroked="f">
              <v:textbox inset="0,0,0,0">
                <w:txbxContent>
                  <w:p w:rsidR="00A51832" w:rsidRDefault="00A51832">
                    <w:pPr>
                      <w:spacing w:before="20"/>
                      <w:ind w:left="20"/>
                      <w:rPr>
                        <w:sz w:val="17"/>
                      </w:rPr>
                    </w:pPr>
                    <w:r>
                      <w:rPr>
                        <w:sz w:val="17"/>
                      </w:rPr>
                      <w:t>Therapeutic Goods Administration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s">
          <w:drawing>
            <wp:anchor distT="0" distB="0" distL="114300" distR="114300" simplePos="0" relativeHeight="242095104" behindDoc="1" locked="0" layoutInCell="1" allowOverlap="1">
              <wp:simplePos x="0" y="0"/>
              <wp:positionH relativeFrom="page">
                <wp:posOffset>882650</wp:posOffset>
              </wp:positionH>
              <wp:positionV relativeFrom="page">
                <wp:posOffset>532130</wp:posOffset>
              </wp:positionV>
              <wp:extent cx="5795645" cy="0"/>
              <wp:effectExtent l="0" t="0" r="0" b="0"/>
              <wp:wrapNone/>
              <wp:docPr id="113"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56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353EA" id="Line 94" o:spid="_x0000_s1026" style="position:absolute;z-index:-2612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41.9pt" to="525.8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S5bHw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" strokeweight=".48pt">
              <w10:wrap anchorx="page" anchory="page"/>
            </v:line>
          </w:pict>
        </mc:Fallback>
      </mc:AlternateContent>
    </w:r>
    <w:r>
      <w:rPr>
        <w:noProof/>
        <w:lang w:val="en-AU" w:eastAsia="en-AU"/>
      </w:rPr>
      <mc:AlternateContent>
        <mc:Choice Requires="wps">
          <w:drawing>
            <wp:anchor distT="0" distB="0" distL="114300" distR="114300" simplePos="0" relativeHeight="242096128" behindDoc="1" locked="0" layoutInCell="1" allowOverlap="1">
              <wp:simplePos x="0" y="0"/>
              <wp:positionH relativeFrom="page">
                <wp:posOffset>5050155</wp:posOffset>
              </wp:positionH>
              <wp:positionV relativeFrom="page">
                <wp:posOffset>350520</wp:posOffset>
              </wp:positionV>
              <wp:extent cx="1622425" cy="152400"/>
              <wp:effectExtent l="0" t="0" r="0" b="0"/>
              <wp:wrapNone/>
              <wp:docPr id="11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Therapeutic Goods 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047" type="#_x0000_t202" style="position:absolute;margin-left:397.65pt;margin-top:27.6pt;width:127.75pt;height:12pt;z-index:-2612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" filled="f" stroked="f">
              <v:textbox inset="0,0,0,0">
                <w:txbxContent>
                  <w:p w:rsidR="00A51832" w:rsidRDefault="00A51832">
                    <w:pPr>
                      <w:spacing w:before="20"/>
                      <w:ind w:left="20"/>
                      <w:rPr>
                        <w:sz w:val="17"/>
                      </w:rPr>
                    </w:pPr>
                    <w:r>
                      <w:rPr>
                        <w:sz w:val="17"/>
                      </w:rPr>
                      <w:t>Therapeutic Goods Administration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s">
          <w:drawing>
            <wp:anchor distT="0" distB="0" distL="114300" distR="114300" simplePos="0" relativeHeight="242100224" behindDoc="1" locked="0" layoutInCell="1" allowOverlap="1">
              <wp:simplePos x="0" y="0"/>
              <wp:positionH relativeFrom="page">
                <wp:posOffset>882650</wp:posOffset>
              </wp:positionH>
              <wp:positionV relativeFrom="page">
                <wp:posOffset>532130</wp:posOffset>
              </wp:positionV>
              <wp:extent cx="5795645" cy="0"/>
              <wp:effectExtent l="0" t="0" r="0" b="0"/>
              <wp:wrapNone/>
              <wp:docPr id="105"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56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FCA97" id="Line 86" o:spid="_x0000_s1026" style="position:absolute;z-index:-2612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41.9pt" to="525.8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0CLHgIAAEQ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" strokeweight=".48pt">
              <w10:wrap anchorx="page" anchory="page"/>
            </v:line>
          </w:pict>
        </mc:Fallback>
      </mc:AlternateContent>
    </w:r>
    <w:r>
      <w:rPr>
        <w:noProof/>
        <w:lang w:val="en-AU" w:eastAsia="en-AU"/>
      </w:rPr>
      <mc:AlternateContent>
        <mc:Choice Requires="wps">
          <w:drawing>
            <wp:anchor distT="0" distB="0" distL="114300" distR="114300" simplePos="0" relativeHeight="242101248" behindDoc="1" locked="0" layoutInCell="1" allowOverlap="1">
              <wp:simplePos x="0" y="0"/>
              <wp:positionH relativeFrom="page">
                <wp:posOffset>5050155</wp:posOffset>
              </wp:positionH>
              <wp:positionV relativeFrom="page">
                <wp:posOffset>350520</wp:posOffset>
              </wp:positionV>
              <wp:extent cx="1622425" cy="152400"/>
              <wp:effectExtent l="0" t="0" r="0" b="0"/>
              <wp:wrapNone/>
              <wp:docPr id="10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Therapeutic Goods 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50" type="#_x0000_t202" style="position:absolute;margin-left:397.65pt;margin-top:27.6pt;width:127.75pt;height:12pt;z-index:-2612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" filled="f" stroked="f">
              <v:textbox inset="0,0,0,0">
                <w:txbxContent>
                  <w:p w:rsidR="00A51832" w:rsidRDefault="00A51832">
                    <w:pPr>
                      <w:spacing w:before="20"/>
                      <w:ind w:left="20"/>
                      <w:rPr>
                        <w:sz w:val="17"/>
                      </w:rPr>
                    </w:pPr>
                    <w:r>
                      <w:rPr>
                        <w:sz w:val="17"/>
                      </w:rPr>
                      <w:t>Therapeutic Goods Administration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s">
          <w:drawing>
            <wp:anchor distT="0" distB="0" distL="114300" distR="114300" simplePos="0" relativeHeight="242104320" behindDoc="1" locked="0" layoutInCell="1" allowOverlap="1">
              <wp:simplePos x="0" y="0"/>
              <wp:positionH relativeFrom="page">
                <wp:posOffset>882650</wp:posOffset>
              </wp:positionH>
              <wp:positionV relativeFrom="page">
                <wp:posOffset>532130</wp:posOffset>
              </wp:positionV>
              <wp:extent cx="5795645" cy="0"/>
              <wp:effectExtent l="0" t="0" r="0" b="0"/>
              <wp:wrapNone/>
              <wp:docPr id="101"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56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0B453" id="Line 82" o:spid="_x0000_s1026" style="position:absolute;z-index:-2612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41.9pt" to="525.8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lMyHwIAAEQ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" strokeweight=".48pt">
              <w10:wrap anchorx="page" anchory="page"/>
            </v:line>
          </w:pict>
        </mc:Fallback>
      </mc:AlternateContent>
    </w:r>
    <w:r>
      <w:rPr>
        <w:noProof/>
        <w:lang w:val="en-AU" w:eastAsia="en-AU"/>
      </w:rPr>
      <mc:AlternateContent>
        <mc:Choice Requires="wps">
          <w:drawing>
            <wp:anchor distT="0" distB="0" distL="114300" distR="114300" simplePos="0" relativeHeight="242105344" behindDoc="1" locked="0" layoutInCell="1" allowOverlap="1">
              <wp:simplePos x="0" y="0"/>
              <wp:positionH relativeFrom="page">
                <wp:posOffset>5050155</wp:posOffset>
              </wp:positionH>
              <wp:positionV relativeFrom="page">
                <wp:posOffset>350520</wp:posOffset>
              </wp:positionV>
              <wp:extent cx="1622425" cy="152400"/>
              <wp:effectExtent l="0" t="0" r="0" b="0"/>
              <wp:wrapNone/>
              <wp:docPr id="10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Therapeutic Goods 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53" type="#_x0000_t202" style="position:absolute;margin-left:397.65pt;margin-top:27.6pt;width:127.75pt;height:12pt;z-index:-2612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" filled="f" stroked="f">
              <v:textbox inset="0,0,0,0">
                <w:txbxContent>
                  <w:p w:rsidR="00A51832" w:rsidRDefault="00A51832">
                    <w:pPr>
                      <w:spacing w:before="20"/>
                      <w:ind w:left="20"/>
                      <w:rPr>
                        <w:sz w:val="17"/>
                      </w:rPr>
                    </w:pPr>
                    <w:r>
                      <w:rPr>
                        <w:sz w:val="17"/>
                      </w:rPr>
                      <w:t>Therapeutic Goods Administration</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32" w:rsidRDefault="00A51832">
    <w:pPr>
      <w:pStyle w:val="BodyText"/>
      <w:spacing w:line="14" w:lineRule="auto"/>
      <w:rPr>
        <w:sz w:val="20"/>
      </w:rPr>
    </w:pPr>
    <w:r>
      <w:rPr>
        <w:noProof/>
        <w:lang w:val="en-AU" w:eastAsia="en-AU"/>
      </w:rPr>
      <mc:AlternateContent>
        <mc:Choice Requires="wps">
          <w:drawing>
            <wp:anchor distT="0" distB="0" distL="114300" distR="114300" simplePos="0" relativeHeight="242109440" behindDoc="1" locked="0" layoutInCell="1" allowOverlap="1">
              <wp:simplePos x="0" y="0"/>
              <wp:positionH relativeFrom="page">
                <wp:posOffset>882650</wp:posOffset>
              </wp:positionH>
              <wp:positionV relativeFrom="page">
                <wp:posOffset>532130</wp:posOffset>
              </wp:positionV>
              <wp:extent cx="5795645" cy="0"/>
              <wp:effectExtent l="0" t="0" r="0" b="0"/>
              <wp:wrapNone/>
              <wp:docPr id="9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56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D27C8" id="Line 74" o:spid="_x0000_s1026" style="position:absolute;z-index:-2612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41.9pt" to="525.8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WJvHw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" strokeweight=".48pt">
              <w10:wrap anchorx="page" anchory="page"/>
            </v:line>
          </w:pict>
        </mc:Fallback>
      </mc:AlternateContent>
    </w:r>
    <w:r>
      <w:rPr>
        <w:noProof/>
        <w:lang w:val="en-AU" w:eastAsia="en-AU"/>
      </w:rPr>
      <mc:AlternateContent>
        <mc:Choice Requires="wps">
          <w:drawing>
            <wp:anchor distT="0" distB="0" distL="114300" distR="114300" simplePos="0" relativeHeight="242110464" behindDoc="1" locked="0" layoutInCell="1" allowOverlap="1">
              <wp:simplePos x="0" y="0"/>
              <wp:positionH relativeFrom="page">
                <wp:posOffset>5050155</wp:posOffset>
              </wp:positionH>
              <wp:positionV relativeFrom="page">
                <wp:posOffset>350520</wp:posOffset>
              </wp:positionV>
              <wp:extent cx="1622425" cy="152400"/>
              <wp:effectExtent l="0" t="0" r="0" b="0"/>
              <wp:wrapNone/>
              <wp:docPr id="9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832" w:rsidRDefault="00A51832">
                          <w:pPr>
                            <w:spacing w:before="20"/>
                            <w:ind w:left="20"/>
                            <w:rPr>
                              <w:sz w:val="17"/>
                            </w:rPr>
                          </w:pPr>
                          <w:r>
                            <w:rPr>
                              <w:sz w:val="17"/>
                            </w:rPr>
                            <w:t>Therapeutic Goods 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56" type="#_x0000_t202" style="position:absolute;margin-left:397.65pt;margin-top:27.6pt;width:127.75pt;height:12pt;z-index:-2612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" filled="f" stroked="f">
              <v:textbox inset="0,0,0,0">
                <w:txbxContent>
                  <w:p w:rsidR="00A51832" w:rsidRDefault="00A51832">
                    <w:pPr>
                      <w:spacing w:before="20"/>
                      <w:ind w:left="20"/>
                      <w:rPr>
                        <w:sz w:val="17"/>
                      </w:rPr>
                    </w:pPr>
                    <w:r>
                      <w:rPr>
                        <w:sz w:val="17"/>
                      </w:rPr>
                      <w:t>Therapeutic Goods Administration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0372"/>
    <w:multiLevelType w:val="hybridMultilevel"/>
    <w:tmpl w:val="BBE6061C"/>
    <w:lvl w:ilvl="0" w:tplc="D60E72EC">
      <w:numFmt w:val="bullet"/>
      <w:lvlText w:val="•"/>
      <w:lvlJc w:val="left"/>
      <w:pPr>
        <w:ind w:left="467" w:hanging="361"/>
      </w:pPr>
      <w:rPr>
        <w:rFonts w:ascii="Cambria" w:eastAsia="Cambria" w:hAnsi="Cambria" w:cs="Cambria" w:hint="default"/>
        <w:w w:val="100"/>
        <w:sz w:val="22"/>
        <w:szCs w:val="22"/>
      </w:rPr>
    </w:lvl>
    <w:lvl w:ilvl="1" w:tplc="3180883E">
      <w:numFmt w:val="bullet"/>
      <w:lvlText w:val="•"/>
      <w:lvlJc w:val="left"/>
      <w:pPr>
        <w:ind w:left="978" w:hanging="361"/>
      </w:pPr>
      <w:rPr>
        <w:rFonts w:hint="default"/>
      </w:rPr>
    </w:lvl>
    <w:lvl w:ilvl="2" w:tplc="548AC9D2">
      <w:numFmt w:val="bullet"/>
      <w:lvlText w:val="•"/>
      <w:lvlJc w:val="left"/>
      <w:pPr>
        <w:ind w:left="1496" w:hanging="361"/>
      </w:pPr>
      <w:rPr>
        <w:rFonts w:hint="default"/>
      </w:rPr>
    </w:lvl>
    <w:lvl w:ilvl="3" w:tplc="3934CE8C">
      <w:numFmt w:val="bullet"/>
      <w:lvlText w:val="•"/>
      <w:lvlJc w:val="left"/>
      <w:pPr>
        <w:ind w:left="2014" w:hanging="361"/>
      </w:pPr>
      <w:rPr>
        <w:rFonts w:hint="default"/>
      </w:rPr>
    </w:lvl>
    <w:lvl w:ilvl="4" w:tplc="772A1562">
      <w:numFmt w:val="bullet"/>
      <w:lvlText w:val="•"/>
      <w:lvlJc w:val="left"/>
      <w:pPr>
        <w:ind w:left="2532" w:hanging="361"/>
      </w:pPr>
      <w:rPr>
        <w:rFonts w:hint="default"/>
      </w:rPr>
    </w:lvl>
    <w:lvl w:ilvl="5" w:tplc="C91822A8">
      <w:numFmt w:val="bullet"/>
      <w:lvlText w:val="•"/>
      <w:lvlJc w:val="left"/>
      <w:pPr>
        <w:ind w:left="3051" w:hanging="361"/>
      </w:pPr>
      <w:rPr>
        <w:rFonts w:hint="default"/>
      </w:rPr>
    </w:lvl>
    <w:lvl w:ilvl="6" w:tplc="10140D48">
      <w:numFmt w:val="bullet"/>
      <w:lvlText w:val="•"/>
      <w:lvlJc w:val="left"/>
      <w:pPr>
        <w:ind w:left="3569" w:hanging="361"/>
      </w:pPr>
      <w:rPr>
        <w:rFonts w:hint="default"/>
      </w:rPr>
    </w:lvl>
    <w:lvl w:ilvl="7" w:tplc="093C9FAC">
      <w:numFmt w:val="bullet"/>
      <w:lvlText w:val="•"/>
      <w:lvlJc w:val="left"/>
      <w:pPr>
        <w:ind w:left="4087" w:hanging="361"/>
      </w:pPr>
      <w:rPr>
        <w:rFonts w:hint="default"/>
      </w:rPr>
    </w:lvl>
    <w:lvl w:ilvl="8" w:tplc="0A803B5E">
      <w:numFmt w:val="bullet"/>
      <w:lvlText w:val="•"/>
      <w:lvlJc w:val="left"/>
      <w:pPr>
        <w:ind w:left="4605" w:hanging="361"/>
      </w:pPr>
      <w:rPr>
        <w:rFonts w:hint="default"/>
      </w:rPr>
    </w:lvl>
  </w:abstractNum>
  <w:abstractNum w:abstractNumId="1" w15:restartNumberingAfterBreak="0">
    <w:nsid w:val="02731867"/>
    <w:multiLevelType w:val="hybridMultilevel"/>
    <w:tmpl w:val="BBDA0D7C"/>
    <w:lvl w:ilvl="0" w:tplc="AEBCF158">
      <w:numFmt w:val="bullet"/>
      <w:lvlText w:val="•"/>
      <w:lvlJc w:val="left"/>
      <w:pPr>
        <w:ind w:left="470" w:hanging="361"/>
      </w:pPr>
      <w:rPr>
        <w:rFonts w:ascii="Cambria" w:eastAsia="Cambria" w:hAnsi="Cambria" w:cs="Cambria" w:hint="default"/>
        <w:w w:val="100"/>
        <w:sz w:val="22"/>
        <w:szCs w:val="22"/>
      </w:rPr>
    </w:lvl>
    <w:lvl w:ilvl="1" w:tplc="5998A6B0">
      <w:numFmt w:val="bullet"/>
      <w:lvlText w:val="-"/>
      <w:lvlJc w:val="left"/>
      <w:pPr>
        <w:ind w:left="1190" w:hanging="360"/>
      </w:pPr>
      <w:rPr>
        <w:rFonts w:ascii="Cambria" w:eastAsia="Cambria" w:hAnsi="Cambria" w:cs="Cambria" w:hint="default"/>
        <w:w w:val="100"/>
        <w:sz w:val="22"/>
        <w:szCs w:val="22"/>
      </w:rPr>
    </w:lvl>
    <w:lvl w:ilvl="2" w:tplc="4BDCCD36">
      <w:numFmt w:val="bullet"/>
      <w:lvlText w:val="•"/>
      <w:lvlJc w:val="left"/>
      <w:pPr>
        <w:ind w:left="1931" w:hanging="360"/>
      </w:pPr>
      <w:rPr>
        <w:rFonts w:hint="default"/>
      </w:rPr>
    </w:lvl>
    <w:lvl w:ilvl="3" w:tplc="2C2860B4">
      <w:numFmt w:val="bullet"/>
      <w:lvlText w:val="•"/>
      <w:lvlJc w:val="left"/>
      <w:pPr>
        <w:ind w:left="2662" w:hanging="360"/>
      </w:pPr>
      <w:rPr>
        <w:rFonts w:hint="default"/>
      </w:rPr>
    </w:lvl>
    <w:lvl w:ilvl="4" w:tplc="3C3C50FE">
      <w:numFmt w:val="bullet"/>
      <w:lvlText w:val="•"/>
      <w:lvlJc w:val="left"/>
      <w:pPr>
        <w:ind w:left="3393" w:hanging="360"/>
      </w:pPr>
      <w:rPr>
        <w:rFonts w:hint="default"/>
      </w:rPr>
    </w:lvl>
    <w:lvl w:ilvl="5" w:tplc="ADB45A58">
      <w:numFmt w:val="bullet"/>
      <w:lvlText w:val="•"/>
      <w:lvlJc w:val="left"/>
      <w:pPr>
        <w:ind w:left="4124" w:hanging="360"/>
      </w:pPr>
      <w:rPr>
        <w:rFonts w:hint="default"/>
      </w:rPr>
    </w:lvl>
    <w:lvl w:ilvl="6" w:tplc="3C32AA3E">
      <w:numFmt w:val="bullet"/>
      <w:lvlText w:val="•"/>
      <w:lvlJc w:val="left"/>
      <w:pPr>
        <w:ind w:left="4855" w:hanging="360"/>
      </w:pPr>
      <w:rPr>
        <w:rFonts w:hint="default"/>
      </w:rPr>
    </w:lvl>
    <w:lvl w:ilvl="7" w:tplc="A5AC5610">
      <w:numFmt w:val="bullet"/>
      <w:lvlText w:val="•"/>
      <w:lvlJc w:val="left"/>
      <w:pPr>
        <w:ind w:left="5586" w:hanging="360"/>
      </w:pPr>
      <w:rPr>
        <w:rFonts w:hint="default"/>
      </w:rPr>
    </w:lvl>
    <w:lvl w:ilvl="8" w:tplc="FDE27584">
      <w:numFmt w:val="bullet"/>
      <w:lvlText w:val="•"/>
      <w:lvlJc w:val="left"/>
      <w:pPr>
        <w:ind w:left="6317" w:hanging="360"/>
      </w:pPr>
      <w:rPr>
        <w:rFonts w:hint="default"/>
      </w:rPr>
    </w:lvl>
  </w:abstractNum>
  <w:abstractNum w:abstractNumId="2" w15:restartNumberingAfterBreak="0">
    <w:nsid w:val="04A2649F"/>
    <w:multiLevelType w:val="hybridMultilevel"/>
    <w:tmpl w:val="F080F70A"/>
    <w:lvl w:ilvl="0" w:tplc="E64A6540">
      <w:numFmt w:val="bullet"/>
      <w:lvlText w:val="•"/>
      <w:lvlJc w:val="left"/>
      <w:pPr>
        <w:ind w:left="468" w:hanging="360"/>
      </w:pPr>
      <w:rPr>
        <w:rFonts w:ascii="Cambria" w:eastAsia="Cambria" w:hAnsi="Cambria" w:cs="Cambria" w:hint="default"/>
        <w:w w:val="100"/>
        <w:sz w:val="22"/>
        <w:szCs w:val="22"/>
      </w:rPr>
    </w:lvl>
    <w:lvl w:ilvl="1" w:tplc="C7522F1E">
      <w:numFmt w:val="bullet"/>
      <w:lvlText w:val="•"/>
      <w:lvlJc w:val="left"/>
      <w:pPr>
        <w:ind w:left="778" w:hanging="360"/>
      </w:pPr>
      <w:rPr>
        <w:rFonts w:hint="default"/>
      </w:rPr>
    </w:lvl>
    <w:lvl w:ilvl="2" w:tplc="19784F3A">
      <w:numFmt w:val="bullet"/>
      <w:lvlText w:val="•"/>
      <w:lvlJc w:val="left"/>
      <w:pPr>
        <w:ind w:left="1096" w:hanging="360"/>
      </w:pPr>
      <w:rPr>
        <w:rFonts w:hint="default"/>
      </w:rPr>
    </w:lvl>
    <w:lvl w:ilvl="3" w:tplc="E640A742">
      <w:numFmt w:val="bullet"/>
      <w:lvlText w:val="•"/>
      <w:lvlJc w:val="left"/>
      <w:pPr>
        <w:ind w:left="1414" w:hanging="360"/>
      </w:pPr>
      <w:rPr>
        <w:rFonts w:hint="default"/>
      </w:rPr>
    </w:lvl>
    <w:lvl w:ilvl="4" w:tplc="1E4A565A">
      <w:numFmt w:val="bullet"/>
      <w:lvlText w:val="•"/>
      <w:lvlJc w:val="left"/>
      <w:pPr>
        <w:ind w:left="1732" w:hanging="360"/>
      </w:pPr>
      <w:rPr>
        <w:rFonts w:hint="default"/>
      </w:rPr>
    </w:lvl>
    <w:lvl w:ilvl="5" w:tplc="4B103154">
      <w:numFmt w:val="bullet"/>
      <w:lvlText w:val="•"/>
      <w:lvlJc w:val="left"/>
      <w:pPr>
        <w:ind w:left="2050" w:hanging="360"/>
      </w:pPr>
      <w:rPr>
        <w:rFonts w:hint="default"/>
      </w:rPr>
    </w:lvl>
    <w:lvl w:ilvl="6" w:tplc="D49CE1DA">
      <w:numFmt w:val="bullet"/>
      <w:lvlText w:val="•"/>
      <w:lvlJc w:val="left"/>
      <w:pPr>
        <w:ind w:left="2368" w:hanging="360"/>
      </w:pPr>
      <w:rPr>
        <w:rFonts w:hint="default"/>
      </w:rPr>
    </w:lvl>
    <w:lvl w:ilvl="7" w:tplc="ECCAA054">
      <w:numFmt w:val="bullet"/>
      <w:lvlText w:val="•"/>
      <w:lvlJc w:val="left"/>
      <w:pPr>
        <w:ind w:left="2686" w:hanging="360"/>
      </w:pPr>
      <w:rPr>
        <w:rFonts w:hint="default"/>
      </w:rPr>
    </w:lvl>
    <w:lvl w:ilvl="8" w:tplc="33F0D318">
      <w:numFmt w:val="bullet"/>
      <w:lvlText w:val="•"/>
      <w:lvlJc w:val="left"/>
      <w:pPr>
        <w:ind w:left="3004" w:hanging="360"/>
      </w:pPr>
      <w:rPr>
        <w:rFonts w:hint="default"/>
      </w:rPr>
    </w:lvl>
  </w:abstractNum>
  <w:abstractNum w:abstractNumId="3" w15:restartNumberingAfterBreak="0">
    <w:nsid w:val="0599779D"/>
    <w:multiLevelType w:val="hybridMultilevel"/>
    <w:tmpl w:val="1AC2C814"/>
    <w:lvl w:ilvl="0" w:tplc="39BC3EEA">
      <w:numFmt w:val="bullet"/>
      <w:lvlText w:val="•"/>
      <w:lvlJc w:val="left"/>
      <w:pPr>
        <w:ind w:left="468" w:hanging="361"/>
      </w:pPr>
      <w:rPr>
        <w:rFonts w:ascii="Cambria" w:eastAsia="Cambria" w:hAnsi="Cambria" w:cs="Cambria" w:hint="default"/>
        <w:w w:val="100"/>
        <w:sz w:val="22"/>
        <w:szCs w:val="22"/>
      </w:rPr>
    </w:lvl>
    <w:lvl w:ilvl="1" w:tplc="EC46C22E">
      <w:numFmt w:val="bullet"/>
      <w:lvlText w:val="•"/>
      <w:lvlJc w:val="left"/>
      <w:pPr>
        <w:ind w:left="763" w:hanging="361"/>
      </w:pPr>
      <w:rPr>
        <w:rFonts w:hint="default"/>
      </w:rPr>
    </w:lvl>
    <w:lvl w:ilvl="2" w:tplc="121C17DE">
      <w:numFmt w:val="bullet"/>
      <w:lvlText w:val="•"/>
      <w:lvlJc w:val="left"/>
      <w:pPr>
        <w:ind w:left="1067" w:hanging="361"/>
      </w:pPr>
      <w:rPr>
        <w:rFonts w:hint="default"/>
      </w:rPr>
    </w:lvl>
    <w:lvl w:ilvl="3" w:tplc="0F9C5268">
      <w:numFmt w:val="bullet"/>
      <w:lvlText w:val="•"/>
      <w:lvlJc w:val="left"/>
      <w:pPr>
        <w:ind w:left="1370" w:hanging="361"/>
      </w:pPr>
      <w:rPr>
        <w:rFonts w:hint="default"/>
      </w:rPr>
    </w:lvl>
    <w:lvl w:ilvl="4" w:tplc="BCD249AC">
      <w:numFmt w:val="bullet"/>
      <w:lvlText w:val="•"/>
      <w:lvlJc w:val="left"/>
      <w:pPr>
        <w:ind w:left="1674" w:hanging="361"/>
      </w:pPr>
      <w:rPr>
        <w:rFonts w:hint="default"/>
      </w:rPr>
    </w:lvl>
    <w:lvl w:ilvl="5" w:tplc="A58A2424">
      <w:numFmt w:val="bullet"/>
      <w:lvlText w:val="•"/>
      <w:lvlJc w:val="left"/>
      <w:pPr>
        <w:ind w:left="1978" w:hanging="361"/>
      </w:pPr>
      <w:rPr>
        <w:rFonts w:hint="default"/>
      </w:rPr>
    </w:lvl>
    <w:lvl w:ilvl="6" w:tplc="D9EE2698">
      <w:numFmt w:val="bullet"/>
      <w:lvlText w:val="•"/>
      <w:lvlJc w:val="left"/>
      <w:pPr>
        <w:ind w:left="2281" w:hanging="361"/>
      </w:pPr>
      <w:rPr>
        <w:rFonts w:hint="default"/>
      </w:rPr>
    </w:lvl>
    <w:lvl w:ilvl="7" w:tplc="1230139A">
      <w:numFmt w:val="bullet"/>
      <w:lvlText w:val="•"/>
      <w:lvlJc w:val="left"/>
      <w:pPr>
        <w:ind w:left="2585" w:hanging="361"/>
      </w:pPr>
      <w:rPr>
        <w:rFonts w:hint="default"/>
      </w:rPr>
    </w:lvl>
    <w:lvl w:ilvl="8" w:tplc="4B5EA2BC">
      <w:numFmt w:val="bullet"/>
      <w:lvlText w:val="•"/>
      <w:lvlJc w:val="left"/>
      <w:pPr>
        <w:ind w:left="2888" w:hanging="361"/>
      </w:pPr>
      <w:rPr>
        <w:rFonts w:hint="default"/>
      </w:rPr>
    </w:lvl>
  </w:abstractNum>
  <w:abstractNum w:abstractNumId="4" w15:restartNumberingAfterBreak="0">
    <w:nsid w:val="05E2571D"/>
    <w:multiLevelType w:val="hybridMultilevel"/>
    <w:tmpl w:val="7040B826"/>
    <w:lvl w:ilvl="0" w:tplc="10EA4334">
      <w:start w:val="1"/>
      <w:numFmt w:val="decimal"/>
      <w:lvlText w:val="%1."/>
      <w:lvlJc w:val="left"/>
      <w:pPr>
        <w:ind w:left="765" w:hanging="284"/>
        <w:jc w:val="left"/>
      </w:pPr>
      <w:rPr>
        <w:rFonts w:ascii="Arial" w:eastAsia="Arial" w:hAnsi="Arial" w:cs="Arial" w:hint="default"/>
        <w:spacing w:val="0"/>
        <w:w w:val="71"/>
        <w:sz w:val="19"/>
        <w:szCs w:val="19"/>
      </w:rPr>
    </w:lvl>
    <w:lvl w:ilvl="1" w:tplc="804E91A8">
      <w:numFmt w:val="bullet"/>
      <w:lvlText w:val="•"/>
      <w:lvlJc w:val="left"/>
      <w:pPr>
        <w:ind w:left="1670" w:hanging="284"/>
      </w:pPr>
      <w:rPr>
        <w:rFonts w:hint="default"/>
      </w:rPr>
    </w:lvl>
    <w:lvl w:ilvl="2" w:tplc="5D3653EC">
      <w:numFmt w:val="bullet"/>
      <w:lvlText w:val="•"/>
      <w:lvlJc w:val="left"/>
      <w:pPr>
        <w:ind w:left="2581" w:hanging="284"/>
      </w:pPr>
      <w:rPr>
        <w:rFonts w:hint="default"/>
      </w:rPr>
    </w:lvl>
    <w:lvl w:ilvl="3" w:tplc="F9723DB8">
      <w:numFmt w:val="bullet"/>
      <w:lvlText w:val="•"/>
      <w:lvlJc w:val="left"/>
      <w:pPr>
        <w:ind w:left="3491" w:hanging="284"/>
      </w:pPr>
      <w:rPr>
        <w:rFonts w:hint="default"/>
      </w:rPr>
    </w:lvl>
    <w:lvl w:ilvl="4" w:tplc="25569FEE">
      <w:numFmt w:val="bullet"/>
      <w:lvlText w:val="•"/>
      <w:lvlJc w:val="left"/>
      <w:pPr>
        <w:ind w:left="4402" w:hanging="284"/>
      </w:pPr>
      <w:rPr>
        <w:rFonts w:hint="default"/>
      </w:rPr>
    </w:lvl>
    <w:lvl w:ilvl="5" w:tplc="F2949D48">
      <w:numFmt w:val="bullet"/>
      <w:lvlText w:val="•"/>
      <w:lvlJc w:val="left"/>
      <w:pPr>
        <w:ind w:left="5313" w:hanging="284"/>
      </w:pPr>
      <w:rPr>
        <w:rFonts w:hint="default"/>
      </w:rPr>
    </w:lvl>
    <w:lvl w:ilvl="6" w:tplc="719042BE">
      <w:numFmt w:val="bullet"/>
      <w:lvlText w:val="•"/>
      <w:lvlJc w:val="left"/>
      <w:pPr>
        <w:ind w:left="6223" w:hanging="284"/>
      </w:pPr>
      <w:rPr>
        <w:rFonts w:hint="default"/>
      </w:rPr>
    </w:lvl>
    <w:lvl w:ilvl="7" w:tplc="CA7CB472">
      <w:numFmt w:val="bullet"/>
      <w:lvlText w:val="•"/>
      <w:lvlJc w:val="left"/>
      <w:pPr>
        <w:ind w:left="7134" w:hanging="284"/>
      </w:pPr>
      <w:rPr>
        <w:rFonts w:hint="default"/>
      </w:rPr>
    </w:lvl>
    <w:lvl w:ilvl="8" w:tplc="14B853DA">
      <w:numFmt w:val="bullet"/>
      <w:lvlText w:val="•"/>
      <w:lvlJc w:val="left"/>
      <w:pPr>
        <w:ind w:left="8045" w:hanging="284"/>
      </w:pPr>
      <w:rPr>
        <w:rFonts w:hint="default"/>
      </w:rPr>
    </w:lvl>
  </w:abstractNum>
  <w:abstractNum w:abstractNumId="5" w15:restartNumberingAfterBreak="0">
    <w:nsid w:val="064959E2"/>
    <w:multiLevelType w:val="hybridMultilevel"/>
    <w:tmpl w:val="D7206802"/>
    <w:lvl w:ilvl="0" w:tplc="A3184410">
      <w:numFmt w:val="bullet"/>
      <w:lvlText w:val="•"/>
      <w:lvlJc w:val="left"/>
      <w:pPr>
        <w:ind w:left="467" w:hanging="361"/>
      </w:pPr>
      <w:rPr>
        <w:rFonts w:ascii="Cambria" w:eastAsia="Cambria" w:hAnsi="Cambria" w:cs="Cambria" w:hint="default"/>
        <w:w w:val="100"/>
        <w:sz w:val="22"/>
        <w:szCs w:val="22"/>
      </w:rPr>
    </w:lvl>
    <w:lvl w:ilvl="1" w:tplc="964E9646">
      <w:numFmt w:val="bullet"/>
      <w:lvlText w:val="•"/>
      <w:lvlJc w:val="left"/>
      <w:pPr>
        <w:ind w:left="1049" w:hanging="361"/>
      </w:pPr>
      <w:rPr>
        <w:rFonts w:hint="default"/>
      </w:rPr>
    </w:lvl>
    <w:lvl w:ilvl="2" w:tplc="80140982">
      <w:numFmt w:val="bullet"/>
      <w:lvlText w:val="•"/>
      <w:lvlJc w:val="left"/>
      <w:pPr>
        <w:ind w:left="1639" w:hanging="361"/>
      </w:pPr>
      <w:rPr>
        <w:rFonts w:hint="default"/>
      </w:rPr>
    </w:lvl>
    <w:lvl w:ilvl="3" w:tplc="FB2A2FAA">
      <w:numFmt w:val="bullet"/>
      <w:lvlText w:val="•"/>
      <w:lvlJc w:val="left"/>
      <w:pPr>
        <w:ind w:left="2229" w:hanging="361"/>
      </w:pPr>
      <w:rPr>
        <w:rFonts w:hint="default"/>
      </w:rPr>
    </w:lvl>
    <w:lvl w:ilvl="4" w:tplc="F17E0C10">
      <w:numFmt w:val="bullet"/>
      <w:lvlText w:val="•"/>
      <w:lvlJc w:val="left"/>
      <w:pPr>
        <w:ind w:left="2819" w:hanging="361"/>
      </w:pPr>
      <w:rPr>
        <w:rFonts w:hint="default"/>
      </w:rPr>
    </w:lvl>
    <w:lvl w:ilvl="5" w:tplc="373EBE2E">
      <w:numFmt w:val="bullet"/>
      <w:lvlText w:val="•"/>
      <w:lvlJc w:val="left"/>
      <w:pPr>
        <w:ind w:left="3409" w:hanging="361"/>
      </w:pPr>
      <w:rPr>
        <w:rFonts w:hint="default"/>
      </w:rPr>
    </w:lvl>
    <w:lvl w:ilvl="6" w:tplc="A30A3D9C">
      <w:numFmt w:val="bullet"/>
      <w:lvlText w:val="•"/>
      <w:lvlJc w:val="left"/>
      <w:pPr>
        <w:ind w:left="3999" w:hanging="361"/>
      </w:pPr>
      <w:rPr>
        <w:rFonts w:hint="default"/>
      </w:rPr>
    </w:lvl>
    <w:lvl w:ilvl="7" w:tplc="E092D6C2">
      <w:numFmt w:val="bullet"/>
      <w:lvlText w:val="•"/>
      <w:lvlJc w:val="left"/>
      <w:pPr>
        <w:ind w:left="4589" w:hanging="361"/>
      </w:pPr>
      <w:rPr>
        <w:rFonts w:hint="default"/>
      </w:rPr>
    </w:lvl>
    <w:lvl w:ilvl="8" w:tplc="8B908608">
      <w:numFmt w:val="bullet"/>
      <w:lvlText w:val="•"/>
      <w:lvlJc w:val="left"/>
      <w:pPr>
        <w:ind w:left="5179" w:hanging="361"/>
      </w:pPr>
      <w:rPr>
        <w:rFonts w:hint="default"/>
      </w:rPr>
    </w:lvl>
  </w:abstractNum>
  <w:abstractNum w:abstractNumId="6" w15:restartNumberingAfterBreak="0">
    <w:nsid w:val="0717367E"/>
    <w:multiLevelType w:val="hybridMultilevel"/>
    <w:tmpl w:val="69A094B8"/>
    <w:lvl w:ilvl="0" w:tplc="C77426F6">
      <w:numFmt w:val="bullet"/>
      <w:lvlText w:val=""/>
      <w:lvlJc w:val="left"/>
      <w:pPr>
        <w:ind w:left="765" w:hanging="284"/>
      </w:pPr>
      <w:rPr>
        <w:rFonts w:ascii="Wingdings" w:eastAsia="Wingdings" w:hAnsi="Wingdings" w:cs="Wingdings" w:hint="default"/>
        <w:color w:val="005386"/>
        <w:w w:val="99"/>
        <w:sz w:val="19"/>
        <w:szCs w:val="19"/>
      </w:rPr>
    </w:lvl>
    <w:lvl w:ilvl="1" w:tplc="06B8119A">
      <w:numFmt w:val="bullet"/>
      <w:lvlText w:val=""/>
      <w:lvlJc w:val="left"/>
      <w:pPr>
        <w:ind w:left="1334" w:hanging="286"/>
      </w:pPr>
      <w:rPr>
        <w:rFonts w:ascii="Symbol" w:eastAsia="Symbol" w:hAnsi="Symbol" w:cs="Symbol" w:hint="default"/>
        <w:color w:val="005386"/>
        <w:w w:val="99"/>
        <w:sz w:val="19"/>
        <w:szCs w:val="19"/>
      </w:rPr>
    </w:lvl>
    <w:lvl w:ilvl="2" w:tplc="A48031B4">
      <w:numFmt w:val="bullet"/>
      <w:lvlText w:val="•"/>
      <w:lvlJc w:val="left"/>
      <w:pPr>
        <w:ind w:left="2287" w:hanging="286"/>
      </w:pPr>
      <w:rPr>
        <w:rFonts w:hint="default"/>
      </w:rPr>
    </w:lvl>
    <w:lvl w:ilvl="3" w:tplc="184ED32A">
      <w:numFmt w:val="bullet"/>
      <w:lvlText w:val="•"/>
      <w:lvlJc w:val="left"/>
      <w:pPr>
        <w:ind w:left="3234" w:hanging="286"/>
      </w:pPr>
      <w:rPr>
        <w:rFonts w:hint="default"/>
      </w:rPr>
    </w:lvl>
    <w:lvl w:ilvl="4" w:tplc="9C12E2B0">
      <w:numFmt w:val="bullet"/>
      <w:lvlText w:val="•"/>
      <w:lvlJc w:val="left"/>
      <w:pPr>
        <w:ind w:left="4182" w:hanging="286"/>
      </w:pPr>
      <w:rPr>
        <w:rFonts w:hint="default"/>
      </w:rPr>
    </w:lvl>
    <w:lvl w:ilvl="5" w:tplc="244CEB68">
      <w:numFmt w:val="bullet"/>
      <w:lvlText w:val="•"/>
      <w:lvlJc w:val="left"/>
      <w:pPr>
        <w:ind w:left="5129" w:hanging="286"/>
      </w:pPr>
      <w:rPr>
        <w:rFonts w:hint="default"/>
      </w:rPr>
    </w:lvl>
    <w:lvl w:ilvl="6" w:tplc="B60ED0B0">
      <w:numFmt w:val="bullet"/>
      <w:lvlText w:val="•"/>
      <w:lvlJc w:val="left"/>
      <w:pPr>
        <w:ind w:left="6076" w:hanging="286"/>
      </w:pPr>
      <w:rPr>
        <w:rFonts w:hint="default"/>
      </w:rPr>
    </w:lvl>
    <w:lvl w:ilvl="7" w:tplc="7BEC8838">
      <w:numFmt w:val="bullet"/>
      <w:lvlText w:val="•"/>
      <w:lvlJc w:val="left"/>
      <w:pPr>
        <w:ind w:left="7024" w:hanging="286"/>
      </w:pPr>
      <w:rPr>
        <w:rFonts w:hint="default"/>
      </w:rPr>
    </w:lvl>
    <w:lvl w:ilvl="8" w:tplc="66FA0A78">
      <w:numFmt w:val="bullet"/>
      <w:lvlText w:val="•"/>
      <w:lvlJc w:val="left"/>
      <w:pPr>
        <w:ind w:left="7971" w:hanging="286"/>
      </w:pPr>
      <w:rPr>
        <w:rFonts w:hint="default"/>
      </w:rPr>
    </w:lvl>
  </w:abstractNum>
  <w:abstractNum w:abstractNumId="7" w15:restartNumberingAfterBreak="0">
    <w:nsid w:val="0732407A"/>
    <w:multiLevelType w:val="hybridMultilevel"/>
    <w:tmpl w:val="864A5982"/>
    <w:lvl w:ilvl="0" w:tplc="52526D42">
      <w:numFmt w:val="bullet"/>
      <w:lvlText w:val="•"/>
      <w:lvlJc w:val="left"/>
      <w:pPr>
        <w:ind w:left="468" w:hanging="361"/>
      </w:pPr>
      <w:rPr>
        <w:rFonts w:ascii="Cambria" w:eastAsia="Cambria" w:hAnsi="Cambria" w:cs="Cambria" w:hint="default"/>
        <w:w w:val="100"/>
        <w:sz w:val="22"/>
        <w:szCs w:val="22"/>
      </w:rPr>
    </w:lvl>
    <w:lvl w:ilvl="1" w:tplc="DE18D00E">
      <w:numFmt w:val="bullet"/>
      <w:lvlText w:val="•"/>
      <w:lvlJc w:val="left"/>
      <w:pPr>
        <w:ind w:left="763" w:hanging="361"/>
      </w:pPr>
      <w:rPr>
        <w:rFonts w:hint="default"/>
      </w:rPr>
    </w:lvl>
    <w:lvl w:ilvl="2" w:tplc="50BEF96C">
      <w:numFmt w:val="bullet"/>
      <w:lvlText w:val="•"/>
      <w:lvlJc w:val="left"/>
      <w:pPr>
        <w:ind w:left="1067" w:hanging="361"/>
      </w:pPr>
      <w:rPr>
        <w:rFonts w:hint="default"/>
      </w:rPr>
    </w:lvl>
    <w:lvl w:ilvl="3" w:tplc="70A837E6">
      <w:numFmt w:val="bullet"/>
      <w:lvlText w:val="•"/>
      <w:lvlJc w:val="left"/>
      <w:pPr>
        <w:ind w:left="1370" w:hanging="361"/>
      </w:pPr>
      <w:rPr>
        <w:rFonts w:hint="default"/>
      </w:rPr>
    </w:lvl>
    <w:lvl w:ilvl="4" w:tplc="DB4C83FA">
      <w:numFmt w:val="bullet"/>
      <w:lvlText w:val="•"/>
      <w:lvlJc w:val="left"/>
      <w:pPr>
        <w:ind w:left="1674" w:hanging="361"/>
      </w:pPr>
      <w:rPr>
        <w:rFonts w:hint="default"/>
      </w:rPr>
    </w:lvl>
    <w:lvl w:ilvl="5" w:tplc="6CD219A2">
      <w:numFmt w:val="bullet"/>
      <w:lvlText w:val="•"/>
      <w:lvlJc w:val="left"/>
      <w:pPr>
        <w:ind w:left="1978" w:hanging="361"/>
      </w:pPr>
      <w:rPr>
        <w:rFonts w:hint="default"/>
      </w:rPr>
    </w:lvl>
    <w:lvl w:ilvl="6" w:tplc="B598FEF0">
      <w:numFmt w:val="bullet"/>
      <w:lvlText w:val="•"/>
      <w:lvlJc w:val="left"/>
      <w:pPr>
        <w:ind w:left="2281" w:hanging="361"/>
      </w:pPr>
      <w:rPr>
        <w:rFonts w:hint="default"/>
      </w:rPr>
    </w:lvl>
    <w:lvl w:ilvl="7" w:tplc="E01C2E80">
      <w:numFmt w:val="bullet"/>
      <w:lvlText w:val="•"/>
      <w:lvlJc w:val="left"/>
      <w:pPr>
        <w:ind w:left="2585" w:hanging="361"/>
      </w:pPr>
      <w:rPr>
        <w:rFonts w:hint="default"/>
      </w:rPr>
    </w:lvl>
    <w:lvl w:ilvl="8" w:tplc="618A63DE">
      <w:numFmt w:val="bullet"/>
      <w:lvlText w:val="•"/>
      <w:lvlJc w:val="left"/>
      <w:pPr>
        <w:ind w:left="2888" w:hanging="361"/>
      </w:pPr>
      <w:rPr>
        <w:rFonts w:hint="default"/>
      </w:rPr>
    </w:lvl>
  </w:abstractNum>
  <w:abstractNum w:abstractNumId="8" w15:restartNumberingAfterBreak="0">
    <w:nsid w:val="084A2E17"/>
    <w:multiLevelType w:val="hybridMultilevel"/>
    <w:tmpl w:val="D3F6234C"/>
    <w:lvl w:ilvl="0" w:tplc="8E26DA00">
      <w:start w:val="1"/>
      <w:numFmt w:val="lowerLetter"/>
      <w:lvlText w:val="%1)"/>
      <w:lvlJc w:val="left"/>
      <w:pPr>
        <w:ind w:left="283" w:hanging="176"/>
        <w:jc w:val="left"/>
      </w:pPr>
      <w:rPr>
        <w:rFonts w:ascii="Cambria" w:eastAsia="Cambria" w:hAnsi="Cambria" w:cs="Cambria" w:hint="default"/>
        <w:w w:val="100"/>
        <w:sz w:val="16"/>
        <w:szCs w:val="16"/>
      </w:rPr>
    </w:lvl>
    <w:lvl w:ilvl="1" w:tplc="F3408D28">
      <w:numFmt w:val="bullet"/>
      <w:lvlText w:val="•"/>
      <w:lvlJc w:val="left"/>
      <w:pPr>
        <w:ind w:left="562" w:hanging="176"/>
      </w:pPr>
      <w:rPr>
        <w:rFonts w:hint="default"/>
      </w:rPr>
    </w:lvl>
    <w:lvl w:ilvl="2" w:tplc="DC52F68C">
      <w:numFmt w:val="bullet"/>
      <w:lvlText w:val="•"/>
      <w:lvlJc w:val="left"/>
      <w:pPr>
        <w:ind w:left="845" w:hanging="176"/>
      </w:pPr>
      <w:rPr>
        <w:rFonts w:hint="default"/>
      </w:rPr>
    </w:lvl>
    <w:lvl w:ilvl="3" w:tplc="1C46F9EC">
      <w:numFmt w:val="bullet"/>
      <w:lvlText w:val="•"/>
      <w:lvlJc w:val="left"/>
      <w:pPr>
        <w:ind w:left="1128" w:hanging="176"/>
      </w:pPr>
      <w:rPr>
        <w:rFonts w:hint="default"/>
      </w:rPr>
    </w:lvl>
    <w:lvl w:ilvl="4" w:tplc="66228AA0">
      <w:numFmt w:val="bullet"/>
      <w:lvlText w:val="•"/>
      <w:lvlJc w:val="left"/>
      <w:pPr>
        <w:ind w:left="1410" w:hanging="176"/>
      </w:pPr>
      <w:rPr>
        <w:rFonts w:hint="default"/>
      </w:rPr>
    </w:lvl>
    <w:lvl w:ilvl="5" w:tplc="947AB4BC">
      <w:numFmt w:val="bullet"/>
      <w:lvlText w:val="•"/>
      <w:lvlJc w:val="left"/>
      <w:pPr>
        <w:ind w:left="1693" w:hanging="176"/>
      </w:pPr>
      <w:rPr>
        <w:rFonts w:hint="default"/>
      </w:rPr>
    </w:lvl>
    <w:lvl w:ilvl="6" w:tplc="2474D156">
      <w:numFmt w:val="bullet"/>
      <w:lvlText w:val="•"/>
      <w:lvlJc w:val="left"/>
      <w:pPr>
        <w:ind w:left="1976" w:hanging="176"/>
      </w:pPr>
      <w:rPr>
        <w:rFonts w:hint="default"/>
      </w:rPr>
    </w:lvl>
    <w:lvl w:ilvl="7" w:tplc="4B10046E">
      <w:numFmt w:val="bullet"/>
      <w:lvlText w:val="•"/>
      <w:lvlJc w:val="left"/>
      <w:pPr>
        <w:ind w:left="2258" w:hanging="176"/>
      </w:pPr>
      <w:rPr>
        <w:rFonts w:hint="default"/>
      </w:rPr>
    </w:lvl>
    <w:lvl w:ilvl="8" w:tplc="6EDED364">
      <w:numFmt w:val="bullet"/>
      <w:lvlText w:val="•"/>
      <w:lvlJc w:val="left"/>
      <w:pPr>
        <w:ind w:left="2541" w:hanging="176"/>
      </w:pPr>
      <w:rPr>
        <w:rFonts w:hint="default"/>
      </w:rPr>
    </w:lvl>
  </w:abstractNum>
  <w:abstractNum w:abstractNumId="9" w15:restartNumberingAfterBreak="0">
    <w:nsid w:val="0AED4F38"/>
    <w:multiLevelType w:val="hybridMultilevel"/>
    <w:tmpl w:val="A600D94E"/>
    <w:lvl w:ilvl="0" w:tplc="29C6D484">
      <w:numFmt w:val="bullet"/>
      <w:lvlText w:val="•"/>
      <w:lvlJc w:val="left"/>
      <w:pPr>
        <w:ind w:left="467" w:hanging="361"/>
      </w:pPr>
      <w:rPr>
        <w:rFonts w:ascii="Cambria" w:eastAsia="Cambria" w:hAnsi="Cambria" w:cs="Cambria" w:hint="default"/>
        <w:w w:val="100"/>
        <w:sz w:val="22"/>
        <w:szCs w:val="22"/>
      </w:rPr>
    </w:lvl>
    <w:lvl w:ilvl="1" w:tplc="717E4E26">
      <w:numFmt w:val="bullet"/>
      <w:lvlText w:val="•"/>
      <w:lvlJc w:val="left"/>
      <w:pPr>
        <w:ind w:left="671" w:hanging="361"/>
      </w:pPr>
      <w:rPr>
        <w:rFonts w:hint="default"/>
      </w:rPr>
    </w:lvl>
    <w:lvl w:ilvl="2" w:tplc="9AE4B98E">
      <w:numFmt w:val="bullet"/>
      <w:lvlText w:val="•"/>
      <w:lvlJc w:val="left"/>
      <w:pPr>
        <w:ind w:left="882" w:hanging="361"/>
      </w:pPr>
      <w:rPr>
        <w:rFonts w:hint="default"/>
      </w:rPr>
    </w:lvl>
    <w:lvl w:ilvl="3" w:tplc="1CC88514">
      <w:numFmt w:val="bullet"/>
      <w:lvlText w:val="•"/>
      <w:lvlJc w:val="left"/>
      <w:pPr>
        <w:ind w:left="1093" w:hanging="361"/>
      </w:pPr>
      <w:rPr>
        <w:rFonts w:hint="default"/>
      </w:rPr>
    </w:lvl>
    <w:lvl w:ilvl="4" w:tplc="E7BE09CC">
      <w:numFmt w:val="bullet"/>
      <w:lvlText w:val="•"/>
      <w:lvlJc w:val="left"/>
      <w:pPr>
        <w:ind w:left="1304" w:hanging="361"/>
      </w:pPr>
      <w:rPr>
        <w:rFonts w:hint="default"/>
      </w:rPr>
    </w:lvl>
    <w:lvl w:ilvl="5" w:tplc="409E4FF8">
      <w:numFmt w:val="bullet"/>
      <w:lvlText w:val="•"/>
      <w:lvlJc w:val="left"/>
      <w:pPr>
        <w:ind w:left="1515" w:hanging="361"/>
      </w:pPr>
      <w:rPr>
        <w:rFonts w:hint="default"/>
      </w:rPr>
    </w:lvl>
    <w:lvl w:ilvl="6" w:tplc="3E6896F4">
      <w:numFmt w:val="bullet"/>
      <w:lvlText w:val="•"/>
      <w:lvlJc w:val="left"/>
      <w:pPr>
        <w:ind w:left="1726" w:hanging="361"/>
      </w:pPr>
      <w:rPr>
        <w:rFonts w:hint="default"/>
      </w:rPr>
    </w:lvl>
    <w:lvl w:ilvl="7" w:tplc="AAB0B1C8">
      <w:numFmt w:val="bullet"/>
      <w:lvlText w:val="•"/>
      <w:lvlJc w:val="left"/>
      <w:pPr>
        <w:ind w:left="1937" w:hanging="361"/>
      </w:pPr>
      <w:rPr>
        <w:rFonts w:hint="default"/>
      </w:rPr>
    </w:lvl>
    <w:lvl w:ilvl="8" w:tplc="F50C769E">
      <w:numFmt w:val="bullet"/>
      <w:lvlText w:val="•"/>
      <w:lvlJc w:val="left"/>
      <w:pPr>
        <w:ind w:left="2148" w:hanging="361"/>
      </w:pPr>
      <w:rPr>
        <w:rFonts w:hint="default"/>
      </w:rPr>
    </w:lvl>
  </w:abstractNum>
  <w:abstractNum w:abstractNumId="10" w15:restartNumberingAfterBreak="0">
    <w:nsid w:val="0E377AF6"/>
    <w:multiLevelType w:val="hybridMultilevel"/>
    <w:tmpl w:val="F4341A32"/>
    <w:lvl w:ilvl="0" w:tplc="56521624">
      <w:numFmt w:val="bullet"/>
      <w:lvlText w:val="•"/>
      <w:lvlJc w:val="left"/>
      <w:pPr>
        <w:ind w:left="954" w:hanging="277"/>
      </w:pPr>
      <w:rPr>
        <w:rFonts w:ascii="Arial" w:eastAsia="Arial" w:hAnsi="Arial" w:cs="Arial" w:hint="default"/>
        <w:color w:val="001F5F"/>
        <w:w w:val="100"/>
        <w:sz w:val="24"/>
        <w:szCs w:val="24"/>
      </w:rPr>
    </w:lvl>
    <w:lvl w:ilvl="1" w:tplc="C1DEE2E2">
      <w:numFmt w:val="bullet"/>
      <w:lvlText w:val="•"/>
      <w:lvlJc w:val="left"/>
      <w:pPr>
        <w:ind w:left="1144" w:hanging="277"/>
      </w:pPr>
      <w:rPr>
        <w:rFonts w:hint="default"/>
      </w:rPr>
    </w:lvl>
    <w:lvl w:ilvl="2" w:tplc="896C53AC">
      <w:numFmt w:val="bullet"/>
      <w:lvlText w:val="•"/>
      <w:lvlJc w:val="left"/>
      <w:pPr>
        <w:ind w:left="1328" w:hanging="277"/>
      </w:pPr>
      <w:rPr>
        <w:rFonts w:hint="default"/>
      </w:rPr>
    </w:lvl>
    <w:lvl w:ilvl="3" w:tplc="6D608EEE">
      <w:numFmt w:val="bullet"/>
      <w:lvlText w:val="•"/>
      <w:lvlJc w:val="left"/>
      <w:pPr>
        <w:ind w:left="1513" w:hanging="277"/>
      </w:pPr>
      <w:rPr>
        <w:rFonts w:hint="default"/>
      </w:rPr>
    </w:lvl>
    <w:lvl w:ilvl="4" w:tplc="A63493F2">
      <w:numFmt w:val="bullet"/>
      <w:lvlText w:val="•"/>
      <w:lvlJc w:val="left"/>
      <w:pPr>
        <w:ind w:left="1697" w:hanging="277"/>
      </w:pPr>
      <w:rPr>
        <w:rFonts w:hint="default"/>
      </w:rPr>
    </w:lvl>
    <w:lvl w:ilvl="5" w:tplc="1FB6EAC6">
      <w:numFmt w:val="bullet"/>
      <w:lvlText w:val="•"/>
      <w:lvlJc w:val="left"/>
      <w:pPr>
        <w:ind w:left="1882" w:hanging="277"/>
      </w:pPr>
      <w:rPr>
        <w:rFonts w:hint="default"/>
      </w:rPr>
    </w:lvl>
    <w:lvl w:ilvl="6" w:tplc="3BEAFFE6">
      <w:numFmt w:val="bullet"/>
      <w:lvlText w:val="•"/>
      <w:lvlJc w:val="left"/>
      <w:pPr>
        <w:ind w:left="2066" w:hanging="277"/>
      </w:pPr>
      <w:rPr>
        <w:rFonts w:hint="default"/>
      </w:rPr>
    </w:lvl>
    <w:lvl w:ilvl="7" w:tplc="CBE6D182">
      <w:numFmt w:val="bullet"/>
      <w:lvlText w:val="•"/>
      <w:lvlJc w:val="left"/>
      <w:pPr>
        <w:ind w:left="2250" w:hanging="277"/>
      </w:pPr>
      <w:rPr>
        <w:rFonts w:hint="default"/>
      </w:rPr>
    </w:lvl>
    <w:lvl w:ilvl="8" w:tplc="E2E03D54">
      <w:numFmt w:val="bullet"/>
      <w:lvlText w:val="•"/>
      <w:lvlJc w:val="left"/>
      <w:pPr>
        <w:ind w:left="2435" w:hanging="277"/>
      </w:pPr>
      <w:rPr>
        <w:rFonts w:hint="default"/>
      </w:rPr>
    </w:lvl>
  </w:abstractNum>
  <w:abstractNum w:abstractNumId="11" w15:restartNumberingAfterBreak="0">
    <w:nsid w:val="0E975BAA"/>
    <w:multiLevelType w:val="hybridMultilevel"/>
    <w:tmpl w:val="C3CCE4DE"/>
    <w:lvl w:ilvl="0" w:tplc="A328C126">
      <w:numFmt w:val="bullet"/>
      <w:lvlText w:val="•"/>
      <w:lvlJc w:val="left"/>
      <w:pPr>
        <w:ind w:left="468" w:hanging="361"/>
      </w:pPr>
      <w:rPr>
        <w:rFonts w:ascii="Cambria" w:eastAsia="Cambria" w:hAnsi="Cambria" w:cs="Cambria" w:hint="default"/>
        <w:w w:val="100"/>
        <w:sz w:val="22"/>
        <w:szCs w:val="22"/>
      </w:rPr>
    </w:lvl>
    <w:lvl w:ilvl="1" w:tplc="7ABC11CC">
      <w:numFmt w:val="bullet"/>
      <w:lvlText w:val="•"/>
      <w:lvlJc w:val="left"/>
      <w:pPr>
        <w:ind w:left="1049" w:hanging="361"/>
      </w:pPr>
      <w:rPr>
        <w:rFonts w:hint="default"/>
      </w:rPr>
    </w:lvl>
    <w:lvl w:ilvl="2" w:tplc="2906481C">
      <w:numFmt w:val="bullet"/>
      <w:lvlText w:val="•"/>
      <w:lvlJc w:val="left"/>
      <w:pPr>
        <w:ind w:left="1639" w:hanging="361"/>
      </w:pPr>
      <w:rPr>
        <w:rFonts w:hint="default"/>
      </w:rPr>
    </w:lvl>
    <w:lvl w:ilvl="3" w:tplc="BDCE1B26">
      <w:numFmt w:val="bullet"/>
      <w:lvlText w:val="•"/>
      <w:lvlJc w:val="left"/>
      <w:pPr>
        <w:ind w:left="2229" w:hanging="361"/>
      </w:pPr>
      <w:rPr>
        <w:rFonts w:hint="default"/>
      </w:rPr>
    </w:lvl>
    <w:lvl w:ilvl="4" w:tplc="E05A65AC">
      <w:numFmt w:val="bullet"/>
      <w:lvlText w:val="•"/>
      <w:lvlJc w:val="left"/>
      <w:pPr>
        <w:ind w:left="2819" w:hanging="361"/>
      </w:pPr>
      <w:rPr>
        <w:rFonts w:hint="default"/>
      </w:rPr>
    </w:lvl>
    <w:lvl w:ilvl="5" w:tplc="0B0E59DC">
      <w:numFmt w:val="bullet"/>
      <w:lvlText w:val="•"/>
      <w:lvlJc w:val="left"/>
      <w:pPr>
        <w:ind w:left="3409" w:hanging="361"/>
      </w:pPr>
      <w:rPr>
        <w:rFonts w:hint="default"/>
      </w:rPr>
    </w:lvl>
    <w:lvl w:ilvl="6" w:tplc="D2FA5AD2">
      <w:numFmt w:val="bullet"/>
      <w:lvlText w:val="•"/>
      <w:lvlJc w:val="left"/>
      <w:pPr>
        <w:ind w:left="3999" w:hanging="361"/>
      </w:pPr>
      <w:rPr>
        <w:rFonts w:hint="default"/>
      </w:rPr>
    </w:lvl>
    <w:lvl w:ilvl="7" w:tplc="9C305406">
      <w:numFmt w:val="bullet"/>
      <w:lvlText w:val="•"/>
      <w:lvlJc w:val="left"/>
      <w:pPr>
        <w:ind w:left="4589" w:hanging="361"/>
      </w:pPr>
      <w:rPr>
        <w:rFonts w:hint="default"/>
      </w:rPr>
    </w:lvl>
    <w:lvl w:ilvl="8" w:tplc="BE8212D0">
      <w:numFmt w:val="bullet"/>
      <w:lvlText w:val="•"/>
      <w:lvlJc w:val="left"/>
      <w:pPr>
        <w:ind w:left="5179" w:hanging="361"/>
      </w:pPr>
      <w:rPr>
        <w:rFonts w:hint="default"/>
      </w:rPr>
    </w:lvl>
  </w:abstractNum>
  <w:abstractNum w:abstractNumId="12" w15:restartNumberingAfterBreak="0">
    <w:nsid w:val="0FFC6563"/>
    <w:multiLevelType w:val="hybridMultilevel"/>
    <w:tmpl w:val="B9020B60"/>
    <w:lvl w:ilvl="0" w:tplc="E70690A6">
      <w:numFmt w:val="bullet"/>
      <w:lvlText w:val="•"/>
      <w:lvlJc w:val="left"/>
      <w:pPr>
        <w:ind w:left="468" w:hanging="361"/>
      </w:pPr>
      <w:rPr>
        <w:rFonts w:ascii="Cambria" w:eastAsia="Cambria" w:hAnsi="Cambria" w:cs="Cambria" w:hint="default"/>
        <w:w w:val="100"/>
        <w:sz w:val="22"/>
        <w:szCs w:val="22"/>
      </w:rPr>
    </w:lvl>
    <w:lvl w:ilvl="1" w:tplc="C85E7940">
      <w:numFmt w:val="bullet"/>
      <w:lvlText w:val="•"/>
      <w:lvlJc w:val="left"/>
      <w:pPr>
        <w:ind w:left="778" w:hanging="361"/>
      </w:pPr>
      <w:rPr>
        <w:rFonts w:hint="default"/>
      </w:rPr>
    </w:lvl>
    <w:lvl w:ilvl="2" w:tplc="2B1E7D2E">
      <w:numFmt w:val="bullet"/>
      <w:lvlText w:val="•"/>
      <w:lvlJc w:val="left"/>
      <w:pPr>
        <w:ind w:left="1096" w:hanging="361"/>
      </w:pPr>
      <w:rPr>
        <w:rFonts w:hint="default"/>
      </w:rPr>
    </w:lvl>
    <w:lvl w:ilvl="3" w:tplc="C4322708">
      <w:numFmt w:val="bullet"/>
      <w:lvlText w:val="•"/>
      <w:lvlJc w:val="left"/>
      <w:pPr>
        <w:ind w:left="1414" w:hanging="361"/>
      </w:pPr>
      <w:rPr>
        <w:rFonts w:hint="default"/>
      </w:rPr>
    </w:lvl>
    <w:lvl w:ilvl="4" w:tplc="CF56D31C">
      <w:numFmt w:val="bullet"/>
      <w:lvlText w:val="•"/>
      <w:lvlJc w:val="left"/>
      <w:pPr>
        <w:ind w:left="1732" w:hanging="361"/>
      </w:pPr>
      <w:rPr>
        <w:rFonts w:hint="default"/>
      </w:rPr>
    </w:lvl>
    <w:lvl w:ilvl="5" w:tplc="8BC228E0">
      <w:numFmt w:val="bullet"/>
      <w:lvlText w:val="•"/>
      <w:lvlJc w:val="left"/>
      <w:pPr>
        <w:ind w:left="2050" w:hanging="361"/>
      </w:pPr>
      <w:rPr>
        <w:rFonts w:hint="default"/>
      </w:rPr>
    </w:lvl>
    <w:lvl w:ilvl="6" w:tplc="6F4AEAE4">
      <w:numFmt w:val="bullet"/>
      <w:lvlText w:val="•"/>
      <w:lvlJc w:val="left"/>
      <w:pPr>
        <w:ind w:left="2368" w:hanging="361"/>
      </w:pPr>
      <w:rPr>
        <w:rFonts w:hint="default"/>
      </w:rPr>
    </w:lvl>
    <w:lvl w:ilvl="7" w:tplc="D03AF882">
      <w:numFmt w:val="bullet"/>
      <w:lvlText w:val="•"/>
      <w:lvlJc w:val="left"/>
      <w:pPr>
        <w:ind w:left="2686" w:hanging="361"/>
      </w:pPr>
      <w:rPr>
        <w:rFonts w:hint="default"/>
      </w:rPr>
    </w:lvl>
    <w:lvl w:ilvl="8" w:tplc="3EA258FE">
      <w:numFmt w:val="bullet"/>
      <w:lvlText w:val="•"/>
      <w:lvlJc w:val="left"/>
      <w:pPr>
        <w:ind w:left="3004" w:hanging="361"/>
      </w:pPr>
      <w:rPr>
        <w:rFonts w:hint="default"/>
      </w:rPr>
    </w:lvl>
  </w:abstractNum>
  <w:abstractNum w:abstractNumId="13" w15:restartNumberingAfterBreak="0">
    <w:nsid w:val="11A768DE"/>
    <w:multiLevelType w:val="hybridMultilevel"/>
    <w:tmpl w:val="9148D8D6"/>
    <w:lvl w:ilvl="0" w:tplc="1B0E67C4">
      <w:numFmt w:val="bullet"/>
      <w:lvlText w:val="•"/>
      <w:lvlJc w:val="left"/>
      <w:pPr>
        <w:ind w:left="466" w:hanging="361"/>
      </w:pPr>
      <w:rPr>
        <w:rFonts w:ascii="Cambria" w:eastAsia="Cambria" w:hAnsi="Cambria" w:cs="Cambria" w:hint="default"/>
        <w:w w:val="100"/>
        <w:sz w:val="22"/>
        <w:szCs w:val="22"/>
      </w:rPr>
    </w:lvl>
    <w:lvl w:ilvl="1" w:tplc="2D68589E">
      <w:numFmt w:val="bullet"/>
      <w:lvlText w:val="•"/>
      <w:lvlJc w:val="left"/>
      <w:pPr>
        <w:ind w:left="750" w:hanging="361"/>
      </w:pPr>
      <w:rPr>
        <w:rFonts w:hint="default"/>
      </w:rPr>
    </w:lvl>
    <w:lvl w:ilvl="2" w:tplc="FA6A6760">
      <w:numFmt w:val="bullet"/>
      <w:lvlText w:val="•"/>
      <w:lvlJc w:val="left"/>
      <w:pPr>
        <w:ind w:left="1041" w:hanging="361"/>
      </w:pPr>
      <w:rPr>
        <w:rFonts w:hint="default"/>
      </w:rPr>
    </w:lvl>
    <w:lvl w:ilvl="3" w:tplc="4A60BECE">
      <w:numFmt w:val="bullet"/>
      <w:lvlText w:val="•"/>
      <w:lvlJc w:val="left"/>
      <w:pPr>
        <w:ind w:left="1332" w:hanging="361"/>
      </w:pPr>
      <w:rPr>
        <w:rFonts w:hint="default"/>
      </w:rPr>
    </w:lvl>
    <w:lvl w:ilvl="4" w:tplc="98FEBC92">
      <w:numFmt w:val="bullet"/>
      <w:lvlText w:val="•"/>
      <w:lvlJc w:val="left"/>
      <w:pPr>
        <w:ind w:left="1623" w:hanging="361"/>
      </w:pPr>
      <w:rPr>
        <w:rFonts w:hint="default"/>
      </w:rPr>
    </w:lvl>
    <w:lvl w:ilvl="5" w:tplc="D8746C4E">
      <w:numFmt w:val="bullet"/>
      <w:lvlText w:val="•"/>
      <w:lvlJc w:val="left"/>
      <w:pPr>
        <w:ind w:left="1914" w:hanging="361"/>
      </w:pPr>
      <w:rPr>
        <w:rFonts w:hint="default"/>
      </w:rPr>
    </w:lvl>
    <w:lvl w:ilvl="6" w:tplc="6EDA41FA">
      <w:numFmt w:val="bullet"/>
      <w:lvlText w:val="•"/>
      <w:lvlJc w:val="left"/>
      <w:pPr>
        <w:ind w:left="2205" w:hanging="361"/>
      </w:pPr>
      <w:rPr>
        <w:rFonts w:hint="default"/>
      </w:rPr>
    </w:lvl>
    <w:lvl w:ilvl="7" w:tplc="83ACDE32">
      <w:numFmt w:val="bullet"/>
      <w:lvlText w:val="•"/>
      <w:lvlJc w:val="left"/>
      <w:pPr>
        <w:ind w:left="2496" w:hanging="361"/>
      </w:pPr>
      <w:rPr>
        <w:rFonts w:hint="default"/>
      </w:rPr>
    </w:lvl>
    <w:lvl w:ilvl="8" w:tplc="D714BDAA">
      <w:numFmt w:val="bullet"/>
      <w:lvlText w:val="•"/>
      <w:lvlJc w:val="left"/>
      <w:pPr>
        <w:ind w:left="2787" w:hanging="361"/>
      </w:pPr>
      <w:rPr>
        <w:rFonts w:hint="default"/>
      </w:rPr>
    </w:lvl>
  </w:abstractNum>
  <w:abstractNum w:abstractNumId="14" w15:restartNumberingAfterBreak="0">
    <w:nsid w:val="12F15A9F"/>
    <w:multiLevelType w:val="hybridMultilevel"/>
    <w:tmpl w:val="A656D6BC"/>
    <w:lvl w:ilvl="0" w:tplc="7AA48298">
      <w:numFmt w:val="bullet"/>
      <w:lvlText w:val="•"/>
      <w:lvlJc w:val="left"/>
      <w:pPr>
        <w:ind w:left="468" w:hanging="361"/>
      </w:pPr>
      <w:rPr>
        <w:rFonts w:ascii="Cambria" w:eastAsia="Cambria" w:hAnsi="Cambria" w:cs="Cambria" w:hint="default"/>
        <w:w w:val="100"/>
        <w:sz w:val="22"/>
        <w:szCs w:val="22"/>
      </w:rPr>
    </w:lvl>
    <w:lvl w:ilvl="1" w:tplc="804EAE24">
      <w:numFmt w:val="bullet"/>
      <w:lvlText w:val="•"/>
      <w:lvlJc w:val="left"/>
      <w:pPr>
        <w:ind w:left="778" w:hanging="361"/>
      </w:pPr>
      <w:rPr>
        <w:rFonts w:hint="default"/>
      </w:rPr>
    </w:lvl>
    <w:lvl w:ilvl="2" w:tplc="146E02B8">
      <w:numFmt w:val="bullet"/>
      <w:lvlText w:val="•"/>
      <w:lvlJc w:val="left"/>
      <w:pPr>
        <w:ind w:left="1096" w:hanging="361"/>
      </w:pPr>
      <w:rPr>
        <w:rFonts w:hint="default"/>
      </w:rPr>
    </w:lvl>
    <w:lvl w:ilvl="3" w:tplc="C308913A">
      <w:numFmt w:val="bullet"/>
      <w:lvlText w:val="•"/>
      <w:lvlJc w:val="left"/>
      <w:pPr>
        <w:ind w:left="1414" w:hanging="361"/>
      </w:pPr>
      <w:rPr>
        <w:rFonts w:hint="default"/>
      </w:rPr>
    </w:lvl>
    <w:lvl w:ilvl="4" w:tplc="E658495C">
      <w:numFmt w:val="bullet"/>
      <w:lvlText w:val="•"/>
      <w:lvlJc w:val="left"/>
      <w:pPr>
        <w:ind w:left="1732" w:hanging="361"/>
      </w:pPr>
      <w:rPr>
        <w:rFonts w:hint="default"/>
      </w:rPr>
    </w:lvl>
    <w:lvl w:ilvl="5" w:tplc="CB84191C">
      <w:numFmt w:val="bullet"/>
      <w:lvlText w:val="•"/>
      <w:lvlJc w:val="left"/>
      <w:pPr>
        <w:ind w:left="2050" w:hanging="361"/>
      </w:pPr>
      <w:rPr>
        <w:rFonts w:hint="default"/>
      </w:rPr>
    </w:lvl>
    <w:lvl w:ilvl="6" w:tplc="9DB0F3DE">
      <w:numFmt w:val="bullet"/>
      <w:lvlText w:val="•"/>
      <w:lvlJc w:val="left"/>
      <w:pPr>
        <w:ind w:left="2368" w:hanging="361"/>
      </w:pPr>
      <w:rPr>
        <w:rFonts w:hint="default"/>
      </w:rPr>
    </w:lvl>
    <w:lvl w:ilvl="7" w:tplc="257A337E">
      <w:numFmt w:val="bullet"/>
      <w:lvlText w:val="•"/>
      <w:lvlJc w:val="left"/>
      <w:pPr>
        <w:ind w:left="2686" w:hanging="361"/>
      </w:pPr>
      <w:rPr>
        <w:rFonts w:hint="default"/>
      </w:rPr>
    </w:lvl>
    <w:lvl w:ilvl="8" w:tplc="B22CF168">
      <w:numFmt w:val="bullet"/>
      <w:lvlText w:val="•"/>
      <w:lvlJc w:val="left"/>
      <w:pPr>
        <w:ind w:left="3004" w:hanging="361"/>
      </w:pPr>
      <w:rPr>
        <w:rFonts w:hint="default"/>
      </w:rPr>
    </w:lvl>
  </w:abstractNum>
  <w:abstractNum w:abstractNumId="15" w15:restartNumberingAfterBreak="0">
    <w:nsid w:val="164A3DEB"/>
    <w:multiLevelType w:val="hybridMultilevel"/>
    <w:tmpl w:val="5E88F484"/>
    <w:lvl w:ilvl="0" w:tplc="F5B6DCF2">
      <w:numFmt w:val="bullet"/>
      <w:lvlText w:val="•"/>
      <w:lvlJc w:val="left"/>
      <w:pPr>
        <w:ind w:left="587" w:hanging="276"/>
      </w:pPr>
      <w:rPr>
        <w:rFonts w:ascii="Arial" w:eastAsia="Arial" w:hAnsi="Arial" w:cs="Arial" w:hint="default"/>
        <w:color w:val="001F5F"/>
        <w:w w:val="100"/>
        <w:sz w:val="24"/>
        <w:szCs w:val="24"/>
      </w:rPr>
    </w:lvl>
    <w:lvl w:ilvl="1" w:tplc="CF9C45D4">
      <w:numFmt w:val="bullet"/>
      <w:lvlText w:val=""/>
      <w:lvlJc w:val="left"/>
      <w:pPr>
        <w:ind w:left="765" w:hanging="284"/>
      </w:pPr>
      <w:rPr>
        <w:rFonts w:ascii="Wingdings" w:eastAsia="Wingdings" w:hAnsi="Wingdings" w:cs="Wingdings" w:hint="default"/>
        <w:color w:val="005386"/>
        <w:w w:val="99"/>
        <w:sz w:val="19"/>
        <w:szCs w:val="19"/>
      </w:rPr>
    </w:lvl>
    <w:lvl w:ilvl="2" w:tplc="472AA8CA">
      <w:numFmt w:val="bullet"/>
      <w:lvlText w:val="•"/>
      <w:lvlJc w:val="left"/>
      <w:pPr>
        <w:ind w:left="1124" w:hanging="284"/>
      </w:pPr>
      <w:rPr>
        <w:rFonts w:hint="default"/>
      </w:rPr>
    </w:lvl>
    <w:lvl w:ilvl="3" w:tplc="D6CA9878">
      <w:numFmt w:val="bullet"/>
      <w:lvlText w:val="•"/>
      <w:lvlJc w:val="left"/>
      <w:pPr>
        <w:ind w:left="1489" w:hanging="284"/>
      </w:pPr>
      <w:rPr>
        <w:rFonts w:hint="default"/>
      </w:rPr>
    </w:lvl>
    <w:lvl w:ilvl="4" w:tplc="E19841B6">
      <w:numFmt w:val="bullet"/>
      <w:lvlText w:val="•"/>
      <w:lvlJc w:val="left"/>
      <w:pPr>
        <w:ind w:left="1854" w:hanging="284"/>
      </w:pPr>
      <w:rPr>
        <w:rFonts w:hint="default"/>
      </w:rPr>
    </w:lvl>
    <w:lvl w:ilvl="5" w:tplc="503A1DB2">
      <w:numFmt w:val="bullet"/>
      <w:lvlText w:val="•"/>
      <w:lvlJc w:val="left"/>
      <w:pPr>
        <w:ind w:left="2219" w:hanging="284"/>
      </w:pPr>
      <w:rPr>
        <w:rFonts w:hint="default"/>
      </w:rPr>
    </w:lvl>
    <w:lvl w:ilvl="6" w:tplc="9322FFCE">
      <w:numFmt w:val="bullet"/>
      <w:lvlText w:val="•"/>
      <w:lvlJc w:val="left"/>
      <w:pPr>
        <w:ind w:left="2584" w:hanging="284"/>
      </w:pPr>
      <w:rPr>
        <w:rFonts w:hint="default"/>
      </w:rPr>
    </w:lvl>
    <w:lvl w:ilvl="7" w:tplc="49AE1444">
      <w:numFmt w:val="bullet"/>
      <w:lvlText w:val="•"/>
      <w:lvlJc w:val="left"/>
      <w:pPr>
        <w:ind w:left="2949" w:hanging="284"/>
      </w:pPr>
      <w:rPr>
        <w:rFonts w:hint="default"/>
      </w:rPr>
    </w:lvl>
    <w:lvl w:ilvl="8" w:tplc="D8969D44">
      <w:numFmt w:val="bullet"/>
      <w:lvlText w:val="•"/>
      <w:lvlJc w:val="left"/>
      <w:pPr>
        <w:ind w:left="3314" w:hanging="284"/>
      </w:pPr>
      <w:rPr>
        <w:rFonts w:hint="default"/>
      </w:rPr>
    </w:lvl>
  </w:abstractNum>
  <w:abstractNum w:abstractNumId="16" w15:restartNumberingAfterBreak="0">
    <w:nsid w:val="1A1E1496"/>
    <w:multiLevelType w:val="hybridMultilevel"/>
    <w:tmpl w:val="E09A1678"/>
    <w:lvl w:ilvl="0" w:tplc="3B36F590">
      <w:start w:val="1"/>
      <w:numFmt w:val="decimal"/>
      <w:lvlText w:val="%1."/>
      <w:lvlJc w:val="left"/>
      <w:pPr>
        <w:ind w:left="118" w:hanging="216"/>
        <w:jc w:val="left"/>
      </w:pPr>
      <w:rPr>
        <w:rFonts w:ascii="Cambria" w:eastAsia="Cambria" w:hAnsi="Cambria" w:cs="Cambria" w:hint="default"/>
        <w:w w:val="100"/>
        <w:sz w:val="22"/>
        <w:szCs w:val="22"/>
      </w:rPr>
    </w:lvl>
    <w:lvl w:ilvl="1" w:tplc="3BF464DE">
      <w:numFmt w:val="bullet"/>
      <w:lvlText w:val="•"/>
      <w:lvlJc w:val="left"/>
      <w:pPr>
        <w:ind w:left="1036" w:hanging="216"/>
      </w:pPr>
      <w:rPr>
        <w:rFonts w:hint="default"/>
      </w:rPr>
    </w:lvl>
    <w:lvl w:ilvl="2" w:tplc="FC0AD2BE">
      <w:numFmt w:val="bullet"/>
      <w:lvlText w:val="•"/>
      <w:lvlJc w:val="left"/>
      <w:pPr>
        <w:ind w:left="1953" w:hanging="216"/>
      </w:pPr>
      <w:rPr>
        <w:rFonts w:hint="default"/>
      </w:rPr>
    </w:lvl>
    <w:lvl w:ilvl="3" w:tplc="3CB4533E">
      <w:numFmt w:val="bullet"/>
      <w:lvlText w:val="•"/>
      <w:lvlJc w:val="left"/>
      <w:pPr>
        <w:ind w:left="2869" w:hanging="216"/>
      </w:pPr>
      <w:rPr>
        <w:rFonts w:hint="default"/>
      </w:rPr>
    </w:lvl>
    <w:lvl w:ilvl="4" w:tplc="D03AF934">
      <w:numFmt w:val="bullet"/>
      <w:lvlText w:val="•"/>
      <w:lvlJc w:val="left"/>
      <w:pPr>
        <w:ind w:left="3786" w:hanging="216"/>
      </w:pPr>
      <w:rPr>
        <w:rFonts w:hint="default"/>
      </w:rPr>
    </w:lvl>
    <w:lvl w:ilvl="5" w:tplc="D1484AB6">
      <w:numFmt w:val="bullet"/>
      <w:lvlText w:val="•"/>
      <w:lvlJc w:val="left"/>
      <w:pPr>
        <w:ind w:left="4703" w:hanging="216"/>
      </w:pPr>
      <w:rPr>
        <w:rFonts w:hint="default"/>
      </w:rPr>
    </w:lvl>
    <w:lvl w:ilvl="6" w:tplc="8500DE20">
      <w:numFmt w:val="bullet"/>
      <w:lvlText w:val="•"/>
      <w:lvlJc w:val="left"/>
      <w:pPr>
        <w:ind w:left="5619" w:hanging="216"/>
      </w:pPr>
      <w:rPr>
        <w:rFonts w:hint="default"/>
      </w:rPr>
    </w:lvl>
    <w:lvl w:ilvl="7" w:tplc="02FA7622">
      <w:numFmt w:val="bullet"/>
      <w:lvlText w:val="•"/>
      <w:lvlJc w:val="left"/>
      <w:pPr>
        <w:ind w:left="6536" w:hanging="216"/>
      </w:pPr>
      <w:rPr>
        <w:rFonts w:hint="default"/>
      </w:rPr>
    </w:lvl>
    <w:lvl w:ilvl="8" w:tplc="6798A35A">
      <w:numFmt w:val="bullet"/>
      <w:lvlText w:val="•"/>
      <w:lvlJc w:val="left"/>
      <w:pPr>
        <w:ind w:left="7453" w:hanging="216"/>
      </w:pPr>
      <w:rPr>
        <w:rFonts w:hint="default"/>
      </w:rPr>
    </w:lvl>
  </w:abstractNum>
  <w:abstractNum w:abstractNumId="17" w15:restartNumberingAfterBreak="0">
    <w:nsid w:val="1B2935F1"/>
    <w:multiLevelType w:val="hybridMultilevel"/>
    <w:tmpl w:val="3968BE0C"/>
    <w:lvl w:ilvl="0" w:tplc="50CC3B6C">
      <w:numFmt w:val="bullet"/>
      <w:lvlText w:val="•"/>
      <w:lvlJc w:val="left"/>
      <w:pPr>
        <w:ind w:left="465" w:hanging="361"/>
      </w:pPr>
      <w:rPr>
        <w:rFonts w:ascii="Cambria" w:eastAsia="Cambria" w:hAnsi="Cambria" w:cs="Cambria" w:hint="default"/>
        <w:w w:val="100"/>
        <w:sz w:val="22"/>
        <w:szCs w:val="22"/>
      </w:rPr>
    </w:lvl>
    <w:lvl w:ilvl="1" w:tplc="0576003E">
      <w:numFmt w:val="bullet"/>
      <w:lvlText w:val="•"/>
      <w:lvlJc w:val="left"/>
      <w:pPr>
        <w:ind w:left="1191" w:hanging="361"/>
      </w:pPr>
      <w:rPr>
        <w:rFonts w:hint="default"/>
      </w:rPr>
    </w:lvl>
    <w:lvl w:ilvl="2" w:tplc="C464E6FE">
      <w:numFmt w:val="bullet"/>
      <w:lvlText w:val="•"/>
      <w:lvlJc w:val="left"/>
      <w:pPr>
        <w:ind w:left="1923" w:hanging="361"/>
      </w:pPr>
      <w:rPr>
        <w:rFonts w:hint="default"/>
      </w:rPr>
    </w:lvl>
    <w:lvl w:ilvl="3" w:tplc="365CAE1C">
      <w:numFmt w:val="bullet"/>
      <w:lvlText w:val="•"/>
      <w:lvlJc w:val="left"/>
      <w:pPr>
        <w:ind w:left="2654" w:hanging="361"/>
      </w:pPr>
      <w:rPr>
        <w:rFonts w:hint="default"/>
      </w:rPr>
    </w:lvl>
    <w:lvl w:ilvl="4" w:tplc="15B2C7E8">
      <w:numFmt w:val="bullet"/>
      <w:lvlText w:val="•"/>
      <w:lvlJc w:val="left"/>
      <w:pPr>
        <w:ind w:left="3386" w:hanging="361"/>
      </w:pPr>
      <w:rPr>
        <w:rFonts w:hint="default"/>
      </w:rPr>
    </w:lvl>
    <w:lvl w:ilvl="5" w:tplc="B00E9232">
      <w:numFmt w:val="bullet"/>
      <w:lvlText w:val="•"/>
      <w:lvlJc w:val="left"/>
      <w:pPr>
        <w:ind w:left="4117" w:hanging="361"/>
      </w:pPr>
      <w:rPr>
        <w:rFonts w:hint="default"/>
      </w:rPr>
    </w:lvl>
    <w:lvl w:ilvl="6" w:tplc="EEA01F08">
      <w:numFmt w:val="bullet"/>
      <w:lvlText w:val="•"/>
      <w:lvlJc w:val="left"/>
      <w:pPr>
        <w:ind w:left="4849" w:hanging="361"/>
      </w:pPr>
      <w:rPr>
        <w:rFonts w:hint="default"/>
      </w:rPr>
    </w:lvl>
    <w:lvl w:ilvl="7" w:tplc="C79082F0">
      <w:numFmt w:val="bullet"/>
      <w:lvlText w:val="•"/>
      <w:lvlJc w:val="left"/>
      <w:pPr>
        <w:ind w:left="5580" w:hanging="361"/>
      </w:pPr>
      <w:rPr>
        <w:rFonts w:hint="default"/>
      </w:rPr>
    </w:lvl>
    <w:lvl w:ilvl="8" w:tplc="92847DF8">
      <w:numFmt w:val="bullet"/>
      <w:lvlText w:val="•"/>
      <w:lvlJc w:val="left"/>
      <w:pPr>
        <w:ind w:left="6312" w:hanging="361"/>
      </w:pPr>
      <w:rPr>
        <w:rFonts w:hint="default"/>
      </w:rPr>
    </w:lvl>
  </w:abstractNum>
  <w:abstractNum w:abstractNumId="18" w15:restartNumberingAfterBreak="0">
    <w:nsid w:val="1BA70C2C"/>
    <w:multiLevelType w:val="hybridMultilevel"/>
    <w:tmpl w:val="42DC5736"/>
    <w:lvl w:ilvl="0" w:tplc="3C4A46B8">
      <w:numFmt w:val="bullet"/>
      <w:lvlText w:val="•"/>
      <w:lvlJc w:val="left"/>
      <w:pPr>
        <w:ind w:left="463" w:hanging="361"/>
      </w:pPr>
      <w:rPr>
        <w:rFonts w:ascii="Cambria" w:eastAsia="Cambria" w:hAnsi="Cambria" w:cs="Cambria" w:hint="default"/>
        <w:w w:val="100"/>
        <w:sz w:val="22"/>
        <w:szCs w:val="22"/>
      </w:rPr>
    </w:lvl>
    <w:lvl w:ilvl="1" w:tplc="65E6BB18">
      <w:numFmt w:val="bullet"/>
      <w:lvlText w:val="-"/>
      <w:lvlJc w:val="left"/>
      <w:pPr>
        <w:ind w:left="1183" w:hanging="360"/>
      </w:pPr>
      <w:rPr>
        <w:rFonts w:ascii="Cambria" w:eastAsia="Cambria" w:hAnsi="Cambria" w:cs="Cambria" w:hint="default"/>
        <w:w w:val="100"/>
        <w:sz w:val="22"/>
        <w:szCs w:val="22"/>
      </w:rPr>
    </w:lvl>
    <w:lvl w:ilvl="2" w:tplc="0E7E3CF2">
      <w:numFmt w:val="bullet"/>
      <w:lvlText w:val="•"/>
      <w:lvlJc w:val="left"/>
      <w:pPr>
        <w:ind w:left="2071" w:hanging="360"/>
      </w:pPr>
      <w:rPr>
        <w:rFonts w:hint="default"/>
      </w:rPr>
    </w:lvl>
    <w:lvl w:ilvl="3" w:tplc="9DF09B2A">
      <w:numFmt w:val="bullet"/>
      <w:lvlText w:val="•"/>
      <w:lvlJc w:val="left"/>
      <w:pPr>
        <w:ind w:left="2963" w:hanging="360"/>
      </w:pPr>
      <w:rPr>
        <w:rFonts w:hint="default"/>
      </w:rPr>
    </w:lvl>
    <w:lvl w:ilvl="4" w:tplc="2FAAD948">
      <w:numFmt w:val="bullet"/>
      <w:lvlText w:val="•"/>
      <w:lvlJc w:val="left"/>
      <w:pPr>
        <w:ind w:left="3854" w:hanging="360"/>
      </w:pPr>
      <w:rPr>
        <w:rFonts w:hint="default"/>
      </w:rPr>
    </w:lvl>
    <w:lvl w:ilvl="5" w:tplc="5706EDE8">
      <w:numFmt w:val="bullet"/>
      <w:lvlText w:val="•"/>
      <w:lvlJc w:val="left"/>
      <w:pPr>
        <w:ind w:left="4746" w:hanging="360"/>
      </w:pPr>
      <w:rPr>
        <w:rFonts w:hint="default"/>
      </w:rPr>
    </w:lvl>
    <w:lvl w:ilvl="6" w:tplc="7B1A33AC">
      <w:numFmt w:val="bullet"/>
      <w:lvlText w:val="•"/>
      <w:lvlJc w:val="left"/>
      <w:pPr>
        <w:ind w:left="5637" w:hanging="360"/>
      </w:pPr>
      <w:rPr>
        <w:rFonts w:hint="default"/>
      </w:rPr>
    </w:lvl>
    <w:lvl w:ilvl="7" w:tplc="C1A8DDFE">
      <w:numFmt w:val="bullet"/>
      <w:lvlText w:val="•"/>
      <w:lvlJc w:val="left"/>
      <w:pPr>
        <w:ind w:left="6529" w:hanging="360"/>
      </w:pPr>
      <w:rPr>
        <w:rFonts w:hint="default"/>
      </w:rPr>
    </w:lvl>
    <w:lvl w:ilvl="8" w:tplc="E34446BE">
      <w:numFmt w:val="bullet"/>
      <w:lvlText w:val="•"/>
      <w:lvlJc w:val="left"/>
      <w:pPr>
        <w:ind w:left="7420" w:hanging="360"/>
      </w:pPr>
      <w:rPr>
        <w:rFonts w:hint="default"/>
      </w:rPr>
    </w:lvl>
  </w:abstractNum>
  <w:abstractNum w:abstractNumId="19" w15:restartNumberingAfterBreak="0">
    <w:nsid w:val="21AC69B4"/>
    <w:multiLevelType w:val="hybridMultilevel"/>
    <w:tmpl w:val="EE8C2094"/>
    <w:lvl w:ilvl="0" w:tplc="31AC20F6">
      <w:numFmt w:val="bullet"/>
      <w:lvlText w:val="•"/>
      <w:lvlJc w:val="left"/>
      <w:pPr>
        <w:ind w:left="465" w:hanging="361"/>
      </w:pPr>
      <w:rPr>
        <w:rFonts w:ascii="Cambria" w:eastAsia="Cambria" w:hAnsi="Cambria" w:cs="Cambria" w:hint="default"/>
        <w:w w:val="100"/>
        <w:sz w:val="22"/>
        <w:szCs w:val="22"/>
      </w:rPr>
    </w:lvl>
    <w:lvl w:ilvl="1" w:tplc="BDF4E088">
      <w:numFmt w:val="bullet"/>
      <w:lvlText w:val="•"/>
      <w:lvlJc w:val="left"/>
      <w:pPr>
        <w:ind w:left="779" w:hanging="361"/>
      </w:pPr>
      <w:rPr>
        <w:rFonts w:hint="default"/>
      </w:rPr>
    </w:lvl>
    <w:lvl w:ilvl="2" w:tplc="6DA26D1C">
      <w:numFmt w:val="bullet"/>
      <w:lvlText w:val="•"/>
      <w:lvlJc w:val="left"/>
      <w:pPr>
        <w:ind w:left="1098" w:hanging="361"/>
      </w:pPr>
      <w:rPr>
        <w:rFonts w:hint="default"/>
      </w:rPr>
    </w:lvl>
    <w:lvl w:ilvl="3" w:tplc="55EA4EDA">
      <w:numFmt w:val="bullet"/>
      <w:lvlText w:val="•"/>
      <w:lvlJc w:val="left"/>
      <w:pPr>
        <w:ind w:left="1417" w:hanging="361"/>
      </w:pPr>
      <w:rPr>
        <w:rFonts w:hint="default"/>
      </w:rPr>
    </w:lvl>
    <w:lvl w:ilvl="4" w:tplc="7EE0B70A">
      <w:numFmt w:val="bullet"/>
      <w:lvlText w:val="•"/>
      <w:lvlJc w:val="left"/>
      <w:pPr>
        <w:ind w:left="1736" w:hanging="361"/>
      </w:pPr>
      <w:rPr>
        <w:rFonts w:hint="default"/>
      </w:rPr>
    </w:lvl>
    <w:lvl w:ilvl="5" w:tplc="A28EB822">
      <w:numFmt w:val="bullet"/>
      <w:lvlText w:val="•"/>
      <w:lvlJc w:val="left"/>
      <w:pPr>
        <w:ind w:left="2056" w:hanging="361"/>
      </w:pPr>
      <w:rPr>
        <w:rFonts w:hint="default"/>
      </w:rPr>
    </w:lvl>
    <w:lvl w:ilvl="6" w:tplc="9CC81746">
      <w:numFmt w:val="bullet"/>
      <w:lvlText w:val="•"/>
      <w:lvlJc w:val="left"/>
      <w:pPr>
        <w:ind w:left="2375" w:hanging="361"/>
      </w:pPr>
      <w:rPr>
        <w:rFonts w:hint="default"/>
      </w:rPr>
    </w:lvl>
    <w:lvl w:ilvl="7" w:tplc="1DFCB8C4">
      <w:numFmt w:val="bullet"/>
      <w:lvlText w:val="•"/>
      <w:lvlJc w:val="left"/>
      <w:pPr>
        <w:ind w:left="2694" w:hanging="361"/>
      </w:pPr>
      <w:rPr>
        <w:rFonts w:hint="default"/>
      </w:rPr>
    </w:lvl>
    <w:lvl w:ilvl="8" w:tplc="BA24ACE4">
      <w:numFmt w:val="bullet"/>
      <w:lvlText w:val="•"/>
      <w:lvlJc w:val="left"/>
      <w:pPr>
        <w:ind w:left="3013" w:hanging="361"/>
      </w:pPr>
      <w:rPr>
        <w:rFonts w:hint="default"/>
      </w:rPr>
    </w:lvl>
  </w:abstractNum>
  <w:abstractNum w:abstractNumId="20" w15:restartNumberingAfterBreak="0">
    <w:nsid w:val="21C827A4"/>
    <w:multiLevelType w:val="hybridMultilevel"/>
    <w:tmpl w:val="E4B8145E"/>
    <w:lvl w:ilvl="0" w:tplc="9BC2DDC6">
      <w:start w:val="1"/>
      <w:numFmt w:val="decimal"/>
      <w:lvlText w:val="%1."/>
      <w:lvlJc w:val="left"/>
      <w:pPr>
        <w:ind w:left="545" w:hanging="425"/>
        <w:jc w:val="left"/>
      </w:pPr>
      <w:rPr>
        <w:rFonts w:ascii="Cambria" w:eastAsia="Cambria" w:hAnsi="Cambria" w:cs="Cambria" w:hint="default"/>
        <w:w w:val="100"/>
        <w:sz w:val="22"/>
        <w:szCs w:val="22"/>
      </w:rPr>
    </w:lvl>
    <w:lvl w:ilvl="1" w:tplc="A90A812A">
      <w:numFmt w:val="bullet"/>
      <w:lvlText w:val="•"/>
      <w:lvlJc w:val="left"/>
      <w:pPr>
        <w:ind w:left="1941" w:hanging="425"/>
      </w:pPr>
      <w:rPr>
        <w:rFonts w:hint="default"/>
      </w:rPr>
    </w:lvl>
    <w:lvl w:ilvl="2" w:tplc="CFEC4FAA">
      <w:numFmt w:val="bullet"/>
      <w:lvlText w:val="•"/>
      <w:lvlJc w:val="left"/>
      <w:pPr>
        <w:ind w:left="3343" w:hanging="425"/>
      </w:pPr>
      <w:rPr>
        <w:rFonts w:hint="default"/>
      </w:rPr>
    </w:lvl>
    <w:lvl w:ilvl="3" w:tplc="7D163346">
      <w:numFmt w:val="bullet"/>
      <w:lvlText w:val="•"/>
      <w:lvlJc w:val="left"/>
      <w:pPr>
        <w:ind w:left="4745" w:hanging="425"/>
      </w:pPr>
      <w:rPr>
        <w:rFonts w:hint="default"/>
      </w:rPr>
    </w:lvl>
    <w:lvl w:ilvl="4" w:tplc="5CE2D612">
      <w:numFmt w:val="bullet"/>
      <w:lvlText w:val="•"/>
      <w:lvlJc w:val="left"/>
      <w:pPr>
        <w:ind w:left="6147" w:hanging="425"/>
      </w:pPr>
      <w:rPr>
        <w:rFonts w:hint="default"/>
      </w:rPr>
    </w:lvl>
    <w:lvl w:ilvl="5" w:tplc="E836F38E">
      <w:numFmt w:val="bullet"/>
      <w:lvlText w:val="•"/>
      <w:lvlJc w:val="left"/>
      <w:pPr>
        <w:ind w:left="7549" w:hanging="425"/>
      </w:pPr>
      <w:rPr>
        <w:rFonts w:hint="default"/>
      </w:rPr>
    </w:lvl>
    <w:lvl w:ilvl="6" w:tplc="2C2A98A4">
      <w:numFmt w:val="bullet"/>
      <w:lvlText w:val="•"/>
      <w:lvlJc w:val="left"/>
      <w:pPr>
        <w:ind w:left="8951" w:hanging="425"/>
      </w:pPr>
      <w:rPr>
        <w:rFonts w:hint="default"/>
      </w:rPr>
    </w:lvl>
    <w:lvl w:ilvl="7" w:tplc="36BAC660">
      <w:numFmt w:val="bullet"/>
      <w:lvlText w:val="•"/>
      <w:lvlJc w:val="left"/>
      <w:pPr>
        <w:ind w:left="10352" w:hanging="425"/>
      </w:pPr>
      <w:rPr>
        <w:rFonts w:hint="default"/>
      </w:rPr>
    </w:lvl>
    <w:lvl w:ilvl="8" w:tplc="EB6296E4">
      <w:numFmt w:val="bullet"/>
      <w:lvlText w:val="•"/>
      <w:lvlJc w:val="left"/>
      <w:pPr>
        <w:ind w:left="11754" w:hanging="425"/>
      </w:pPr>
      <w:rPr>
        <w:rFonts w:hint="default"/>
      </w:rPr>
    </w:lvl>
  </w:abstractNum>
  <w:abstractNum w:abstractNumId="21" w15:restartNumberingAfterBreak="0">
    <w:nsid w:val="27B92436"/>
    <w:multiLevelType w:val="hybridMultilevel"/>
    <w:tmpl w:val="B7441BA4"/>
    <w:lvl w:ilvl="0" w:tplc="C090D12A">
      <w:numFmt w:val="bullet"/>
      <w:lvlText w:val="•"/>
      <w:lvlJc w:val="left"/>
      <w:pPr>
        <w:ind w:left="465" w:hanging="361"/>
      </w:pPr>
      <w:rPr>
        <w:rFonts w:ascii="Cambria" w:eastAsia="Cambria" w:hAnsi="Cambria" w:cs="Cambria" w:hint="default"/>
        <w:w w:val="100"/>
        <w:sz w:val="22"/>
        <w:szCs w:val="22"/>
      </w:rPr>
    </w:lvl>
    <w:lvl w:ilvl="1" w:tplc="C9A8D704">
      <w:numFmt w:val="bullet"/>
      <w:lvlText w:val="•"/>
      <w:lvlJc w:val="left"/>
      <w:pPr>
        <w:ind w:left="779" w:hanging="361"/>
      </w:pPr>
      <w:rPr>
        <w:rFonts w:hint="default"/>
      </w:rPr>
    </w:lvl>
    <w:lvl w:ilvl="2" w:tplc="4B625546">
      <w:numFmt w:val="bullet"/>
      <w:lvlText w:val="•"/>
      <w:lvlJc w:val="left"/>
      <w:pPr>
        <w:ind w:left="1098" w:hanging="361"/>
      </w:pPr>
      <w:rPr>
        <w:rFonts w:hint="default"/>
      </w:rPr>
    </w:lvl>
    <w:lvl w:ilvl="3" w:tplc="B3EC05C2">
      <w:numFmt w:val="bullet"/>
      <w:lvlText w:val="•"/>
      <w:lvlJc w:val="left"/>
      <w:pPr>
        <w:ind w:left="1417" w:hanging="361"/>
      </w:pPr>
      <w:rPr>
        <w:rFonts w:hint="default"/>
      </w:rPr>
    </w:lvl>
    <w:lvl w:ilvl="4" w:tplc="55AC2D4C">
      <w:numFmt w:val="bullet"/>
      <w:lvlText w:val="•"/>
      <w:lvlJc w:val="left"/>
      <w:pPr>
        <w:ind w:left="1736" w:hanging="361"/>
      </w:pPr>
      <w:rPr>
        <w:rFonts w:hint="default"/>
      </w:rPr>
    </w:lvl>
    <w:lvl w:ilvl="5" w:tplc="330EF6CA">
      <w:numFmt w:val="bullet"/>
      <w:lvlText w:val="•"/>
      <w:lvlJc w:val="left"/>
      <w:pPr>
        <w:ind w:left="2056" w:hanging="361"/>
      </w:pPr>
      <w:rPr>
        <w:rFonts w:hint="default"/>
      </w:rPr>
    </w:lvl>
    <w:lvl w:ilvl="6" w:tplc="3FAAE810">
      <w:numFmt w:val="bullet"/>
      <w:lvlText w:val="•"/>
      <w:lvlJc w:val="left"/>
      <w:pPr>
        <w:ind w:left="2375" w:hanging="361"/>
      </w:pPr>
      <w:rPr>
        <w:rFonts w:hint="default"/>
      </w:rPr>
    </w:lvl>
    <w:lvl w:ilvl="7" w:tplc="75F47782">
      <w:numFmt w:val="bullet"/>
      <w:lvlText w:val="•"/>
      <w:lvlJc w:val="left"/>
      <w:pPr>
        <w:ind w:left="2694" w:hanging="361"/>
      </w:pPr>
      <w:rPr>
        <w:rFonts w:hint="default"/>
      </w:rPr>
    </w:lvl>
    <w:lvl w:ilvl="8" w:tplc="43487796">
      <w:numFmt w:val="bullet"/>
      <w:lvlText w:val="•"/>
      <w:lvlJc w:val="left"/>
      <w:pPr>
        <w:ind w:left="3013" w:hanging="361"/>
      </w:pPr>
      <w:rPr>
        <w:rFonts w:hint="default"/>
      </w:rPr>
    </w:lvl>
  </w:abstractNum>
  <w:abstractNum w:abstractNumId="22" w15:restartNumberingAfterBreak="0">
    <w:nsid w:val="29863820"/>
    <w:multiLevelType w:val="hybridMultilevel"/>
    <w:tmpl w:val="C602EC52"/>
    <w:lvl w:ilvl="0" w:tplc="8E9EA524">
      <w:numFmt w:val="bullet"/>
      <w:lvlText w:val=""/>
      <w:lvlJc w:val="left"/>
      <w:pPr>
        <w:ind w:left="1202" w:hanging="360"/>
      </w:pPr>
      <w:rPr>
        <w:rFonts w:ascii="Symbol" w:eastAsia="Symbol" w:hAnsi="Symbol" w:cs="Symbol" w:hint="default"/>
        <w:w w:val="99"/>
        <w:sz w:val="19"/>
        <w:szCs w:val="19"/>
      </w:rPr>
    </w:lvl>
    <w:lvl w:ilvl="1" w:tplc="CADA9352">
      <w:numFmt w:val="bullet"/>
      <w:lvlText w:val="•"/>
      <w:lvlJc w:val="left"/>
      <w:pPr>
        <w:ind w:left="2066" w:hanging="360"/>
      </w:pPr>
      <w:rPr>
        <w:rFonts w:hint="default"/>
      </w:rPr>
    </w:lvl>
    <w:lvl w:ilvl="2" w:tplc="20ACE4EC">
      <w:numFmt w:val="bullet"/>
      <w:lvlText w:val="•"/>
      <w:lvlJc w:val="left"/>
      <w:pPr>
        <w:ind w:left="2933" w:hanging="360"/>
      </w:pPr>
      <w:rPr>
        <w:rFonts w:hint="default"/>
      </w:rPr>
    </w:lvl>
    <w:lvl w:ilvl="3" w:tplc="BFFE13F0">
      <w:numFmt w:val="bullet"/>
      <w:lvlText w:val="•"/>
      <w:lvlJc w:val="left"/>
      <w:pPr>
        <w:ind w:left="3799" w:hanging="360"/>
      </w:pPr>
      <w:rPr>
        <w:rFonts w:hint="default"/>
      </w:rPr>
    </w:lvl>
    <w:lvl w:ilvl="4" w:tplc="378A184A">
      <w:numFmt w:val="bullet"/>
      <w:lvlText w:val="•"/>
      <w:lvlJc w:val="left"/>
      <w:pPr>
        <w:ind w:left="4666" w:hanging="360"/>
      </w:pPr>
      <w:rPr>
        <w:rFonts w:hint="default"/>
      </w:rPr>
    </w:lvl>
    <w:lvl w:ilvl="5" w:tplc="3F8E8ED4">
      <w:numFmt w:val="bullet"/>
      <w:lvlText w:val="•"/>
      <w:lvlJc w:val="left"/>
      <w:pPr>
        <w:ind w:left="5533" w:hanging="360"/>
      </w:pPr>
      <w:rPr>
        <w:rFonts w:hint="default"/>
      </w:rPr>
    </w:lvl>
    <w:lvl w:ilvl="6" w:tplc="C3F8BCB6">
      <w:numFmt w:val="bullet"/>
      <w:lvlText w:val="•"/>
      <w:lvlJc w:val="left"/>
      <w:pPr>
        <w:ind w:left="6399" w:hanging="360"/>
      </w:pPr>
      <w:rPr>
        <w:rFonts w:hint="default"/>
      </w:rPr>
    </w:lvl>
    <w:lvl w:ilvl="7" w:tplc="4CFE37FE">
      <w:numFmt w:val="bullet"/>
      <w:lvlText w:val="•"/>
      <w:lvlJc w:val="left"/>
      <w:pPr>
        <w:ind w:left="7266" w:hanging="360"/>
      </w:pPr>
      <w:rPr>
        <w:rFonts w:hint="default"/>
      </w:rPr>
    </w:lvl>
    <w:lvl w:ilvl="8" w:tplc="7C8EB7A0">
      <w:numFmt w:val="bullet"/>
      <w:lvlText w:val="•"/>
      <w:lvlJc w:val="left"/>
      <w:pPr>
        <w:ind w:left="8133" w:hanging="360"/>
      </w:pPr>
      <w:rPr>
        <w:rFonts w:hint="default"/>
      </w:rPr>
    </w:lvl>
  </w:abstractNum>
  <w:abstractNum w:abstractNumId="23" w15:restartNumberingAfterBreak="0">
    <w:nsid w:val="2C476CB7"/>
    <w:multiLevelType w:val="hybridMultilevel"/>
    <w:tmpl w:val="DFC88E92"/>
    <w:lvl w:ilvl="0" w:tplc="DCE283C0">
      <w:numFmt w:val="bullet"/>
      <w:lvlText w:val="•"/>
      <w:lvlJc w:val="left"/>
      <w:pPr>
        <w:ind w:left="468" w:hanging="361"/>
      </w:pPr>
      <w:rPr>
        <w:rFonts w:ascii="Cambria" w:eastAsia="Cambria" w:hAnsi="Cambria" w:cs="Cambria" w:hint="default"/>
        <w:w w:val="100"/>
        <w:sz w:val="22"/>
        <w:szCs w:val="22"/>
      </w:rPr>
    </w:lvl>
    <w:lvl w:ilvl="1" w:tplc="C096DC06">
      <w:numFmt w:val="bullet"/>
      <w:lvlText w:val="•"/>
      <w:lvlJc w:val="left"/>
      <w:pPr>
        <w:ind w:left="793" w:hanging="361"/>
      </w:pPr>
      <w:rPr>
        <w:rFonts w:hint="default"/>
      </w:rPr>
    </w:lvl>
    <w:lvl w:ilvl="2" w:tplc="65D64362">
      <w:numFmt w:val="bullet"/>
      <w:lvlText w:val="•"/>
      <w:lvlJc w:val="left"/>
      <w:pPr>
        <w:ind w:left="1127" w:hanging="361"/>
      </w:pPr>
      <w:rPr>
        <w:rFonts w:hint="default"/>
      </w:rPr>
    </w:lvl>
    <w:lvl w:ilvl="3" w:tplc="812A8C80">
      <w:numFmt w:val="bullet"/>
      <w:lvlText w:val="•"/>
      <w:lvlJc w:val="left"/>
      <w:pPr>
        <w:ind w:left="1460" w:hanging="361"/>
      </w:pPr>
      <w:rPr>
        <w:rFonts w:hint="default"/>
      </w:rPr>
    </w:lvl>
    <w:lvl w:ilvl="4" w:tplc="6B04F5EC">
      <w:numFmt w:val="bullet"/>
      <w:lvlText w:val="•"/>
      <w:lvlJc w:val="left"/>
      <w:pPr>
        <w:ind w:left="1794" w:hanging="361"/>
      </w:pPr>
      <w:rPr>
        <w:rFonts w:hint="default"/>
      </w:rPr>
    </w:lvl>
    <w:lvl w:ilvl="5" w:tplc="F12E0CF2">
      <w:numFmt w:val="bullet"/>
      <w:lvlText w:val="•"/>
      <w:lvlJc w:val="left"/>
      <w:pPr>
        <w:ind w:left="2128" w:hanging="361"/>
      </w:pPr>
      <w:rPr>
        <w:rFonts w:hint="default"/>
      </w:rPr>
    </w:lvl>
    <w:lvl w:ilvl="6" w:tplc="F864B07E">
      <w:numFmt w:val="bullet"/>
      <w:lvlText w:val="•"/>
      <w:lvlJc w:val="left"/>
      <w:pPr>
        <w:ind w:left="2461" w:hanging="361"/>
      </w:pPr>
      <w:rPr>
        <w:rFonts w:hint="default"/>
      </w:rPr>
    </w:lvl>
    <w:lvl w:ilvl="7" w:tplc="4FCA8BE8">
      <w:numFmt w:val="bullet"/>
      <w:lvlText w:val="•"/>
      <w:lvlJc w:val="left"/>
      <w:pPr>
        <w:ind w:left="2795" w:hanging="361"/>
      </w:pPr>
      <w:rPr>
        <w:rFonts w:hint="default"/>
      </w:rPr>
    </w:lvl>
    <w:lvl w:ilvl="8" w:tplc="D74E5B6C">
      <w:numFmt w:val="bullet"/>
      <w:lvlText w:val="•"/>
      <w:lvlJc w:val="left"/>
      <w:pPr>
        <w:ind w:left="3128" w:hanging="361"/>
      </w:pPr>
      <w:rPr>
        <w:rFonts w:hint="default"/>
      </w:rPr>
    </w:lvl>
  </w:abstractNum>
  <w:abstractNum w:abstractNumId="24" w15:restartNumberingAfterBreak="0">
    <w:nsid w:val="2C627238"/>
    <w:multiLevelType w:val="hybridMultilevel"/>
    <w:tmpl w:val="4BA09EB2"/>
    <w:lvl w:ilvl="0" w:tplc="91AC0F40">
      <w:numFmt w:val="bullet"/>
      <w:lvlText w:val="•"/>
      <w:lvlJc w:val="left"/>
      <w:pPr>
        <w:ind w:left="467" w:hanging="361"/>
      </w:pPr>
      <w:rPr>
        <w:rFonts w:ascii="Cambria" w:eastAsia="Cambria" w:hAnsi="Cambria" w:cs="Cambria" w:hint="default"/>
        <w:w w:val="100"/>
        <w:sz w:val="22"/>
        <w:szCs w:val="22"/>
      </w:rPr>
    </w:lvl>
    <w:lvl w:ilvl="1" w:tplc="63D67396">
      <w:numFmt w:val="bullet"/>
      <w:lvlText w:val="•"/>
      <w:lvlJc w:val="left"/>
      <w:pPr>
        <w:ind w:left="1049" w:hanging="361"/>
      </w:pPr>
      <w:rPr>
        <w:rFonts w:hint="default"/>
      </w:rPr>
    </w:lvl>
    <w:lvl w:ilvl="2" w:tplc="B750F9BA">
      <w:numFmt w:val="bullet"/>
      <w:lvlText w:val="•"/>
      <w:lvlJc w:val="left"/>
      <w:pPr>
        <w:ind w:left="1639" w:hanging="361"/>
      </w:pPr>
      <w:rPr>
        <w:rFonts w:hint="default"/>
      </w:rPr>
    </w:lvl>
    <w:lvl w:ilvl="3" w:tplc="EFF2AD84">
      <w:numFmt w:val="bullet"/>
      <w:lvlText w:val="•"/>
      <w:lvlJc w:val="left"/>
      <w:pPr>
        <w:ind w:left="2229" w:hanging="361"/>
      </w:pPr>
      <w:rPr>
        <w:rFonts w:hint="default"/>
      </w:rPr>
    </w:lvl>
    <w:lvl w:ilvl="4" w:tplc="0FCEA232">
      <w:numFmt w:val="bullet"/>
      <w:lvlText w:val="•"/>
      <w:lvlJc w:val="left"/>
      <w:pPr>
        <w:ind w:left="2819" w:hanging="361"/>
      </w:pPr>
      <w:rPr>
        <w:rFonts w:hint="default"/>
      </w:rPr>
    </w:lvl>
    <w:lvl w:ilvl="5" w:tplc="F90E4B9C">
      <w:numFmt w:val="bullet"/>
      <w:lvlText w:val="•"/>
      <w:lvlJc w:val="left"/>
      <w:pPr>
        <w:ind w:left="3409" w:hanging="361"/>
      </w:pPr>
      <w:rPr>
        <w:rFonts w:hint="default"/>
      </w:rPr>
    </w:lvl>
    <w:lvl w:ilvl="6" w:tplc="0A70BF7E">
      <w:numFmt w:val="bullet"/>
      <w:lvlText w:val="•"/>
      <w:lvlJc w:val="left"/>
      <w:pPr>
        <w:ind w:left="3999" w:hanging="361"/>
      </w:pPr>
      <w:rPr>
        <w:rFonts w:hint="default"/>
      </w:rPr>
    </w:lvl>
    <w:lvl w:ilvl="7" w:tplc="ED009C80">
      <w:numFmt w:val="bullet"/>
      <w:lvlText w:val="•"/>
      <w:lvlJc w:val="left"/>
      <w:pPr>
        <w:ind w:left="4589" w:hanging="361"/>
      </w:pPr>
      <w:rPr>
        <w:rFonts w:hint="default"/>
      </w:rPr>
    </w:lvl>
    <w:lvl w:ilvl="8" w:tplc="4C9A1BF0">
      <w:numFmt w:val="bullet"/>
      <w:lvlText w:val="•"/>
      <w:lvlJc w:val="left"/>
      <w:pPr>
        <w:ind w:left="5179" w:hanging="361"/>
      </w:pPr>
      <w:rPr>
        <w:rFonts w:hint="default"/>
      </w:rPr>
    </w:lvl>
  </w:abstractNum>
  <w:abstractNum w:abstractNumId="25" w15:restartNumberingAfterBreak="0">
    <w:nsid w:val="2C742389"/>
    <w:multiLevelType w:val="hybridMultilevel"/>
    <w:tmpl w:val="10E6A226"/>
    <w:lvl w:ilvl="0" w:tplc="0B9EFBDA">
      <w:numFmt w:val="bullet"/>
      <w:lvlText w:val="•"/>
      <w:lvlJc w:val="left"/>
      <w:pPr>
        <w:ind w:left="468" w:hanging="361"/>
      </w:pPr>
      <w:rPr>
        <w:rFonts w:ascii="Cambria" w:eastAsia="Cambria" w:hAnsi="Cambria" w:cs="Cambria" w:hint="default"/>
        <w:w w:val="100"/>
        <w:sz w:val="22"/>
        <w:szCs w:val="22"/>
      </w:rPr>
    </w:lvl>
    <w:lvl w:ilvl="1" w:tplc="7BD4D74E">
      <w:numFmt w:val="bullet"/>
      <w:lvlText w:val="•"/>
      <w:lvlJc w:val="left"/>
      <w:pPr>
        <w:ind w:left="765" w:hanging="361"/>
      </w:pPr>
      <w:rPr>
        <w:rFonts w:hint="default"/>
      </w:rPr>
    </w:lvl>
    <w:lvl w:ilvl="2" w:tplc="44503028">
      <w:numFmt w:val="bullet"/>
      <w:lvlText w:val="•"/>
      <w:lvlJc w:val="left"/>
      <w:pPr>
        <w:ind w:left="1070" w:hanging="361"/>
      </w:pPr>
      <w:rPr>
        <w:rFonts w:hint="default"/>
      </w:rPr>
    </w:lvl>
    <w:lvl w:ilvl="3" w:tplc="F7366AFC">
      <w:numFmt w:val="bullet"/>
      <w:lvlText w:val="•"/>
      <w:lvlJc w:val="left"/>
      <w:pPr>
        <w:ind w:left="1375" w:hanging="361"/>
      </w:pPr>
      <w:rPr>
        <w:rFonts w:hint="default"/>
      </w:rPr>
    </w:lvl>
    <w:lvl w:ilvl="4" w:tplc="B5B43C4A">
      <w:numFmt w:val="bullet"/>
      <w:lvlText w:val="•"/>
      <w:lvlJc w:val="left"/>
      <w:pPr>
        <w:ind w:left="1680" w:hanging="361"/>
      </w:pPr>
      <w:rPr>
        <w:rFonts w:hint="default"/>
      </w:rPr>
    </w:lvl>
    <w:lvl w:ilvl="5" w:tplc="5552AF70">
      <w:numFmt w:val="bullet"/>
      <w:lvlText w:val="•"/>
      <w:lvlJc w:val="left"/>
      <w:pPr>
        <w:ind w:left="1985" w:hanging="361"/>
      </w:pPr>
      <w:rPr>
        <w:rFonts w:hint="default"/>
      </w:rPr>
    </w:lvl>
    <w:lvl w:ilvl="6" w:tplc="03A4E232">
      <w:numFmt w:val="bullet"/>
      <w:lvlText w:val="•"/>
      <w:lvlJc w:val="left"/>
      <w:pPr>
        <w:ind w:left="2290" w:hanging="361"/>
      </w:pPr>
      <w:rPr>
        <w:rFonts w:hint="default"/>
      </w:rPr>
    </w:lvl>
    <w:lvl w:ilvl="7" w:tplc="133C220E">
      <w:numFmt w:val="bullet"/>
      <w:lvlText w:val="•"/>
      <w:lvlJc w:val="left"/>
      <w:pPr>
        <w:ind w:left="2595" w:hanging="361"/>
      </w:pPr>
      <w:rPr>
        <w:rFonts w:hint="default"/>
      </w:rPr>
    </w:lvl>
    <w:lvl w:ilvl="8" w:tplc="CC183C96">
      <w:numFmt w:val="bullet"/>
      <w:lvlText w:val="•"/>
      <w:lvlJc w:val="left"/>
      <w:pPr>
        <w:ind w:left="2900" w:hanging="361"/>
      </w:pPr>
      <w:rPr>
        <w:rFonts w:hint="default"/>
      </w:rPr>
    </w:lvl>
  </w:abstractNum>
  <w:abstractNum w:abstractNumId="26" w15:restartNumberingAfterBreak="0">
    <w:nsid w:val="2EA1242E"/>
    <w:multiLevelType w:val="hybridMultilevel"/>
    <w:tmpl w:val="7EF02A62"/>
    <w:lvl w:ilvl="0" w:tplc="37F41A38">
      <w:numFmt w:val="bullet"/>
      <w:lvlText w:val="-"/>
      <w:lvlJc w:val="left"/>
      <w:pPr>
        <w:ind w:left="829" w:hanging="360"/>
      </w:pPr>
      <w:rPr>
        <w:rFonts w:ascii="Cambria" w:eastAsia="Cambria" w:hAnsi="Cambria" w:cs="Cambria" w:hint="default"/>
        <w:w w:val="100"/>
        <w:sz w:val="16"/>
        <w:szCs w:val="16"/>
      </w:rPr>
    </w:lvl>
    <w:lvl w:ilvl="1" w:tplc="23A25FA0">
      <w:numFmt w:val="bullet"/>
      <w:lvlText w:val="•"/>
      <w:lvlJc w:val="left"/>
      <w:pPr>
        <w:ind w:left="1402" w:hanging="360"/>
      </w:pPr>
      <w:rPr>
        <w:rFonts w:hint="default"/>
      </w:rPr>
    </w:lvl>
    <w:lvl w:ilvl="2" w:tplc="D0169A3E">
      <w:numFmt w:val="bullet"/>
      <w:lvlText w:val="•"/>
      <w:lvlJc w:val="left"/>
      <w:pPr>
        <w:ind w:left="1985" w:hanging="360"/>
      </w:pPr>
      <w:rPr>
        <w:rFonts w:hint="default"/>
      </w:rPr>
    </w:lvl>
    <w:lvl w:ilvl="3" w:tplc="BD4C86CE">
      <w:numFmt w:val="bullet"/>
      <w:lvlText w:val="•"/>
      <w:lvlJc w:val="left"/>
      <w:pPr>
        <w:ind w:left="2568" w:hanging="360"/>
      </w:pPr>
      <w:rPr>
        <w:rFonts w:hint="default"/>
      </w:rPr>
    </w:lvl>
    <w:lvl w:ilvl="4" w:tplc="110432BC">
      <w:numFmt w:val="bullet"/>
      <w:lvlText w:val="•"/>
      <w:lvlJc w:val="left"/>
      <w:pPr>
        <w:ind w:left="3151" w:hanging="360"/>
      </w:pPr>
      <w:rPr>
        <w:rFonts w:hint="default"/>
      </w:rPr>
    </w:lvl>
    <w:lvl w:ilvl="5" w:tplc="B658E53E">
      <w:numFmt w:val="bullet"/>
      <w:lvlText w:val="•"/>
      <w:lvlJc w:val="left"/>
      <w:pPr>
        <w:ind w:left="3734" w:hanging="360"/>
      </w:pPr>
      <w:rPr>
        <w:rFonts w:hint="default"/>
      </w:rPr>
    </w:lvl>
    <w:lvl w:ilvl="6" w:tplc="02CA80D6">
      <w:numFmt w:val="bullet"/>
      <w:lvlText w:val="•"/>
      <w:lvlJc w:val="left"/>
      <w:pPr>
        <w:ind w:left="4317" w:hanging="360"/>
      </w:pPr>
      <w:rPr>
        <w:rFonts w:hint="default"/>
      </w:rPr>
    </w:lvl>
    <w:lvl w:ilvl="7" w:tplc="056C7016">
      <w:numFmt w:val="bullet"/>
      <w:lvlText w:val="•"/>
      <w:lvlJc w:val="left"/>
      <w:pPr>
        <w:ind w:left="4900" w:hanging="360"/>
      </w:pPr>
      <w:rPr>
        <w:rFonts w:hint="default"/>
      </w:rPr>
    </w:lvl>
    <w:lvl w:ilvl="8" w:tplc="53BA705E">
      <w:numFmt w:val="bullet"/>
      <w:lvlText w:val="•"/>
      <w:lvlJc w:val="left"/>
      <w:pPr>
        <w:ind w:left="5483" w:hanging="360"/>
      </w:pPr>
      <w:rPr>
        <w:rFonts w:hint="default"/>
      </w:rPr>
    </w:lvl>
  </w:abstractNum>
  <w:abstractNum w:abstractNumId="27" w15:restartNumberingAfterBreak="0">
    <w:nsid w:val="301E32A9"/>
    <w:multiLevelType w:val="hybridMultilevel"/>
    <w:tmpl w:val="8B000016"/>
    <w:lvl w:ilvl="0" w:tplc="B592197C">
      <w:numFmt w:val="bullet"/>
      <w:lvlText w:val="•"/>
      <w:lvlJc w:val="left"/>
      <w:pPr>
        <w:ind w:left="468" w:hanging="361"/>
      </w:pPr>
      <w:rPr>
        <w:rFonts w:ascii="Cambria" w:eastAsia="Cambria" w:hAnsi="Cambria" w:cs="Cambria" w:hint="default"/>
        <w:w w:val="100"/>
        <w:sz w:val="22"/>
        <w:szCs w:val="22"/>
      </w:rPr>
    </w:lvl>
    <w:lvl w:ilvl="1" w:tplc="14AEB466">
      <w:numFmt w:val="bullet"/>
      <w:lvlText w:val="•"/>
      <w:lvlJc w:val="left"/>
      <w:pPr>
        <w:ind w:left="806" w:hanging="361"/>
      </w:pPr>
      <w:rPr>
        <w:rFonts w:hint="default"/>
      </w:rPr>
    </w:lvl>
    <w:lvl w:ilvl="2" w:tplc="4448DC68">
      <w:numFmt w:val="bullet"/>
      <w:lvlText w:val="•"/>
      <w:lvlJc w:val="left"/>
      <w:pPr>
        <w:ind w:left="1152" w:hanging="361"/>
      </w:pPr>
      <w:rPr>
        <w:rFonts w:hint="default"/>
      </w:rPr>
    </w:lvl>
    <w:lvl w:ilvl="3" w:tplc="056ECE1E">
      <w:numFmt w:val="bullet"/>
      <w:lvlText w:val="•"/>
      <w:lvlJc w:val="left"/>
      <w:pPr>
        <w:ind w:left="1498" w:hanging="361"/>
      </w:pPr>
      <w:rPr>
        <w:rFonts w:hint="default"/>
      </w:rPr>
    </w:lvl>
    <w:lvl w:ilvl="4" w:tplc="F04C258C">
      <w:numFmt w:val="bullet"/>
      <w:lvlText w:val="•"/>
      <w:lvlJc w:val="left"/>
      <w:pPr>
        <w:ind w:left="1845" w:hanging="361"/>
      </w:pPr>
      <w:rPr>
        <w:rFonts w:hint="default"/>
      </w:rPr>
    </w:lvl>
    <w:lvl w:ilvl="5" w:tplc="C8D07FB8">
      <w:numFmt w:val="bullet"/>
      <w:lvlText w:val="•"/>
      <w:lvlJc w:val="left"/>
      <w:pPr>
        <w:ind w:left="2191" w:hanging="361"/>
      </w:pPr>
      <w:rPr>
        <w:rFonts w:hint="default"/>
      </w:rPr>
    </w:lvl>
    <w:lvl w:ilvl="6" w:tplc="18A01F46">
      <w:numFmt w:val="bullet"/>
      <w:lvlText w:val="•"/>
      <w:lvlJc w:val="left"/>
      <w:pPr>
        <w:ind w:left="2537" w:hanging="361"/>
      </w:pPr>
      <w:rPr>
        <w:rFonts w:hint="default"/>
      </w:rPr>
    </w:lvl>
    <w:lvl w:ilvl="7" w:tplc="029A1F26">
      <w:numFmt w:val="bullet"/>
      <w:lvlText w:val="•"/>
      <w:lvlJc w:val="left"/>
      <w:pPr>
        <w:ind w:left="2884" w:hanging="361"/>
      </w:pPr>
      <w:rPr>
        <w:rFonts w:hint="default"/>
      </w:rPr>
    </w:lvl>
    <w:lvl w:ilvl="8" w:tplc="6B60B618">
      <w:numFmt w:val="bullet"/>
      <w:lvlText w:val="•"/>
      <w:lvlJc w:val="left"/>
      <w:pPr>
        <w:ind w:left="3230" w:hanging="361"/>
      </w:pPr>
      <w:rPr>
        <w:rFonts w:hint="default"/>
      </w:rPr>
    </w:lvl>
  </w:abstractNum>
  <w:abstractNum w:abstractNumId="28" w15:restartNumberingAfterBreak="0">
    <w:nsid w:val="30AE44F7"/>
    <w:multiLevelType w:val="hybridMultilevel"/>
    <w:tmpl w:val="F474A016"/>
    <w:lvl w:ilvl="0" w:tplc="F00A338A">
      <w:start w:val="1"/>
      <w:numFmt w:val="decimal"/>
      <w:lvlText w:val="%1."/>
      <w:lvlJc w:val="left"/>
      <w:pPr>
        <w:ind w:left="623" w:hanging="425"/>
        <w:jc w:val="left"/>
      </w:pPr>
      <w:rPr>
        <w:rFonts w:ascii="Cambria" w:eastAsia="Cambria" w:hAnsi="Cambria" w:cs="Cambria" w:hint="default"/>
        <w:w w:val="100"/>
        <w:sz w:val="22"/>
        <w:szCs w:val="22"/>
      </w:rPr>
    </w:lvl>
    <w:lvl w:ilvl="1" w:tplc="C02C0BEC">
      <w:numFmt w:val="bullet"/>
      <w:lvlText w:val="•"/>
      <w:lvlJc w:val="left"/>
      <w:pPr>
        <w:ind w:left="1544" w:hanging="425"/>
      </w:pPr>
      <w:rPr>
        <w:rFonts w:hint="default"/>
      </w:rPr>
    </w:lvl>
    <w:lvl w:ilvl="2" w:tplc="CD362BD6">
      <w:numFmt w:val="bullet"/>
      <w:lvlText w:val="•"/>
      <w:lvlJc w:val="left"/>
      <w:pPr>
        <w:ind w:left="2469" w:hanging="425"/>
      </w:pPr>
      <w:rPr>
        <w:rFonts w:hint="default"/>
      </w:rPr>
    </w:lvl>
    <w:lvl w:ilvl="3" w:tplc="09740F40">
      <w:numFmt w:val="bullet"/>
      <w:lvlText w:val="•"/>
      <w:lvlJc w:val="left"/>
      <w:pPr>
        <w:ind w:left="3393" w:hanging="425"/>
      </w:pPr>
      <w:rPr>
        <w:rFonts w:hint="default"/>
      </w:rPr>
    </w:lvl>
    <w:lvl w:ilvl="4" w:tplc="7FEAC714">
      <w:numFmt w:val="bullet"/>
      <w:lvlText w:val="•"/>
      <w:lvlJc w:val="left"/>
      <w:pPr>
        <w:ind w:left="4318" w:hanging="425"/>
      </w:pPr>
      <w:rPr>
        <w:rFonts w:hint="default"/>
      </w:rPr>
    </w:lvl>
    <w:lvl w:ilvl="5" w:tplc="D2B875FC">
      <w:numFmt w:val="bullet"/>
      <w:lvlText w:val="•"/>
      <w:lvlJc w:val="left"/>
      <w:pPr>
        <w:ind w:left="5243" w:hanging="425"/>
      </w:pPr>
      <w:rPr>
        <w:rFonts w:hint="default"/>
      </w:rPr>
    </w:lvl>
    <w:lvl w:ilvl="6" w:tplc="ADE8515A">
      <w:numFmt w:val="bullet"/>
      <w:lvlText w:val="•"/>
      <w:lvlJc w:val="left"/>
      <w:pPr>
        <w:ind w:left="6167" w:hanging="425"/>
      </w:pPr>
      <w:rPr>
        <w:rFonts w:hint="default"/>
      </w:rPr>
    </w:lvl>
    <w:lvl w:ilvl="7" w:tplc="81841B94">
      <w:numFmt w:val="bullet"/>
      <w:lvlText w:val="•"/>
      <w:lvlJc w:val="left"/>
      <w:pPr>
        <w:ind w:left="7092" w:hanging="425"/>
      </w:pPr>
      <w:rPr>
        <w:rFonts w:hint="default"/>
      </w:rPr>
    </w:lvl>
    <w:lvl w:ilvl="8" w:tplc="78D2A00E">
      <w:numFmt w:val="bullet"/>
      <w:lvlText w:val="•"/>
      <w:lvlJc w:val="left"/>
      <w:pPr>
        <w:ind w:left="8017" w:hanging="425"/>
      </w:pPr>
      <w:rPr>
        <w:rFonts w:hint="default"/>
      </w:rPr>
    </w:lvl>
  </w:abstractNum>
  <w:abstractNum w:abstractNumId="29" w15:restartNumberingAfterBreak="0">
    <w:nsid w:val="31B9437D"/>
    <w:multiLevelType w:val="hybridMultilevel"/>
    <w:tmpl w:val="C27A75F4"/>
    <w:lvl w:ilvl="0" w:tplc="7576C90C">
      <w:numFmt w:val="bullet"/>
      <w:lvlText w:val="•"/>
      <w:lvlJc w:val="left"/>
      <w:pPr>
        <w:ind w:left="465" w:hanging="360"/>
      </w:pPr>
      <w:rPr>
        <w:rFonts w:ascii="Cambria" w:eastAsia="Cambria" w:hAnsi="Cambria" w:cs="Cambria" w:hint="default"/>
        <w:w w:val="100"/>
        <w:sz w:val="22"/>
        <w:szCs w:val="22"/>
      </w:rPr>
    </w:lvl>
    <w:lvl w:ilvl="1" w:tplc="7956463C">
      <w:numFmt w:val="bullet"/>
      <w:lvlText w:val="•"/>
      <w:lvlJc w:val="left"/>
      <w:pPr>
        <w:ind w:left="779" w:hanging="360"/>
      </w:pPr>
      <w:rPr>
        <w:rFonts w:hint="default"/>
      </w:rPr>
    </w:lvl>
    <w:lvl w:ilvl="2" w:tplc="D1AC4AD4">
      <w:numFmt w:val="bullet"/>
      <w:lvlText w:val="•"/>
      <w:lvlJc w:val="left"/>
      <w:pPr>
        <w:ind w:left="1098" w:hanging="360"/>
      </w:pPr>
      <w:rPr>
        <w:rFonts w:hint="default"/>
      </w:rPr>
    </w:lvl>
    <w:lvl w:ilvl="3" w:tplc="30A8FB02">
      <w:numFmt w:val="bullet"/>
      <w:lvlText w:val="•"/>
      <w:lvlJc w:val="left"/>
      <w:pPr>
        <w:ind w:left="1417" w:hanging="360"/>
      </w:pPr>
      <w:rPr>
        <w:rFonts w:hint="default"/>
      </w:rPr>
    </w:lvl>
    <w:lvl w:ilvl="4" w:tplc="26A857D8">
      <w:numFmt w:val="bullet"/>
      <w:lvlText w:val="•"/>
      <w:lvlJc w:val="left"/>
      <w:pPr>
        <w:ind w:left="1736" w:hanging="360"/>
      </w:pPr>
      <w:rPr>
        <w:rFonts w:hint="default"/>
      </w:rPr>
    </w:lvl>
    <w:lvl w:ilvl="5" w:tplc="6F84B9F6">
      <w:numFmt w:val="bullet"/>
      <w:lvlText w:val="•"/>
      <w:lvlJc w:val="left"/>
      <w:pPr>
        <w:ind w:left="2056" w:hanging="360"/>
      </w:pPr>
      <w:rPr>
        <w:rFonts w:hint="default"/>
      </w:rPr>
    </w:lvl>
    <w:lvl w:ilvl="6" w:tplc="9D54387C">
      <w:numFmt w:val="bullet"/>
      <w:lvlText w:val="•"/>
      <w:lvlJc w:val="left"/>
      <w:pPr>
        <w:ind w:left="2375" w:hanging="360"/>
      </w:pPr>
      <w:rPr>
        <w:rFonts w:hint="default"/>
      </w:rPr>
    </w:lvl>
    <w:lvl w:ilvl="7" w:tplc="49B4164A">
      <w:numFmt w:val="bullet"/>
      <w:lvlText w:val="•"/>
      <w:lvlJc w:val="left"/>
      <w:pPr>
        <w:ind w:left="2694" w:hanging="360"/>
      </w:pPr>
      <w:rPr>
        <w:rFonts w:hint="default"/>
      </w:rPr>
    </w:lvl>
    <w:lvl w:ilvl="8" w:tplc="5E3CA080">
      <w:numFmt w:val="bullet"/>
      <w:lvlText w:val="•"/>
      <w:lvlJc w:val="left"/>
      <w:pPr>
        <w:ind w:left="3013" w:hanging="360"/>
      </w:pPr>
      <w:rPr>
        <w:rFonts w:hint="default"/>
      </w:rPr>
    </w:lvl>
  </w:abstractNum>
  <w:abstractNum w:abstractNumId="30" w15:restartNumberingAfterBreak="0">
    <w:nsid w:val="33AB5B4F"/>
    <w:multiLevelType w:val="hybridMultilevel"/>
    <w:tmpl w:val="51EC3C34"/>
    <w:lvl w:ilvl="0" w:tplc="E0AA9C62">
      <w:numFmt w:val="bullet"/>
      <w:lvlText w:val="•"/>
      <w:lvlJc w:val="left"/>
      <w:pPr>
        <w:ind w:left="465" w:hanging="361"/>
      </w:pPr>
      <w:rPr>
        <w:rFonts w:ascii="Cambria" w:eastAsia="Cambria" w:hAnsi="Cambria" w:cs="Cambria" w:hint="default"/>
        <w:w w:val="100"/>
        <w:sz w:val="22"/>
        <w:szCs w:val="22"/>
      </w:rPr>
    </w:lvl>
    <w:lvl w:ilvl="1" w:tplc="0658CE7C">
      <w:numFmt w:val="bullet"/>
      <w:lvlText w:val="•"/>
      <w:lvlJc w:val="left"/>
      <w:pPr>
        <w:ind w:left="750" w:hanging="361"/>
      </w:pPr>
      <w:rPr>
        <w:rFonts w:hint="default"/>
      </w:rPr>
    </w:lvl>
    <w:lvl w:ilvl="2" w:tplc="E9282E18">
      <w:numFmt w:val="bullet"/>
      <w:lvlText w:val="•"/>
      <w:lvlJc w:val="left"/>
      <w:pPr>
        <w:ind w:left="1041" w:hanging="361"/>
      </w:pPr>
      <w:rPr>
        <w:rFonts w:hint="default"/>
      </w:rPr>
    </w:lvl>
    <w:lvl w:ilvl="3" w:tplc="C27CA450">
      <w:numFmt w:val="bullet"/>
      <w:lvlText w:val="•"/>
      <w:lvlJc w:val="left"/>
      <w:pPr>
        <w:ind w:left="1332" w:hanging="361"/>
      </w:pPr>
      <w:rPr>
        <w:rFonts w:hint="default"/>
      </w:rPr>
    </w:lvl>
    <w:lvl w:ilvl="4" w:tplc="35B6EF3C">
      <w:numFmt w:val="bullet"/>
      <w:lvlText w:val="•"/>
      <w:lvlJc w:val="left"/>
      <w:pPr>
        <w:ind w:left="1623" w:hanging="361"/>
      </w:pPr>
      <w:rPr>
        <w:rFonts w:hint="default"/>
      </w:rPr>
    </w:lvl>
    <w:lvl w:ilvl="5" w:tplc="85C8AAD4">
      <w:numFmt w:val="bullet"/>
      <w:lvlText w:val="•"/>
      <w:lvlJc w:val="left"/>
      <w:pPr>
        <w:ind w:left="1914" w:hanging="361"/>
      </w:pPr>
      <w:rPr>
        <w:rFonts w:hint="default"/>
      </w:rPr>
    </w:lvl>
    <w:lvl w:ilvl="6" w:tplc="3084AF9E">
      <w:numFmt w:val="bullet"/>
      <w:lvlText w:val="•"/>
      <w:lvlJc w:val="left"/>
      <w:pPr>
        <w:ind w:left="2205" w:hanging="361"/>
      </w:pPr>
      <w:rPr>
        <w:rFonts w:hint="default"/>
      </w:rPr>
    </w:lvl>
    <w:lvl w:ilvl="7" w:tplc="DCFEB8F8">
      <w:numFmt w:val="bullet"/>
      <w:lvlText w:val="•"/>
      <w:lvlJc w:val="left"/>
      <w:pPr>
        <w:ind w:left="2496" w:hanging="361"/>
      </w:pPr>
      <w:rPr>
        <w:rFonts w:hint="default"/>
      </w:rPr>
    </w:lvl>
    <w:lvl w:ilvl="8" w:tplc="7B82CBD8">
      <w:numFmt w:val="bullet"/>
      <w:lvlText w:val="•"/>
      <w:lvlJc w:val="left"/>
      <w:pPr>
        <w:ind w:left="2787" w:hanging="361"/>
      </w:pPr>
      <w:rPr>
        <w:rFonts w:hint="default"/>
      </w:rPr>
    </w:lvl>
  </w:abstractNum>
  <w:abstractNum w:abstractNumId="31" w15:restartNumberingAfterBreak="0">
    <w:nsid w:val="33DD7582"/>
    <w:multiLevelType w:val="hybridMultilevel"/>
    <w:tmpl w:val="76B8E964"/>
    <w:lvl w:ilvl="0" w:tplc="3EF80838">
      <w:start w:val="15"/>
      <w:numFmt w:val="decimal"/>
      <w:lvlText w:val="%1)."/>
      <w:lvlJc w:val="left"/>
      <w:pPr>
        <w:ind w:left="198" w:hanging="423"/>
        <w:jc w:val="left"/>
      </w:pPr>
      <w:rPr>
        <w:rFonts w:ascii="Cambria" w:eastAsia="Cambria" w:hAnsi="Cambria" w:cs="Cambria" w:hint="default"/>
        <w:spacing w:val="-1"/>
        <w:w w:val="100"/>
        <w:sz w:val="22"/>
        <w:szCs w:val="22"/>
      </w:rPr>
    </w:lvl>
    <w:lvl w:ilvl="1" w:tplc="B0F8B844">
      <w:start w:val="1"/>
      <w:numFmt w:val="upperLetter"/>
      <w:lvlText w:val="%2."/>
      <w:lvlJc w:val="left"/>
      <w:pPr>
        <w:ind w:left="1125" w:hanging="360"/>
        <w:jc w:val="left"/>
      </w:pPr>
      <w:rPr>
        <w:rFonts w:ascii="Arial" w:eastAsia="Arial" w:hAnsi="Arial" w:cs="Arial" w:hint="default"/>
        <w:w w:val="95"/>
        <w:sz w:val="19"/>
        <w:szCs w:val="19"/>
      </w:rPr>
    </w:lvl>
    <w:lvl w:ilvl="2" w:tplc="92C63800">
      <w:numFmt w:val="bullet"/>
      <w:lvlText w:val="o"/>
      <w:lvlJc w:val="left"/>
      <w:pPr>
        <w:ind w:left="1845" w:hanging="360"/>
      </w:pPr>
      <w:rPr>
        <w:rFonts w:ascii="Courier New" w:eastAsia="Courier New" w:hAnsi="Courier New" w:cs="Courier New" w:hint="default"/>
        <w:w w:val="99"/>
        <w:sz w:val="19"/>
        <w:szCs w:val="19"/>
      </w:rPr>
    </w:lvl>
    <w:lvl w:ilvl="3" w:tplc="CA06FFA4">
      <w:numFmt w:val="bullet"/>
      <w:lvlText w:val="•"/>
      <w:lvlJc w:val="left"/>
      <w:pPr>
        <w:ind w:left="2843" w:hanging="360"/>
      </w:pPr>
      <w:rPr>
        <w:rFonts w:hint="default"/>
      </w:rPr>
    </w:lvl>
    <w:lvl w:ilvl="4" w:tplc="01CA2384">
      <w:numFmt w:val="bullet"/>
      <w:lvlText w:val="•"/>
      <w:lvlJc w:val="left"/>
      <w:pPr>
        <w:ind w:left="3846" w:hanging="360"/>
      </w:pPr>
      <w:rPr>
        <w:rFonts w:hint="default"/>
      </w:rPr>
    </w:lvl>
    <w:lvl w:ilvl="5" w:tplc="FE30FAEA">
      <w:numFmt w:val="bullet"/>
      <w:lvlText w:val="•"/>
      <w:lvlJc w:val="left"/>
      <w:pPr>
        <w:ind w:left="4849" w:hanging="360"/>
      </w:pPr>
      <w:rPr>
        <w:rFonts w:hint="default"/>
      </w:rPr>
    </w:lvl>
    <w:lvl w:ilvl="6" w:tplc="65D2BADE">
      <w:numFmt w:val="bullet"/>
      <w:lvlText w:val="•"/>
      <w:lvlJc w:val="left"/>
      <w:pPr>
        <w:ind w:left="5853" w:hanging="360"/>
      </w:pPr>
      <w:rPr>
        <w:rFonts w:hint="default"/>
      </w:rPr>
    </w:lvl>
    <w:lvl w:ilvl="7" w:tplc="6D34C16A">
      <w:numFmt w:val="bullet"/>
      <w:lvlText w:val="•"/>
      <w:lvlJc w:val="left"/>
      <w:pPr>
        <w:ind w:left="6856" w:hanging="360"/>
      </w:pPr>
      <w:rPr>
        <w:rFonts w:hint="default"/>
      </w:rPr>
    </w:lvl>
    <w:lvl w:ilvl="8" w:tplc="7F78A776">
      <w:numFmt w:val="bullet"/>
      <w:lvlText w:val="•"/>
      <w:lvlJc w:val="left"/>
      <w:pPr>
        <w:ind w:left="7859" w:hanging="360"/>
      </w:pPr>
      <w:rPr>
        <w:rFonts w:hint="default"/>
      </w:rPr>
    </w:lvl>
  </w:abstractNum>
  <w:abstractNum w:abstractNumId="32" w15:restartNumberingAfterBreak="0">
    <w:nsid w:val="344E4A44"/>
    <w:multiLevelType w:val="hybridMultilevel"/>
    <w:tmpl w:val="BB288E10"/>
    <w:lvl w:ilvl="0" w:tplc="7D52306A">
      <w:numFmt w:val="bullet"/>
      <w:lvlText w:val="•"/>
      <w:lvlJc w:val="left"/>
      <w:pPr>
        <w:ind w:left="466" w:hanging="361"/>
      </w:pPr>
      <w:rPr>
        <w:rFonts w:ascii="Cambria" w:eastAsia="Cambria" w:hAnsi="Cambria" w:cs="Cambria" w:hint="default"/>
        <w:w w:val="100"/>
        <w:sz w:val="22"/>
        <w:szCs w:val="22"/>
      </w:rPr>
    </w:lvl>
    <w:lvl w:ilvl="1" w:tplc="B47ED336">
      <w:numFmt w:val="bullet"/>
      <w:lvlText w:val="•"/>
      <w:lvlJc w:val="left"/>
      <w:pPr>
        <w:ind w:left="750" w:hanging="361"/>
      </w:pPr>
      <w:rPr>
        <w:rFonts w:hint="default"/>
      </w:rPr>
    </w:lvl>
    <w:lvl w:ilvl="2" w:tplc="5CDAA31C">
      <w:numFmt w:val="bullet"/>
      <w:lvlText w:val="•"/>
      <w:lvlJc w:val="left"/>
      <w:pPr>
        <w:ind w:left="1041" w:hanging="361"/>
      </w:pPr>
      <w:rPr>
        <w:rFonts w:hint="default"/>
      </w:rPr>
    </w:lvl>
    <w:lvl w:ilvl="3" w:tplc="00621368">
      <w:numFmt w:val="bullet"/>
      <w:lvlText w:val="•"/>
      <w:lvlJc w:val="left"/>
      <w:pPr>
        <w:ind w:left="1332" w:hanging="361"/>
      </w:pPr>
      <w:rPr>
        <w:rFonts w:hint="default"/>
      </w:rPr>
    </w:lvl>
    <w:lvl w:ilvl="4" w:tplc="DFFA3826">
      <w:numFmt w:val="bullet"/>
      <w:lvlText w:val="•"/>
      <w:lvlJc w:val="left"/>
      <w:pPr>
        <w:ind w:left="1623" w:hanging="361"/>
      </w:pPr>
      <w:rPr>
        <w:rFonts w:hint="default"/>
      </w:rPr>
    </w:lvl>
    <w:lvl w:ilvl="5" w:tplc="8F44BC9C">
      <w:numFmt w:val="bullet"/>
      <w:lvlText w:val="•"/>
      <w:lvlJc w:val="left"/>
      <w:pPr>
        <w:ind w:left="1914" w:hanging="361"/>
      </w:pPr>
      <w:rPr>
        <w:rFonts w:hint="default"/>
      </w:rPr>
    </w:lvl>
    <w:lvl w:ilvl="6" w:tplc="6778C9F4">
      <w:numFmt w:val="bullet"/>
      <w:lvlText w:val="•"/>
      <w:lvlJc w:val="left"/>
      <w:pPr>
        <w:ind w:left="2205" w:hanging="361"/>
      </w:pPr>
      <w:rPr>
        <w:rFonts w:hint="default"/>
      </w:rPr>
    </w:lvl>
    <w:lvl w:ilvl="7" w:tplc="30908958">
      <w:numFmt w:val="bullet"/>
      <w:lvlText w:val="•"/>
      <w:lvlJc w:val="left"/>
      <w:pPr>
        <w:ind w:left="2496" w:hanging="361"/>
      </w:pPr>
      <w:rPr>
        <w:rFonts w:hint="default"/>
      </w:rPr>
    </w:lvl>
    <w:lvl w:ilvl="8" w:tplc="93FEDEFE">
      <w:numFmt w:val="bullet"/>
      <w:lvlText w:val="•"/>
      <w:lvlJc w:val="left"/>
      <w:pPr>
        <w:ind w:left="2787" w:hanging="361"/>
      </w:pPr>
      <w:rPr>
        <w:rFonts w:hint="default"/>
      </w:rPr>
    </w:lvl>
  </w:abstractNum>
  <w:abstractNum w:abstractNumId="33" w15:restartNumberingAfterBreak="0">
    <w:nsid w:val="34B12716"/>
    <w:multiLevelType w:val="hybridMultilevel"/>
    <w:tmpl w:val="462C6DFC"/>
    <w:lvl w:ilvl="0" w:tplc="E6DC0B88">
      <w:numFmt w:val="bullet"/>
      <w:lvlText w:val="•"/>
      <w:lvlJc w:val="left"/>
      <w:pPr>
        <w:ind w:left="468" w:hanging="361"/>
      </w:pPr>
      <w:rPr>
        <w:rFonts w:ascii="Cambria" w:eastAsia="Cambria" w:hAnsi="Cambria" w:cs="Cambria" w:hint="default"/>
        <w:w w:val="100"/>
        <w:sz w:val="22"/>
        <w:szCs w:val="22"/>
      </w:rPr>
    </w:lvl>
    <w:lvl w:ilvl="1" w:tplc="A5867AC2">
      <w:numFmt w:val="bullet"/>
      <w:lvlText w:val="•"/>
      <w:lvlJc w:val="left"/>
      <w:pPr>
        <w:ind w:left="806" w:hanging="361"/>
      </w:pPr>
      <w:rPr>
        <w:rFonts w:hint="default"/>
      </w:rPr>
    </w:lvl>
    <w:lvl w:ilvl="2" w:tplc="00DAEFC8">
      <w:numFmt w:val="bullet"/>
      <w:lvlText w:val="•"/>
      <w:lvlJc w:val="left"/>
      <w:pPr>
        <w:ind w:left="1152" w:hanging="361"/>
      </w:pPr>
      <w:rPr>
        <w:rFonts w:hint="default"/>
      </w:rPr>
    </w:lvl>
    <w:lvl w:ilvl="3" w:tplc="774E6282">
      <w:numFmt w:val="bullet"/>
      <w:lvlText w:val="•"/>
      <w:lvlJc w:val="left"/>
      <w:pPr>
        <w:ind w:left="1498" w:hanging="361"/>
      </w:pPr>
      <w:rPr>
        <w:rFonts w:hint="default"/>
      </w:rPr>
    </w:lvl>
    <w:lvl w:ilvl="4" w:tplc="8DFA5CB6">
      <w:numFmt w:val="bullet"/>
      <w:lvlText w:val="•"/>
      <w:lvlJc w:val="left"/>
      <w:pPr>
        <w:ind w:left="1845" w:hanging="361"/>
      </w:pPr>
      <w:rPr>
        <w:rFonts w:hint="default"/>
      </w:rPr>
    </w:lvl>
    <w:lvl w:ilvl="5" w:tplc="4FC0D720">
      <w:numFmt w:val="bullet"/>
      <w:lvlText w:val="•"/>
      <w:lvlJc w:val="left"/>
      <w:pPr>
        <w:ind w:left="2191" w:hanging="361"/>
      </w:pPr>
      <w:rPr>
        <w:rFonts w:hint="default"/>
      </w:rPr>
    </w:lvl>
    <w:lvl w:ilvl="6" w:tplc="8B560158">
      <w:numFmt w:val="bullet"/>
      <w:lvlText w:val="•"/>
      <w:lvlJc w:val="left"/>
      <w:pPr>
        <w:ind w:left="2537" w:hanging="361"/>
      </w:pPr>
      <w:rPr>
        <w:rFonts w:hint="default"/>
      </w:rPr>
    </w:lvl>
    <w:lvl w:ilvl="7" w:tplc="0E903002">
      <w:numFmt w:val="bullet"/>
      <w:lvlText w:val="•"/>
      <w:lvlJc w:val="left"/>
      <w:pPr>
        <w:ind w:left="2884" w:hanging="361"/>
      </w:pPr>
      <w:rPr>
        <w:rFonts w:hint="default"/>
      </w:rPr>
    </w:lvl>
    <w:lvl w:ilvl="8" w:tplc="250C8D5E">
      <w:numFmt w:val="bullet"/>
      <w:lvlText w:val="•"/>
      <w:lvlJc w:val="left"/>
      <w:pPr>
        <w:ind w:left="3230" w:hanging="361"/>
      </w:pPr>
      <w:rPr>
        <w:rFonts w:hint="default"/>
      </w:rPr>
    </w:lvl>
  </w:abstractNum>
  <w:abstractNum w:abstractNumId="34" w15:restartNumberingAfterBreak="0">
    <w:nsid w:val="389E5395"/>
    <w:multiLevelType w:val="hybridMultilevel"/>
    <w:tmpl w:val="A4583460"/>
    <w:lvl w:ilvl="0" w:tplc="B3D6A71E">
      <w:numFmt w:val="bullet"/>
      <w:lvlText w:val="•"/>
      <w:lvlJc w:val="left"/>
      <w:pPr>
        <w:ind w:left="468" w:hanging="361"/>
      </w:pPr>
      <w:rPr>
        <w:rFonts w:ascii="Cambria" w:eastAsia="Cambria" w:hAnsi="Cambria" w:cs="Cambria" w:hint="default"/>
        <w:w w:val="100"/>
        <w:sz w:val="22"/>
        <w:szCs w:val="22"/>
      </w:rPr>
    </w:lvl>
    <w:lvl w:ilvl="1" w:tplc="94C6F502">
      <w:numFmt w:val="bullet"/>
      <w:lvlText w:val="•"/>
      <w:lvlJc w:val="left"/>
      <w:pPr>
        <w:ind w:left="792" w:hanging="361"/>
      </w:pPr>
      <w:rPr>
        <w:rFonts w:hint="default"/>
      </w:rPr>
    </w:lvl>
    <w:lvl w:ilvl="2" w:tplc="F5F67AC8">
      <w:numFmt w:val="bullet"/>
      <w:lvlText w:val="•"/>
      <w:lvlJc w:val="left"/>
      <w:pPr>
        <w:ind w:left="1124" w:hanging="361"/>
      </w:pPr>
      <w:rPr>
        <w:rFonts w:hint="default"/>
      </w:rPr>
    </w:lvl>
    <w:lvl w:ilvl="3" w:tplc="B9FA63AA">
      <w:numFmt w:val="bullet"/>
      <w:lvlText w:val="•"/>
      <w:lvlJc w:val="left"/>
      <w:pPr>
        <w:ind w:left="1456" w:hanging="361"/>
      </w:pPr>
      <w:rPr>
        <w:rFonts w:hint="default"/>
      </w:rPr>
    </w:lvl>
    <w:lvl w:ilvl="4" w:tplc="F3EAF984">
      <w:numFmt w:val="bullet"/>
      <w:lvlText w:val="•"/>
      <w:lvlJc w:val="left"/>
      <w:pPr>
        <w:ind w:left="1788" w:hanging="361"/>
      </w:pPr>
      <w:rPr>
        <w:rFonts w:hint="default"/>
      </w:rPr>
    </w:lvl>
    <w:lvl w:ilvl="5" w:tplc="09066B4C">
      <w:numFmt w:val="bullet"/>
      <w:lvlText w:val="•"/>
      <w:lvlJc w:val="left"/>
      <w:pPr>
        <w:ind w:left="2120" w:hanging="361"/>
      </w:pPr>
      <w:rPr>
        <w:rFonts w:hint="default"/>
      </w:rPr>
    </w:lvl>
    <w:lvl w:ilvl="6" w:tplc="D35C0DE8">
      <w:numFmt w:val="bullet"/>
      <w:lvlText w:val="•"/>
      <w:lvlJc w:val="left"/>
      <w:pPr>
        <w:ind w:left="2452" w:hanging="361"/>
      </w:pPr>
      <w:rPr>
        <w:rFonts w:hint="default"/>
      </w:rPr>
    </w:lvl>
    <w:lvl w:ilvl="7" w:tplc="E8327560">
      <w:numFmt w:val="bullet"/>
      <w:lvlText w:val="•"/>
      <w:lvlJc w:val="left"/>
      <w:pPr>
        <w:ind w:left="2784" w:hanging="361"/>
      </w:pPr>
      <w:rPr>
        <w:rFonts w:hint="default"/>
      </w:rPr>
    </w:lvl>
    <w:lvl w:ilvl="8" w:tplc="69622D08">
      <w:numFmt w:val="bullet"/>
      <w:lvlText w:val="•"/>
      <w:lvlJc w:val="left"/>
      <w:pPr>
        <w:ind w:left="3116" w:hanging="361"/>
      </w:pPr>
      <w:rPr>
        <w:rFonts w:hint="default"/>
      </w:rPr>
    </w:lvl>
  </w:abstractNum>
  <w:abstractNum w:abstractNumId="35" w15:restartNumberingAfterBreak="0">
    <w:nsid w:val="3EFF756E"/>
    <w:multiLevelType w:val="hybridMultilevel"/>
    <w:tmpl w:val="84042CA8"/>
    <w:lvl w:ilvl="0" w:tplc="8B1AD896">
      <w:numFmt w:val="bullet"/>
      <w:lvlText w:val="•"/>
      <w:lvlJc w:val="left"/>
      <w:pPr>
        <w:ind w:left="468" w:hanging="361"/>
      </w:pPr>
      <w:rPr>
        <w:rFonts w:ascii="Cambria" w:eastAsia="Cambria" w:hAnsi="Cambria" w:cs="Cambria" w:hint="default"/>
        <w:w w:val="100"/>
        <w:sz w:val="22"/>
        <w:szCs w:val="22"/>
      </w:rPr>
    </w:lvl>
    <w:lvl w:ilvl="1" w:tplc="70C0DAB4">
      <w:numFmt w:val="bullet"/>
      <w:lvlText w:val="•"/>
      <w:lvlJc w:val="left"/>
      <w:pPr>
        <w:ind w:left="806" w:hanging="361"/>
      </w:pPr>
      <w:rPr>
        <w:rFonts w:hint="default"/>
      </w:rPr>
    </w:lvl>
    <w:lvl w:ilvl="2" w:tplc="DF625AC6">
      <w:numFmt w:val="bullet"/>
      <w:lvlText w:val="•"/>
      <w:lvlJc w:val="left"/>
      <w:pPr>
        <w:ind w:left="1152" w:hanging="361"/>
      </w:pPr>
      <w:rPr>
        <w:rFonts w:hint="default"/>
      </w:rPr>
    </w:lvl>
    <w:lvl w:ilvl="3" w:tplc="B92444D6">
      <w:numFmt w:val="bullet"/>
      <w:lvlText w:val="•"/>
      <w:lvlJc w:val="left"/>
      <w:pPr>
        <w:ind w:left="1498" w:hanging="361"/>
      </w:pPr>
      <w:rPr>
        <w:rFonts w:hint="default"/>
      </w:rPr>
    </w:lvl>
    <w:lvl w:ilvl="4" w:tplc="4964D884">
      <w:numFmt w:val="bullet"/>
      <w:lvlText w:val="•"/>
      <w:lvlJc w:val="left"/>
      <w:pPr>
        <w:ind w:left="1845" w:hanging="361"/>
      </w:pPr>
      <w:rPr>
        <w:rFonts w:hint="default"/>
      </w:rPr>
    </w:lvl>
    <w:lvl w:ilvl="5" w:tplc="BA40C7F4">
      <w:numFmt w:val="bullet"/>
      <w:lvlText w:val="•"/>
      <w:lvlJc w:val="left"/>
      <w:pPr>
        <w:ind w:left="2191" w:hanging="361"/>
      </w:pPr>
      <w:rPr>
        <w:rFonts w:hint="default"/>
      </w:rPr>
    </w:lvl>
    <w:lvl w:ilvl="6" w:tplc="620E3270">
      <w:numFmt w:val="bullet"/>
      <w:lvlText w:val="•"/>
      <w:lvlJc w:val="left"/>
      <w:pPr>
        <w:ind w:left="2537" w:hanging="361"/>
      </w:pPr>
      <w:rPr>
        <w:rFonts w:hint="default"/>
      </w:rPr>
    </w:lvl>
    <w:lvl w:ilvl="7" w:tplc="6AA0D4B8">
      <w:numFmt w:val="bullet"/>
      <w:lvlText w:val="•"/>
      <w:lvlJc w:val="left"/>
      <w:pPr>
        <w:ind w:left="2884" w:hanging="361"/>
      </w:pPr>
      <w:rPr>
        <w:rFonts w:hint="default"/>
      </w:rPr>
    </w:lvl>
    <w:lvl w:ilvl="8" w:tplc="532427CE">
      <w:numFmt w:val="bullet"/>
      <w:lvlText w:val="•"/>
      <w:lvlJc w:val="left"/>
      <w:pPr>
        <w:ind w:left="3230" w:hanging="361"/>
      </w:pPr>
      <w:rPr>
        <w:rFonts w:hint="default"/>
      </w:rPr>
    </w:lvl>
  </w:abstractNum>
  <w:abstractNum w:abstractNumId="36" w15:restartNumberingAfterBreak="0">
    <w:nsid w:val="41D41585"/>
    <w:multiLevelType w:val="hybridMultilevel"/>
    <w:tmpl w:val="9240072C"/>
    <w:lvl w:ilvl="0" w:tplc="7018D742">
      <w:numFmt w:val="bullet"/>
      <w:lvlText w:val="•"/>
      <w:lvlJc w:val="left"/>
      <w:pPr>
        <w:ind w:left="468" w:hanging="361"/>
      </w:pPr>
      <w:rPr>
        <w:rFonts w:ascii="Cambria" w:eastAsia="Cambria" w:hAnsi="Cambria" w:cs="Cambria" w:hint="default"/>
        <w:w w:val="100"/>
        <w:sz w:val="22"/>
        <w:szCs w:val="22"/>
      </w:rPr>
    </w:lvl>
    <w:lvl w:ilvl="1" w:tplc="AD4CD3DC">
      <w:numFmt w:val="bullet"/>
      <w:lvlText w:val="•"/>
      <w:lvlJc w:val="left"/>
      <w:pPr>
        <w:ind w:left="778" w:hanging="361"/>
      </w:pPr>
      <w:rPr>
        <w:rFonts w:hint="default"/>
      </w:rPr>
    </w:lvl>
    <w:lvl w:ilvl="2" w:tplc="4CD603BE">
      <w:numFmt w:val="bullet"/>
      <w:lvlText w:val="•"/>
      <w:lvlJc w:val="left"/>
      <w:pPr>
        <w:ind w:left="1096" w:hanging="361"/>
      </w:pPr>
      <w:rPr>
        <w:rFonts w:hint="default"/>
      </w:rPr>
    </w:lvl>
    <w:lvl w:ilvl="3" w:tplc="0BA2BA1C">
      <w:numFmt w:val="bullet"/>
      <w:lvlText w:val="•"/>
      <w:lvlJc w:val="left"/>
      <w:pPr>
        <w:ind w:left="1414" w:hanging="361"/>
      </w:pPr>
      <w:rPr>
        <w:rFonts w:hint="default"/>
      </w:rPr>
    </w:lvl>
    <w:lvl w:ilvl="4" w:tplc="7990EB2C">
      <w:numFmt w:val="bullet"/>
      <w:lvlText w:val="•"/>
      <w:lvlJc w:val="left"/>
      <w:pPr>
        <w:ind w:left="1732" w:hanging="361"/>
      </w:pPr>
      <w:rPr>
        <w:rFonts w:hint="default"/>
      </w:rPr>
    </w:lvl>
    <w:lvl w:ilvl="5" w:tplc="A9EA2926">
      <w:numFmt w:val="bullet"/>
      <w:lvlText w:val="•"/>
      <w:lvlJc w:val="left"/>
      <w:pPr>
        <w:ind w:left="2050" w:hanging="361"/>
      </w:pPr>
      <w:rPr>
        <w:rFonts w:hint="default"/>
      </w:rPr>
    </w:lvl>
    <w:lvl w:ilvl="6" w:tplc="21122BCC">
      <w:numFmt w:val="bullet"/>
      <w:lvlText w:val="•"/>
      <w:lvlJc w:val="left"/>
      <w:pPr>
        <w:ind w:left="2368" w:hanging="361"/>
      </w:pPr>
      <w:rPr>
        <w:rFonts w:hint="default"/>
      </w:rPr>
    </w:lvl>
    <w:lvl w:ilvl="7" w:tplc="7B503FF6">
      <w:numFmt w:val="bullet"/>
      <w:lvlText w:val="•"/>
      <w:lvlJc w:val="left"/>
      <w:pPr>
        <w:ind w:left="2686" w:hanging="361"/>
      </w:pPr>
      <w:rPr>
        <w:rFonts w:hint="default"/>
      </w:rPr>
    </w:lvl>
    <w:lvl w:ilvl="8" w:tplc="27B6CA24">
      <w:numFmt w:val="bullet"/>
      <w:lvlText w:val="•"/>
      <w:lvlJc w:val="left"/>
      <w:pPr>
        <w:ind w:left="3004" w:hanging="361"/>
      </w:pPr>
      <w:rPr>
        <w:rFonts w:hint="default"/>
      </w:rPr>
    </w:lvl>
  </w:abstractNum>
  <w:abstractNum w:abstractNumId="37" w15:restartNumberingAfterBreak="0">
    <w:nsid w:val="41DB3ED3"/>
    <w:multiLevelType w:val="hybridMultilevel"/>
    <w:tmpl w:val="DBCA5B10"/>
    <w:lvl w:ilvl="0" w:tplc="0D26ECAA">
      <w:numFmt w:val="bullet"/>
      <w:lvlText w:val="•"/>
      <w:lvlJc w:val="left"/>
      <w:pPr>
        <w:ind w:left="466" w:hanging="361"/>
      </w:pPr>
      <w:rPr>
        <w:rFonts w:ascii="Cambria" w:eastAsia="Cambria" w:hAnsi="Cambria" w:cs="Cambria" w:hint="default"/>
        <w:w w:val="100"/>
        <w:sz w:val="22"/>
        <w:szCs w:val="22"/>
      </w:rPr>
    </w:lvl>
    <w:lvl w:ilvl="1" w:tplc="CB40E1EA">
      <w:numFmt w:val="bullet"/>
      <w:lvlText w:val="•"/>
      <w:lvlJc w:val="left"/>
      <w:pPr>
        <w:ind w:left="779" w:hanging="361"/>
      </w:pPr>
      <w:rPr>
        <w:rFonts w:hint="default"/>
      </w:rPr>
    </w:lvl>
    <w:lvl w:ilvl="2" w:tplc="538CA2C4">
      <w:numFmt w:val="bullet"/>
      <w:lvlText w:val="•"/>
      <w:lvlJc w:val="left"/>
      <w:pPr>
        <w:ind w:left="1098" w:hanging="361"/>
      </w:pPr>
      <w:rPr>
        <w:rFonts w:hint="default"/>
      </w:rPr>
    </w:lvl>
    <w:lvl w:ilvl="3" w:tplc="B32A0954">
      <w:numFmt w:val="bullet"/>
      <w:lvlText w:val="•"/>
      <w:lvlJc w:val="left"/>
      <w:pPr>
        <w:ind w:left="1417" w:hanging="361"/>
      </w:pPr>
      <w:rPr>
        <w:rFonts w:hint="default"/>
      </w:rPr>
    </w:lvl>
    <w:lvl w:ilvl="4" w:tplc="2BCCB73C">
      <w:numFmt w:val="bullet"/>
      <w:lvlText w:val="•"/>
      <w:lvlJc w:val="left"/>
      <w:pPr>
        <w:ind w:left="1736" w:hanging="361"/>
      </w:pPr>
      <w:rPr>
        <w:rFonts w:hint="default"/>
      </w:rPr>
    </w:lvl>
    <w:lvl w:ilvl="5" w:tplc="18909E7A">
      <w:numFmt w:val="bullet"/>
      <w:lvlText w:val="•"/>
      <w:lvlJc w:val="left"/>
      <w:pPr>
        <w:ind w:left="2056" w:hanging="361"/>
      </w:pPr>
      <w:rPr>
        <w:rFonts w:hint="default"/>
      </w:rPr>
    </w:lvl>
    <w:lvl w:ilvl="6" w:tplc="32AAF2FC">
      <w:numFmt w:val="bullet"/>
      <w:lvlText w:val="•"/>
      <w:lvlJc w:val="left"/>
      <w:pPr>
        <w:ind w:left="2375" w:hanging="361"/>
      </w:pPr>
      <w:rPr>
        <w:rFonts w:hint="default"/>
      </w:rPr>
    </w:lvl>
    <w:lvl w:ilvl="7" w:tplc="3676CBC4">
      <w:numFmt w:val="bullet"/>
      <w:lvlText w:val="•"/>
      <w:lvlJc w:val="left"/>
      <w:pPr>
        <w:ind w:left="2694" w:hanging="361"/>
      </w:pPr>
      <w:rPr>
        <w:rFonts w:hint="default"/>
      </w:rPr>
    </w:lvl>
    <w:lvl w:ilvl="8" w:tplc="A4E2196C">
      <w:numFmt w:val="bullet"/>
      <w:lvlText w:val="•"/>
      <w:lvlJc w:val="left"/>
      <w:pPr>
        <w:ind w:left="3013" w:hanging="361"/>
      </w:pPr>
      <w:rPr>
        <w:rFonts w:hint="default"/>
      </w:rPr>
    </w:lvl>
  </w:abstractNum>
  <w:abstractNum w:abstractNumId="38" w15:restartNumberingAfterBreak="0">
    <w:nsid w:val="42D64789"/>
    <w:multiLevelType w:val="hybridMultilevel"/>
    <w:tmpl w:val="3BC42394"/>
    <w:lvl w:ilvl="0" w:tplc="722A10F0">
      <w:numFmt w:val="bullet"/>
      <w:lvlText w:val="•"/>
      <w:lvlJc w:val="left"/>
      <w:pPr>
        <w:ind w:left="465" w:hanging="361"/>
      </w:pPr>
      <w:rPr>
        <w:rFonts w:ascii="Cambria" w:eastAsia="Cambria" w:hAnsi="Cambria" w:cs="Cambria" w:hint="default"/>
        <w:w w:val="100"/>
        <w:sz w:val="22"/>
        <w:szCs w:val="22"/>
      </w:rPr>
    </w:lvl>
    <w:lvl w:ilvl="1" w:tplc="06900160">
      <w:numFmt w:val="bullet"/>
      <w:lvlText w:val="•"/>
      <w:lvlJc w:val="left"/>
      <w:pPr>
        <w:ind w:left="750" w:hanging="361"/>
      </w:pPr>
      <w:rPr>
        <w:rFonts w:hint="default"/>
      </w:rPr>
    </w:lvl>
    <w:lvl w:ilvl="2" w:tplc="F842993E">
      <w:numFmt w:val="bullet"/>
      <w:lvlText w:val="•"/>
      <w:lvlJc w:val="left"/>
      <w:pPr>
        <w:ind w:left="1041" w:hanging="361"/>
      </w:pPr>
      <w:rPr>
        <w:rFonts w:hint="default"/>
      </w:rPr>
    </w:lvl>
    <w:lvl w:ilvl="3" w:tplc="89F2826C">
      <w:numFmt w:val="bullet"/>
      <w:lvlText w:val="•"/>
      <w:lvlJc w:val="left"/>
      <w:pPr>
        <w:ind w:left="1332" w:hanging="361"/>
      </w:pPr>
      <w:rPr>
        <w:rFonts w:hint="default"/>
      </w:rPr>
    </w:lvl>
    <w:lvl w:ilvl="4" w:tplc="129414D2">
      <w:numFmt w:val="bullet"/>
      <w:lvlText w:val="•"/>
      <w:lvlJc w:val="left"/>
      <w:pPr>
        <w:ind w:left="1623" w:hanging="361"/>
      </w:pPr>
      <w:rPr>
        <w:rFonts w:hint="default"/>
      </w:rPr>
    </w:lvl>
    <w:lvl w:ilvl="5" w:tplc="4536B032">
      <w:numFmt w:val="bullet"/>
      <w:lvlText w:val="•"/>
      <w:lvlJc w:val="left"/>
      <w:pPr>
        <w:ind w:left="1914" w:hanging="361"/>
      </w:pPr>
      <w:rPr>
        <w:rFonts w:hint="default"/>
      </w:rPr>
    </w:lvl>
    <w:lvl w:ilvl="6" w:tplc="DE12175E">
      <w:numFmt w:val="bullet"/>
      <w:lvlText w:val="•"/>
      <w:lvlJc w:val="left"/>
      <w:pPr>
        <w:ind w:left="2205" w:hanging="361"/>
      </w:pPr>
      <w:rPr>
        <w:rFonts w:hint="default"/>
      </w:rPr>
    </w:lvl>
    <w:lvl w:ilvl="7" w:tplc="EC1EC12C">
      <w:numFmt w:val="bullet"/>
      <w:lvlText w:val="•"/>
      <w:lvlJc w:val="left"/>
      <w:pPr>
        <w:ind w:left="2496" w:hanging="361"/>
      </w:pPr>
      <w:rPr>
        <w:rFonts w:hint="default"/>
      </w:rPr>
    </w:lvl>
    <w:lvl w:ilvl="8" w:tplc="6A7A36CC">
      <w:numFmt w:val="bullet"/>
      <w:lvlText w:val="•"/>
      <w:lvlJc w:val="left"/>
      <w:pPr>
        <w:ind w:left="2787" w:hanging="361"/>
      </w:pPr>
      <w:rPr>
        <w:rFonts w:hint="default"/>
      </w:rPr>
    </w:lvl>
  </w:abstractNum>
  <w:abstractNum w:abstractNumId="39" w15:restartNumberingAfterBreak="0">
    <w:nsid w:val="42E172FA"/>
    <w:multiLevelType w:val="hybridMultilevel"/>
    <w:tmpl w:val="5B5EB4BC"/>
    <w:lvl w:ilvl="0" w:tplc="0FE2936E">
      <w:numFmt w:val="bullet"/>
      <w:lvlText w:val="•"/>
      <w:lvlJc w:val="left"/>
      <w:pPr>
        <w:ind w:left="468" w:hanging="361"/>
      </w:pPr>
      <w:rPr>
        <w:rFonts w:ascii="Cambria" w:eastAsia="Cambria" w:hAnsi="Cambria" w:cs="Cambria" w:hint="default"/>
        <w:w w:val="100"/>
        <w:sz w:val="22"/>
        <w:szCs w:val="22"/>
      </w:rPr>
    </w:lvl>
    <w:lvl w:ilvl="1" w:tplc="65D65522">
      <w:numFmt w:val="bullet"/>
      <w:lvlText w:val="•"/>
      <w:lvlJc w:val="left"/>
      <w:pPr>
        <w:ind w:left="793" w:hanging="361"/>
      </w:pPr>
      <w:rPr>
        <w:rFonts w:hint="default"/>
      </w:rPr>
    </w:lvl>
    <w:lvl w:ilvl="2" w:tplc="939EB7F6">
      <w:numFmt w:val="bullet"/>
      <w:lvlText w:val="•"/>
      <w:lvlJc w:val="left"/>
      <w:pPr>
        <w:ind w:left="1127" w:hanging="361"/>
      </w:pPr>
      <w:rPr>
        <w:rFonts w:hint="default"/>
      </w:rPr>
    </w:lvl>
    <w:lvl w:ilvl="3" w:tplc="DE3638A8">
      <w:numFmt w:val="bullet"/>
      <w:lvlText w:val="•"/>
      <w:lvlJc w:val="left"/>
      <w:pPr>
        <w:ind w:left="1460" w:hanging="361"/>
      </w:pPr>
      <w:rPr>
        <w:rFonts w:hint="default"/>
      </w:rPr>
    </w:lvl>
    <w:lvl w:ilvl="4" w:tplc="DDDE2F14">
      <w:numFmt w:val="bullet"/>
      <w:lvlText w:val="•"/>
      <w:lvlJc w:val="left"/>
      <w:pPr>
        <w:ind w:left="1794" w:hanging="361"/>
      </w:pPr>
      <w:rPr>
        <w:rFonts w:hint="default"/>
      </w:rPr>
    </w:lvl>
    <w:lvl w:ilvl="5" w:tplc="7C0409C2">
      <w:numFmt w:val="bullet"/>
      <w:lvlText w:val="•"/>
      <w:lvlJc w:val="left"/>
      <w:pPr>
        <w:ind w:left="2128" w:hanging="361"/>
      </w:pPr>
      <w:rPr>
        <w:rFonts w:hint="default"/>
      </w:rPr>
    </w:lvl>
    <w:lvl w:ilvl="6" w:tplc="DBB406EA">
      <w:numFmt w:val="bullet"/>
      <w:lvlText w:val="•"/>
      <w:lvlJc w:val="left"/>
      <w:pPr>
        <w:ind w:left="2461" w:hanging="361"/>
      </w:pPr>
      <w:rPr>
        <w:rFonts w:hint="default"/>
      </w:rPr>
    </w:lvl>
    <w:lvl w:ilvl="7" w:tplc="B0FA1C9C">
      <w:numFmt w:val="bullet"/>
      <w:lvlText w:val="•"/>
      <w:lvlJc w:val="left"/>
      <w:pPr>
        <w:ind w:left="2795" w:hanging="361"/>
      </w:pPr>
      <w:rPr>
        <w:rFonts w:hint="default"/>
      </w:rPr>
    </w:lvl>
    <w:lvl w:ilvl="8" w:tplc="0AC20D2E">
      <w:numFmt w:val="bullet"/>
      <w:lvlText w:val="•"/>
      <w:lvlJc w:val="left"/>
      <w:pPr>
        <w:ind w:left="3128" w:hanging="361"/>
      </w:pPr>
      <w:rPr>
        <w:rFonts w:hint="default"/>
      </w:rPr>
    </w:lvl>
  </w:abstractNum>
  <w:abstractNum w:abstractNumId="40" w15:restartNumberingAfterBreak="0">
    <w:nsid w:val="43DB7B68"/>
    <w:multiLevelType w:val="hybridMultilevel"/>
    <w:tmpl w:val="305A7616"/>
    <w:lvl w:ilvl="0" w:tplc="BEAEBAA2">
      <w:numFmt w:val="bullet"/>
      <w:lvlText w:val="•"/>
      <w:lvlJc w:val="left"/>
      <w:pPr>
        <w:ind w:left="468" w:hanging="361"/>
      </w:pPr>
      <w:rPr>
        <w:rFonts w:ascii="Cambria" w:eastAsia="Cambria" w:hAnsi="Cambria" w:cs="Cambria" w:hint="default"/>
        <w:w w:val="100"/>
        <w:sz w:val="22"/>
        <w:szCs w:val="22"/>
      </w:rPr>
    </w:lvl>
    <w:lvl w:ilvl="1" w:tplc="57B4EF34">
      <w:numFmt w:val="bullet"/>
      <w:lvlText w:val="•"/>
      <w:lvlJc w:val="left"/>
      <w:pPr>
        <w:ind w:left="793" w:hanging="361"/>
      </w:pPr>
      <w:rPr>
        <w:rFonts w:hint="default"/>
      </w:rPr>
    </w:lvl>
    <w:lvl w:ilvl="2" w:tplc="42BCA2F2">
      <w:numFmt w:val="bullet"/>
      <w:lvlText w:val="•"/>
      <w:lvlJc w:val="left"/>
      <w:pPr>
        <w:ind w:left="1127" w:hanging="361"/>
      </w:pPr>
      <w:rPr>
        <w:rFonts w:hint="default"/>
      </w:rPr>
    </w:lvl>
    <w:lvl w:ilvl="3" w:tplc="9A60EE1C">
      <w:numFmt w:val="bullet"/>
      <w:lvlText w:val="•"/>
      <w:lvlJc w:val="left"/>
      <w:pPr>
        <w:ind w:left="1460" w:hanging="361"/>
      </w:pPr>
      <w:rPr>
        <w:rFonts w:hint="default"/>
      </w:rPr>
    </w:lvl>
    <w:lvl w:ilvl="4" w:tplc="6038DD06">
      <w:numFmt w:val="bullet"/>
      <w:lvlText w:val="•"/>
      <w:lvlJc w:val="left"/>
      <w:pPr>
        <w:ind w:left="1794" w:hanging="361"/>
      </w:pPr>
      <w:rPr>
        <w:rFonts w:hint="default"/>
      </w:rPr>
    </w:lvl>
    <w:lvl w:ilvl="5" w:tplc="C840D75A">
      <w:numFmt w:val="bullet"/>
      <w:lvlText w:val="•"/>
      <w:lvlJc w:val="left"/>
      <w:pPr>
        <w:ind w:left="2128" w:hanging="361"/>
      </w:pPr>
      <w:rPr>
        <w:rFonts w:hint="default"/>
      </w:rPr>
    </w:lvl>
    <w:lvl w:ilvl="6" w:tplc="4A785A80">
      <w:numFmt w:val="bullet"/>
      <w:lvlText w:val="•"/>
      <w:lvlJc w:val="left"/>
      <w:pPr>
        <w:ind w:left="2461" w:hanging="361"/>
      </w:pPr>
      <w:rPr>
        <w:rFonts w:hint="default"/>
      </w:rPr>
    </w:lvl>
    <w:lvl w:ilvl="7" w:tplc="739A76B4">
      <w:numFmt w:val="bullet"/>
      <w:lvlText w:val="•"/>
      <w:lvlJc w:val="left"/>
      <w:pPr>
        <w:ind w:left="2795" w:hanging="361"/>
      </w:pPr>
      <w:rPr>
        <w:rFonts w:hint="default"/>
      </w:rPr>
    </w:lvl>
    <w:lvl w:ilvl="8" w:tplc="69C2C4BC">
      <w:numFmt w:val="bullet"/>
      <w:lvlText w:val="•"/>
      <w:lvlJc w:val="left"/>
      <w:pPr>
        <w:ind w:left="3128" w:hanging="361"/>
      </w:pPr>
      <w:rPr>
        <w:rFonts w:hint="default"/>
      </w:rPr>
    </w:lvl>
  </w:abstractNum>
  <w:abstractNum w:abstractNumId="41" w15:restartNumberingAfterBreak="0">
    <w:nsid w:val="47B94FBC"/>
    <w:multiLevelType w:val="hybridMultilevel"/>
    <w:tmpl w:val="27E61A90"/>
    <w:lvl w:ilvl="0" w:tplc="690EB652">
      <w:numFmt w:val="bullet"/>
      <w:lvlText w:val="•"/>
      <w:lvlJc w:val="left"/>
      <w:pPr>
        <w:ind w:left="468" w:hanging="361"/>
      </w:pPr>
      <w:rPr>
        <w:rFonts w:ascii="Cambria" w:eastAsia="Cambria" w:hAnsi="Cambria" w:cs="Cambria" w:hint="default"/>
        <w:w w:val="100"/>
        <w:sz w:val="22"/>
        <w:szCs w:val="22"/>
      </w:rPr>
    </w:lvl>
    <w:lvl w:ilvl="1" w:tplc="F718012C">
      <w:numFmt w:val="bullet"/>
      <w:lvlText w:val="•"/>
      <w:lvlJc w:val="left"/>
      <w:pPr>
        <w:ind w:left="778" w:hanging="361"/>
      </w:pPr>
      <w:rPr>
        <w:rFonts w:hint="default"/>
      </w:rPr>
    </w:lvl>
    <w:lvl w:ilvl="2" w:tplc="5C103FFC">
      <w:numFmt w:val="bullet"/>
      <w:lvlText w:val="•"/>
      <w:lvlJc w:val="left"/>
      <w:pPr>
        <w:ind w:left="1096" w:hanging="361"/>
      </w:pPr>
      <w:rPr>
        <w:rFonts w:hint="default"/>
      </w:rPr>
    </w:lvl>
    <w:lvl w:ilvl="3" w:tplc="1CDA1682">
      <w:numFmt w:val="bullet"/>
      <w:lvlText w:val="•"/>
      <w:lvlJc w:val="left"/>
      <w:pPr>
        <w:ind w:left="1414" w:hanging="361"/>
      </w:pPr>
      <w:rPr>
        <w:rFonts w:hint="default"/>
      </w:rPr>
    </w:lvl>
    <w:lvl w:ilvl="4" w:tplc="FB2A0844">
      <w:numFmt w:val="bullet"/>
      <w:lvlText w:val="•"/>
      <w:lvlJc w:val="left"/>
      <w:pPr>
        <w:ind w:left="1732" w:hanging="361"/>
      </w:pPr>
      <w:rPr>
        <w:rFonts w:hint="default"/>
      </w:rPr>
    </w:lvl>
    <w:lvl w:ilvl="5" w:tplc="72303980">
      <w:numFmt w:val="bullet"/>
      <w:lvlText w:val="•"/>
      <w:lvlJc w:val="left"/>
      <w:pPr>
        <w:ind w:left="2050" w:hanging="361"/>
      </w:pPr>
      <w:rPr>
        <w:rFonts w:hint="default"/>
      </w:rPr>
    </w:lvl>
    <w:lvl w:ilvl="6" w:tplc="65A83736">
      <w:numFmt w:val="bullet"/>
      <w:lvlText w:val="•"/>
      <w:lvlJc w:val="left"/>
      <w:pPr>
        <w:ind w:left="2368" w:hanging="361"/>
      </w:pPr>
      <w:rPr>
        <w:rFonts w:hint="default"/>
      </w:rPr>
    </w:lvl>
    <w:lvl w:ilvl="7" w:tplc="82F8D08A">
      <w:numFmt w:val="bullet"/>
      <w:lvlText w:val="•"/>
      <w:lvlJc w:val="left"/>
      <w:pPr>
        <w:ind w:left="2686" w:hanging="361"/>
      </w:pPr>
      <w:rPr>
        <w:rFonts w:hint="default"/>
      </w:rPr>
    </w:lvl>
    <w:lvl w:ilvl="8" w:tplc="F072FBA4">
      <w:numFmt w:val="bullet"/>
      <w:lvlText w:val="•"/>
      <w:lvlJc w:val="left"/>
      <w:pPr>
        <w:ind w:left="3004" w:hanging="361"/>
      </w:pPr>
      <w:rPr>
        <w:rFonts w:hint="default"/>
      </w:rPr>
    </w:lvl>
  </w:abstractNum>
  <w:abstractNum w:abstractNumId="42" w15:restartNumberingAfterBreak="0">
    <w:nsid w:val="4A37705E"/>
    <w:multiLevelType w:val="hybridMultilevel"/>
    <w:tmpl w:val="4988360C"/>
    <w:lvl w:ilvl="0" w:tplc="D03E713A">
      <w:numFmt w:val="bullet"/>
      <w:lvlText w:val="•"/>
      <w:lvlJc w:val="left"/>
      <w:pPr>
        <w:ind w:left="468" w:hanging="361"/>
      </w:pPr>
      <w:rPr>
        <w:rFonts w:ascii="Cambria" w:eastAsia="Cambria" w:hAnsi="Cambria" w:cs="Cambria" w:hint="default"/>
        <w:w w:val="100"/>
        <w:sz w:val="22"/>
        <w:szCs w:val="22"/>
      </w:rPr>
    </w:lvl>
    <w:lvl w:ilvl="1" w:tplc="377ABFBE">
      <w:numFmt w:val="bullet"/>
      <w:lvlText w:val="•"/>
      <w:lvlJc w:val="left"/>
      <w:pPr>
        <w:ind w:left="763" w:hanging="361"/>
      </w:pPr>
      <w:rPr>
        <w:rFonts w:hint="default"/>
      </w:rPr>
    </w:lvl>
    <w:lvl w:ilvl="2" w:tplc="5B7C15E4">
      <w:numFmt w:val="bullet"/>
      <w:lvlText w:val="•"/>
      <w:lvlJc w:val="left"/>
      <w:pPr>
        <w:ind w:left="1067" w:hanging="361"/>
      </w:pPr>
      <w:rPr>
        <w:rFonts w:hint="default"/>
      </w:rPr>
    </w:lvl>
    <w:lvl w:ilvl="3" w:tplc="18C81996">
      <w:numFmt w:val="bullet"/>
      <w:lvlText w:val="•"/>
      <w:lvlJc w:val="left"/>
      <w:pPr>
        <w:ind w:left="1370" w:hanging="361"/>
      </w:pPr>
      <w:rPr>
        <w:rFonts w:hint="default"/>
      </w:rPr>
    </w:lvl>
    <w:lvl w:ilvl="4" w:tplc="03960C14">
      <w:numFmt w:val="bullet"/>
      <w:lvlText w:val="•"/>
      <w:lvlJc w:val="left"/>
      <w:pPr>
        <w:ind w:left="1674" w:hanging="361"/>
      </w:pPr>
      <w:rPr>
        <w:rFonts w:hint="default"/>
      </w:rPr>
    </w:lvl>
    <w:lvl w:ilvl="5" w:tplc="D846AD64">
      <w:numFmt w:val="bullet"/>
      <w:lvlText w:val="•"/>
      <w:lvlJc w:val="left"/>
      <w:pPr>
        <w:ind w:left="1978" w:hanging="361"/>
      </w:pPr>
      <w:rPr>
        <w:rFonts w:hint="default"/>
      </w:rPr>
    </w:lvl>
    <w:lvl w:ilvl="6" w:tplc="59E6588A">
      <w:numFmt w:val="bullet"/>
      <w:lvlText w:val="•"/>
      <w:lvlJc w:val="left"/>
      <w:pPr>
        <w:ind w:left="2281" w:hanging="361"/>
      </w:pPr>
      <w:rPr>
        <w:rFonts w:hint="default"/>
      </w:rPr>
    </w:lvl>
    <w:lvl w:ilvl="7" w:tplc="3EBACDF8">
      <w:numFmt w:val="bullet"/>
      <w:lvlText w:val="•"/>
      <w:lvlJc w:val="left"/>
      <w:pPr>
        <w:ind w:left="2585" w:hanging="361"/>
      </w:pPr>
      <w:rPr>
        <w:rFonts w:hint="default"/>
      </w:rPr>
    </w:lvl>
    <w:lvl w:ilvl="8" w:tplc="2E3ACC84">
      <w:numFmt w:val="bullet"/>
      <w:lvlText w:val="•"/>
      <w:lvlJc w:val="left"/>
      <w:pPr>
        <w:ind w:left="2888" w:hanging="361"/>
      </w:pPr>
      <w:rPr>
        <w:rFonts w:hint="default"/>
      </w:rPr>
    </w:lvl>
  </w:abstractNum>
  <w:abstractNum w:abstractNumId="43" w15:restartNumberingAfterBreak="0">
    <w:nsid w:val="514044FE"/>
    <w:multiLevelType w:val="hybridMultilevel"/>
    <w:tmpl w:val="0BCE3A2A"/>
    <w:lvl w:ilvl="0" w:tplc="EF44C012">
      <w:numFmt w:val="bullet"/>
      <w:lvlText w:val="•"/>
      <w:lvlJc w:val="left"/>
      <w:pPr>
        <w:ind w:left="468" w:hanging="361"/>
      </w:pPr>
      <w:rPr>
        <w:rFonts w:ascii="Cambria" w:eastAsia="Cambria" w:hAnsi="Cambria" w:cs="Cambria" w:hint="default"/>
        <w:w w:val="100"/>
        <w:sz w:val="22"/>
        <w:szCs w:val="22"/>
      </w:rPr>
    </w:lvl>
    <w:lvl w:ilvl="1" w:tplc="FDAE7E9C">
      <w:numFmt w:val="bullet"/>
      <w:lvlText w:val="•"/>
      <w:lvlJc w:val="left"/>
      <w:pPr>
        <w:ind w:left="792" w:hanging="361"/>
      </w:pPr>
      <w:rPr>
        <w:rFonts w:hint="default"/>
      </w:rPr>
    </w:lvl>
    <w:lvl w:ilvl="2" w:tplc="B7DE385E">
      <w:numFmt w:val="bullet"/>
      <w:lvlText w:val="•"/>
      <w:lvlJc w:val="left"/>
      <w:pPr>
        <w:ind w:left="1124" w:hanging="361"/>
      </w:pPr>
      <w:rPr>
        <w:rFonts w:hint="default"/>
      </w:rPr>
    </w:lvl>
    <w:lvl w:ilvl="3" w:tplc="CB4822D0">
      <w:numFmt w:val="bullet"/>
      <w:lvlText w:val="•"/>
      <w:lvlJc w:val="left"/>
      <w:pPr>
        <w:ind w:left="1456" w:hanging="361"/>
      </w:pPr>
      <w:rPr>
        <w:rFonts w:hint="default"/>
      </w:rPr>
    </w:lvl>
    <w:lvl w:ilvl="4" w:tplc="E5E885D8">
      <w:numFmt w:val="bullet"/>
      <w:lvlText w:val="•"/>
      <w:lvlJc w:val="left"/>
      <w:pPr>
        <w:ind w:left="1788" w:hanging="361"/>
      </w:pPr>
      <w:rPr>
        <w:rFonts w:hint="default"/>
      </w:rPr>
    </w:lvl>
    <w:lvl w:ilvl="5" w:tplc="3B941FE0">
      <w:numFmt w:val="bullet"/>
      <w:lvlText w:val="•"/>
      <w:lvlJc w:val="left"/>
      <w:pPr>
        <w:ind w:left="2120" w:hanging="361"/>
      </w:pPr>
      <w:rPr>
        <w:rFonts w:hint="default"/>
      </w:rPr>
    </w:lvl>
    <w:lvl w:ilvl="6" w:tplc="4F5E4FF8">
      <w:numFmt w:val="bullet"/>
      <w:lvlText w:val="•"/>
      <w:lvlJc w:val="left"/>
      <w:pPr>
        <w:ind w:left="2452" w:hanging="361"/>
      </w:pPr>
      <w:rPr>
        <w:rFonts w:hint="default"/>
      </w:rPr>
    </w:lvl>
    <w:lvl w:ilvl="7" w:tplc="70CE3038">
      <w:numFmt w:val="bullet"/>
      <w:lvlText w:val="•"/>
      <w:lvlJc w:val="left"/>
      <w:pPr>
        <w:ind w:left="2784" w:hanging="361"/>
      </w:pPr>
      <w:rPr>
        <w:rFonts w:hint="default"/>
      </w:rPr>
    </w:lvl>
    <w:lvl w:ilvl="8" w:tplc="23468270">
      <w:numFmt w:val="bullet"/>
      <w:lvlText w:val="•"/>
      <w:lvlJc w:val="left"/>
      <w:pPr>
        <w:ind w:left="3116" w:hanging="361"/>
      </w:pPr>
      <w:rPr>
        <w:rFonts w:hint="default"/>
      </w:rPr>
    </w:lvl>
  </w:abstractNum>
  <w:abstractNum w:abstractNumId="44" w15:restartNumberingAfterBreak="0">
    <w:nsid w:val="519E58BA"/>
    <w:multiLevelType w:val="hybridMultilevel"/>
    <w:tmpl w:val="3D22A16A"/>
    <w:lvl w:ilvl="0" w:tplc="CCF6895C">
      <w:numFmt w:val="bullet"/>
      <w:lvlText w:val="•"/>
      <w:lvlJc w:val="left"/>
      <w:pPr>
        <w:ind w:left="468" w:hanging="361"/>
      </w:pPr>
      <w:rPr>
        <w:rFonts w:ascii="Cambria" w:eastAsia="Cambria" w:hAnsi="Cambria" w:cs="Cambria" w:hint="default"/>
        <w:w w:val="100"/>
        <w:sz w:val="22"/>
        <w:szCs w:val="22"/>
      </w:rPr>
    </w:lvl>
    <w:lvl w:ilvl="1" w:tplc="1DD0F83E">
      <w:numFmt w:val="bullet"/>
      <w:lvlText w:val="•"/>
      <w:lvlJc w:val="left"/>
      <w:pPr>
        <w:ind w:left="793" w:hanging="361"/>
      </w:pPr>
      <w:rPr>
        <w:rFonts w:hint="default"/>
      </w:rPr>
    </w:lvl>
    <w:lvl w:ilvl="2" w:tplc="2AE895EE">
      <w:numFmt w:val="bullet"/>
      <w:lvlText w:val="•"/>
      <w:lvlJc w:val="left"/>
      <w:pPr>
        <w:ind w:left="1127" w:hanging="361"/>
      </w:pPr>
      <w:rPr>
        <w:rFonts w:hint="default"/>
      </w:rPr>
    </w:lvl>
    <w:lvl w:ilvl="3" w:tplc="3FE24BCA">
      <w:numFmt w:val="bullet"/>
      <w:lvlText w:val="•"/>
      <w:lvlJc w:val="left"/>
      <w:pPr>
        <w:ind w:left="1460" w:hanging="361"/>
      </w:pPr>
      <w:rPr>
        <w:rFonts w:hint="default"/>
      </w:rPr>
    </w:lvl>
    <w:lvl w:ilvl="4" w:tplc="D30E7946">
      <w:numFmt w:val="bullet"/>
      <w:lvlText w:val="•"/>
      <w:lvlJc w:val="left"/>
      <w:pPr>
        <w:ind w:left="1794" w:hanging="361"/>
      </w:pPr>
      <w:rPr>
        <w:rFonts w:hint="default"/>
      </w:rPr>
    </w:lvl>
    <w:lvl w:ilvl="5" w:tplc="F7D40AC8">
      <w:numFmt w:val="bullet"/>
      <w:lvlText w:val="•"/>
      <w:lvlJc w:val="left"/>
      <w:pPr>
        <w:ind w:left="2128" w:hanging="361"/>
      </w:pPr>
      <w:rPr>
        <w:rFonts w:hint="default"/>
      </w:rPr>
    </w:lvl>
    <w:lvl w:ilvl="6" w:tplc="E27653A2">
      <w:numFmt w:val="bullet"/>
      <w:lvlText w:val="•"/>
      <w:lvlJc w:val="left"/>
      <w:pPr>
        <w:ind w:left="2461" w:hanging="361"/>
      </w:pPr>
      <w:rPr>
        <w:rFonts w:hint="default"/>
      </w:rPr>
    </w:lvl>
    <w:lvl w:ilvl="7" w:tplc="D2327800">
      <w:numFmt w:val="bullet"/>
      <w:lvlText w:val="•"/>
      <w:lvlJc w:val="left"/>
      <w:pPr>
        <w:ind w:left="2795" w:hanging="361"/>
      </w:pPr>
      <w:rPr>
        <w:rFonts w:hint="default"/>
      </w:rPr>
    </w:lvl>
    <w:lvl w:ilvl="8" w:tplc="2AC87FA2">
      <w:numFmt w:val="bullet"/>
      <w:lvlText w:val="•"/>
      <w:lvlJc w:val="left"/>
      <w:pPr>
        <w:ind w:left="3128" w:hanging="361"/>
      </w:pPr>
      <w:rPr>
        <w:rFonts w:hint="default"/>
      </w:rPr>
    </w:lvl>
  </w:abstractNum>
  <w:abstractNum w:abstractNumId="45" w15:restartNumberingAfterBreak="0">
    <w:nsid w:val="549409BC"/>
    <w:multiLevelType w:val="hybridMultilevel"/>
    <w:tmpl w:val="2A98741E"/>
    <w:lvl w:ilvl="0" w:tplc="0C64A5DC">
      <w:numFmt w:val="bullet"/>
      <w:lvlText w:val="•"/>
      <w:lvlJc w:val="left"/>
      <w:pPr>
        <w:ind w:left="469" w:hanging="361"/>
      </w:pPr>
      <w:rPr>
        <w:rFonts w:ascii="Cambria" w:eastAsia="Cambria" w:hAnsi="Cambria" w:cs="Cambria" w:hint="default"/>
        <w:w w:val="100"/>
        <w:sz w:val="22"/>
        <w:szCs w:val="22"/>
      </w:rPr>
    </w:lvl>
    <w:lvl w:ilvl="1" w:tplc="57AE2D72">
      <w:numFmt w:val="bullet"/>
      <w:lvlText w:val="-"/>
      <w:lvlJc w:val="left"/>
      <w:pPr>
        <w:ind w:left="1189" w:hanging="360"/>
      </w:pPr>
      <w:rPr>
        <w:rFonts w:ascii="Cambria" w:eastAsia="Cambria" w:hAnsi="Cambria" w:cs="Cambria" w:hint="default"/>
        <w:w w:val="100"/>
        <w:sz w:val="22"/>
        <w:szCs w:val="22"/>
      </w:rPr>
    </w:lvl>
    <w:lvl w:ilvl="2" w:tplc="F508D436">
      <w:numFmt w:val="bullet"/>
      <w:lvlText w:val="•"/>
      <w:lvlJc w:val="left"/>
      <w:pPr>
        <w:ind w:left="1913" w:hanging="360"/>
      </w:pPr>
      <w:rPr>
        <w:rFonts w:hint="default"/>
      </w:rPr>
    </w:lvl>
    <w:lvl w:ilvl="3" w:tplc="942610A4">
      <w:numFmt w:val="bullet"/>
      <w:lvlText w:val="•"/>
      <w:lvlJc w:val="left"/>
      <w:pPr>
        <w:ind w:left="2646" w:hanging="360"/>
      </w:pPr>
      <w:rPr>
        <w:rFonts w:hint="default"/>
      </w:rPr>
    </w:lvl>
    <w:lvl w:ilvl="4" w:tplc="D0086E80">
      <w:numFmt w:val="bullet"/>
      <w:lvlText w:val="•"/>
      <w:lvlJc w:val="left"/>
      <w:pPr>
        <w:ind w:left="3380" w:hanging="360"/>
      </w:pPr>
      <w:rPr>
        <w:rFonts w:hint="default"/>
      </w:rPr>
    </w:lvl>
    <w:lvl w:ilvl="5" w:tplc="7EAE7D38">
      <w:numFmt w:val="bullet"/>
      <w:lvlText w:val="•"/>
      <w:lvlJc w:val="left"/>
      <w:pPr>
        <w:ind w:left="4113" w:hanging="360"/>
      </w:pPr>
      <w:rPr>
        <w:rFonts w:hint="default"/>
      </w:rPr>
    </w:lvl>
    <w:lvl w:ilvl="6" w:tplc="29589E2A">
      <w:numFmt w:val="bullet"/>
      <w:lvlText w:val="•"/>
      <w:lvlJc w:val="left"/>
      <w:pPr>
        <w:ind w:left="4846" w:hanging="360"/>
      </w:pPr>
      <w:rPr>
        <w:rFonts w:hint="default"/>
      </w:rPr>
    </w:lvl>
    <w:lvl w:ilvl="7" w:tplc="1C50B458">
      <w:numFmt w:val="bullet"/>
      <w:lvlText w:val="•"/>
      <w:lvlJc w:val="left"/>
      <w:pPr>
        <w:ind w:left="5580" w:hanging="360"/>
      </w:pPr>
      <w:rPr>
        <w:rFonts w:hint="default"/>
      </w:rPr>
    </w:lvl>
    <w:lvl w:ilvl="8" w:tplc="3580E286">
      <w:numFmt w:val="bullet"/>
      <w:lvlText w:val="•"/>
      <w:lvlJc w:val="left"/>
      <w:pPr>
        <w:ind w:left="6313" w:hanging="360"/>
      </w:pPr>
      <w:rPr>
        <w:rFonts w:hint="default"/>
      </w:rPr>
    </w:lvl>
  </w:abstractNum>
  <w:abstractNum w:abstractNumId="46" w15:restartNumberingAfterBreak="0">
    <w:nsid w:val="551D794F"/>
    <w:multiLevelType w:val="hybridMultilevel"/>
    <w:tmpl w:val="1FAA00DE"/>
    <w:lvl w:ilvl="0" w:tplc="84C4BD4E">
      <w:numFmt w:val="bullet"/>
      <w:lvlText w:val="•"/>
      <w:lvlJc w:val="left"/>
      <w:pPr>
        <w:ind w:left="468" w:hanging="361"/>
      </w:pPr>
      <w:rPr>
        <w:rFonts w:ascii="Cambria" w:eastAsia="Cambria" w:hAnsi="Cambria" w:cs="Cambria" w:hint="default"/>
        <w:w w:val="100"/>
        <w:sz w:val="22"/>
        <w:szCs w:val="22"/>
      </w:rPr>
    </w:lvl>
    <w:lvl w:ilvl="1" w:tplc="F662D2EC">
      <w:numFmt w:val="bullet"/>
      <w:lvlText w:val="•"/>
      <w:lvlJc w:val="left"/>
      <w:pPr>
        <w:ind w:left="792" w:hanging="361"/>
      </w:pPr>
      <w:rPr>
        <w:rFonts w:hint="default"/>
      </w:rPr>
    </w:lvl>
    <w:lvl w:ilvl="2" w:tplc="39F49FC0">
      <w:numFmt w:val="bullet"/>
      <w:lvlText w:val="•"/>
      <w:lvlJc w:val="left"/>
      <w:pPr>
        <w:ind w:left="1124" w:hanging="361"/>
      </w:pPr>
      <w:rPr>
        <w:rFonts w:hint="default"/>
      </w:rPr>
    </w:lvl>
    <w:lvl w:ilvl="3" w:tplc="38FC6EA4">
      <w:numFmt w:val="bullet"/>
      <w:lvlText w:val="•"/>
      <w:lvlJc w:val="left"/>
      <w:pPr>
        <w:ind w:left="1456" w:hanging="361"/>
      </w:pPr>
      <w:rPr>
        <w:rFonts w:hint="default"/>
      </w:rPr>
    </w:lvl>
    <w:lvl w:ilvl="4" w:tplc="1DB887EE">
      <w:numFmt w:val="bullet"/>
      <w:lvlText w:val="•"/>
      <w:lvlJc w:val="left"/>
      <w:pPr>
        <w:ind w:left="1788" w:hanging="361"/>
      </w:pPr>
      <w:rPr>
        <w:rFonts w:hint="default"/>
      </w:rPr>
    </w:lvl>
    <w:lvl w:ilvl="5" w:tplc="3F64735C">
      <w:numFmt w:val="bullet"/>
      <w:lvlText w:val="•"/>
      <w:lvlJc w:val="left"/>
      <w:pPr>
        <w:ind w:left="2120" w:hanging="361"/>
      </w:pPr>
      <w:rPr>
        <w:rFonts w:hint="default"/>
      </w:rPr>
    </w:lvl>
    <w:lvl w:ilvl="6" w:tplc="0570F0D6">
      <w:numFmt w:val="bullet"/>
      <w:lvlText w:val="•"/>
      <w:lvlJc w:val="left"/>
      <w:pPr>
        <w:ind w:left="2452" w:hanging="361"/>
      </w:pPr>
      <w:rPr>
        <w:rFonts w:hint="default"/>
      </w:rPr>
    </w:lvl>
    <w:lvl w:ilvl="7" w:tplc="E578EDAA">
      <w:numFmt w:val="bullet"/>
      <w:lvlText w:val="•"/>
      <w:lvlJc w:val="left"/>
      <w:pPr>
        <w:ind w:left="2784" w:hanging="361"/>
      </w:pPr>
      <w:rPr>
        <w:rFonts w:hint="default"/>
      </w:rPr>
    </w:lvl>
    <w:lvl w:ilvl="8" w:tplc="21DEA640">
      <w:numFmt w:val="bullet"/>
      <w:lvlText w:val="•"/>
      <w:lvlJc w:val="left"/>
      <w:pPr>
        <w:ind w:left="3116" w:hanging="361"/>
      </w:pPr>
      <w:rPr>
        <w:rFonts w:hint="default"/>
      </w:rPr>
    </w:lvl>
  </w:abstractNum>
  <w:abstractNum w:abstractNumId="47" w15:restartNumberingAfterBreak="0">
    <w:nsid w:val="55D81421"/>
    <w:multiLevelType w:val="hybridMultilevel"/>
    <w:tmpl w:val="F014C594"/>
    <w:lvl w:ilvl="0" w:tplc="70784764">
      <w:numFmt w:val="bullet"/>
      <w:lvlText w:val="•"/>
      <w:lvlJc w:val="left"/>
      <w:pPr>
        <w:ind w:left="780" w:hanging="277"/>
      </w:pPr>
      <w:rPr>
        <w:rFonts w:ascii="Arial" w:eastAsia="Arial" w:hAnsi="Arial" w:cs="Arial" w:hint="default"/>
        <w:color w:val="001F5F"/>
        <w:w w:val="100"/>
        <w:sz w:val="24"/>
        <w:szCs w:val="24"/>
      </w:rPr>
    </w:lvl>
    <w:lvl w:ilvl="1" w:tplc="18886A22">
      <w:numFmt w:val="bullet"/>
      <w:lvlText w:val="•"/>
      <w:lvlJc w:val="left"/>
      <w:pPr>
        <w:ind w:left="995" w:hanging="277"/>
      </w:pPr>
      <w:rPr>
        <w:rFonts w:hint="default"/>
      </w:rPr>
    </w:lvl>
    <w:lvl w:ilvl="2" w:tplc="331E6836">
      <w:numFmt w:val="bullet"/>
      <w:lvlText w:val="•"/>
      <w:lvlJc w:val="left"/>
      <w:pPr>
        <w:ind w:left="1211" w:hanging="277"/>
      </w:pPr>
      <w:rPr>
        <w:rFonts w:hint="default"/>
      </w:rPr>
    </w:lvl>
    <w:lvl w:ilvl="3" w:tplc="3DE0113C">
      <w:numFmt w:val="bullet"/>
      <w:lvlText w:val="•"/>
      <w:lvlJc w:val="left"/>
      <w:pPr>
        <w:ind w:left="1427" w:hanging="277"/>
      </w:pPr>
      <w:rPr>
        <w:rFonts w:hint="default"/>
      </w:rPr>
    </w:lvl>
    <w:lvl w:ilvl="4" w:tplc="8804AB5A">
      <w:numFmt w:val="bullet"/>
      <w:lvlText w:val="•"/>
      <w:lvlJc w:val="left"/>
      <w:pPr>
        <w:ind w:left="1643" w:hanging="277"/>
      </w:pPr>
      <w:rPr>
        <w:rFonts w:hint="default"/>
      </w:rPr>
    </w:lvl>
    <w:lvl w:ilvl="5" w:tplc="1AA0E708">
      <w:numFmt w:val="bullet"/>
      <w:lvlText w:val="•"/>
      <w:lvlJc w:val="left"/>
      <w:pPr>
        <w:ind w:left="1859" w:hanging="277"/>
      </w:pPr>
      <w:rPr>
        <w:rFonts w:hint="default"/>
      </w:rPr>
    </w:lvl>
    <w:lvl w:ilvl="6" w:tplc="A75E58D2">
      <w:numFmt w:val="bullet"/>
      <w:lvlText w:val="•"/>
      <w:lvlJc w:val="left"/>
      <w:pPr>
        <w:ind w:left="2074" w:hanging="277"/>
      </w:pPr>
      <w:rPr>
        <w:rFonts w:hint="default"/>
      </w:rPr>
    </w:lvl>
    <w:lvl w:ilvl="7" w:tplc="D0701214">
      <w:numFmt w:val="bullet"/>
      <w:lvlText w:val="•"/>
      <w:lvlJc w:val="left"/>
      <w:pPr>
        <w:ind w:left="2290" w:hanging="277"/>
      </w:pPr>
      <w:rPr>
        <w:rFonts w:hint="default"/>
      </w:rPr>
    </w:lvl>
    <w:lvl w:ilvl="8" w:tplc="0A5E0722">
      <w:numFmt w:val="bullet"/>
      <w:lvlText w:val="•"/>
      <w:lvlJc w:val="left"/>
      <w:pPr>
        <w:ind w:left="2506" w:hanging="277"/>
      </w:pPr>
      <w:rPr>
        <w:rFonts w:hint="default"/>
      </w:rPr>
    </w:lvl>
  </w:abstractNum>
  <w:abstractNum w:abstractNumId="48" w15:restartNumberingAfterBreak="0">
    <w:nsid w:val="59111916"/>
    <w:multiLevelType w:val="hybridMultilevel"/>
    <w:tmpl w:val="14D69A3E"/>
    <w:lvl w:ilvl="0" w:tplc="A2A89532">
      <w:numFmt w:val="bullet"/>
      <w:lvlText w:val="•"/>
      <w:lvlJc w:val="left"/>
      <w:pPr>
        <w:ind w:left="468" w:hanging="361"/>
      </w:pPr>
      <w:rPr>
        <w:rFonts w:ascii="Cambria" w:eastAsia="Cambria" w:hAnsi="Cambria" w:cs="Cambria" w:hint="default"/>
        <w:w w:val="100"/>
        <w:sz w:val="22"/>
        <w:szCs w:val="22"/>
      </w:rPr>
    </w:lvl>
    <w:lvl w:ilvl="1" w:tplc="1F1CF0E2">
      <w:numFmt w:val="bullet"/>
      <w:lvlText w:val="•"/>
      <w:lvlJc w:val="left"/>
      <w:pPr>
        <w:ind w:left="765" w:hanging="361"/>
      </w:pPr>
      <w:rPr>
        <w:rFonts w:hint="default"/>
      </w:rPr>
    </w:lvl>
    <w:lvl w:ilvl="2" w:tplc="B29A718E">
      <w:numFmt w:val="bullet"/>
      <w:lvlText w:val="•"/>
      <w:lvlJc w:val="left"/>
      <w:pPr>
        <w:ind w:left="1070" w:hanging="361"/>
      </w:pPr>
      <w:rPr>
        <w:rFonts w:hint="default"/>
      </w:rPr>
    </w:lvl>
    <w:lvl w:ilvl="3" w:tplc="D764C23A">
      <w:numFmt w:val="bullet"/>
      <w:lvlText w:val="•"/>
      <w:lvlJc w:val="left"/>
      <w:pPr>
        <w:ind w:left="1375" w:hanging="361"/>
      </w:pPr>
      <w:rPr>
        <w:rFonts w:hint="default"/>
      </w:rPr>
    </w:lvl>
    <w:lvl w:ilvl="4" w:tplc="D72EC214">
      <w:numFmt w:val="bullet"/>
      <w:lvlText w:val="•"/>
      <w:lvlJc w:val="left"/>
      <w:pPr>
        <w:ind w:left="1680" w:hanging="361"/>
      </w:pPr>
      <w:rPr>
        <w:rFonts w:hint="default"/>
      </w:rPr>
    </w:lvl>
    <w:lvl w:ilvl="5" w:tplc="12F6C224">
      <w:numFmt w:val="bullet"/>
      <w:lvlText w:val="•"/>
      <w:lvlJc w:val="left"/>
      <w:pPr>
        <w:ind w:left="1985" w:hanging="361"/>
      </w:pPr>
      <w:rPr>
        <w:rFonts w:hint="default"/>
      </w:rPr>
    </w:lvl>
    <w:lvl w:ilvl="6" w:tplc="78E0931C">
      <w:numFmt w:val="bullet"/>
      <w:lvlText w:val="•"/>
      <w:lvlJc w:val="left"/>
      <w:pPr>
        <w:ind w:left="2290" w:hanging="361"/>
      </w:pPr>
      <w:rPr>
        <w:rFonts w:hint="default"/>
      </w:rPr>
    </w:lvl>
    <w:lvl w:ilvl="7" w:tplc="3116A9F4">
      <w:numFmt w:val="bullet"/>
      <w:lvlText w:val="•"/>
      <w:lvlJc w:val="left"/>
      <w:pPr>
        <w:ind w:left="2595" w:hanging="361"/>
      </w:pPr>
      <w:rPr>
        <w:rFonts w:hint="default"/>
      </w:rPr>
    </w:lvl>
    <w:lvl w:ilvl="8" w:tplc="80B4FC48">
      <w:numFmt w:val="bullet"/>
      <w:lvlText w:val="•"/>
      <w:lvlJc w:val="left"/>
      <w:pPr>
        <w:ind w:left="2900" w:hanging="361"/>
      </w:pPr>
      <w:rPr>
        <w:rFonts w:hint="default"/>
      </w:rPr>
    </w:lvl>
  </w:abstractNum>
  <w:abstractNum w:abstractNumId="49" w15:restartNumberingAfterBreak="0">
    <w:nsid w:val="5A716841"/>
    <w:multiLevelType w:val="hybridMultilevel"/>
    <w:tmpl w:val="BE44E00A"/>
    <w:lvl w:ilvl="0" w:tplc="94945DD6">
      <w:numFmt w:val="bullet"/>
      <w:lvlText w:val="•"/>
      <w:lvlJc w:val="left"/>
      <w:pPr>
        <w:ind w:left="468" w:hanging="361"/>
      </w:pPr>
      <w:rPr>
        <w:rFonts w:ascii="Cambria" w:eastAsia="Cambria" w:hAnsi="Cambria" w:cs="Cambria" w:hint="default"/>
        <w:w w:val="100"/>
        <w:sz w:val="22"/>
        <w:szCs w:val="22"/>
      </w:rPr>
    </w:lvl>
    <w:lvl w:ilvl="1" w:tplc="41E07E1C">
      <w:numFmt w:val="bullet"/>
      <w:lvlText w:val="•"/>
      <w:lvlJc w:val="left"/>
      <w:pPr>
        <w:ind w:left="806" w:hanging="361"/>
      </w:pPr>
      <w:rPr>
        <w:rFonts w:hint="default"/>
      </w:rPr>
    </w:lvl>
    <w:lvl w:ilvl="2" w:tplc="931E70AA">
      <w:numFmt w:val="bullet"/>
      <w:lvlText w:val="•"/>
      <w:lvlJc w:val="left"/>
      <w:pPr>
        <w:ind w:left="1152" w:hanging="361"/>
      </w:pPr>
      <w:rPr>
        <w:rFonts w:hint="default"/>
      </w:rPr>
    </w:lvl>
    <w:lvl w:ilvl="3" w:tplc="A7A4B8B6">
      <w:numFmt w:val="bullet"/>
      <w:lvlText w:val="•"/>
      <w:lvlJc w:val="left"/>
      <w:pPr>
        <w:ind w:left="1498" w:hanging="361"/>
      </w:pPr>
      <w:rPr>
        <w:rFonts w:hint="default"/>
      </w:rPr>
    </w:lvl>
    <w:lvl w:ilvl="4" w:tplc="8EB63EB2">
      <w:numFmt w:val="bullet"/>
      <w:lvlText w:val="•"/>
      <w:lvlJc w:val="left"/>
      <w:pPr>
        <w:ind w:left="1845" w:hanging="361"/>
      </w:pPr>
      <w:rPr>
        <w:rFonts w:hint="default"/>
      </w:rPr>
    </w:lvl>
    <w:lvl w:ilvl="5" w:tplc="B270EB14">
      <w:numFmt w:val="bullet"/>
      <w:lvlText w:val="•"/>
      <w:lvlJc w:val="left"/>
      <w:pPr>
        <w:ind w:left="2191" w:hanging="361"/>
      </w:pPr>
      <w:rPr>
        <w:rFonts w:hint="default"/>
      </w:rPr>
    </w:lvl>
    <w:lvl w:ilvl="6" w:tplc="0FF0C7A0">
      <w:numFmt w:val="bullet"/>
      <w:lvlText w:val="•"/>
      <w:lvlJc w:val="left"/>
      <w:pPr>
        <w:ind w:left="2537" w:hanging="361"/>
      </w:pPr>
      <w:rPr>
        <w:rFonts w:hint="default"/>
      </w:rPr>
    </w:lvl>
    <w:lvl w:ilvl="7" w:tplc="CAA0DA5A">
      <w:numFmt w:val="bullet"/>
      <w:lvlText w:val="•"/>
      <w:lvlJc w:val="left"/>
      <w:pPr>
        <w:ind w:left="2884" w:hanging="361"/>
      </w:pPr>
      <w:rPr>
        <w:rFonts w:hint="default"/>
      </w:rPr>
    </w:lvl>
    <w:lvl w:ilvl="8" w:tplc="70CA911E">
      <w:numFmt w:val="bullet"/>
      <w:lvlText w:val="•"/>
      <w:lvlJc w:val="left"/>
      <w:pPr>
        <w:ind w:left="3230" w:hanging="361"/>
      </w:pPr>
      <w:rPr>
        <w:rFonts w:hint="default"/>
      </w:rPr>
    </w:lvl>
  </w:abstractNum>
  <w:abstractNum w:abstractNumId="50" w15:restartNumberingAfterBreak="0">
    <w:nsid w:val="5ADD1B86"/>
    <w:multiLevelType w:val="hybridMultilevel"/>
    <w:tmpl w:val="29CE1F4E"/>
    <w:lvl w:ilvl="0" w:tplc="47F4DDBE">
      <w:numFmt w:val="bullet"/>
      <w:lvlText w:val="•"/>
      <w:lvlJc w:val="left"/>
      <w:pPr>
        <w:ind w:left="503" w:hanging="361"/>
      </w:pPr>
      <w:rPr>
        <w:rFonts w:ascii="Cambria" w:eastAsia="Cambria" w:hAnsi="Cambria" w:cs="Cambria" w:hint="default"/>
        <w:w w:val="100"/>
        <w:sz w:val="22"/>
        <w:szCs w:val="22"/>
      </w:rPr>
    </w:lvl>
    <w:lvl w:ilvl="1" w:tplc="5B1E1C7E">
      <w:numFmt w:val="bullet"/>
      <w:lvlText w:val="-"/>
      <w:lvlJc w:val="left"/>
      <w:pPr>
        <w:ind w:left="1223" w:hanging="360"/>
      </w:pPr>
      <w:rPr>
        <w:rFonts w:ascii="Cambria" w:eastAsia="Cambria" w:hAnsi="Cambria" w:cs="Cambria" w:hint="default"/>
        <w:w w:val="100"/>
        <w:sz w:val="22"/>
        <w:szCs w:val="22"/>
      </w:rPr>
    </w:lvl>
    <w:lvl w:ilvl="2" w:tplc="635E6DDC">
      <w:numFmt w:val="bullet"/>
      <w:lvlText w:val="•"/>
      <w:lvlJc w:val="left"/>
      <w:pPr>
        <w:ind w:left="2096" w:hanging="360"/>
      </w:pPr>
      <w:rPr>
        <w:rFonts w:hint="default"/>
      </w:rPr>
    </w:lvl>
    <w:lvl w:ilvl="3" w:tplc="03CCFF36">
      <w:numFmt w:val="bullet"/>
      <w:lvlText w:val="•"/>
      <w:lvlJc w:val="left"/>
      <w:pPr>
        <w:ind w:left="2972" w:hanging="360"/>
      </w:pPr>
      <w:rPr>
        <w:rFonts w:hint="default"/>
      </w:rPr>
    </w:lvl>
    <w:lvl w:ilvl="4" w:tplc="76FE90F6">
      <w:numFmt w:val="bullet"/>
      <w:lvlText w:val="•"/>
      <w:lvlJc w:val="left"/>
      <w:pPr>
        <w:ind w:left="3849" w:hanging="360"/>
      </w:pPr>
      <w:rPr>
        <w:rFonts w:hint="default"/>
      </w:rPr>
    </w:lvl>
    <w:lvl w:ilvl="5" w:tplc="9974A358">
      <w:numFmt w:val="bullet"/>
      <w:lvlText w:val="•"/>
      <w:lvlJc w:val="left"/>
      <w:pPr>
        <w:ind w:left="4725" w:hanging="360"/>
      </w:pPr>
      <w:rPr>
        <w:rFonts w:hint="default"/>
      </w:rPr>
    </w:lvl>
    <w:lvl w:ilvl="6" w:tplc="D3085EDA">
      <w:numFmt w:val="bullet"/>
      <w:lvlText w:val="•"/>
      <w:lvlJc w:val="left"/>
      <w:pPr>
        <w:ind w:left="5601" w:hanging="360"/>
      </w:pPr>
      <w:rPr>
        <w:rFonts w:hint="default"/>
      </w:rPr>
    </w:lvl>
    <w:lvl w:ilvl="7" w:tplc="2EC6A9AC">
      <w:numFmt w:val="bullet"/>
      <w:lvlText w:val="•"/>
      <w:lvlJc w:val="left"/>
      <w:pPr>
        <w:ind w:left="6478" w:hanging="360"/>
      </w:pPr>
      <w:rPr>
        <w:rFonts w:hint="default"/>
      </w:rPr>
    </w:lvl>
    <w:lvl w:ilvl="8" w:tplc="DF22C3D8">
      <w:numFmt w:val="bullet"/>
      <w:lvlText w:val="•"/>
      <w:lvlJc w:val="left"/>
      <w:pPr>
        <w:ind w:left="7354" w:hanging="360"/>
      </w:pPr>
      <w:rPr>
        <w:rFonts w:hint="default"/>
      </w:rPr>
    </w:lvl>
  </w:abstractNum>
  <w:abstractNum w:abstractNumId="51" w15:restartNumberingAfterBreak="0">
    <w:nsid w:val="5D914086"/>
    <w:multiLevelType w:val="hybridMultilevel"/>
    <w:tmpl w:val="35963D76"/>
    <w:lvl w:ilvl="0" w:tplc="23BE818C">
      <w:numFmt w:val="bullet"/>
      <w:lvlText w:val="•"/>
      <w:lvlJc w:val="left"/>
      <w:pPr>
        <w:ind w:left="468" w:hanging="361"/>
      </w:pPr>
      <w:rPr>
        <w:rFonts w:ascii="Cambria" w:eastAsia="Cambria" w:hAnsi="Cambria" w:cs="Cambria" w:hint="default"/>
        <w:w w:val="100"/>
        <w:sz w:val="22"/>
        <w:szCs w:val="22"/>
      </w:rPr>
    </w:lvl>
    <w:lvl w:ilvl="1" w:tplc="65F49F3C">
      <w:numFmt w:val="bullet"/>
      <w:lvlText w:val="•"/>
      <w:lvlJc w:val="left"/>
      <w:pPr>
        <w:ind w:left="763" w:hanging="361"/>
      </w:pPr>
      <w:rPr>
        <w:rFonts w:hint="default"/>
      </w:rPr>
    </w:lvl>
    <w:lvl w:ilvl="2" w:tplc="4A74B016">
      <w:numFmt w:val="bullet"/>
      <w:lvlText w:val="•"/>
      <w:lvlJc w:val="left"/>
      <w:pPr>
        <w:ind w:left="1067" w:hanging="361"/>
      </w:pPr>
      <w:rPr>
        <w:rFonts w:hint="default"/>
      </w:rPr>
    </w:lvl>
    <w:lvl w:ilvl="3" w:tplc="B5BA2F68">
      <w:numFmt w:val="bullet"/>
      <w:lvlText w:val="•"/>
      <w:lvlJc w:val="left"/>
      <w:pPr>
        <w:ind w:left="1370" w:hanging="361"/>
      </w:pPr>
      <w:rPr>
        <w:rFonts w:hint="default"/>
      </w:rPr>
    </w:lvl>
    <w:lvl w:ilvl="4" w:tplc="FF8072F2">
      <w:numFmt w:val="bullet"/>
      <w:lvlText w:val="•"/>
      <w:lvlJc w:val="left"/>
      <w:pPr>
        <w:ind w:left="1674" w:hanging="361"/>
      </w:pPr>
      <w:rPr>
        <w:rFonts w:hint="default"/>
      </w:rPr>
    </w:lvl>
    <w:lvl w:ilvl="5" w:tplc="173CAE64">
      <w:numFmt w:val="bullet"/>
      <w:lvlText w:val="•"/>
      <w:lvlJc w:val="left"/>
      <w:pPr>
        <w:ind w:left="1978" w:hanging="361"/>
      </w:pPr>
      <w:rPr>
        <w:rFonts w:hint="default"/>
      </w:rPr>
    </w:lvl>
    <w:lvl w:ilvl="6" w:tplc="CA8C095E">
      <w:numFmt w:val="bullet"/>
      <w:lvlText w:val="•"/>
      <w:lvlJc w:val="left"/>
      <w:pPr>
        <w:ind w:left="2281" w:hanging="361"/>
      </w:pPr>
      <w:rPr>
        <w:rFonts w:hint="default"/>
      </w:rPr>
    </w:lvl>
    <w:lvl w:ilvl="7" w:tplc="D8222324">
      <w:numFmt w:val="bullet"/>
      <w:lvlText w:val="•"/>
      <w:lvlJc w:val="left"/>
      <w:pPr>
        <w:ind w:left="2585" w:hanging="361"/>
      </w:pPr>
      <w:rPr>
        <w:rFonts w:hint="default"/>
      </w:rPr>
    </w:lvl>
    <w:lvl w:ilvl="8" w:tplc="A470C6EA">
      <w:numFmt w:val="bullet"/>
      <w:lvlText w:val="•"/>
      <w:lvlJc w:val="left"/>
      <w:pPr>
        <w:ind w:left="2888" w:hanging="361"/>
      </w:pPr>
      <w:rPr>
        <w:rFonts w:hint="default"/>
      </w:rPr>
    </w:lvl>
  </w:abstractNum>
  <w:abstractNum w:abstractNumId="52" w15:restartNumberingAfterBreak="0">
    <w:nsid w:val="5E5069C1"/>
    <w:multiLevelType w:val="hybridMultilevel"/>
    <w:tmpl w:val="B79EB6B0"/>
    <w:lvl w:ilvl="0" w:tplc="F092B79A">
      <w:numFmt w:val="bullet"/>
      <w:lvlText w:val="•"/>
      <w:lvlJc w:val="left"/>
      <w:pPr>
        <w:ind w:left="504" w:hanging="361"/>
      </w:pPr>
      <w:rPr>
        <w:rFonts w:ascii="Cambria" w:eastAsia="Cambria" w:hAnsi="Cambria" w:cs="Cambria" w:hint="default"/>
        <w:w w:val="100"/>
        <w:sz w:val="22"/>
        <w:szCs w:val="22"/>
      </w:rPr>
    </w:lvl>
    <w:lvl w:ilvl="1" w:tplc="0DA497F8">
      <w:numFmt w:val="bullet"/>
      <w:lvlText w:val="•"/>
      <w:lvlJc w:val="left"/>
      <w:pPr>
        <w:ind w:left="1389" w:hanging="361"/>
      </w:pPr>
      <w:rPr>
        <w:rFonts w:hint="default"/>
      </w:rPr>
    </w:lvl>
    <w:lvl w:ilvl="2" w:tplc="6FC69274">
      <w:numFmt w:val="bullet"/>
      <w:lvlText w:val="•"/>
      <w:lvlJc w:val="left"/>
      <w:pPr>
        <w:ind w:left="2279" w:hanging="361"/>
      </w:pPr>
      <w:rPr>
        <w:rFonts w:hint="default"/>
      </w:rPr>
    </w:lvl>
    <w:lvl w:ilvl="3" w:tplc="E0968DE4">
      <w:numFmt w:val="bullet"/>
      <w:lvlText w:val="•"/>
      <w:lvlJc w:val="left"/>
      <w:pPr>
        <w:ind w:left="3169" w:hanging="361"/>
      </w:pPr>
      <w:rPr>
        <w:rFonts w:hint="default"/>
      </w:rPr>
    </w:lvl>
    <w:lvl w:ilvl="4" w:tplc="019E5EA6">
      <w:numFmt w:val="bullet"/>
      <w:lvlText w:val="•"/>
      <w:lvlJc w:val="left"/>
      <w:pPr>
        <w:ind w:left="4059" w:hanging="361"/>
      </w:pPr>
      <w:rPr>
        <w:rFonts w:hint="default"/>
      </w:rPr>
    </w:lvl>
    <w:lvl w:ilvl="5" w:tplc="8B04B662">
      <w:numFmt w:val="bullet"/>
      <w:lvlText w:val="•"/>
      <w:lvlJc w:val="left"/>
      <w:pPr>
        <w:ind w:left="4949" w:hanging="361"/>
      </w:pPr>
      <w:rPr>
        <w:rFonts w:hint="default"/>
      </w:rPr>
    </w:lvl>
    <w:lvl w:ilvl="6" w:tplc="7F008334">
      <w:numFmt w:val="bullet"/>
      <w:lvlText w:val="•"/>
      <w:lvlJc w:val="left"/>
      <w:pPr>
        <w:ind w:left="5838" w:hanging="361"/>
      </w:pPr>
      <w:rPr>
        <w:rFonts w:hint="default"/>
      </w:rPr>
    </w:lvl>
    <w:lvl w:ilvl="7" w:tplc="C8863678">
      <w:numFmt w:val="bullet"/>
      <w:lvlText w:val="•"/>
      <w:lvlJc w:val="left"/>
      <w:pPr>
        <w:ind w:left="6728" w:hanging="361"/>
      </w:pPr>
      <w:rPr>
        <w:rFonts w:hint="default"/>
      </w:rPr>
    </w:lvl>
    <w:lvl w:ilvl="8" w:tplc="FC5CDEBA">
      <w:numFmt w:val="bullet"/>
      <w:lvlText w:val="•"/>
      <w:lvlJc w:val="left"/>
      <w:pPr>
        <w:ind w:left="7618" w:hanging="361"/>
      </w:pPr>
      <w:rPr>
        <w:rFonts w:hint="default"/>
      </w:rPr>
    </w:lvl>
  </w:abstractNum>
  <w:abstractNum w:abstractNumId="53" w15:restartNumberingAfterBreak="0">
    <w:nsid w:val="60DF0461"/>
    <w:multiLevelType w:val="hybridMultilevel"/>
    <w:tmpl w:val="376EE74A"/>
    <w:lvl w:ilvl="0" w:tplc="832C9174">
      <w:numFmt w:val="bullet"/>
      <w:lvlText w:val="•"/>
      <w:lvlJc w:val="left"/>
      <w:pPr>
        <w:ind w:left="468" w:hanging="361"/>
      </w:pPr>
      <w:rPr>
        <w:rFonts w:ascii="Cambria" w:eastAsia="Cambria" w:hAnsi="Cambria" w:cs="Cambria" w:hint="default"/>
        <w:w w:val="100"/>
        <w:sz w:val="22"/>
        <w:szCs w:val="22"/>
      </w:rPr>
    </w:lvl>
    <w:lvl w:ilvl="1" w:tplc="7FA6A29E">
      <w:numFmt w:val="bullet"/>
      <w:lvlText w:val="•"/>
      <w:lvlJc w:val="left"/>
      <w:pPr>
        <w:ind w:left="792" w:hanging="361"/>
      </w:pPr>
      <w:rPr>
        <w:rFonts w:hint="default"/>
      </w:rPr>
    </w:lvl>
    <w:lvl w:ilvl="2" w:tplc="2388A204">
      <w:numFmt w:val="bullet"/>
      <w:lvlText w:val="•"/>
      <w:lvlJc w:val="left"/>
      <w:pPr>
        <w:ind w:left="1124" w:hanging="361"/>
      </w:pPr>
      <w:rPr>
        <w:rFonts w:hint="default"/>
      </w:rPr>
    </w:lvl>
    <w:lvl w:ilvl="3" w:tplc="251A998E">
      <w:numFmt w:val="bullet"/>
      <w:lvlText w:val="•"/>
      <w:lvlJc w:val="left"/>
      <w:pPr>
        <w:ind w:left="1456" w:hanging="361"/>
      </w:pPr>
      <w:rPr>
        <w:rFonts w:hint="default"/>
      </w:rPr>
    </w:lvl>
    <w:lvl w:ilvl="4" w:tplc="89FE7686">
      <w:numFmt w:val="bullet"/>
      <w:lvlText w:val="•"/>
      <w:lvlJc w:val="left"/>
      <w:pPr>
        <w:ind w:left="1788" w:hanging="361"/>
      </w:pPr>
      <w:rPr>
        <w:rFonts w:hint="default"/>
      </w:rPr>
    </w:lvl>
    <w:lvl w:ilvl="5" w:tplc="9468E954">
      <w:numFmt w:val="bullet"/>
      <w:lvlText w:val="•"/>
      <w:lvlJc w:val="left"/>
      <w:pPr>
        <w:ind w:left="2120" w:hanging="361"/>
      </w:pPr>
      <w:rPr>
        <w:rFonts w:hint="default"/>
      </w:rPr>
    </w:lvl>
    <w:lvl w:ilvl="6" w:tplc="B7C0B930">
      <w:numFmt w:val="bullet"/>
      <w:lvlText w:val="•"/>
      <w:lvlJc w:val="left"/>
      <w:pPr>
        <w:ind w:left="2452" w:hanging="361"/>
      </w:pPr>
      <w:rPr>
        <w:rFonts w:hint="default"/>
      </w:rPr>
    </w:lvl>
    <w:lvl w:ilvl="7" w:tplc="FB522624">
      <w:numFmt w:val="bullet"/>
      <w:lvlText w:val="•"/>
      <w:lvlJc w:val="left"/>
      <w:pPr>
        <w:ind w:left="2784" w:hanging="361"/>
      </w:pPr>
      <w:rPr>
        <w:rFonts w:hint="default"/>
      </w:rPr>
    </w:lvl>
    <w:lvl w:ilvl="8" w:tplc="7EAAB240">
      <w:numFmt w:val="bullet"/>
      <w:lvlText w:val="•"/>
      <w:lvlJc w:val="left"/>
      <w:pPr>
        <w:ind w:left="3116" w:hanging="361"/>
      </w:pPr>
      <w:rPr>
        <w:rFonts w:hint="default"/>
      </w:rPr>
    </w:lvl>
  </w:abstractNum>
  <w:abstractNum w:abstractNumId="54" w15:restartNumberingAfterBreak="0">
    <w:nsid w:val="62290E5A"/>
    <w:multiLevelType w:val="hybridMultilevel"/>
    <w:tmpl w:val="A52C28BC"/>
    <w:lvl w:ilvl="0" w:tplc="2D7A0502">
      <w:numFmt w:val="bullet"/>
      <w:lvlText w:val=""/>
      <w:lvlJc w:val="left"/>
      <w:pPr>
        <w:ind w:left="558" w:hanging="361"/>
      </w:pPr>
      <w:rPr>
        <w:rFonts w:ascii="Symbol" w:eastAsia="Symbol" w:hAnsi="Symbol" w:cs="Symbol" w:hint="default"/>
        <w:w w:val="100"/>
        <w:sz w:val="22"/>
        <w:szCs w:val="22"/>
      </w:rPr>
    </w:lvl>
    <w:lvl w:ilvl="1" w:tplc="75B4DA26">
      <w:numFmt w:val="bullet"/>
      <w:lvlText w:val="•"/>
      <w:lvlJc w:val="left"/>
      <w:pPr>
        <w:ind w:left="1490" w:hanging="361"/>
      </w:pPr>
      <w:rPr>
        <w:rFonts w:hint="default"/>
      </w:rPr>
    </w:lvl>
    <w:lvl w:ilvl="2" w:tplc="A0EC164C">
      <w:numFmt w:val="bullet"/>
      <w:lvlText w:val="•"/>
      <w:lvlJc w:val="left"/>
      <w:pPr>
        <w:ind w:left="2421" w:hanging="361"/>
      </w:pPr>
      <w:rPr>
        <w:rFonts w:hint="default"/>
      </w:rPr>
    </w:lvl>
    <w:lvl w:ilvl="3" w:tplc="A10E26FE">
      <w:numFmt w:val="bullet"/>
      <w:lvlText w:val="•"/>
      <w:lvlJc w:val="left"/>
      <w:pPr>
        <w:ind w:left="3351" w:hanging="361"/>
      </w:pPr>
      <w:rPr>
        <w:rFonts w:hint="default"/>
      </w:rPr>
    </w:lvl>
    <w:lvl w:ilvl="4" w:tplc="336C32FA">
      <w:numFmt w:val="bullet"/>
      <w:lvlText w:val="•"/>
      <w:lvlJc w:val="left"/>
      <w:pPr>
        <w:ind w:left="4282" w:hanging="361"/>
      </w:pPr>
      <w:rPr>
        <w:rFonts w:hint="default"/>
      </w:rPr>
    </w:lvl>
    <w:lvl w:ilvl="5" w:tplc="13C852AE">
      <w:numFmt w:val="bullet"/>
      <w:lvlText w:val="•"/>
      <w:lvlJc w:val="left"/>
      <w:pPr>
        <w:ind w:left="5213" w:hanging="361"/>
      </w:pPr>
      <w:rPr>
        <w:rFonts w:hint="default"/>
      </w:rPr>
    </w:lvl>
    <w:lvl w:ilvl="6" w:tplc="2F3A1AA8">
      <w:numFmt w:val="bullet"/>
      <w:lvlText w:val="•"/>
      <w:lvlJc w:val="left"/>
      <w:pPr>
        <w:ind w:left="6143" w:hanging="361"/>
      </w:pPr>
      <w:rPr>
        <w:rFonts w:hint="default"/>
      </w:rPr>
    </w:lvl>
    <w:lvl w:ilvl="7" w:tplc="EA4A97BC">
      <w:numFmt w:val="bullet"/>
      <w:lvlText w:val="•"/>
      <w:lvlJc w:val="left"/>
      <w:pPr>
        <w:ind w:left="7074" w:hanging="361"/>
      </w:pPr>
      <w:rPr>
        <w:rFonts w:hint="default"/>
      </w:rPr>
    </w:lvl>
    <w:lvl w:ilvl="8" w:tplc="923CAFEA">
      <w:numFmt w:val="bullet"/>
      <w:lvlText w:val="•"/>
      <w:lvlJc w:val="left"/>
      <w:pPr>
        <w:ind w:left="8005" w:hanging="361"/>
      </w:pPr>
      <w:rPr>
        <w:rFonts w:hint="default"/>
      </w:rPr>
    </w:lvl>
  </w:abstractNum>
  <w:abstractNum w:abstractNumId="55" w15:restartNumberingAfterBreak="0">
    <w:nsid w:val="63836F89"/>
    <w:multiLevelType w:val="hybridMultilevel"/>
    <w:tmpl w:val="58CAA13A"/>
    <w:lvl w:ilvl="0" w:tplc="AD52A6BC">
      <w:numFmt w:val="bullet"/>
      <w:lvlText w:val="•"/>
      <w:lvlJc w:val="left"/>
      <w:pPr>
        <w:ind w:left="465" w:hanging="361"/>
      </w:pPr>
      <w:rPr>
        <w:rFonts w:ascii="Cambria" w:eastAsia="Cambria" w:hAnsi="Cambria" w:cs="Cambria" w:hint="default"/>
        <w:w w:val="100"/>
        <w:sz w:val="22"/>
        <w:szCs w:val="22"/>
      </w:rPr>
    </w:lvl>
    <w:lvl w:ilvl="1" w:tplc="E95CF250">
      <w:numFmt w:val="bullet"/>
      <w:lvlText w:val="•"/>
      <w:lvlJc w:val="left"/>
      <w:pPr>
        <w:ind w:left="779" w:hanging="361"/>
      </w:pPr>
      <w:rPr>
        <w:rFonts w:hint="default"/>
      </w:rPr>
    </w:lvl>
    <w:lvl w:ilvl="2" w:tplc="A3E052A8">
      <w:numFmt w:val="bullet"/>
      <w:lvlText w:val="•"/>
      <w:lvlJc w:val="left"/>
      <w:pPr>
        <w:ind w:left="1098" w:hanging="361"/>
      </w:pPr>
      <w:rPr>
        <w:rFonts w:hint="default"/>
      </w:rPr>
    </w:lvl>
    <w:lvl w:ilvl="3" w:tplc="83FCF51A">
      <w:numFmt w:val="bullet"/>
      <w:lvlText w:val="•"/>
      <w:lvlJc w:val="left"/>
      <w:pPr>
        <w:ind w:left="1417" w:hanging="361"/>
      </w:pPr>
      <w:rPr>
        <w:rFonts w:hint="default"/>
      </w:rPr>
    </w:lvl>
    <w:lvl w:ilvl="4" w:tplc="8332BAF4">
      <w:numFmt w:val="bullet"/>
      <w:lvlText w:val="•"/>
      <w:lvlJc w:val="left"/>
      <w:pPr>
        <w:ind w:left="1736" w:hanging="361"/>
      </w:pPr>
      <w:rPr>
        <w:rFonts w:hint="default"/>
      </w:rPr>
    </w:lvl>
    <w:lvl w:ilvl="5" w:tplc="9BC0866A">
      <w:numFmt w:val="bullet"/>
      <w:lvlText w:val="•"/>
      <w:lvlJc w:val="left"/>
      <w:pPr>
        <w:ind w:left="2056" w:hanging="361"/>
      </w:pPr>
      <w:rPr>
        <w:rFonts w:hint="default"/>
      </w:rPr>
    </w:lvl>
    <w:lvl w:ilvl="6" w:tplc="EFBC7E3A">
      <w:numFmt w:val="bullet"/>
      <w:lvlText w:val="•"/>
      <w:lvlJc w:val="left"/>
      <w:pPr>
        <w:ind w:left="2375" w:hanging="361"/>
      </w:pPr>
      <w:rPr>
        <w:rFonts w:hint="default"/>
      </w:rPr>
    </w:lvl>
    <w:lvl w:ilvl="7" w:tplc="0A0261EC">
      <w:numFmt w:val="bullet"/>
      <w:lvlText w:val="•"/>
      <w:lvlJc w:val="left"/>
      <w:pPr>
        <w:ind w:left="2694" w:hanging="361"/>
      </w:pPr>
      <w:rPr>
        <w:rFonts w:hint="default"/>
      </w:rPr>
    </w:lvl>
    <w:lvl w:ilvl="8" w:tplc="09508646">
      <w:numFmt w:val="bullet"/>
      <w:lvlText w:val="•"/>
      <w:lvlJc w:val="left"/>
      <w:pPr>
        <w:ind w:left="3013" w:hanging="361"/>
      </w:pPr>
      <w:rPr>
        <w:rFonts w:hint="default"/>
      </w:rPr>
    </w:lvl>
  </w:abstractNum>
  <w:abstractNum w:abstractNumId="56" w15:restartNumberingAfterBreak="0">
    <w:nsid w:val="63992809"/>
    <w:multiLevelType w:val="hybridMultilevel"/>
    <w:tmpl w:val="18B65E2A"/>
    <w:lvl w:ilvl="0" w:tplc="04125F34">
      <w:numFmt w:val="bullet"/>
      <w:lvlText w:val="•"/>
      <w:lvlJc w:val="left"/>
      <w:pPr>
        <w:ind w:left="468" w:hanging="361"/>
      </w:pPr>
      <w:rPr>
        <w:rFonts w:ascii="Cambria" w:eastAsia="Cambria" w:hAnsi="Cambria" w:cs="Cambria" w:hint="default"/>
        <w:w w:val="100"/>
        <w:sz w:val="22"/>
        <w:szCs w:val="22"/>
      </w:rPr>
    </w:lvl>
    <w:lvl w:ilvl="1" w:tplc="B74A37CA">
      <w:numFmt w:val="bullet"/>
      <w:lvlText w:val="•"/>
      <w:lvlJc w:val="left"/>
      <w:pPr>
        <w:ind w:left="778" w:hanging="361"/>
      </w:pPr>
      <w:rPr>
        <w:rFonts w:hint="default"/>
      </w:rPr>
    </w:lvl>
    <w:lvl w:ilvl="2" w:tplc="A0DA6FD2">
      <w:numFmt w:val="bullet"/>
      <w:lvlText w:val="•"/>
      <w:lvlJc w:val="left"/>
      <w:pPr>
        <w:ind w:left="1096" w:hanging="361"/>
      </w:pPr>
      <w:rPr>
        <w:rFonts w:hint="default"/>
      </w:rPr>
    </w:lvl>
    <w:lvl w:ilvl="3" w:tplc="5BD46412">
      <w:numFmt w:val="bullet"/>
      <w:lvlText w:val="•"/>
      <w:lvlJc w:val="left"/>
      <w:pPr>
        <w:ind w:left="1414" w:hanging="361"/>
      </w:pPr>
      <w:rPr>
        <w:rFonts w:hint="default"/>
      </w:rPr>
    </w:lvl>
    <w:lvl w:ilvl="4" w:tplc="A3A0C236">
      <w:numFmt w:val="bullet"/>
      <w:lvlText w:val="•"/>
      <w:lvlJc w:val="left"/>
      <w:pPr>
        <w:ind w:left="1732" w:hanging="361"/>
      </w:pPr>
      <w:rPr>
        <w:rFonts w:hint="default"/>
      </w:rPr>
    </w:lvl>
    <w:lvl w:ilvl="5" w:tplc="1DB4DDDA">
      <w:numFmt w:val="bullet"/>
      <w:lvlText w:val="•"/>
      <w:lvlJc w:val="left"/>
      <w:pPr>
        <w:ind w:left="2050" w:hanging="361"/>
      </w:pPr>
      <w:rPr>
        <w:rFonts w:hint="default"/>
      </w:rPr>
    </w:lvl>
    <w:lvl w:ilvl="6" w:tplc="B7ACD566">
      <w:numFmt w:val="bullet"/>
      <w:lvlText w:val="•"/>
      <w:lvlJc w:val="left"/>
      <w:pPr>
        <w:ind w:left="2368" w:hanging="361"/>
      </w:pPr>
      <w:rPr>
        <w:rFonts w:hint="default"/>
      </w:rPr>
    </w:lvl>
    <w:lvl w:ilvl="7" w:tplc="2E283F82">
      <w:numFmt w:val="bullet"/>
      <w:lvlText w:val="•"/>
      <w:lvlJc w:val="left"/>
      <w:pPr>
        <w:ind w:left="2686" w:hanging="361"/>
      </w:pPr>
      <w:rPr>
        <w:rFonts w:hint="default"/>
      </w:rPr>
    </w:lvl>
    <w:lvl w:ilvl="8" w:tplc="E05E1AA8">
      <w:numFmt w:val="bullet"/>
      <w:lvlText w:val="•"/>
      <w:lvlJc w:val="left"/>
      <w:pPr>
        <w:ind w:left="3004" w:hanging="361"/>
      </w:pPr>
      <w:rPr>
        <w:rFonts w:hint="default"/>
      </w:rPr>
    </w:lvl>
  </w:abstractNum>
  <w:abstractNum w:abstractNumId="57" w15:restartNumberingAfterBreak="0">
    <w:nsid w:val="64E16303"/>
    <w:multiLevelType w:val="hybridMultilevel"/>
    <w:tmpl w:val="8A88E44E"/>
    <w:lvl w:ilvl="0" w:tplc="4748005C">
      <w:numFmt w:val="bullet"/>
      <w:lvlText w:val="•"/>
      <w:lvlJc w:val="left"/>
      <w:pPr>
        <w:ind w:left="468" w:hanging="361"/>
      </w:pPr>
      <w:rPr>
        <w:rFonts w:ascii="Cambria" w:eastAsia="Cambria" w:hAnsi="Cambria" w:cs="Cambria" w:hint="default"/>
        <w:w w:val="100"/>
        <w:sz w:val="22"/>
        <w:szCs w:val="22"/>
      </w:rPr>
    </w:lvl>
    <w:lvl w:ilvl="1" w:tplc="03567836">
      <w:numFmt w:val="bullet"/>
      <w:lvlText w:val="•"/>
      <w:lvlJc w:val="left"/>
      <w:pPr>
        <w:ind w:left="793" w:hanging="361"/>
      </w:pPr>
      <w:rPr>
        <w:rFonts w:hint="default"/>
      </w:rPr>
    </w:lvl>
    <w:lvl w:ilvl="2" w:tplc="4C2A51CC">
      <w:numFmt w:val="bullet"/>
      <w:lvlText w:val="•"/>
      <w:lvlJc w:val="left"/>
      <w:pPr>
        <w:ind w:left="1127" w:hanging="361"/>
      </w:pPr>
      <w:rPr>
        <w:rFonts w:hint="default"/>
      </w:rPr>
    </w:lvl>
    <w:lvl w:ilvl="3" w:tplc="528AD090">
      <w:numFmt w:val="bullet"/>
      <w:lvlText w:val="•"/>
      <w:lvlJc w:val="left"/>
      <w:pPr>
        <w:ind w:left="1460" w:hanging="361"/>
      </w:pPr>
      <w:rPr>
        <w:rFonts w:hint="default"/>
      </w:rPr>
    </w:lvl>
    <w:lvl w:ilvl="4" w:tplc="A39C1FB2">
      <w:numFmt w:val="bullet"/>
      <w:lvlText w:val="•"/>
      <w:lvlJc w:val="left"/>
      <w:pPr>
        <w:ind w:left="1794" w:hanging="361"/>
      </w:pPr>
      <w:rPr>
        <w:rFonts w:hint="default"/>
      </w:rPr>
    </w:lvl>
    <w:lvl w:ilvl="5" w:tplc="32CC117E">
      <w:numFmt w:val="bullet"/>
      <w:lvlText w:val="•"/>
      <w:lvlJc w:val="left"/>
      <w:pPr>
        <w:ind w:left="2128" w:hanging="361"/>
      </w:pPr>
      <w:rPr>
        <w:rFonts w:hint="default"/>
      </w:rPr>
    </w:lvl>
    <w:lvl w:ilvl="6" w:tplc="8DAC6C6E">
      <w:numFmt w:val="bullet"/>
      <w:lvlText w:val="•"/>
      <w:lvlJc w:val="left"/>
      <w:pPr>
        <w:ind w:left="2461" w:hanging="361"/>
      </w:pPr>
      <w:rPr>
        <w:rFonts w:hint="default"/>
      </w:rPr>
    </w:lvl>
    <w:lvl w:ilvl="7" w:tplc="522611BE">
      <w:numFmt w:val="bullet"/>
      <w:lvlText w:val="•"/>
      <w:lvlJc w:val="left"/>
      <w:pPr>
        <w:ind w:left="2795" w:hanging="361"/>
      </w:pPr>
      <w:rPr>
        <w:rFonts w:hint="default"/>
      </w:rPr>
    </w:lvl>
    <w:lvl w:ilvl="8" w:tplc="EDD6D81E">
      <w:numFmt w:val="bullet"/>
      <w:lvlText w:val="•"/>
      <w:lvlJc w:val="left"/>
      <w:pPr>
        <w:ind w:left="3128" w:hanging="361"/>
      </w:pPr>
      <w:rPr>
        <w:rFonts w:hint="default"/>
      </w:rPr>
    </w:lvl>
  </w:abstractNum>
  <w:abstractNum w:abstractNumId="58" w15:restartNumberingAfterBreak="0">
    <w:nsid w:val="656F1020"/>
    <w:multiLevelType w:val="hybridMultilevel"/>
    <w:tmpl w:val="94C6D616"/>
    <w:lvl w:ilvl="0" w:tplc="A2A05AB6">
      <w:numFmt w:val="bullet"/>
      <w:lvlText w:val="•"/>
      <w:lvlJc w:val="left"/>
      <w:pPr>
        <w:ind w:left="556" w:hanging="361"/>
      </w:pPr>
      <w:rPr>
        <w:rFonts w:hint="default"/>
        <w:w w:val="100"/>
      </w:rPr>
    </w:lvl>
    <w:lvl w:ilvl="1" w:tplc="4EC66BF2">
      <w:numFmt w:val="bullet"/>
      <w:lvlText w:val="-"/>
      <w:lvlJc w:val="left"/>
      <w:pPr>
        <w:ind w:left="1278" w:hanging="360"/>
      </w:pPr>
      <w:rPr>
        <w:rFonts w:ascii="Cambria" w:eastAsia="Cambria" w:hAnsi="Cambria" w:cs="Cambria" w:hint="default"/>
        <w:w w:val="100"/>
        <w:sz w:val="22"/>
        <w:szCs w:val="22"/>
      </w:rPr>
    </w:lvl>
    <w:lvl w:ilvl="2" w:tplc="9A088DBE">
      <w:numFmt w:val="bullet"/>
      <w:lvlText w:val="▪"/>
      <w:lvlJc w:val="left"/>
      <w:pPr>
        <w:ind w:left="1818" w:hanging="409"/>
      </w:pPr>
      <w:rPr>
        <w:rFonts w:ascii="Arial" w:eastAsia="Arial" w:hAnsi="Arial" w:cs="Arial" w:hint="default"/>
        <w:w w:val="100"/>
        <w:sz w:val="22"/>
        <w:szCs w:val="22"/>
      </w:rPr>
    </w:lvl>
    <w:lvl w:ilvl="3" w:tplc="3D8C8646">
      <w:numFmt w:val="bullet"/>
      <w:lvlText w:val="•"/>
      <w:lvlJc w:val="left"/>
      <w:pPr>
        <w:ind w:left="1820" w:hanging="409"/>
      </w:pPr>
      <w:rPr>
        <w:rFonts w:hint="default"/>
      </w:rPr>
    </w:lvl>
    <w:lvl w:ilvl="4" w:tplc="97DC4608">
      <w:numFmt w:val="bullet"/>
      <w:lvlText w:val="•"/>
      <w:lvlJc w:val="left"/>
      <w:pPr>
        <w:ind w:left="2969" w:hanging="409"/>
      </w:pPr>
      <w:rPr>
        <w:rFonts w:hint="default"/>
      </w:rPr>
    </w:lvl>
    <w:lvl w:ilvl="5" w:tplc="00BECC02">
      <w:numFmt w:val="bullet"/>
      <w:lvlText w:val="•"/>
      <w:lvlJc w:val="left"/>
      <w:pPr>
        <w:ind w:left="4118" w:hanging="409"/>
      </w:pPr>
      <w:rPr>
        <w:rFonts w:hint="default"/>
      </w:rPr>
    </w:lvl>
    <w:lvl w:ilvl="6" w:tplc="042E94CE">
      <w:numFmt w:val="bullet"/>
      <w:lvlText w:val="•"/>
      <w:lvlJc w:val="left"/>
      <w:pPr>
        <w:ind w:left="5268" w:hanging="409"/>
      </w:pPr>
      <w:rPr>
        <w:rFonts w:hint="default"/>
      </w:rPr>
    </w:lvl>
    <w:lvl w:ilvl="7" w:tplc="51882F98">
      <w:numFmt w:val="bullet"/>
      <w:lvlText w:val="•"/>
      <w:lvlJc w:val="left"/>
      <w:pPr>
        <w:ind w:left="6417" w:hanging="409"/>
      </w:pPr>
      <w:rPr>
        <w:rFonts w:hint="default"/>
      </w:rPr>
    </w:lvl>
    <w:lvl w:ilvl="8" w:tplc="2E9A4858">
      <w:numFmt w:val="bullet"/>
      <w:lvlText w:val="•"/>
      <w:lvlJc w:val="left"/>
      <w:pPr>
        <w:ind w:left="7567" w:hanging="409"/>
      </w:pPr>
      <w:rPr>
        <w:rFonts w:hint="default"/>
      </w:rPr>
    </w:lvl>
  </w:abstractNum>
  <w:abstractNum w:abstractNumId="59" w15:restartNumberingAfterBreak="0">
    <w:nsid w:val="68D575B7"/>
    <w:multiLevelType w:val="hybridMultilevel"/>
    <w:tmpl w:val="9182AC12"/>
    <w:lvl w:ilvl="0" w:tplc="D9A62CB6">
      <w:numFmt w:val="bullet"/>
      <w:lvlText w:val="•"/>
      <w:lvlJc w:val="left"/>
      <w:pPr>
        <w:ind w:left="467" w:hanging="360"/>
      </w:pPr>
      <w:rPr>
        <w:rFonts w:ascii="Cambria" w:eastAsia="Cambria" w:hAnsi="Cambria" w:cs="Cambria" w:hint="default"/>
        <w:w w:val="100"/>
        <w:sz w:val="22"/>
        <w:szCs w:val="22"/>
      </w:rPr>
    </w:lvl>
    <w:lvl w:ilvl="1" w:tplc="B494473E">
      <w:numFmt w:val="bullet"/>
      <w:lvlText w:val="•"/>
      <w:lvlJc w:val="left"/>
      <w:pPr>
        <w:ind w:left="709" w:hanging="360"/>
      </w:pPr>
      <w:rPr>
        <w:rFonts w:hint="default"/>
      </w:rPr>
    </w:lvl>
    <w:lvl w:ilvl="2" w:tplc="A844BD86">
      <w:numFmt w:val="bullet"/>
      <w:lvlText w:val="•"/>
      <w:lvlJc w:val="left"/>
      <w:pPr>
        <w:ind w:left="959" w:hanging="360"/>
      </w:pPr>
      <w:rPr>
        <w:rFonts w:hint="default"/>
      </w:rPr>
    </w:lvl>
    <w:lvl w:ilvl="3" w:tplc="52DEA256">
      <w:numFmt w:val="bullet"/>
      <w:lvlText w:val="•"/>
      <w:lvlJc w:val="left"/>
      <w:pPr>
        <w:ind w:left="1208" w:hanging="360"/>
      </w:pPr>
      <w:rPr>
        <w:rFonts w:hint="default"/>
      </w:rPr>
    </w:lvl>
    <w:lvl w:ilvl="4" w:tplc="602AB520">
      <w:numFmt w:val="bullet"/>
      <w:lvlText w:val="•"/>
      <w:lvlJc w:val="left"/>
      <w:pPr>
        <w:ind w:left="1458" w:hanging="360"/>
      </w:pPr>
      <w:rPr>
        <w:rFonts w:hint="default"/>
      </w:rPr>
    </w:lvl>
    <w:lvl w:ilvl="5" w:tplc="1652C97E">
      <w:numFmt w:val="bullet"/>
      <w:lvlText w:val="•"/>
      <w:lvlJc w:val="left"/>
      <w:pPr>
        <w:ind w:left="1708" w:hanging="360"/>
      </w:pPr>
      <w:rPr>
        <w:rFonts w:hint="default"/>
      </w:rPr>
    </w:lvl>
    <w:lvl w:ilvl="6" w:tplc="7DB4ED1A">
      <w:numFmt w:val="bullet"/>
      <w:lvlText w:val="•"/>
      <w:lvlJc w:val="left"/>
      <w:pPr>
        <w:ind w:left="1957" w:hanging="360"/>
      </w:pPr>
      <w:rPr>
        <w:rFonts w:hint="default"/>
      </w:rPr>
    </w:lvl>
    <w:lvl w:ilvl="7" w:tplc="7F3A6C42">
      <w:numFmt w:val="bullet"/>
      <w:lvlText w:val="•"/>
      <w:lvlJc w:val="left"/>
      <w:pPr>
        <w:ind w:left="2207" w:hanging="360"/>
      </w:pPr>
      <w:rPr>
        <w:rFonts w:hint="default"/>
      </w:rPr>
    </w:lvl>
    <w:lvl w:ilvl="8" w:tplc="8570AA06">
      <w:numFmt w:val="bullet"/>
      <w:lvlText w:val="•"/>
      <w:lvlJc w:val="left"/>
      <w:pPr>
        <w:ind w:left="2456" w:hanging="360"/>
      </w:pPr>
      <w:rPr>
        <w:rFonts w:hint="default"/>
      </w:rPr>
    </w:lvl>
  </w:abstractNum>
  <w:abstractNum w:abstractNumId="60" w15:restartNumberingAfterBreak="0">
    <w:nsid w:val="6BD76EFA"/>
    <w:multiLevelType w:val="hybridMultilevel"/>
    <w:tmpl w:val="99667F26"/>
    <w:lvl w:ilvl="0" w:tplc="3E361CD0">
      <w:numFmt w:val="bullet"/>
      <w:lvlText w:val="•"/>
      <w:lvlJc w:val="left"/>
      <w:pPr>
        <w:ind w:left="468" w:hanging="361"/>
      </w:pPr>
      <w:rPr>
        <w:rFonts w:ascii="Cambria" w:eastAsia="Cambria" w:hAnsi="Cambria" w:cs="Cambria" w:hint="default"/>
        <w:w w:val="100"/>
        <w:sz w:val="22"/>
        <w:szCs w:val="22"/>
      </w:rPr>
    </w:lvl>
    <w:lvl w:ilvl="1" w:tplc="D90404E0">
      <w:numFmt w:val="bullet"/>
      <w:lvlText w:val="•"/>
      <w:lvlJc w:val="left"/>
      <w:pPr>
        <w:ind w:left="806" w:hanging="361"/>
      </w:pPr>
      <w:rPr>
        <w:rFonts w:hint="default"/>
      </w:rPr>
    </w:lvl>
    <w:lvl w:ilvl="2" w:tplc="6936D586">
      <w:numFmt w:val="bullet"/>
      <w:lvlText w:val="•"/>
      <w:lvlJc w:val="left"/>
      <w:pPr>
        <w:ind w:left="1152" w:hanging="361"/>
      </w:pPr>
      <w:rPr>
        <w:rFonts w:hint="default"/>
      </w:rPr>
    </w:lvl>
    <w:lvl w:ilvl="3" w:tplc="183AB076">
      <w:numFmt w:val="bullet"/>
      <w:lvlText w:val="•"/>
      <w:lvlJc w:val="left"/>
      <w:pPr>
        <w:ind w:left="1498" w:hanging="361"/>
      </w:pPr>
      <w:rPr>
        <w:rFonts w:hint="default"/>
      </w:rPr>
    </w:lvl>
    <w:lvl w:ilvl="4" w:tplc="26200252">
      <w:numFmt w:val="bullet"/>
      <w:lvlText w:val="•"/>
      <w:lvlJc w:val="left"/>
      <w:pPr>
        <w:ind w:left="1845" w:hanging="361"/>
      </w:pPr>
      <w:rPr>
        <w:rFonts w:hint="default"/>
      </w:rPr>
    </w:lvl>
    <w:lvl w:ilvl="5" w:tplc="83909408">
      <w:numFmt w:val="bullet"/>
      <w:lvlText w:val="•"/>
      <w:lvlJc w:val="left"/>
      <w:pPr>
        <w:ind w:left="2191" w:hanging="361"/>
      </w:pPr>
      <w:rPr>
        <w:rFonts w:hint="default"/>
      </w:rPr>
    </w:lvl>
    <w:lvl w:ilvl="6" w:tplc="8A16E48A">
      <w:numFmt w:val="bullet"/>
      <w:lvlText w:val="•"/>
      <w:lvlJc w:val="left"/>
      <w:pPr>
        <w:ind w:left="2537" w:hanging="361"/>
      </w:pPr>
      <w:rPr>
        <w:rFonts w:hint="default"/>
      </w:rPr>
    </w:lvl>
    <w:lvl w:ilvl="7" w:tplc="10D41890">
      <w:numFmt w:val="bullet"/>
      <w:lvlText w:val="•"/>
      <w:lvlJc w:val="left"/>
      <w:pPr>
        <w:ind w:left="2884" w:hanging="361"/>
      </w:pPr>
      <w:rPr>
        <w:rFonts w:hint="default"/>
      </w:rPr>
    </w:lvl>
    <w:lvl w:ilvl="8" w:tplc="9C0AAE0C">
      <w:numFmt w:val="bullet"/>
      <w:lvlText w:val="•"/>
      <w:lvlJc w:val="left"/>
      <w:pPr>
        <w:ind w:left="3230" w:hanging="361"/>
      </w:pPr>
      <w:rPr>
        <w:rFonts w:hint="default"/>
      </w:rPr>
    </w:lvl>
  </w:abstractNum>
  <w:abstractNum w:abstractNumId="61" w15:restartNumberingAfterBreak="0">
    <w:nsid w:val="6D70290A"/>
    <w:multiLevelType w:val="hybridMultilevel"/>
    <w:tmpl w:val="4E1E6752"/>
    <w:lvl w:ilvl="0" w:tplc="1180A748">
      <w:numFmt w:val="bullet"/>
      <w:lvlText w:val="•"/>
      <w:lvlJc w:val="left"/>
      <w:pPr>
        <w:ind w:left="469" w:hanging="361"/>
      </w:pPr>
      <w:rPr>
        <w:rFonts w:ascii="Cambria" w:eastAsia="Cambria" w:hAnsi="Cambria" w:cs="Cambria" w:hint="default"/>
        <w:w w:val="100"/>
        <w:sz w:val="22"/>
        <w:szCs w:val="22"/>
      </w:rPr>
    </w:lvl>
    <w:lvl w:ilvl="1" w:tplc="F872DF5C">
      <w:numFmt w:val="bullet"/>
      <w:lvlText w:val="•"/>
      <w:lvlJc w:val="left"/>
      <w:pPr>
        <w:ind w:left="765" w:hanging="361"/>
      </w:pPr>
      <w:rPr>
        <w:rFonts w:hint="default"/>
      </w:rPr>
    </w:lvl>
    <w:lvl w:ilvl="2" w:tplc="75129E1A">
      <w:numFmt w:val="bullet"/>
      <w:lvlText w:val="•"/>
      <w:lvlJc w:val="left"/>
      <w:pPr>
        <w:ind w:left="1070" w:hanging="361"/>
      </w:pPr>
      <w:rPr>
        <w:rFonts w:hint="default"/>
      </w:rPr>
    </w:lvl>
    <w:lvl w:ilvl="3" w:tplc="C5CA8106">
      <w:numFmt w:val="bullet"/>
      <w:lvlText w:val="•"/>
      <w:lvlJc w:val="left"/>
      <w:pPr>
        <w:ind w:left="1375" w:hanging="361"/>
      </w:pPr>
      <w:rPr>
        <w:rFonts w:hint="default"/>
      </w:rPr>
    </w:lvl>
    <w:lvl w:ilvl="4" w:tplc="2342E3FA">
      <w:numFmt w:val="bullet"/>
      <w:lvlText w:val="•"/>
      <w:lvlJc w:val="left"/>
      <w:pPr>
        <w:ind w:left="1680" w:hanging="361"/>
      </w:pPr>
      <w:rPr>
        <w:rFonts w:hint="default"/>
      </w:rPr>
    </w:lvl>
    <w:lvl w:ilvl="5" w:tplc="86DE8522">
      <w:numFmt w:val="bullet"/>
      <w:lvlText w:val="•"/>
      <w:lvlJc w:val="left"/>
      <w:pPr>
        <w:ind w:left="1985" w:hanging="361"/>
      </w:pPr>
      <w:rPr>
        <w:rFonts w:hint="default"/>
      </w:rPr>
    </w:lvl>
    <w:lvl w:ilvl="6" w:tplc="0D1EA7A0">
      <w:numFmt w:val="bullet"/>
      <w:lvlText w:val="•"/>
      <w:lvlJc w:val="left"/>
      <w:pPr>
        <w:ind w:left="2290" w:hanging="361"/>
      </w:pPr>
      <w:rPr>
        <w:rFonts w:hint="default"/>
      </w:rPr>
    </w:lvl>
    <w:lvl w:ilvl="7" w:tplc="5970A6CE">
      <w:numFmt w:val="bullet"/>
      <w:lvlText w:val="•"/>
      <w:lvlJc w:val="left"/>
      <w:pPr>
        <w:ind w:left="2595" w:hanging="361"/>
      </w:pPr>
      <w:rPr>
        <w:rFonts w:hint="default"/>
      </w:rPr>
    </w:lvl>
    <w:lvl w:ilvl="8" w:tplc="BC628BCC">
      <w:numFmt w:val="bullet"/>
      <w:lvlText w:val="•"/>
      <w:lvlJc w:val="left"/>
      <w:pPr>
        <w:ind w:left="2900" w:hanging="361"/>
      </w:pPr>
      <w:rPr>
        <w:rFonts w:hint="default"/>
      </w:rPr>
    </w:lvl>
  </w:abstractNum>
  <w:abstractNum w:abstractNumId="62" w15:restartNumberingAfterBreak="0">
    <w:nsid w:val="75DE1765"/>
    <w:multiLevelType w:val="hybridMultilevel"/>
    <w:tmpl w:val="57D4BBA8"/>
    <w:lvl w:ilvl="0" w:tplc="CB98108E">
      <w:numFmt w:val="bullet"/>
      <w:lvlText w:val="•"/>
      <w:lvlJc w:val="left"/>
      <w:pPr>
        <w:ind w:left="469" w:hanging="361"/>
      </w:pPr>
      <w:rPr>
        <w:rFonts w:ascii="Cambria" w:eastAsia="Cambria" w:hAnsi="Cambria" w:cs="Cambria" w:hint="default"/>
        <w:w w:val="100"/>
        <w:sz w:val="22"/>
        <w:szCs w:val="22"/>
      </w:rPr>
    </w:lvl>
    <w:lvl w:ilvl="1" w:tplc="6DD02770">
      <w:numFmt w:val="bullet"/>
      <w:lvlText w:val="•"/>
      <w:lvlJc w:val="left"/>
      <w:pPr>
        <w:ind w:left="765" w:hanging="361"/>
      </w:pPr>
      <w:rPr>
        <w:rFonts w:hint="default"/>
      </w:rPr>
    </w:lvl>
    <w:lvl w:ilvl="2" w:tplc="6826E236">
      <w:numFmt w:val="bullet"/>
      <w:lvlText w:val="•"/>
      <w:lvlJc w:val="left"/>
      <w:pPr>
        <w:ind w:left="1070" w:hanging="361"/>
      </w:pPr>
      <w:rPr>
        <w:rFonts w:hint="default"/>
      </w:rPr>
    </w:lvl>
    <w:lvl w:ilvl="3" w:tplc="F49A6B74">
      <w:numFmt w:val="bullet"/>
      <w:lvlText w:val="•"/>
      <w:lvlJc w:val="left"/>
      <w:pPr>
        <w:ind w:left="1375" w:hanging="361"/>
      </w:pPr>
      <w:rPr>
        <w:rFonts w:hint="default"/>
      </w:rPr>
    </w:lvl>
    <w:lvl w:ilvl="4" w:tplc="BDB419CC">
      <w:numFmt w:val="bullet"/>
      <w:lvlText w:val="•"/>
      <w:lvlJc w:val="left"/>
      <w:pPr>
        <w:ind w:left="1680" w:hanging="361"/>
      </w:pPr>
      <w:rPr>
        <w:rFonts w:hint="default"/>
      </w:rPr>
    </w:lvl>
    <w:lvl w:ilvl="5" w:tplc="FB467966">
      <w:numFmt w:val="bullet"/>
      <w:lvlText w:val="•"/>
      <w:lvlJc w:val="left"/>
      <w:pPr>
        <w:ind w:left="1985" w:hanging="361"/>
      </w:pPr>
      <w:rPr>
        <w:rFonts w:hint="default"/>
      </w:rPr>
    </w:lvl>
    <w:lvl w:ilvl="6" w:tplc="DAE044C6">
      <w:numFmt w:val="bullet"/>
      <w:lvlText w:val="•"/>
      <w:lvlJc w:val="left"/>
      <w:pPr>
        <w:ind w:left="2290" w:hanging="361"/>
      </w:pPr>
      <w:rPr>
        <w:rFonts w:hint="default"/>
      </w:rPr>
    </w:lvl>
    <w:lvl w:ilvl="7" w:tplc="E53CF00A">
      <w:numFmt w:val="bullet"/>
      <w:lvlText w:val="•"/>
      <w:lvlJc w:val="left"/>
      <w:pPr>
        <w:ind w:left="2595" w:hanging="361"/>
      </w:pPr>
      <w:rPr>
        <w:rFonts w:hint="default"/>
      </w:rPr>
    </w:lvl>
    <w:lvl w:ilvl="8" w:tplc="4CB41406">
      <w:numFmt w:val="bullet"/>
      <w:lvlText w:val="•"/>
      <w:lvlJc w:val="left"/>
      <w:pPr>
        <w:ind w:left="2900" w:hanging="361"/>
      </w:pPr>
      <w:rPr>
        <w:rFonts w:hint="default"/>
      </w:rPr>
    </w:lvl>
  </w:abstractNum>
  <w:abstractNum w:abstractNumId="63" w15:restartNumberingAfterBreak="0">
    <w:nsid w:val="7816344A"/>
    <w:multiLevelType w:val="hybridMultilevel"/>
    <w:tmpl w:val="615C88B0"/>
    <w:lvl w:ilvl="0" w:tplc="71D6C096">
      <w:numFmt w:val="bullet"/>
      <w:lvlText w:val="•"/>
      <w:lvlJc w:val="left"/>
      <w:pPr>
        <w:ind w:left="468" w:hanging="361"/>
      </w:pPr>
      <w:rPr>
        <w:rFonts w:ascii="Cambria" w:eastAsia="Cambria" w:hAnsi="Cambria" w:cs="Cambria" w:hint="default"/>
        <w:w w:val="100"/>
        <w:sz w:val="22"/>
        <w:szCs w:val="22"/>
      </w:rPr>
    </w:lvl>
    <w:lvl w:ilvl="1" w:tplc="F5CE78E0">
      <w:numFmt w:val="bullet"/>
      <w:lvlText w:val="•"/>
      <w:lvlJc w:val="left"/>
      <w:pPr>
        <w:ind w:left="763" w:hanging="361"/>
      </w:pPr>
      <w:rPr>
        <w:rFonts w:hint="default"/>
      </w:rPr>
    </w:lvl>
    <w:lvl w:ilvl="2" w:tplc="CE042B94">
      <w:numFmt w:val="bullet"/>
      <w:lvlText w:val="•"/>
      <w:lvlJc w:val="left"/>
      <w:pPr>
        <w:ind w:left="1067" w:hanging="361"/>
      </w:pPr>
      <w:rPr>
        <w:rFonts w:hint="default"/>
      </w:rPr>
    </w:lvl>
    <w:lvl w:ilvl="3" w:tplc="4ED47D90">
      <w:numFmt w:val="bullet"/>
      <w:lvlText w:val="•"/>
      <w:lvlJc w:val="left"/>
      <w:pPr>
        <w:ind w:left="1370" w:hanging="361"/>
      </w:pPr>
      <w:rPr>
        <w:rFonts w:hint="default"/>
      </w:rPr>
    </w:lvl>
    <w:lvl w:ilvl="4" w:tplc="80F0D7FA">
      <w:numFmt w:val="bullet"/>
      <w:lvlText w:val="•"/>
      <w:lvlJc w:val="left"/>
      <w:pPr>
        <w:ind w:left="1674" w:hanging="361"/>
      </w:pPr>
      <w:rPr>
        <w:rFonts w:hint="default"/>
      </w:rPr>
    </w:lvl>
    <w:lvl w:ilvl="5" w:tplc="42BED9F4">
      <w:numFmt w:val="bullet"/>
      <w:lvlText w:val="•"/>
      <w:lvlJc w:val="left"/>
      <w:pPr>
        <w:ind w:left="1978" w:hanging="361"/>
      </w:pPr>
      <w:rPr>
        <w:rFonts w:hint="default"/>
      </w:rPr>
    </w:lvl>
    <w:lvl w:ilvl="6" w:tplc="E03055A4">
      <w:numFmt w:val="bullet"/>
      <w:lvlText w:val="•"/>
      <w:lvlJc w:val="left"/>
      <w:pPr>
        <w:ind w:left="2281" w:hanging="361"/>
      </w:pPr>
      <w:rPr>
        <w:rFonts w:hint="default"/>
      </w:rPr>
    </w:lvl>
    <w:lvl w:ilvl="7" w:tplc="EB98AAE0">
      <w:numFmt w:val="bullet"/>
      <w:lvlText w:val="•"/>
      <w:lvlJc w:val="left"/>
      <w:pPr>
        <w:ind w:left="2585" w:hanging="361"/>
      </w:pPr>
      <w:rPr>
        <w:rFonts w:hint="default"/>
      </w:rPr>
    </w:lvl>
    <w:lvl w:ilvl="8" w:tplc="DA126A9E">
      <w:numFmt w:val="bullet"/>
      <w:lvlText w:val="•"/>
      <w:lvlJc w:val="left"/>
      <w:pPr>
        <w:ind w:left="2888" w:hanging="361"/>
      </w:pPr>
      <w:rPr>
        <w:rFonts w:hint="default"/>
      </w:rPr>
    </w:lvl>
  </w:abstractNum>
  <w:abstractNum w:abstractNumId="64" w15:restartNumberingAfterBreak="0">
    <w:nsid w:val="79977103"/>
    <w:multiLevelType w:val="hybridMultilevel"/>
    <w:tmpl w:val="AD3C6D0C"/>
    <w:lvl w:ilvl="0" w:tplc="E3FE1620">
      <w:numFmt w:val="bullet"/>
      <w:lvlText w:val="•"/>
      <w:lvlJc w:val="left"/>
      <w:pPr>
        <w:ind w:left="465" w:hanging="361"/>
      </w:pPr>
      <w:rPr>
        <w:rFonts w:ascii="Cambria" w:eastAsia="Cambria" w:hAnsi="Cambria" w:cs="Cambria" w:hint="default"/>
        <w:w w:val="100"/>
        <w:sz w:val="22"/>
        <w:szCs w:val="22"/>
      </w:rPr>
    </w:lvl>
    <w:lvl w:ilvl="1" w:tplc="0776B3A6">
      <w:numFmt w:val="bullet"/>
      <w:lvlText w:val="•"/>
      <w:lvlJc w:val="left"/>
      <w:pPr>
        <w:ind w:left="779" w:hanging="361"/>
      </w:pPr>
      <w:rPr>
        <w:rFonts w:hint="default"/>
      </w:rPr>
    </w:lvl>
    <w:lvl w:ilvl="2" w:tplc="9886EFC6">
      <w:numFmt w:val="bullet"/>
      <w:lvlText w:val="•"/>
      <w:lvlJc w:val="left"/>
      <w:pPr>
        <w:ind w:left="1098" w:hanging="361"/>
      </w:pPr>
      <w:rPr>
        <w:rFonts w:hint="default"/>
      </w:rPr>
    </w:lvl>
    <w:lvl w:ilvl="3" w:tplc="112652A8">
      <w:numFmt w:val="bullet"/>
      <w:lvlText w:val="•"/>
      <w:lvlJc w:val="left"/>
      <w:pPr>
        <w:ind w:left="1417" w:hanging="361"/>
      </w:pPr>
      <w:rPr>
        <w:rFonts w:hint="default"/>
      </w:rPr>
    </w:lvl>
    <w:lvl w:ilvl="4" w:tplc="67AE166A">
      <w:numFmt w:val="bullet"/>
      <w:lvlText w:val="•"/>
      <w:lvlJc w:val="left"/>
      <w:pPr>
        <w:ind w:left="1736" w:hanging="361"/>
      </w:pPr>
      <w:rPr>
        <w:rFonts w:hint="default"/>
      </w:rPr>
    </w:lvl>
    <w:lvl w:ilvl="5" w:tplc="4A2ABA08">
      <w:numFmt w:val="bullet"/>
      <w:lvlText w:val="•"/>
      <w:lvlJc w:val="left"/>
      <w:pPr>
        <w:ind w:left="2056" w:hanging="361"/>
      </w:pPr>
      <w:rPr>
        <w:rFonts w:hint="default"/>
      </w:rPr>
    </w:lvl>
    <w:lvl w:ilvl="6" w:tplc="69DC86F8">
      <w:numFmt w:val="bullet"/>
      <w:lvlText w:val="•"/>
      <w:lvlJc w:val="left"/>
      <w:pPr>
        <w:ind w:left="2375" w:hanging="361"/>
      </w:pPr>
      <w:rPr>
        <w:rFonts w:hint="default"/>
      </w:rPr>
    </w:lvl>
    <w:lvl w:ilvl="7" w:tplc="41BAF0DC">
      <w:numFmt w:val="bullet"/>
      <w:lvlText w:val="•"/>
      <w:lvlJc w:val="left"/>
      <w:pPr>
        <w:ind w:left="2694" w:hanging="361"/>
      </w:pPr>
      <w:rPr>
        <w:rFonts w:hint="default"/>
      </w:rPr>
    </w:lvl>
    <w:lvl w:ilvl="8" w:tplc="DE6C5C04">
      <w:numFmt w:val="bullet"/>
      <w:lvlText w:val="•"/>
      <w:lvlJc w:val="left"/>
      <w:pPr>
        <w:ind w:left="3013" w:hanging="361"/>
      </w:pPr>
      <w:rPr>
        <w:rFonts w:hint="default"/>
      </w:rPr>
    </w:lvl>
  </w:abstractNum>
  <w:abstractNum w:abstractNumId="65" w15:restartNumberingAfterBreak="0">
    <w:nsid w:val="7A781E3C"/>
    <w:multiLevelType w:val="hybridMultilevel"/>
    <w:tmpl w:val="15BC0E56"/>
    <w:lvl w:ilvl="0" w:tplc="7A76692E">
      <w:numFmt w:val="bullet"/>
      <w:lvlText w:val="•"/>
      <w:lvlJc w:val="left"/>
      <w:pPr>
        <w:ind w:left="511" w:hanging="361"/>
      </w:pPr>
      <w:rPr>
        <w:rFonts w:ascii="Cambria" w:eastAsia="Cambria" w:hAnsi="Cambria" w:cs="Cambria" w:hint="default"/>
        <w:w w:val="100"/>
        <w:sz w:val="22"/>
        <w:szCs w:val="22"/>
      </w:rPr>
    </w:lvl>
    <w:lvl w:ilvl="1" w:tplc="A2A406DA">
      <w:numFmt w:val="bullet"/>
      <w:lvlText w:val="-"/>
      <w:lvlJc w:val="left"/>
      <w:pPr>
        <w:ind w:left="1231" w:hanging="360"/>
      </w:pPr>
      <w:rPr>
        <w:rFonts w:ascii="Cambria" w:eastAsia="Cambria" w:hAnsi="Cambria" w:cs="Cambria" w:hint="default"/>
        <w:w w:val="100"/>
        <w:sz w:val="22"/>
        <w:szCs w:val="22"/>
      </w:rPr>
    </w:lvl>
    <w:lvl w:ilvl="2" w:tplc="38D0E180">
      <w:numFmt w:val="bullet"/>
      <w:lvlText w:val="•"/>
      <w:lvlJc w:val="left"/>
      <w:pPr>
        <w:ind w:left="2107" w:hanging="360"/>
      </w:pPr>
      <w:rPr>
        <w:rFonts w:hint="default"/>
      </w:rPr>
    </w:lvl>
    <w:lvl w:ilvl="3" w:tplc="96C81FF6">
      <w:numFmt w:val="bullet"/>
      <w:lvlText w:val="•"/>
      <w:lvlJc w:val="left"/>
      <w:pPr>
        <w:ind w:left="2975" w:hanging="360"/>
      </w:pPr>
      <w:rPr>
        <w:rFonts w:hint="default"/>
      </w:rPr>
    </w:lvl>
    <w:lvl w:ilvl="4" w:tplc="6EDA0086">
      <w:numFmt w:val="bullet"/>
      <w:lvlText w:val="•"/>
      <w:lvlJc w:val="left"/>
      <w:pPr>
        <w:ind w:left="3843" w:hanging="360"/>
      </w:pPr>
      <w:rPr>
        <w:rFonts w:hint="default"/>
      </w:rPr>
    </w:lvl>
    <w:lvl w:ilvl="5" w:tplc="6F880DB6">
      <w:numFmt w:val="bullet"/>
      <w:lvlText w:val="•"/>
      <w:lvlJc w:val="left"/>
      <w:pPr>
        <w:ind w:left="4710" w:hanging="360"/>
      </w:pPr>
      <w:rPr>
        <w:rFonts w:hint="default"/>
      </w:rPr>
    </w:lvl>
    <w:lvl w:ilvl="6" w:tplc="3DF66D5E">
      <w:numFmt w:val="bullet"/>
      <w:lvlText w:val="•"/>
      <w:lvlJc w:val="left"/>
      <w:pPr>
        <w:ind w:left="5578" w:hanging="360"/>
      </w:pPr>
      <w:rPr>
        <w:rFonts w:hint="default"/>
      </w:rPr>
    </w:lvl>
    <w:lvl w:ilvl="7" w:tplc="45122F8A">
      <w:numFmt w:val="bullet"/>
      <w:lvlText w:val="•"/>
      <w:lvlJc w:val="left"/>
      <w:pPr>
        <w:ind w:left="6446" w:hanging="360"/>
      </w:pPr>
      <w:rPr>
        <w:rFonts w:hint="default"/>
      </w:rPr>
    </w:lvl>
    <w:lvl w:ilvl="8" w:tplc="3F90C7CE">
      <w:numFmt w:val="bullet"/>
      <w:lvlText w:val="•"/>
      <w:lvlJc w:val="left"/>
      <w:pPr>
        <w:ind w:left="7313" w:hanging="360"/>
      </w:pPr>
      <w:rPr>
        <w:rFonts w:hint="default"/>
      </w:rPr>
    </w:lvl>
  </w:abstractNum>
  <w:abstractNum w:abstractNumId="66" w15:restartNumberingAfterBreak="0">
    <w:nsid w:val="7CE95114"/>
    <w:multiLevelType w:val="hybridMultilevel"/>
    <w:tmpl w:val="8B18829A"/>
    <w:lvl w:ilvl="0" w:tplc="B19E9B00">
      <w:numFmt w:val="bullet"/>
      <w:lvlText w:val="•"/>
      <w:lvlJc w:val="left"/>
      <w:pPr>
        <w:ind w:left="465" w:hanging="361"/>
      </w:pPr>
      <w:rPr>
        <w:rFonts w:ascii="Cambria" w:eastAsia="Cambria" w:hAnsi="Cambria" w:cs="Cambria" w:hint="default"/>
        <w:w w:val="100"/>
        <w:sz w:val="22"/>
        <w:szCs w:val="22"/>
      </w:rPr>
    </w:lvl>
    <w:lvl w:ilvl="1" w:tplc="E3F24456">
      <w:numFmt w:val="bullet"/>
      <w:lvlText w:val="•"/>
      <w:lvlJc w:val="left"/>
      <w:pPr>
        <w:ind w:left="750" w:hanging="361"/>
      </w:pPr>
      <w:rPr>
        <w:rFonts w:hint="default"/>
      </w:rPr>
    </w:lvl>
    <w:lvl w:ilvl="2" w:tplc="FF9CC90A">
      <w:numFmt w:val="bullet"/>
      <w:lvlText w:val="•"/>
      <w:lvlJc w:val="left"/>
      <w:pPr>
        <w:ind w:left="1041" w:hanging="361"/>
      </w:pPr>
      <w:rPr>
        <w:rFonts w:hint="default"/>
      </w:rPr>
    </w:lvl>
    <w:lvl w:ilvl="3" w:tplc="213C6144">
      <w:numFmt w:val="bullet"/>
      <w:lvlText w:val="•"/>
      <w:lvlJc w:val="left"/>
      <w:pPr>
        <w:ind w:left="1332" w:hanging="361"/>
      </w:pPr>
      <w:rPr>
        <w:rFonts w:hint="default"/>
      </w:rPr>
    </w:lvl>
    <w:lvl w:ilvl="4" w:tplc="EDEC1ACE">
      <w:numFmt w:val="bullet"/>
      <w:lvlText w:val="•"/>
      <w:lvlJc w:val="left"/>
      <w:pPr>
        <w:ind w:left="1623" w:hanging="361"/>
      </w:pPr>
      <w:rPr>
        <w:rFonts w:hint="default"/>
      </w:rPr>
    </w:lvl>
    <w:lvl w:ilvl="5" w:tplc="C9CAC384">
      <w:numFmt w:val="bullet"/>
      <w:lvlText w:val="•"/>
      <w:lvlJc w:val="left"/>
      <w:pPr>
        <w:ind w:left="1914" w:hanging="361"/>
      </w:pPr>
      <w:rPr>
        <w:rFonts w:hint="default"/>
      </w:rPr>
    </w:lvl>
    <w:lvl w:ilvl="6" w:tplc="5C4C5E5E">
      <w:numFmt w:val="bullet"/>
      <w:lvlText w:val="•"/>
      <w:lvlJc w:val="left"/>
      <w:pPr>
        <w:ind w:left="2205" w:hanging="361"/>
      </w:pPr>
      <w:rPr>
        <w:rFonts w:hint="default"/>
      </w:rPr>
    </w:lvl>
    <w:lvl w:ilvl="7" w:tplc="A52638A4">
      <w:numFmt w:val="bullet"/>
      <w:lvlText w:val="•"/>
      <w:lvlJc w:val="left"/>
      <w:pPr>
        <w:ind w:left="2496" w:hanging="361"/>
      </w:pPr>
      <w:rPr>
        <w:rFonts w:hint="default"/>
      </w:rPr>
    </w:lvl>
    <w:lvl w:ilvl="8" w:tplc="760C064E">
      <w:numFmt w:val="bullet"/>
      <w:lvlText w:val="•"/>
      <w:lvlJc w:val="left"/>
      <w:pPr>
        <w:ind w:left="2787" w:hanging="361"/>
      </w:pPr>
      <w:rPr>
        <w:rFonts w:hint="default"/>
      </w:rPr>
    </w:lvl>
  </w:abstractNum>
  <w:abstractNum w:abstractNumId="67" w15:restartNumberingAfterBreak="0">
    <w:nsid w:val="7D3829A7"/>
    <w:multiLevelType w:val="hybridMultilevel"/>
    <w:tmpl w:val="3120E83C"/>
    <w:lvl w:ilvl="0" w:tplc="D75ECB64">
      <w:numFmt w:val="bullet"/>
      <w:lvlText w:val="•"/>
      <w:lvlJc w:val="left"/>
      <w:pPr>
        <w:ind w:left="468" w:hanging="361"/>
      </w:pPr>
      <w:rPr>
        <w:rFonts w:ascii="Cambria" w:eastAsia="Cambria" w:hAnsi="Cambria" w:cs="Cambria" w:hint="default"/>
        <w:w w:val="100"/>
        <w:sz w:val="22"/>
        <w:szCs w:val="22"/>
      </w:rPr>
    </w:lvl>
    <w:lvl w:ilvl="1" w:tplc="7090AFBE">
      <w:numFmt w:val="bullet"/>
      <w:lvlText w:val="•"/>
      <w:lvlJc w:val="left"/>
      <w:pPr>
        <w:ind w:left="792" w:hanging="361"/>
      </w:pPr>
      <w:rPr>
        <w:rFonts w:hint="default"/>
      </w:rPr>
    </w:lvl>
    <w:lvl w:ilvl="2" w:tplc="B85E7F12">
      <w:numFmt w:val="bullet"/>
      <w:lvlText w:val="•"/>
      <w:lvlJc w:val="left"/>
      <w:pPr>
        <w:ind w:left="1124" w:hanging="361"/>
      </w:pPr>
      <w:rPr>
        <w:rFonts w:hint="default"/>
      </w:rPr>
    </w:lvl>
    <w:lvl w:ilvl="3" w:tplc="3C060B1A">
      <w:numFmt w:val="bullet"/>
      <w:lvlText w:val="•"/>
      <w:lvlJc w:val="left"/>
      <w:pPr>
        <w:ind w:left="1456" w:hanging="361"/>
      </w:pPr>
      <w:rPr>
        <w:rFonts w:hint="default"/>
      </w:rPr>
    </w:lvl>
    <w:lvl w:ilvl="4" w:tplc="402E77F8">
      <w:numFmt w:val="bullet"/>
      <w:lvlText w:val="•"/>
      <w:lvlJc w:val="left"/>
      <w:pPr>
        <w:ind w:left="1788" w:hanging="361"/>
      </w:pPr>
      <w:rPr>
        <w:rFonts w:hint="default"/>
      </w:rPr>
    </w:lvl>
    <w:lvl w:ilvl="5" w:tplc="01CE7318">
      <w:numFmt w:val="bullet"/>
      <w:lvlText w:val="•"/>
      <w:lvlJc w:val="left"/>
      <w:pPr>
        <w:ind w:left="2120" w:hanging="361"/>
      </w:pPr>
      <w:rPr>
        <w:rFonts w:hint="default"/>
      </w:rPr>
    </w:lvl>
    <w:lvl w:ilvl="6" w:tplc="C4F2F938">
      <w:numFmt w:val="bullet"/>
      <w:lvlText w:val="•"/>
      <w:lvlJc w:val="left"/>
      <w:pPr>
        <w:ind w:left="2452" w:hanging="361"/>
      </w:pPr>
      <w:rPr>
        <w:rFonts w:hint="default"/>
      </w:rPr>
    </w:lvl>
    <w:lvl w:ilvl="7" w:tplc="96A0DF64">
      <w:numFmt w:val="bullet"/>
      <w:lvlText w:val="•"/>
      <w:lvlJc w:val="left"/>
      <w:pPr>
        <w:ind w:left="2784" w:hanging="361"/>
      </w:pPr>
      <w:rPr>
        <w:rFonts w:hint="default"/>
      </w:rPr>
    </w:lvl>
    <w:lvl w:ilvl="8" w:tplc="BA90A3B6">
      <w:numFmt w:val="bullet"/>
      <w:lvlText w:val="•"/>
      <w:lvlJc w:val="left"/>
      <w:pPr>
        <w:ind w:left="3116" w:hanging="361"/>
      </w:pPr>
      <w:rPr>
        <w:rFonts w:hint="default"/>
      </w:rPr>
    </w:lvl>
  </w:abstractNum>
  <w:abstractNum w:abstractNumId="68" w15:restartNumberingAfterBreak="0">
    <w:nsid w:val="7D93371D"/>
    <w:multiLevelType w:val="hybridMultilevel"/>
    <w:tmpl w:val="427CEC3E"/>
    <w:lvl w:ilvl="0" w:tplc="B1B28DA4">
      <w:numFmt w:val="bullet"/>
      <w:lvlText w:val="•"/>
      <w:lvlJc w:val="left"/>
      <w:pPr>
        <w:ind w:left="465" w:hanging="361"/>
      </w:pPr>
      <w:rPr>
        <w:rFonts w:ascii="Cambria" w:eastAsia="Cambria" w:hAnsi="Cambria" w:cs="Cambria" w:hint="default"/>
        <w:w w:val="100"/>
        <w:sz w:val="22"/>
        <w:szCs w:val="22"/>
      </w:rPr>
    </w:lvl>
    <w:lvl w:ilvl="1" w:tplc="394447EE">
      <w:numFmt w:val="bullet"/>
      <w:lvlText w:val="•"/>
      <w:lvlJc w:val="left"/>
      <w:pPr>
        <w:ind w:left="779" w:hanging="361"/>
      </w:pPr>
      <w:rPr>
        <w:rFonts w:hint="default"/>
      </w:rPr>
    </w:lvl>
    <w:lvl w:ilvl="2" w:tplc="CF4E5D80">
      <w:numFmt w:val="bullet"/>
      <w:lvlText w:val="•"/>
      <w:lvlJc w:val="left"/>
      <w:pPr>
        <w:ind w:left="1098" w:hanging="361"/>
      </w:pPr>
      <w:rPr>
        <w:rFonts w:hint="default"/>
      </w:rPr>
    </w:lvl>
    <w:lvl w:ilvl="3" w:tplc="694CF07A">
      <w:numFmt w:val="bullet"/>
      <w:lvlText w:val="•"/>
      <w:lvlJc w:val="left"/>
      <w:pPr>
        <w:ind w:left="1417" w:hanging="361"/>
      </w:pPr>
      <w:rPr>
        <w:rFonts w:hint="default"/>
      </w:rPr>
    </w:lvl>
    <w:lvl w:ilvl="4" w:tplc="FE0EF3A4">
      <w:numFmt w:val="bullet"/>
      <w:lvlText w:val="•"/>
      <w:lvlJc w:val="left"/>
      <w:pPr>
        <w:ind w:left="1736" w:hanging="361"/>
      </w:pPr>
      <w:rPr>
        <w:rFonts w:hint="default"/>
      </w:rPr>
    </w:lvl>
    <w:lvl w:ilvl="5" w:tplc="60B8F7E6">
      <w:numFmt w:val="bullet"/>
      <w:lvlText w:val="•"/>
      <w:lvlJc w:val="left"/>
      <w:pPr>
        <w:ind w:left="2056" w:hanging="361"/>
      </w:pPr>
      <w:rPr>
        <w:rFonts w:hint="default"/>
      </w:rPr>
    </w:lvl>
    <w:lvl w:ilvl="6" w:tplc="B6848B7E">
      <w:numFmt w:val="bullet"/>
      <w:lvlText w:val="•"/>
      <w:lvlJc w:val="left"/>
      <w:pPr>
        <w:ind w:left="2375" w:hanging="361"/>
      </w:pPr>
      <w:rPr>
        <w:rFonts w:hint="default"/>
      </w:rPr>
    </w:lvl>
    <w:lvl w:ilvl="7" w:tplc="E0B05E00">
      <w:numFmt w:val="bullet"/>
      <w:lvlText w:val="•"/>
      <w:lvlJc w:val="left"/>
      <w:pPr>
        <w:ind w:left="2694" w:hanging="361"/>
      </w:pPr>
      <w:rPr>
        <w:rFonts w:hint="default"/>
      </w:rPr>
    </w:lvl>
    <w:lvl w:ilvl="8" w:tplc="91725F94">
      <w:numFmt w:val="bullet"/>
      <w:lvlText w:val="•"/>
      <w:lvlJc w:val="left"/>
      <w:pPr>
        <w:ind w:left="3013" w:hanging="361"/>
      </w:pPr>
      <w:rPr>
        <w:rFonts w:hint="default"/>
      </w:rPr>
    </w:lvl>
  </w:abstractNum>
  <w:abstractNum w:abstractNumId="69" w15:restartNumberingAfterBreak="0">
    <w:nsid w:val="7DA455E5"/>
    <w:multiLevelType w:val="hybridMultilevel"/>
    <w:tmpl w:val="016836E2"/>
    <w:lvl w:ilvl="0" w:tplc="EE76D970">
      <w:numFmt w:val="bullet"/>
      <w:lvlText w:val="•"/>
      <w:lvlJc w:val="left"/>
      <w:pPr>
        <w:ind w:left="468" w:hanging="361"/>
      </w:pPr>
      <w:rPr>
        <w:rFonts w:ascii="Cambria" w:eastAsia="Cambria" w:hAnsi="Cambria" w:cs="Cambria" w:hint="default"/>
        <w:w w:val="100"/>
        <w:sz w:val="22"/>
        <w:szCs w:val="22"/>
      </w:rPr>
    </w:lvl>
    <w:lvl w:ilvl="1" w:tplc="570A8556">
      <w:numFmt w:val="bullet"/>
      <w:lvlText w:val="•"/>
      <w:lvlJc w:val="left"/>
      <w:pPr>
        <w:ind w:left="778" w:hanging="361"/>
      </w:pPr>
      <w:rPr>
        <w:rFonts w:hint="default"/>
      </w:rPr>
    </w:lvl>
    <w:lvl w:ilvl="2" w:tplc="DA3A76B8">
      <w:numFmt w:val="bullet"/>
      <w:lvlText w:val="•"/>
      <w:lvlJc w:val="left"/>
      <w:pPr>
        <w:ind w:left="1096" w:hanging="361"/>
      </w:pPr>
      <w:rPr>
        <w:rFonts w:hint="default"/>
      </w:rPr>
    </w:lvl>
    <w:lvl w:ilvl="3" w:tplc="12B27612">
      <w:numFmt w:val="bullet"/>
      <w:lvlText w:val="•"/>
      <w:lvlJc w:val="left"/>
      <w:pPr>
        <w:ind w:left="1414" w:hanging="361"/>
      </w:pPr>
      <w:rPr>
        <w:rFonts w:hint="default"/>
      </w:rPr>
    </w:lvl>
    <w:lvl w:ilvl="4" w:tplc="118695EA">
      <w:numFmt w:val="bullet"/>
      <w:lvlText w:val="•"/>
      <w:lvlJc w:val="left"/>
      <w:pPr>
        <w:ind w:left="1732" w:hanging="361"/>
      </w:pPr>
      <w:rPr>
        <w:rFonts w:hint="default"/>
      </w:rPr>
    </w:lvl>
    <w:lvl w:ilvl="5" w:tplc="DCB25146">
      <w:numFmt w:val="bullet"/>
      <w:lvlText w:val="•"/>
      <w:lvlJc w:val="left"/>
      <w:pPr>
        <w:ind w:left="2050" w:hanging="361"/>
      </w:pPr>
      <w:rPr>
        <w:rFonts w:hint="default"/>
      </w:rPr>
    </w:lvl>
    <w:lvl w:ilvl="6" w:tplc="5250194E">
      <w:numFmt w:val="bullet"/>
      <w:lvlText w:val="•"/>
      <w:lvlJc w:val="left"/>
      <w:pPr>
        <w:ind w:left="2368" w:hanging="361"/>
      </w:pPr>
      <w:rPr>
        <w:rFonts w:hint="default"/>
      </w:rPr>
    </w:lvl>
    <w:lvl w:ilvl="7" w:tplc="1D025484">
      <w:numFmt w:val="bullet"/>
      <w:lvlText w:val="•"/>
      <w:lvlJc w:val="left"/>
      <w:pPr>
        <w:ind w:left="2686" w:hanging="361"/>
      </w:pPr>
      <w:rPr>
        <w:rFonts w:hint="default"/>
      </w:rPr>
    </w:lvl>
    <w:lvl w:ilvl="8" w:tplc="B2107F40">
      <w:numFmt w:val="bullet"/>
      <w:lvlText w:val="•"/>
      <w:lvlJc w:val="left"/>
      <w:pPr>
        <w:ind w:left="3004" w:hanging="361"/>
      </w:pPr>
      <w:rPr>
        <w:rFonts w:hint="default"/>
      </w:rPr>
    </w:lvl>
  </w:abstractNum>
  <w:abstractNum w:abstractNumId="70" w15:restartNumberingAfterBreak="0">
    <w:nsid w:val="7DFC6F9A"/>
    <w:multiLevelType w:val="hybridMultilevel"/>
    <w:tmpl w:val="74BAA5C4"/>
    <w:lvl w:ilvl="0" w:tplc="C5225886">
      <w:numFmt w:val="bullet"/>
      <w:lvlText w:val="•"/>
      <w:lvlJc w:val="left"/>
      <w:pPr>
        <w:ind w:left="468" w:hanging="361"/>
      </w:pPr>
      <w:rPr>
        <w:rFonts w:ascii="Cambria" w:eastAsia="Cambria" w:hAnsi="Cambria" w:cs="Cambria" w:hint="default"/>
        <w:w w:val="100"/>
        <w:sz w:val="22"/>
        <w:szCs w:val="22"/>
      </w:rPr>
    </w:lvl>
    <w:lvl w:ilvl="1" w:tplc="A7448CC6">
      <w:numFmt w:val="bullet"/>
      <w:lvlText w:val="•"/>
      <w:lvlJc w:val="left"/>
      <w:pPr>
        <w:ind w:left="765" w:hanging="361"/>
      </w:pPr>
      <w:rPr>
        <w:rFonts w:hint="default"/>
      </w:rPr>
    </w:lvl>
    <w:lvl w:ilvl="2" w:tplc="F53E1790">
      <w:numFmt w:val="bullet"/>
      <w:lvlText w:val="•"/>
      <w:lvlJc w:val="left"/>
      <w:pPr>
        <w:ind w:left="1070" w:hanging="361"/>
      </w:pPr>
      <w:rPr>
        <w:rFonts w:hint="default"/>
      </w:rPr>
    </w:lvl>
    <w:lvl w:ilvl="3" w:tplc="72966D0E">
      <w:numFmt w:val="bullet"/>
      <w:lvlText w:val="•"/>
      <w:lvlJc w:val="left"/>
      <w:pPr>
        <w:ind w:left="1375" w:hanging="361"/>
      </w:pPr>
      <w:rPr>
        <w:rFonts w:hint="default"/>
      </w:rPr>
    </w:lvl>
    <w:lvl w:ilvl="4" w:tplc="51C0B43A">
      <w:numFmt w:val="bullet"/>
      <w:lvlText w:val="•"/>
      <w:lvlJc w:val="left"/>
      <w:pPr>
        <w:ind w:left="1680" w:hanging="361"/>
      </w:pPr>
      <w:rPr>
        <w:rFonts w:hint="default"/>
      </w:rPr>
    </w:lvl>
    <w:lvl w:ilvl="5" w:tplc="994EBAE8">
      <w:numFmt w:val="bullet"/>
      <w:lvlText w:val="•"/>
      <w:lvlJc w:val="left"/>
      <w:pPr>
        <w:ind w:left="1985" w:hanging="361"/>
      </w:pPr>
      <w:rPr>
        <w:rFonts w:hint="default"/>
      </w:rPr>
    </w:lvl>
    <w:lvl w:ilvl="6" w:tplc="D98C53E8">
      <w:numFmt w:val="bullet"/>
      <w:lvlText w:val="•"/>
      <w:lvlJc w:val="left"/>
      <w:pPr>
        <w:ind w:left="2290" w:hanging="361"/>
      </w:pPr>
      <w:rPr>
        <w:rFonts w:hint="default"/>
      </w:rPr>
    </w:lvl>
    <w:lvl w:ilvl="7" w:tplc="44303E08">
      <w:numFmt w:val="bullet"/>
      <w:lvlText w:val="•"/>
      <w:lvlJc w:val="left"/>
      <w:pPr>
        <w:ind w:left="2595" w:hanging="361"/>
      </w:pPr>
      <w:rPr>
        <w:rFonts w:hint="default"/>
      </w:rPr>
    </w:lvl>
    <w:lvl w:ilvl="8" w:tplc="177EC404">
      <w:numFmt w:val="bullet"/>
      <w:lvlText w:val="•"/>
      <w:lvlJc w:val="left"/>
      <w:pPr>
        <w:ind w:left="2900" w:hanging="361"/>
      </w:pPr>
      <w:rPr>
        <w:rFonts w:hint="default"/>
      </w:rPr>
    </w:lvl>
  </w:abstractNum>
  <w:abstractNum w:abstractNumId="71" w15:restartNumberingAfterBreak="0">
    <w:nsid w:val="7E7C2B4D"/>
    <w:multiLevelType w:val="hybridMultilevel"/>
    <w:tmpl w:val="CCD2349A"/>
    <w:lvl w:ilvl="0" w:tplc="6A687238">
      <w:numFmt w:val="bullet"/>
      <w:lvlText w:val="•"/>
      <w:lvlJc w:val="left"/>
      <w:pPr>
        <w:ind w:left="511" w:hanging="361"/>
      </w:pPr>
      <w:rPr>
        <w:rFonts w:ascii="Cambria" w:eastAsia="Cambria" w:hAnsi="Cambria" w:cs="Cambria" w:hint="default"/>
        <w:w w:val="100"/>
        <w:sz w:val="22"/>
        <w:szCs w:val="22"/>
      </w:rPr>
    </w:lvl>
    <w:lvl w:ilvl="1" w:tplc="519675AE">
      <w:numFmt w:val="bullet"/>
      <w:lvlText w:val="-"/>
      <w:lvlJc w:val="left"/>
      <w:pPr>
        <w:ind w:left="1231" w:hanging="360"/>
      </w:pPr>
      <w:rPr>
        <w:rFonts w:ascii="Cambria" w:eastAsia="Cambria" w:hAnsi="Cambria" w:cs="Cambria" w:hint="default"/>
        <w:w w:val="100"/>
        <w:sz w:val="22"/>
        <w:szCs w:val="22"/>
      </w:rPr>
    </w:lvl>
    <w:lvl w:ilvl="2" w:tplc="22CEA0CC">
      <w:numFmt w:val="bullet"/>
      <w:lvlText w:val="•"/>
      <w:lvlJc w:val="left"/>
      <w:pPr>
        <w:ind w:left="2109" w:hanging="360"/>
      </w:pPr>
      <w:rPr>
        <w:rFonts w:hint="default"/>
      </w:rPr>
    </w:lvl>
    <w:lvl w:ilvl="3" w:tplc="2CA8B70A">
      <w:numFmt w:val="bullet"/>
      <w:lvlText w:val="•"/>
      <w:lvlJc w:val="left"/>
      <w:pPr>
        <w:ind w:left="2978" w:hanging="360"/>
      </w:pPr>
      <w:rPr>
        <w:rFonts w:hint="default"/>
      </w:rPr>
    </w:lvl>
    <w:lvl w:ilvl="4" w:tplc="B268BC92">
      <w:numFmt w:val="bullet"/>
      <w:lvlText w:val="•"/>
      <w:lvlJc w:val="left"/>
      <w:pPr>
        <w:ind w:left="3847" w:hanging="360"/>
      </w:pPr>
      <w:rPr>
        <w:rFonts w:hint="default"/>
      </w:rPr>
    </w:lvl>
    <w:lvl w:ilvl="5" w:tplc="BF607748">
      <w:numFmt w:val="bullet"/>
      <w:lvlText w:val="•"/>
      <w:lvlJc w:val="left"/>
      <w:pPr>
        <w:ind w:left="4716" w:hanging="360"/>
      </w:pPr>
      <w:rPr>
        <w:rFonts w:hint="default"/>
      </w:rPr>
    </w:lvl>
    <w:lvl w:ilvl="6" w:tplc="73E6A11E">
      <w:numFmt w:val="bullet"/>
      <w:lvlText w:val="•"/>
      <w:lvlJc w:val="left"/>
      <w:pPr>
        <w:ind w:left="5585" w:hanging="360"/>
      </w:pPr>
      <w:rPr>
        <w:rFonts w:hint="default"/>
      </w:rPr>
    </w:lvl>
    <w:lvl w:ilvl="7" w:tplc="76C84A38">
      <w:numFmt w:val="bullet"/>
      <w:lvlText w:val="•"/>
      <w:lvlJc w:val="left"/>
      <w:pPr>
        <w:ind w:left="6454" w:hanging="360"/>
      </w:pPr>
      <w:rPr>
        <w:rFonts w:hint="default"/>
      </w:rPr>
    </w:lvl>
    <w:lvl w:ilvl="8" w:tplc="CE5414FA">
      <w:numFmt w:val="bullet"/>
      <w:lvlText w:val="•"/>
      <w:lvlJc w:val="left"/>
      <w:pPr>
        <w:ind w:left="7323" w:hanging="360"/>
      </w:pPr>
      <w:rPr>
        <w:rFonts w:hint="default"/>
      </w:rPr>
    </w:lvl>
  </w:abstractNum>
  <w:num w:numId="1">
    <w:abstractNumId w:val="16"/>
  </w:num>
  <w:num w:numId="2">
    <w:abstractNumId w:val="20"/>
  </w:num>
  <w:num w:numId="3">
    <w:abstractNumId w:val="8"/>
  </w:num>
  <w:num w:numId="4">
    <w:abstractNumId w:val="26"/>
  </w:num>
  <w:num w:numId="5">
    <w:abstractNumId w:val="15"/>
  </w:num>
  <w:num w:numId="6">
    <w:abstractNumId w:val="47"/>
  </w:num>
  <w:num w:numId="7">
    <w:abstractNumId w:val="10"/>
  </w:num>
  <w:num w:numId="8">
    <w:abstractNumId w:val="4"/>
  </w:num>
  <w:num w:numId="9">
    <w:abstractNumId w:val="22"/>
  </w:num>
  <w:num w:numId="10">
    <w:abstractNumId w:val="6"/>
  </w:num>
  <w:num w:numId="11">
    <w:abstractNumId w:val="0"/>
  </w:num>
  <w:num w:numId="12">
    <w:abstractNumId w:val="71"/>
  </w:num>
  <w:num w:numId="13">
    <w:abstractNumId w:val="68"/>
  </w:num>
  <w:num w:numId="14">
    <w:abstractNumId w:val="2"/>
  </w:num>
  <w:num w:numId="15">
    <w:abstractNumId w:val="55"/>
  </w:num>
  <w:num w:numId="16">
    <w:abstractNumId w:val="56"/>
  </w:num>
  <w:num w:numId="17">
    <w:abstractNumId w:val="64"/>
  </w:num>
  <w:num w:numId="18">
    <w:abstractNumId w:val="36"/>
  </w:num>
  <w:num w:numId="19">
    <w:abstractNumId w:val="37"/>
  </w:num>
  <w:num w:numId="20">
    <w:abstractNumId w:val="41"/>
  </w:num>
  <w:num w:numId="21">
    <w:abstractNumId w:val="21"/>
  </w:num>
  <w:num w:numId="22">
    <w:abstractNumId w:val="12"/>
  </w:num>
  <w:num w:numId="23">
    <w:abstractNumId w:val="29"/>
  </w:num>
  <w:num w:numId="24">
    <w:abstractNumId w:val="69"/>
  </w:num>
  <w:num w:numId="25">
    <w:abstractNumId w:val="19"/>
  </w:num>
  <w:num w:numId="26">
    <w:abstractNumId w:val="14"/>
  </w:num>
  <w:num w:numId="27">
    <w:abstractNumId w:val="52"/>
  </w:num>
  <w:num w:numId="28">
    <w:abstractNumId w:val="13"/>
  </w:num>
  <w:num w:numId="29">
    <w:abstractNumId w:val="60"/>
  </w:num>
  <w:num w:numId="30">
    <w:abstractNumId w:val="38"/>
  </w:num>
  <w:num w:numId="31">
    <w:abstractNumId w:val="35"/>
  </w:num>
  <w:num w:numId="32">
    <w:abstractNumId w:val="32"/>
  </w:num>
  <w:num w:numId="33">
    <w:abstractNumId w:val="33"/>
  </w:num>
  <w:num w:numId="34">
    <w:abstractNumId w:val="66"/>
  </w:num>
  <w:num w:numId="35">
    <w:abstractNumId w:val="27"/>
  </w:num>
  <w:num w:numId="36">
    <w:abstractNumId w:val="30"/>
  </w:num>
  <w:num w:numId="37">
    <w:abstractNumId w:val="49"/>
  </w:num>
  <w:num w:numId="38">
    <w:abstractNumId w:val="50"/>
  </w:num>
  <w:num w:numId="39">
    <w:abstractNumId w:val="48"/>
  </w:num>
  <w:num w:numId="40">
    <w:abstractNumId w:val="67"/>
  </w:num>
  <w:num w:numId="41">
    <w:abstractNumId w:val="70"/>
  </w:num>
  <w:num w:numId="42">
    <w:abstractNumId w:val="34"/>
  </w:num>
  <w:num w:numId="43">
    <w:abstractNumId w:val="61"/>
  </w:num>
  <w:num w:numId="44">
    <w:abstractNumId w:val="46"/>
  </w:num>
  <w:num w:numId="45">
    <w:abstractNumId w:val="25"/>
  </w:num>
  <w:num w:numId="46">
    <w:abstractNumId w:val="53"/>
  </w:num>
  <w:num w:numId="47">
    <w:abstractNumId w:val="62"/>
  </w:num>
  <w:num w:numId="48">
    <w:abstractNumId w:val="43"/>
  </w:num>
  <w:num w:numId="49">
    <w:abstractNumId w:val="31"/>
  </w:num>
  <w:num w:numId="50">
    <w:abstractNumId w:val="65"/>
  </w:num>
  <w:num w:numId="51">
    <w:abstractNumId w:val="57"/>
  </w:num>
  <w:num w:numId="52">
    <w:abstractNumId w:val="42"/>
  </w:num>
  <w:num w:numId="53">
    <w:abstractNumId w:val="23"/>
  </w:num>
  <w:num w:numId="54">
    <w:abstractNumId w:val="51"/>
  </w:num>
  <w:num w:numId="55">
    <w:abstractNumId w:val="44"/>
  </w:num>
  <w:num w:numId="56">
    <w:abstractNumId w:val="63"/>
  </w:num>
  <w:num w:numId="57">
    <w:abstractNumId w:val="40"/>
  </w:num>
  <w:num w:numId="58">
    <w:abstractNumId w:val="3"/>
  </w:num>
  <w:num w:numId="59">
    <w:abstractNumId w:val="39"/>
  </w:num>
  <w:num w:numId="60">
    <w:abstractNumId w:val="7"/>
  </w:num>
  <w:num w:numId="61">
    <w:abstractNumId w:val="54"/>
  </w:num>
  <w:num w:numId="62">
    <w:abstractNumId w:val="18"/>
  </w:num>
  <w:num w:numId="63">
    <w:abstractNumId w:val="28"/>
  </w:num>
  <w:num w:numId="64">
    <w:abstractNumId w:val="59"/>
  </w:num>
  <w:num w:numId="65">
    <w:abstractNumId w:val="9"/>
  </w:num>
  <w:num w:numId="66">
    <w:abstractNumId w:val="11"/>
  </w:num>
  <w:num w:numId="67">
    <w:abstractNumId w:val="5"/>
  </w:num>
  <w:num w:numId="68">
    <w:abstractNumId w:val="24"/>
  </w:num>
  <w:num w:numId="69">
    <w:abstractNumId w:val="17"/>
  </w:num>
  <w:num w:numId="70">
    <w:abstractNumId w:val="1"/>
  </w:num>
  <w:num w:numId="71">
    <w:abstractNumId w:val="45"/>
  </w:num>
  <w:num w:numId="72">
    <w:abstractNumId w:val="5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6BB"/>
    <w:rsid w:val="00394B78"/>
    <w:rsid w:val="00792C55"/>
    <w:rsid w:val="007D76BB"/>
    <w:rsid w:val="00A51832"/>
    <w:rsid w:val="00D70D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9463F5F-60DC-4625-B681-9CE87BFE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rPr>
  </w:style>
  <w:style w:type="paragraph" w:styleId="Heading1">
    <w:name w:val="heading 1"/>
    <w:basedOn w:val="Normal"/>
    <w:uiPriority w:val="1"/>
    <w:qFormat/>
    <w:pPr>
      <w:spacing w:before="105"/>
      <w:ind w:left="482"/>
      <w:outlineLvl w:val="0"/>
    </w:pPr>
    <w:rPr>
      <w:rFonts w:ascii="Lucida Sans" w:eastAsia="Lucida Sans" w:hAnsi="Lucida Sans" w:cs="Lucida Sans"/>
      <w:sz w:val="56"/>
      <w:szCs w:val="56"/>
    </w:rPr>
  </w:style>
  <w:style w:type="paragraph" w:styleId="Heading2">
    <w:name w:val="heading 2"/>
    <w:basedOn w:val="Normal"/>
    <w:uiPriority w:val="1"/>
    <w:qFormat/>
    <w:pPr>
      <w:spacing w:before="87"/>
      <w:ind w:left="198"/>
      <w:outlineLvl w:val="1"/>
    </w:pPr>
    <w:rPr>
      <w:rFonts w:ascii="Arial" w:eastAsia="Arial" w:hAnsi="Arial" w:cs="Arial"/>
      <w:b/>
      <w:bCs/>
      <w:sz w:val="38"/>
      <w:szCs w:val="38"/>
    </w:rPr>
  </w:style>
  <w:style w:type="paragraph" w:styleId="Heading3">
    <w:name w:val="heading 3"/>
    <w:basedOn w:val="Normal"/>
    <w:uiPriority w:val="1"/>
    <w:qFormat/>
    <w:pPr>
      <w:spacing w:before="240"/>
      <w:ind w:left="198"/>
      <w:outlineLvl w:val="2"/>
    </w:pPr>
    <w:rPr>
      <w:rFonts w:ascii="Arial" w:eastAsia="Arial" w:hAnsi="Arial" w:cs="Arial"/>
      <w:b/>
      <w:bCs/>
      <w:sz w:val="32"/>
      <w:szCs w:val="32"/>
    </w:rPr>
  </w:style>
  <w:style w:type="paragraph" w:styleId="Heading4">
    <w:name w:val="heading 4"/>
    <w:basedOn w:val="Normal"/>
    <w:uiPriority w:val="1"/>
    <w:qFormat/>
    <w:pPr>
      <w:spacing w:before="104"/>
      <w:ind w:left="482"/>
      <w:outlineLvl w:val="3"/>
    </w:pPr>
    <w:rPr>
      <w:rFonts w:ascii="Lucida Sans" w:eastAsia="Lucida Sans" w:hAnsi="Lucida Sans" w:cs="Lucida Sans"/>
      <w:sz w:val="28"/>
      <w:szCs w:val="28"/>
    </w:rPr>
  </w:style>
  <w:style w:type="paragraph" w:styleId="Heading5">
    <w:name w:val="heading 5"/>
    <w:basedOn w:val="Normal"/>
    <w:uiPriority w:val="1"/>
    <w:qFormat/>
    <w:pPr>
      <w:ind w:left="198"/>
      <w:outlineLvl w:val="4"/>
    </w:pPr>
    <w:rPr>
      <w:b/>
      <w:bCs/>
      <w:sz w:val="26"/>
      <w:szCs w:val="26"/>
    </w:rPr>
  </w:style>
  <w:style w:type="paragraph" w:styleId="Heading6">
    <w:name w:val="heading 6"/>
    <w:basedOn w:val="Normal"/>
    <w:uiPriority w:val="1"/>
    <w:qFormat/>
    <w:pPr>
      <w:spacing w:before="100"/>
      <w:ind w:left="482"/>
      <w:outlineLvl w:val="5"/>
    </w:pPr>
    <w:rPr>
      <w:rFonts w:ascii="Arial" w:eastAsia="Arial" w:hAnsi="Arial" w:cs="Arial"/>
      <w:sz w:val="24"/>
      <w:szCs w:val="24"/>
    </w:rPr>
  </w:style>
  <w:style w:type="paragraph" w:styleId="Heading7">
    <w:name w:val="heading 7"/>
    <w:basedOn w:val="Normal"/>
    <w:uiPriority w:val="1"/>
    <w:qFormat/>
    <w:pPr>
      <w:spacing w:before="180"/>
      <w:ind w:left="198"/>
      <w:outlineLvl w:val="6"/>
    </w:pPr>
    <w:rPr>
      <w:b/>
      <w:bCs/>
    </w:rPr>
  </w:style>
  <w:style w:type="paragraph" w:styleId="Heading8">
    <w:name w:val="heading 8"/>
    <w:basedOn w:val="Normal"/>
    <w:uiPriority w:val="1"/>
    <w:qFormat/>
    <w:pPr>
      <w:ind w:left="198"/>
      <w:outlineLvl w:val="7"/>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6"/>
      <w:ind w:left="198"/>
    </w:pPr>
    <w:rPr>
      <w:rFonts w:ascii="Arial" w:eastAsia="Arial" w:hAnsi="Arial" w:cs="Arial"/>
      <w:b/>
      <w:bCs/>
      <w:sz w:val="32"/>
      <w:szCs w:val="32"/>
    </w:rPr>
  </w:style>
  <w:style w:type="paragraph" w:styleId="TOC2">
    <w:name w:val="toc 2"/>
    <w:basedOn w:val="Normal"/>
    <w:uiPriority w:val="1"/>
    <w:qFormat/>
    <w:pPr>
      <w:spacing w:before="119"/>
      <w:ind w:left="623"/>
    </w:pPr>
    <w:rPr>
      <w:b/>
      <w:bCs/>
      <w:sz w:val="25"/>
      <w:szCs w:val="25"/>
    </w:rPr>
  </w:style>
  <w:style w:type="paragraph" w:styleId="TOC3">
    <w:name w:val="toc 3"/>
    <w:basedOn w:val="Normal"/>
    <w:uiPriority w:val="1"/>
    <w:qFormat/>
    <w:pPr>
      <w:spacing w:before="119"/>
      <w:ind w:left="1050"/>
    </w:pPr>
    <w:rPr>
      <w:b/>
      <w:bCs/>
    </w:rPr>
  </w:style>
  <w:style w:type="paragraph" w:styleId="BodyText">
    <w:name w:val="Body Text"/>
    <w:basedOn w:val="Normal"/>
    <w:uiPriority w:val="1"/>
    <w:qFormat/>
  </w:style>
  <w:style w:type="paragraph" w:styleId="ListParagraph">
    <w:name w:val="List Paragraph"/>
    <w:basedOn w:val="Normal"/>
    <w:uiPriority w:val="1"/>
    <w:qFormat/>
    <w:pPr>
      <w:spacing w:before="180"/>
      <w:ind w:left="765" w:hanging="28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ais.gov.au/" TargetMode="External"/><Relationship Id="rId21" Type="http://schemas.openxmlformats.org/officeDocument/2006/relationships/footer" Target="footer2.xml"/><Relationship Id="rId42" Type="http://schemas.openxmlformats.org/officeDocument/2006/relationships/hyperlink" Target="https://www.legislation.gov.au/Details/C2017C00303" TargetMode="External"/><Relationship Id="rId63" Type="http://schemas.openxmlformats.org/officeDocument/2006/relationships/hyperlink" Target="https://www.tga.gov.au/publication/poisons-standard-susmp" TargetMode="External"/><Relationship Id="rId84" Type="http://schemas.openxmlformats.org/officeDocument/2006/relationships/hyperlink" Target="http://aana.com.au/content/uploads/2018/11/AANA_FB-Code_2019-1.pdf" TargetMode="External"/><Relationship Id="rId138" Type="http://schemas.openxmlformats.org/officeDocument/2006/relationships/hyperlink" Target="https://www.tga.gov.au/sites/default/files/attachment-a-draft-therapeutic-goods-declared-goods-order-2020.pdf" TargetMode="External"/><Relationship Id="rId159" Type="http://schemas.openxmlformats.org/officeDocument/2006/relationships/image" Target="media/image35.jpeg"/><Relationship Id="rId170" Type="http://schemas.openxmlformats.org/officeDocument/2006/relationships/hyperlink" Target="http://noeticgroup.com/" TargetMode="External"/><Relationship Id="rId191" Type="http://schemas.openxmlformats.org/officeDocument/2006/relationships/image" Target="media/image34.png"/><Relationship Id="rId205" Type="http://schemas.openxmlformats.org/officeDocument/2006/relationships/image" Target="media/image60.png"/><Relationship Id="rId226" Type="http://schemas.openxmlformats.org/officeDocument/2006/relationships/hyperlink" Target="https://www.abs.gov.au/AUSSTATS/abs%40.nsf/DetailsPage/6306.0May%202018?OpenDocument" TargetMode="External"/><Relationship Id="rId247" Type="http://schemas.openxmlformats.org/officeDocument/2006/relationships/hyperlink" Target="http://noeticgroup.com/" TargetMode="External"/><Relationship Id="rId107" Type="http://schemas.openxmlformats.org/officeDocument/2006/relationships/hyperlink" Target="https://www.tga.gov.au/book-page/amending-poisons-standard" TargetMode="External"/><Relationship Id="rId268" Type="http://schemas.openxmlformats.org/officeDocument/2006/relationships/footer" Target="footer24.xml"/><Relationship Id="rId289" Type="http://schemas.openxmlformats.org/officeDocument/2006/relationships/footer" Target="footer25.xml"/><Relationship Id="rId11" Type="http://schemas.openxmlformats.org/officeDocument/2006/relationships/image" Target="media/image3.png"/><Relationship Id="rId32" Type="http://schemas.openxmlformats.org/officeDocument/2006/relationships/image" Target="media/image9.png"/><Relationship Id="rId53" Type="http://schemas.openxmlformats.org/officeDocument/2006/relationships/header" Target="header3.xml"/><Relationship Id="rId74" Type="http://schemas.openxmlformats.org/officeDocument/2006/relationships/hyperlink" Target="https://www.tga.gov.au/labelling-changes-information-sponsors" TargetMode="External"/><Relationship Id="rId128" Type="http://schemas.openxmlformats.org/officeDocument/2006/relationships/hyperlink" Target="https://www.fda.gov/food/dietary-supplements/dietary-supplement-products-ingredients" TargetMode="External"/><Relationship Id="rId149" Type="http://schemas.openxmlformats.org/officeDocument/2006/relationships/hyperlink" Target="https://www.tga.gov.au/food-medicine-interface-guidance-tool-fmigt" TargetMode="External"/><Relationship Id="rId5" Type="http://schemas.openxmlformats.org/officeDocument/2006/relationships/footnotes" Target="footnotes.xml"/><Relationship Id="rId95" Type="http://schemas.openxmlformats.org/officeDocument/2006/relationships/hyperlink" Target="http://www.abc.net.au/news/2016-02-14/man-faced-death-after-taking-popular-weight-loss-" TargetMode="External"/><Relationship Id="rId160" Type="http://schemas.openxmlformats.org/officeDocument/2006/relationships/image" Target="media/image36.png"/><Relationship Id="rId181" Type="http://schemas.openxmlformats.org/officeDocument/2006/relationships/hyperlink" Target="https://www.tga.gov.au/update-proposed-clarification-certain-sports-supplements-are-therapeutic-goods" TargetMode="External"/><Relationship Id="rId216" Type="http://schemas.openxmlformats.org/officeDocument/2006/relationships/image" Target="media/image62.png"/><Relationship Id="rId237" Type="http://schemas.openxmlformats.org/officeDocument/2006/relationships/hyperlink" Target="https://www.legislation.gov.au/Series/F2019L01597" TargetMode="External"/><Relationship Id="rId258" Type="http://schemas.openxmlformats.org/officeDocument/2006/relationships/header" Target="header21.xml"/><Relationship Id="rId279" Type="http://schemas.openxmlformats.org/officeDocument/2006/relationships/hyperlink" Target="http://www.foodstandards.gov.au/code/proposals/Pages/P1010.aspx" TargetMode="External"/><Relationship Id="rId22" Type="http://schemas.openxmlformats.org/officeDocument/2006/relationships/image" Target="media/image5.png"/><Relationship Id="rId43" Type="http://schemas.openxmlformats.org/officeDocument/2006/relationships/hyperlink" Target="https://www.coag.gov.au/about-coag/agreements/trans-tasman-mutual-recognition-arrangement-arrangement-between-australian" TargetMode="External"/><Relationship Id="rId64" Type="http://schemas.openxmlformats.org/officeDocument/2006/relationships/hyperlink" Target="https://www.tga.gov.au/publication/poisons-standard-susmp" TargetMode="External"/><Relationship Id="rId118" Type="http://schemas.openxmlformats.org/officeDocument/2006/relationships/hyperlink" Target="https://www.olympic.org/the-ioc" TargetMode="External"/><Relationship Id="rId139" Type="http://schemas.openxmlformats.org/officeDocument/2006/relationships/hyperlink" Target="https://www.tga.gov.au/sites/default/files/attachment-a-draft-therapeutic-goods-declared-goods-order-2020.pdf" TargetMode="External"/><Relationship Id="rId290" Type="http://schemas.openxmlformats.org/officeDocument/2006/relationships/fontTable" Target="fontTable.xml"/><Relationship Id="rId85" Type="http://schemas.openxmlformats.org/officeDocument/2006/relationships/hyperlink" Target="http://aana.com.au/content/uploads/2018/03/180316-Code-for-Advertising-and-Marketing-Communications-to-Children.pdf" TargetMode="External"/><Relationship Id="rId150" Type="http://schemas.openxmlformats.org/officeDocument/2006/relationships/header" Target="header17.xml"/><Relationship Id="rId171" Type="http://schemas.openxmlformats.org/officeDocument/2006/relationships/hyperlink" Target="http://noeticgroup.com/" TargetMode="External"/><Relationship Id="rId192" Type="http://schemas.openxmlformats.org/officeDocument/2006/relationships/image" Target="media/image35.png"/><Relationship Id="rId206" Type="http://schemas.openxmlformats.org/officeDocument/2006/relationships/image" Target="media/image61.png"/><Relationship Id="rId227" Type="http://schemas.openxmlformats.org/officeDocument/2006/relationships/hyperlink" Target="https://ais.gov.au/data/assets/pdf_file/0004/698557/AIS-Sports-SupplementFramework-2019.pdf" TargetMode="External"/><Relationship Id="rId248" Type="http://schemas.openxmlformats.org/officeDocument/2006/relationships/hyperlink" Target="http://noeticgroup.com/" TargetMode="External"/><Relationship Id="rId269" Type="http://schemas.openxmlformats.org/officeDocument/2006/relationships/hyperlink" Target="http://www.health.nsw.gov.au/Hospitals/Going_To_hospital/cost-" TargetMode="External"/><Relationship Id="rId12" Type="http://schemas.openxmlformats.org/officeDocument/2006/relationships/hyperlink" Target="mailto:tga.copyright@tga.gov.au" TargetMode="External"/><Relationship Id="rId33" Type="http://schemas.openxmlformats.org/officeDocument/2006/relationships/image" Target="media/image11.png"/><Relationship Id="rId108" Type="http://schemas.openxmlformats.org/officeDocument/2006/relationships/hyperlink" Target="https://www.tga.gov.au/book-page/amending-poisons-standard" TargetMode="External"/><Relationship Id="rId129" Type="http://schemas.openxmlformats.org/officeDocument/2006/relationships/hyperlink" Target="https://www.tandfonline.com/doi/full/10.1080/19390211.2018.1513109" TargetMode="External"/><Relationship Id="rId280" Type="http://schemas.openxmlformats.org/officeDocument/2006/relationships/hyperlink" Target="http://www.fda.gov/consumers/consumer-updates/caution-bodybuilding-products-can-be-" TargetMode="External"/><Relationship Id="rId54" Type="http://schemas.openxmlformats.org/officeDocument/2006/relationships/footer" Target="footer3.xml"/><Relationship Id="rId75" Type="http://schemas.openxmlformats.org/officeDocument/2006/relationships/hyperlink" Target="https://www.tga.gov.au/legislation-legislative-instruments" TargetMode="External"/><Relationship Id="rId96" Type="http://schemas.openxmlformats.org/officeDocument/2006/relationships/hyperlink" Target="http://www.abc.net.au/news/2016-02-14/man-faced-death-after-taking-popular-weight-loss-" TargetMode="External"/><Relationship Id="rId140" Type="http://schemas.openxmlformats.org/officeDocument/2006/relationships/header" Target="header13.xml"/><Relationship Id="rId161" Type="http://schemas.openxmlformats.org/officeDocument/2006/relationships/image" Target="media/image37.png"/><Relationship Id="rId182" Type="http://schemas.openxmlformats.org/officeDocument/2006/relationships/hyperlink" Target="https://www.tga.gov.au/sites/default/files/tga-presentation-regulation-sports-supplements-proposal-consultation.pdf" TargetMode="External"/><Relationship Id="rId217" Type="http://schemas.openxmlformats.org/officeDocument/2006/relationships/image" Target="media/image63.png"/><Relationship Id="rId6" Type="http://schemas.openxmlformats.org/officeDocument/2006/relationships/endnotes" Target="endnotes.xml"/><Relationship Id="rId238" Type="http://schemas.openxmlformats.org/officeDocument/2006/relationships/hyperlink" Target="https://www.pmc.gov.au/sites/default/files/publications/regulatory-burden-measurement-framework.pdf" TargetMode="External"/><Relationship Id="rId259" Type="http://schemas.openxmlformats.org/officeDocument/2006/relationships/footer" Target="footer21.xml"/><Relationship Id="rId23" Type="http://schemas.openxmlformats.org/officeDocument/2006/relationships/image" Target="media/image6.jpeg"/><Relationship Id="rId119" Type="http://schemas.openxmlformats.org/officeDocument/2006/relationships/hyperlink" Target="https://bjsm.bmj.com/content/bjsports/52/7/439.full.pdf" TargetMode="External"/><Relationship Id="rId270" Type="http://schemas.openxmlformats.org/officeDocument/2006/relationships/hyperlink" Target="http://www.asada.gov.au/news/blog-i-had-14-days-live" TargetMode="External"/><Relationship Id="rId291" Type="http://schemas.openxmlformats.org/officeDocument/2006/relationships/theme" Target="theme/theme1.xml"/><Relationship Id="rId44" Type="http://schemas.openxmlformats.org/officeDocument/2006/relationships/hyperlink" Target="https://www.coag.gov.au/about-coag/agreements/trans-tasman-mutual-recognition-arrangement-arrangement-between-australian" TargetMode="External"/><Relationship Id="rId65" Type="http://schemas.openxmlformats.org/officeDocument/2006/relationships/hyperlink" Target="https://www.tga.gov.au/publication/poisons-standard-susmp" TargetMode="External"/><Relationship Id="rId86" Type="http://schemas.openxmlformats.org/officeDocument/2006/relationships/hyperlink" Target="https://www.afgc.org.au/industry-resources/rcmi-and-qsri" TargetMode="External"/><Relationship Id="rId130" Type="http://schemas.openxmlformats.org/officeDocument/2006/relationships/hyperlink" Target="http://webprod.hc-sc.gc.ca/nhpid-bdipsn/atReq.do?atid=workout.supplements.entrainement&amp;h" TargetMode="External"/><Relationship Id="rId151" Type="http://schemas.openxmlformats.org/officeDocument/2006/relationships/footer" Target="footer17.xml"/><Relationship Id="rId172" Type="http://schemas.openxmlformats.org/officeDocument/2006/relationships/image" Target="media/image31.png"/><Relationship Id="rId193" Type="http://schemas.openxmlformats.org/officeDocument/2006/relationships/image" Target="media/image42.png"/><Relationship Id="rId207" Type="http://schemas.openxmlformats.org/officeDocument/2006/relationships/image" Target="media/image53.png"/><Relationship Id="rId228" Type="http://schemas.openxmlformats.org/officeDocument/2006/relationships/hyperlink" Target="https://ais.gov.au/data/assets/pdf_file/0004/698557/AIS-Sports-SupplementFramework-2019.pdf" TargetMode="External"/><Relationship Id="rId249" Type="http://schemas.openxmlformats.org/officeDocument/2006/relationships/image" Target="media/image69.png"/><Relationship Id="rId13" Type="http://schemas.openxmlformats.org/officeDocument/2006/relationships/header" Target="header1.xml"/><Relationship Id="rId109" Type="http://schemas.openxmlformats.org/officeDocument/2006/relationships/hyperlink" Target="https://www.wada-ama.org/" TargetMode="External"/><Relationship Id="rId260" Type="http://schemas.openxmlformats.org/officeDocument/2006/relationships/header" Target="header22.xml"/><Relationship Id="rId281" Type="http://schemas.openxmlformats.org/officeDocument/2006/relationships/hyperlink" Target="http://www.gov.uk/government/news/mhra-urges-people-to-be-cautious-" TargetMode="External"/><Relationship Id="rId34" Type="http://schemas.openxmlformats.org/officeDocument/2006/relationships/image" Target="media/image16.png"/><Relationship Id="rId50" Type="http://schemas.openxmlformats.org/officeDocument/2006/relationships/image" Target="media/image21.png"/><Relationship Id="rId55" Type="http://schemas.openxmlformats.org/officeDocument/2006/relationships/image" Target="media/image15.png"/><Relationship Id="rId76" Type="http://schemas.openxmlformats.org/officeDocument/2006/relationships/hyperlink" Target="https://www.tga.gov.au/advertising-advertising-code-and-guidance" TargetMode="External"/><Relationship Id="rId97" Type="http://schemas.openxmlformats.org/officeDocument/2006/relationships/header" Target="header9.xml"/><Relationship Id="rId104" Type="http://schemas.openxmlformats.org/officeDocument/2006/relationships/header" Target="header11.xml"/><Relationship Id="rId120" Type="http://schemas.openxmlformats.org/officeDocument/2006/relationships/hyperlink" Target="https://bjsm.bmj.com/content/bjsports/52/7/439.full.pdf" TargetMode="External"/><Relationship Id="rId125" Type="http://schemas.openxmlformats.org/officeDocument/2006/relationships/hyperlink" Target="https://www.foodstandards.gov.au/publications/Pages/gettingyourclaimsright.aspx" TargetMode="External"/><Relationship Id="rId141" Type="http://schemas.openxmlformats.org/officeDocument/2006/relationships/footer" Target="footer13.xml"/><Relationship Id="rId146" Type="http://schemas.openxmlformats.org/officeDocument/2006/relationships/header" Target="header16.xml"/><Relationship Id="rId167" Type="http://schemas.openxmlformats.org/officeDocument/2006/relationships/hyperlink" Target="http://noeticgroup.com/" TargetMode="External"/><Relationship Id="rId188" Type="http://schemas.openxmlformats.org/officeDocument/2006/relationships/image" Target="media/image32.png"/><Relationship Id="rId7" Type="http://schemas.openxmlformats.org/officeDocument/2006/relationships/image" Target="media/image1.jpeg"/><Relationship Id="rId71" Type="http://schemas.openxmlformats.org/officeDocument/2006/relationships/hyperlink" Target="https://www.tga.gov.au/therapeutic-goods-determinations" TargetMode="External"/><Relationship Id="rId92" Type="http://schemas.openxmlformats.org/officeDocument/2006/relationships/footer" Target="footer7.xml"/><Relationship Id="rId162" Type="http://schemas.openxmlformats.org/officeDocument/2006/relationships/image" Target="media/image38.png"/><Relationship Id="rId183" Type="http://schemas.openxmlformats.org/officeDocument/2006/relationships/hyperlink" Target="https://www.pmc.gov.au/resource-centre/regulation/regulatory-burden-measurement-framework-guidance-note" TargetMode="External"/><Relationship Id="rId213" Type="http://schemas.openxmlformats.org/officeDocument/2006/relationships/image" Target="media/image57.png"/><Relationship Id="rId218" Type="http://schemas.openxmlformats.org/officeDocument/2006/relationships/image" Target="media/image66.png"/><Relationship Id="rId234" Type="http://schemas.openxmlformats.org/officeDocument/2006/relationships/hyperlink" Target="http://www.legislation.gov.au/Details/C2020C00028" TargetMode="External"/><Relationship Id="rId239" Type="http://schemas.openxmlformats.org/officeDocument/2006/relationships/hyperlink" Target="https://www.pmc.gov.au/sites/default/files/publications/regulatory-burden-measurement-framework.pdf" TargetMode="External"/><Relationship Id="rId2" Type="http://schemas.openxmlformats.org/officeDocument/2006/relationships/styles" Target="styles.xml"/><Relationship Id="rId29" Type="http://schemas.openxmlformats.org/officeDocument/2006/relationships/image" Target="media/image13.jpeg"/><Relationship Id="rId250" Type="http://schemas.openxmlformats.org/officeDocument/2006/relationships/image" Target="media/image70.png"/><Relationship Id="rId255" Type="http://schemas.openxmlformats.org/officeDocument/2006/relationships/image" Target="media/image80.png"/><Relationship Id="rId271" Type="http://schemas.openxmlformats.org/officeDocument/2006/relationships/hyperlink" Target="http://www.pmc.gov.au/sites/default/files/publications/value-of-statistical-life-guidance-" TargetMode="External"/><Relationship Id="rId276" Type="http://schemas.openxmlformats.org/officeDocument/2006/relationships/hyperlink" Target="http://www.asada.gov.au/news/media-statement-skate-athlete-receives-sanction-henry-" TargetMode="External"/><Relationship Id="rId24" Type="http://schemas.openxmlformats.org/officeDocument/2006/relationships/image" Target="media/image7.png"/><Relationship Id="rId40" Type="http://schemas.openxmlformats.org/officeDocument/2006/relationships/hyperlink" Target="https://www.legislation.gov.au/Series/C2004A04512" TargetMode="External"/><Relationship Id="rId45" Type="http://schemas.openxmlformats.org/officeDocument/2006/relationships/hyperlink" Target="https://www.abf.gov.au/" TargetMode="External"/><Relationship Id="rId66" Type="http://schemas.openxmlformats.org/officeDocument/2006/relationships/hyperlink" Target="https://www.tga.gov.au/publication/poisons-standard-susmp" TargetMode="External"/><Relationship Id="rId87" Type="http://schemas.openxmlformats.org/officeDocument/2006/relationships/hyperlink" Target="https://www.afgc.org.au/industry-resources/rcmi-and-qsri" TargetMode="External"/><Relationship Id="rId110" Type="http://schemas.openxmlformats.org/officeDocument/2006/relationships/hyperlink" Target="https://www.wada-ama.org/en/content/what-is-prohibited?gclid=EAIaIQobChMIk5PyxrKM6QIVi34rCh24UQToEAAYASAAEgL1O_D_BwE" TargetMode="External"/><Relationship Id="rId115" Type="http://schemas.openxmlformats.org/officeDocument/2006/relationships/hyperlink" Target="https://www.health.gov.au/contacts/sports-integrity-australia" TargetMode="External"/><Relationship Id="rId131" Type="http://schemas.openxmlformats.org/officeDocument/2006/relationships/hyperlink" Target="https://www.cen.eu/Pages/default.aspx" TargetMode="External"/><Relationship Id="rId136" Type="http://schemas.openxmlformats.org/officeDocument/2006/relationships/hyperlink" Target="https://www.tga.gov.au/consultation/consultation-proposed-clarification-certain-sports-supplements-are-therapeutic-goods" TargetMode="External"/><Relationship Id="rId157" Type="http://schemas.openxmlformats.org/officeDocument/2006/relationships/image" Target="media/image29.png"/><Relationship Id="rId178" Type="http://schemas.openxmlformats.org/officeDocument/2006/relationships/hyperlink" Target="https://www.legislation.gov.au/Details/C2020C00028" TargetMode="External"/><Relationship Id="rId61" Type="http://schemas.openxmlformats.org/officeDocument/2006/relationships/hyperlink" Target="https://www.tga.gov.au/therapeutic-goods-determinations" TargetMode="External"/><Relationship Id="rId82" Type="http://schemas.openxmlformats.org/officeDocument/2006/relationships/hyperlink" Target="https://www.tga.gov.au/publication/tga-approved-terminology-medicines" TargetMode="External"/><Relationship Id="rId152" Type="http://schemas.openxmlformats.org/officeDocument/2006/relationships/image" Target="media/image20.jpeg"/><Relationship Id="rId173" Type="http://schemas.openxmlformats.org/officeDocument/2006/relationships/image" Target="media/image43.png"/><Relationship Id="rId194" Type="http://schemas.openxmlformats.org/officeDocument/2006/relationships/image" Target="media/image44.png"/><Relationship Id="rId199" Type="http://schemas.openxmlformats.org/officeDocument/2006/relationships/image" Target="media/image54.png"/><Relationship Id="rId203" Type="http://schemas.openxmlformats.org/officeDocument/2006/relationships/image" Target="media/image52.png"/><Relationship Id="rId208" Type="http://schemas.openxmlformats.org/officeDocument/2006/relationships/image" Target="media/image55.png"/><Relationship Id="rId229" Type="http://schemas.openxmlformats.org/officeDocument/2006/relationships/hyperlink" Target="https://www.asada.gov.au/substances/supplements-sport" TargetMode="External"/><Relationship Id="rId19" Type="http://schemas.openxmlformats.org/officeDocument/2006/relationships/hyperlink" Target="https://www.tga.gov.au/consultation/consultation-proposed-clarification-certain-sports-supplements-are-therapeutic-goods" TargetMode="External"/><Relationship Id="rId224" Type="http://schemas.openxmlformats.org/officeDocument/2006/relationships/hyperlink" Target="https://www.abs.gov.au/ausstats/abs%40.nsf/0/7F76D15354BB25D5CA2575BC001D5866?Opendocument" TargetMode="External"/><Relationship Id="rId240" Type="http://schemas.openxmlformats.org/officeDocument/2006/relationships/hyperlink" Target="https://www.saveaussiesupplements.com.au/" TargetMode="External"/><Relationship Id="rId245" Type="http://schemas.openxmlformats.org/officeDocument/2006/relationships/hyperlink" Target="http://noeticgroup.com/" TargetMode="External"/><Relationship Id="rId261" Type="http://schemas.openxmlformats.org/officeDocument/2006/relationships/footer" Target="footer22.xml"/><Relationship Id="rId266" Type="http://schemas.openxmlformats.org/officeDocument/2006/relationships/hyperlink" Target="http://www2.lgcgroup.com/australiansupplementsurvey" TargetMode="External"/><Relationship Id="rId287" Type="http://schemas.openxmlformats.org/officeDocument/2006/relationships/hyperlink" Target="https://www.tga.gov.au/" TargetMode="External"/><Relationship Id="rId14" Type="http://schemas.openxmlformats.org/officeDocument/2006/relationships/footer" Target="footer1.xml"/><Relationship Id="rId30" Type="http://schemas.openxmlformats.org/officeDocument/2006/relationships/hyperlink" Target="https://www.foodstandards.gov.au/code/Pages/default.aspx" TargetMode="External"/><Relationship Id="rId35" Type="http://schemas.openxmlformats.org/officeDocument/2006/relationships/image" Target="media/image17.png"/><Relationship Id="rId56" Type="http://schemas.openxmlformats.org/officeDocument/2006/relationships/image" Target="media/image18.png"/><Relationship Id="rId77" Type="http://schemas.openxmlformats.org/officeDocument/2006/relationships/hyperlink" Target="https://www.tga.gov.au/legislation-legislative-instruments" TargetMode="External"/><Relationship Id="rId100" Type="http://schemas.openxmlformats.org/officeDocument/2006/relationships/hyperlink" Target="https://www.tga.gov.au/consultation-invitation/consultation-proposed-amendments-poisons-standard-acms-and-joint-accsacms-meetings-november-2019" TargetMode="External"/><Relationship Id="rId105" Type="http://schemas.openxmlformats.org/officeDocument/2006/relationships/footer" Target="footer11.xml"/><Relationship Id="rId126" Type="http://schemas.openxmlformats.org/officeDocument/2006/relationships/hyperlink" Target="https://www.fda.gov/food/dietary-supplement-products-ingredients/dietary-supplement-ingredient-advisory-list" TargetMode="External"/><Relationship Id="rId147" Type="http://schemas.openxmlformats.org/officeDocument/2006/relationships/footer" Target="footer16.xml"/><Relationship Id="rId168" Type="http://schemas.openxmlformats.org/officeDocument/2006/relationships/header" Target="header18.xml"/><Relationship Id="rId282" Type="http://schemas.openxmlformats.org/officeDocument/2006/relationships/hyperlink" Target="http://webprod.hc-/" TargetMode="External"/><Relationship Id="rId8" Type="http://schemas.openxmlformats.org/officeDocument/2006/relationships/image" Target="media/image2.png"/><Relationship Id="rId51" Type="http://schemas.openxmlformats.org/officeDocument/2006/relationships/hyperlink" Target="https://www.foodstandards.gov.au/publications/Pages/gettingyourclaimsright.aspx" TargetMode="External"/><Relationship Id="rId72" Type="http://schemas.openxmlformats.org/officeDocument/2006/relationships/header" Target="header6.xml"/><Relationship Id="rId93" Type="http://schemas.openxmlformats.org/officeDocument/2006/relationships/header" Target="header8.xml"/><Relationship Id="rId98" Type="http://schemas.openxmlformats.org/officeDocument/2006/relationships/footer" Target="footer9.xml"/><Relationship Id="rId121" Type="http://schemas.openxmlformats.org/officeDocument/2006/relationships/hyperlink" Target="https://www.sportintegrity.gov.au/news/blog/2019-10/natural-substance-banning-athletes-sport" TargetMode="External"/><Relationship Id="rId142" Type="http://schemas.openxmlformats.org/officeDocument/2006/relationships/header" Target="header14.xml"/><Relationship Id="rId163" Type="http://schemas.openxmlformats.org/officeDocument/2006/relationships/image" Target="media/image39.png"/><Relationship Id="rId184" Type="http://schemas.openxmlformats.org/officeDocument/2006/relationships/hyperlink" Target="https://www.wada-ama.org/en/questions-answers/prohibited-list-qa" TargetMode="External"/><Relationship Id="rId189" Type="http://schemas.openxmlformats.org/officeDocument/2006/relationships/hyperlink" Target="https://www.abs.gov.au/AUSSTATS/abs%40.nsf/DetailsPage/6306.0May%202018?OpenDocument" TargetMode="External"/><Relationship Id="rId219" Type="http://schemas.openxmlformats.org/officeDocument/2006/relationships/image" Target="media/image68.png"/><Relationship Id="rId3" Type="http://schemas.openxmlformats.org/officeDocument/2006/relationships/settings" Target="settings.xml"/><Relationship Id="rId214" Type="http://schemas.openxmlformats.org/officeDocument/2006/relationships/hyperlink" Target="https://www.tga.gov.au/form/listed-medicines-evidence-package-checklists" TargetMode="External"/><Relationship Id="rId230" Type="http://schemas.openxmlformats.org/officeDocument/2006/relationships/hyperlink" Target="http://www.foodstandards.gov.au/about/safefoodsystem/pages/default.aspx" TargetMode="External"/><Relationship Id="rId235" Type="http://schemas.openxmlformats.org/officeDocument/2006/relationships/hyperlink" Target="https://www.legislation.gov.au/Details/F2017C00336" TargetMode="External"/><Relationship Id="rId251" Type="http://schemas.openxmlformats.org/officeDocument/2006/relationships/image" Target="media/image71.png"/><Relationship Id="rId256" Type="http://schemas.openxmlformats.org/officeDocument/2006/relationships/image" Target="media/image81.png"/><Relationship Id="rId277" Type="http://schemas.openxmlformats.org/officeDocument/2006/relationships/hyperlink" Target="http://www.asada.gov.au/substances/supplements-sport" TargetMode="External"/><Relationship Id="rId25" Type="http://schemas.openxmlformats.org/officeDocument/2006/relationships/image" Target="media/image8.jpeg"/><Relationship Id="rId46" Type="http://schemas.openxmlformats.org/officeDocument/2006/relationships/hyperlink" Target="https://www.tga.gov.au/personal-importation-scheme" TargetMode="External"/><Relationship Id="rId67" Type="http://schemas.openxmlformats.org/officeDocument/2006/relationships/image" Target="media/image19.png"/><Relationship Id="rId116" Type="http://schemas.openxmlformats.org/officeDocument/2006/relationships/hyperlink" Target="https://www.sportintegrity.gov.au/news/blog/2019-10/natural-substance-banning-athletes-sport" TargetMode="External"/><Relationship Id="rId137" Type="http://schemas.openxmlformats.org/officeDocument/2006/relationships/hyperlink" Target="https://www.tga.gov.au/consultation/consultation-proposed-clarification-certain-sports-supplements-are-therapeutic-goods" TargetMode="External"/><Relationship Id="rId158" Type="http://schemas.openxmlformats.org/officeDocument/2006/relationships/image" Target="media/image30.png"/><Relationship Id="rId272" Type="http://schemas.openxmlformats.org/officeDocument/2006/relationships/hyperlink" Target="http://www.health.nsw.gov.au/news/Pages/20180831_00.aspx" TargetMode="External"/><Relationship Id="rId20" Type="http://schemas.openxmlformats.org/officeDocument/2006/relationships/header" Target="header2.xml"/><Relationship Id="rId41" Type="http://schemas.openxmlformats.org/officeDocument/2006/relationships/hyperlink" Target="https://www.legislation.gov.au/Series/C2004A04512" TargetMode="External"/><Relationship Id="rId62" Type="http://schemas.openxmlformats.org/officeDocument/2006/relationships/hyperlink" Target="https://www.tga.gov.au/publication/poisons-standard-susmp" TargetMode="External"/><Relationship Id="rId83" Type="http://schemas.openxmlformats.org/officeDocument/2006/relationships/hyperlink" Target="http://aana.com.au/content/uploads/2018/03/180316-Code-of-Ethics.pdf" TargetMode="External"/><Relationship Id="rId88" Type="http://schemas.openxmlformats.org/officeDocument/2006/relationships/hyperlink" Target="https://www.afgc.org.au/industry-resources/rcmi-and-qsri" TargetMode="External"/><Relationship Id="rId111" Type="http://schemas.openxmlformats.org/officeDocument/2006/relationships/header" Target="header12.xml"/><Relationship Id="rId132" Type="http://schemas.openxmlformats.org/officeDocument/2006/relationships/hyperlink" Target="https://standards.cen.eu/dyn/www/f?p=204%3A110%3A0%3A%3A%3A%3AFSP_PROJECT%2CFSP_LANG_ID%3A67192%2C25&amp;cs=1C5DE0980318E74FDD3AC69A1D13A0531" TargetMode="External"/><Relationship Id="rId153" Type="http://schemas.openxmlformats.org/officeDocument/2006/relationships/image" Target="media/image22.png"/><Relationship Id="rId174" Type="http://schemas.openxmlformats.org/officeDocument/2006/relationships/header" Target="header19.xml"/><Relationship Id="rId179" Type="http://schemas.openxmlformats.org/officeDocument/2006/relationships/hyperlink" Target="https://www.legislation.gov.au/Details/F2017C00336" TargetMode="External"/><Relationship Id="rId195" Type="http://schemas.openxmlformats.org/officeDocument/2006/relationships/image" Target="media/image50.png"/><Relationship Id="rId209" Type="http://schemas.openxmlformats.org/officeDocument/2006/relationships/image" Target="media/image64.png"/><Relationship Id="rId190" Type="http://schemas.openxmlformats.org/officeDocument/2006/relationships/image" Target="media/image33.jpeg"/><Relationship Id="rId204" Type="http://schemas.openxmlformats.org/officeDocument/2006/relationships/image" Target="media/image59.png"/><Relationship Id="rId220" Type="http://schemas.openxmlformats.org/officeDocument/2006/relationships/hyperlink" Target="https://www.tga.gov.au/regulatory-affairs-consultants" TargetMode="External"/><Relationship Id="rId225" Type="http://schemas.openxmlformats.org/officeDocument/2006/relationships/hyperlink" Target="https://www.abs.gov.au/AUSSTATS/abs%40.nsf/DetailsPage/6306.0May%202018?OpenDocument" TargetMode="External"/><Relationship Id="rId241" Type="http://schemas.openxmlformats.org/officeDocument/2006/relationships/hyperlink" Target="https://www.saveaussiesupplements.com.au/faqs/" TargetMode="External"/><Relationship Id="rId246" Type="http://schemas.openxmlformats.org/officeDocument/2006/relationships/hyperlink" Target="http://noeticgroup.com/" TargetMode="External"/><Relationship Id="rId267" Type="http://schemas.openxmlformats.org/officeDocument/2006/relationships/header" Target="header24.xml"/><Relationship Id="rId288" Type="http://schemas.openxmlformats.org/officeDocument/2006/relationships/header" Target="header25.xml"/><Relationship Id="rId15" Type="http://schemas.openxmlformats.org/officeDocument/2006/relationships/hyperlink" Target="https://www.tga.gov.au/publication/poisons-standard-susmp" TargetMode="External"/><Relationship Id="rId36" Type="http://schemas.openxmlformats.org/officeDocument/2006/relationships/hyperlink" Target="https://www.tga.gov.au/therapeutic-goods-determinations" TargetMode="External"/><Relationship Id="rId57" Type="http://schemas.openxmlformats.org/officeDocument/2006/relationships/image" Target="media/image24.png"/><Relationship Id="rId106" Type="http://schemas.openxmlformats.org/officeDocument/2006/relationships/hyperlink" Target="https://www.tga.gov.au/publication/poisons-standard-susmp" TargetMode="External"/><Relationship Id="rId127" Type="http://schemas.openxmlformats.org/officeDocument/2006/relationships/hyperlink" Target="https://www.fda.gov/food/dietary-supplements/dietary-supplement-products-ingredients" TargetMode="External"/><Relationship Id="rId262" Type="http://schemas.openxmlformats.org/officeDocument/2006/relationships/hyperlink" Target="https://www.tga.gov.au/scheduling-decision-final/notice-final-decisions-amend-or-not-amend-current-poisons-standard-may-2020" TargetMode="External"/><Relationship Id="rId283" Type="http://schemas.openxmlformats.org/officeDocument/2006/relationships/hyperlink" Target="http://www.essna.com/legislation/" TargetMode="External"/><Relationship Id="rId10" Type="http://schemas.openxmlformats.org/officeDocument/2006/relationships/image" Target="media/image4.png"/><Relationship Id="rId31" Type="http://schemas.openxmlformats.org/officeDocument/2006/relationships/hyperlink" Target="https://www.foodstandards.gov.au/code/Pages/default.aspx" TargetMode="External"/><Relationship Id="rId52" Type="http://schemas.openxmlformats.org/officeDocument/2006/relationships/hyperlink" Target="https://www.foodstandards.gov.au/publications/Pages/gettingyourclaimsright.aspx" TargetMode="External"/><Relationship Id="rId73" Type="http://schemas.openxmlformats.org/officeDocument/2006/relationships/footer" Target="footer6.xml"/><Relationship Id="rId78" Type="http://schemas.openxmlformats.org/officeDocument/2006/relationships/hyperlink" Target="https://www.tga.gov.au/therapeutic-goods-determinations" TargetMode="External"/><Relationship Id="rId94" Type="http://schemas.openxmlformats.org/officeDocument/2006/relationships/footer" Target="footer8.xml"/><Relationship Id="rId99" Type="http://schemas.openxmlformats.org/officeDocument/2006/relationships/hyperlink" Target="https://www.tga.gov.au/publication/poisons-standard-susmp" TargetMode="External"/><Relationship Id="rId101" Type="http://schemas.openxmlformats.org/officeDocument/2006/relationships/hyperlink" Target="https://www.tga.gov.au/consultation-invitation/consultation-proposed-amendments-poisons-standard-acms-and-joint-accsacms-meetings-november-2019" TargetMode="External"/><Relationship Id="rId122" Type="http://schemas.openxmlformats.org/officeDocument/2006/relationships/hyperlink" Target="https://www.sportintegrity.gov.au/news/blog/2019-10/natural-substance-banning-athletes-sport" TargetMode="External"/><Relationship Id="rId143" Type="http://schemas.openxmlformats.org/officeDocument/2006/relationships/footer" Target="footer14.xml"/><Relationship Id="rId148" Type="http://schemas.openxmlformats.org/officeDocument/2006/relationships/hyperlink" Target="https://www.tga.gov.au/food-medicine-interface-guidance-tool-fmigt" TargetMode="External"/><Relationship Id="rId164" Type="http://schemas.openxmlformats.org/officeDocument/2006/relationships/image" Target="media/image40.png"/><Relationship Id="rId169" Type="http://schemas.openxmlformats.org/officeDocument/2006/relationships/footer" Target="footer18.xml"/><Relationship Id="rId185" Type="http://schemas.openxmlformats.org/officeDocument/2006/relationships/hyperlink" Target="https://www.wada-ama.org/en/questions-answers/prohibited-list-qa" TargetMode="Externa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yperlink" Target="https://www.saveaussiesupplements.com.au/faqs/" TargetMode="External"/><Relationship Id="rId210" Type="http://schemas.openxmlformats.org/officeDocument/2006/relationships/image" Target="media/image65.png"/><Relationship Id="rId215" Type="http://schemas.openxmlformats.org/officeDocument/2006/relationships/image" Target="media/image58.png"/><Relationship Id="rId236" Type="http://schemas.openxmlformats.org/officeDocument/2006/relationships/hyperlink" Target="https://www.legislation.gov.au/Details/F2020L00017" TargetMode="External"/><Relationship Id="rId257" Type="http://schemas.openxmlformats.org/officeDocument/2006/relationships/hyperlink" Target="http://www.noeticgroup.com/" TargetMode="External"/><Relationship Id="rId278" Type="http://schemas.openxmlformats.org/officeDocument/2006/relationships/hyperlink" Target="http://www.safeworkaustralia.gov.au/drugs-alcohol" TargetMode="External"/><Relationship Id="rId26" Type="http://schemas.openxmlformats.org/officeDocument/2006/relationships/image" Target="media/image10.png"/><Relationship Id="rId231" Type="http://schemas.openxmlformats.org/officeDocument/2006/relationships/hyperlink" Target="https://www.foodstandards.gov.au/code/Documents/2.9.4%20Sports%20foods%20v157.pdf" TargetMode="External"/><Relationship Id="rId252" Type="http://schemas.openxmlformats.org/officeDocument/2006/relationships/image" Target="media/image72.png"/><Relationship Id="rId273" Type="http://schemas.openxmlformats.org/officeDocument/2006/relationships/hyperlink" Target="http://www.fda.gov/drugs/drug-safety-" TargetMode="External"/><Relationship Id="rId47" Type="http://schemas.openxmlformats.org/officeDocument/2006/relationships/image" Target="media/image13.png"/><Relationship Id="rId68" Type="http://schemas.openxmlformats.org/officeDocument/2006/relationships/image" Target="media/image27.png"/><Relationship Id="rId89" Type="http://schemas.openxmlformats.org/officeDocument/2006/relationships/hyperlink" Target="https://www.afgc.org.au/industry-resources/rcmi-and-qsri" TargetMode="External"/><Relationship Id="rId112" Type="http://schemas.openxmlformats.org/officeDocument/2006/relationships/footer" Target="footer12.xml"/><Relationship Id="rId133" Type="http://schemas.openxmlformats.org/officeDocument/2006/relationships/hyperlink" Target="https://standards.cen.eu/dyn/www/f?p=204%3A110%3A0%3A%3A%3A%3AFSP_PROJECT%2CFSP_LANG_ID%3A67192%2C25&amp;cs=1C5DE0980318E74FDD3AC69A1D13A0531" TargetMode="External"/><Relationship Id="rId154" Type="http://schemas.openxmlformats.org/officeDocument/2006/relationships/image" Target="media/image23.png"/><Relationship Id="rId175" Type="http://schemas.openxmlformats.org/officeDocument/2006/relationships/footer" Target="footer19.xml"/><Relationship Id="rId196" Type="http://schemas.openxmlformats.org/officeDocument/2006/relationships/image" Target="media/image45.png"/><Relationship Id="rId200" Type="http://schemas.openxmlformats.org/officeDocument/2006/relationships/image" Target="media/image48.png"/><Relationship Id="rId16" Type="http://schemas.openxmlformats.org/officeDocument/2006/relationships/hyperlink" Target="https://www.tga.gov.au/publication/poisons-standard-susmp" TargetMode="External"/><Relationship Id="rId221" Type="http://schemas.openxmlformats.org/officeDocument/2006/relationships/hyperlink" Target="https://www.tga.gov.au/types-ingredients-listed-and-registered-complementary-medicines" TargetMode="External"/><Relationship Id="rId242" Type="http://schemas.openxmlformats.org/officeDocument/2006/relationships/hyperlink" Target="https://www.tga.gov.au/media-release/sports-supplements-australia" TargetMode="External"/><Relationship Id="rId263" Type="http://schemas.openxmlformats.org/officeDocument/2006/relationships/header" Target="header23.xml"/><Relationship Id="rId284" Type="http://schemas.openxmlformats.org/officeDocument/2006/relationships/hyperlink" Target="http://www.nutraingredients.com/Article/2017/08/10/Supplement-" TargetMode="External"/><Relationship Id="rId37" Type="http://schemas.openxmlformats.org/officeDocument/2006/relationships/hyperlink" Target="https://www.tga.gov.au/therapeutic-goods-determinations" TargetMode="External"/><Relationship Id="rId58" Type="http://schemas.openxmlformats.org/officeDocument/2006/relationships/image" Target="media/image25.png"/><Relationship Id="rId79" Type="http://schemas.openxmlformats.org/officeDocument/2006/relationships/hyperlink" Target="https://www.tga.gov.au/therapeutic-goods-determinations" TargetMode="External"/><Relationship Id="rId102" Type="http://schemas.openxmlformats.org/officeDocument/2006/relationships/header" Target="header10.xml"/><Relationship Id="rId123" Type="http://schemas.openxmlformats.org/officeDocument/2006/relationships/hyperlink" Target="https://www.sportintegrity.gov.au/what-we-do/supplements-sport" TargetMode="External"/><Relationship Id="rId144" Type="http://schemas.openxmlformats.org/officeDocument/2006/relationships/header" Target="header15.xml"/><Relationship Id="rId90" Type="http://schemas.openxmlformats.org/officeDocument/2006/relationships/hyperlink" Target="https://www.google.com/url?sa=t&amp;rct=j&amp;q&amp;esrc=s&amp;source=web&amp;cd=2&amp;cad=rja&amp;uact=8&amp;ved=2ahUKEwjC2tGNyNroAhUj4nMBHZPQD8cQFjABegQICxAE&amp;url=https%3A%2F%2Fwww.tga.gov.au%2Fadvertising-advertising-code-and-guidance&amp;usg=AOvVaw1F-Ieg6bY3I7UILXQTW8bM" TargetMode="External"/><Relationship Id="rId165" Type="http://schemas.openxmlformats.org/officeDocument/2006/relationships/image" Target="media/image41.png"/><Relationship Id="rId186" Type="http://schemas.openxmlformats.org/officeDocument/2006/relationships/hyperlink" Target="https://www.pmc.gov.au/resource-centre/regulation/regulatory-burden-measurement-framework-guidance-note" TargetMode="External"/><Relationship Id="rId211" Type="http://schemas.openxmlformats.org/officeDocument/2006/relationships/image" Target="media/image56.png"/><Relationship Id="rId232" Type="http://schemas.openxmlformats.org/officeDocument/2006/relationships/hyperlink" Target="http://www.foodstandards.gov.au/consumer/nutrition/sportfood/Pages/default.aspx" TargetMode="External"/><Relationship Id="rId253" Type="http://schemas.openxmlformats.org/officeDocument/2006/relationships/image" Target="media/image78.png"/><Relationship Id="rId274" Type="http://schemas.openxmlformats.org/officeDocument/2006/relationships/hyperlink" Target="http://www.fda.gov/media/76365/download" TargetMode="External"/><Relationship Id="rId27" Type="http://schemas.openxmlformats.org/officeDocument/2006/relationships/image" Target="media/image11.jpeg"/><Relationship Id="rId48" Type="http://schemas.openxmlformats.org/officeDocument/2006/relationships/image" Target="media/image14.png"/><Relationship Id="rId69" Type="http://schemas.openxmlformats.org/officeDocument/2006/relationships/header" Target="header5.xml"/><Relationship Id="rId113" Type="http://schemas.openxmlformats.org/officeDocument/2006/relationships/hyperlink" Target="http://www.unesco.org/new/en/social-and-human-sciences/themes/anti-doping/international-convention-against-doping-in-sport/" TargetMode="External"/><Relationship Id="rId134" Type="http://schemas.openxmlformats.org/officeDocument/2006/relationships/hyperlink" Target="https://standards.cen.eu/dyn/www/f?p=204%3A110%3A0%3A%3A%3A%3AFSP_PROJECT%2CFSP_LANG_ID%3A67192%2C25&amp;cs=1C5DE0980318E74FDD3AC69A1D13A0531" TargetMode="External"/><Relationship Id="rId80" Type="http://schemas.openxmlformats.org/officeDocument/2006/relationships/hyperlink" Target="https://www.tga.gov.au/publication/required-advisory-statements-medicine-labels-rasml" TargetMode="External"/><Relationship Id="rId155" Type="http://schemas.openxmlformats.org/officeDocument/2006/relationships/image" Target="media/image26.png"/><Relationship Id="rId176" Type="http://schemas.openxmlformats.org/officeDocument/2006/relationships/header" Target="header20.xml"/><Relationship Id="rId197" Type="http://schemas.openxmlformats.org/officeDocument/2006/relationships/image" Target="media/image46.png"/><Relationship Id="rId201" Type="http://schemas.openxmlformats.org/officeDocument/2006/relationships/image" Target="media/image49.png"/><Relationship Id="rId222" Type="http://schemas.openxmlformats.org/officeDocument/2006/relationships/hyperlink" Target="https://www.asada.gov.au/substances/supplements-sport" TargetMode="External"/><Relationship Id="rId243" Type="http://schemas.openxmlformats.org/officeDocument/2006/relationships/hyperlink" Target="https://www.tga.gov.au/sites/default/files/consultation-proposed-clarification-certainsports-supplements-are-therapeutic-goods_0.pdf" TargetMode="External"/><Relationship Id="rId264" Type="http://schemas.openxmlformats.org/officeDocument/2006/relationships/footer" Target="footer23.xml"/><Relationship Id="rId285" Type="http://schemas.openxmlformats.org/officeDocument/2006/relationships/hyperlink" Target="http://www.canada.ca/en/department-national-" TargetMode="External"/><Relationship Id="rId17" Type="http://schemas.openxmlformats.org/officeDocument/2006/relationships/hyperlink" Target="https://www.wada-ama.org/en/media/news/2020-01/wada-2020-list-of-prohibited-substances-and-methods-now-in-force?gclid=EAIaIQobChMI_7GD8Y2F6gIVBx4rCh0EFw1hEAAYASAAEgIru_D_BwE" TargetMode="External"/><Relationship Id="rId38" Type="http://schemas.openxmlformats.org/officeDocument/2006/relationships/hyperlink" Target="https://www.tga.gov.au/publication/poisons-standard-susmp" TargetMode="External"/><Relationship Id="rId59" Type="http://schemas.openxmlformats.org/officeDocument/2006/relationships/header" Target="header4.xml"/><Relationship Id="rId103" Type="http://schemas.openxmlformats.org/officeDocument/2006/relationships/footer" Target="footer10.xml"/><Relationship Id="rId124" Type="http://schemas.openxmlformats.org/officeDocument/2006/relationships/hyperlink" Target="http://www.legislation.govt.nz/act/public/2014/0032/latest/DLM2996074.html?search=sw_096be8ed8199a48f_medicine_25_se&amp;p=1&amp;sr=0" TargetMode="External"/><Relationship Id="rId70" Type="http://schemas.openxmlformats.org/officeDocument/2006/relationships/footer" Target="footer5.xml"/><Relationship Id="rId91" Type="http://schemas.openxmlformats.org/officeDocument/2006/relationships/header" Target="header7.xml"/><Relationship Id="rId145" Type="http://schemas.openxmlformats.org/officeDocument/2006/relationships/footer" Target="footer15.xml"/><Relationship Id="rId166" Type="http://schemas.openxmlformats.org/officeDocument/2006/relationships/hyperlink" Target="mailto:Darren.moore@noeticgroup.com" TargetMode="External"/><Relationship Id="rId187" Type="http://schemas.openxmlformats.org/officeDocument/2006/relationships/hyperlink" Target="https://www.abs.gov.au/ausstats/abs%40.nsf/0/7F76D15354BB25D5CA2575BC001D5866?Opendocument" TargetMode="External"/><Relationship Id="rId1" Type="http://schemas.openxmlformats.org/officeDocument/2006/relationships/numbering" Target="numbering.xml"/><Relationship Id="rId212" Type="http://schemas.openxmlformats.org/officeDocument/2006/relationships/image" Target="media/image67.png"/><Relationship Id="rId233" Type="http://schemas.openxmlformats.org/officeDocument/2006/relationships/hyperlink" Target="https://laws-lois.justice.gc.ca/eng/regulations/SOR-2003-196/FullText.html" TargetMode="External"/><Relationship Id="rId254" Type="http://schemas.openxmlformats.org/officeDocument/2006/relationships/image" Target="media/image79.png"/><Relationship Id="rId28" Type="http://schemas.openxmlformats.org/officeDocument/2006/relationships/image" Target="media/image12.png"/><Relationship Id="rId49" Type="http://schemas.openxmlformats.org/officeDocument/2006/relationships/image" Target="media/image20.png"/><Relationship Id="rId114" Type="http://schemas.openxmlformats.org/officeDocument/2006/relationships/hyperlink" Target="http://www.unesco.org/new/en/social-and-human-sciences/themes/anti-doping/international-convention-against-doping-in-sport/" TargetMode="External"/><Relationship Id="rId275" Type="http://schemas.openxmlformats.org/officeDocument/2006/relationships/hyperlink" Target="http://www.fda.gov/news-events/fda-brief/fda-brief-fda-warns-against-using-sarms-body-" TargetMode="External"/><Relationship Id="rId60" Type="http://schemas.openxmlformats.org/officeDocument/2006/relationships/footer" Target="footer4.xml"/><Relationship Id="rId81" Type="http://schemas.openxmlformats.org/officeDocument/2006/relationships/hyperlink" Target="https://www.tga.gov.au/publication/poisons-standard-susmp" TargetMode="External"/><Relationship Id="rId135" Type="http://schemas.openxmlformats.org/officeDocument/2006/relationships/hyperlink" Target="https://www.health.nsw.gov.au/Hospitals/Going_To_hospital/cost-of-care/Pages/default.aspx" TargetMode="External"/><Relationship Id="rId156" Type="http://schemas.openxmlformats.org/officeDocument/2006/relationships/image" Target="media/image28.png"/><Relationship Id="rId177" Type="http://schemas.openxmlformats.org/officeDocument/2006/relationships/footer" Target="footer20.xml"/><Relationship Id="rId198" Type="http://schemas.openxmlformats.org/officeDocument/2006/relationships/image" Target="media/image47.png"/><Relationship Id="rId202" Type="http://schemas.openxmlformats.org/officeDocument/2006/relationships/image" Target="media/image51.png"/><Relationship Id="rId223" Type="http://schemas.openxmlformats.org/officeDocument/2006/relationships/hyperlink" Target="https://www.abs.gov.au/ausstats/abs%40.nsf/0/7F76D15354BB25D5CA2575BC001D5866?Opendocument" TargetMode="External"/><Relationship Id="rId244" Type="http://schemas.openxmlformats.org/officeDocument/2006/relationships/hyperlink" Target="https://www.tga.gov.au/sites/default/files/consultation-proposed-clarification-certainsports-supplements-are-therapeutic-goods_0.pdf" TargetMode="External"/><Relationship Id="rId18" Type="http://schemas.openxmlformats.org/officeDocument/2006/relationships/hyperlink" Target="https://www.tga.gov.au/consultation/consultation-proposed-clarification-certain-sports-supplements-are-therapeutic-goods" TargetMode="External"/><Relationship Id="rId39" Type="http://schemas.openxmlformats.org/officeDocument/2006/relationships/hyperlink" Target="https://www.agriculture.gov.au/import/goods/plant-products/importing-plant-products-for-human-consumption" TargetMode="External"/><Relationship Id="rId265" Type="http://schemas.openxmlformats.org/officeDocument/2006/relationships/hyperlink" Target="https://ods.od.nih.gov/factsheets/ExerciseAndAthleticPerformance-HealthProfessional/" TargetMode="External"/><Relationship Id="rId286" Type="http://schemas.openxmlformats.org/officeDocument/2006/relationships/hyperlink" Target="mailto:info@tga.gov.au" TargetMode="External"/></Relationships>
</file>

<file path=word/_rels/footer20.xml.rels><?xml version="1.0" encoding="UTF-8" standalone="yes"?>
<Relationships xmlns="http://schemas.openxmlformats.org/package/2006/relationships"><Relationship Id="rId2" Type="http://schemas.openxmlformats.org/officeDocument/2006/relationships/hyperlink" Target="http://noeticgroup.com/" TargetMode="External"/><Relationship Id="rId1" Type="http://schemas.openxmlformats.org/officeDocument/2006/relationships/hyperlink" Target="http://noeticgroup.com/" TargetMode="External"/></Relationships>
</file>

<file path=word/_rels/header18.xml.rels><?xml version="1.0" encoding="UTF-8" standalone="yes"?>
<Relationships xmlns="http://schemas.openxmlformats.org/package/2006/relationships"><Relationship Id="rId2" Type="http://schemas.openxmlformats.org/officeDocument/2006/relationships/hyperlink" Target="http://noeticgroup.com/" TargetMode="External"/><Relationship Id="rId1" Type="http://schemas.openxmlformats.org/officeDocument/2006/relationships/hyperlink" Target="http://noeticgroup.com/" TargetMode="External"/></Relationships>
</file>

<file path=word/_rels/header19.xml.rels><?xml version="1.0" encoding="UTF-8" standalone="yes"?>
<Relationships xmlns="http://schemas.openxmlformats.org/package/2006/relationships"><Relationship Id="rId2" Type="http://schemas.openxmlformats.org/officeDocument/2006/relationships/hyperlink" Target="http://noeticgroup.com/" TargetMode="External"/><Relationship Id="rId1" Type="http://schemas.openxmlformats.org/officeDocument/2006/relationships/hyperlink" Target="http://noeticgroup.com/" TargetMode="External"/></Relationships>
</file>

<file path=word/_rels/header20.xml.rels><?xml version="1.0" encoding="UTF-8" standalone="yes"?>
<Relationships xmlns="http://schemas.openxmlformats.org/package/2006/relationships"><Relationship Id="rId2" Type="http://schemas.openxmlformats.org/officeDocument/2006/relationships/hyperlink" Target="http://noeticgroup.com/" TargetMode="External"/><Relationship Id="rId1" Type="http://schemas.openxmlformats.org/officeDocument/2006/relationships/hyperlink" Target="http://noeticgrou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150</Pages>
  <Words>62460</Words>
  <Characters>353529</Characters>
  <Application>Microsoft Office Word</Application>
  <DocSecurity>4</DocSecurity>
  <Lines>8838</Lines>
  <Paragraphs>3851</Paragraphs>
  <ScaleCrop>false</ScaleCrop>
  <HeadingPairs>
    <vt:vector size="2" baseType="variant">
      <vt:variant>
        <vt:lpstr>Title</vt:lpstr>
      </vt:variant>
      <vt:variant>
        <vt:i4>1</vt:i4>
      </vt:variant>
    </vt:vector>
  </HeadingPairs>
  <TitlesOfParts>
    <vt:vector size="1" baseType="lpstr">
      <vt:lpstr/>
    </vt:vector>
  </TitlesOfParts>
  <Company>Department of Health</Company>
  <LinksUpToDate>false</LinksUpToDate>
  <CharactersWithSpaces>412138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Wilkinson, Diane</dc:creator>
  <cp:lastModifiedBy>Edlington, Mandy</cp:lastModifiedBy>
  <cp:revision>2</cp:revision>
  <dcterms:created xsi:type="dcterms:W3CDTF">2020-09-18T03:54:00Z</dcterms:created>
  <dcterms:modified xsi:type="dcterms:W3CDTF">2020-09-18T03:54:00Z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2020-07-17T00:00:00Z</vt:filetime>
  </property>
  <property fmtid="{D5CDD505-2E9C-101B-9397-08002B2CF9AE}" pid="3" name="Creator">
    <vt:lpwstr>Adobe Acrobat Pro DC 20.9.20067</vt:lpwstr>
  </property>
  <property fmtid="{D5CDD505-2E9C-101B-9397-08002B2CF9AE}" pid="4" name="LastSaved">
    <vt:filetime>2020-09-15T00:00:00Z</vt:filetime>
  </property>
</Properties>
</file>