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29CE" w14:textId="61AB1BFA" w:rsidR="001515FF" w:rsidRDefault="001515FF" w:rsidP="001515F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bookmarkEnd w:id="0"/>
      <w:r w:rsidRPr="007E0A01">
        <w:rPr>
          <w:rFonts w:ascii="Arial" w:hAnsi="Arial" w:cs="Arial"/>
          <w:sz w:val="34"/>
          <w:szCs w:val="34"/>
        </w:rPr>
        <w:t>Explanatory Statement</w:t>
      </w:r>
    </w:p>
    <w:p w14:paraId="7C5D3EFA" w14:textId="77777777" w:rsidR="001515FF" w:rsidRDefault="001515FF" w:rsidP="001515F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1C90919C" w14:textId="77777777" w:rsidR="001515FF" w:rsidRPr="00182B68" w:rsidRDefault="001515FF" w:rsidP="001515FF">
      <w:pPr>
        <w:pStyle w:val="Header"/>
        <w:pBdr>
          <w:top w:val="double" w:sz="4" w:space="1" w:color="auto"/>
          <w:bottom w:val="double" w:sz="4" w:space="1" w:color="auto"/>
        </w:pBdr>
        <w:tabs>
          <w:tab w:val="clear" w:pos="4153"/>
          <w:tab w:val="clear" w:pos="8306"/>
        </w:tabs>
        <w:jc w:val="center"/>
        <w:rPr>
          <w:rFonts w:ascii="Arial" w:hAnsi="Arial" w:cs="Arial"/>
          <w:bCs/>
          <w:sz w:val="34"/>
          <w:szCs w:val="34"/>
        </w:rPr>
      </w:pPr>
      <w:r w:rsidRPr="00182B68">
        <w:rPr>
          <w:rFonts w:ascii="Arial" w:hAnsi="Arial" w:cs="Arial"/>
          <w:bCs/>
          <w:sz w:val="34"/>
          <w:szCs w:val="34"/>
        </w:rPr>
        <w:t xml:space="preserve">A New Tax System (Goods and Services Tax) Third Party Adjustment Note Information Requirements Determination 2020 </w:t>
      </w:r>
    </w:p>
    <w:p w14:paraId="70B03FDA" w14:textId="77777777" w:rsidR="001515FF" w:rsidRDefault="001515FF" w:rsidP="001515FF">
      <w:pPr>
        <w:pStyle w:val="Heading2"/>
      </w:pPr>
    </w:p>
    <w:p w14:paraId="0D33054F" w14:textId="322FD94D" w:rsidR="001515FF" w:rsidRDefault="001515FF" w:rsidP="001515FF">
      <w:pPr>
        <w:pStyle w:val="Heading2"/>
      </w:pPr>
      <w:r w:rsidRPr="00240CFB">
        <w:t>General Outline of Instrument</w:t>
      </w:r>
    </w:p>
    <w:p w14:paraId="795F5733" w14:textId="77777777" w:rsidR="001515FF" w:rsidRPr="00C16977" w:rsidRDefault="001515FF" w:rsidP="001515FF">
      <w:pPr>
        <w:pStyle w:val="ListParagraph"/>
        <w:numPr>
          <w:ilvl w:val="0"/>
          <w:numId w:val="50"/>
        </w:numPr>
        <w:spacing w:after="120"/>
        <w:rPr>
          <w:rFonts w:ascii="Arial" w:hAnsi="Arial" w:cs="Arial"/>
        </w:rPr>
      </w:pPr>
      <w:r w:rsidRPr="00C16977">
        <w:rPr>
          <w:rFonts w:ascii="Arial" w:hAnsi="Arial" w:cs="Arial"/>
        </w:rPr>
        <w:t xml:space="preserve">This instrument is made under subsection 134-20(1)(d) of the </w:t>
      </w:r>
      <w:r w:rsidRPr="00F16ACE">
        <w:rPr>
          <w:rFonts w:ascii="Arial" w:hAnsi="Arial" w:cs="Arial"/>
          <w:i/>
          <w:iCs/>
        </w:rPr>
        <w:t>A New Tax System (Goods and Services Tax) Act 1999</w:t>
      </w:r>
      <w:r w:rsidRPr="00C16977">
        <w:rPr>
          <w:rFonts w:ascii="Arial" w:hAnsi="Arial" w:cs="Arial"/>
        </w:rPr>
        <w:t xml:space="preserve">. </w:t>
      </w:r>
    </w:p>
    <w:p w14:paraId="59A145DF" w14:textId="77777777" w:rsidR="001515FF" w:rsidRPr="00976204" w:rsidRDefault="001515FF" w:rsidP="001515FF">
      <w:pPr>
        <w:pStyle w:val="ListParagraph"/>
        <w:numPr>
          <w:ilvl w:val="0"/>
          <w:numId w:val="50"/>
        </w:numPr>
        <w:spacing w:after="120"/>
        <w:rPr>
          <w:rFonts w:ascii="Arial" w:hAnsi="Arial" w:cs="Arial"/>
        </w:rPr>
      </w:pPr>
      <w:r w:rsidRPr="00976204">
        <w:rPr>
          <w:rFonts w:ascii="Arial" w:hAnsi="Arial" w:cs="Arial"/>
        </w:rPr>
        <w:t>This instrument repeals and replaces F2010L01588 registered on the Federal Register of Legislation on 16 June 2010 and which is due to sunset.</w:t>
      </w:r>
    </w:p>
    <w:p w14:paraId="1B027014" w14:textId="77777777" w:rsidR="001515FF" w:rsidRDefault="001515FF" w:rsidP="001515FF">
      <w:pPr>
        <w:pStyle w:val="ListParagraph"/>
        <w:numPr>
          <w:ilvl w:val="0"/>
          <w:numId w:val="50"/>
        </w:numPr>
        <w:spacing w:after="120"/>
        <w:rPr>
          <w:rFonts w:ascii="Arial" w:hAnsi="Arial" w:cs="Arial"/>
        </w:rPr>
      </w:pPr>
      <w:r w:rsidRPr="00DD6647">
        <w:rPr>
          <w:rFonts w:ascii="Arial" w:hAnsi="Arial" w:cs="Arial"/>
        </w:rPr>
        <w:t xml:space="preserve">This instrument describes the information that must be included in a </w:t>
      </w:r>
      <w:proofErr w:type="gramStart"/>
      <w:r w:rsidRPr="00DD6647">
        <w:rPr>
          <w:rFonts w:ascii="Arial" w:hAnsi="Arial" w:cs="Arial"/>
        </w:rPr>
        <w:t>third party</w:t>
      </w:r>
      <w:proofErr w:type="gramEnd"/>
      <w:r w:rsidRPr="00DD6647">
        <w:rPr>
          <w:rFonts w:ascii="Arial" w:hAnsi="Arial" w:cs="Arial"/>
        </w:rPr>
        <w:t xml:space="preserve"> adjustment note. </w:t>
      </w:r>
    </w:p>
    <w:p w14:paraId="4792709A" w14:textId="77777777" w:rsidR="001515FF" w:rsidRDefault="001515FF" w:rsidP="001515FF">
      <w:pPr>
        <w:pStyle w:val="ListParagraph"/>
        <w:numPr>
          <w:ilvl w:val="0"/>
          <w:numId w:val="50"/>
        </w:numPr>
        <w:spacing w:after="120"/>
        <w:rPr>
          <w:rFonts w:ascii="Arial" w:hAnsi="Arial" w:cs="Arial"/>
        </w:rPr>
      </w:pPr>
      <w:r w:rsidRPr="00DD6647">
        <w:rPr>
          <w:rFonts w:ascii="Arial" w:hAnsi="Arial" w:cs="Arial"/>
        </w:rPr>
        <w:t xml:space="preserve">The instrument is a legislative instrument for the purposes of the </w:t>
      </w:r>
      <w:r w:rsidRPr="009A56D5">
        <w:rPr>
          <w:rFonts w:ascii="Arial" w:hAnsi="Arial" w:cs="Arial"/>
          <w:i/>
          <w:iCs/>
        </w:rPr>
        <w:t>Legislation Act 2003</w:t>
      </w:r>
      <w:r w:rsidRPr="00DD6647">
        <w:rPr>
          <w:rFonts w:ascii="Arial" w:hAnsi="Arial" w:cs="Arial"/>
        </w:rPr>
        <w:t>.</w:t>
      </w:r>
    </w:p>
    <w:p w14:paraId="57F6ACC5" w14:textId="2AF4754C" w:rsidR="001515FF" w:rsidRDefault="001515FF" w:rsidP="001515FF">
      <w:pPr>
        <w:pStyle w:val="ListParagraph"/>
        <w:numPr>
          <w:ilvl w:val="0"/>
          <w:numId w:val="50"/>
        </w:numPr>
        <w:spacing w:after="120"/>
        <w:rPr>
          <w:rFonts w:ascii="Arial" w:hAnsi="Arial" w:cs="Arial"/>
        </w:rPr>
      </w:pPr>
      <w:r w:rsidRPr="00DD6647">
        <w:rPr>
          <w:rFonts w:ascii="Arial" w:hAnsi="Arial" w:cs="Arial"/>
        </w:rPr>
        <w:t xml:space="preserve">Under subsection 33(3) of the </w:t>
      </w:r>
      <w:r w:rsidRPr="00F16ACE">
        <w:rPr>
          <w:rFonts w:ascii="Arial" w:hAnsi="Arial" w:cs="Arial"/>
          <w:i/>
          <w:iCs/>
        </w:rPr>
        <w:t>Acts Interpretation Act 1901</w:t>
      </w:r>
      <w:r w:rsidRPr="00DD6647">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F44ABDD" w14:textId="77777777" w:rsidR="001515FF" w:rsidRPr="00DD6647" w:rsidRDefault="001515FF" w:rsidP="001515FF">
      <w:pPr>
        <w:pStyle w:val="ListParagraph"/>
        <w:spacing w:after="120"/>
        <w:ind w:left="0"/>
        <w:rPr>
          <w:rFonts w:ascii="Arial" w:hAnsi="Arial" w:cs="Arial"/>
        </w:rPr>
      </w:pPr>
    </w:p>
    <w:p w14:paraId="45ED8ED3" w14:textId="77777777" w:rsidR="001515FF" w:rsidRPr="00240CFB" w:rsidRDefault="001515FF" w:rsidP="001515FF">
      <w:pPr>
        <w:pStyle w:val="Heading2"/>
        <w:spacing w:line="276" w:lineRule="auto"/>
      </w:pPr>
      <w:r w:rsidRPr="00240CFB">
        <w:t>Date of effect</w:t>
      </w:r>
    </w:p>
    <w:p w14:paraId="458D0114" w14:textId="77777777" w:rsidR="001515FF" w:rsidRPr="00EB5144" w:rsidRDefault="001515FF" w:rsidP="001515FF">
      <w:pPr>
        <w:numPr>
          <w:ilvl w:val="0"/>
          <w:numId w:val="50"/>
        </w:numPr>
        <w:spacing w:after="120" w:line="276" w:lineRule="auto"/>
        <w:rPr>
          <w:rFonts w:ascii="Arial" w:hAnsi="Arial" w:cs="Arial"/>
          <w:color w:val="0000FF"/>
          <w:sz w:val="22"/>
          <w:szCs w:val="22"/>
        </w:rPr>
      </w:pPr>
      <w:r w:rsidRPr="00240CFB">
        <w:rPr>
          <w:rFonts w:ascii="Arial" w:hAnsi="Arial" w:cs="Arial"/>
          <w:sz w:val="22"/>
          <w:szCs w:val="22"/>
        </w:rPr>
        <w:t xml:space="preserve">This instrument commences on </w:t>
      </w:r>
      <w:r>
        <w:rPr>
          <w:rFonts w:ascii="Arial" w:hAnsi="Arial" w:cs="Arial"/>
          <w:sz w:val="22"/>
          <w:szCs w:val="22"/>
        </w:rPr>
        <w:t>1 October 2020.</w:t>
      </w:r>
    </w:p>
    <w:p w14:paraId="3E93FDB5" w14:textId="08823387" w:rsidR="001515FF" w:rsidRDefault="001515FF" w:rsidP="001515FF">
      <w:pPr>
        <w:spacing w:after="120" w:line="276" w:lineRule="auto"/>
        <w:rPr>
          <w:rFonts w:ascii="Arial" w:hAnsi="Arial" w:cs="Arial"/>
          <w:sz w:val="22"/>
          <w:szCs w:val="22"/>
        </w:rPr>
      </w:pPr>
      <w:r w:rsidRPr="00050FA7">
        <w:rPr>
          <w:rFonts w:ascii="Arial" w:hAnsi="Arial" w:cs="Arial"/>
          <w:sz w:val="22"/>
          <w:szCs w:val="22"/>
        </w:rPr>
        <w:t xml:space="preserve">Under </w:t>
      </w:r>
      <w:r>
        <w:rPr>
          <w:rFonts w:ascii="Arial" w:hAnsi="Arial" w:cs="Arial"/>
          <w:sz w:val="22"/>
          <w:szCs w:val="22"/>
        </w:rPr>
        <w:t>sub</w:t>
      </w:r>
      <w:r w:rsidRPr="00050FA7">
        <w:rPr>
          <w:rFonts w:ascii="Arial" w:hAnsi="Arial" w:cs="Arial"/>
          <w:sz w:val="22"/>
          <w:szCs w:val="22"/>
        </w:rPr>
        <w:t xml:space="preserve">section 12(2) of the </w:t>
      </w:r>
      <w:r w:rsidRPr="00050FA7">
        <w:rPr>
          <w:rFonts w:ascii="Arial" w:hAnsi="Arial" w:cs="Arial"/>
          <w:i/>
          <w:sz w:val="22"/>
          <w:szCs w:val="22"/>
        </w:rPr>
        <w:t>Legislation Act 2003</w:t>
      </w:r>
      <w:r w:rsidRPr="00050FA7">
        <w:rPr>
          <w:rFonts w:ascii="Arial" w:hAnsi="Arial" w:cs="Arial"/>
          <w:sz w:val="22"/>
          <w:szCs w:val="22"/>
        </w:rPr>
        <w:t xml:space="preserve"> this instrument does not adversely affect the rights or liabilities of any person other than the Commonwealth.</w:t>
      </w:r>
    </w:p>
    <w:p w14:paraId="05FF6770" w14:textId="77777777" w:rsidR="001515FF" w:rsidRPr="001515FF" w:rsidRDefault="001515FF" w:rsidP="001515FF">
      <w:pPr>
        <w:spacing w:after="120" w:line="276" w:lineRule="auto"/>
        <w:rPr>
          <w:rFonts w:ascii="Arial" w:hAnsi="Arial" w:cs="Arial"/>
          <w:sz w:val="22"/>
          <w:szCs w:val="22"/>
        </w:rPr>
      </w:pPr>
    </w:p>
    <w:p w14:paraId="70BEDFC3" w14:textId="77777777" w:rsidR="001515FF" w:rsidRPr="00240CFB" w:rsidRDefault="001515FF" w:rsidP="001515FF">
      <w:pPr>
        <w:pStyle w:val="Heading2"/>
        <w:spacing w:line="276" w:lineRule="auto"/>
      </w:pPr>
      <w:r w:rsidRPr="00240CFB">
        <w:t xml:space="preserve">What is the effect of this </w:t>
      </w:r>
      <w:proofErr w:type="gramStart"/>
      <w:r w:rsidRPr="00240CFB">
        <w:t>instrument</w:t>
      </w:r>
      <w:proofErr w:type="gramEnd"/>
    </w:p>
    <w:p w14:paraId="659B3E83" w14:textId="69A37D1B" w:rsidR="001515FF" w:rsidRDefault="001515FF" w:rsidP="001515FF">
      <w:pPr>
        <w:numPr>
          <w:ilvl w:val="0"/>
          <w:numId w:val="50"/>
        </w:numPr>
        <w:spacing w:after="120" w:line="276" w:lineRule="auto"/>
        <w:rPr>
          <w:rFonts w:ascii="Arial" w:hAnsi="Arial" w:cs="Arial"/>
          <w:color w:val="0000FF"/>
          <w:sz w:val="22"/>
          <w:szCs w:val="22"/>
        </w:rPr>
      </w:pPr>
      <w:bookmarkStart w:id="1" w:name="_Hlk50115770"/>
      <w:r>
        <w:rPr>
          <w:rFonts w:ascii="Arial" w:hAnsi="Arial" w:cs="Arial"/>
          <w:color w:val="000000"/>
          <w:sz w:val="22"/>
          <w:szCs w:val="22"/>
        </w:rPr>
        <w:t>The effect of this in</w:t>
      </w:r>
      <w:bookmarkStart w:id="2" w:name="_Hlk50114083"/>
      <w:r>
        <w:rPr>
          <w:rFonts w:ascii="Arial" w:hAnsi="Arial" w:cs="Arial"/>
          <w:color w:val="000000"/>
          <w:sz w:val="22"/>
          <w:szCs w:val="22"/>
        </w:rPr>
        <w:t xml:space="preserve">strument sets out the information that the Commissioner requires for a </w:t>
      </w:r>
      <w:proofErr w:type="gramStart"/>
      <w:r>
        <w:rPr>
          <w:rFonts w:ascii="Arial" w:hAnsi="Arial" w:cs="Arial"/>
          <w:color w:val="000000"/>
          <w:sz w:val="22"/>
          <w:szCs w:val="22"/>
        </w:rPr>
        <w:t>third party</w:t>
      </w:r>
      <w:proofErr w:type="gramEnd"/>
      <w:r>
        <w:rPr>
          <w:rFonts w:ascii="Arial" w:hAnsi="Arial" w:cs="Arial"/>
          <w:color w:val="000000"/>
          <w:sz w:val="22"/>
          <w:szCs w:val="22"/>
        </w:rPr>
        <w:t xml:space="preserve"> adjustment note.  </w:t>
      </w:r>
      <w:bookmarkEnd w:id="2"/>
      <w:r>
        <w:rPr>
          <w:rFonts w:ascii="Arial" w:hAnsi="Arial" w:cs="Arial"/>
          <w:color w:val="000000"/>
          <w:sz w:val="22"/>
          <w:szCs w:val="22"/>
        </w:rPr>
        <w:t xml:space="preserve">The requirements provide for appropriate documentation to be created, which will be held by payers and payees to substantiate their </w:t>
      </w:r>
      <w:proofErr w:type="gramStart"/>
      <w:r>
        <w:rPr>
          <w:rFonts w:ascii="Arial" w:hAnsi="Arial" w:cs="Arial"/>
          <w:color w:val="000000"/>
          <w:sz w:val="22"/>
          <w:szCs w:val="22"/>
        </w:rPr>
        <w:t>third party</w:t>
      </w:r>
      <w:proofErr w:type="gramEnd"/>
      <w:r>
        <w:rPr>
          <w:rFonts w:ascii="Arial" w:hAnsi="Arial" w:cs="Arial"/>
          <w:color w:val="000000"/>
          <w:sz w:val="22"/>
          <w:szCs w:val="22"/>
        </w:rPr>
        <w:t xml:space="preserve"> adjustments.</w:t>
      </w:r>
      <w:r w:rsidRPr="00A97B3A">
        <w:rPr>
          <w:rFonts w:ascii="Arial" w:hAnsi="Arial" w:cs="Arial"/>
          <w:color w:val="000000"/>
          <w:sz w:val="22"/>
          <w:szCs w:val="22"/>
        </w:rPr>
        <w:t xml:space="preserve"> </w:t>
      </w:r>
      <w:r w:rsidRPr="00A97B3A">
        <w:rPr>
          <w:rFonts w:ascii="Arial" w:hAnsi="Arial" w:cs="Arial"/>
          <w:color w:val="0000FF"/>
          <w:sz w:val="22"/>
          <w:szCs w:val="22"/>
        </w:rPr>
        <w:t xml:space="preserve"> </w:t>
      </w:r>
    </w:p>
    <w:p w14:paraId="400355B1" w14:textId="77777777" w:rsidR="001515FF" w:rsidRPr="00A97B3A" w:rsidRDefault="001515FF" w:rsidP="001515FF">
      <w:pPr>
        <w:spacing w:after="120" w:line="276" w:lineRule="auto"/>
        <w:rPr>
          <w:rFonts w:ascii="Arial" w:hAnsi="Arial" w:cs="Arial"/>
          <w:color w:val="0000FF"/>
          <w:sz w:val="22"/>
          <w:szCs w:val="22"/>
        </w:rPr>
      </w:pPr>
    </w:p>
    <w:bookmarkEnd w:id="1"/>
    <w:p w14:paraId="725376E6" w14:textId="77777777" w:rsidR="001515FF" w:rsidRPr="00640CC2" w:rsidRDefault="001515FF" w:rsidP="001515FF">
      <w:pPr>
        <w:pStyle w:val="Heading2"/>
        <w:spacing w:line="276" w:lineRule="auto"/>
      </w:pPr>
      <w:r w:rsidRPr="00640CC2">
        <w:t xml:space="preserve">Compliance cost assessment </w:t>
      </w:r>
    </w:p>
    <w:p w14:paraId="07055683" w14:textId="1E1887E4" w:rsidR="001515FF" w:rsidRPr="001515FF" w:rsidRDefault="001515FF" w:rsidP="001515FF">
      <w:pPr>
        <w:pStyle w:val="ListParagraph"/>
        <w:keepNext/>
        <w:keepLines/>
        <w:widowControl w:val="0"/>
        <w:numPr>
          <w:ilvl w:val="0"/>
          <w:numId w:val="50"/>
        </w:numPr>
        <w:autoSpaceDE w:val="0"/>
        <w:autoSpaceDN w:val="0"/>
        <w:adjustRightInd w:val="0"/>
        <w:spacing w:after="120"/>
        <w:rPr>
          <w:rFonts w:ascii="Arial" w:hAnsi="Arial" w:cs="Arial"/>
          <w:color w:val="0000FF"/>
        </w:rPr>
      </w:pPr>
      <w:r w:rsidRPr="002042C7">
        <w:rPr>
          <w:rFonts w:ascii="Arial" w:hAnsi="Arial" w:cs="Arial"/>
        </w:rPr>
        <w:t>Compliance cost impact: Minor – There will be minimal impact for both implementation</w:t>
      </w:r>
      <w:r w:rsidRPr="002042C7">
        <w:rPr>
          <w:rFonts w:ascii="Arial" w:hAnsi="Arial" w:cs="Arial"/>
          <w:color w:val="0000FF"/>
        </w:rPr>
        <w:t xml:space="preserve"> </w:t>
      </w:r>
      <w:r w:rsidRPr="002042C7">
        <w:rPr>
          <w:rFonts w:ascii="Arial" w:hAnsi="Arial" w:cs="Arial"/>
        </w:rPr>
        <w:t>and ongoing compliance costs. The legislative instrument is minor and machinery in nature.</w:t>
      </w:r>
    </w:p>
    <w:p w14:paraId="2E220195" w14:textId="77777777" w:rsidR="001515FF" w:rsidRPr="002042C7" w:rsidRDefault="001515FF" w:rsidP="001515FF">
      <w:pPr>
        <w:pStyle w:val="ListParagraph"/>
        <w:keepNext/>
        <w:keepLines/>
        <w:widowControl w:val="0"/>
        <w:autoSpaceDE w:val="0"/>
        <w:autoSpaceDN w:val="0"/>
        <w:adjustRightInd w:val="0"/>
        <w:spacing w:after="120"/>
        <w:ind w:left="0"/>
        <w:rPr>
          <w:rFonts w:ascii="Arial" w:hAnsi="Arial" w:cs="Arial"/>
          <w:color w:val="0000FF"/>
        </w:rPr>
      </w:pPr>
    </w:p>
    <w:p w14:paraId="5DD61EF8" w14:textId="77777777" w:rsidR="001515FF" w:rsidRPr="00240CFB" w:rsidRDefault="001515FF" w:rsidP="001515FF">
      <w:pPr>
        <w:pStyle w:val="Heading2"/>
        <w:spacing w:before="120" w:line="276" w:lineRule="auto"/>
      </w:pPr>
      <w:r w:rsidRPr="00240CFB">
        <w:t>Background</w:t>
      </w:r>
    </w:p>
    <w:p w14:paraId="7A6F044E" w14:textId="77777777" w:rsidR="001515FF" w:rsidRPr="00A97B3A" w:rsidRDefault="001515FF" w:rsidP="001515FF">
      <w:pPr>
        <w:numPr>
          <w:ilvl w:val="0"/>
          <w:numId w:val="50"/>
        </w:numPr>
        <w:spacing w:after="120" w:line="276" w:lineRule="auto"/>
        <w:rPr>
          <w:rFonts w:ascii="Arial" w:eastAsia="Calibri" w:hAnsi="Arial" w:cs="Arial"/>
          <w:color w:val="0000FF"/>
          <w:sz w:val="22"/>
          <w:szCs w:val="22"/>
          <w:lang w:eastAsia="en-US"/>
        </w:rPr>
      </w:pPr>
      <w:bookmarkStart w:id="3" w:name="_Hlk50115798"/>
      <w:r w:rsidRPr="00240CFB">
        <w:rPr>
          <w:rFonts w:ascii="Arial" w:hAnsi="Arial" w:cs="Arial"/>
          <w:color w:val="000000"/>
          <w:sz w:val="22"/>
          <w:szCs w:val="22"/>
        </w:rPr>
        <w:t>This instrument has been developed to ensure that</w:t>
      </w:r>
      <w:r>
        <w:rPr>
          <w:rFonts w:ascii="Arial" w:hAnsi="Arial" w:cs="Arial"/>
          <w:color w:val="000000"/>
          <w:sz w:val="22"/>
          <w:szCs w:val="22"/>
        </w:rPr>
        <w:t xml:space="preserve"> the appropriate amount of goods and services tax (GST) is collected and the appropriate amount of input tax credits claimed.  This is for </w:t>
      </w:r>
      <w:r>
        <w:rPr>
          <w:rFonts w:ascii="Arial" w:hAnsi="Arial" w:cs="Arial"/>
          <w:color w:val="000000"/>
          <w:sz w:val="22"/>
          <w:szCs w:val="22"/>
        </w:rPr>
        <w:lastRenderedPageBreak/>
        <w:t>situations where there are payments between parties in a supply chain which indirectly alter the price paid or received by the parties for the things supplied.</w:t>
      </w:r>
    </w:p>
    <w:bookmarkEnd w:id="3"/>
    <w:p w14:paraId="100519FA" w14:textId="77777777" w:rsidR="001515FF" w:rsidRPr="00A97B3A" w:rsidRDefault="001515FF" w:rsidP="001515FF">
      <w:pPr>
        <w:numPr>
          <w:ilvl w:val="0"/>
          <w:numId w:val="50"/>
        </w:numPr>
        <w:spacing w:after="120" w:line="276" w:lineRule="auto"/>
        <w:rPr>
          <w:rFonts w:ascii="Arial" w:eastAsia="Calibri" w:hAnsi="Arial" w:cs="Arial"/>
          <w:color w:val="0000FF"/>
          <w:sz w:val="22"/>
          <w:szCs w:val="22"/>
          <w:lang w:eastAsia="en-US"/>
        </w:rPr>
      </w:pPr>
      <w:r>
        <w:rPr>
          <w:rFonts w:ascii="Arial" w:hAnsi="Arial" w:cs="Arial"/>
          <w:color w:val="000000"/>
          <w:sz w:val="22"/>
          <w:szCs w:val="22"/>
        </w:rPr>
        <w:t>This is achieved by creating an adjustment in situations where an entity (the payer), who supplies a thing for re-sale, makes a monetary payment to a third party (the payee) in connection with the payee’s acquisition of that thing.  This adjustment occurs when the payer does not supply the thing directly to the payee but rather through a supply chain.</w:t>
      </w:r>
    </w:p>
    <w:p w14:paraId="2EC24631" w14:textId="77777777" w:rsidR="001515FF" w:rsidRPr="00A97B3A" w:rsidRDefault="001515FF" w:rsidP="001515FF">
      <w:pPr>
        <w:numPr>
          <w:ilvl w:val="0"/>
          <w:numId w:val="50"/>
        </w:numPr>
        <w:spacing w:after="120" w:line="276" w:lineRule="auto"/>
        <w:rPr>
          <w:rFonts w:ascii="Arial" w:eastAsia="Calibri" w:hAnsi="Arial" w:cs="Arial"/>
          <w:color w:val="0000FF"/>
          <w:sz w:val="22"/>
          <w:szCs w:val="22"/>
          <w:lang w:eastAsia="en-US"/>
        </w:rPr>
      </w:pPr>
      <w:r>
        <w:rPr>
          <w:rFonts w:ascii="Arial" w:hAnsi="Arial" w:cs="Arial"/>
          <w:color w:val="000000"/>
          <w:sz w:val="22"/>
          <w:szCs w:val="22"/>
        </w:rPr>
        <w:t>Division 134 requires a form of adjustment note for decreasing adjustments above $75 (the adjustment note threshold).</w:t>
      </w:r>
    </w:p>
    <w:p w14:paraId="6E0B8C61" w14:textId="77777777" w:rsidR="001515FF" w:rsidRPr="00A97B3A" w:rsidRDefault="001515FF" w:rsidP="001515FF">
      <w:pPr>
        <w:numPr>
          <w:ilvl w:val="0"/>
          <w:numId w:val="50"/>
        </w:numPr>
        <w:spacing w:after="120" w:line="276" w:lineRule="auto"/>
        <w:rPr>
          <w:rFonts w:ascii="Arial" w:eastAsia="Calibri" w:hAnsi="Arial" w:cs="Arial"/>
          <w:color w:val="0000FF"/>
          <w:sz w:val="22"/>
          <w:szCs w:val="22"/>
          <w:lang w:eastAsia="en-US"/>
        </w:rPr>
      </w:pPr>
      <w:r>
        <w:rPr>
          <w:rFonts w:ascii="Arial" w:hAnsi="Arial" w:cs="Arial"/>
          <w:color w:val="000000"/>
          <w:sz w:val="22"/>
          <w:szCs w:val="22"/>
        </w:rPr>
        <w:t xml:space="preserve">Decreasing adjustments that exceed the adjustment note threshold cannot be attributed until the tax period in which the payer holds a </w:t>
      </w:r>
      <w:proofErr w:type="gramStart"/>
      <w:r>
        <w:rPr>
          <w:rFonts w:ascii="Arial" w:hAnsi="Arial" w:cs="Arial"/>
          <w:color w:val="000000"/>
          <w:sz w:val="22"/>
          <w:szCs w:val="22"/>
        </w:rPr>
        <w:t>third party</w:t>
      </w:r>
      <w:proofErr w:type="gramEnd"/>
      <w:r>
        <w:rPr>
          <w:rFonts w:ascii="Arial" w:hAnsi="Arial" w:cs="Arial"/>
          <w:color w:val="000000"/>
          <w:sz w:val="22"/>
          <w:szCs w:val="22"/>
        </w:rPr>
        <w:t xml:space="preserve"> adjustment note.</w:t>
      </w:r>
    </w:p>
    <w:p w14:paraId="4C15697C" w14:textId="77777777" w:rsidR="001515FF" w:rsidRDefault="001515FF" w:rsidP="001515FF">
      <w:pPr>
        <w:numPr>
          <w:ilvl w:val="0"/>
          <w:numId w:val="50"/>
        </w:numPr>
        <w:spacing w:after="120" w:line="276" w:lineRule="auto"/>
        <w:rPr>
          <w:rFonts w:ascii="Arial" w:eastAsia="Calibri" w:hAnsi="Arial" w:cs="Arial"/>
          <w:color w:val="0000FF"/>
          <w:sz w:val="22"/>
          <w:szCs w:val="22"/>
          <w:lang w:eastAsia="en-US"/>
        </w:rPr>
      </w:pPr>
      <w:r>
        <w:rPr>
          <w:rFonts w:ascii="Arial" w:hAnsi="Arial" w:cs="Arial"/>
          <w:color w:val="000000"/>
          <w:sz w:val="22"/>
          <w:szCs w:val="22"/>
        </w:rPr>
        <w:t xml:space="preserve">The payer is required to give the payee a copy of the third party adjustment note within 28 </w:t>
      </w:r>
      <w:proofErr w:type="gramStart"/>
      <w:r>
        <w:rPr>
          <w:rFonts w:ascii="Arial" w:hAnsi="Arial" w:cs="Arial"/>
          <w:color w:val="000000"/>
          <w:sz w:val="22"/>
          <w:szCs w:val="22"/>
        </w:rPr>
        <w:t>days  of</w:t>
      </w:r>
      <w:proofErr w:type="gramEnd"/>
      <w:r>
        <w:rPr>
          <w:rFonts w:ascii="Arial" w:hAnsi="Arial" w:cs="Arial"/>
          <w:color w:val="000000"/>
          <w:sz w:val="22"/>
          <w:szCs w:val="22"/>
        </w:rPr>
        <w:t xml:space="preserve"> the earlier of:</w:t>
      </w:r>
    </w:p>
    <w:p w14:paraId="6C7CAAD0" w14:textId="77777777" w:rsidR="001515FF" w:rsidRPr="00EB5144" w:rsidRDefault="001515FF" w:rsidP="001515FF">
      <w:pPr>
        <w:spacing w:after="120" w:line="276" w:lineRule="auto"/>
        <w:ind w:left="357"/>
        <w:rPr>
          <w:rFonts w:ascii="Arial" w:eastAsia="Calibri" w:hAnsi="Arial" w:cs="Arial"/>
          <w:sz w:val="22"/>
          <w:szCs w:val="22"/>
          <w:lang w:eastAsia="en-US"/>
        </w:rPr>
      </w:pPr>
      <w:r w:rsidRPr="00EB5144">
        <w:rPr>
          <w:rFonts w:ascii="Arial" w:eastAsia="Calibri" w:hAnsi="Arial" w:cs="Arial"/>
          <w:sz w:val="22"/>
          <w:szCs w:val="22"/>
          <w:lang w:eastAsia="en-US"/>
        </w:rPr>
        <w:t>a) a request by the payee</w:t>
      </w:r>
    </w:p>
    <w:p w14:paraId="05B1D591" w14:textId="77777777" w:rsidR="001515FF" w:rsidRPr="00EB5144" w:rsidRDefault="001515FF" w:rsidP="001515FF">
      <w:pPr>
        <w:spacing w:after="120" w:line="276" w:lineRule="auto"/>
        <w:ind w:left="357"/>
        <w:rPr>
          <w:rFonts w:ascii="Arial" w:eastAsia="Calibri" w:hAnsi="Arial" w:cs="Arial"/>
          <w:sz w:val="22"/>
          <w:szCs w:val="22"/>
          <w:lang w:eastAsia="en-US"/>
        </w:rPr>
      </w:pPr>
      <w:r w:rsidRPr="00EB5144">
        <w:rPr>
          <w:rFonts w:ascii="Arial" w:eastAsia="Calibri" w:hAnsi="Arial" w:cs="Arial"/>
          <w:sz w:val="22"/>
          <w:szCs w:val="22"/>
          <w:lang w:eastAsia="en-US"/>
        </w:rPr>
        <w:t>or</w:t>
      </w:r>
    </w:p>
    <w:p w14:paraId="125AD3A6" w14:textId="77777777" w:rsidR="001515FF" w:rsidRPr="00EB5144" w:rsidRDefault="001515FF" w:rsidP="001515FF">
      <w:pPr>
        <w:spacing w:after="120" w:line="276" w:lineRule="auto"/>
        <w:ind w:left="357"/>
        <w:rPr>
          <w:rFonts w:ascii="Arial" w:eastAsia="Calibri" w:hAnsi="Arial" w:cs="Arial"/>
          <w:sz w:val="22"/>
          <w:szCs w:val="22"/>
          <w:lang w:eastAsia="en-US"/>
        </w:rPr>
      </w:pPr>
      <w:r w:rsidRPr="00EB5144">
        <w:rPr>
          <w:rFonts w:ascii="Arial" w:eastAsia="Calibri" w:hAnsi="Arial" w:cs="Arial"/>
          <w:sz w:val="22"/>
          <w:szCs w:val="22"/>
          <w:lang w:eastAsia="en-US"/>
        </w:rPr>
        <w:t xml:space="preserve">b) becoming aware of the adjustment before the copy is requested. </w:t>
      </w:r>
    </w:p>
    <w:p w14:paraId="41765515" w14:textId="77777777" w:rsidR="001515FF" w:rsidRDefault="001515FF" w:rsidP="001515FF">
      <w:pPr>
        <w:spacing w:after="120" w:line="276" w:lineRule="auto"/>
        <w:rPr>
          <w:rFonts w:ascii="Arial" w:hAnsi="Arial" w:cs="Arial"/>
          <w:color w:val="000000"/>
          <w:sz w:val="22"/>
          <w:szCs w:val="22"/>
        </w:rPr>
      </w:pPr>
      <w:r>
        <w:rPr>
          <w:rFonts w:ascii="Arial" w:hAnsi="Arial" w:cs="Arial"/>
          <w:color w:val="000000"/>
          <w:sz w:val="22"/>
          <w:szCs w:val="22"/>
        </w:rPr>
        <w:t>This requirement does not apply to decreasing adjustments less than the adjustment notes threshold.</w:t>
      </w:r>
    </w:p>
    <w:p w14:paraId="73AACEEF" w14:textId="77777777" w:rsidR="001515FF" w:rsidRPr="00976204" w:rsidRDefault="001515FF" w:rsidP="001515FF">
      <w:pPr>
        <w:pStyle w:val="ListParagraph"/>
        <w:numPr>
          <w:ilvl w:val="0"/>
          <w:numId w:val="50"/>
        </w:numPr>
        <w:spacing w:after="120"/>
        <w:rPr>
          <w:rFonts w:ascii="Arial" w:hAnsi="Arial" w:cs="Arial"/>
        </w:rPr>
      </w:pPr>
      <w:r w:rsidRPr="00976204">
        <w:rPr>
          <w:rFonts w:ascii="Arial" w:hAnsi="Arial" w:cs="Arial"/>
        </w:rPr>
        <w:t xml:space="preserve">A </w:t>
      </w:r>
      <w:proofErr w:type="gramStart"/>
      <w:r w:rsidRPr="00976204">
        <w:rPr>
          <w:rFonts w:ascii="Arial" w:hAnsi="Arial" w:cs="Arial"/>
        </w:rPr>
        <w:t>third party</w:t>
      </w:r>
      <w:proofErr w:type="gramEnd"/>
      <w:r w:rsidRPr="00976204">
        <w:rPr>
          <w:rFonts w:ascii="Arial" w:hAnsi="Arial" w:cs="Arial"/>
        </w:rPr>
        <w:t xml:space="preserve"> adjustment note must contain enough information to enable the following to be clearly ascertained: </w:t>
      </w:r>
    </w:p>
    <w:p w14:paraId="7AD18B86" w14:textId="77777777" w:rsidR="001515FF" w:rsidRPr="00976204" w:rsidRDefault="001515FF" w:rsidP="001515FF">
      <w:pPr>
        <w:numPr>
          <w:ilvl w:val="0"/>
          <w:numId w:val="49"/>
        </w:numPr>
        <w:spacing w:after="120" w:line="276" w:lineRule="auto"/>
        <w:rPr>
          <w:rFonts w:ascii="Arial" w:hAnsi="Arial" w:cs="Arial"/>
          <w:sz w:val="22"/>
          <w:szCs w:val="22"/>
        </w:rPr>
      </w:pPr>
      <w:r w:rsidRPr="00976204">
        <w:rPr>
          <w:rFonts w:ascii="Arial" w:hAnsi="Arial" w:cs="Arial"/>
          <w:sz w:val="22"/>
          <w:szCs w:val="22"/>
        </w:rPr>
        <w:t xml:space="preserve">the payer's identity, as specified in a form other than the payer's ABN (note that under paragraph 134-20(1)(c) of the GST Act, the payer must also set out its ABN); </w:t>
      </w:r>
    </w:p>
    <w:p w14:paraId="53E298AD" w14:textId="77777777" w:rsidR="001515FF" w:rsidRPr="00976204" w:rsidRDefault="001515FF" w:rsidP="001515FF">
      <w:pPr>
        <w:numPr>
          <w:ilvl w:val="0"/>
          <w:numId w:val="49"/>
        </w:numPr>
        <w:spacing w:after="120" w:line="276" w:lineRule="auto"/>
        <w:rPr>
          <w:rFonts w:ascii="Arial" w:hAnsi="Arial" w:cs="Arial"/>
          <w:sz w:val="22"/>
          <w:szCs w:val="22"/>
        </w:rPr>
      </w:pPr>
      <w:r w:rsidRPr="00976204">
        <w:rPr>
          <w:rFonts w:ascii="Arial" w:hAnsi="Arial" w:cs="Arial"/>
          <w:sz w:val="22"/>
          <w:szCs w:val="22"/>
        </w:rPr>
        <w:t>the payee's identity or the payee's ABN;</w:t>
      </w:r>
    </w:p>
    <w:p w14:paraId="37080E93" w14:textId="77777777" w:rsidR="001515FF" w:rsidRPr="00976204" w:rsidRDefault="001515FF" w:rsidP="001515FF">
      <w:pPr>
        <w:numPr>
          <w:ilvl w:val="0"/>
          <w:numId w:val="49"/>
        </w:numPr>
        <w:spacing w:after="120" w:line="276" w:lineRule="auto"/>
        <w:rPr>
          <w:rFonts w:ascii="Arial" w:hAnsi="Arial" w:cs="Arial"/>
          <w:sz w:val="22"/>
          <w:szCs w:val="22"/>
        </w:rPr>
      </w:pPr>
      <w:r w:rsidRPr="00976204">
        <w:rPr>
          <w:rFonts w:ascii="Arial" w:hAnsi="Arial" w:cs="Arial"/>
          <w:sz w:val="22"/>
          <w:szCs w:val="22"/>
        </w:rPr>
        <w:t xml:space="preserve">a description of the thing that the payee acquires (including the quantity) and to which the payment relates; </w:t>
      </w:r>
    </w:p>
    <w:p w14:paraId="4B23DC31" w14:textId="77777777" w:rsidR="001515FF" w:rsidRPr="00976204" w:rsidRDefault="001515FF" w:rsidP="001515FF">
      <w:pPr>
        <w:numPr>
          <w:ilvl w:val="0"/>
          <w:numId w:val="49"/>
        </w:numPr>
        <w:spacing w:after="120" w:line="276" w:lineRule="auto"/>
        <w:rPr>
          <w:rFonts w:ascii="Arial" w:hAnsi="Arial" w:cs="Arial"/>
          <w:sz w:val="22"/>
          <w:szCs w:val="22"/>
        </w:rPr>
      </w:pPr>
      <w:r w:rsidRPr="00976204">
        <w:rPr>
          <w:rFonts w:ascii="Arial" w:hAnsi="Arial" w:cs="Arial"/>
          <w:sz w:val="22"/>
          <w:szCs w:val="22"/>
        </w:rPr>
        <w:t xml:space="preserve">the amount of the payment (being a payment of money, an offset of debt, or a credit to an account) that represents a </w:t>
      </w:r>
      <w:proofErr w:type="gramStart"/>
      <w:r w:rsidRPr="00976204">
        <w:rPr>
          <w:rFonts w:ascii="Arial" w:hAnsi="Arial" w:cs="Arial"/>
          <w:sz w:val="22"/>
          <w:szCs w:val="22"/>
        </w:rPr>
        <w:t>third party</w:t>
      </w:r>
      <w:proofErr w:type="gramEnd"/>
      <w:r w:rsidRPr="00976204">
        <w:rPr>
          <w:rFonts w:ascii="Arial" w:hAnsi="Arial" w:cs="Arial"/>
          <w:sz w:val="22"/>
          <w:szCs w:val="22"/>
        </w:rPr>
        <w:t xml:space="preserve"> payment under Division 134 of the GST Act; </w:t>
      </w:r>
    </w:p>
    <w:p w14:paraId="39C325E2" w14:textId="77777777" w:rsidR="001515FF" w:rsidRPr="00976204" w:rsidRDefault="001515FF" w:rsidP="001515FF">
      <w:pPr>
        <w:numPr>
          <w:ilvl w:val="0"/>
          <w:numId w:val="49"/>
        </w:numPr>
        <w:spacing w:after="120" w:line="276" w:lineRule="auto"/>
        <w:rPr>
          <w:rFonts w:ascii="Arial" w:hAnsi="Arial" w:cs="Arial"/>
          <w:sz w:val="22"/>
          <w:szCs w:val="22"/>
        </w:rPr>
      </w:pPr>
      <w:r w:rsidRPr="00976204">
        <w:rPr>
          <w:rFonts w:ascii="Arial" w:hAnsi="Arial" w:cs="Arial"/>
          <w:sz w:val="22"/>
          <w:szCs w:val="22"/>
        </w:rPr>
        <w:t xml:space="preserve">the amount of the payer's decreasing adjustment under subsection 134-5(2) of the GST Act; </w:t>
      </w:r>
    </w:p>
    <w:p w14:paraId="0E912007" w14:textId="77777777" w:rsidR="001515FF" w:rsidRPr="00976204" w:rsidRDefault="001515FF" w:rsidP="001515FF">
      <w:pPr>
        <w:numPr>
          <w:ilvl w:val="0"/>
          <w:numId w:val="49"/>
        </w:numPr>
        <w:spacing w:after="120" w:line="276" w:lineRule="auto"/>
        <w:rPr>
          <w:rFonts w:ascii="Arial" w:hAnsi="Arial" w:cs="Arial"/>
          <w:sz w:val="22"/>
          <w:szCs w:val="22"/>
        </w:rPr>
      </w:pPr>
      <w:r w:rsidRPr="00976204">
        <w:rPr>
          <w:rFonts w:ascii="Arial" w:hAnsi="Arial" w:cs="Arial"/>
          <w:sz w:val="22"/>
          <w:szCs w:val="22"/>
        </w:rPr>
        <w:t xml:space="preserve">the date the note is issued. </w:t>
      </w:r>
    </w:p>
    <w:p w14:paraId="7086669C" w14:textId="61DB9390" w:rsidR="001515FF" w:rsidRPr="001515FF" w:rsidRDefault="001515FF" w:rsidP="001515FF">
      <w:pPr>
        <w:numPr>
          <w:ilvl w:val="0"/>
          <w:numId w:val="50"/>
        </w:numPr>
        <w:spacing w:after="120" w:line="276" w:lineRule="auto"/>
        <w:rPr>
          <w:rFonts w:ascii="Arial" w:eastAsia="Calibri" w:hAnsi="Arial" w:cs="Arial"/>
          <w:color w:val="0000FF"/>
          <w:sz w:val="22"/>
          <w:szCs w:val="22"/>
          <w:lang w:eastAsia="en-US"/>
        </w:rPr>
      </w:pPr>
      <w:bookmarkStart w:id="4" w:name="_Hlk50116077"/>
      <w:r w:rsidRPr="00C203A0">
        <w:rPr>
          <w:rFonts w:ascii="Arial" w:hAnsi="Arial" w:cs="Arial"/>
          <w:color w:val="000000"/>
          <w:sz w:val="22"/>
          <w:szCs w:val="22"/>
        </w:rPr>
        <w:t xml:space="preserve">This instrument has been developed to allow taxpayers to substantiate and properly account for adjustments for their </w:t>
      </w:r>
      <w:proofErr w:type="gramStart"/>
      <w:r w:rsidRPr="00C203A0">
        <w:rPr>
          <w:rFonts w:ascii="Arial" w:hAnsi="Arial" w:cs="Arial"/>
          <w:color w:val="000000"/>
          <w:sz w:val="22"/>
          <w:szCs w:val="22"/>
        </w:rPr>
        <w:t>third party</w:t>
      </w:r>
      <w:proofErr w:type="gramEnd"/>
      <w:r w:rsidRPr="00C203A0">
        <w:rPr>
          <w:rFonts w:ascii="Arial" w:hAnsi="Arial" w:cs="Arial"/>
          <w:color w:val="000000"/>
          <w:sz w:val="22"/>
          <w:szCs w:val="22"/>
        </w:rPr>
        <w:t xml:space="preserve"> payments.  It describes what should be included in a </w:t>
      </w:r>
      <w:proofErr w:type="gramStart"/>
      <w:r w:rsidRPr="00C203A0">
        <w:rPr>
          <w:rFonts w:ascii="Arial" w:hAnsi="Arial" w:cs="Arial"/>
          <w:color w:val="000000"/>
          <w:sz w:val="22"/>
          <w:szCs w:val="22"/>
        </w:rPr>
        <w:t>third party</w:t>
      </w:r>
      <w:proofErr w:type="gramEnd"/>
      <w:r w:rsidRPr="00C203A0">
        <w:rPr>
          <w:rFonts w:ascii="Arial" w:hAnsi="Arial" w:cs="Arial"/>
          <w:color w:val="000000"/>
          <w:sz w:val="22"/>
          <w:szCs w:val="22"/>
        </w:rPr>
        <w:t xml:space="preserve"> adjustment note.  This allows taxpayers to generate suitable adjustment notes and provide them to recipients of </w:t>
      </w:r>
      <w:proofErr w:type="gramStart"/>
      <w:r w:rsidRPr="00C203A0">
        <w:rPr>
          <w:rFonts w:ascii="Arial" w:hAnsi="Arial" w:cs="Arial"/>
          <w:color w:val="000000"/>
          <w:sz w:val="22"/>
          <w:szCs w:val="22"/>
        </w:rPr>
        <w:t>third party</w:t>
      </w:r>
      <w:proofErr w:type="gramEnd"/>
      <w:r w:rsidRPr="00C203A0">
        <w:rPr>
          <w:rFonts w:ascii="Arial" w:hAnsi="Arial" w:cs="Arial"/>
          <w:color w:val="000000"/>
          <w:sz w:val="22"/>
          <w:szCs w:val="22"/>
        </w:rPr>
        <w:t xml:space="preserve"> payments when they are required to do so.</w:t>
      </w:r>
    </w:p>
    <w:p w14:paraId="3FB8EE67" w14:textId="77777777" w:rsidR="001515FF" w:rsidRPr="00C203A0" w:rsidRDefault="001515FF" w:rsidP="001515FF">
      <w:pPr>
        <w:spacing w:after="120" w:line="276" w:lineRule="auto"/>
        <w:rPr>
          <w:rFonts w:ascii="Arial" w:eastAsia="Calibri" w:hAnsi="Arial" w:cs="Arial"/>
          <w:color w:val="0000FF"/>
          <w:sz w:val="22"/>
          <w:szCs w:val="22"/>
          <w:lang w:eastAsia="en-US"/>
        </w:rPr>
      </w:pPr>
    </w:p>
    <w:bookmarkEnd w:id="4"/>
    <w:p w14:paraId="09290855" w14:textId="77777777" w:rsidR="001515FF" w:rsidRPr="00240CFB" w:rsidRDefault="001515FF" w:rsidP="001515FF">
      <w:pPr>
        <w:pStyle w:val="Heading2"/>
        <w:spacing w:line="276" w:lineRule="auto"/>
      </w:pPr>
      <w:r w:rsidRPr="00240CFB">
        <w:t>Consultation</w:t>
      </w:r>
    </w:p>
    <w:p w14:paraId="0631555D" w14:textId="77777777" w:rsidR="001515FF" w:rsidRDefault="001515FF" w:rsidP="001515FF">
      <w:pPr>
        <w:numPr>
          <w:ilvl w:val="0"/>
          <w:numId w:val="50"/>
        </w:numPr>
        <w:spacing w:after="120" w:line="276" w:lineRule="auto"/>
        <w:rPr>
          <w:rFonts w:ascii="Arial" w:hAnsi="Arial" w:cs="Arial"/>
          <w:color w:val="000000"/>
          <w:sz w:val="22"/>
          <w:szCs w:val="22"/>
        </w:rPr>
      </w:pPr>
      <w:r w:rsidRPr="00D948D1">
        <w:rPr>
          <w:rFonts w:ascii="Arial" w:hAnsi="Arial" w:cs="Arial"/>
          <w:color w:val="000000"/>
          <w:sz w:val="22"/>
          <w:szCs w:val="22"/>
        </w:rPr>
        <w:t xml:space="preserve">Subsection 17(1) of the </w:t>
      </w:r>
      <w:r w:rsidRPr="00A10C90">
        <w:rPr>
          <w:rFonts w:ascii="Arial" w:hAnsi="Arial" w:cs="Arial"/>
          <w:i/>
          <w:color w:val="000000"/>
          <w:sz w:val="22"/>
          <w:szCs w:val="22"/>
        </w:rPr>
        <w:t>Legislation Act 2003</w:t>
      </w:r>
      <w:r w:rsidRPr="00D948D1">
        <w:rPr>
          <w:rFonts w:ascii="Arial" w:hAnsi="Arial" w:cs="Arial"/>
          <w:color w:val="000000"/>
          <w:sz w:val="22"/>
          <w:szCs w:val="22"/>
        </w:rPr>
        <w:t xml:space="preserve"> requires, before the making of a determination, that the Commissioner is satisfied that appropriate and reasonably practicable consultation has been undertaken.</w:t>
      </w:r>
    </w:p>
    <w:p w14:paraId="2DA471E8" w14:textId="77777777" w:rsidR="001515FF" w:rsidRDefault="001515FF" w:rsidP="001515FF">
      <w:pPr>
        <w:numPr>
          <w:ilvl w:val="0"/>
          <w:numId w:val="50"/>
        </w:numPr>
        <w:spacing w:after="120" w:line="276" w:lineRule="auto"/>
        <w:rPr>
          <w:rFonts w:ascii="Arial" w:hAnsi="Arial" w:cs="Arial"/>
          <w:color w:val="000000"/>
          <w:sz w:val="22"/>
          <w:szCs w:val="22"/>
        </w:rPr>
      </w:pPr>
      <w:r>
        <w:rPr>
          <w:rFonts w:ascii="Arial" w:hAnsi="Arial" w:cs="Arial"/>
          <w:color w:val="000000"/>
          <w:sz w:val="22"/>
          <w:szCs w:val="22"/>
        </w:rPr>
        <w:t>For this instrument, public consultation was undertaken for a period of 4 weeks commencing on 29 June 2020.</w:t>
      </w:r>
    </w:p>
    <w:p w14:paraId="18B28FB3" w14:textId="77777777" w:rsidR="001515FF" w:rsidRPr="006440FF" w:rsidRDefault="001515FF" w:rsidP="001515FF">
      <w:pPr>
        <w:numPr>
          <w:ilvl w:val="0"/>
          <w:numId w:val="50"/>
        </w:numPr>
        <w:spacing w:after="120" w:line="276" w:lineRule="auto"/>
        <w:rPr>
          <w:rFonts w:ascii="Arial" w:hAnsi="Arial" w:cs="Arial"/>
          <w:color w:val="000000"/>
          <w:sz w:val="22"/>
          <w:szCs w:val="22"/>
        </w:rPr>
      </w:pPr>
      <w:r w:rsidRPr="006440FF">
        <w:rPr>
          <w:rFonts w:ascii="Arial" w:hAnsi="Arial" w:cs="Arial"/>
          <w:sz w:val="22"/>
          <w:szCs w:val="22"/>
          <w:lang w:eastAsia="en-US"/>
        </w:rPr>
        <w:lastRenderedPageBreak/>
        <w:t>The draft instrument and draft explanatory statement w</w:t>
      </w:r>
      <w:r>
        <w:rPr>
          <w:rFonts w:ascii="Arial" w:hAnsi="Arial" w:cs="Arial"/>
          <w:sz w:val="22"/>
          <w:szCs w:val="22"/>
          <w:lang w:eastAsia="en-US"/>
        </w:rPr>
        <w:t>ere</w:t>
      </w:r>
      <w:r w:rsidRPr="006440FF">
        <w:rPr>
          <w:rFonts w:ascii="Arial" w:hAnsi="Arial" w:cs="Arial"/>
          <w:sz w:val="22"/>
          <w:szCs w:val="22"/>
          <w:lang w:eastAsia="en-US"/>
        </w:rPr>
        <w:t xml:space="preserve"> published </w:t>
      </w:r>
      <w:r w:rsidRPr="006440FF">
        <w:rPr>
          <w:rFonts w:ascii="Arial" w:hAnsi="Arial" w:cs="Arial"/>
          <w:color w:val="000000"/>
          <w:sz w:val="22"/>
          <w:szCs w:val="22"/>
          <w:lang w:eastAsia="en-US"/>
        </w:rPr>
        <w:t xml:space="preserve">on the ATO </w:t>
      </w:r>
      <w:r w:rsidRPr="006440FF">
        <w:rPr>
          <w:rFonts w:ascii="Arial" w:hAnsi="Arial" w:cs="Arial"/>
          <w:sz w:val="22"/>
          <w:szCs w:val="22"/>
          <w:lang w:eastAsia="en-US"/>
        </w:rPr>
        <w:t xml:space="preserve">Legal database. Publication was advertised via the ‘What’s new’ page on that system and via the ‘Open Consultation’ page on </w:t>
      </w:r>
      <w:r w:rsidRPr="006440FF">
        <w:rPr>
          <w:rFonts w:ascii="Arial" w:hAnsi="Arial" w:cs="Arial"/>
          <w:b/>
          <w:bCs/>
          <w:sz w:val="22"/>
          <w:szCs w:val="22"/>
          <w:lang w:eastAsia="en-US"/>
        </w:rPr>
        <w:t>ato.gov.au</w:t>
      </w:r>
      <w:r w:rsidRPr="006440FF">
        <w:rPr>
          <w:rFonts w:ascii="Arial" w:hAnsi="Arial" w:cs="Arial"/>
          <w:sz w:val="22"/>
          <w:szCs w:val="22"/>
          <w:lang w:eastAsia="en-US"/>
        </w:rPr>
        <w:t>.  Major tax and superannuation publishers and associations monitor these pages and include the details in the daily and weekly Alerts and newsletters to their subscribers and members. This ensures advice of the draft is disseminated widely across the tax professional community, and that they are in an informed position to provide comments and feedback</w:t>
      </w:r>
      <w:r>
        <w:rPr>
          <w:rFonts w:ascii="Arial" w:hAnsi="Arial" w:cs="Arial"/>
          <w:sz w:val="22"/>
          <w:szCs w:val="22"/>
          <w:lang w:eastAsia="en-US"/>
        </w:rPr>
        <w:t>.</w:t>
      </w:r>
    </w:p>
    <w:p w14:paraId="153F8545" w14:textId="348E8914" w:rsidR="001515FF" w:rsidRDefault="001515FF" w:rsidP="001515FF">
      <w:pPr>
        <w:numPr>
          <w:ilvl w:val="0"/>
          <w:numId w:val="50"/>
        </w:numPr>
        <w:spacing w:after="120" w:line="276" w:lineRule="auto"/>
        <w:rPr>
          <w:rFonts w:ascii="Arial" w:hAnsi="Arial" w:cs="Arial"/>
          <w:sz w:val="22"/>
          <w:szCs w:val="22"/>
          <w:lang w:eastAsia="en-US"/>
        </w:rPr>
      </w:pPr>
      <w:r>
        <w:rPr>
          <w:rFonts w:ascii="Arial" w:hAnsi="Arial" w:cs="Arial"/>
          <w:sz w:val="22"/>
          <w:szCs w:val="22"/>
          <w:lang w:eastAsia="en-US"/>
        </w:rPr>
        <w:t>No f</w:t>
      </w:r>
      <w:r w:rsidRPr="006440FF">
        <w:rPr>
          <w:rFonts w:ascii="Arial" w:hAnsi="Arial" w:cs="Arial"/>
          <w:sz w:val="22"/>
          <w:szCs w:val="22"/>
          <w:lang w:eastAsia="en-US"/>
        </w:rPr>
        <w:t>eedback was received</w:t>
      </w:r>
      <w:r>
        <w:rPr>
          <w:rFonts w:ascii="Arial" w:hAnsi="Arial" w:cs="Arial"/>
          <w:sz w:val="22"/>
          <w:szCs w:val="22"/>
          <w:lang w:eastAsia="en-US"/>
        </w:rPr>
        <w:t>.</w:t>
      </w:r>
      <w:r w:rsidRPr="006440FF">
        <w:rPr>
          <w:rFonts w:ascii="Arial" w:hAnsi="Arial" w:cs="Arial"/>
          <w:sz w:val="22"/>
          <w:szCs w:val="22"/>
          <w:lang w:eastAsia="en-US"/>
        </w:rPr>
        <w:t xml:space="preserve"> </w:t>
      </w:r>
    </w:p>
    <w:p w14:paraId="5B2D99E8" w14:textId="77777777" w:rsidR="001515FF" w:rsidRPr="006440FF" w:rsidRDefault="001515FF" w:rsidP="001515FF">
      <w:pPr>
        <w:spacing w:after="120" w:line="276" w:lineRule="auto"/>
        <w:rPr>
          <w:rFonts w:ascii="Arial" w:hAnsi="Arial" w:cs="Arial"/>
          <w:sz w:val="22"/>
          <w:szCs w:val="22"/>
          <w:lang w:eastAsia="en-US"/>
        </w:rPr>
      </w:pPr>
    </w:p>
    <w:p w14:paraId="2ECD20FF" w14:textId="77777777" w:rsidR="001515FF" w:rsidRPr="005717F4" w:rsidRDefault="001515FF" w:rsidP="001515FF">
      <w:pPr>
        <w:keepNext/>
        <w:spacing w:before="240" w:after="60"/>
        <w:outlineLvl w:val="2"/>
        <w:rPr>
          <w:rFonts w:ascii="Arial" w:hAnsi="Arial" w:cs="Arial"/>
          <w:b/>
          <w:bCs/>
          <w:i/>
          <w:sz w:val="22"/>
          <w:szCs w:val="22"/>
        </w:rPr>
      </w:pPr>
      <w:r w:rsidRPr="005717F4">
        <w:rPr>
          <w:rFonts w:ascii="Arial" w:hAnsi="Arial" w:cs="Arial"/>
          <w:b/>
          <w:bCs/>
          <w:i/>
          <w:sz w:val="22"/>
          <w:szCs w:val="22"/>
        </w:rPr>
        <w:t>Legislative references</w:t>
      </w:r>
    </w:p>
    <w:p w14:paraId="0E7792F5" w14:textId="77777777" w:rsidR="001515FF" w:rsidRPr="005717F4" w:rsidRDefault="001515FF" w:rsidP="001515FF">
      <w:pPr>
        <w:spacing w:after="120"/>
        <w:rPr>
          <w:rFonts w:ascii="Arial" w:hAnsi="Arial" w:cs="Arial"/>
          <w:i/>
          <w:sz w:val="22"/>
        </w:rPr>
      </w:pPr>
      <w:r w:rsidRPr="005717F4">
        <w:rPr>
          <w:rFonts w:ascii="Arial" w:hAnsi="Arial" w:cs="Arial"/>
          <w:i/>
          <w:sz w:val="22"/>
          <w:szCs w:val="22"/>
        </w:rPr>
        <w:t>Acts Interpretation Act 1901</w:t>
      </w:r>
    </w:p>
    <w:p w14:paraId="1C4D7CF3" w14:textId="77777777" w:rsidR="001515FF" w:rsidRPr="005717F4" w:rsidRDefault="001515FF" w:rsidP="001515FF">
      <w:pPr>
        <w:spacing w:after="120"/>
        <w:rPr>
          <w:rFonts w:ascii="Arial" w:hAnsi="Arial" w:cs="Arial"/>
          <w:i/>
          <w:iCs/>
          <w:sz w:val="22"/>
        </w:rPr>
      </w:pPr>
      <w:r w:rsidRPr="005717F4">
        <w:rPr>
          <w:rFonts w:ascii="Arial" w:hAnsi="Arial" w:cs="Arial"/>
          <w:i/>
          <w:iCs/>
          <w:sz w:val="22"/>
        </w:rPr>
        <w:t>A New Tax System (Goods and Services Tax) Act 1999</w:t>
      </w:r>
    </w:p>
    <w:p w14:paraId="63BF35BD" w14:textId="77777777" w:rsidR="001515FF" w:rsidRPr="00195AB9" w:rsidRDefault="001515FF" w:rsidP="001515FF">
      <w:pPr>
        <w:spacing w:after="120"/>
        <w:rPr>
          <w:rFonts w:ascii="Arial" w:hAnsi="Arial" w:cs="Arial"/>
          <w:i/>
          <w:iCs/>
          <w:sz w:val="22"/>
          <w:szCs w:val="22"/>
        </w:rPr>
      </w:pPr>
      <w:r w:rsidRPr="005717F4">
        <w:rPr>
          <w:rFonts w:ascii="Arial" w:hAnsi="Arial" w:cs="Arial"/>
          <w:i/>
          <w:iCs/>
          <w:sz w:val="22"/>
        </w:rPr>
        <w:t>Legislative Instruments Act 2003</w:t>
      </w:r>
      <w:r w:rsidRPr="00195AB9">
        <w:rPr>
          <w:rFonts w:ascii="Arial" w:hAnsi="Arial" w:cs="Arial"/>
          <w:i/>
          <w:iCs/>
          <w:sz w:val="22"/>
        </w:rPr>
        <w:br/>
      </w:r>
      <w:r w:rsidRPr="00195AB9">
        <w:rPr>
          <w:rFonts w:ascii="Arial" w:hAnsi="Arial" w:cs="Arial"/>
          <w:i/>
          <w:iCs/>
          <w:sz w:val="22"/>
          <w:szCs w:val="22"/>
        </w:rPr>
        <w:br w:type="page"/>
      </w:r>
    </w:p>
    <w:p w14:paraId="15AC1BAC" w14:textId="6B4B8273" w:rsidR="00333567" w:rsidRPr="007E0A01" w:rsidRDefault="00E53399" w:rsidP="00101CD5">
      <w:pPr>
        <w:pStyle w:val="Heading3"/>
        <w:spacing w:before="0" w:after="120"/>
        <w:jc w:val="center"/>
        <w:rPr>
          <w:sz w:val="24"/>
        </w:rPr>
      </w:pPr>
      <w:r w:rsidRPr="007E0A01">
        <w:rPr>
          <w:sz w:val="24"/>
        </w:rPr>
        <w:lastRenderedPageBreak/>
        <w:t xml:space="preserve">Statement of compatibility </w:t>
      </w:r>
      <w:r w:rsidR="00C11D03" w:rsidRPr="007E0A01">
        <w:rPr>
          <w:sz w:val="24"/>
        </w:rPr>
        <w:t>with Human Rights</w:t>
      </w:r>
    </w:p>
    <w:p w14:paraId="15AC1BAD" w14:textId="4AD858FB" w:rsidR="00E53399" w:rsidRPr="007E0A01" w:rsidRDefault="004F5EB1" w:rsidP="00101CD5">
      <w:pPr>
        <w:pStyle w:val="Heading3"/>
        <w:spacing w:before="0" w:after="120"/>
        <w:rPr>
          <w:sz w:val="24"/>
        </w:rPr>
      </w:pPr>
      <w:r w:rsidRPr="007E0A01">
        <w:rPr>
          <w:b w:val="0"/>
          <w:sz w:val="22"/>
          <w:szCs w:val="20"/>
        </w:rPr>
        <w:t>P</w:t>
      </w:r>
      <w:r w:rsidR="00E53399" w:rsidRPr="007E0A01">
        <w:rPr>
          <w:b w:val="0"/>
          <w:sz w:val="22"/>
          <w:szCs w:val="20"/>
        </w:rPr>
        <w:t xml:space="preserve">repared in accordance with Part 3 of the </w:t>
      </w:r>
      <w:r w:rsidR="00E53399" w:rsidRPr="007E0A01">
        <w:rPr>
          <w:b w:val="0"/>
          <w:i/>
          <w:sz w:val="22"/>
          <w:szCs w:val="20"/>
        </w:rPr>
        <w:t>Human Rights (Parliamentary Scrutiny) Act 2011</w:t>
      </w:r>
    </w:p>
    <w:p w14:paraId="15AC1BAE" w14:textId="68DA81E7" w:rsidR="00D77015" w:rsidRPr="00101CD5" w:rsidRDefault="00D77015" w:rsidP="00101CD5">
      <w:pPr>
        <w:spacing w:after="120"/>
        <w:rPr>
          <w:rFonts w:ascii="Arial" w:hAnsi="Arial" w:cs="Arial"/>
          <w:sz w:val="22"/>
          <w:szCs w:val="22"/>
        </w:rPr>
      </w:pPr>
    </w:p>
    <w:p w14:paraId="15AC1BAF" w14:textId="77777777" w:rsidR="002A26FE" w:rsidRPr="00240CFB" w:rsidRDefault="00333567" w:rsidP="00101CD5">
      <w:pPr>
        <w:pStyle w:val="Heading2"/>
        <w:jc w:val="center"/>
      </w:pPr>
      <w:r w:rsidRPr="00240CFB">
        <w:t>Title of Legislative Instrument</w:t>
      </w:r>
    </w:p>
    <w:p w14:paraId="54F9AC2D" w14:textId="0DAEA147" w:rsidR="009371D0" w:rsidRDefault="00075B58" w:rsidP="00101CD5">
      <w:pPr>
        <w:autoSpaceDE w:val="0"/>
        <w:autoSpaceDN w:val="0"/>
        <w:adjustRightInd w:val="0"/>
        <w:spacing w:after="120"/>
        <w:rPr>
          <w:rFonts w:ascii="Arial" w:hAnsi="Arial" w:cs="Arial"/>
          <w:color w:val="000000"/>
          <w:sz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r w:rsidRPr="007E0A01">
        <w:rPr>
          <w:rFonts w:ascii="Arial" w:hAnsi="Arial" w:cs="Arial"/>
          <w:i/>
          <w:color w:val="000000"/>
          <w:sz w:val="22"/>
        </w:rPr>
        <w:t>Human Righ</w:t>
      </w:r>
      <w:r w:rsidR="00101CD5">
        <w:rPr>
          <w:rFonts w:ascii="Arial" w:hAnsi="Arial" w:cs="Arial"/>
          <w:i/>
          <w:color w:val="000000"/>
          <w:sz w:val="22"/>
        </w:rPr>
        <w:t>ts (Parliamentary Scrutiny) Act </w:t>
      </w:r>
      <w:r w:rsidRPr="007E0A01">
        <w:rPr>
          <w:rFonts w:ascii="Arial" w:hAnsi="Arial" w:cs="Arial"/>
          <w:i/>
          <w:color w:val="000000"/>
          <w:sz w:val="22"/>
        </w:rPr>
        <w:t>2011.</w:t>
      </w:r>
    </w:p>
    <w:p w14:paraId="15AC1BB2" w14:textId="6553A54F" w:rsidR="00075B58" w:rsidRPr="00101CD5" w:rsidRDefault="00075B58" w:rsidP="00101CD5">
      <w:pPr>
        <w:spacing w:after="120"/>
        <w:rPr>
          <w:rFonts w:ascii="Arial" w:hAnsi="Arial" w:cs="Arial"/>
          <w:sz w:val="22"/>
          <w:szCs w:val="22"/>
        </w:rPr>
      </w:pPr>
    </w:p>
    <w:p w14:paraId="15AC1BB3" w14:textId="77777777" w:rsidR="00075B58" w:rsidRPr="00240CFB" w:rsidRDefault="00075B58" w:rsidP="00101CD5">
      <w:pPr>
        <w:pStyle w:val="Heading2"/>
      </w:pPr>
      <w:r w:rsidRPr="007E0A01">
        <w:t xml:space="preserve">Overview of </w:t>
      </w:r>
      <w:r w:rsidR="007E0A01" w:rsidRPr="007E0A01">
        <w:t xml:space="preserve">the </w:t>
      </w:r>
      <w:r w:rsidRPr="007E0A01">
        <w:t>Legislative Instrument</w:t>
      </w:r>
    </w:p>
    <w:p w14:paraId="31C6DD68" w14:textId="0883C525" w:rsidR="00F77AFF" w:rsidRPr="00A97B3A" w:rsidRDefault="00F77AFF" w:rsidP="00F77AFF">
      <w:pPr>
        <w:spacing w:after="120"/>
        <w:rPr>
          <w:rFonts w:ascii="Arial" w:hAnsi="Arial" w:cs="Arial"/>
          <w:color w:val="0000FF"/>
          <w:sz w:val="22"/>
          <w:szCs w:val="22"/>
        </w:rPr>
      </w:pPr>
      <w:r>
        <w:rPr>
          <w:rFonts w:ascii="Arial" w:hAnsi="Arial" w:cs="Arial"/>
          <w:color w:val="000000"/>
          <w:sz w:val="22"/>
          <w:szCs w:val="22"/>
        </w:rPr>
        <w:t>This instrument sets out the information that the Commissioner requires for a third party adjustment note.  The requirements provide for appropriate documentation to be created, which will be held by payers and payees to substantiate their third party adjustments.</w:t>
      </w:r>
      <w:r w:rsidRPr="00A97B3A">
        <w:rPr>
          <w:rFonts w:ascii="Arial" w:hAnsi="Arial" w:cs="Arial"/>
          <w:color w:val="000000"/>
          <w:sz w:val="22"/>
          <w:szCs w:val="22"/>
        </w:rPr>
        <w:t xml:space="preserve"> </w:t>
      </w:r>
      <w:r w:rsidRPr="00A97B3A">
        <w:rPr>
          <w:rFonts w:ascii="Arial" w:hAnsi="Arial" w:cs="Arial"/>
          <w:color w:val="0000FF"/>
          <w:sz w:val="22"/>
          <w:szCs w:val="22"/>
        </w:rPr>
        <w:t xml:space="preserve"> </w:t>
      </w:r>
    </w:p>
    <w:p w14:paraId="15AC1BB5" w14:textId="77777777" w:rsidR="00075B58" w:rsidRPr="00101CD5" w:rsidRDefault="00075B58" w:rsidP="00101CD5">
      <w:pPr>
        <w:spacing w:after="120"/>
        <w:rPr>
          <w:rFonts w:ascii="Arial" w:hAnsi="Arial" w:cs="Arial"/>
          <w:sz w:val="22"/>
          <w:szCs w:val="22"/>
        </w:rPr>
      </w:pPr>
    </w:p>
    <w:p w14:paraId="15AC1BB6" w14:textId="77777777" w:rsidR="00075B58" w:rsidRPr="00240CFB" w:rsidRDefault="00075B58" w:rsidP="00101CD5">
      <w:pPr>
        <w:pStyle w:val="Heading2"/>
      </w:pPr>
      <w:r w:rsidRPr="007E0A01">
        <w:t>Human rights implications</w:t>
      </w:r>
    </w:p>
    <w:p w14:paraId="05726350" w14:textId="6B1DFB0E" w:rsidR="00F77AFF" w:rsidRDefault="00075B58" w:rsidP="00101CD5">
      <w:pPr>
        <w:spacing w:after="120"/>
        <w:rPr>
          <w:rFonts w:ascii="Arial" w:hAnsi="Arial" w:cs="Arial"/>
          <w:sz w:val="22"/>
        </w:rPr>
      </w:pPr>
      <w:r w:rsidRPr="007E0A01">
        <w:rPr>
          <w:rFonts w:ascii="Arial" w:hAnsi="Arial" w:cs="Arial"/>
          <w:sz w:val="22"/>
        </w:rPr>
        <w:t>This Legislative Instrument does not engage any of the applicable rights or freedoms</w:t>
      </w:r>
      <w:r w:rsidR="00017027">
        <w:rPr>
          <w:rFonts w:ascii="Arial" w:hAnsi="Arial" w:cs="Arial"/>
          <w:sz w:val="22"/>
        </w:rPr>
        <w:t>.</w:t>
      </w:r>
      <w:r w:rsidR="003552F4">
        <w:rPr>
          <w:rFonts w:ascii="Arial" w:hAnsi="Arial" w:cs="Arial"/>
          <w:sz w:val="22"/>
        </w:rPr>
        <w:t xml:space="preserve"> </w:t>
      </w:r>
      <w:r w:rsidR="00017027">
        <w:rPr>
          <w:rFonts w:ascii="Arial" w:hAnsi="Arial" w:cs="Arial"/>
          <w:sz w:val="22"/>
        </w:rPr>
        <w:t xml:space="preserve"> It allows the </w:t>
      </w:r>
      <w:proofErr w:type="spellStart"/>
      <w:r w:rsidR="00017027">
        <w:rPr>
          <w:rFonts w:ascii="Arial" w:hAnsi="Arial" w:cs="Arial"/>
          <w:sz w:val="22"/>
        </w:rPr>
        <w:t>the</w:t>
      </w:r>
      <w:proofErr w:type="spellEnd"/>
      <w:r w:rsidR="00017027">
        <w:rPr>
          <w:rFonts w:ascii="Arial" w:hAnsi="Arial" w:cs="Arial"/>
          <w:sz w:val="22"/>
        </w:rPr>
        <w:t xml:space="preserve"> </w:t>
      </w:r>
      <w:r w:rsidR="00D54F41">
        <w:rPr>
          <w:rFonts w:ascii="Arial" w:hAnsi="Arial" w:cs="Arial"/>
          <w:sz w:val="22"/>
        </w:rPr>
        <w:t>appropriate</w:t>
      </w:r>
      <w:r w:rsidR="00017027">
        <w:rPr>
          <w:rFonts w:ascii="Arial" w:hAnsi="Arial" w:cs="Arial"/>
          <w:sz w:val="22"/>
        </w:rPr>
        <w:t xml:space="preserve"> amount of GST to be collected and the appropriate amount of input tax credits to be claimed in situations where there are payments between parties in a supply chain which indirectly alter the price paid or received by the parties for the things supplied.</w:t>
      </w:r>
    </w:p>
    <w:p w14:paraId="33BE056B" w14:textId="77777777" w:rsidR="00FB014A" w:rsidRDefault="00FB014A" w:rsidP="00101CD5">
      <w:pPr>
        <w:pStyle w:val="Heading2"/>
      </w:pPr>
    </w:p>
    <w:p w14:paraId="15AC1BB9" w14:textId="77777777" w:rsidR="00075B58" w:rsidRPr="00240CFB" w:rsidRDefault="00075B58" w:rsidP="00101CD5">
      <w:pPr>
        <w:pStyle w:val="Heading2"/>
      </w:pPr>
      <w:r w:rsidRPr="007E0A01">
        <w:t>Conclusion</w:t>
      </w:r>
    </w:p>
    <w:p w14:paraId="15AC1BBA" w14:textId="123F09D1" w:rsidR="00075B58" w:rsidRPr="007E0A01" w:rsidRDefault="00075B58" w:rsidP="00101CD5">
      <w:pPr>
        <w:spacing w:after="120"/>
        <w:rPr>
          <w:rFonts w:ascii="Arial" w:hAnsi="Arial" w:cs="Arial"/>
          <w:sz w:val="22"/>
          <w:szCs w:val="22"/>
        </w:rPr>
      </w:pPr>
      <w:r w:rsidRPr="007E0A01">
        <w:rPr>
          <w:rFonts w:ascii="Arial" w:hAnsi="Arial" w:cs="Arial"/>
          <w:sz w:val="22"/>
          <w:szCs w:val="22"/>
        </w:rPr>
        <w:t>This Legislative Instrument is compatible with human rights as it does not raise any human rights issues.</w:t>
      </w:r>
    </w:p>
    <w:p w14:paraId="19DB01FC" w14:textId="77777777" w:rsidR="00101CD5" w:rsidRDefault="00101CD5" w:rsidP="00101CD5">
      <w:pPr>
        <w:spacing w:after="120"/>
        <w:rPr>
          <w:rFonts w:ascii="Arial" w:hAnsi="Arial" w:cs="Arial"/>
          <w:sz w:val="22"/>
          <w:szCs w:val="22"/>
        </w:rPr>
      </w:pPr>
    </w:p>
    <w:p w14:paraId="0E5D9E29" w14:textId="77777777" w:rsidR="00101CD5" w:rsidRPr="00101CD5" w:rsidRDefault="00101CD5" w:rsidP="00101CD5">
      <w:pPr>
        <w:spacing w:after="120"/>
        <w:rPr>
          <w:rFonts w:ascii="Arial" w:hAnsi="Arial" w:cs="Arial"/>
          <w:sz w:val="22"/>
          <w:szCs w:val="22"/>
        </w:rPr>
      </w:pPr>
    </w:p>
    <w:sectPr w:rsidR="00101CD5" w:rsidRPr="00101CD5" w:rsidSect="00081520">
      <w:headerReference w:type="even" r:id="rId14"/>
      <w:headerReference w:type="default" r:id="rId15"/>
      <w:headerReference w:type="first" r:id="rId1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4D98" w14:textId="77777777" w:rsidR="00446AA8" w:rsidRDefault="00446AA8">
      <w:r>
        <w:separator/>
      </w:r>
    </w:p>
  </w:endnote>
  <w:endnote w:type="continuationSeparator" w:id="0">
    <w:p w14:paraId="48D6380E" w14:textId="77777777" w:rsidR="00446AA8" w:rsidRDefault="0044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2A909" w14:textId="77777777" w:rsidR="00446AA8" w:rsidRDefault="00446AA8">
      <w:r>
        <w:separator/>
      </w:r>
    </w:p>
  </w:footnote>
  <w:footnote w:type="continuationSeparator" w:id="0">
    <w:p w14:paraId="675A605B" w14:textId="77777777" w:rsidR="00446AA8" w:rsidRDefault="0044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2151CB14"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Instrument ID</w:t>
    </w:r>
    <w:r w:rsidR="00487AF9">
      <w:rPr>
        <w:rFonts w:ascii="Arial" w:hAnsi="Arial" w:cs="Arial"/>
        <w:b/>
        <w:sz w:val="22"/>
        <w:szCs w:val="22"/>
      </w:rPr>
      <w:t>: 2020/SMB/0007</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6"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8AD4112"/>
    <w:multiLevelType w:val="hybridMultilevel"/>
    <w:tmpl w:val="07988EC8"/>
    <w:lvl w:ilvl="0" w:tplc="F8F0CEAC">
      <w:start w:val="1"/>
      <w:numFmt w:val="decimal"/>
      <w:lvlText w:val="%1."/>
      <w:lvlJc w:val="left"/>
      <w:pPr>
        <w:tabs>
          <w:tab w:val="num" w:pos="357"/>
        </w:tabs>
        <w:ind w:left="0" w:firstLine="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FCC3903"/>
    <w:multiLevelType w:val="hybridMultilevel"/>
    <w:tmpl w:val="07C8C152"/>
    <w:lvl w:ilvl="0" w:tplc="029C7976">
      <w:start w:val="5"/>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9"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6"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0259F9"/>
    <w:multiLevelType w:val="hybridMultilevel"/>
    <w:tmpl w:val="9F8A0A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33B29"/>
    <w:multiLevelType w:val="hybridMultilevel"/>
    <w:tmpl w:val="EABCE6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6"/>
  </w:num>
  <w:num w:numId="3">
    <w:abstractNumId w:val="27"/>
  </w:num>
  <w:num w:numId="4">
    <w:abstractNumId w:val="44"/>
  </w:num>
  <w:num w:numId="5">
    <w:abstractNumId w:val="6"/>
  </w:num>
  <w:num w:numId="6">
    <w:abstractNumId w:val="14"/>
  </w:num>
  <w:num w:numId="7">
    <w:abstractNumId w:val="38"/>
  </w:num>
  <w:num w:numId="8">
    <w:abstractNumId w:val="37"/>
  </w:num>
  <w:num w:numId="9">
    <w:abstractNumId w:val="29"/>
  </w:num>
  <w:num w:numId="10">
    <w:abstractNumId w:val="24"/>
  </w:num>
  <w:num w:numId="11">
    <w:abstractNumId w:val="45"/>
  </w:num>
  <w:num w:numId="12">
    <w:abstractNumId w:val="39"/>
  </w:num>
  <w:num w:numId="13">
    <w:abstractNumId w:val="42"/>
  </w:num>
  <w:num w:numId="14">
    <w:abstractNumId w:val="41"/>
  </w:num>
  <w:num w:numId="15">
    <w:abstractNumId w:val="22"/>
  </w:num>
  <w:num w:numId="16">
    <w:abstractNumId w:val="26"/>
  </w:num>
  <w:num w:numId="17">
    <w:abstractNumId w:val="11"/>
  </w:num>
  <w:num w:numId="18">
    <w:abstractNumId w:val="17"/>
  </w:num>
  <w:num w:numId="19">
    <w:abstractNumId w:val="3"/>
  </w:num>
  <w:num w:numId="20">
    <w:abstractNumId w:val="1"/>
  </w:num>
  <w:num w:numId="21">
    <w:abstractNumId w:val="13"/>
  </w:num>
  <w:num w:numId="22">
    <w:abstractNumId w:val="35"/>
  </w:num>
  <w:num w:numId="23">
    <w:abstractNumId w:val="10"/>
  </w:num>
  <w:num w:numId="24">
    <w:abstractNumId w:val="21"/>
  </w:num>
  <w:num w:numId="25">
    <w:abstractNumId w:val="33"/>
  </w:num>
  <w:num w:numId="26">
    <w:abstractNumId w:val="32"/>
  </w:num>
  <w:num w:numId="27">
    <w:abstractNumId w:val="9"/>
  </w:num>
  <w:num w:numId="28">
    <w:abstractNumId w:val="36"/>
  </w:num>
  <w:num w:numId="29">
    <w:abstractNumId w:val="20"/>
  </w:num>
  <w:num w:numId="30">
    <w:abstractNumId w:val="15"/>
  </w:num>
  <w:num w:numId="31">
    <w:abstractNumId w:val="7"/>
  </w:num>
  <w:num w:numId="32">
    <w:abstractNumId w:val="0"/>
  </w:num>
  <w:num w:numId="33">
    <w:abstractNumId w:val="8"/>
  </w:num>
  <w:num w:numId="34">
    <w:abstractNumId w:val="28"/>
  </w:num>
  <w:num w:numId="35">
    <w:abstractNumId w:val="40"/>
  </w:num>
  <w:num w:numId="36">
    <w:abstractNumId w:val="19"/>
  </w:num>
  <w:num w:numId="37">
    <w:abstractNumId w:val="12"/>
  </w:num>
  <w:num w:numId="38">
    <w:abstractNumId w:val="23"/>
  </w:num>
  <w:num w:numId="39">
    <w:abstractNumId w:val="2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1"/>
  </w:num>
  <w:num w:numId="43">
    <w:abstractNumId w:val="2"/>
  </w:num>
  <w:num w:numId="44">
    <w:abstractNumId w:val="5"/>
  </w:num>
  <w:num w:numId="45">
    <w:abstractNumId w:val="34"/>
  </w:num>
  <w:num w:numId="46">
    <w:abstractNumId w:val="30"/>
  </w:num>
  <w:num w:numId="4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4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5DF9"/>
    <w:rsid w:val="000117B2"/>
    <w:rsid w:val="00017027"/>
    <w:rsid w:val="0001796D"/>
    <w:rsid w:val="00017BF0"/>
    <w:rsid w:val="0002568B"/>
    <w:rsid w:val="00043FA7"/>
    <w:rsid w:val="00050FA7"/>
    <w:rsid w:val="000552E8"/>
    <w:rsid w:val="00056585"/>
    <w:rsid w:val="0005674F"/>
    <w:rsid w:val="00065C6E"/>
    <w:rsid w:val="00072E6E"/>
    <w:rsid w:val="00073F1B"/>
    <w:rsid w:val="00075B58"/>
    <w:rsid w:val="00081520"/>
    <w:rsid w:val="000B11DD"/>
    <w:rsid w:val="000B1785"/>
    <w:rsid w:val="000C390A"/>
    <w:rsid w:val="000C77DD"/>
    <w:rsid w:val="000E295B"/>
    <w:rsid w:val="000E45A0"/>
    <w:rsid w:val="00101CD5"/>
    <w:rsid w:val="001030E8"/>
    <w:rsid w:val="00107460"/>
    <w:rsid w:val="00112415"/>
    <w:rsid w:val="0013678D"/>
    <w:rsid w:val="00140A34"/>
    <w:rsid w:val="00146ED8"/>
    <w:rsid w:val="001515FF"/>
    <w:rsid w:val="00167202"/>
    <w:rsid w:val="001828A4"/>
    <w:rsid w:val="00195AB9"/>
    <w:rsid w:val="001A3BE2"/>
    <w:rsid w:val="001C35E7"/>
    <w:rsid w:val="001C4578"/>
    <w:rsid w:val="001D02E6"/>
    <w:rsid w:val="001F0184"/>
    <w:rsid w:val="001F28A6"/>
    <w:rsid w:val="001F2A16"/>
    <w:rsid w:val="001F6921"/>
    <w:rsid w:val="001F7C3E"/>
    <w:rsid w:val="00201969"/>
    <w:rsid w:val="0021222C"/>
    <w:rsid w:val="00213FA5"/>
    <w:rsid w:val="0021496E"/>
    <w:rsid w:val="00222AFB"/>
    <w:rsid w:val="0023733A"/>
    <w:rsid w:val="0024044F"/>
    <w:rsid w:val="00240CFB"/>
    <w:rsid w:val="00245D00"/>
    <w:rsid w:val="00257F2D"/>
    <w:rsid w:val="00262F9F"/>
    <w:rsid w:val="00266D2D"/>
    <w:rsid w:val="0027331F"/>
    <w:rsid w:val="00285E76"/>
    <w:rsid w:val="002949C3"/>
    <w:rsid w:val="002A10A4"/>
    <w:rsid w:val="002A26FE"/>
    <w:rsid w:val="002B1423"/>
    <w:rsid w:val="002C6F00"/>
    <w:rsid w:val="002F1257"/>
    <w:rsid w:val="00310C61"/>
    <w:rsid w:val="00316489"/>
    <w:rsid w:val="003171B3"/>
    <w:rsid w:val="0032559D"/>
    <w:rsid w:val="00331616"/>
    <w:rsid w:val="00333567"/>
    <w:rsid w:val="00344575"/>
    <w:rsid w:val="0035113C"/>
    <w:rsid w:val="00354525"/>
    <w:rsid w:val="003552F4"/>
    <w:rsid w:val="00374385"/>
    <w:rsid w:val="00380CC4"/>
    <w:rsid w:val="003C0686"/>
    <w:rsid w:val="003D08CF"/>
    <w:rsid w:val="003D0CBA"/>
    <w:rsid w:val="003D0F6A"/>
    <w:rsid w:val="003D4BA8"/>
    <w:rsid w:val="003E5269"/>
    <w:rsid w:val="00405394"/>
    <w:rsid w:val="004066E4"/>
    <w:rsid w:val="0040680B"/>
    <w:rsid w:val="00407361"/>
    <w:rsid w:val="00407805"/>
    <w:rsid w:val="00417C55"/>
    <w:rsid w:val="00424A7B"/>
    <w:rsid w:val="00426FB6"/>
    <w:rsid w:val="004447C1"/>
    <w:rsid w:val="00446AA8"/>
    <w:rsid w:val="0045590D"/>
    <w:rsid w:val="0046211F"/>
    <w:rsid w:val="0046787B"/>
    <w:rsid w:val="00486653"/>
    <w:rsid w:val="00487974"/>
    <w:rsid w:val="00487AF9"/>
    <w:rsid w:val="00493CA7"/>
    <w:rsid w:val="004A5FDA"/>
    <w:rsid w:val="004D098C"/>
    <w:rsid w:val="004D24A9"/>
    <w:rsid w:val="004D41FE"/>
    <w:rsid w:val="004E2455"/>
    <w:rsid w:val="004E5357"/>
    <w:rsid w:val="004F434B"/>
    <w:rsid w:val="004F4A07"/>
    <w:rsid w:val="004F5EB1"/>
    <w:rsid w:val="004F6887"/>
    <w:rsid w:val="005030AD"/>
    <w:rsid w:val="00511D4A"/>
    <w:rsid w:val="0051249C"/>
    <w:rsid w:val="005176E7"/>
    <w:rsid w:val="00520330"/>
    <w:rsid w:val="00524B6B"/>
    <w:rsid w:val="00526403"/>
    <w:rsid w:val="005413EE"/>
    <w:rsid w:val="00587443"/>
    <w:rsid w:val="00587C50"/>
    <w:rsid w:val="005917F3"/>
    <w:rsid w:val="005B0ACD"/>
    <w:rsid w:val="005B50A2"/>
    <w:rsid w:val="005C3408"/>
    <w:rsid w:val="005D611B"/>
    <w:rsid w:val="005F1ACE"/>
    <w:rsid w:val="005F256D"/>
    <w:rsid w:val="0060183A"/>
    <w:rsid w:val="00603110"/>
    <w:rsid w:val="00611C8E"/>
    <w:rsid w:val="006302F7"/>
    <w:rsid w:val="00631F30"/>
    <w:rsid w:val="00640CC2"/>
    <w:rsid w:val="00642420"/>
    <w:rsid w:val="00646158"/>
    <w:rsid w:val="006513F4"/>
    <w:rsid w:val="0066622C"/>
    <w:rsid w:val="00666487"/>
    <w:rsid w:val="00673B37"/>
    <w:rsid w:val="006945EA"/>
    <w:rsid w:val="006B5470"/>
    <w:rsid w:val="006D0138"/>
    <w:rsid w:val="006D6F52"/>
    <w:rsid w:val="006E772A"/>
    <w:rsid w:val="00701718"/>
    <w:rsid w:val="00710359"/>
    <w:rsid w:val="00712FFF"/>
    <w:rsid w:val="00722DBF"/>
    <w:rsid w:val="00735157"/>
    <w:rsid w:val="007404C2"/>
    <w:rsid w:val="00741398"/>
    <w:rsid w:val="0076271C"/>
    <w:rsid w:val="00767CE8"/>
    <w:rsid w:val="00775490"/>
    <w:rsid w:val="00780693"/>
    <w:rsid w:val="00795D0C"/>
    <w:rsid w:val="00797F42"/>
    <w:rsid w:val="007A55BA"/>
    <w:rsid w:val="007B67D5"/>
    <w:rsid w:val="007C1FBD"/>
    <w:rsid w:val="007C54B3"/>
    <w:rsid w:val="007C5C8E"/>
    <w:rsid w:val="007E0A01"/>
    <w:rsid w:val="007E22F5"/>
    <w:rsid w:val="007F25F3"/>
    <w:rsid w:val="007F4901"/>
    <w:rsid w:val="00826DEB"/>
    <w:rsid w:val="00830664"/>
    <w:rsid w:val="00832A78"/>
    <w:rsid w:val="00836B02"/>
    <w:rsid w:val="008467D4"/>
    <w:rsid w:val="00850FB0"/>
    <w:rsid w:val="0085238E"/>
    <w:rsid w:val="00853428"/>
    <w:rsid w:val="008540EA"/>
    <w:rsid w:val="00866A00"/>
    <w:rsid w:val="008702A6"/>
    <w:rsid w:val="008757CE"/>
    <w:rsid w:val="0088392C"/>
    <w:rsid w:val="00897C0E"/>
    <w:rsid w:val="00897E31"/>
    <w:rsid w:val="008A046F"/>
    <w:rsid w:val="008A405A"/>
    <w:rsid w:val="008A6A6A"/>
    <w:rsid w:val="008B650A"/>
    <w:rsid w:val="008B787C"/>
    <w:rsid w:val="008C3898"/>
    <w:rsid w:val="008C66CC"/>
    <w:rsid w:val="008F483C"/>
    <w:rsid w:val="00900401"/>
    <w:rsid w:val="00903AA9"/>
    <w:rsid w:val="00905976"/>
    <w:rsid w:val="009074DE"/>
    <w:rsid w:val="00910595"/>
    <w:rsid w:val="00910756"/>
    <w:rsid w:val="00912D61"/>
    <w:rsid w:val="009322D7"/>
    <w:rsid w:val="00932BDE"/>
    <w:rsid w:val="009371D0"/>
    <w:rsid w:val="00967525"/>
    <w:rsid w:val="00967725"/>
    <w:rsid w:val="00976204"/>
    <w:rsid w:val="0098195F"/>
    <w:rsid w:val="009902F8"/>
    <w:rsid w:val="00993BB8"/>
    <w:rsid w:val="0099555F"/>
    <w:rsid w:val="009A22A1"/>
    <w:rsid w:val="009A56D5"/>
    <w:rsid w:val="009B3A1B"/>
    <w:rsid w:val="009B6332"/>
    <w:rsid w:val="009C0912"/>
    <w:rsid w:val="009C726C"/>
    <w:rsid w:val="009C7443"/>
    <w:rsid w:val="009D4409"/>
    <w:rsid w:val="009D6694"/>
    <w:rsid w:val="009D68CF"/>
    <w:rsid w:val="009F0300"/>
    <w:rsid w:val="00A05324"/>
    <w:rsid w:val="00A167A8"/>
    <w:rsid w:val="00A21F0A"/>
    <w:rsid w:val="00A26011"/>
    <w:rsid w:val="00A506C2"/>
    <w:rsid w:val="00A62886"/>
    <w:rsid w:val="00A6382D"/>
    <w:rsid w:val="00A74C38"/>
    <w:rsid w:val="00A77D24"/>
    <w:rsid w:val="00A8572F"/>
    <w:rsid w:val="00A93E07"/>
    <w:rsid w:val="00A979CF"/>
    <w:rsid w:val="00A97B3A"/>
    <w:rsid w:val="00AA4DF8"/>
    <w:rsid w:val="00AB780C"/>
    <w:rsid w:val="00AC2448"/>
    <w:rsid w:val="00AD0B0B"/>
    <w:rsid w:val="00AD5ADE"/>
    <w:rsid w:val="00AE7138"/>
    <w:rsid w:val="00AF4CAF"/>
    <w:rsid w:val="00B117BA"/>
    <w:rsid w:val="00B15F23"/>
    <w:rsid w:val="00B16508"/>
    <w:rsid w:val="00B20D87"/>
    <w:rsid w:val="00B24053"/>
    <w:rsid w:val="00B31550"/>
    <w:rsid w:val="00B578AC"/>
    <w:rsid w:val="00B62F06"/>
    <w:rsid w:val="00B6433F"/>
    <w:rsid w:val="00B64CF5"/>
    <w:rsid w:val="00B74ED7"/>
    <w:rsid w:val="00B76C9B"/>
    <w:rsid w:val="00B823A1"/>
    <w:rsid w:val="00B8428B"/>
    <w:rsid w:val="00B852C5"/>
    <w:rsid w:val="00BA41F5"/>
    <w:rsid w:val="00BB3C9C"/>
    <w:rsid w:val="00BF4822"/>
    <w:rsid w:val="00BF7828"/>
    <w:rsid w:val="00C01D22"/>
    <w:rsid w:val="00C104B6"/>
    <w:rsid w:val="00C10F02"/>
    <w:rsid w:val="00C114F4"/>
    <w:rsid w:val="00C11D03"/>
    <w:rsid w:val="00C13E59"/>
    <w:rsid w:val="00C16977"/>
    <w:rsid w:val="00C203A0"/>
    <w:rsid w:val="00C31967"/>
    <w:rsid w:val="00C34C96"/>
    <w:rsid w:val="00C371DE"/>
    <w:rsid w:val="00C409AE"/>
    <w:rsid w:val="00C4143E"/>
    <w:rsid w:val="00C42D50"/>
    <w:rsid w:val="00C54DF8"/>
    <w:rsid w:val="00C60B49"/>
    <w:rsid w:val="00C7440A"/>
    <w:rsid w:val="00C865ED"/>
    <w:rsid w:val="00C8775A"/>
    <w:rsid w:val="00C974B3"/>
    <w:rsid w:val="00CA0877"/>
    <w:rsid w:val="00CA58CD"/>
    <w:rsid w:val="00CA6B59"/>
    <w:rsid w:val="00CB3B6C"/>
    <w:rsid w:val="00CB75F1"/>
    <w:rsid w:val="00CC1833"/>
    <w:rsid w:val="00CC189F"/>
    <w:rsid w:val="00CC3368"/>
    <w:rsid w:val="00CF19C4"/>
    <w:rsid w:val="00CF2B0A"/>
    <w:rsid w:val="00D13C04"/>
    <w:rsid w:val="00D15BFA"/>
    <w:rsid w:val="00D20A78"/>
    <w:rsid w:val="00D278BA"/>
    <w:rsid w:val="00D36A00"/>
    <w:rsid w:val="00D40454"/>
    <w:rsid w:val="00D4059C"/>
    <w:rsid w:val="00D53D8F"/>
    <w:rsid w:val="00D54F41"/>
    <w:rsid w:val="00D61C76"/>
    <w:rsid w:val="00D77015"/>
    <w:rsid w:val="00D92B48"/>
    <w:rsid w:val="00DB1693"/>
    <w:rsid w:val="00DC3A1F"/>
    <w:rsid w:val="00DD1E79"/>
    <w:rsid w:val="00DD5B07"/>
    <w:rsid w:val="00DD6647"/>
    <w:rsid w:val="00DE6821"/>
    <w:rsid w:val="00DF2022"/>
    <w:rsid w:val="00DF34BE"/>
    <w:rsid w:val="00DF5D59"/>
    <w:rsid w:val="00E10B37"/>
    <w:rsid w:val="00E239E4"/>
    <w:rsid w:val="00E36A38"/>
    <w:rsid w:val="00E53399"/>
    <w:rsid w:val="00E77995"/>
    <w:rsid w:val="00E87099"/>
    <w:rsid w:val="00EA28E6"/>
    <w:rsid w:val="00EB5144"/>
    <w:rsid w:val="00EC279B"/>
    <w:rsid w:val="00ED7A17"/>
    <w:rsid w:val="00EF78C4"/>
    <w:rsid w:val="00F04CD7"/>
    <w:rsid w:val="00F10E6C"/>
    <w:rsid w:val="00F16ACE"/>
    <w:rsid w:val="00F23E15"/>
    <w:rsid w:val="00F244A2"/>
    <w:rsid w:val="00F3409B"/>
    <w:rsid w:val="00F34524"/>
    <w:rsid w:val="00F35064"/>
    <w:rsid w:val="00F374D8"/>
    <w:rsid w:val="00F539FB"/>
    <w:rsid w:val="00F5684D"/>
    <w:rsid w:val="00F57AB6"/>
    <w:rsid w:val="00F6480F"/>
    <w:rsid w:val="00F64868"/>
    <w:rsid w:val="00F668F8"/>
    <w:rsid w:val="00F70C2E"/>
    <w:rsid w:val="00F77AFF"/>
    <w:rsid w:val="00F84DF2"/>
    <w:rsid w:val="00F86713"/>
    <w:rsid w:val="00F932E0"/>
    <w:rsid w:val="00FB014A"/>
    <w:rsid w:val="00FB7701"/>
    <w:rsid w:val="00FC40F0"/>
    <w:rsid w:val="00FC6D3B"/>
    <w:rsid w:val="00FD0129"/>
    <w:rsid w:val="00FD38D1"/>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5AC1B4F"/>
  <w15:docId w15:val="{27CB40C1-F06B-445A-AB35-5FCE0A8F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styleId="FollowedHyperlink">
    <w:name w:val="FollowedHyperlink"/>
    <w:basedOn w:val="DefaultParagraphFont"/>
    <w:semiHidden/>
    <w:unhideWhenUsed/>
    <w:rsid w:val="004879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68319">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706904708">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2030-03-11T23:37:38+00:00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Status xmlns="73f15a1b-1c2d-48b3-bd42-7790edb030af">Active</Status>
  </documentManagement>
</p:properties>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5" ma:contentTypeDescription="" ma:contentTypeScope="" ma:versionID="7b79d5afd8d1612f7dd853f17e95900a">
  <xsd:schema xmlns:xsd="http://www.w3.org/2001/XMLSchema" xmlns:xs="http://www.w3.org/2001/XMLSchema" xmlns:p="http://schemas.microsoft.com/office/2006/metadata/properties" xmlns:ns1="http://schemas.microsoft.com/sharepoint/v3" xmlns:ns2="5e039acd-daf0-4ba3-b421-e9b9ae1a3620" xmlns:ns3="73f15a1b-1c2d-48b3-bd42-7790edb030af" targetNamespace="http://schemas.microsoft.com/office/2006/metadata/properties" ma:root="true" ma:fieldsID="19075de4bf99aa70533e0a5c5f89521f" ns1:_="" ns2:_="" ns3:_="">
    <xsd:import namespace="http://schemas.microsoft.com/sharepoint/v3"/>
    <xsd:import namespace="5e039acd-daf0-4ba3-b421-e9b9ae1a3620"/>
    <xsd:import namespace="73f15a1b-1c2d-48b3-bd42-7790edb030af"/>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f15a1b-1c2d-48b3-bd42-7790edb030af" elementFormDefault="qualified">
    <xsd:import namespace="http://schemas.microsoft.com/office/2006/documentManagement/types"/>
    <xsd:import namespace="http://schemas.microsoft.com/office/infopath/2007/PartnerControls"/>
    <xsd:element name="Status" ma:index="18"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092B523-521B-4F01-8DAB-0EC284B7888D}">
  <ds:schemaRefs>
    <ds:schemaRef ds:uri="office.server.policy"/>
  </ds:schemaRefs>
</ds:datastoreItem>
</file>

<file path=customXml/itemProps3.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4.xml><?xml version="1.0" encoding="utf-8"?>
<ds:datastoreItem xmlns:ds="http://schemas.openxmlformats.org/officeDocument/2006/customXml" ds:itemID="{C6461A5D-4941-442A-87D9-1C3E47354EDC}">
  <ds:schemaRefs>
    <ds:schemaRef ds:uri="http://schemas.microsoft.com/sharepoint/events"/>
  </ds:schemaRefs>
</ds:datastoreItem>
</file>

<file path=customXml/itemProps5.xml><?xml version="1.0" encoding="utf-8"?>
<ds:datastoreItem xmlns:ds="http://schemas.openxmlformats.org/officeDocument/2006/customXml" ds:itemID="{2CD597C1-B965-4E1A-A465-326C0C3A3173}">
  <ds:schemaRefs>
    <ds:schemaRef ds:uri="http://schemas.microsoft.com/office/2006/documentManagement/types"/>
    <ds:schemaRef ds:uri="http://schemas.microsoft.com/sharepoint/v3"/>
    <ds:schemaRef ds:uri="http://www.w3.org/XML/1998/namespace"/>
    <ds:schemaRef ds:uri="http://purl.org/dc/dcmitype/"/>
    <ds:schemaRef ds:uri="5e039acd-daf0-4ba3-b421-e9b9ae1a3620"/>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3f15a1b-1c2d-48b3-bd42-7790edb030af"/>
    <ds:schemaRef ds:uri="http://purl.org/dc/terms/"/>
  </ds:schemaRefs>
</ds:datastoreItem>
</file>

<file path=customXml/itemProps6.xml><?xml version="1.0" encoding="utf-8"?>
<ds:datastoreItem xmlns:ds="http://schemas.openxmlformats.org/officeDocument/2006/customXml" ds:itemID="{70C4AD67-AC26-4A21-9C49-AD957A8C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73f15a1b-1c2d-48b3-bd42-7790edb03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2309EAD-0E65-4407-8F93-A465952C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6413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lastModifiedBy>Andrea Tammita</cp:lastModifiedBy>
  <cp:revision>2</cp:revision>
  <cp:lastPrinted>2017-04-21T01:19:00Z</cp:lastPrinted>
  <dcterms:created xsi:type="dcterms:W3CDTF">2020-09-24T00:35:00Z</dcterms:created>
  <dcterms:modified xsi:type="dcterms:W3CDTF">2020-09-24T00:35:00Z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